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304E86" w:rsidRDefault="00045CE3" w:rsidP="00045CE3">
      <w:pPr>
        <w:spacing w:line="360" w:lineRule="auto"/>
        <w:jc w:val="center"/>
        <w:rPr>
          <w:rFonts w:ascii="Arial" w:hAnsi="Arial" w:cs="Arial"/>
          <w:b/>
          <w:bCs/>
          <w:sz w:val="18"/>
          <w:szCs w:val="22"/>
        </w:rPr>
      </w:pPr>
    </w:p>
    <w:p w:rsidR="004225C0" w:rsidRPr="00AE38B2" w:rsidRDefault="004225C0" w:rsidP="004225C0">
      <w:pPr>
        <w:pStyle w:val="Textoindependiente"/>
        <w:spacing w:line="360" w:lineRule="auto"/>
        <w:ind w:left="2124"/>
        <w:rPr>
          <w:rFonts w:ascii="Arial" w:hAnsi="Arial" w:cs="Arial"/>
          <w:sz w:val="22"/>
          <w:szCs w:val="22"/>
        </w:rPr>
      </w:pPr>
      <w:r w:rsidRPr="00AE38B2">
        <w:rPr>
          <w:rFonts w:ascii="Arial" w:hAnsi="Arial" w:cs="Arial"/>
          <w:sz w:val="22"/>
          <w:szCs w:val="22"/>
        </w:rPr>
        <w:t>Asunto</w:t>
      </w:r>
      <w:r w:rsidRPr="00AE38B2">
        <w:rPr>
          <w:rFonts w:ascii="Arial" w:hAnsi="Arial" w:cs="Arial"/>
          <w:sz w:val="22"/>
          <w:szCs w:val="22"/>
        </w:rPr>
        <w:tab/>
      </w:r>
      <w:r w:rsidRPr="00AE38B2">
        <w:rPr>
          <w:rFonts w:ascii="Arial" w:hAnsi="Arial" w:cs="Arial"/>
          <w:sz w:val="22"/>
          <w:szCs w:val="22"/>
        </w:rPr>
        <w:tab/>
      </w:r>
      <w:r w:rsidRPr="00AE38B2">
        <w:rPr>
          <w:rFonts w:ascii="Arial" w:hAnsi="Arial" w:cs="Arial"/>
          <w:sz w:val="22"/>
          <w:szCs w:val="22"/>
        </w:rPr>
        <w:tab/>
        <w:t xml:space="preserve">: </w:t>
      </w:r>
      <w:r>
        <w:rPr>
          <w:rFonts w:ascii="Arial" w:hAnsi="Arial" w:cs="Arial"/>
          <w:sz w:val="22"/>
          <w:szCs w:val="22"/>
        </w:rPr>
        <w:t>Decide nulidad procesal</w:t>
      </w:r>
    </w:p>
    <w:p w:rsidR="004225C0" w:rsidRPr="006A0477" w:rsidRDefault="004225C0" w:rsidP="004225C0">
      <w:pPr>
        <w:spacing w:line="360" w:lineRule="auto"/>
        <w:ind w:left="2124"/>
        <w:jc w:val="both"/>
        <w:rPr>
          <w:rFonts w:ascii="Arial" w:hAnsi="Arial"/>
          <w:sz w:val="22"/>
          <w:szCs w:val="22"/>
          <w:lang w:val="es-CO"/>
        </w:rPr>
      </w:pPr>
      <w:r w:rsidRPr="006A0477">
        <w:rPr>
          <w:rFonts w:ascii="Arial" w:hAnsi="Arial"/>
          <w:sz w:val="22"/>
          <w:szCs w:val="22"/>
          <w:lang w:val="es-CO"/>
        </w:rPr>
        <w:t>Proceso</w:t>
      </w:r>
      <w:r w:rsidRPr="006A0477">
        <w:rPr>
          <w:rFonts w:ascii="Arial" w:hAnsi="Arial"/>
          <w:sz w:val="22"/>
          <w:szCs w:val="22"/>
          <w:lang w:val="es-CO"/>
        </w:rPr>
        <w:tab/>
      </w:r>
      <w:r w:rsidRPr="006A0477">
        <w:rPr>
          <w:rFonts w:ascii="Arial" w:hAnsi="Arial"/>
          <w:sz w:val="22"/>
          <w:szCs w:val="22"/>
          <w:lang w:val="es-CO"/>
        </w:rPr>
        <w:tab/>
        <w:t>: Ordinario –</w:t>
      </w:r>
      <w:r>
        <w:rPr>
          <w:rFonts w:ascii="Arial" w:hAnsi="Arial"/>
          <w:sz w:val="22"/>
          <w:szCs w:val="22"/>
          <w:lang w:val="es-CO"/>
        </w:rPr>
        <w:t xml:space="preserve"> Pertenencia inmueble urbano</w:t>
      </w:r>
    </w:p>
    <w:p w:rsidR="004225C0" w:rsidRPr="006A0477" w:rsidRDefault="004225C0" w:rsidP="004225C0">
      <w:pPr>
        <w:spacing w:line="360" w:lineRule="auto"/>
        <w:ind w:left="2124"/>
        <w:jc w:val="both"/>
        <w:rPr>
          <w:rFonts w:ascii="Arial" w:hAnsi="Arial"/>
          <w:sz w:val="22"/>
          <w:szCs w:val="22"/>
          <w:lang w:val="es-CO"/>
        </w:rPr>
      </w:pPr>
      <w:r w:rsidRPr="006A0477">
        <w:rPr>
          <w:rFonts w:ascii="Arial" w:hAnsi="Arial" w:cs="Arial"/>
          <w:sz w:val="22"/>
          <w:szCs w:val="22"/>
          <w:lang w:val="es-CO"/>
        </w:rPr>
        <w:t>Demandante</w:t>
      </w:r>
      <w:r>
        <w:rPr>
          <w:rFonts w:ascii="Arial" w:hAnsi="Arial" w:cs="Arial"/>
          <w:sz w:val="22"/>
          <w:szCs w:val="22"/>
          <w:lang w:val="es-CO"/>
        </w:rPr>
        <w:t xml:space="preserve"> (s)</w:t>
      </w:r>
      <w:r w:rsidRPr="006A0477">
        <w:rPr>
          <w:rFonts w:ascii="Arial" w:hAnsi="Arial" w:cs="Arial"/>
          <w:sz w:val="22"/>
          <w:szCs w:val="22"/>
          <w:lang w:val="es-CO"/>
        </w:rPr>
        <w:tab/>
        <w:t xml:space="preserve">: </w:t>
      </w:r>
      <w:r>
        <w:rPr>
          <w:rFonts w:ascii="Arial" w:hAnsi="Arial" w:cs="Arial"/>
          <w:sz w:val="22"/>
          <w:szCs w:val="22"/>
          <w:lang w:val="es-CO"/>
        </w:rPr>
        <w:t>Darío Antonio Grajales Ospina y otra</w:t>
      </w:r>
    </w:p>
    <w:p w:rsidR="004225C0" w:rsidRPr="00AE38B2" w:rsidRDefault="004225C0" w:rsidP="004225C0">
      <w:pPr>
        <w:pStyle w:val="Textoindependiente"/>
        <w:spacing w:line="360" w:lineRule="auto"/>
        <w:ind w:left="2124"/>
        <w:rPr>
          <w:rFonts w:ascii="Arial" w:hAnsi="Arial" w:cs="Arial"/>
          <w:sz w:val="22"/>
          <w:szCs w:val="22"/>
        </w:rPr>
      </w:pPr>
      <w:r w:rsidRPr="006A0477">
        <w:rPr>
          <w:rFonts w:ascii="Arial" w:hAnsi="Arial" w:cs="Arial"/>
          <w:sz w:val="22"/>
          <w:szCs w:val="22"/>
          <w:lang w:val="es-CO"/>
        </w:rPr>
        <w:t>Demandado</w:t>
      </w:r>
      <w:r>
        <w:rPr>
          <w:rFonts w:ascii="Arial" w:hAnsi="Arial" w:cs="Arial"/>
          <w:sz w:val="22"/>
          <w:szCs w:val="22"/>
          <w:lang w:val="es-CO"/>
        </w:rPr>
        <w:t xml:space="preserve"> (</w:t>
      </w:r>
      <w:r w:rsidRPr="006A0477">
        <w:rPr>
          <w:rFonts w:ascii="Arial" w:hAnsi="Arial" w:cs="Arial"/>
          <w:sz w:val="22"/>
          <w:szCs w:val="22"/>
          <w:lang w:val="es-CO"/>
        </w:rPr>
        <w:t>s</w:t>
      </w:r>
      <w:r>
        <w:rPr>
          <w:rFonts w:ascii="Arial" w:hAnsi="Arial" w:cs="Arial"/>
          <w:sz w:val="22"/>
          <w:szCs w:val="22"/>
          <w:lang w:val="es-CO"/>
        </w:rPr>
        <w:t>)</w:t>
      </w:r>
      <w:r w:rsidRPr="006A0477">
        <w:rPr>
          <w:rFonts w:ascii="Arial" w:hAnsi="Arial" w:cs="Arial"/>
          <w:sz w:val="22"/>
          <w:szCs w:val="22"/>
          <w:lang w:val="es-CO"/>
        </w:rPr>
        <w:tab/>
        <w:t>:</w:t>
      </w:r>
      <w:r>
        <w:rPr>
          <w:rFonts w:ascii="Arial" w:hAnsi="Arial" w:cs="Arial"/>
          <w:sz w:val="22"/>
          <w:szCs w:val="22"/>
          <w:lang w:val="es-CO"/>
        </w:rPr>
        <w:t xml:space="preserve"> José Jairo Loaiza Vélez y otros</w:t>
      </w:r>
    </w:p>
    <w:p w:rsidR="004225C0" w:rsidRDefault="004225C0" w:rsidP="004225C0">
      <w:pPr>
        <w:pStyle w:val="Textoindependiente"/>
        <w:spacing w:line="360" w:lineRule="auto"/>
        <w:ind w:left="2124"/>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sidRPr="006A0477">
        <w:rPr>
          <w:rFonts w:ascii="Arial" w:hAnsi="Arial" w:cs="Arial"/>
          <w:sz w:val="22"/>
          <w:szCs w:val="22"/>
          <w:lang w:val="es-CO"/>
        </w:rPr>
        <w:tab/>
        <w:t xml:space="preserve">: Juzgado </w:t>
      </w:r>
      <w:r>
        <w:rPr>
          <w:rFonts w:ascii="Arial" w:hAnsi="Arial" w:cs="Arial"/>
          <w:sz w:val="22"/>
          <w:szCs w:val="22"/>
          <w:lang w:val="es-CO"/>
        </w:rPr>
        <w:t xml:space="preserve">Primero Civil </w:t>
      </w:r>
      <w:r w:rsidRPr="006A0477">
        <w:rPr>
          <w:rFonts w:ascii="Arial" w:hAnsi="Arial" w:cs="Arial"/>
          <w:sz w:val="22"/>
          <w:szCs w:val="22"/>
          <w:lang w:val="es-CO"/>
        </w:rPr>
        <w:t xml:space="preserve">del Circuito </w:t>
      </w:r>
      <w:r>
        <w:rPr>
          <w:rFonts w:ascii="Arial" w:hAnsi="Arial" w:cs="Arial"/>
          <w:sz w:val="22"/>
          <w:szCs w:val="22"/>
          <w:lang w:val="es-CO"/>
        </w:rPr>
        <w:t>de Pereira</w:t>
      </w:r>
    </w:p>
    <w:p w:rsidR="004225C0" w:rsidRDefault="004225C0" w:rsidP="004225C0">
      <w:pPr>
        <w:pStyle w:val="Textoindependiente"/>
        <w:spacing w:line="360" w:lineRule="auto"/>
        <w:ind w:left="2124"/>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xml:space="preserve">: </w:t>
      </w:r>
      <w:r w:rsidRPr="006A0477">
        <w:rPr>
          <w:rFonts w:ascii="Arial" w:hAnsi="Arial" w:cs="Arial"/>
          <w:sz w:val="22"/>
          <w:szCs w:val="22"/>
          <w:lang w:val="es-CO"/>
        </w:rPr>
        <w:t>20</w:t>
      </w:r>
      <w:r>
        <w:rPr>
          <w:rFonts w:ascii="Arial" w:hAnsi="Arial" w:cs="Arial"/>
          <w:sz w:val="22"/>
          <w:szCs w:val="22"/>
          <w:lang w:val="es-CO"/>
        </w:rPr>
        <w:t>09</w:t>
      </w:r>
      <w:r w:rsidRPr="006A0477">
        <w:rPr>
          <w:rFonts w:ascii="Arial" w:hAnsi="Arial" w:cs="Arial"/>
          <w:sz w:val="22"/>
          <w:szCs w:val="22"/>
          <w:lang w:val="es-CO"/>
        </w:rPr>
        <w:t>-00</w:t>
      </w:r>
      <w:r>
        <w:rPr>
          <w:rFonts w:ascii="Arial" w:hAnsi="Arial" w:cs="Arial"/>
          <w:sz w:val="22"/>
          <w:szCs w:val="22"/>
          <w:lang w:val="es-CO"/>
        </w:rPr>
        <w:t>033-02</w:t>
      </w:r>
      <w:r w:rsidRPr="006A0477">
        <w:rPr>
          <w:rFonts w:ascii="Arial" w:hAnsi="Arial" w:cs="Arial"/>
          <w:sz w:val="22"/>
          <w:szCs w:val="22"/>
          <w:lang w:val="es-CO"/>
        </w:rPr>
        <w:t xml:space="preserve"> </w:t>
      </w:r>
    </w:p>
    <w:p w:rsidR="004225C0" w:rsidRPr="006A0477" w:rsidRDefault="004225C0" w:rsidP="004225C0">
      <w:pPr>
        <w:pStyle w:val="Textoindependiente"/>
        <w:spacing w:line="360" w:lineRule="auto"/>
        <w:ind w:left="2124"/>
        <w:rPr>
          <w:rFonts w:ascii="Arial" w:hAnsi="Arial" w:cs="Arial"/>
          <w:sz w:val="22"/>
          <w:szCs w:val="22"/>
          <w:lang w:val="es-CO"/>
        </w:rPr>
      </w:pPr>
      <w:r w:rsidRPr="00F34085">
        <w:rPr>
          <w:rFonts w:ascii="Arial" w:hAnsi="Arial" w:cs="Arial"/>
          <w:sz w:val="22"/>
          <w:szCs w:val="22"/>
          <w:lang w:val="es-CO"/>
        </w:rPr>
        <w:t>Tema</w:t>
      </w:r>
      <w:r w:rsidR="0086018A">
        <w:rPr>
          <w:rFonts w:ascii="Arial" w:hAnsi="Arial" w:cs="Arial"/>
          <w:sz w:val="22"/>
          <w:szCs w:val="22"/>
          <w:lang w:val="es-CO"/>
        </w:rPr>
        <w:t xml:space="preserve"> (s)</w:t>
      </w:r>
      <w:r w:rsidRPr="00F34085">
        <w:rPr>
          <w:rFonts w:ascii="Arial" w:hAnsi="Arial" w:cs="Arial"/>
          <w:sz w:val="22"/>
          <w:szCs w:val="22"/>
          <w:lang w:val="es-CO"/>
        </w:rPr>
        <w:tab/>
      </w:r>
      <w:r w:rsidRPr="00F34085">
        <w:rPr>
          <w:rFonts w:ascii="Arial" w:hAnsi="Arial" w:cs="Arial"/>
          <w:sz w:val="22"/>
          <w:szCs w:val="22"/>
          <w:lang w:val="es-CO"/>
        </w:rPr>
        <w:tab/>
        <w:t xml:space="preserve">: </w:t>
      </w:r>
      <w:r w:rsidR="00F34085" w:rsidRPr="00F34085">
        <w:rPr>
          <w:rFonts w:ascii="Arial" w:hAnsi="Arial" w:cs="Arial"/>
          <w:sz w:val="22"/>
          <w:szCs w:val="22"/>
          <w:lang w:val="es-CO"/>
        </w:rPr>
        <w:t xml:space="preserve">Indebida notificación y emplazamiento </w:t>
      </w:r>
    </w:p>
    <w:p w:rsidR="007326D4" w:rsidRPr="00631466" w:rsidRDefault="00455DE9" w:rsidP="007326D4">
      <w:pPr>
        <w:spacing w:line="360" w:lineRule="auto"/>
        <w:ind w:left="1416" w:firstLine="708"/>
        <w:rPr>
          <w:rFonts w:ascii="Arial" w:hAnsi="Arial"/>
          <w:sz w:val="22"/>
        </w:rPr>
      </w:pPr>
      <w:proofErr w:type="spellStart"/>
      <w:r w:rsidRPr="00AE38B2">
        <w:rPr>
          <w:rFonts w:ascii="Arial" w:hAnsi="Arial" w:cs="Arial"/>
          <w:sz w:val="22"/>
          <w:szCs w:val="22"/>
        </w:rPr>
        <w:t>Mag</w:t>
      </w:r>
      <w:proofErr w:type="spellEnd"/>
      <w:r w:rsidR="001E18FB">
        <w:rPr>
          <w:rFonts w:ascii="Arial" w:hAnsi="Arial" w:cs="Arial"/>
          <w:sz w:val="22"/>
          <w:szCs w:val="22"/>
        </w:rPr>
        <w:t>.</w:t>
      </w:r>
      <w:r w:rsidRPr="00AE38B2">
        <w:rPr>
          <w:rFonts w:ascii="Arial" w:hAnsi="Arial" w:cs="Arial"/>
          <w:sz w:val="22"/>
          <w:szCs w:val="22"/>
        </w:rPr>
        <w:t xml:space="preserve"> </w:t>
      </w:r>
      <w:r w:rsidR="001E18FB">
        <w:rPr>
          <w:rFonts w:ascii="Arial" w:hAnsi="Arial" w:cs="Arial"/>
          <w:sz w:val="22"/>
          <w:szCs w:val="22"/>
        </w:rPr>
        <w:t>Sustanciador</w:t>
      </w:r>
      <w:r w:rsidRPr="00AE38B2">
        <w:rPr>
          <w:rFonts w:ascii="Arial" w:hAnsi="Arial" w:cs="Arial"/>
          <w:sz w:val="22"/>
          <w:szCs w:val="22"/>
        </w:rPr>
        <w:tab/>
        <w:t xml:space="preserve">: </w:t>
      </w:r>
      <w:proofErr w:type="spellStart"/>
      <w:r w:rsidR="007326D4" w:rsidRPr="0000570F">
        <w:rPr>
          <w:rFonts w:ascii="Arial" w:hAnsi="Arial"/>
          <w:smallCaps/>
          <w:sz w:val="22"/>
        </w:rPr>
        <w:t>Duberney</w:t>
      </w:r>
      <w:proofErr w:type="spellEnd"/>
      <w:r w:rsidR="007326D4" w:rsidRPr="0000570F">
        <w:rPr>
          <w:rFonts w:ascii="Arial" w:hAnsi="Arial"/>
          <w:smallCaps/>
          <w:sz w:val="22"/>
        </w:rPr>
        <w:t xml:space="preserve"> Grisales Herrera</w:t>
      </w:r>
    </w:p>
    <w:p w:rsidR="00045CE3" w:rsidRPr="00304E86" w:rsidRDefault="00045CE3" w:rsidP="007326D4">
      <w:pPr>
        <w:pBdr>
          <w:bottom w:val="double" w:sz="6" w:space="1" w:color="auto"/>
        </w:pBdr>
        <w:spacing w:line="360" w:lineRule="auto"/>
        <w:rPr>
          <w:rFonts w:ascii="Arial Narrow" w:hAnsi="Arial Narrow" w:cs="Arial"/>
          <w:b/>
          <w:bCs/>
          <w:sz w:val="16"/>
          <w:szCs w:val="26"/>
        </w:rPr>
      </w:pPr>
    </w:p>
    <w:p w:rsidR="00045CE3" w:rsidRPr="001F53B6" w:rsidRDefault="00045CE3" w:rsidP="00D1698E">
      <w:pPr>
        <w:spacing w:line="360" w:lineRule="auto"/>
        <w:jc w:val="center"/>
        <w:rPr>
          <w:rFonts w:ascii="Arial Narrow" w:hAnsi="Arial Narrow" w:cs="Arial"/>
          <w:b/>
          <w:bCs/>
          <w:szCs w:val="26"/>
        </w:rPr>
      </w:pPr>
    </w:p>
    <w:p w:rsidR="008B7145" w:rsidRPr="00AC7745" w:rsidRDefault="00ED2DDA" w:rsidP="008B7145">
      <w:pPr>
        <w:spacing w:line="360" w:lineRule="auto"/>
        <w:jc w:val="center"/>
        <w:rPr>
          <w:rFonts w:ascii="Arial" w:hAnsi="Arial" w:cs="Arial"/>
          <w:smallCaps/>
          <w:sz w:val="24"/>
          <w:szCs w:val="24"/>
        </w:rPr>
      </w:pPr>
      <w:r w:rsidRPr="00F7537E">
        <w:rPr>
          <w:rFonts w:ascii="Arial" w:hAnsi="Arial" w:cs="Arial"/>
          <w:smallCaps/>
          <w:sz w:val="24"/>
          <w:szCs w:val="24"/>
        </w:rPr>
        <w:t xml:space="preserve">Pereira, Rda., </w:t>
      </w:r>
      <w:r w:rsidR="0086018A">
        <w:rPr>
          <w:rFonts w:ascii="Arial" w:hAnsi="Arial" w:cs="Arial"/>
          <w:smallCaps/>
          <w:sz w:val="24"/>
          <w:szCs w:val="24"/>
        </w:rPr>
        <w:t xml:space="preserve">tres </w:t>
      </w:r>
      <w:r w:rsidR="008B7145" w:rsidRPr="00AC7745">
        <w:rPr>
          <w:rFonts w:ascii="Arial" w:hAnsi="Arial" w:cs="Arial"/>
          <w:smallCaps/>
          <w:sz w:val="24"/>
          <w:szCs w:val="24"/>
        </w:rPr>
        <w:t>(</w:t>
      </w:r>
      <w:r w:rsidR="0086018A">
        <w:rPr>
          <w:rFonts w:ascii="Arial" w:hAnsi="Arial" w:cs="Arial"/>
          <w:smallCaps/>
          <w:sz w:val="24"/>
          <w:szCs w:val="24"/>
        </w:rPr>
        <w:t>3</w:t>
      </w:r>
      <w:r w:rsidR="008B7145" w:rsidRPr="00AC7745">
        <w:rPr>
          <w:rFonts w:ascii="Arial" w:hAnsi="Arial" w:cs="Arial"/>
          <w:smallCaps/>
          <w:sz w:val="24"/>
          <w:szCs w:val="24"/>
        </w:rPr>
        <w:t xml:space="preserve">) de </w:t>
      </w:r>
      <w:r w:rsidR="0086018A">
        <w:rPr>
          <w:rFonts w:ascii="Arial" w:hAnsi="Arial" w:cs="Arial"/>
          <w:smallCaps/>
          <w:sz w:val="24"/>
          <w:szCs w:val="24"/>
        </w:rPr>
        <w:t xml:space="preserve">mayo </w:t>
      </w:r>
      <w:r w:rsidR="008B7145" w:rsidRPr="00AC7745">
        <w:rPr>
          <w:rFonts w:ascii="Arial" w:hAnsi="Arial" w:cs="Arial"/>
          <w:smallCaps/>
          <w:sz w:val="24"/>
          <w:szCs w:val="24"/>
        </w:rPr>
        <w:t xml:space="preserve">de dos mil </w:t>
      </w:r>
      <w:r>
        <w:rPr>
          <w:rFonts w:ascii="Arial" w:hAnsi="Arial" w:cs="Arial"/>
          <w:smallCaps/>
          <w:sz w:val="24"/>
          <w:szCs w:val="24"/>
        </w:rPr>
        <w:t xml:space="preserve">dieciséis </w:t>
      </w:r>
      <w:r w:rsidR="008B7145" w:rsidRPr="00AC7745">
        <w:rPr>
          <w:rFonts w:ascii="Arial" w:hAnsi="Arial" w:cs="Arial"/>
          <w:smallCaps/>
          <w:sz w:val="24"/>
          <w:szCs w:val="24"/>
        </w:rPr>
        <w:t>(201</w:t>
      </w:r>
      <w:r>
        <w:rPr>
          <w:rFonts w:ascii="Arial" w:hAnsi="Arial" w:cs="Arial"/>
          <w:smallCaps/>
          <w:sz w:val="24"/>
          <w:szCs w:val="24"/>
        </w:rPr>
        <w:t>6</w:t>
      </w:r>
      <w:r w:rsidR="008B7145" w:rsidRPr="00AC7745">
        <w:rPr>
          <w:rFonts w:ascii="Arial" w:hAnsi="Arial" w:cs="Arial"/>
          <w:smallCaps/>
          <w:sz w:val="24"/>
          <w:szCs w:val="24"/>
        </w:rPr>
        <w:t>).</w:t>
      </w:r>
    </w:p>
    <w:p w:rsidR="00045CE3" w:rsidRPr="00304E86" w:rsidRDefault="00045CE3" w:rsidP="008B7145">
      <w:pPr>
        <w:pStyle w:val="Puesto"/>
        <w:spacing w:line="360" w:lineRule="auto"/>
        <w:rPr>
          <w:rFonts w:cs="Arial"/>
          <w:b w:val="0"/>
          <w:i w:val="0"/>
          <w:spacing w:val="-3"/>
          <w:sz w:val="22"/>
          <w:szCs w:val="22"/>
        </w:rPr>
      </w:pPr>
    </w:p>
    <w:p w:rsidR="00AC7745" w:rsidRPr="00304E86" w:rsidRDefault="00AC7745" w:rsidP="008B7145">
      <w:pPr>
        <w:pStyle w:val="Puesto"/>
        <w:spacing w:line="360" w:lineRule="auto"/>
        <w:rPr>
          <w:rFonts w:cs="Arial"/>
          <w:b w:val="0"/>
          <w:i w:val="0"/>
          <w:spacing w:val="-3"/>
          <w:sz w:val="22"/>
          <w:szCs w:val="22"/>
        </w:rPr>
      </w:pPr>
    </w:p>
    <w:p w:rsidR="008872A2" w:rsidRPr="000F1B66" w:rsidRDefault="008872A2" w:rsidP="008872A2">
      <w:pPr>
        <w:pStyle w:val="Puesto"/>
        <w:numPr>
          <w:ilvl w:val="0"/>
          <w:numId w:val="1"/>
        </w:numPr>
        <w:spacing w:line="360" w:lineRule="auto"/>
        <w:jc w:val="left"/>
        <w:rPr>
          <w:rFonts w:cs="Arial"/>
          <w:b w:val="0"/>
          <w:i w:val="0"/>
          <w:spacing w:val="-3"/>
          <w:szCs w:val="24"/>
          <w:lang w:val="es-ES_tradnl"/>
        </w:rPr>
      </w:pPr>
      <w:r w:rsidRPr="000F1B66">
        <w:rPr>
          <w:rFonts w:cs="Arial"/>
          <w:b w:val="0"/>
          <w:i w:val="0"/>
          <w:szCs w:val="24"/>
        </w:rPr>
        <w:t>EL ASUNTO POR DECIDIR</w:t>
      </w:r>
    </w:p>
    <w:p w:rsidR="008872A2" w:rsidRPr="000F1B66" w:rsidRDefault="008872A2" w:rsidP="008872A2">
      <w:pPr>
        <w:pStyle w:val="Puesto"/>
        <w:spacing w:line="360" w:lineRule="auto"/>
        <w:jc w:val="left"/>
        <w:rPr>
          <w:rFonts w:cs="Arial"/>
          <w:b w:val="0"/>
          <w:i w:val="0"/>
          <w:spacing w:val="-3"/>
          <w:szCs w:val="24"/>
          <w:lang w:val="es-ES_tradnl"/>
        </w:rPr>
      </w:pPr>
    </w:p>
    <w:p w:rsidR="00ED2DDA" w:rsidRPr="000F1B66" w:rsidRDefault="00ED2DDA" w:rsidP="00ED2DDA">
      <w:pPr>
        <w:spacing w:line="360" w:lineRule="auto"/>
        <w:jc w:val="both"/>
        <w:rPr>
          <w:rFonts w:ascii="Arial" w:hAnsi="Arial" w:cs="Arial"/>
          <w:sz w:val="24"/>
          <w:szCs w:val="24"/>
        </w:rPr>
      </w:pPr>
      <w:r>
        <w:rPr>
          <w:rFonts w:ascii="Arial" w:hAnsi="Arial" w:cs="Arial"/>
          <w:spacing w:val="-3"/>
          <w:sz w:val="24"/>
          <w:szCs w:val="24"/>
        </w:rPr>
        <w:t>Sería del caso proveer de fondo</w:t>
      </w:r>
      <w:r w:rsidRPr="000F1B66">
        <w:rPr>
          <w:rFonts w:ascii="Arial" w:hAnsi="Arial" w:cs="Arial"/>
          <w:spacing w:val="-3"/>
          <w:sz w:val="24"/>
          <w:szCs w:val="24"/>
        </w:rPr>
        <w:t xml:space="preserve">, </w:t>
      </w:r>
      <w:r>
        <w:rPr>
          <w:rFonts w:ascii="Arial" w:hAnsi="Arial" w:cs="Arial"/>
          <w:spacing w:val="-3"/>
          <w:sz w:val="24"/>
          <w:szCs w:val="24"/>
        </w:rPr>
        <w:t xml:space="preserve">sino fuera porque se aprecia una causal de invalidación procesal, que amerita pronunciamiento, </w:t>
      </w:r>
      <w:r w:rsidRPr="000F1B66">
        <w:rPr>
          <w:rFonts w:ascii="Arial" w:hAnsi="Arial" w:cs="Arial"/>
          <w:spacing w:val="-3"/>
          <w:sz w:val="24"/>
          <w:szCs w:val="24"/>
        </w:rPr>
        <w:t xml:space="preserve">en el </w:t>
      </w:r>
      <w:r>
        <w:rPr>
          <w:rFonts w:ascii="Arial" w:hAnsi="Arial" w:cs="Arial"/>
          <w:spacing w:val="-3"/>
          <w:sz w:val="24"/>
          <w:szCs w:val="24"/>
        </w:rPr>
        <w:t xml:space="preserve">curso del </w:t>
      </w:r>
      <w:r w:rsidRPr="000F1B66">
        <w:rPr>
          <w:rFonts w:ascii="Arial" w:hAnsi="Arial" w:cs="Arial"/>
          <w:spacing w:val="-3"/>
          <w:sz w:val="24"/>
          <w:szCs w:val="24"/>
        </w:rPr>
        <w:t>proceso</w:t>
      </w:r>
      <w:r>
        <w:rPr>
          <w:rFonts w:ascii="Arial" w:hAnsi="Arial" w:cs="Arial"/>
          <w:spacing w:val="-3"/>
          <w:sz w:val="24"/>
          <w:szCs w:val="24"/>
        </w:rPr>
        <w:t xml:space="preserve"> de la referencia</w:t>
      </w:r>
      <w:r w:rsidRPr="000F1B66">
        <w:rPr>
          <w:rFonts w:ascii="Arial" w:hAnsi="Arial" w:cs="Arial"/>
          <w:spacing w:val="-3"/>
          <w:sz w:val="24"/>
          <w:szCs w:val="24"/>
        </w:rPr>
        <w:t>, al tenor de las consideraciones que siguen.</w:t>
      </w:r>
    </w:p>
    <w:p w:rsidR="008872A2" w:rsidRDefault="008872A2" w:rsidP="008872A2">
      <w:pPr>
        <w:spacing w:line="360" w:lineRule="auto"/>
        <w:jc w:val="both"/>
        <w:rPr>
          <w:rFonts w:ascii="Arial" w:hAnsi="Arial" w:cs="Arial"/>
          <w:sz w:val="24"/>
          <w:szCs w:val="22"/>
        </w:rPr>
      </w:pPr>
    </w:p>
    <w:p w:rsidR="00AC7745" w:rsidRPr="00F404F9" w:rsidRDefault="00AC7745" w:rsidP="008872A2">
      <w:pPr>
        <w:spacing w:line="360" w:lineRule="auto"/>
        <w:jc w:val="both"/>
        <w:rPr>
          <w:rFonts w:ascii="Arial" w:hAnsi="Arial" w:cs="Arial"/>
          <w:sz w:val="24"/>
          <w:szCs w:val="22"/>
        </w:rPr>
      </w:pPr>
    </w:p>
    <w:p w:rsidR="008872A2" w:rsidRPr="00DA5858" w:rsidRDefault="008872A2" w:rsidP="008872A2">
      <w:pPr>
        <w:numPr>
          <w:ilvl w:val="0"/>
          <w:numId w:val="1"/>
        </w:numPr>
        <w:spacing w:line="360" w:lineRule="auto"/>
        <w:jc w:val="both"/>
        <w:rPr>
          <w:rFonts w:ascii="Arial" w:hAnsi="Arial" w:cs="Arial"/>
          <w:sz w:val="24"/>
          <w:szCs w:val="24"/>
        </w:rPr>
      </w:pPr>
      <w:r w:rsidRPr="00DA5858">
        <w:rPr>
          <w:rFonts w:ascii="Arial" w:hAnsi="Arial" w:cs="Arial"/>
          <w:sz w:val="24"/>
          <w:szCs w:val="24"/>
        </w:rPr>
        <w:t>LA SÍNTESIS DE LA CRÓNICA PROCESAL</w:t>
      </w:r>
    </w:p>
    <w:p w:rsidR="00607310" w:rsidRDefault="00607310" w:rsidP="00607310">
      <w:pPr>
        <w:spacing w:line="360" w:lineRule="auto"/>
        <w:jc w:val="both"/>
        <w:rPr>
          <w:rFonts w:ascii="Arial" w:hAnsi="Arial" w:cs="Arial"/>
          <w:sz w:val="24"/>
          <w:szCs w:val="24"/>
        </w:rPr>
      </w:pPr>
    </w:p>
    <w:p w:rsidR="00C140FE" w:rsidRDefault="00ED2DDA" w:rsidP="00ED2DDA">
      <w:pPr>
        <w:spacing w:line="360" w:lineRule="auto"/>
        <w:jc w:val="both"/>
        <w:rPr>
          <w:rFonts w:ascii="Arial" w:hAnsi="Arial" w:cs="Arial"/>
          <w:sz w:val="24"/>
          <w:szCs w:val="24"/>
          <w:lang w:val="es-CO"/>
        </w:rPr>
      </w:pPr>
      <w:r w:rsidRPr="006A0477">
        <w:rPr>
          <w:rFonts w:ascii="Arial" w:hAnsi="Arial" w:cs="Arial"/>
          <w:sz w:val="24"/>
          <w:szCs w:val="24"/>
          <w:lang w:val="es-CO"/>
        </w:rPr>
        <w:t xml:space="preserve">El día </w:t>
      </w:r>
      <w:r>
        <w:rPr>
          <w:rFonts w:ascii="Arial" w:hAnsi="Arial" w:cs="Arial"/>
          <w:sz w:val="24"/>
          <w:szCs w:val="24"/>
          <w:lang w:val="es-CO"/>
        </w:rPr>
        <w:t>12-02-</w:t>
      </w:r>
      <w:r w:rsidRPr="006A0477">
        <w:rPr>
          <w:rFonts w:ascii="Arial" w:hAnsi="Arial" w:cs="Arial"/>
          <w:sz w:val="24"/>
          <w:szCs w:val="24"/>
          <w:lang w:val="es-CO"/>
        </w:rPr>
        <w:t>20</w:t>
      </w:r>
      <w:r>
        <w:rPr>
          <w:rFonts w:ascii="Arial" w:hAnsi="Arial" w:cs="Arial"/>
          <w:sz w:val="24"/>
          <w:szCs w:val="24"/>
          <w:lang w:val="es-CO"/>
        </w:rPr>
        <w:t>09</w:t>
      </w:r>
      <w:r w:rsidRPr="006A0477">
        <w:rPr>
          <w:rFonts w:ascii="Arial" w:hAnsi="Arial" w:cs="Arial"/>
          <w:sz w:val="24"/>
          <w:szCs w:val="24"/>
          <w:lang w:val="es-CO"/>
        </w:rPr>
        <w:t xml:space="preserve"> </w:t>
      </w:r>
      <w:r>
        <w:rPr>
          <w:rFonts w:ascii="Arial" w:hAnsi="Arial" w:cs="Arial"/>
          <w:sz w:val="24"/>
          <w:szCs w:val="24"/>
          <w:lang w:val="es-CO"/>
        </w:rPr>
        <w:t xml:space="preserve">fue repartida la demanda </w:t>
      </w:r>
      <w:r w:rsidRPr="006A0477">
        <w:rPr>
          <w:rFonts w:ascii="Arial" w:hAnsi="Arial" w:cs="Arial"/>
          <w:sz w:val="24"/>
          <w:szCs w:val="24"/>
          <w:lang w:val="es-CO"/>
        </w:rPr>
        <w:t xml:space="preserve">al Juzgado </w:t>
      </w:r>
      <w:r>
        <w:rPr>
          <w:rFonts w:ascii="Arial" w:hAnsi="Arial" w:cs="Arial"/>
          <w:sz w:val="24"/>
          <w:szCs w:val="24"/>
          <w:lang w:val="es-CO"/>
        </w:rPr>
        <w:t xml:space="preserve">Primero Civil </w:t>
      </w:r>
      <w:r w:rsidRPr="006A0477">
        <w:rPr>
          <w:rFonts w:ascii="Arial" w:hAnsi="Arial" w:cs="Arial"/>
          <w:sz w:val="24"/>
          <w:szCs w:val="24"/>
          <w:lang w:val="es-CO"/>
        </w:rPr>
        <w:t xml:space="preserve">del </w:t>
      </w:r>
      <w:r w:rsidRPr="002A1916">
        <w:rPr>
          <w:rFonts w:ascii="Arial" w:hAnsi="Arial" w:cs="Arial"/>
          <w:sz w:val="24"/>
          <w:szCs w:val="24"/>
          <w:lang w:val="es-CO"/>
        </w:rPr>
        <w:t xml:space="preserve">Circuito de </w:t>
      </w:r>
      <w:r>
        <w:rPr>
          <w:rFonts w:ascii="Arial" w:hAnsi="Arial" w:cs="Arial"/>
          <w:sz w:val="24"/>
          <w:szCs w:val="24"/>
          <w:lang w:val="es-CO"/>
        </w:rPr>
        <w:t xml:space="preserve">esta ciudad, </w:t>
      </w:r>
      <w:r w:rsidRPr="002A1916">
        <w:rPr>
          <w:rFonts w:ascii="Arial" w:hAnsi="Arial" w:cs="Arial"/>
          <w:sz w:val="24"/>
          <w:szCs w:val="24"/>
          <w:lang w:val="es-CO"/>
        </w:rPr>
        <w:t xml:space="preserve">R., que </w:t>
      </w:r>
      <w:r>
        <w:rPr>
          <w:rFonts w:ascii="Arial" w:hAnsi="Arial" w:cs="Arial"/>
          <w:sz w:val="24"/>
          <w:szCs w:val="24"/>
          <w:lang w:val="es-CO"/>
        </w:rPr>
        <w:t>la admitió</w:t>
      </w:r>
      <w:r w:rsidRPr="002A1916">
        <w:rPr>
          <w:rFonts w:ascii="Arial" w:hAnsi="Arial" w:cs="Arial"/>
          <w:sz w:val="24"/>
          <w:szCs w:val="24"/>
          <w:lang w:val="es-CO"/>
        </w:rPr>
        <w:t xml:space="preserve"> el día </w:t>
      </w:r>
      <w:r>
        <w:rPr>
          <w:rFonts w:ascii="Arial" w:hAnsi="Arial" w:cs="Arial"/>
          <w:sz w:val="24"/>
          <w:szCs w:val="24"/>
          <w:lang w:val="es-CO"/>
        </w:rPr>
        <w:t>17-02-2009</w:t>
      </w:r>
      <w:r w:rsidRPr="002A1916">
        <w:rPr>
          <w:rFonts w:ascii="Arial" w:hAnsi="Arial" w:cs="Arial"/>
          <w:sz w:val="24"/>
          <w:szCs w:val="24"/>
          <w:lang w:val="es-CO"/>
        </w:rPr>
        <w:t>, o</w:t>
      </w:r>
      <w:r w:rsidRPr="006A0477">
        <w:rPr>
          <w:rFonts w:ascii="Arial" w:hAnsi="Arial" w:cs="Arial"/>
          <w:sz w:val="24"/>
          <w:szCs w:val="24"/>
          <w:lang w:val="es-CO"/>
        </w:rPr>
        <w:t xml:space="preserve">rdenó notificarla, </w:t>
      </w:r>
      <w:r w:rsidR="004E665F" w:rsidRPr="006A0477">
        <w:rPr>
          <w:rFonts w:ascii="Arial" w:hAnsi="Arial" w:cs="Arial"/>
          <w:sz w:val="24"/>
          <w:szCs w:val="24"/>
          <w:lang w:val="es-CO"/>
        </w:rPr>
        <w:t xml:space="preserve">correr traslado, </w:t>
      </w:r>
      <w:r w:rsidR="004E665F">
        <w:rPr>
          <w:rFonts w:ascii="Arial" w:hAnsi="Arial" w:cs="Arial"/>
          <w:sz w:val="24"/>
          <w:szCs w:val="24"/>
          <w:lang w:val="es-CO"/>
        </w:rPr>
        <w:t>surtir</w:t>
      </w:r>
      <w:r w:rsidR="004C1DD1">
        <w:rPr>
          <w:rFonts w:ascii="Arial" w:hAnsi="Arial" w:cs="Arial"/>
          <w:sz w:val="24"/>
          <w:szCs w:val="24"/>
          <w:lang w:val="es-CO"/>
        </w:rPr>
        <w:t xml:space="preserve"> </w:t>
      </w:r>
      <w:r w:rsidR="004E665F">
        <w:rPr>
          <w:rFonts w:ascii="Arial" w:hAnsi="Arial" w:cs="Arial"/>
          <w:sz w:val="24"/>
          <w:szCs w:val="24"/>
          <w:lang w:val="es-CO"/>
        </w:rPr>
        <w:t xml:space="preserve"> emplazamientos para las personas determinadas</w:t>
      </w:r>
      <w:r w:rsidR="004C1DD1">
        <w:rPr>
          <w:rFonts w:ascii="Arial" w:hAnsi="Arial" w:cs="Arial"/>
          <w:sz w:val="24"/>
          <w:szCs w:val="24"/>
          <w:lang w:val="es-CO"/>
        </w:rPr>
        <w:t xml:space="preserve"> e indeterminadas, entre otros ordenamientos</w:t>
      </w:r>
      <w:r w:rsidR="004E665F">
        <w:rPr>
          <w:rFonts w:ascii="Arial" w:hAnsi="Arial" w:cs="Arial"/>
          <w:sz w:val="24"/>
          <w:szCs w:val="24"/>
          <w:lang w:val="es-CO"/>
        </w:rPr>
        <w:t xml:space="preserve"> </w:t>
      </w:r>
      <w:r w:rsidRPr="006A0477">
        <w:rPr>
          <w:rFonts w:ascii="Arial" w:hAnsi="Arial" w:cs="Arial"/>
          <w:sz w:val="24"/>
          <w:szCs w:val="24"/>
          <w:lang w:val="es-CO"/>
        </w:rPr>
        <w:t xml:space="preserve">(Folio </w:t>
      </w:r>
      <w:r>
        <w:rPr>
          <w:rFonts w:ascii="Arial" w:hAnsi="Arial" w:cs="Arial"/>
          <w:sz w:val="24"/>
          <w:szCs w:val="24"/>
          <w:lang w:val="es-CO"/>
        </w:rPr>
        <w:t>60</w:t>
      </w:r>
      <w:r w:rsidRPr="006A0477">
        <w:rPr>
          <w:rFonts w:ascii="Arial" w:hAnsi="Arial" w:cs="Arial"/>
          <w:sz w:val="24"/>
          <w:szCs w:val="24"/>
          <w:lang w:val="es-CO"/>
        </w:rPr>
        <w:t xml:space="preserve">, cuaderno No.1). </w:t>
      </w:r>
      <w:r w:rsidR="004E665F">
        <w:rPr>
          <w:rFonts w:ascii="Arial" w:hAnsi="Arial" w:cs="Arial"/>
          <w:sz w:val="24"/>
          <w:szCs w:val="24"/>
          <w:lang w:val="es-CO"/>
        </w:rPr>
        <w:t xml:space="preserve">Procuradas </w:t>
      </w:r>
      <w:r>
        <w:rPr>
          <w:rFonts w:ascii="Arial" w:hAnsi="Arial" w:cs="Arial"/>
          <w:sz w:val="24"/>
          <w:szCs w:val="24"/>
          <w:lang w:val="es-CO"/>
        </w:rPr>
        <w:t xml:space="preserve">las publicaciones de rigor </w:t>
      </w:r>
      <w:r w:rsidRPr="006A0477">
        <w:rPr>
          <w:rFonts w:ascii="Arial" w:hAnsi="Arial" w:cs="Arial"/>
          <w:sz w:val="24"/>
          <w:szCs w:val="24"/>
          <w:lang w:val="es-CO"/>
        </w:rPr>
        <w:t xml:space="preserve">para </w:t>
      </w:r>
      <w:r w:rsidR="004C1DD1">
        <w:rPr>
          <w:rFonts w:ascii="Arial" w:hAnsi="Arial" w:cs="Arial"/>
          <w:sz w:val="24"/>
          <w:szCs w:val="24"/>
          <w:lang w:val="es-CO"/>
        </w:rPr>
        <w:t>eso</w:t>
      </w:r>
      <w:r w:rsidR="004E665F">
        <w:rPr>
          <w:rFonts w:ascii="Arial" w:hAnsi="Arial" w:cs="Arial"/>
          <w:sz w:val="24"/>
          <w:szCs w:val="24"/>
          <w:lang w:val="es-CO"/>
        </w:rPr>
        <w:t xml:space="preserve">s </w:t>
      </w:r>
      <w:r>
        <w:rPr>
          <w:rFonts w:ascii="Arial" w:hAnsi="Arial" w:cs="Arial"/>
          <w:sz w:val="24"/>
          <w:szCs w:val="24"/>
          <w:lang w:val="es-CO"/>
        </w:rPr>
        <w:t>emplaza</w:t>
      </w:r>
      <w:r w:rsidR="004E665F">
        <w:rPr>
          <w:rFonts w:ascii="Arial" w:hAnsi="Arial" w:cs="Arial"/>
          <w:sz w:val="24"/>
          <w:szCs w:val="24"/>
          <w:lang w:val="es-CO"/>
        </w:rPr>
        <w:t>mientos,</w:t>
      </w:r>
      <w:r>
        <w:rPr>
          <w:rFonts w:ascii="Arial" w:hAnsi="Arial" w:cs="Arial"/>
          <w:sz w:val="24"/>
          <w:szCs w:val="24"/>
          <w:lang w:val="es-CO"/>
        </w:rPr>
        <w:t xml:space="preserve"> </w:t>
      </w:r>
      <w:r w:rsidR="00116494" w:rsidRPr="006A0477">
        <w:rPr>
          <w:rFonts w:ascii="Arial" w:hAnsi="Arial" w:cs="Arial"/>
          <w:sz w:val="24"/>
          <w:szCs w:val="24"/>
          <w:lang w:val="es-CO"/>
        </w:rPr>
        <w:t xml:space="preserve">en </w:t>
      </w:r>
      <w:r w:rsidR="00116494">
        <w:rPr>
          <w:rFonts w:ascii="Arial" w:hAnsi="Arial" w:cs="Arial"/>
          <w:sz w:val="24"/>
          <w:szCs w:val="24"/>
          <w:lang w:val="es-CO"/>
        </w:rPr>
        <w:t xml:space="preserve">los respectivos momentos, </w:t>
      </w:r>
      <w:r>
        <w:rPr>
          <w:rFonts w:ascii="Arial" w:hAnsi="Arial" w:cs="Arial"/>
          <w:sz w:val="24"/>
          <w:szCs w:val="24"/>
          <w:lang w:val="es-CO"/>
        </w:rPr>
        <w:t xml:space="preserve">nombró curador </w:t>
      </w:r>
      <w:r w:rsidRPr="006A0477">
        <w:rPr>
          <w:rFonts w:ascii="Arial" w:hAnsi="Arial" w:cs="Arial"/>
          <w:i/>
          <w:sz w:val="24"/>
          <w:szCs w:val="24"/>
          <w:lang w:val="es-CO"/>
        </w:rPr>
        <w:t xml:space="preserve">ad </w:t>
      </w:r>
      <w:proofErr w:type="spellStart"/>
      <w:r w:rsidRPr="006A0477">
        <w:rPr>
          <w:rFonts w:ascii="Arial" w:hAnsi="Arial" w:cs="Arial"/>
          <w:i/>
          <w:sz w:val="24"/>
          <w:szCs w:val="24"/>
          <w:lang w:val="es-CO"/>
        </w:rPr>
        <w:t>litem</w:t>
      </w:r>
      <w:proofErr w:type="spellEnd"/>
      <w:r w:rsidRPr="006A0477">
        <w:rPr>
          <w:rFonts w:ascii="Arial" w:hAnsi="Arial" w:cs="Arial"/>
          <w:sz w:val="24"/>
          <w:szCs w:val="24"/>
          <w:lang w:val="es-CO"/>
        </w:rPr>
        <w:t xml:space="preserve"> (Folio</w:t>
      </w:r>
      <w:r w:rsidR="004E665F">
        <w:rPr>
          <w:rFonts w:ascii="Arial" w:hAnsi="Arial" w:cs="Arial"/>
          <w:sz w:val="24"/>
          <w:szCs w:val="24"/>
          <w:lang w:val="es-CO"/>
        </w:rPr>
        <w:t>s</w:t>
      </w:r>
      <w:r w:rsidRPr="006A0477">
        <w:rPr>
          <w:rFonts w:ascii="Arial" w:hAnsi="Arial" w:cs="Arial"/>
          <w:sz w:val="24"/>
          <w:szCs w:val="24"/>
          <w:lang w:val="es-CO"/>
        </w:rPr>
        <w:t xml:space="preserve"> </w:t>
      </w:r>
      <w:r>
        <w:rPr>
          <w:rFonts w:ascii="Arial" w:hAnsi="Arial" w:cs="Arial"/>
          <w:sz w:val="24"/>
          <w:szCs w:val="24"/>
          <w:lang w:val="es-CO"/>
        </w:rPr>
        <w:t>73</w:t>
      </w:r>
      <w:r w:rsidR="004E665F">
        <w:rPr>
          <w:rFonts w:ascii="Arial" w:hAnsi="Arial" w:cs="Arial"/>
          <w:sz w:val="24"/>
          <w:szCs w:val="24"/>
          <w:lang w:val="es-CO"/>
        </w:rPr>
        <w:t xml:space="preserve"> y 82</w:t>
      </w:r>
      <w:r w:rsidRPr="006A0477">
        <w:rPr>
          <w:rFonts w:ascii="Arial" w:hAnsi="Arial" w:cs="Arial"/>
          <w:sz w:val="24"/>
          <w:szCs w:val="24"/>
          <w:lang w:val="es-CO"/>
        </w:rPr>
        <w:t xml:space="preserve">, </w:t>
      </w:r>
      <w:r w:rsidR="004E665F" w:rsidRPr="006A0477">
        <w:rPr>
          <w:rFonts w:ascii="Arial" w:hAnsi="Arial" w:cs="Arial"/>
          <w:sz w:val="24"/>
          <w:szCs w:val="24"/>
          <w:lang w:val="es-CO"/>
        </w:rPr>
        <w:t>cuaderno No.1</w:t>
      </w:r>
      <w:r w:rsidRPr="006A0477">
        <w:rPr>
          <w:rFonts w:ascii="Arial" w:hAnsi="Arial" w:cs="Arial"/>
          <w:sz w:val="24"/>
          <w:szCs w:val="24"/>
          <w:lang w:val="es-CO"/>
        </w:rPr>
        <w:t xml:space="preserve">). </w:t>
      </w:r>
      <w:r w:rsidR="004E665F" w:rsidRPr="006A0477">
        <w:rPr>
          <w:rFonts w:ascii="Arial" w:hAnsi="Arial" w:cs="Arial"/>
          <w:sz w:val="24"/>
          <w:szCs w:val="24"/>
          <w:lang w:val="es-CO"/>
        </w:rPr>
        <w:t xml:space="preserve">El </w:t>
      </w:r>
      <w:r w:rsidRPr="006A0477">
        <w:rPr>
          <w:rFonts w:ascii="Arial" w:hAnsi="Arial" w:cs="Arial"/>
          <w:sz w:val="24"/>
          <w:szCs w:val="24"/>
          <w:lang w:val="es-CO"/>
        </w:rPr>
        <w:t xml:space="preserve">día </w:t>
      </w:r>
      <w:r w:rsidR="004E665F">
        <w:rPr>
          <w:rFonts w:ascii="Arial" w:hAnsi="Arial" w:cs="Arial"/>
          <w:sz w:val="24"/>
          <w:szCs w:val="24"/>
          <w:lang w:val="es-CO"/>
        </w:rPr>
        <w:t>22-07-2008 (Sic)</w:t>
      </w:r>
      <w:r w:rsidRPr="006A0477">
        <w:rPr>
          <w:rFonts w:ascii="Arial" w:hAnsi="Arial" w:cs="Arial"/>
          <w:sz w:val="24"/>
          <w:szCs w:val="24"/>
          <w:lang w:val="es-CO"/>
        </w:rPr>
        <w:t xml:space="preserve"> se </w:t>
      </w:r>
      <w:r>
        <w:rPr>
          <w:rFonts w:ascii="Arial" w:hAnsi="Arial" w:cs="Arial"/>
          <w:sz w:val="24"/>
          <w:szCs w:val="24"/>
          <w:lang w:val="es-CO"/>
        </w:rPr>
        <w:t>decreta</w:t>
      </w:r>
      <w:r w:rsidR="004C1DD1">
        <w:rPr>
          <w:rFonts w:ascii="Arial" w:hAnsi="Arial" w:cs="Arial"/>
          <w:sz w:val="24"/>
          <w:szCs w:val="24"/>
          <w:lang w:val="es-CO"/>
        </w:rPr>
        <w:t xml:space="preserve">ron </w:t>
      </w:r>
      <w:r>
        <w:rPr>
          <w:rFonts w:ascii="Arial" w:hAnsi="Arial" w:cs="Arial"/>
          <w:sz w:val="24"/>
          <w:szCs w:val="24"/>
          <w:lang w:val="es-CO"/>
        </w:rPr>
        <w:t xml:space="preserve">las pruebas del proceso </w:t>
      </w:r>
      <w:r w:rsidRPr="006A0477">
        <w:rPr>
          <w:rFonts w:ascii="Arial" w:hAnsi="Arial" w:cs="Arial"/>
          <w:sz w:val="24"/>
          <w:szCs w:val="24"/>
          <w:lang w:val="es-CO"/>
        </w:rPr>
        <w:t xml:space="preserve">(Folio </w:t>
      </w:r>
      <w:r w:rsidR="004E665F">
        <w:rPr>
          <w:rFonts w:ascii="Arial" w:hAnsi="Arial" w:cs="Arial"/>
          <w:sz w:val="24"/>
          <w:szCs w:val="24"/>
          <w:lang w:val="es-CO"/>
        </w:rPr>
        <w:t>89 a 90</w:t>
      </w:r>
      <w:r w:rsidRPr="006A0477">
        <w:rPr>
          <w:rFonts w:ascii="Arial" w:hAnsi="Arial" w:cs="Arial"/>
          <w:sz w:val="24"/>
          <w:szCs w:val="24"/>
          <w:lang w:val="es-CO"/>
        </w:rPr>
        <w:t xml:space="preserve">, </w:t>
      </w:r>
      <w:r w:rsidR="00C140FE">
        <w:rPr>
          <w:rFonts w:ascii="Arial" w:hAnsi="Arial" w:cs="Arial"/>
          <w:sz w:val="24"/>
          <w:szCs w:val="24"/>
          <w:lang w:val="es-CO"/>
        </w:rPr>
        <w:t>ídem</w:t>
      </w:r>
      <w:r w:rsidRPr="006A0477">
        <w:rPr>
          <w:rFonts w:ascii="Arial" w:hAnsi="Arial" w:cs="Arial"/>
          <w:sz w:val="24"/>
          <w:szCs w:val="24"/>
          <w:lang w:val="es-CO"/>
        </w:rPr>
        <w:t>)</w:t>
      </w:r>
      <w:r w:rsidR="004E665F">
        <w:rPr>
          <w:rFonts w:ascii="Arial" w:hAnsi="Arial" w:cs="Arial"/>
          <w:sz w:val="24"/>
          <w:szCs w:val="24"/>
          <w:lang w:val="es-CO"/>
        </w:rPr>
        <w:t xml:space="preserve"> y v</w:t>
      </w:r>
      <w:r w:rsidRPr="006A0477">
        <w:rPr>
          <w:rFonts w:ascii="Arial" w:hAnsi="Arial" w:cs="Arial"/>
          <w:sz w:val="24"/>
          <w:szCs w:val="24"/>
          <w:lang w:val="es-CO"/>
        </w:rPr>
        <w:t xml:space="preserve">encida la fase </w:t>
      </w:r>
      <w:r>
        <w:rPr>
          <w:rFonts w:ascii="Arial" w:hAnsi="Arial" w:cs="Arial"/>
          <w:sz w:val="24"/>
          <w:szCs w:val="24"/>
          <w:lang w:val="es-CO"/>
        </w:rPr>
        <w:t>probatoria</w:t>
      </w:r>
      <w:r w:rsidRPr="006A0477">
        <w:rPr>
          <w:rFonts w:ascii="Arial" w:hAnsi="Arial" w:cs="Arial"/>
          <w:sz w:val="24"/>
          <w:szCs w:val="24"/>
          <w:lang w:val="es-CO"/>
        </w:rPr>
        <w:t xml:space="preserve">, se corrió traslado para alegaciones finales con auto </w:t>
      </w:r>
      <w:r>
        <w:rPr>
          <w:rFonts w:ascii="Arial" w:hAnsi="Arial" w:cs="Arial"/>
          <w:sz w:val="24"/>
          <w:szCs w:val="24"/>
          <w:lang w:val="es-CO"/>
        </w:rPr>
        <w:t xml:space="preserve">adiado el </w:t>
      </w:r>
      <w:r w:rsidR="004E665F">
        <w:rPr>
          <w:rFonts w:ascii="Arial" w:hAnsi="Arial" w:cs="Arial"/>
          <w:sz w:val="24"/>
          <w:szCs w:val="24"/>
          <w:lang w:val="es-CO"/>
        </w:rPr>
        <w:t>26-01-2010</w:t>
      </w:r>
      <w:r w:rsidRPr="006A0477">
        <w:rPr>
          <w:rFonts w:ascii="Arial" w:hAnsi="Arial" w:cs="Arial"/>
          <w:sz w:val="24"/>
          <w:szCs w:val="24"/>
          <w:lang w:val="es-CO"/>
        </w:rPr>
        <w:t xml:space="preserve"> </w:t>
      </w:r>
      <w:r w:rsidR="004C1DD1">
        <w:rPr>
          <w:rFonts w:ascii="Arial" w:hAnsi="Arial" w:cs="Arial"/>
          <w:sz w:val="24"/>
          <w:szCs w:val="24"/>
          <w:lang w:val="es-CO"/>
        </w:rPr>
        <w:t>(</w:t>
      </w:r>
      <w:r w:rsidRPr="006A0477">
        <w:rPr>
          <w:rFonts w:ascii="Arial" w:hAnsi="Arial" w:cs="Arial"/>
          <w:sz w:val="24"/>
          <w:szCs w:val="24"/>
          <w:lang w:val="es-CO"/>
        </w:rPr>
        <w:t xml:space="preserve">Folio </w:t>
      </w:r>
      <w:r w:rsidR="00C140FE">
        <w:rPr>
          <w:rFonts w:ascii="Arial" w:hAnsi="Arial" w:cs="Arial"/>
          <w:sz w:val="24"/>
          <w:szCs w:val="24"/>
          <w:lang w:val="es-CO"/>
        </w:rPr>
        <w:t>104</w:t>
      </w:r>
      <w:r w:rsidRPr="006A0477">
        <w:rPr>
          <w:rFonts w:ascii="Arial" w:hAnsi="Arial" w:cs="Arial"/>
          <w:sz w:val="24"/>
          <w:szCs w:val="24"/>
          <w:lang w:val="es-CO"/>
        </w:rPr>
        <w:t xml:space="preserve">, </w:t>
      </w:r>
      <w:r w:rsidR="00C140FE">
        <w:rPr>
          <w:rFonts w:ascii="Arial" w:hAnsi="Arial" w:cs="Arial"/>
          <w:sz w:val="24"/>
          <w:szCs w:val="24"/>
          <w:lang w:val="es-CO"/>
        </w:rPr>
        <w:t>ídem</w:t>
      </w:r>
      <w:r w:rsidRPr="006A0477">
        <w:rPr>
          <w:rFonts w:ascii="Arial" w:hAnsi="Arial" w:cs="Arial"/>
          <w:sz w:val="24"/>
          <w:szCs w:val="24"/>
          <w:lang w:val="es-CO"/>
        </w:rPr>
        <w:t xml:space="preserve">). </w:t>
      </w:r>
    </w:p>
    <w:p w:rsidR="00C140FE" w:rsidRDefault="00C140FE" w:rsidP="00ED2DDA">
      <w:pPr>
        <w:spacing w:line="360" w:lineRule="auto"/>
        <w:jc w:val="both"/>
        <w:rPr>
          <w:rFonts w:ascii="Arial" w:hAnsi="Arial" w:cs="Arial"/>
          <w:sz w:val="24"/>
          <w:szCs w:val="24"/>
          <w:lang w:val="es-CO"/>
        </w:rPr>
      </w:pPr>
    </w:p>
    <w:p w:rsidR="00955CD5" w:rsidRDefault="00C140FE" w:rsidP="00ED2DDA">
      <w:pPr>
        <w:spacing w:line="360" w:lineRule="auto"/>
        <w:jc w:val="both"/>
        <w:rPr>
          <w:rFonts w:ascii="Arial" w:hAnsi="Arial" w:cs="Arial"/>
          <w:sz w:val="24"/>
          <w:szCs w:val="24"/>
          <w:lang w:val="es-CO"/>
        </w:rPr>
      </w:pPr>
      <w:r>
        <w:rPr>
          <w:rFonts w:ascii="Arial" w:hAnsi="Arial" w:cs="Arial"/>
          <w:sz w:val="24"/>
          <w:szCs w:val="24"/>
          <w:lang w:val="es-CO"/>
        </w:rPr>
        <w:t>Encontrándose el proceso a despacho para sentencia, el juzgado advirtió una irregularidad</w:t>
      </w:r>
      <w:r w:rsidR="00901630">
        <w:rPr>
          <w:rFonts w:ascii="Arial" w:hAnsi="Arial" w:cs="Arial"/>
          <w:sz w:val="24"/>
          <w:szCs w:val="24"/>
          <w:lang w:val="es-CO"/>
        </w:rPr>
        <w:t>,</w:t>
      </w:r>
      <w:r w:rsidR="008020F8">
        <w:rPr>
          <w:rFonts w:ascii="Arial" w:hAnsi="Arial" w:cs="Arial"/>
          <w:sz w:val="24"/>
          <w:szCs w:val="24"/>
          <w:lang w:val="es-CO"/>
        </w:rPr>
        <w:t xml:space="preserve"> p</w:t>
      </w:r>
      <w:r w:rsidR="00116494">
        <w:rPr>
          <w:rFonts w:ascii="Arial" w:hAnsi="Arial" w:cs="Arial"/>
          <w:sz w:val="24"/>
          <w:szCs w:val="24"/>
          <w:lang w:val="es-CO"/>
        </w:rPr>
        <w:t xml:space="preserve">orque </w:t>
      </w:r>
      <w:r w:rsidR="00C63C8D">
        <w:rPr>
          <w:rFonts w:ascii="Arial" w:hAnsi="Arial" w:cs="Arial"/>
          <w:sz w:val="24"/>
          <w:szCs w:val="24"/>
          <w:lang w:val="es-CO"/>
        </w:rPr>
        <w:t>e</w:t>
      </w:r>
      <w:r>
        <w:rPr>
          <w:rFonts w:ascii="Arial" w:hAnsi="Arial" w:cs="Arial"/>
          <w:sz w:val="24"/>
          <w:szCs w:val="24"/>
          <w:lang w:val="es-CO"/>
        </w:rPr>
        <w:t xml:space="preserve">l </w:t>
      </w:r>
      <w:r w:rsidR="00C63C8D">
        <w:rPr>
          <w:rFonts w:ascii="Arial" w:hAnsi="Arial" w:cs="Arial"/>
          <w:sz w:val="24"/>
          <w:szCs w:val="24"/>
          <w:lang w:val="es-CO"/>
        </w:rPr>
        <w:t xml:space="preserve">libelo </w:t>
      </w:r>
      <w:r>
        <w:rPr>
          <w:rFonts w:ascii="Arial" w:hAnsi="Arial" w:cs="Arial"/>
          <w:sz w:val="24"/>
          <w:szCs w:val="24"/>
          <w:lang w:val="es-CO"/>
        </w:rPr>
        <w:t>no había sido dirigid</w:t>
      </w:r>
      <w:r w:rsidR="00C63C8D">
        <w:rPr>
          <w:rFonts w:ascii="Arial" w:hAnsi="Arial" w:cs="Arial"/>
          <w:sz w:val="24"/>
          <w:szCs w:val="24"/>
          <w:lang w:val="es-CO"/>
        </w:rPr>
        <w:t>o</w:t>
      </w:r>
      <w:r>
        <w:rPr>
          <w:rFonts w:ascii="Arial" w:hAnsi="Arial" w:cs="Arial"/>
          <w:sz w:val="24"/>
          <w:szCs w:val="24"/>
          <w:lang w:val="es-CO"/>
        </w:rPr>
        <w:t xml:space="preserve"> contra todos los titulares de derechos reales principales</w:t>
      </w:r>
      <w:r w:rsidR="00955CD5">
        <w:rPr>
          <w:rFonts w:ascii="Arial" w:hAnsi="Arial" w:cs="Arial"/>
          <w:sz w:val="24"/>
          <w:szCs w:val="24"/>
          <w:lang w:val="es-CO"/>
        </w:rPr>
        <w:t xml:space="preserve"> </w:t>
      </w:r>
      <w:r w:rsidR="0086018A">
        <w:rPr>
          <w:rFonts w:ascii="Arial" w:hAnsi="Arial" w:cs="Arial"/>
          <w:sz w:val="24"/>
          <w:szCs w:val="24"/>
          <w:lang w:val="es-CO"/>
        </w:rPr>
        <w:t>[</w:t>
      </w:r>
      <w:r w:rsidR="00116494">
        <w:rPr>
          <w:rFonts w:ascii="Arial" w:hAnsi="Arial" w:cs="Arial"/>
          <w:sz w:val="24"/>
          <w:szCs w:val="24"/>
          <w:lang w:val="es-CO"/>
        </w:rPr>
        <w:t xml:space="preserve">Faltaban </w:t>
      </w:r>
      <w:r w:rsidR="00955CD5">
        <w:rPr>
          <w:rFonts w:ascii="Arial" w:hAnsi="Arial" w:cs="Arial"/>
          <w:sz w:val="24"/>
          <w:szCs w:val="24"/>
          <w:lang w:val="es-CO"/>
        </w:rPr>
        <w:t>Lucía</w:t>
      </w:r>
      <w:r w:rsidR="0086018A">
        <w:rPr>
          <w:rFonts w:ascii="Arial" w:hAnsi="Arial" w:cs="Arial"/>
          <w:sz w:val="24"/>
          <w:szCs w:val="24"/>
          <w:lang w:val="es-CO"/>
        </w:rPr>
        <w:t xml:space="preserve"> (Sic)</w:t>
      </w:r>
      <w:r w:rsidR="00955CD5">
        <w:rPr>
          <w:rFonts w:ascii="Arial" w:hAnsi="Arial" w:cs="Arial"/>
          <w:sz w:val="24"/>
          <w:szCs w:val="24"/>
          <w:lang w:val="es-CO"/>
        </w:rPr>
        <w:t xml:space="preserve"> Morales de Giraldo y Guillermo Morales </w:t>
      </w:r>
      <w:r w:rsidR="00955CD5">
        <w:rPr>
          <w:rFonts w:ascii="Arial" w:hAnsi="Arial" w:cs="Arial"/>
          <w:sz w:val="24"/>
          <w:szCs w:val="24"/>
          <w:lang w:val="es-CO"/>
        </w:rPr>
        <w:lastRenderedPageBreak/>
        <w:t>Figueroa</w:t>
      </w:r>
      <w:r w:rsidR="0086018A">
        <w:rPr>
          <w:rFonts w:ascii="Arial" w:hAnsi="Arial" w:cs="Arial"/>
          <w:sz w:val="24"/>
          <w:szCs w:val="24"/>
          <w:lang w:val="es-CO"/>
        </w:rPr>
        <w:t>]</w:t>
      </w:r>
      <w:r>
        <w:rPr>
          <w:rFonts w:ascii="Arial" w:hAnsi="Arial" w:cs="Arial"/>
          <w:sz w:val="24"/>
          <w:szCs w:val="24"/>
          <w:lang w:val="es-CO"/>
        </w:rPr>
        <w:t>, por lo que con auto fechado 31-05-2010 corrió traslado (Folio 119, ib.)</w:t>
      </w:r>
      <w:r w:rsidR="00C63C8D">
        <w:rPr>
          <w:rFonts w:ascii="Arial" w:hAnsi="Arial" w:cs="Arial"/>
          <w:sz w:val="24"/>
          <w:szCs w:val="24"/>
          <w:lang w:val="es-CO"/>
        </w:rPr>
        <w:t xml:space="preserve"> y con proveído </w:t>
      </w:r>
      <w:r>
        <w:rPr>
          <w:rFonts w:ascii="Arial" w:hAnsi="Arial" w:cs="Arial"/>
          <w:sz w:val="24"/>
          <w:szCs w:val="24"/>
          <w:lang w:val="es-CO"/>
        </w:rPr>
        <w:t xml:space="preserve">del día 25-06-2010 </w:t>
      </w:r>
      <w:r w:rsidR="00C63C8D">
        <w:rPr>
          <w:rFonts w:ascii="Arial" w:hAnsi="Arial" w:cs="Arial"/>
          <w:sz w:val="24"/>
          <w:szCs w:val="24"/>
          <w:lang w:val="es-CO"/>
        </w:rPr>
        <w:t xml:space="preserve">declaró la nulidad y se ordenó corregir la demanda (Folios 134 a 140, ib.). </w:t>
      </w:r>
      <w:r w:rsidR="00CA2355">
        <w:rPr>
          <w:rFonts w:ascii="Arial" w:hAnsi="Arial" w:cs="Arial"/>
          <w:sz w:val="24"/>
          <w:szCs w:val="24"/>
          <w:lang w:val="es-CO"/>
        </w:rPr>
        <w:t xml:space="preserve">El 12-07-2010 se </w:t>
      </w:r>
      <w:r w:rsidR="00955CD5">
        <w:rPr>
          <w:rFonts w:ascii="Arial" w:hAnsi="Arial" w:cs="Arial"/>
          <w:sz w:val="24"/>
          <w:szCs w:val="24"/>
          <w:lang w:val="es-CO"/>
        </w:rPr>
        <w:t>admi</w:t>
      </w:r>
      <w:r w:rsidR="00CA2355">
        <w:rPr>
          <w:rFonts w:ascii="Arial" w:hAnsi="Arial" w:cs="Arial"/>
          <w:sz w:val="24"/>
          <w:szCs w:val="24"/>
          <w:lang w:val="es-CO"/>
        </w:rPr>
        <w:t xml:space="preserve">tió </w:t>
      </w:r>
      <w:r w:rsidR="00955CD5">
        <w:rPr>
          <w:rFonts w:ascii="Arial" w:hAnsi="Arial" w:cs="Arial"/>
          <w:sz w:val="24"/>
          <w:szCs w:val="24"/>
          <w:lang w:val="es-CO"/>
        </w:rPr>
        <w:t xml:space="preserve">la </w:t>
      </w:r>
      <w:r w:rsidR="00304E86">
        <w:rPr>
          <w:rFonts w:ascii="Arial" w:hAnsi="Arial" w:cs="Arial"/>
          <w:sz w:val="24"/>
          <w:szCs w:val="24"/>
          <w:lang w:val="es-CO"/>
        </w:rPr>
        <w:t xml:space="preserve">acción </w:t>
      </w:r>
      <w:r w:rsidR="00955CD5">
        <w:rPr>
          <w:rFonts w:ascii="Arial" w:hAnsi="Arial" w:cs="Arial"/>
          <w:sz w:val="24"/>
          <w:szCs w:val="24"/>
          <w:lang w:val="es-CO"/>
        </w:rPr>
        <w:t>contra los demandados omitidos</w:t>
      </w:r>
      <w:r w:rsidR="00F16A39">
        <w:rPr>
          <w:rFonts w:ascii="Arial" w:hAnsi="Arial" w:cs="Arial"/>
          <w:sz w:val="24"/>
          <w:szCs w:val="24"/>
          <w:lang w:val="es-CO"/>
        </w:rPr>
        <w:t>, ordenó emplazarlos</w:t>
      </w:r>
      <w:r w:rsidR="00955CD5">
        <w:rPr>
          <w:rFonts w:ascii="Arial" w:hAnsi="Arial" w:cs="Arial"/>
          <w:sz w:val="24"/>
          <w:szCs w:val="24"/>
          <w:lang w:val="es-CO"/>
        </w:rPr>
        <w:t xml:space="preserve"> y </w:t>
      </w:r>
      <w:r w:rsidR="00CA2355">
        <w:rPr>
          <w:rFonts w:ascii="Arial" w:hAnsi="Arial" w:cs="Arial"/>
          <w:sz w:val="24"/>
          <w:szCs w:val="24"/>
          <w:lang w:val="es-CO"/>
        </w:rPr>
        <w:t>revalidó</w:t>
      </w:r>
      <w:r w:rsidR="00955CD5">
        <w:rPr>
          <w:rFonts w:ascii="Arial" w:hAnsi="Arial" w:cs="Arial"/>
          <w:sz w:val="24"/>
          <w:szCs w:val="24"/>
          <w:lang w:val="es-CO"/>
        </w:rPr>
        <w:t xml:space="preserve"> lo actuado frente a los demás (Folios 149 a 151, ib.).</w:t>
      </w:r>
    </w:p>
    <w:p w:rsidR="00955CD5" w:rsidRDefault="00955CD5" w:rsidP="00ED2DDA">
      <w:pPr>
        <w:spacing w:line="360" w:lineRule="auto"/>
        <w:jc w:val="both"/>
        <w:rPr>
          <w:rFonts w:ascii="Arial" w:hAnsi="Arial" w:cs="Arial"/>
          <w:sz w:val="24"/>
          <w:szCs w:val="24"/>
          <w:lang w:val="es-CO"/>
        </w:rPr>
      </w:pPr>
    </w:p>
    <w:p w:rsidR="00955CD5" w:rsidRDefault="00ED2DDA" w:rsidP="00ED2DDA">
      <w:pPr>
        <w:spacing w:line="360" w:lineRule="auto"/>
        <w:jc w:val="both"/>
        <w:rPr>
          <w:rFonts w:ascii="Arial" w:hAnsi="Arial" w:cs="Arial"/>
          <w:sz w:val="24"/>
          <w:szCs w:val="24"/>
          <w:lang w:val="es-CO"/>
        </w:rPr>
      </w:pPr>
      <w:r>
        <w:rPr>
          <w:rFonts w:ascii="Arial" w:hAnsi="Arial" w:cs="Arial"/>
          <w:sz w:val="24"/>
          <w:szCs w:val="24"/>
          <w:lang w:val="es-CO"/>
        </w:rPr>
        <w:t>Luego</w:t>
      </w:r>
      <w:r w:rsidR="00F16A39">
        <w:rPr>
          <w:rFonts w:ascii="Arial" w:hAnsi="Arial" w:cs="Arial"/>
          <w:sz w:val="24"/>
          <w:szCs w:val="24"/>
          <w:lang w:val="es-CO"/>
        </w:rPr>
        <w:t>,</w:t>
      </w:r>
      <w:r w:rsidR="00C63C8D">
        <w:rPr>
          <w:rFonts w:ascii="Arial" w:hAnsi="Arial" w:cs="Arial"/>
          <w:sz w:val="24"/>
          <w:szCs w:val="24"/>
          <w:lang w:val="es-CO"/>
        </w:rPr>
        <w:t xml:space="preserve"> </w:t>
      </w:r>
      <w:r w:rsidR="00F34085">
        <w:rPr>
          <w:rFonts w:ascii="Arial" w:hAnsi="Arial" w:cs="Arial"/>
          <w:sz w:val="24"/>
          <w:szCs w:val="24"/>
          <w:lang w:val="es-CO"/>
        </w:rPr>
        <w:t xml:space="preserve">por </w:t>
      </w:r>
      <w:r w:rsidR="00955CD5">
        <w:rPr>
          <w:rFonts w:ascii="Arial" w:hAnsi="Arial" w:cs="Arial"/>
          <w:sz w:val="24"/>
          <w:szCs w:val="24"/>
          <w:lang w:val="es-CO"/>
        </w:rPr>
        <w:t>estar acreditado el fallecimiento</w:t>
      </w:r>
      <w:r w:rsidR="00901630">
        <w:rPr>
          <w:rFonts w:ascii="Arial" w:hAnsi="Arial" w:cs="Arial"/>
          <w:sz w:val="24"/>
          <w:szCs w:val="24"/>
          <w:lang w:val="es-CO"/>
        </w:rPr>
        <w:t>,</w:t>
      </w:r>
      <w:r w:rsidR="00955CD5">
        <w:rPr>
          <w:rFonts w:ascii="Arial" w:hAnsi="Arial" w:cs="Arial"/>
          <w:sz w:val="24"/>
          <w:szCs w:val="24"/>
          <w:lang w:val="es-CO"/>
        </w:rPr>
        <w:t xml:space="preserve"> de la demandada </w:t>
      </w:r>
      <w:r w:rsidR="00F34085">
        <w:rPr>
          <w:rFonts w:ascii="Arial" w:hAnsi="Arial" w:cs="Arial"/>
          <w:sz w:val="24"/>
          <w:szCs w:val="24"/>
          <w:lang w:val="es-CO"/>
        </w:rPr>
        <w:t xml:space="preserve">Sara </w:t>
      </w:r>
      <w:r w:rsidR="00955CD5">
        <w:rPr>
          <w:rFonts w:ascii="Arial" w:hAnsi="Arial" w:cs="Arial"/>
          <w:sz w:val="24"/>
          <w:szCs w:val="24"/>
          <w:lang w:val="es-CO"/>
        </w:rPr>
        <w:t xml:space="preserve">Morales de Ríos, </w:t>
      </w:r>
      <w:r w:rsidR="00CA2355">
        <w:rPr>
          <w:rFonts w:ascii="Arial" w:hAnsi="Arial" w:cs="Arial"/>
          <w:sz w:val="24"/>
          <w:szCs w:val="24"/>
          <w:lang w:val="es-CO"/>
        </w:rPr>
        <w:t xml:space="preserve">que lo fue </w:t>
      </w:r>
      <w:r w:rsidR="00955CD5">
        <w:rPr>
          <w:rFonts w:ascii="Arial" w:hAnsi="Arial" w:cs="Arial"/>
          <w:sz w:val="24"/>
          <w:szCs w:val="24"/>
          <w:lang w:val="es-CO"/>
        </w:rPr>
        <w:t>antes de iniciar el proceso</w:t>
      </w:r>
      <w:r w:rsidR="00F16A39">
        <w:rPr>
          <w:rFonts w:ascii="Arial" w:hAnsi="Arial" w:cs="Arial"/>
          <w:sz w:val="24"/>
          <w:szCs w:val="24"/>
          <w:lang w:val="es-CO"/>
        </w:rPr>
        <w:t xml:space="preserve"> (23-06-1987, folio 156, ib.)</w:t>
      </w:r>
      <w:r w:rsidR="00955CD5">
        <w:rPr>
          <w:rFonts w:ascii="Arial" w:hAnsi="Arial" w:cs="Arial"/>
          <w:sz w:val="24"/>
          <w:szCs w:val="24"/>
          <w:lang w:val="es-CO"/>
        </w:rPr>
        <w:t xml:space="preserve">, con auto del 26-08-2010 </w:t>
      </w:r>
      <w:r w:rsidR="00901630">
        <w:rPr>
          <w:rFonts w:ascii="Arial" w:hAnsi="Arial" w:cs="Arial"/>
          <w:sz w:val="24"/>
          <w:szCs w:val="24"/>
          <w:lang w:val="es-CO"/>
        </w:rPr>
        <w:t xml:space="preserve">se </w:t>
      </w:r>
      <w:r w:rsidR="00955CD5">
        <w:rPr>
          <w:rFonts w:ascii="Arial" w:hAnsi="Arial" w:cs="Arial"/>
          <w:sz w:val="24"/>
          <w:szCs w:val="24"/>
          <w:lang w:val="es-CO"/>
        </w:rPr>
        <w:t xml:space="preserve">ordenó el emplazamiento </w:t>
      </w:r>
      <w:r w:rsidR="006916DA" w:rsidRPr="006916DA">
        <w:rPr>
          <w:rFonts w:ascii="Arial" w:hAnsi="Arial" w:cs="Arial"/>
          <w:sz w:val="24"/>
          <w:szCs w:val="24"/>
          <w:u w:val="single"/>
          <w:lang w:val="es-CO"/>
        </w:rPr>
        <w:t>solo</w:t>
      </w:r>
      <w:r w:rsidR="006916DA">
        <w:rPr>
          <w:rFonts w:ascii="Arial" w:hAnsi="Arial" w:cs="Arial"/>
          <w:sz w:val="24"/>
          <w:szCs w:val="24"/>
          <w:lang w:val="es-CO"/>
        </w:rPr>
        <w:t xml:space="preserve"> </w:t>
      </w:r>
      <w:r w:rsidR="00955CD5">
        <w:rPr>
          <w:rFonts w:ascii="Arial" w:hAnsi="Arial" w:cs="Arial"/>
          <w:sz w:val="24"/>
          <w:szCs w:val="24"/>
          <w:lang w:val="es-CO"/>
        </w:rPr>
        <w:t xml:space="preserve">de sus herederos indeterminados (Folios 160 a 165, ib.) y al </w:t>
      </w:r>
      <w:r w:rsidR="00F16A39">
        <w:rPr>
          <w:rFonts w:ascii="Arial" w:hAnsi="Arial" w:cs="Arial"/>
          <w:sz w:val="24"/>
          <w:szCs w:val="24"/>
          <w:lang w:val="es-CO"/>
        </w:rPr>
        <w:t xml:space="preserve">señor </w:t>
      </w:r>
      <w:r w:rsidR="00F34085">
        <w:rPr>
          <w:rFonts w:ascii="Arial" w:hAnsi="Arial" w:cs="Arial"/>
          <w:sz w:val="24"/>
          <w:szCs w:val="24"/>
          <w:lang w:val="es-CO"/>
        </w:rPr>
        <w:t xml:space="preserve">José Abad </w:t>
      </w:r>
      <w:r w:rsidR="00F16A39">
        <w:rPr>
          <w:rFonts w:ascii="Arial" w:hAnsi="Arial" w:cs="Arial"/>
          <w:sz w:val="24"/>
          <w:szCs w:val="24"/>
          <w:lang w:val="es-CO"/>
        </w:rPr>
        <w:t>Ríos Morales</w:t>
      </w:r>
      <w:r w:rsidR="00F34085">
        <w:rPr>
          <w:rFonts w:ascii="Arial" w:hAnsi="Arial" w:cs="Arial"/>
          <w:sz w:val="24"/>
          <w:szCs w:val="24"/>
          <w:lang w:val="es-CO"/>
        </w:rPr>
        <w:t xml:space="preserve"> (Heredero conocido</w:t>
      </w:r>
      <w:r w:rsidR="00CA2355">
        <w:rPr>
          <w:rFonts w:ascii="Arial" w:hAnsi="Arial" w:cs="Arial"/>
          <w:sz w:val="24"/>
          <w:szCs w:val="24"/>
          <w:lang w:val="es-CO"/>
        </w:rPr>
        <w:t>,</w:t>
      </w:r>
      <w:r w:rsidR="00DE56F3">
        <w:rPr>
          <w:rFonts w:ascii="Arial" w:hAnsi="Arial" w:cs="Arial"/>
          <w:sz w:val="24"/>
          <w:szCs w:val="24"/>
          <w:lang w:val="es-CO"/>
        </w:rPr>
        <w:t xml:space="preserve"> según probó</w:t>
      </w:r>
      <w:r w:rsidR="00F34085">
        <w:rPr>
          <w:rFonts w:ascii="Arial" w:hAnsi="Arial" w:cs="Arial"/>
          <w:sz w:val="24"/>
          <w:szCs w:val="24"/>
          <w:lang w:val="es-CO"/>
        </w:rPr>
        <w:t>)</w:t>
      </w:r>
      <w:r w:rsidR="00955CD5">
        <w:rPr>
          <w:rFonts w:ascii="Arial" w:hAnsi="Arial" w:cs="Arial"/>
          <w:sz w:val="24"/>
          <w:szCs w:val="24"/>
          <w:lang w:val="es-CO"/>
        </w:rPr>
        <w:t>, se le tuvo notificado por conducta concluyente (Folio 166, ib.).</w:t>
      </w:r>
    </w:p>
    <w:p w:rsidR="00955CD5" w:rsidRDefault="00955CD5" w:rsidP="00ED2DDA">
      <w:pPr>
        <w:spacing w:line="360" w:lineRule="auto"/>
        <w:jc w:val="both"/>
        <w:rPr>
          <w:rFonts w:ascii="Arial" w:hAnsi="Arial" w:cs="Arial"/>
          <w:sz w:val="24"/>
          <w:szCs w:val="24"/>
          <w:lang w:val="es-CO"/>
        </w:rPr>
      </w:pPr>
    </w:p>
    <w:p w:rsidR="006916DA" w:rsidRDefault="00F16A39" w:rsidP="00ED2DDA">
      <w:pPr>
        <w:spacing w:line="360" w:lineRule="auto"/>
        <w:jc w:val="both"/>
        <w:rPr>
          <w:rFonts w:ascii="Arial" w:hAnsi="Arial" w:cs="Arial"/>
          <w:sz w:val="24"/>
          <w:szCs w:val="24"/>
          <w:lang w:val="es-CO"/>
        </w:rPr>
      </w:pPr>
      <w:r>
        <w:rPr>
          <w:rFonts w:ascii="Arial" w:hAnsi="Arial" w:cs="Arial"/>
          <w:sz w:val="24"/>
          <w:szCs w:val="24"/>
          <w:lang w:val="es-CO"/>
        </w:rPr>
        <w:t>Surtido el emplazamiento de los dos nuevos demandados</w:t>
      </w:r>
      <w:r w:rsidR="006916DA">
        <w:rPr>
          <w:rFonts w:ascii="Arial" w:hAnsi="Arial" w:cs="Arial"/>
          <w:sz w:val="24"/>
          <w:szCs w:val="24"/>
          <w:lang w:val="es-CO"/>
        </w:rPr>
        <w:t xml:space="preserve"> y de</w:t>
      </w:r>
      <w:r>
        <w:rPr>
          <w:rFonts w:ascii="Arial" w:hAnsi="Arial" w:cs="Arial"/>
          <w:sz w:val="24"/>
          <w:szCs w:val="24"/>
          <w:lang w:val="es-CO"/>
        </w:rPr>
        <w:t xml:space="preserve"> los </w:t>
      </w:r>
      <w:r w:rsidR="00166B47">
        <w:rPr>
          <w:rFonts w:ascii="Arial" w:hAnsi="Arial" w:cs="Arial"/>
          <w:sz w:val="24"/>
          <w:szCs w:val="24"/>
          <w:lang w:val="es-CO"/>
        </w:rPr>
        <w:t xml:space="preserve">mencionados herederos </w:t>
      </w:r>
      <w:r w:rsidR="00166B47" w:rsidRPr="00DE56F3">
        <w:rPr>
          <w:rFonts w:ascii="Arial" w:hAnsi="Arial" w:cs="Arial"/>
          <w:sz w:val="24"/>
          <w:szCs w:val="24"/>
          <w:u w:val="single"/>
          <w:lang w:val="es-CO"/>
        </w:rPr>
        <w:t>indeterminados</w:t>
      </w:r>
      <w:r w:rsidR="006916DA">
        <w:rPr>
          <w:rFonts w:ascii="Arial" w:hAnsi="Arial" w:cs="Arial"/>
          <w:sz w:val="24"/>
          <w:szCs w:val="24"/>
          <w:lang w:val="es-CO"/>
        </w:rPr>
        <w:t xml:space="preserve">, el día 03-05-2011 se les designó como curador </w:t>
      </w:r>
      <w:r w:rsidR="006916DA" w:rsidRPr="006A0477">
        <w:rPr>
          <w:rFonts w:ascii="Arial" w:hAnsi="Arial" w:cs="Arial"/>
          <w:i/>
          <w:sz w:val="24"/>
          <w:szCs w:val="24"/>
          <w:lang w:val="es-CO"/>
        </w:rPr>
        <w:t xml:space="preserve">ad </w:t>
      </w:r>
      <w:proofErr w:type="spellStart"/>
      <w:r w:rsidR="006916DA" w:rsidRPr="006A0477">
        <w:rPr>
          <w:rFonts w:ascii="Arial" w:hAnsi="Arial" w:cs="Arial"/>
          <w:i/>
          <w:sz w:val="24"/>
          <w:szCs w:val="24"/>
          <w:lang w:val="es-CO"/>
        </w:rPr>
        <w:t>litem</w:t>
      </w:r>
      <w:proofErr w:type="spellEnd"/>
      <w:r w:rsidR="006916DA">
        <w:rPr>
          <w:rFonts w:ascii="Arial" w:hAnsi="Arial" w:cs="Arial"/>
          <w:i/>
          <w:sz w:val="24"/>
          <w:szCs w:val="24"/>
          <w:lang w:val="es-CO"/>
        </w:rPr>
        <w:t xml:space="preserve"> </w:t>
      </w:r>
      <w:r w:rsidR="006916DA">
        <w:rPr>
          <w:rFonts w:ascii="Arial" w:hAnsi="Arial" w:cs="Arial"/>
          <w:sz w:val="24"/>
          <w:szCs w:val="24"/>
          <w:lang w:val="es-CO"/>
        </w:rPr>
        <w:t>a quien ya cumplía esa función en el asunto</w:t>
      </w:r>
      <w:r w:rsidR="00116494">
        <w:rPr>
          <w:rFonts w:ascii="Arial" w:hAnsi="Arial" w:cs="Arial"/>
          <w:sz w:val="24"/>
          <w:szCs w:val="24"/>
          <w:lang w:val="es-CO"/>
        </w:rPr>
        <w:t xml:space="preserve"> (No se notificó)</w:t>
      </w:r>
      <w:r w:rsidR="00991764">
        <w:rPr>
          <w:rFonts w:ascii="Arial" w:hAnsi="Arial" w:cs="Arial"/>
          <w:sz w:val="24"/>
          <w:szCs w:val="24"/>
          <w:lang w:val="es-CO"/>
        </w:rPr>
        <w:t xml:space="preserve"> y </w:t>
      </w:r>
      <w:r w:rsidR="006916DA">
        <w:rPr>
          <w:rFonts w:ascii="Arial" w:hAnsi="Arial" w:cs="Arial"/>
          <w:sz w:val="24"/>
          <w:szCs w:val="24"/>
          <w:lang w:val="es-CO"/>
        </w:rPr>
        <w:t>tambi</w:t>
      </w:r>
      <w:r w:rsidR="00991764">
        <w:rPr>
          <w:rFonts w:ascii="Arial" w:hAnsi="Arial" w:cs="Arial"/>
          <w:sz w:val="24"/>
          <w:szCs w:val="24"/>
          <w:lang w:val="es-CO"/>
        </w:rPr>
        <w:t>én</w:t>
      </w:r>
      <w:r w:rsidR="00DE56F3">
        <w:rPr>
          <w:rFonts w:ascii="Arial" w:hAnsi="Arial" w:cs="Arial"/>
          <w:sz w:val="24"/>
          <w:szCs w:val="24"/>
          <w:lang w:val="es-CO"/>
        </w:rPr>
        <w:t xml:space="preserve"> se </w:t>
      </w:r>
      <w:r w:rsidR="00991764">
        <w:rPr>
          <w:rFonts w:ascii="Arial" w:hAnsi="Arial" w:cs="Arial"/>
          <w:sz w:val="24"/>
          <w:szCs w:val="24"/>
          <w:lang w:val="es-CO"/>
        </w:rPr>
        <w:t xml:space="preserve">dispuso emplazar a las personas que se creyeran con derecho (Indeterminadas) pero con indicación en el edicto de que la demanda iba dirigida contra herederos </w:t>
      </w:r>
      <w:r w:rsidR="00991764" w:rsidRPr="00991764">
        <w:rPr>
          <w:rFonts w:ascii="Arial" w:hAnsi="Arial" w:cs="Arial"/>
          <w:sz w:val="24"/>
          <w:szCs w:val="24"/>
          <w:u w:val="single"/>
          <w:lang w:val="es-CO"/>
        </w:rPr>
        <w:t>determinados e indeterminados</w:t>
      </w:r>
      <w:r w:rsidR="00991764">
        <w:rPr>
          <w:rFonts w:ascii="Arial" w:hAnsi="Arial" w:cs="Arial"/>
          <w:sz w:val="24"/>
          <w:szCs w:val="24"/>
          <w:lang w:val="es-CO"/>
        </w:rPr>
        <w:t xml:space="preserve"> de Sara Rosa Morales de Ríos  (Folios 198 y 199, ib.). </w:t>
      </w:r>
    </w:p>
    <w:p w:rsidR="00551E20" w:rsidRDefault="00551E20" w:rsidP="00ED2DDA">
      <w:pPr>
        <w:spacing w:line="360" w:lineRule="auto"/>
        <w:jc w:val="both"/>
        <w:rPr>
          <w:rFonts w:ascii="Arial" w:hAnsi="Arial" w:cs="Arial"/>
          <w:sz w:val="24"/>
          <w:szCs w:val="24"/>
          <w:lang w:val="es-CO"/>
        </w:rPr>
      </w:pPr>
    </w:p>
    <w:p w:rsidR="00551E20" w:rsidRPr="006916DA" w:rsidRDefault="00551E20" w:rsidP="00ED2DDA">
      <w:pPr>
        <w:spacing w:line="360" w:lineRule="auto"/>
        <w:jc w:val="both"/>
        <w:rPr>
          <w:rFonts w:ascii="Arial" w:hAnsi="Arial" w:cs="Arial"/>
          <w:sz w:val="24"/>
          <w:szCs w:val="24"/>
          <w:lang w:val="es-CO"/>
        </w:rPr>
      </w:pPr>
      <w:r>
        <w:rPr>
          <w:rFonts w:ascii="Arial" w:hAnsi="Arial" w:cs="Arial"/>
          <w:sz w:val="24"/>
          <w:szCs w:val="24"/>
          <w:lang w:val="es-CO"/>
        </w:rPr>
        <w:t xml:space="preserve">Entretanto, </w:t>
      </w:r>
      <w:r w:rsidR="00F34085">
        <w:rPr>
          <w:rFonts w:ascii="Arial" w:hAnsi="Arial" w:cs="Arial"/>
          <w:sz w:val="24"/>
          <w:szCs w:val="24"/>
          <w:lang w:val="es-CO"/>
        </w:rPr>
        <w:t>compareció</w:t>
      </w:r>
      <w:r w:rsidR="0026164F">
        <w:rPr>
          <w:rFonts w:ascii="Arial" w:hAnsi="Arial" w:cs="Arial"/>
          <w:sz w:val="24"/>
          <w:szCs w:val="24"/>
          <w:lang w:val="es-CO"/>
        </w:rPr>
        <w:t xml:space="preserve"> </w:t>
      </w:r>
      <w:r w:rsidR="0034299F">
        <w:rPr>
          <w:rFonts w:ascii="Arial" w:hAnsi="Arial" w:cs="Arial"/>
          <w:sz w:val="24"/>
          <w:szCs w:val="24"/>
          <w:lang w:val="es-CO"/>
        </w:rPr>
        <w:t>Isabel Morales Figueroa</w:t>
      </w:r>
      <w:r w:rsidR="00F34085">
        <w:rPr>
          <w:rFonts w:ascii="Arial" w:hAnsi="Arial" w:cs="Arial"/>
          <w:sz w:val="24"/>
          <w:szCs w:val="24"/>
          <w:lang w:val="es-CO"/>
        </w:rPr>
        <w:t xml:space="preserve"> (Folio 180, ib.), demandada que ya había acudido</w:t>
      </w:r>
      <w:r w:rsidR="0026164F">
        <w:rPr>
          <w:rFonts w:ascii="Arial" w:hAnsi="Arial" w:cs="Arial"/>
          <w:sz w:val="24"/>
          <w:szCs w:val="24"/>
          <w:lang w:val="es-CO"/>
        </w:rPr>
        <w:t xml:space="preserve">, pero </w:t>
      </w:r>
      <w:r w:rsidR="00F34085">
        <w:rPr>
          <w:rFonts w:ascii="Arial" w:hAnsi="Arial" w:cs="Arial"/>
          <w:sz w:val="24"/>
          <w:szCs w:val="24"/>
          <w:lang w:val="es-CO"/>
        </w:rPr>
        <w:t xml:space="preserve">lo hizo </w:t>
      </w:r>
      <w:r w:rsidR="0026164F">
        <w:rPr>
          <w:rFonts w:ascii="Arial" w:hAnsi="Arial" w:cs="Arial"/>
          <w:sz w:val="24"/>
          <w:szCs w:val="24"/>
          <w:lang w:val="es-CO"/>
        </w:rPr>
        <w:t>en calidad de heredera de Gui</w:t>
      </w:r>
      <w:r w:rsidR="002952D6">
        <w:rPr>
          <w:rFonts w:ascii="Arial" w:hAnsi="Arial" w:cs="Arial"/>
          <w:sz w:val="24"/>
          <w:szCs w:val="24"/>
          <w:lang w:val="es-CO"/>
        </w:rPr>
        <w:t>llermo Morales Figueroa, de cuyo</w:t>
      </w:r>
      <w:r w:rsidR="0026164F">
        <w:rPr>
          <w:rFonts w:ascii="Arial" w:hAnsi="Arial" w:cs="Arial"/>
          <w:sz w:val="24"/>
          <w:szCs w:val="24"/>
          <w:lang w:val="es-CO"/>
        </w:rPr>
        <w:t xml:space="preserve"> deceso ocurrido el</w:t>
      </w:r>
      <w:r w:rsidR="00DE56F3">
        <w:rPr>
          <w:rFonts w:ascii="Arial" w:hAnsi="Arial" w:cs="Arial"/>
          <w:sz w:val="24"/>
          <w:szCs w:val="24"/>
          <w:lang w:val="es-CO"/>
        </w:rPr>
        <w:t xml:space="preserve"> día</w:t>
      </w:r>
      <w:r w:rsidR="0026164F">
        <w:rPr>
          <w:rFonts w:ascii="Arial" w:hAnsi="Arial" w:cs="Arial"/>
          <w:sz w:val="24"/>
          <w:szCs w:val="24"/>
          <w:lang w:val="es-CO"/>
        </w:rPr>
        <w:t xml:space="preserve"> 10-03-2009, aportó el registro civil de defunción</w:t>
      </w:r>
      <w:r w:rsidR="00DE56F3">
        <w:rPr>
          <w:rFonts w:ascii="Arial" w:hAnsi="Arial" w:cs="Arial"/>
          <w:sz w:val="24"/>
          <w:szCs w:val="24"/>
          <w:lang w:val="es-CO"/>
        </w:rPr>
        <w:t xml:space="preserve"> en </w:t>
      </w:r>
      <w:r w:rsidR="00DE56F3" w:rsidRPr="0026164F">
        <w:rPr>
          <w:rFonts w:ascii="Arial" w:hAnsi="Arial" w:cs="Arial"/>
          <w:sz w:val="24"/>
          <w:szCs w:val="24"/>
          <w:u w:val="single"/>
          <w:lang w:val="es-CO"/>
        </w:rPr>
        <w:t>copia simple</w:t>
      </w:r>
      <w:r w:rsidR="00DE56F3">
        <w:rPr>
          <w:rFonts w:ascii="Arial" w:hAnsi="Arial" w:cs="Arial"/>
          <w:sz w:val="24"/>
          <w:szCs w:val="24"/>
          <w:lang w:val="es-CO"/>
        </w:rPr>
        <w:t xml:space="preserve"> </w:t>
      </w:r>
      <w:r w:rsidR="0026164F">
        <w:rPr>
          <w:rFonts w:ascii="Arial" w:hAnsi="Arial" w:cs="Arial"/>
          <w:sz w:val="24"/>
          <w:szCs w:val="24"/>
          <w:lang w:val="es-CO"/>
        </w:rPr>
        <w:t>(Folio 182, ib.).</w:t>
      </w:r>
      <w:r w:rsidR="0034299F">
        <w:rPr>
          <w:rFonts w:ascii="Arial" w:hAnsi="Arial" w:cs="Arial"/>
          <w:sz w:val="24"/>
          <w:szCs w:val="24"/>
          <w:lang w:val="es-CO"/>
        </w:rPr>
        <w:t xml:space="preserve"> </w:t>
      </w:r>
      <w:r w:rsidR="00DE56F3">
        <w:rPr>
          <w:rFonts w:ascii="Arial" w:hAnsi="Arial" w:cs="Arial"/>
          <w:sz w:val="24"/>
          <w:szCs w:val="24"/>
          <w:lang w:val="es-CO"/>
        </w:rPr>
        <w:t xml:space="preserve">También </w:t>
      </w:r>
      <w:r w:rsidR="0034299F">
        <w:rPr>
          <w:rFonts w:ascii="Arial" w:hAnsi="Arial" w:cs="Arial"/>
          <w:sz w:val="24"/>
          <w:szCs w:val="24"/>
          <w:lang w:val="es-CO"/>
        </w:rPr>
        <w:t xml:space="preserve">se acreditó el fallecimiento de </w:t>
      </w:r>
      <w:r w:rsidR="0034299F" w:rsidRPr="0034299F">
        <w:rPr>
          <w:rFonts w:ascii="Arial" w:hAnsi="Arial" w:cs="Arial"/>
          <w:sz w:val="24"/>
          <w:szCs w:val="24"/>
          <w:u w:val="single"/>
          <w:lang w:val="es-CO"/>
        </w:rPr>
        <w:t>Lucy</w:t>
      </w:r>
      <w:r w:rsidR="0034299F">
        <w:rPr>
          <w:rFonts w:ascii="Arial" w:hAnsi="Arial" w:cs="Arial"/>
          <w:sz w:val="24"/>
          <w:szCs w:val="24"/>
          <w:lang w:val="es-CO"/>
        </w:rPr>
        <w:t xml:space="preserve"> </w:t>
      </w:r>
      <w:r w:rsidR="007F74BC">
        <w:rPr>
          <w:rFonts w:ascii="Arial" w:hAnsi="Arial" w:cs="Arial"/>
          <w:sz w:val="24"/>
          <w:szCs w:val="24"/>
          <w:lang w:val="es-CO"/>
        </w:rPr>
        <w:t xml:space="preserve">(Sic) </w:t>
      </w:r>
      <w:r w:rsidR="0034299F">
        <w:rPr>
          <w:rFonts w:ascii="Arial" w:hAnsi="Arial" w:cs="Arial"/>
          <w:sz w:val="24"/>
          <w:szCs w:val="24"/>
          <w:lang w:val="es-CO"/>
        </w:rPr>
        <w:t>Morales de Giraldo (Folio 181, ib.)</w:t>
      </w:r>
      <w:r w:rsidR="002952D6">
        <w:rPr>
          <w:rFonts w:ascii="Arial" w:hAnsi="Arial" w:cs="Arial"/>
          <w:sz w:val="24"/>
          <w:szCs w:val="24"/>
          <w:lang w:val="es-CO"/>
        </w:rPr>
        <w:t>.</w:t>
      </w:r>
    </w:p>
    <w:p w:rsidR="006916DA" w:rsidRDefault="006916DA" w:rsidP="00ED2DDA">
      <w:pPr>
        <w:spacing w:line="360" w:lineRule="auto"/>
        <w:jc w:val="both"/>
        <w:rPr>
          <w:rFonts w:ascii="Arial" w:hAnsi="Arial" w:cs="Arial"/>
          <w:sz w:val="24"/>
          <w:szCs w:val="24"/>
          <w:lang w:val="es-CO"/>
        </w:rPr>
      </w:pPr>
    </w:p>
    <w:p w:rsidR="0026164F" w:rsidRDefault="0026164F" w:rsidP="00ED2DDA">
      <w:pPr>
        <w:spacing w:line="360" w:lineRule="auto"/>
        <w:jc w:val="both"/>
        <w:rPr>
          <w:rFonts w:ascii="Arial" w:hAnsi="Arial" w:cs="Arial"/>
          <w:sz w:val="24"/>
          <w:szCs w:val="24"/>
          <w:lang w:val="es-CO"/>
        </w:rPr>
      </w:pPr>
      <w:r>
        <w:rPr>
          <w:rFonts w:ascii="Arial" w:hAnsi="Arial" w:cs="Arial"/>
          <w:sz w:val="24"/>
          <w:szCs w:val="24"/>
          <w:lang w:val="es-CO"/>
        </w:rPr>
        <w:t xml:space="preserve">Efectuado el emplazamiento de las personas indeterminadas, se les designó </w:t>
      </w:r>
      <w:r w:rsidR="00D041EC">
        <w:rPr>
          <w:rFonts w:ascii="Arial" w:hAnsi="Arial" w:cs="Arial"/>
          <w:sz w:val="24"/>
          <w:szCs w:val="24"/>
          <w:lang w:val="es-CO"/>
        </w:rPr>
        <w:t xml:space="preserve">curador </w:t>
      </w:r>
      <w:r w:rsidR="00D041EC" w:rsidRPr="006A0477">
        <w:rPr>
          <w:rFonts w:ascii="Arial" w:hAnsi="Arial" w:cs="Arial"/>
          <w:i/>
          <w:sz w:val="24"/>
          <w:szCs w:val="24"/>
          <w:lang w:val="es-CO"/>
        </w:rPr>
        <w:t xml:space="preserve">ad </w:t>
      </w:r>
      <w:proofErr w:type="spellStart"/>
      <w:r w:rsidR="00D041EC" w:rsidRPr="006A0477">
        <w:rPr>
          <w:rFonts w:ascii="Arial" w:hAnsi="Arial" w:cs="Arial"/>
          <w:i/>
          <w:sz w:val="24"/>
          <w:szCs w:val="24"/>
          <w:lang w:val="es-CO"/>
        </w:rPr>
        <w:t>litem</w:t>
      </w:r>
      <w:proofErr w:type="spellEnd"/>
      <w:r w:rsidR="00D041EC">
        <w:rPr>
          <w:rFonts w:ascii="Arial" w:hAnsi="Arial" w:cs="Arial"/>
          <w:i/>
          <w:sz w:val="24"/>
          <w:szCs w:val="24"/>
          <w:lang w:val="es-CO"/>
        </w:rPr>
        <w:t xml:space="preserve"> </w:t>
      </w:r>
      <w:r w:rsidR="00D041EC">
        <w:rPr>
          <w:rFonts w:ascii="Arial" w:hAnsi="Arial" w:cs="Arial"/>
          <w:sz w:val="24"/>
          <w:szCs w:val="24"/>
          <w:lang w:val="es-CO"/>
        </w:rPr>
        <w:t>(Folio 211, ib.) qu</w:t>
      </w:r>
      <w:r w:rsidR="007F74BC">
        <w:rPr>
          <w:rFonts w:ascii="Arial" w:hAnsi="Arial" w:cs="Arial"/>
          <w:sz w:val="24"/>
          <w:szCs w:val="24"/>
          <w:lang w:val="es-CO"/>
        </w:rPr>
        <w:t xml:space="preserve">ien </w:t>
      </w:r>
      <w:r w:rsidR="00D041EC">
        <w:rPr>
          <w:rFonts w:ascii="Arial" w:hAnsi="Arial" w:cs="Arial"/>
          <w:sz w:val="24"/>
          <w:szCs w:val="24"/>
          <w:lang w:val="es-CO"/>
        </w:rPr>
        <w:t xml:space="preserve">contestó sin oponerse </w:t>
      </w:r>
      <w:r w:rsidR="007F74BC">
        <w:rPr>
          <w:rFonts w:ascii="Arial" w:hAnsi="Arial" w:cs="Arial"/>
          <w:sz w:val="24"/>
          <w:szCs w:val="24"/>
          <w:lang w:val="es-CO"/>
        </w:rPr>
        <w:t xml:space="preserve">y </w:t>
      </w:r>
      <w:r w:rsidR="00D041EC" w:rsidRPr="006A0477">
        <w:rPr>
          <w:rFonts w:ascii="Arial" w:hAnsi="Arial" w:cs="Arial"/>
          <w:sz w:val="24"/>
          <w:szCs w:val="24"/>
          <w:lang w:val="es-CO"/>
        </w:rPr>
        <w:t>p</w:t>
      </w:r>
      <w:r w:rsidR="00DE56F3">
        <w:rPr>
          <w:rFonts w:ascii="Arial" w:hAnsi="Arial" w:cs="Arial"/>
          <w:sz w:val="24"/>
          <w:szCs w:val="24"/>
          <w:lang w:val="es-CO"/>
        </w:rPr>
        <w:t xml:space="preserve">edir </w:t>
      </w:r>
      <w:r w:rsidR="00D041EC" w:rsidRPr="006A0477">
        <w:rPr>
          <w:rFonts w:ascii="Arial" w:hAnsi="Arial" w:cs="Arial"/>
          <w:sz w:val="24"/>
          <w:szCs w:val="24"/>
          <w:lang w:val="es-CO"/>
        </w:rPr>
        <w:t>pruebas</w:t>
      </w:r>
      <w:r w:rsidR="00D041EC">
        <w:rPr>
          <w:rFonts w:ascii="Arial" w:hAnsi="Arial" w:cs="Arial"/>
          <w:sz w:val="24"/>
          <w:szCs w:val="24"/>
          <w:lang w:val="es-CO"/>
        </w:rPr>
        <w:t xml:space="preserve"> (Folios 216 y 217, ib.)</w:t>
      </w:r>
      <w:r w:rsidR="00C50024">
        <w:rPr>
          <w:rFonts w:ascii="Arial" w:hAnsi="Arial" w:cs="Arial"/>
          <w:sz w:val="24"/>
          <w:szCs w:val="24"/>
          <w:lang w:val="es-CO"/>
        </w:rPr>
        <w:t>. Para los efectos de esta decisión, v</w:t>
      </w:r>
      <w:r w:rsidR="007F74BC">
        <w:rPr>
          <w:rFonts w:ascii="Arial" w:hAnsi="Arial" w:cs="Arial"/>
          <w:sz w:val="24"/>
          <w:szCs w:val="24"/>
          <w:lang w:val="es-CO"/>
        </w:rPr>
        <w:t>á</w:t>
      </w:r>
      <w:r w:rsidR="00C50024">
        <w:rPr>
          <w:rFonts w:ascii="Arial" w:hAnsi="Arial" w:cs="Arial"/>
          <w:sz w:val="24"/>
          <w:szCs w:val="24"/>
          <w:lang w:val="es-CO"/>
        </w:rPr>
        <w:t xml:space="preserve">lido es resaltar que el edicto </w:t>
      </w:r>
      <w:proofErr w:type="spellStart"/>
      <w:r w:rsidR="00C50024">
        <w:rPr>
          <w:rFonts w:ascii="Arial" w:hAnsi="Arial" w:cs="Arial"/>
          <w:sz w:val="24"/>
          <w:szCs w:val="24"/>
          <w:lang w:val="es-CO"/>
        </w:rPr>
        <w:t>emplazatorio</w:t>
      </w:r>
      <w:proofErr w:type="spellEnd"/>
      <w:r w:rsidR="00C50024">
        <w:rPr>
          <w:rFonts w:ascii="Arial" w:hAnsi="Arial" w:cs="Arial"/>
          <w:sz w:val="24"/>
          <w:szCs w:val="24"/>
          <w:lang w:val="es-CO"/>
        </w:rPr>
        <w:t xml:space="preserve"> precisaba que una de las demandadas era </w:t>
      </w:r>
      <w:r w:rsidR="007F74BC">
        <w:rPr>
          <w:rFonts w:ascii="Arial" w:hAnsi="Arial" w:cs="Arial"/>
          <w:sz w:val="24"/>
          <w:szCs w:val="24"/>
          <w:u w:val="single"/>
          <w:lang w:val="es-CO"/>
        </w:rPr>
        <w:t>Lucy o Lucí</w:t>
      </w:r>
      <w:r w:rsidR="00C50024" w:rsidRPr="00C50024">
        <w:rPr>
          <w:rFonts w:ascii="Arial" w:hAnsi="Arial" w:cs="Arial"/>
          <w:sz w:val="24"/>
          <w:szCs w:val="24"/>
          <w:u w:val="single"/>
          <w:lang w:val="es-CO"/>
        </w:rPr>
        <w:t>a</w:t>
      </w:r>
      <w:r w:rsidR="00C50024">
        <w:rPr>
          <w:rFonts w:ascii="Arial" w:hAnsi="Arial" w:cs="Arial"/>
          <w:sz w:val="24"/>
          <w:szCs w:val="24"/>
          <w:lang w:val="es-CO"/>
        </w:rPr>
        <w:t xml:space="preserve"> Morales de Giraldo</w:t>
      </w:r>
      <w:r w:rsidR="005F25FC">
        <w:rPr>
          <w:rFonts w:ascii="Arial" w:hAnsi="Arial" w:cs="Arial"/>
          <w:sz w:val="24"/>
          <w:szCs w:val="24"/>
          <w:lang w:val="es-CO"/>
        </w:rPr>
        <w:t xml:space="preserve"> (Folios 201 a 209, ib.)</w:t>
      </w:r>
      <w:r w:rsidR="00C50024">
        <w:rPr>
          <w:rFonts w:ascii="Arial" w:hAnsi="Arial" w:cs="Arial"/>
          <w:sz w:val="24"/>
          <w:szCs w:val="24"/>
          <w:lang w:val="es-CO"/>
        </w:rPr>
        <w:t>.</w:t>
      </w:r>
    </w:p>
    <w:p w:rsidR="00A003AF" w:rsidRDefault="00A003AF" w:rsidP="00ED2DDA">
      <w:pPr>
        <w:spacing w:line="360" w:lineRule="auto"/>
        <w:jc w:val="both"/>
        <w:rPr>
          <w:rFonts w:ascii="Arial" w:hAnsi="Arial" w:cs="Arial"/>
          <w:sz w:val="24"/>
          <w:szCs w:val="24"/>
          <w:lang w:val="es-CO"/>
        </w:rPr>
      </w:pPr>
    </w:p>
    <w:p w:rsidR="00B6378D" w:rsidRDefault="00B6378D" w:rsidP="00ED2DDA">
      <w:pPr>
        <w:spacing w:line="360" w:lineRule="auto"/>
        <w:jc w:val="both"/>
        <w:rPr>
          <w:rFonts w:ascii="Arial" w:hAnsi="Arial" w:cs="Arial"/>
          <w:sz w:val="24"/>
          <w:szCs w:val="24"/>
          <w:lang w:val="es-CO"/>
        </w:rPr>
      </w:pPr>
      <w:r>
        <w:rPr>
          <w:rFonts w:ascii="Arial" w:hAnsi="Arial" w:cs="Arial"/>
          <w:sz w:val="24"/>
          <w:szCs w:val="24"/>
          <w:lang w:val="es-CO"/>
        </w:rPr>
        <w:t>Seguidamente</w:t>
      </w:r>
      <w:r w:rsidR="00A003AF">
        <w:rPr>
          <w:rFonts w:ascii="Arial" w:hAnsi="Arial" w:cs="Arial"/>
          <w:sz w:val="24"/>
          <w:szCs w:val="24"/>
          <w:lang w:val="es-CO"/>
        </w:rPr>
        <w:t xml:space="preserve">, con auto del 18-10-2011 </w:t>
      </w:r>
      <w:r w:rsidR="005F25FC">
        <w:rPr>
          <w:rFonts w:ascii="Arial" w:hAnsi="Arial" w:cs="Arial"/>
          <w:sz w:val="24"/>
          <w:szCs w:val="24"/>
          <w:lang w:val="es-CO"/>
        </w:rPr>
        <w:t xml:space="preserve">de nuevo </w:t>
      </w:r>
      <w:r w:rsidR="00A003AF" w:rsidRPr="006A0477">
        <w:rPr>
          <w:rFonts w:ascii="Arial" w:hAnsi="Arial" w:cs="Arial"/>
          <w:sz w:val="24"/>
          <w:szCs w:val="24"/>
          <w:lang w:val="es-CO"/>
        </w:rPr>
        <w:t xml:space="preserve">se </w:t>
      </w:r>
      <w:r w:rsidR="00A003AF">
        <w:rPr>
          <w:rFonts w:ascii="Arial" w:hAnsi="Arial" w:cs="Arial"/>
          <w:sz w:val="24"/>
          <w:szCs w:val="24"/>
          <w:lang w:val="es-CO"/>
        </w:rPr>
        <w:t>decreta</w:t>
      </w:r>
      <w:r w:rsidR="005F25FC">
        <w:rPr>
          <w:rFonts w:ascii="Arial" w:hAnsi="Arial" w:cs="Arial"/>
          <w:sz w:val="24"/>
          <w:szCs w:val="24"/>
          <w:lang w:val="es-CO"/>
        </w:rPr>
        <w:t>ron</w:t>
      </w:r>
      <w:r w:rsidR="00A003AF">
        <w:rPr>
          <w:rFonts w:ascii="Arial" w:hAnsi="Arial" w:cs="Arial"/>
          <w:sz w:val="24"/>
          <w:szCs w:val="24"/>
          <w:lang w:val="es-CO"/>
        </w:rPr>
        <w:t xml:space="preserve"> las pruebas </w:t>
      </w:r>
      <w:r w:rsidR="00A003AF" w:rsidRPr="006A0477">
        <w:rPr>
          <w:rFonts w:ascii="Arial" w:hAnsi="Arial" w:cs="Arial"/>
          <w:sz w:val="24"/>
          <w:szCs w:val="24"/>
          <w:lang w:val="es-CO"/>
        </w:rPr>
        <w:t>(Folio</w:t>
      </w:r>
      <w:r w:rsidR="00A003AF">
        <w:rPr>
          <w:rFonts w:ascii="Arial" w:hAnsi="Arial" w:cs="Arial"/>
          <w:sz w:val="24"/>
          <w:szCs w:val="24"/>
          <w:lang w:val="es-CO"/>
        </w:rPr>
        <w:t>s</w:t>
      </w:r>
      <w:r w:rsidR="00A003AF" w:rsidRPr="006A0477">
        <w:rPr>
          <w:rFonts w:ascii="Arial" w:hAnsi="Arial" w:cs="Arial"/>
          <w:sz w:val="24"/>
          <w:szCs w:val="24"/>
          <w:lang w:val="es-CO"/>
        </w:rPr>
        <w:t xml:space="preserve"> </w:t>
      </w:r>
      <w:r w:rsidR="00A003AF">
        <w:rPr>
          <w:rFonts w:ascii="Arial" w:hAnsi="Arial" w:cs="Arial"/>
          <w:sz w:val="24"/>
          <w:szCs w:val="24"/>
          <w:lang w:val="es-CO"/>
        </w:rPr>
        <w:t>219 a 221</w:t>
      </w:r>
      <w:r w:rsidR="00A003AF" w:rsidRPr="006A0477">
        <w:rPr>
          <w:rFonts w:ascii="Arial" w:hAnsi="Arial" w:cs="Arial"/>
          <w:sz w:val="24"/>
          <w:szCs w:val="24"/>
          <w:lang w:val="es-CO"/>
        </w:rPr>
        <w:t xml:space="preserve">, </w:t>
      </w:r>
      <w:r w:rsidR="00A003AF">
        <w:rPr>
          <w:rFonts w:ascii="Arial" w:hAnsi="Arial" w:cs="Arial"/>
          <w:sz w:val="24"/>
          <w:szCs w:val="24"/>
          <w:lang w:val="es-CO"/>
        </w:rPr>
        <w:t>ib.</w:t>
      </w:r>
      <w:r w:rsidR="00A003AF" w:rsidRPr="006A0477">
        <w:rPr>
          <w:rFonts w:ascii="Arial" w:hAnsi="Arial" w:cs="Arial"/>
          <w:sz w:val="24"/>
          <w:szCs w:val="24"/>
          <w:lang w:val="es-CO"/>
        </w:rPr>
        <w:t>)</w:t>
      </w:r>
      <w:r w:rsidR="00A003AF">
        <w:rPr>
          <w:rFonts w:ascii="Arial" w:hAnsi="Arial" w:cs="Arial"/>
          <w:sz w:val="24"/>
          <w:szCs w:val="24"/>
          <w:lang w:val="es-CO"/>
        </w:rPr>
        <w:t xml:space="preserve"> y </w:t>
      </w:r>
      <w:r w:rsidR="005F25FC">
        <w:rPr>
          <w:rFonts w:ascii="Arial" w:hAnsi="Arial" w:cs="Arial"/>
          <w:sz w:val="24"/>
          <w:szCs w:val="24"/>
          <w:lang w:val="es-CO"/>
        </w:rPr>
        <w:t>agotadas</w:t>
      </w:r>
      <w:r w:rsidR="00A003AF" w:rsidRPr="006A0477">
        <w:rPr>
          <w:rFonts w:ascii="Arial" w:hAnsi="Arial" w:cs="Arial"/>
          <w:sz w:val="24"/>
          <w:szCs w:val="24"/>
          <w:lang w:val="es-CO"/>
        </w:rPr>
        <w:t xml:space="preserve">, se corrió traslado para alegaciones finales con auto </w:t>
      </w:r>
      <w:r w:rsidR="005F25FC">
        <w:rPr>
          <w:rFonts w:ascii="Arial" w:hAnsi="Arial" w:cs="Arial"/>
          <w:sz w:val="24"/>
          <w:szCs w:val="24"/>
          <w:lang w:val="es-CO"/>
        </w:rPr>
        <w:t>del día 24-07-2010</w:t>
      </w:r>
      <w:r w:rsidR="00A003AF" w:rsidRPr="006A0477">
        <w:rPr>
          <w:rFonts w:ascii="Arial" w:hAnsi="Arial" w:cs="Arial"/>
          <w:sz w:val="24"/>
          <w:szCs w:val="24"/>
          <w:lang w:val="es-CO"/>
        </w:rPr>
        <w:t xml:space="preserve"> (Folio </w:t>
      </w:r>
      <w:r w:rsidR="005F25FC">
        <w:rPr>
          <w:rFonts w:ascii="Arial" w:hAnsi="Arial" w:cs="Arial"/>
          <w:sz w:val="24"/>
          <w:szCs w:val="24"/>
          <w:lang w:val="es-CO"/>
        </w:rPr>
        <w:t>229</w:t>
      </w:r>
      <w:r w:rsidR="00A003AF" w:rsidRPr="006A0477">
        <w:rPr>
          <w:rFonts w:ascii="Arial" w:hAnsi="Arial" w:cs="Arial"/>
          <w:sz w:val="24"/>
          <w:szCs w:val="24"/>
          <w:lang w:val="es-CO"/>
        </w:rPr>
        <w:t xml:space="preserve">, </w:t>
      </w:r>
      <w:r w:rsidR="005F25FC">
        <w:rPr>
          <w:rFonts w:ascii="Arial" w:hAnsi="Arial" w:cs="Arial"/>
          <w:sz w:val="24"/>
          <w:szCs w:val="24"/>
          <w:lang w:val="es-CO"/>
        </w:rPr>
        <w:t xml:space="preserve">ib.) </w:t>
      </w:r>
      <w:r w:rsidR="007F74BC">
        <w:rPr>
          <w:rFonts w:ascii="Arial" w:hAnsi="Arial" w:cs="Arial"/>
          <w:sz w:val="24"/>
          <w:szCs w:val="24"/>
          <w:lang w:val="es-CO"/>
        </w:rPr>
        <w:t xml:space="preserve">y </w:t>
      </w:r>
      <w:r w:rsidR="005F25FC">
        <w:rPr>
          <w:rFonts w:ascii="Arial" w:hAnsi="Arial" w:cs="Arial"/>
          <w:sz w:val="24"/>
          <w:szCs w:val="24"/>
          <w:lang w:val="es-CO"/>
        </w:rPr>
        <w:t xml:space="preserve">se allegaron sendos </w:t>
      </w:r>
      <w:r w:rsidR="00A003AF" w:rsidRPr="006A0477">
        <w:rPr>
          <w:rFonts w:ascii="Arial" w:hAnsi="Arial" w:cs="Arial"/>
          <w:sz w:val="24"/>
          <w:szCs w:val="24"/>
          <w:lang w:val="es-CO"/>
        </w:rPr>
        <w:t>escrito</w:t>
      </w:r>
      <w:r w:rsidR="005F25FC">
        <w:rPr>
          <w:rFonts w:ascii="Arial" w:hAnsi="Arial" w:cs="Arial"/>
          <w:sz w:val="24"/>
          <w:szCs w:val="24"/>
          <w:lang w:val="es-CO"/>
        </w:rPr>
        <w:t>s</w:t>
      </w:r>
      <w:r w:rsidR="00A003AF" w:rsidRPr="006A0477">
        <w:rPr>
          <w:rFonts w:ascii="Arial" w:hAnsi="Arial" w:cs="Arial"/>
          <w:sz w:val="24"/>
          <w:szCs w:val="24"/>
          <w:lang w:val="es-CO"/>
        </w:rPr>
        <w:t xml:space="preserve"> (Folio</w:t>
      </w:r>
      <w:r w:rsidR="005F25FC">
        <w:rPr>
          <w:rFonts w:ascii="Arial" w:hAnsi="Arial" w:cs="Arial"/>
          <w:sz w:val="24"/>
          <w:szCs w:val="24"/>
          <w:lang w:val="es-CO"/>
        </w:rPr>
        <w:t>s 230 a 240</w:t>
      </w:r>
      <w:r w:rsidR="00A003AF" w:rsidRPr="006A0477">
        <w:rPr>
          <w:rFonts w:ascii="Arial" w:hAnsi="Arial" w:cs="Arial"/>
          <w:sz w:val="24"/>
          <w:szCs w:val="24"/>
          <w:lang w:val="es-CO"/>
        </w:rPr>
        <w:t xml:space="preserve">, </w:t>
      </w:r>
      <w:r w:rsidR="005F25FC">
        <w:rPr>
          <w:rFonts w:ascii="Arial" w:hAnsi="Arial" w:cs="Arial"/>
          <w:sz w:val="24"/>
          <w:szCs w:val="24"/>
          <w:lang w:val="es-CO"/>
        </w:rPr>
        <w:t>ib.</w:t>
      </w:r>
      <w:r w:rsidR="00A003AF" w:rsidRPr="006A0477">
        <w:rPr>
          <w:rFonts w:ascii="Arial" w:hAnsi="Arial" w:cs="Arial"/>
          <w:sz w:val="24"/>
          <w:szCs w:val="24"/>
          <w:lang w:val="es-CO"/>
        </w:rPr>
        <w:t>)</w:t>
      </w:r>
      <w:r w:rsidR="005F25FC">
        <w:rPr>
          <w:rFonts w:ascii="Arial" w:hAnsi="Arial" w:cs="Arial"/>
          <w:sz w:val="24"/>
          <w:szCs w:val="24"/>
          <w:lang w:val="es-CO"/>
        </w:rPr>
        <w:t xml:space="preserve">. Para el día 14-12-2012 </w:t>
      </w:r>
      <w:r w:rsidR="00ED2DDA">
        <w:rPr>
          <w:rFonts w:ascii="Arial" w:hAnsi="Arial" w:cs="Arial"/>
          <w:sz w:val="24"/>
          <w:szCs w:val="24"/>
          <w:lang w:val="es-CO"/>
        </w:rPr>
        <w:t>s</w:t>
      </w:r>
      <w:r w:rsidR="00ED2DDA" w:rsidRPr="006A0477">
        <w:rPr>
          <w:rFonts w:ascii="Arial" w:hAnsi="Arial" w:cs="Arial"/>
          <w:sz w:val="24"/>
          <w:szCs w:val="24"/>
          <w:lang w:val="es-CO"/>
        </w:rPr>
        <w:t>e emit</w:t>
      </w:r>
      <w:r w:rsidR="005F25FC">
        <w:rPr>
          <w:rFonts w:ascii="Arial" w:hAnsi="Arial" w:cs="Arial"/>
          <w:sz w:val="24"/>
          <w:szCs w:val="24"/>
          <w:lang w:val="es-CO"/>
        </w:rPr>
        <w:t xml:space="preserve">ió </w:t>
      </w:r>
      <w:r w:rsidR="00ED2DDA" w:rsidRPr="006A0477">
        <w:rPr>
          <w:rFonts w:ascii="Arial" w:hAnsi="Arial" w:cs="Arial"/>
          <w:sz w:val="24"/>
          <w:szCs w:val="24"/>
          <w:lang w:val="es-CO"/>
        </w:rPr>
        <w:t xml:space="preserve">sentencia </w:t>
      </w:r>
      <w:r w:rsidR="00ED2DDA">
        <w:rPr>
          <w:rFonts w:ascii="Arial" w:hAnsi="Arial" w:cs="Arial"/>
          <w:sz w:val="24"/>
          <w:szCs w:val="24"/>
          <w:lang w:val="es-CO"/>
        </w:rPr>
        <w:t>desestimatoria</w:t>
      </w:r>
      <w:r w:rsidR="00ED2DDA" w:rsidRPr="006A0477">
        <w:rPr>
          <w:rFonts w:ascii="Arial" w:hAnsi="Arial" w:cs="Arial"/>
          <w:sz w:val="24"/>
          <w:szCs w:val="24"/>
          <w:lang w:val="es-CO"/>
        </w:rPr>
        <w:t xml:space="preserve"> (Folios </w:t>
      </w:r>
      <w:r w:rsidR="005F25FC">
        <w:rPr>
          <w:rFonts w:ascii="Arial" w:hAnsi="Arial" w:cs="Arial"/>
          <w:sz w:val="24"/>
          <w:szCs w:val="24"/>
          <w:lang w:val="es-CO"/>
        </w:rPr>
        <w:t xml:space="preserve">242 </w:t>
      </w:r>
      <w:r w:rsidR="00ED2DDA" w:rsidRPr="006A0477">
        <w:rPr>
          <w:rFonts w:ascii="Arial" w:hAnsi="Arial" w:cs="Arial"/>
          <w:sz w:val="24"/>
          <w:szCs w:val="24"/>
          <w:lang w:val="es-CO"/>
        </w:rPr>
        <w:t xml:space="preserve">a </w:t>
      </w:r>
      <w:r w:rsidR="005F25FC">
        <w:rPr>
          <w:rFonts w:ascii="Arial" w:hAnsi="Arial" w:cs="Arial"/>
          <w:sz w:val="24"/>
          <w:szCs w:val="24"/>
          <w:lang w:val="es-CO"/>
        </w:rPr>
        <w:t>254</w:t>
      </w:r>
      <w:r w:rsidR="00ED2DDA" w:rsidRPr="006A0477">
        <w:rPr>
          <w:rFonts w:ascii="Arial" w:hAnsi="Arial" w:cs="Arial"/>
          <w:sz w:val="24"/>
          <w:szCs w:val="24"/>
          <w:lang w:val="es-CO"/>
        </w:rPr>
        <w:t>, ib.)</w:t>
      </w:r>
      <w:r w:rsidR="00ED2DDA">
        <w:rPr>
          <w:rFonts w:ascii="Arial" w:hAnsi="Arial" w:cs="Arial"/>
          <w:sz w:val="24"/>
          <w:szCs w:val="24"/>
          <w:lang w:val="es-CO"/>
        </w:rPr>
        <w:t xml:space="preserve"> y como fuera </w:t>
      </w:r>
      <w:r w:rsidR="00ED2DDA" w:rsidRPr="006A0477">
        <w:rPr>
          <w:rFonts w:ascii="Arial" w:hAnsi="Arial" w:cs="Arial"/>
          <w:sz w:val="24"/>
          <w:szCs w:val="24"/>
          <w:lang w:val="es-CO"/>
        </w:rPr>
        <w:t xml:space="preserve">apelada por la parte </w:t>
      </w:r>
      <w:r w:rsidR="005F25FC">
        <w:rPr>
          <w:rFonts w:ascii="Arial" w:hAnsi="Arial" w:cs="Arial"/>
          <w:sz w:val="24"/>
          <w:szCs w:val="24"/>
          <w:lang w:val="es-CO"/>
        </w:rPr>
        <w:t>actora</w:t>
      </w:r>
      <w:r w:rsidR="00ED2DDA" w:rsidRPr="006A0477">
        <w:rPr>
          <w:rFonts w:ascii="Arial" w:hAnsi="Arial" w:cs="Arial"/>
          <w:sz w:val="24"/>
          <w:szCs w:val="24"/>
          <w:lang w:val="es-CO"/>
        </w:rPr>
        <w:t xml:space="preserve">, </w:t>
      </w:r>
      <w:r w:rsidR="00ED2DDA">
        <w:rPr>
          <w:rFonts w:ascii="Arial" w:hAnsi="Arial" w:cs="Arial"/>
          <w:sz w:val="24"/>
          <w:szCs w:val="24"/>
          <w:lang w:val="es-CO"/>
        </w:rPr>
        <w:t>se concedió</w:t>
      </w:r>
      <w:r w:rsidR="00ED2DDA" w:rsidRPr="006A0477">
        <w:rPr>
          <w:rFonts w:ascii="Arial" w:hAnsi="Arial" w:cs="Arial"/>
          <w:sz w:val="24"/>
          <w:szCs w:val="24"/>
          <w:lang w:val="es-CO"/>
        </w:rPr>
        <w:t xml:space="preserve"> el día </w:t>
      </w:r>
      <w:r w:rsidR="005F25FC">
        <w:rPr>
          <w:rFonts w:ascii="Arial" w:hAnsi="Arial" w:cs="Arial"/>
          <w:sz w:val="24"/>
          <w:szCs w:val="24"/>
          <w:lang w:val="es-CO"/>
        </w:rPr>
        <w:t>24-01-2013</w:t>
      </w:r>
      <w:r w:rsidR="00ED2DDA" w:rsidRPr="0059771A">
        <w:rPr>
          <w:rFonts w:ascii="Arial" w:hAnsi="Arial" w:cs="Arial"/>
          <w:sz w:val="24"/>
          <w:szCs w:val="24"/>
          <w:lang w:val="es-CO"/>
        </w:rPr>
        <w:t xml:space="preserve"> ante esta Colegiatura (Folio </w:t>
      </w:r>
      <w:r w:rsidR="005F25FC">
        <w:rPr>
          <w:rFonts w:ascii="Arial" w:hAnsi="Arial" w:cs="Arial"/>
          <w:sz w:val="24"/>
          <w:szCs w:val="24"/>
          <w:lang w:val="es-CO"/>
        </w:rPr>
        <w:t>259</w:t>
      </w:r>
      <w:r w:rsidR="00ED2DDA" w:rsidRPr="0059771A">
        <w:rPr>
          <w:rFonts w:ascii="Arial" w:hAnsi="Arial" w:cs="Arial"/>
          <w:sz w:val="24"/>
          <w:szCs w:val="24"/>
          <w:lang w:val="es-CO"/>
        </w:rPr>
        <w:t>, ib.).</w:t>
      </w:r>
      <w:r w:rsidR="00F2175F">
        <w:rPr>
          <w:rFonts w:ascii="Arial" w:hAnsi="Arial" w:cs="Arial"/>
          <w:sz w:val="24"/>
          <w:szCs w:val="24"/>
          <w:lang w:val="es-CO"/>
        </w:rPr>
        <w:t xml:space="preserve"> </w:t>
      </w:r>
    </w:p>
    <w:p w:rsidR="00B6378D" w:rsidRDefault="00B6378D" w:rsidP="00ED2DDA">
      <w:pPr>
        <w:spacing w:line="360" w:lineRule="auto"/>
        <w:jc w:val="both"/>
        <w:rPr>
          <w:rFonts w:ascii="Arial" w:hAnsi="Arial" w:cs="Arial"/>
          <w:sz w:val="24"/>
          <w:szCs w:val="24"/>
          <w:lang w:val="es-CO"/>
        </w:rPr>
      </w:pPr>
    </w:p>
    <w:p w:rsidR="00F2175F" w:rsidRDefault="00F2175F" w:rsidP="00ED2DDA">
      <w:pPr>
        <w:spacing w:line="360" w:lineRule="auto"/>
        <w:jc w:val="both"/>
        <w:rPr>
          <w:rFonts w:ascii="Arial" w:hAnsi="Arial" w:cs="Arial"/>
          <w:sz w:val="24"/>
          <w:szCs w:val="24"/>
          <w:lang w:val="es-CO"/>
        </w:rPr>
      </w:pPr>
      <w:r>
        <w:rPr>
          <w:rFonts w:ascii="Arial" w:hAnsi="Arial" w:cs="Arial"/>
          <w:sz w:val="24"/>
          <w:szCs w:val="24"/>
          <w:lang w:val="es-CO"/>
        </w:rPr>
        <w:t xml:space="preserve">En esta sede, se admitió el recurso (Folio 4, cuaderno No.5), se corrió traslado (Folio 6, cuaderno No.5) </w:t>
      </w:r>
      <w:r w:rsidR="00B6378D">
        <w:rPr>
          <w:rFonts w:ascii="Arial" w:hAnsi="Arial" w:cs="Arial"/>
          <w:sz w:val="24"/>
          <w:szCs w:val="24"/>
          <w:lang w:val="es-CO"/>
        </w:rPr>
        <w:t xml:space="preserve">y con </w:t>
      </w:r>
      <w:r w:rsidR="002E1377">
        <w:rPr>
          <w:rFonts w:ascii="Arial" w:hAnsi="Arial" w:cs="Arial"/>
          <w:sz w:val="24"/>
          <w:szCs w:val="24"/>
          <w:lang w:val="es-CO"/>
        </w:rPr>
        <w:t>auto de</w:t>
      </w:r>
      <w:r w:rsidR="00B6378D">
        <w:rPr>
          <w:rFonts w:ascii="Arial" w:hAnsi="Arial" w:cs="Arial"/>
          <w:sz w:val="24"/>
          <w:szCs w:val="24"/>
          <w:lang w:val="es-CO"/>
        </w:rPr>
        <w:t>l 02-05-2014 se declaró nulidad de lo actuado desde el proveído de 24-07-2014</w:t>
      </w:r>
      <w:r w:rsidR="00655F31">
        <w:rPr>
          <w:rFonts w:ascii="Arial" w:hAnsi="Arial" w:cs="Arial"/>
          <w:sz w:val="24"/>
          <w:szCs w:val="24"/>
          <w:lang w:val="es-CO"/>
        </w:rPr>
        <w:t xml:space="preserve"> </w:t>
      </w:r>
      <w:r w:rsidR="00B6378D">
        <w:rPr>
          <w:rFonts w:ascii="Arial" w:hAnsi="Arial" w:cs="Arial"/>
          <w:sz w:val="24"/>
          <w:szCs w:val="24"/>
          <w:lang w:val="es-CO"/>
        </w:rPr>
        <w:t>(Folios 27 y 28, cuaderno No.5).</w:t>
      </w:r>
    </w:p>
    <w:p w:rsidR="00822CEC" w:rsidRDefault="00200BEC" w:rsidP="00ED2DDA">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Recibido el expediente, el </w:t>
      </w:r>
      <w:r>
        <w:rPr>
          <w:rFonts w:ascii="Arial" w:hAnsi="Arial" w:cs="Arial"/>
          <w:i/>
          <w:sz w:val="24"/>
          <w:szCs w:val="24"/>
          <w:lang w:val="es-CO"/>
        </w:rPr>
        <w:t xml:space="preserve">a quo, </w:t>
      </w:r>
      <w:r>
        <w:rPr>
          <w:rFonts w:ascii="Arial" w:hAnsi="Arial" w:cs="Arial"/>
          <w:sz w:val="24"/>
          <w:szCs w:val="24"/>
          <w:lang w:val="es-CO"/>
        </w:rPr>
        <w:t xml:space="preserve">dispuso continuar el asunto con quienes acudieran en calidad de sucesores procesales del señor Guillermo Morales Figueroa, para lo que </w:t>
      </w:r>
      <w:r w:rsidR="002952D6">
        <w:rPr>
          <w:rFonts w:ascii="Arial" w:hAnsi="Arial" w:cs="Arial"/>
          <w:sz w:val="24"/>
          <w:szCs w:val="24"/>
          <w:lang w:val="es-CO"/>
        </w:rPr>
        <w:t xml:space="preserve">hizo </w:t>
      </w:r>
      <w:r>
        <w:rPr>
          <w:rFonts w:ascii="Arial" w:hAnsi="Arial" w:cs="Arial"/>
          <w:sz w:val="24"/>
          <w:szCs w:val="24"/>
          <w:lang w:val="es-CO"/>
        </w:rPr>
        <w:t xml:space="preserve">requerimiento </w:t>
      </w:r>
      <w:r w:rsidR="00655F31">
        <w:rPr>
          <w:rFonts w:ascii="Arial" w:hAnsi="Arial" w:cs="Arial"/>
          <w:sz w:val="24"/>
          <w:szCs w:val="24"/>
          <w:lang w:val="es-CO"/>
        </w:rPr>
        <w:t>(Folio 266 y 267, cuaderno principal).</w:t>
      </w:r>
      <w:r w:rsidR="00F34085">
        <w:rPr>
          <w:rFonts w:ascii="Arial" w:hAnsi="Arial" w:cs="Arial"/>
          <w:sz w:val="24"/>
          <w:szCs w:val="24"/>
          <w:lang w:val="es-CO"/>
        </w:rPr>
        <w:t xml:space="preserve"> </w:t>
      </w:r>
      <w:r w:rsidR="00655F31">
        <w:rPr>
          <w:rFonts w:ascii="Arial" w:hAnsi="Arial" w:cs="Arial"/>
          <w:sz w:val="24"/>
          <w:szCs w:val="24"/>
          <w:lang w:val="es-CO"/>
        </w:rPr>
        <w:t xml:space="preserve">Ya para el día 17-09-2014, en vista de que no acudió sucesor procesal </w:t>
      </w:r>
      <w:r w:rsidR="00822CEC">
        <w:rPr>
          <w:rFonts w:ascii="Arial" w:hAnsi="Arial" w:cs="Arial"/>
          <w:sz w:val="24"/>
          <w:szCs w:val="24"/>
          <w:lang w:val="es-CO"/>
        </w:rPr>
        <w:t xml:space="preserve">de Guillermo, </w:t>
      </w:r>
      <w:r w:rsidR="00655F31">
        <w:rPr>
          <w:rFonts w:ascii="Arial" w:hAnsi="Arial" w:cs="Arial"/>
          <w:sz w:val="24"/>
          <w:szCs w:val="24"/>
          <w:lang w:val="es-CO"/>
        </w:rPr>
        <w:t>diferente a Isabel Morales Figueroa, el juzgado decidió tenerla como la única. Así mismo</w:t>
      </w:r>
      <w:r w:rsidR="008D2851">
        <w:rPr>
          <w:rFonts w:ascii="Arial" w:hAnsi="Arial" w:cs="Arial"/>
          <w:sz w:val="24"/>
          <w:szCs w:val="24"/>
          <w:lang w:val="es-CO"/>
        </w:rPr>
        <w:t>,</w:t>
      </w:r>
      <w:r w:rsidR="00655F31">
        <w:rPr>
          <w:rFonts w:ascii="Arial" w:hAnsi="Arial" w:cs="Arial"/>
          <w:sz w:val="24"/>
          <w:szCs w:val="24"/>
          <w:lang w:val="es-CO"/>
        </w:rPr>
        <w:t xml:space="preserve"> como</w:t>
      </w:r>
      <w:r w:rsidR="008D2851">
        <w:rPr>
          <w:rFonts w:ascii="Arial" w:hAnsi="Arial" w:cs="Arial"/>
          <w:sz w:val="24"/>
          <w:szCs w:val="24"/>
          <w:lang w:val="es-CO"/>
        </w:rPr>
        <w:t xml:space="preserve"> aquella</w:t>
      </w:r>
      <w:r w:rsidR="00655F31">
        <w:rPr>
          <w:rFonts w:ascii="Arial" w:hAnsi="Arial" w:cs="Arial"/>
          <w:sz w:val="24"/>
          <w:szCs w:val="24"/>
          <w:lang w:val="es-CO"/>
        </w:rPr>
        <w:t xml:space="preserve"> ya había actuado como demandada en el proceso y </w:t>
      </w:r>
      <w:r w:rsidR="00822CEC">
        <w:rPr>
          <w:rFonts w:ascii="Arial" w:hAnsi="Arial" w:cs="Arial"/>
          <w:sz w:val="24"/>
          <w:szCs w:val="24"/>
          <w:lang w:val="es-CO"/>
        </w:rPr>
        <w:t>esta</w:t>
      </w:r>
      <w:r w:rsidR="008D2851">
        <w:rPr>
          <w:rFonts w:ascii="Arial" w:hAnsi="Arial" w:cs="Arial"/>
          <w:sz w:val="24"/>
          <w:szCs w:val="24"/>
          <w:lang w:val="es-CO"/>
        </w:rPr>
        <w:t xml:space="preserve"> Magistratura</w:t>
      </w:r>
      <w:r w:rsidR="00822CEC">
        <w:rPr>
          <w:rFonts w:ascii="Arial" w:hAnsi="Arial" w:cs="Arial"/>
          <w:sz w:val="24"/>
          <w:szCs w:val="24"/>
          <w:lang w:val="es-CO"/>
        </w:rPr>
        <w:t xml:space="preserve"> había salvaguardado las diligencias frente a ella y los otros demandados</w:t>
      </w:r>
      <w:r w:rsidR="00655F31">
        <w:rPr>
          <w:rFonts w:ascii="Arial" w:hAnsi="Arial" w:cs="Arial"/>
          <w:sz w:val="24"/>
          <w:szCs w:val="24"/>
          <w:lang w:val="es-CO"/>
        </w:rPr>
        <w:t xml:space="preserve">, </w:t>
      </w:r>
      <w:r w:rsidR="007F74BC">
        <w:rPr>
          <w:rFonts w:ascii="Arial" w:hAnsi="Arial" w:cs="Arial"/>
          <w:sz w:val="24"/>
          <w:szCs w:val="24"/>
          <w:lang w:val="es-CO"/>
        </w:rPr>
        <w:t xml:space="preserve">corrió </w:t>
      </w:r>
      <w:r w:rsidR="00655F31">
        <w:rPr>
          <w:rFonts w:ascii="Arial" w:hAnsi="Arial" w:cs="Arial"/>
          <w:sz w:val="24"/>
          <w:szCs w:val="24"/>
          <w:lang w:val="es-CO"/>
        </w:rPr>
        <w:t xml:space="preserve">traslado </w:t>
      </w:r>
      <w:r w:rsidR="00822CEC">
        <w:rPr>
          <w:rFonts w:ascii="Arial" w:hAnsi="Arial" w:cs="Arial"/>
          <w:sz w:val="24"/>
          <w:szCs w:val="24"/>
          <w:lang w:val="es-CO"/>
        </w:rPr>
        <w:t xml:space="preserve">para alegar de conclusión (Folio 268, ib.) </w:t>
      </w:r>
      <w:r w:rsidR="007F74BC">
        <w:rPr>
          <w:rFonts w:ascii="Arial" w:hAnsi="Arial" w:cs="Arial"/>
          <w:sz w:val="24"/>
          <w:szCs w:val="24"/>
          <w:lang w:val="es-CO"/>
        </w:rPr>
        <w:t>y se allegaron 2 memoriales</w:t>
      </w:r>
      <w:r w:rsidR="00822CEC">
        <w:rPr>
          <w:rFonts w:ascii="Arial" w:hAnsi="Arial" w:cs="Arial"/>
          <w:sz w:val="24"/>
          <w:szCs w:val="24"/>
          <w:lang w:val="es-CO"/>
        </w:rPr>
        <w:t xml:space="preserve"> (Folios 269 a 278, ib.). </w:t>
      </w:r>
    </w:p>
    <w:p w:rsidR="00822CEC" w:rsidRPr="00FE6F62" w:rsidRDefault="00822CEC" w:rsidP="00ED2DDA">
      <w:pPr>
        <w:spacing w:line="360" w:lineRule="auto"/>
        <w:jc w:val="both"/>
        <w:rPr>
          <w:rFonts w:ascii="Arial" w:hAnsi="Arial" w:cs="Arial"/>
          <w:sz w:val="26"/>
          <w:szCs w:val="26"/>
          <w:lang w:val="es-CO"/>
        </w:rPr>
      </w:pPr>
    </w:p>
    <w:p w:rsidR="00655F31" w:rsidRPr="00655F31" w:rsidRDefault="00822CEC" w:rsidP="00ED2DDA">
      <w:pPr>
        <w:spacing w:line="360" w:lineRule="auto"/>
        <w:jc w:val="both"/>
        <w:rPr>
          <w:rFonts w:ascii="Arial" w:hAnsi="Arial" w:cs="Arial"/>
          <w:sz w:val="24"/>
          <w:szCs w:val="24"/>
          <w:lang w:val="es-CO"/>
        </w:rPr>
      </w:pPr>
      <w:r>
        <w:rPr>
          <w:rFonts w:ascii="Arial" w:hAnsi="Arial" w:cs="Arial"/>
          <w:sz w:val="24"/>
          <w:szCs w:val="24"/>
          <w:lang w:val="es-CO"/>
        </w:rPr>
        <w:t xml:space="preserve">El 30-10-2015 nuevamente se emitió sentencia en contra de los demandantes </w:t>
      </w:r>
      <w:r w:rsidRPr="006A0477">
        <w:rPr>
          <w:rFonts w:ascii="Arial" w:hAnsi="Arial" w:cs="Arial"/>
          <w:sz w:val="24"/>
          <w:szCs w:val="24"/>
          <w:lang w:val="es-CO"/>
        </w:rPr>
        <w:t xml:space="preserve">(Folios </w:t>
      </w:r>
      <w:r>
        <w:rPr>
          <w:rFonts w:ascii="Arial" w:hAnsi="Arial" w:cs="Arial"/>
          <w:sz w:val="24"/>
          <w:szCs w:val="24"/>
          <w:lang w:val="es-CO"/>
        </w:rPr>
        <w:t xml:space="preserve">280 </w:t>
      </w:r>
      <w:r w:rsidRPr="006A0477">
        <w:rPr>
          <w:rFonts w:ascii="Arial" w:hAnsi="Arial" w:cs="Arial"/>
          <w:sz w:val="24"/>
          <w:szCs w:val="24"/>
          <w:lang w:val="es-CO"/>
        </w:rPr>
        <w:t xml:space="preserve">a </w:t>
      </w:r>
      <w:r>
        <w:rPr>
          <w:rFonts w:ascii="Arial" w:hAnsi="Arial" w:cs="Arial"/>
          <w:sz w:val="24"/>
          <w:szCs w:val="24"/>
          <w:lang w:val="es-CO"/>
        </w:rPr>
        <w:t>292</w:t>
      </w:r>
      <w:r w:rsidRPr="006A0477">
        <w:rPr>
          <w:rFonts w:ascii="Arial" w:hAnsi="Arial" w:cs="Arial"/>
          <w:sz w:val="24"/>
          <w:szCs w:val="24"/>
          <w:lang w:val="es-CO"/>
        </w:rPr>
        <w:t>, ib.)</w:t>
      </w:r>
      <w:r>
        <w:rPr>
          <w:rFonts w:ascii="Arial" w:hAnsi="Arial" w:cs="Arial"/>
          <w:sz w:val="24"/>
          <w:szCs w:val="24"/>
          <w:lang w:val="es-CO"/>
        </w:rPr>
        <w:t xml:space="preserve"> </w:t>
      </w:r>
      <w:r w:rsidR="000B66EE">
        <w:rPr>
          <w:rFonts w:ascii="Arial" w:hAnsi="Arial" w:cs="Arial"/>
          <w:sz w:val="24"/>
          <w:szCs w:val="24"/>
          <w:lang w:val="es-CO"/>
        </w:rPr>
        <w:t xml:space="preserve">quienes </w:t>
      </w:r>
      <w:r>
        <w:rPr>
          <w:rFonts w:ascii="Arial" w:hAnsi="Arial" w:cs="Arial"/>
          <w:sz w:val="24"/>
          <w:szCs w:val="24"/>
          <w:lang w:val="es-CO"/>
        </w:rPr>
        <w:t>apelaron</w:t>
      </w:r>
      <w:r w:rsidR="007F74BC">
        <w:rPr>
          <w:rFonts w:ascii="Arial" w:hAnsi="Arial" w:cs="Arial"/>
          <w:sz w:val="24"/>
          <w:szCs w:val="24"/>
          <w:lang w:val="es-CO"/>
        </w:rPr>
        <w:t>,</w:t>
      </w:r>
      <w:r>
        <w:rPr>
          <w:rFonts w:ascii="Arial" w:hAnsi="Arial" w:cs="Arial"/>
          <w:sz w:val="24"/>
          <w:szCs w:val="24"/>
          <w:lang w:val="es-CO"/>
        </w:rPr>
        <w:t xml:space="preserve"> la alzada fue concedida</w:t>
      </w:r>
      <w:r w:rsidRPr="006A0477">
        <w:rPr>
          <w:rFonts w:ascii="Arial" w:hAnsi="Arial" w:cs="Arial"/>
          <w:sz w:val="24"/>
          <w:szCs w:val="24"/>
          <w:lang w:val="es-CO"/>
        </w:rPr>
        <w:t xml:space="preserve"> el día </w:t>
      </w:r>
      <w:r>
        <w:rPr>
          <w:rFonts w:ascii="Arial" w:hAnsi="Arial" w:cs="Arial"/>
          <w:sz w:val="24"/>
          <w:szCs w:val="24"/>
          <w:lang w:val="es-CO"/>
        </w:rPr>
        <w:t>24-01-2013</w:t>
      </w:r>
      <w:r w:rsidRPr="0059771A">
        <w:rPr>
          <w:rFonts w:ascii="Arial" w:hAnsi="Arial" w:cs="Arial"/>
          <w:sz w:val="24"/>
          <w:szCs w:val="24"/>
          <w:lang w:val="es-CO"/>
        </w:rPr>
        <w:t xml:space="preserve"> ante esta </w:t>
      </w:r>
      <w:r w:rsidR="00780AD5">
        <w:rPr>
          <w:rFonts w:ascii="Arial" w:hAnsi="Arial" w:cs="Arial"/>
          <w:sz w:val="24"/>
          <w:szCs w:val="24"/>
          <w:lang w:val="es-CO"/>
        </w:rPr>
        <w:t>Sala Especializada</w:t>
      </w:r>
      <w:r w:rsidR="000B66EE">
        <w:rPr>
          <w:rFonts w:ascii="Arial" w:hAnsi="Arial" w:cs="Arial"/>
          <w:sz w:val="24"/>
          <w:szCs w:val="24"/>
          <w:lang w:val="es-CO"/>
        </w:rPr>
        <w:t xml:space="preserve"> </w:t>
      </w:r>
      <w:r w:rsidRPr="0059771A">
        <w:rPr>
          <w:rFonts w:ascii="Arial" w:hAnsi="Arial" w:cs="Arial"/>
          <w:sz w:val="24"/>
          <w:szCs w:val="24"/>
          <w:lang w:val="es-CO"/>
        </w:rPr>
        <w:t xml:space="preserve">(Folio </w:t>
      </w:r>
      <w:r>
        <w:rPr>
          <w:rFonts w:ascii="Arial" w:hAnsi="Arial" w:cs="Arial"/>
          <w:sz w:val="24"/>
          <w:szCs w:val="24"/>
          <w:lang w:val="es-CO"/>
        </w:rPr>
        <w:t>2</w:t>
      </w:r>
      <w:r w:rsidR="000B66EE">
        <w:rPr>
          <w:rFonts w:ascii="Arial" w:hAnsi="Arial" w:cs="Arial"/>
          <w:sz w:val="24"/>
          <w:szCs w:val="24"/>
          <w:lang w:val="es-CO"/>
        </w:rPr>
        <w:t>97</w:t>
      </w:r>
      <w:r w:rsidRPr="0059771A">
        <w:rPr>
          <w:rFonts w:ascii="Arial" w:hAnsi="Arial" w:cs="Arial"/>
          <w:sz w:val="24"/>
          <w:szCs w:val="24"/>
          <w:lang w:val="es-CO"/>
        </w:rPr>
        <w:t>, ib.).</w:t>
      </w:r>
      <w:r w:rsidR="00A5650F">
        <w:rPr>
          <w:rFonts w:ascii="Arial" w:hAnsi="Arial" w:cs="Arial"/>
          <w:sz w:val="24"/>
          <w:szCs w:val="24"/>
          <w:lang w:val="es-CO"/>
        </w:rPr>
        <w:t xml:space="preserve"> </w:t>
      </w:r>
    </w:p>
    <w:p w:rsidR="002E20D6" w:rsidRPr="00FE6F62" w:rsidRDefault="002E20D6" w:rsidP="00607310">
      <w:pPr>
        <w:spacing w:line="360" w:lineRule="auto"/>
        <w:jc w:val="both"/>
        <w:rPr>
          <w:rFonts w:ascii="Arial" w:hAnsi="Arial" w:cs="Arial"/>
          <w:sz w:val="26"/>
          <w:szCs w:val="26"/>
          <w:lang w:val="es-CO"/>
        </w:rPr>
      </w:pPr>
    </w:p>
    <w:p w:rsidR="002F2F2A" w:rsidRPr="00FE6F62" w:rsidRDefault="002F2F2A" w:rsidP="00607310">
      <w:pPr>
        <w:spacing w:line="360" w:lineRule="auto"/>
        <w:jc w:val="both"/>
        <w:rPr>
          <w:rFonts w:ascii="Arial" w:hAnsi="Arial" w:cs="Arial"/>
          <w:sz w:val="26"/>
          <w:szCs w:val="26"/>
          <w:lang w:val="es-CO"/>
        </w:rPr>
      </w:pPr>
    </w:p>
    <w:p w:rsidR="00E316D9" w:rsidRPr="002B513B" w:rsidRDefault="00E316D9" w:rsidP="00D02CB4">
      <w:pPr>
        <w:pStyle w:val="Prrafodelista"/>
        <w:numPr>
          <w:ilvl w:val="0"/>
          <w:numId w:val="1"/>
        </w:numPr>
        <w:tabs>
          <w:tab w:val="left" w:pos="-720"/>
        </w:tabs>
        <w:suppressAutoHyphens/>
        <w:spacing w:line="360" w:lineRule="auto"/>
        <w:jc w:val="both"/>
        <w:rPr>
          <w:rFonts w:ascii="Arial" w:hAnsi="Arial" w:cs="Arial"/>
          <w:spacing w:val="-3"/>
          <w:sz w:val="24"/>
          <w:szCs w:val="24"/>
        </w:rPr>
      </w:pPr>
      <w:r w:rsidRPr="002B513B">
        <w:rPr>
          <w:rFonts w:ascii="Arial" w:hAnsi="Arial" w:cs="Arial"/>
          <w:spacing w:val="-3"/>
          <w:sz w:val="24"/>
          <w:szCs w:val="24"/>
        </w:rPr>
        <w:t>LAS ESTIMACIONES JURÍDICAS</w:t>
      </w:r>
      <w:r w:rsidR="000E1102" w:rsidRPr="002B513B">
        <w:rPr>
          <w:rFonts w:ascii="Arial" w:hAnsi="Arial" w:cs="Arial"/>
          <w:spacing w:val="-3"/>
          <w:sz w:val="24"/>
          <w:szCs w:val="24"/>
        </w:rPr>
        <w:t xml:space="preserve"> PARA DECIDIR</w:t>
      </w:r>
    </w:p>
    <w:p w:rsidR="00E316D9" w:rsidRPr="00FE6F62" w:rsidRDefault="00E316D9" w:rsidP="00FE6F62">
      <w:pPr>
        <w:spacing w:line="360" w:lineRule="auto"/>
        <w:jc w:val="both"/>
        <w:rPr>
          <w:rFonts w:ascii="Arial" w:hAnsi="Arial" w:cs="Arial"/>
          <w:sz w:val="26"/>
          <w:szCs w:val="26"/>
          <w:lang w:val="es-CO"/>
        </w:rPr>
      </w:pPr>
    </w:p>
    <w:p w:rsidR="00271744" w:rsidRDefault="00271744" w:rsidP="00271744">
      <w:pPr>
        <w:pStyle w:val="Sinespaciado"/>
        <w:widowControl/>
        <w:numPr>
          <w:ilvl w:val="1"/>
          <w:numId w:val="1"/>
        </w:numPr>
        <w:autoSpaceDE/>
        <w:autoSpaceDN/>
        <w:adjustRightInd/>
        <w:spacing w:line="360" w:lineRule="auto"/>
        <w:jc w:val="both"/>
        <w:rPr>
          <w:rFonts w:ascii="Arial" w:hAnsi="Arial" w:cs="Arial"/>
        </w:rPr>
      </w:pPr>
      <w:r w:rsidRPr="00582F12">
        <w:rPr>
          <w:rFonts w:ascii="Arial" w:hAnsi="Arial" w:cs="Arial"/>
        </w:rPr>
        <w:t>El régimen de las nulidades procesales</w:t>
      </w:r>
    </w:p>
    <w:p w:rsidR="00271744" w:rsidRPr="00FE6F62" w:rsidRDefault="00271744" w:rsidP="00FE6F62">
      <w:pPr>
        <w:spacing w:line="360" w:lineRule="auto"/>
        <w:jc w:val="both"/>
        <w:rPr>
          <w:rFonts w:ascii="Arial" w:hAnsi="Arial" w:cs="Arial"/>
          <w:sz w:val="26"/>
          <w:szCs w:val="26"/>
          <w:lang w:val="es-CO"/>
        </w:rPr>
      </w:pPr>
    </w:p>
    <w:p w:rsidR="00271744" w:rsidRPr="00672632"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La institución de las nulidades de tipo procedimental está consagrada con el propósito de salvaguardar el derecho constitucional del “debido proceso” y su derivado natural, el derecho de defensa (Artículo 29 de la CP).</w:t>
      </w:r>
    </w:p>
    <w:p w:rsidR="00271744" w:rsidRPr="00FE6F62" w:rsidRDefault="00271744" w:rsidP="00FE6F62">
      <w:pPr>
        <w:spacing w:line="360" w:lineRule="auto"/>
        <w:jc w:val="both"/>
        <w:rPr>
          <w:rFonts w:ascii="Arial" w:hAnsi="Arial" w:cs="Arial"/>
          <w:sz w:val="26"/>
          <w:szCs w:val="26"/>
          <w:lang w:val="es-CO"/>
        </w:rPr>
      </w:pPr>
    </w:p>
    <w:p w:rsidR="007F74BC"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r w:rsidRPr="00672632">
        <w:rPr>
          <w:rFonts w:ascii="Arial" w:hAnsi="Arial" w:cs="Arial"/>
          <w:sz w:val="24"/>
          <w:szCs w:val="22"/>
        </w:rPr>
        <w:t>El régimen establecido por nuestra Codificación Ritual Civil</w:t>
      </w:r>
      <w:r>
        <w:rPr>
          <w:rFonts w:ascii="Arial" w:hAnsi="Arial" w:cs="Arial"/>
          <w:sz w:val="24"/>
          <w:szCs w:val="22"/>
        </w:rPr>
        <w:t xml:space="preserve"> </w:t>
      </w:r>
      <w:r w:rsidRPr="00672632">
        <w:rPr>
          <w:rFonts w:ascii="Arial" w:hAnsi="Arial" w:cs="Arial"/>
          <w:sz w:val="24"/>
          <w:szCs w:val="22"/>
        </w:rPr>
        <w:t xml:space="preserve">se informa por el principio de la </w:t>
      </w:r>
      <w:proofErr w:type="spellStart"/>
      <w:r w:rsidRPr="00672632">
        <w:rPr>
          <w:rFonts w:ascii="Arial" w:hAnsi="Arial" w:cs="Arial"/>
          <w:sz w:val="24"/>
          <w:szCs w:val="22"/>
        </w:rPr>
        <w:t>taxatividad</w:t>
      </w:r>
      <w:proofErr w:type="spellEnd"/>
      <w:r w:rsidRPr="00672632">
        <w:rPr>
          <w:rFonts w:ascii="Arial" w:hAnsi="Arial" w:cs="Arial"/>
          <w:sz w:val="24"/>
          <w:szCs w:val="22"/>
        </w:rPr>
        <w:t xml:space="preserve"> o especificidad, por cuya razón las causales de anulación, única y exclusivamente son las estipuladas en los artículos 140 y 141 CPC</w:t>
      </w:r>
      <w:r>
        <w:rPr>
          <w:rFonts w:ascii="Arial" w:hAnsi="Arial" w:cs="Arial"/>
          <w:sz w:val="24"/>
          <w:szCs w:val="22"/>
        </w:rPr>
        <w:t xml:space="preserve">, </w:t>
      </w:r>
      <w:r w:rsidRPr="00153364">
        <w:rPr>
          <w:rFonts w:ascii="Arial" w:hAnsi="Arial" w:cs="Arial"/>
          <w:sz w:val="24"/>
          <w:szCs w:val="22"/>
        </w:rPr>
        <w:t>estatuto aplicable acorde con lo dispuesto en el artículo 625-5º d</w:t>
      </w:r>
      <w:r w:rsidR="00780AD5">
        <w:rPr>
          <w:rFonts w:ascii="Arial" w:hAnsi="Arial" w:cs="Arial"/>
          <w:sz w:val="24"/>
          <w:szCs w:val="22"/>
        </w:rPr>
        <w:t>el CGP y dado</w:t>
      </w:r>
      <w:r>
        <w:rPr>
          <w:rFonts w:ascii="Arial" w:hAnsi="Arial" w:cs="Arial"/>
          <w:sz w:val="24"/>
          <w:szCs w:val="22"/>
        </w:rPr>
        <w:t xml:space="preserve"> que para el 01-01-2016, ya se había emitido sentencia (30-10-2015, folio </w:t>
      </w:r>
      <w:r>
        <w:rPr>
          <w:rFonts w:ascii="Arial" w:hAnsi="Arial" w:cs="Arial"/>
          <w:sz w:val="24"/>
          <w:szCs w:val="24"/>
          <w:lang w:val="es-CO"/>
        </w:rPr>
        <w:t xml:space="preserve">280 </w:t>
      </w:r>
      <w:r w:rsidRPr="006A0477">
        <w:rPr>
          <w:rFonts w:ascii="Arial" w:hAnsi="Arial" w:cs="Arial"/>
          <w:sz w:val="24"/>
          <w:szCs w:val="24"/>
          <w:lang w:val="es-CO"/>
        </w:rPr>
        <w:t xml:space="preserve">a </w:t>
      </w:r>
      <w:r>
        <w:rPr>
          <w:rFonts w:ascii="Arial" w:hAnsi="Arial" w:cs="Arial"/>
          <w:sz w:val="24"/>
          <w:szCs w:val="24"/>
          <w:lang w:val="es-CO"/>
        </w:rPr>
        <w:t>292</w:t>
      </w:r>
      <w:r w:rsidRPr="006A0477">
        <w:rPr>
          <w:rFonts w:ascii="Arial" w:hAnsi="Arial" w:cs="Arial"/>
          <w:sz w:val="24"/>
          <w:szCs w:val="24"/>
          <w:lang w:val="es-CO"/>
        </w:rPr>
        <w:t>, ib.</w:t>
      </w:r>
      <w:r>
        <w:rPr>
          <w:rFonts w:ascii="Arial" w:hAnsi="Arial" w:cs="Arial"/>
          <w:sz w:val="24"/>
          <w:szCs w:val="22"/>
        </w:rPr>
        <w:t>)</w:t>
      </w:r>
      <w:r w:rsidRPr="00672632">
        <w:rPr>
          <w:rFonts w:ascii="Arial" w:hAnsi="Arial" w:cs="Arial"/>
          <w:sz w:val="24"/>
          <w:szCs w:val="22"/>
        </w:rPr>
        <w:t>.</w:t>
      </w:r>
      <w:r w:rsidRPr="00672632">
        <w:rPr>
          <w:rFonts w:ascii="Arial" w:hAnsi="Arial" w:cs="Arial"/>
          <w:i/>
          <w:sz w:val="24"/>
          <w:szCs w:val="22"/>
        </w:rPr>
        <w:t xml:space="preserve"> </w:t>
      </w:r>
      <w:r w:rsidR="007F74BC">
        <w:rPr>
          <w:rFonts w:ascii="Arial" w:hAnsi="Arial" w:cs="Arial"/>
          <w:i/>
          <w:sz w:val="24"/>
          <w:szCs w:val="22"/>
        </w:rPr>
        <w:t xml:space="preserve"> </w:t>
      </w:r>
    </w:p>
    <w:p w:rsidR="007F74BC" w:rsidRPr="00FE6F62" w:rsidRDefault="007F74BC" w:rsidP="00FE6F62">
      <w:pPr>
        <w:spacing w:line="360" w:lineRule="auto"/>
        <w:jc w:val="both"/>
        <w:rPr>
          <w:rFonts w:ascii="Arial" w:hAnsi="Arial" w:cs="Arial"/>
          <w:sz w:val="26"/>
          <w:szCs w:val="26"/>
          <w:lang w:val="es-CO"/>
        </w:rPr>
      </w:pPr>
    </w:p>
    <w:p w:rsidR="00271744"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4"/>
        </w:rPr>
      </w:pPr>
      <w:r>
        <w:rPr>
          <w:rFonts w:ascii="Arial" w:hAnsi="Arial" w:cs="Arial"/>
          <w:sz w:val="24"/>
          <w:szCs w:val="24"/>
        </w:rPr>
        <w:t xml:space="preserve">En efecto, respecto a esa </w:t>
      </w:r>
      <w:proofErr w:type="spellStart"/>
      <w:r>
        <w:rPr>
          <w:rFonts w:ascii="Arial" w:hAnsi="Arial" w:cs="Arial"/>
          <w:sz w:val="24"/>
          <w:szCs w:val="24"/>
        </w:rPr>
        <w:t>taxatividad</w:t>
      </w:r>
      <w:proofErr w:type="spellEnd"/>
      <w:r>
        <w:rPr>
          <w:rFonts w:ascii="Arial" w:hAnsi="Arial" w:cs="Arial"/>
          <w:sz w:val="24"/>
          <w:szCs w:val="24"/>
        </w:rPr>
        <w:t>,</w:t>
      </w:r>
      <w:r w:rsidRPr="00672632">
        <w:rPr>
          <w:rFonts w:ascii="Arial" w:hAnsi="Arial" w:cs="Arial"/>
          <w:sz w:val="24"/>
          <w:szCs w:val="24"/>
        </w:rPr>
        <w:t xml:space="preserve"> puede consultarse </w:t>
      </w:r>
      <w:r>
        <w:rPr>
          <w:rFonts w:ascii="Arial" w:hAnsi="Arial" w:cs="Arial"/>
          <w:sz w:val="24"/>
          <w:szCs w:val="24"/>
        </w:rPr>
        <w:t xml:space="preserve">la doctrina de </w:t>
      </w:r>
      <w:r w:rsidRPr="00672632">
        <w:rPr>
          <w:rFonts w:ascii="Arial" w:hAnsi="Arial" w:cs="Arial"/>
          <w:sz w:val="24"/>
          <w:szCs w:val="24"/>
        </w:rPr>
        <w:t>los profesores Canosa Torrado</w:t>
      </w:r>
      <w:r w:rsidRPr="00672632">
        <w:rPr>
          <w:rStyle w:val="Refdenotaalpie"/>
          <w:rFonts w:ascii="Arial" w:hAnsi="Arial" w:cs="Arial"/>
          <w:sz w:val="24"/>
          <w:szCs w:val="24"/>
        </w:rPr>
        <w:footnoteReference w:id="1"/>
      </w:r>
      <w:r w:rsidRPr="00672632">
        <w:rPr>
          <w:rFonts w:ascii="Arial" w:hAnsi="Arial" w:cs="Arial"/>
          <w:sz w:val="24"/>
          <w:szCs w:val="24"/>
        </w:rPr>
        <w:t>, López Blanco</w:t>
      </w:r>
      <w:r w:rsidRPr="00672632">
        <w:rPr>
          <w:rStyle w:val="Refdenotaalpie"/>
          <w:rFonts w:ascii="Arial" w:hAnsi="Arial" w:cs="Arial"/>
          <w:sz w:val="24"/>
          <w:szCs w:val="24"/>
        </w:rPr>
        <w:footnoteReference w:id="2"/>
      </w:r>
      <w:r w:rsidRPr="00672632">
        <w:rPr>
          <w:rFonts w:ascii="Arial" w:hAnsi="Arial" w:cs="Arial"/>
          <w:sz w:val="24"/>
          <w:szCs w:val="24"/>
        </w:rPr>
        <w:t>, Azula Camacho</w:t>
      </w:r>
      <w:r w:rsidRPr="00672632">
        <w:rPr>
          <w:rStyle w:val="Refdenotaalpie"/>
          <w:rFonts w:ascii="Arial" w:hAnsi="Arial" w:cs="Arial"/>
          <w:sz w:val="24"/>
          <w:szCs w:val="24"/>
        </w:rPr>
        <w:footnoteReference w:id="3"/>
      </w:r>
      <w:r>
        <w:rPr>
          <w:rFonts w:ascii="Arial" w:hAnsi="Arial" w:cs="Arial"/>
          <w:sz w:val="24"/>
          <w:szCs w:val="24"/>
        </w:rPr>
        <w:t xml:space="preserve">, </w:t>
      </w:r>
      <w:r w:rsidRPr="00672632">
        <w:rPr>
          <w:rFonts w:ascii="Arial" w:hAnsi="Arial" w:cs="Arial"/>
          <w:sz w:val="24"/>
          <w:szCs w:val="24"/>
        </w:rPr>
        <w:t>Miguel Enrique Rojas G.</w:t>
      </w:r>
      <w:r w:rsidRPr="00672632">
        <w:rPr>
          <w:rStyle w:val="Refdenotaalpie"/>
          <w:rFonts w:ascii="Arial" w:hAnsi="Arial" w:cs="Arial"/>
          <w:sz w:val="24"/>
          <w:szCs w:val="24"/>
        </w:rPr>
        <w:footnoteReference w:id="4"/>
      </w:r>
      <w:r>
        <w:rPr>
          <w:rFonts w:ascii="Arial" w:hAnsi="Arial" w:cs="Arial"/>
          <w:sz w:val="24"/>
          <w:szCs w:val="24"/>
        </w:rPr>
        <w:t xml:space="preserve"> y Henry </w:t>
      </w:r>
      <w:r>
        <w:rPr>
          <w:rFonts w:ascii="Arial" w:hAnsi="Arial" w:cs="Arial"/>
          <w:sz w:val="24"/>
          <w:szCs w:val="24"/>
        </w:rPr>
        <w:lastRenderedPageBreak/>
        <w:t>Sanabria Santos</w:t>
      </w:r>
      <w:r w:rsidRPr="00176160">
        <w:rPr>
          <w:rStyle w:val="Refdenotaalpie"/>
          <w:rFonts w:ascii="Arial" w:hAnsi="Arial" w:cs="Arial"/>
          <w:sz w:val="24"/>
          <w:szCs w:val="24"/>
        </w:rPr>
        <w:footnoteReference w:id="5"/>
      </w:r>
      <w:r>
        <w:rPr>
          <w:rFonts w:ascii="Arial" w:hAnsi="Arial" w:cs="Arial"/>
          <w:sz w:val="24"/>
          <w:szCs w:val="24"/>
          <w:vertAlign w:val="superscript"/>
        </w:rPr>
        <w:t>-</w:t>
      </w:r>
      <w:r>
        <w:rPr>
          <w:rStyle w:val="Refdenotaalpie"/>
          <w:rFonts w:ascii="Arial" w:hAnsi="Arial"/>
          <w:sz w:val="24"/>
          <w:szCs w:val="24"/>
        </w:rPr>
        <w:footnoteReference w:id="6"/>
      </w:r>
      <w:r>
        <w:rPr>
          <w:rFonts w:ascii="Arial" w:hAnsi="Arial" w:cs="Arial"/>
          <w:sz w:val="24"/>
          <w:szCs w:val="24"/>
        </w:rPr>
        <w:t>.</w:t>
      </w:r>
      <w:r w:rsidRPr="00672632">
        <w:rPr>
          <w:rFonts w:ascii="Arial" w:hAnsi="Arial" w:cs="Arial"/>
          <w:sz w:val="24"/>
          <w:szCs w:val="24"/>
        </w:rPr>
        <w:t xml:space="preserve"> </w:t>
      </w:r>
      <w:r w:rsidRPr="00672632">
        <w:rPr>
          <w:rFonts w:ascii="Arial" w:hAnsi="Arial" w:cs="Arial"/>
          <w:sz w:val="24"/>
          <w:szCs w:val="22"/>
        </w:rPr>
        <w:t>Otros principios</w:t>
      </w:r>
      <w:r w:rsidRPr="00672632">
        <w:rPr>
          <w:rStyle w:val="Refdenotaalpie"/>
          <w:rFonts w:ascii="Arial" w:hAnsi="Arial" w:cs="Arial"/>
          <w:sz w:val="24"/>
          <w:szCs w:val="22"/>
        </w:rPr>
        <w:footnoteReference w:id="7"/>
      </w:r>
      <w:r w:rsidRPr="00672632">
        <w:rPr>
          <w:rFonts w:ascii="Arial" w:hAnsi="Arial" w:cs="Arial"/>
          <w:sz w:val="24"/>
          <w:szCs w:val="22"/>
        </w:rPr>
        <w:t xml:space="preserve"> de igual entidad, que permean la figura en comento, </w:t>
      </w:r>
      <w:r w:rsidRPr="00672632">
        <w:rPr>
          <w:rFonts w:ascii="Arial" w:hAnsi="Arial" w:cs="Arial"/>
          <w:sz w:val="24"/>
          <w:szCs w:val="24"/>
        </w:rPr>
        <w:t xml:space="preserve">son el de </w:t>
      </w:r>
      <w:r>
        <w:rPr>
          <w:rFonts w:ascii="Arial" w:hAnsi="Arial" w:cs="Arial"/>
          <w:sz w:val="24"/>
          <w:szCs w:val="24"/>
        </w:rPr>
        <w:t xml:space="preserve">preclusión, </w:t>
      </w:r>
      <w:r w:rsidRPr="00672632">
        <w:rPr>
          <w:rFonts w:ascii="Arial" w:hAnsi="Arial" w:cs="Arial"/>
          <w:sz w:val="24"/>
          <w:szCs w:val="24"/>
        </w:rPr>
        <w:t>protección, convalidación</w:t>
      </w:r>
      <w:r>
        <w:rPr>
          <w:rFonts w:ascii="Arial" w:hAnsi="Arial" w:cs="Arial"/>
          <w:sz w:val="24"/>
          <w:szCs w:val="24"/>
        </w:rPr>
        <w:t xml:space="preserve">, </w:t>
      </w:r>
      <w:r w:rsidRPr="00672632">
        <w:rPr>
          <w:rFonts w:ascii="Arial" w:hAnsi="Arial" w:cs="Arial"/>
          <w:sz w:val="24"/>
          <w:szCs w:val="24"/>
        </w:rPr>
        <w:t>trascendencia</w:t>
      </w:r>
      <w:r>
        <w:rPr>
          <w:rFonts w:ascii="Arial" w:hAnsi="Arial" w:cs="Arial"/>
          <w:sz w:val="24"/>
          <w:szCs w:val="24"/>
        </w:rPr>
        <w:t xml:space="preserve"> y legitimación para invocarla, así lo reconoce la CSJ</w:t>
      </w:r>
      <w:r>
        <w:rPr>
          <w:rStyle w:val="Refdenotaalpie"/>
          <w:rFonts w:ascii="Arial" w:hAnsi="Arial"/>
          <w:spacing w:val="-3"/>
          <w:sz w:val="24"/>
          <w:szCs w:val="24"/>
        </w:rPr>
        <w:footnoteReference w:id="8"/>
      </w:r>
      <w:r w:rsidRPr="00672632">
        <w:rPr>
          <w:rFonts w:ascii="Arial" w:hAnsi="Arial" w:cs="Arial"/>
          <w:sz w:val="24"/>
          <w:szCs w:val="24"/>
        </w:rPr>
        <w:t>.</w:t>
      </w:r>
    </w:p>
    <w:p w:rsidR="00271744" w:rsidRPr="00672632"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271744" w:rsidRDefault="00271744" w:rsidP="00271744">
      <w:pPr>
        <w:tabs>
          <w:tab w:val="left" w:pos="-720"/>
        </w:tabs>
        <w:suppressAutoHyphens/>
        <w:spacing w:line="360" w:lineRule="auto"/>
        <w:jc w:val="both"/>
        <w:rPr>
          <w:rFonts w:ascii="Arial" w:hAnsi="Arial" w:cs="Arial"/>
          <w:sz w:val="24"/>
          <w:szCs w:val="24"/>
        </w:rPr>
      </w:pPr>
      <w:r w:rsidRPr="00A22738">
        <w:rPr>
          <w:rFonts w:ascii="Arial" w:hAnsi="Arial" w:cs="Arial"/>
          <w:sz w:val="24"/>
        </w:rPr>
        <w:t>La sentencia C-491 de 1995 de la Corte Constitucional, agregó 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271744" w:rsidRDefault="00271744" w:rsidP="00271744">
      <w:pPr>
        <w:tabs>
          <w:tab w:val="left" w:pos="-720"/>
        </w:tabs>
        <w:suppressAutoHyphens/>
        <w:spacing w:line="360" w:lineRule="auto"/>
        <w:jc w:val="both"/>
        <w:rPr>
          <w:rFonts w:ascii="Arial" w:hAnsi="Arial" w:cs="Arial"/>
          <w:sz w:val="24"/>
          <w:szCs w:val="24"/>
        </w:rPr>
      </w:pPr>
    </w:p>
    <w:p w:rsidR="00271744" w:rsidRPr="00F90B4C" w:rsidRDefault="00271744" w:rsidP="00271744">
      <w:pPr>
        <w:pStyle w:val="Sinespaciado"/>
        <w:widowControl/>
        <w:numPr>
          <w:ilvl w:val="1"/>
          <w:numId w:val="1"/>
        </w:numPr>
        <w:autoSpaceDE/>
        <w:autoSpaceDN/>
        <w:adjustRightInd/>
        <w:spacing w:line="360" w:lineRule="auto"/>
        <w:jc w:val="both"/>
        <w:rPr>
          <w:rFonts w:ascii="Arial" w:hAnsi="Arial" w:cs="Arial"/>
        </w:rPr>
      </w:pPr>
      <w:r w:rsidRPr="00F90B4C">
        <w:rPr>
          <w:rFonts w:ascii="Arial" w:hAnsi="Arial" w:cs="Arial"/>
        </w:rPr>
        <w:t>Los presupuestos de las nulidades procesales</w:t>
      </w:r>
    </w:p>
    <w:p w:rsidR="00271744" w:rsidRDefault="00271744" w:rsidP="00271744">
      <w:pPr>
        <w:pStyle w:val="Sinespaciado"/>
        <w:spacing w:line="360" w:lineRule="auto"/>
        <w:jc w:val="both"/>
        <w:rPr>
          <w:rFonts w:ascii="Arial" w:hAnsi="Arial" w:cs="Arial"/>
        </w:rPr>
      </w:pPr>
    </w:p>
    <w:p w:rsidR="00271744" w:rsidRPr="00903782" w:rsidRDefault="00271744" w:rsidP="00271744">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 xml:space="preserve">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w:t>
      </w:r>
      <w:proofErr w:type="spellStart"/>
      <w:r w:rsidRPr="007A7757">
        <w:rPr>
          <w:rFonts w:ascii="Arial" w:hAnsi="Arial" w:cs="Arial"/>
          <w:sz w:val="24"/>
        </w:rPr>
        <w:t>saneable</w:t>
      </w:r>
      <w:proofErr w:type="spellEnd"/>
      <w:r>
        <w:rPr>
          <w:rFonts w:ascii="Arial" w:hAnsi="Arial" w:cs="Arial"/>
          <w:sz w:val="24"/>
        </w:rPr>
        <w:t xml:space="preserve"> </w:t>
      </w:r>
      <w:r>
        <w:rPr>
          <w:rFonts w:ascii="Arial" w:hAnsi="Arial" w:cs="Arial"/>
          <w:sz w:val="24"/>
          <w:szCs w:val="24"/>
          <w:lang w:val="es-MX"/>
        </w:rPr>
        <w:t>(Artículo 144, ordina</w:t>
      </w:r>
      <w:r w:rsidRPr="00903782">
        <w:rPr>
          <w:rFonts w:ascii="Arial" w:hAnsi="Arial" w:cs="Arial"/>
          <w:sz w:val="24"/>
          <w:szCs w:val="24"/>
        </w:rPr>
        <w:t>l 3°</w:t>
      </w:r>
      <w:r>
        <w:rPr>
          <w:rFonts w:ascii="Arial" w:hAnsi="Arial" w:cs="Arial"/>
          <w:sz w:val="24"/>
          <w:szCs w:val="24"/>
        </w:rPr>
        <w:t>, CPC)</w:t>
      </w:r>
      <w:r w:rsidRPr="007A7757">
        <w:rPr>
          <w:rFonts w:ascii="Arial" w:hAnsi="Arial" w:cs="Arial"/>
          <w:sz w:val="24"/>
        </w:rPr>
        <w:t>, ante la ausencia de la parte, representada por curador</w:t>
      </w:r>
      <w:r w:rsidRPr="003E1A30">
        <w:rPr>
          <w:rFonts w:ascii="Arial" w:hAnsi="Arial" w:cs="Arial"/>
          <w:i/>
          <w:sz w:val="24"/>
          <w:szCs w:val="24"/>
        </w:rPr>
        <w:t xml:space="preserve"> </w:t>
      </w:r>
      <w:r w:rsidRPr="00903782">
        <w:rPr>
          <w:rFonts w:ascii="Arial" w:hAnsi="Arial" w:cs="Arial"/>
          <w:i/>
          <w:sz w:val="24"/>
          <w:szCs w:val="24"/>
        </w:rPr>
        <w:t xml:space="preserve">ad </w:t>
      </w:r>
      <w:proofErr w:type="spellStart"/>
      <w:r w:rsidRPr="00903782">
        <w:rPr>
          <w:rFonts w:ascii="Arial" w:hAnsi="Arial" w:cs="Arial"/>
          <w:i/>
          <w:sz w:val="24"/>
          <w:szCs w:val="24"/>
        </w:rPr>
        <w:t>litem</w:t>
      </w:r>
      <w:proofErr w:type="spellEnd"/>
      <w:r w:rsidRPr="00903782">
        <w:rPr>
          <w:rFonts w:ascii="Arial" w:hAnsi="Arial" w:cs="Arial"/>
          <w:sz w:val="24"/>
          <w:szCs w:val="24"/>
        </w:rPr>
        <w:t>, que carec</w:t>
      </w:r>
      <w:r>
        <w:rPr>
          <w:rFonts w:ascii="Arial" w:hAnsi="Arial" w:cs="Arial"/>
          <w:sz w:val="24"/>
          <w:szCs w:val="24"/>
        </w:rPr>
        <w:t xml:space="preserve">e </w:t>
      </w:r>
      <w:r w:rsidRPr="00903782">
        <w:rPr>
          <w:rFonts w:ascii="Arial" w:hAnsi="Arial" w:cs="Arial"/>
          <w:sz w:val="24"/>
          <w:szCs w:val="24"/>
        </w:rPr>
        <w:t>de toda facultad para convalidar la actuación, debe remediarse</w:t>
      </w:r>
      <w:r w:rsidRPr="00903782">
        <w:rPr>
          <w:rFonts w:ascii="Arial" w:hAnsi="Arial" w:cs="Arial"/>
          <w:sz w:val="24"/>
          <w:szCs w:val="24"/>
          <w:lang w:val="es-MX"/>
        </w:rPr>
        <w:t xml:space="preserve"> bajo la declaración de nulidad. </w:t>
      </w:r>
    </w:p>
    <w:p w:rsidR="00646320" w:rsidRDefault="00646320" w:rsidP="00E316D9">
      <w:pPr>
        <w:tabs>
          <w:tab w:val="left" w:pos="-720"/>
        </w:tabs>
        <w:suppressAutoHyphens/>
        <w:spacing w:line="360" w:lineRule="auto"/>
        <w:jc w:val="both"/>
        <w:rPr>
          <w:rFonts w:ascii="Arial" w:hAnsi="Arial" w:cs="Arial"/>
          <w:spacing w:val="-3"/>
          <w:sz w:val="24"/>
          <w:szCs w:val="24"/>
        </w:rPr>
      </w:pPr>
    </w:p>
    <w:p w:rsidR="00485BA4" w:rsidRDefault="00485BA4" w:rsidP="00485BA4">
      <w:pPr>
        <w:pStyle w:val="Sinespaciado"/>
        <w:widowControl/>
        <w:numPr>
          <w:ilvl w:val="1"/>
          <w:numId w:val="1"/>
        </w:numPr>
        <w:autoSpaceDE/>
        <w:autoSpaceDN/>
        <w:adjustRightInd/>
        <w:spacing w:line="360" w:lineRule="auto"/>
        <w:jc w:val="both"/>
        <w:rPr>
          <w:rFonts w:ascii="Arial" w:hAnsi="Arial" w:cs="Arial"/>
        </w:rPr>
      </w:pPr>
      <w:r>
        <w:rPr>
          <w:rFonts w:ascii="Arial" w:hAnsi="Arial" w:cs="Arial"/>
        </w:rPr>
        <w:t>La</w:t>
      </w:r>
      <w:r w:rsidR="00F70EF4">
        <w:rPr>
          <w:rFonts w:ascii="Arial" w:hAnsi="Arial" w:cs="Arial"/>
        </w:rPr>
        <w:t xml:space="preserve"> causal de indebida notificación a los terceros</w:t>
      </w:r>
    </w:p>
    <w:p w:rsidR="00485BA4" w:rsidRDefault="00485BA4" w:rsidP="00E316D9">
      <w:pPr>
        <w:tabs>
          <w:tab w:val="left" w:pos="-720"/>
        </w:tabs>
        <w:suppressAutoHyphens/>
        <w:spacing w:line="360" w:lineRule="auto"/>
        <w:jc w:val="both"/>
        <w:rPr>
          <w:rFonts w:ascii="Arial" w:hAnsi="Arial" w:cs="Arial"/>
          <w:spacing w:val="-3"/>
          <w:sz w:val="24"/>
          <w:szCs w:val="24"/>
        </w:rPr>
      </w:pPr>
    </w:p>
    <w:p w:rsidR="00A6415E" w:rsidRDefault="009E66A3" w:rsidP="00A6415E">
      <w:pPr>
        <w:tabs>
          <w:tab w:val="left" w:pos="-720"/>
        </w:tabs>
        <w:suppressAutoHyphens/>
        <w:spacing w:line="360" w:lineRule="auto"/>
        <w:jc w:val="both"/>
        <w:rPr>
          <w:rFonts w:ascii="Arial" w:hAnsi="Arial" w:cs="Arial"/>
          <w:spacing w:val="-3"/>
          <w:sz w:val="24"/>
          <w:szCs w:val="24"/>
        </w:rPr>
      </w:pPr>
      <w:r w:rsidRPr="009F2506">
        <w:rPr>
          <w:rFonts w:ascii="Arial" w:hAnsi="Arial" w:cs="Arial"/>
          <w:spacing w:val="-3"/>
          <w:sz w:val="24"/>
          <w:szCs w:val="24"/>
        </w:rPr>
        <w:t xml:space="preserve">Establece </w:t>
      </w:r>
      <w:r>
        <w:rPr>
          <w:rFonts w:ascii="Arial" w:hAnsi="Arial" w:cs="Arial"/>
          <w:spacing w:val="-3"/>
          <w:sz w:val="24"/>
          <w:szCs w:val="24"/>
        </w:rPr>
        <w:t>e</w:t>
      </w:r>
      <w:r w:rsidR="00F70EF4">
        <w:rPr>
          <w:rFonts w:ascii="Arial" w:hAnsi="Arial" w:cs="Arial"/>
          <w:spacing w:val="-3"/>
          <w:sz w:val="24"/>
          <w:szCs w:val="24"/>
        </w:rPr>
        <w:t xml:space="preserve">l artículo 140-9 del CPC, </w:t>
      </w:r>
      <w:r w:rsidR="00A6415E" w:rsidRPr="009F2506">
        <w:rPr>
          <w:rFonts w:ascii="Arial" w:hAnsi="Arial" w:cs="Arial"/>
          <w:spacing w:val="-3"/>
          <w:sz w:val="24"/>
          <w:szCs w:val="24"/>
        </w:rPr>
        <w:t xml:space="preserve">que </w:t>
      </w:r>
      <w:r w:rsidR="00A6415E">
        <w:rPr>
          <w:rFonts w:ascii="Arial" w:hAnsi="Arial" w:cs="Arial"/>
          <w:spacing w:val="-3"/>
          <w:sz w:val="24"/>
          <w:szCs w:val="24"/>
        </w:rPr>
        <w:t xml:space="preserve">cuando se práctica en forma indebida, valga </w:t>
      </w:r>
      <w:r w:rsidR="00973322">
        <w:rPr>
          <w:rFonts w:ascii="Arial" w:hAnsi="Arial" w:cs="Arial"/>
          <w:spacing w:val="-3"/>
          <w:sz w:val="24"/>
          <w:szCs w:val="24"/>
        </w:rPr>
        <w:t>decir no se hace en forma legal</w:t>
      </w:r>
      <w:r w:rsidR="00146704">
        <w:rPr>
          <w:rFonts w:ascii="Arial" w:hAnsi="Arial" w:cs="Arial"/>
          <w:spacing w:val="-3"/>
          <w:sz w:val="24"/>
          <w:szCs w:val="24"/>
        </w:rPr>
        <w:t>,</w:t>
      </w:r>
      <w:r w:rsidR="00A6415E">
        <w:rPr>
          <w:rFonts w:ascii="Arial" w:hAnsi="Arial" w:cs="Arial"/>
          <w:spacing w:val="-3"/>
          <w:sz w:val="24"/>
          <w:szCs w:val="24"/>
        </w:rPr>
        <w:t xml:space="preserve"> </w:t>
      </w:r>
      <w:r w:rsidR="00973322">
        <w:rPr>
          <w:rFonts w:ascii="Arial" w:hAnsi="Arial" w:cs="Arial"/>
          <w:spacing w:val="-3"/>
          <w:sz w:val="24"/>
          <w:szCs w:val="24"/>
        </w:rPr>
        <w:t xml:space="preserve">(i) La </w:t>
      </w:r>
      <w:r w:rsidR="00A6415E" w:rsidRPr="009F2506">
        <w:rPr>
          <w:rFonts w:ascii="Arial" w:hAnsi="Arial" w:cs="Arial"/>
          <w:spacing w:val="-3"/>
          <w:sz w:val="24"/>
          <w:szCs w:val="24"/>
        </w:rPr>
        <w:t xml:space="preserve">notificación </w:t>
      </w:r>
      <w:r w:rsidR="00A6415E">
        <w:rPr>
          <w:rFonts w:ascii="Arial" w:hAnsi="Arial" w:cs="Arial"/>
          <w:spacing w:val="-3"/>
          <w:sz w:val="24"/>
          <w:szCs w:val="24"/>
        </w:rPr>
        <w:t>a las personas determinadas</w:t>
      </w:r>
      <w:r w:rsidR="00BF0841">
        <w:rPr>
          <w:rFonts w:ascii="Arial" w:hAnsi="Arial" w:cs="Arial"/>
          <w:spacing w:val="-3"/>
          <w:sz w:val="24"/>
          <w:szCs w:val="24"/>
        </w:rPr>
        <w:t>, cuando la ley ordena,</w:t>
      </w:r>
      <w:r w:rsidR="00193599">
        <w:rPr>
          <w:rFonts w:ascii="Arial" w:hAnsi="Arial" w:cs="Arial"/>
          <w:spacing w:val="-3"/>
          <w:sz w:val="24"/>
          <w:szCs w:val="24"/>
        </w:rPr>
        <w:t xml:space="preserve"> que deban ser citadas como partes o como sucesores de quien es parte</w:t>
      </w:r>
      <w:r w:rsidR="00973322">
        <w:rPr>
          <w:rFonts w:ascii="Arial" w:hAnsi="Arial" w:cs="Arial"/>
          <w:spacing w:val="-3"/>
          <w:sz w:val="24"/>
          <w:szCs w:val="24"/>
        </w:rPr>
        <w:t>;</w:t>
      </w:r>
      <w:r w:rsidR="00A6415E">
        <w:rPr>
          <w:rFonts w:ascii="Arial" w:hAnsi="Arial" w:cs="Arial"/>
          <w:spacing w:val="-3"/>
          <w:sz w:val="24"/>
          <w:szCs w:val="24"/>
        </w:rPr>
        <w:t xml:space="preserve"> o </w:t>
      </w:r>
      <w:r w:rsidR="00973322">
        <w:rPr>
          <w:rFonts w:ascii="Arial" w:hAnsi="Arial" w:cs="Arial"/>
          <w:spacing w:val="-3"/>
          <w:sz w:val="24"/>
          <w:szCs w:val="24"/>
        </w:rPr>
        <w:t xml:space="preserve">(ii) El </w:t>
      </w:r>
      <w:r w:rsidR="00A6415E">
        <w:rPr>
          <w:rFonts w:ascii="Arial" w:hAnsi="Arial" w:cs="Arial"/>
          <w:spacing w:val="-3"/>
          <w:sz w:val="24"/>
          <w:szCs w:val="24"/>
        </w:rPr>
        <w:t xml:space="preserve">emplazamiento de las demás </w:t>
      </w:r>
      <w:r w:rsidR="00193599">
        <w:rPr>
          <w:rFonts w:ascii="Arial" w:hAnsi="Arial" w:cs="Arial"/>
          <w:spacing w:val="-3"/>
          <w:sz w:val="24"/>
          <w:szCs w:val="24"/>
        </w:rPr>
        <w:t xml:space="preserve">personas </w:t>
      </w:r>
      <w:r w:rsidR="00A6415E">
        <w:rPr>
          <w:rFonts w:ascii="Arial" w:hAnsi="Arial" w:cs="Arial"/>
          <w:spacing w:val="-3"/>
          <w:sz w:val="24"/>
          <w:szCs w:val="24"/>
        </w:rPr>
        <w:t xml:space="preserve">aunque sean </w:t>
      </w:r>
      <w:r w:rsidR="00193599">
        <w:rPr>
          <w:rFonts w:ascii="Arial" w:hAnsi="Arial" w:cs="Arial"/>
          <w:spacing w:val="-3"/>
          <w:sz w:val="24"/>
          <w:szCs w:val="24"/>
        </w:rPr>
        <w:t>in</w:t>
      </w:r>
      <w:r w:rsidR="00A6415E">
        <w:rPr>
          <w:rFonts w:ascii="Arial" w:hAnsi="Arial" w:cs="Arial"/>
          <w:spacing w:val="-3"/>
          <w:sz w:val="24"/>
          <w:szCs w:val="24"/>
        </w:rPr>
        <w:t>determinadas</w:t>
      </w:r>
      <w:r w:rsidR="00973322">
        <w:rPr>
          <w:rFonts w:ascii="Arial" w:hAnsi="Arial" w:cs="Arial"/>
          <w:spacing w:val="-3"/>
          <w:sz w:val="24"/>
          <w:szCs w:val="24"/>
        </w:rPr>
        <w:t>;</w:t>
      </w:r>
      <w:r w:rsidR="00A6415E">
        <w:rPr>
          <w:rFonts w:ascii="Arial" w:hAnsi="Arial" w:cs="Arial"/>
          <w:spacing w:val="-3"/>
          <w:sz w:val="24"/>
          <w:szCs w:val="24"/>
        </w:rPr>
        <w:t xml:space="preserve"> </w:t>
      </w:r>
      <w:r w:rsidR="0098061E">
        <w:rPr>
          <w:rFonts w:ascii="Arial" w:hAnsi="Arial" w:cs="Arial"/>
          <w:spacing w:val="-3"/>
          <w:sz w:val="24"/>
          <w:szCs w:val="24"/>
        </w:rPr>
        <w:t>ser</w:t>
      </w:r>
      <w:r w:rsidR="00A6415E" w:rsidRPr="009F2506">
        <w:rPr>
          <w:rFonts w:ascii="Arial" w:hAnsi="Arial" w:cs="Arial"/>
          <w:spacing w:val="-3"/>
          <w:sz w:val="24"/>
          <w:szCs w:val="24"/>
        </w:rPr>
        <w:t xml:space="preserve">á nula la actuación posterior que dependa de </w:t>
      </w:r>
      <w:r w:rsidRPr="009F2506">
        <w:rPr>
          <w:rFonts w:ascii="Arial" w:hAnsi="Arial" w:cs="Arial"/>
          <w:spacing w:val="-3"/>
          <w:sz w:val="24"/>
          <w:szCs w:val="24"/>
        </w:rPr>
        <w:t>dicha</w:t>
      </w:r>
      <w:r w:rsidR="0098061E">
        <w:rPr>
          <w:rFonts w:ascii="Arial" w:hAnsi="Arial" w:cs="Arial"/>
          <w:spacing w:val="-3"/>
          <w:sz w:val="24"/>
          <w:szCs w:val="24"/>
        </w:rPr>
        <w:t xml:space="preserve"> comunicación</w:t>
      </w:r>
      <w:r w:rsidR="00A6415E" w:rsidRPr="009F2506">
        <w:rPr>
          <w:rFonts w:ascii="Arial" w:hAnsi="Arial" w:cs="Arial"/>
          <w:spacing w:val="-3"/>
          <w:sz w:val="24"/>
          <w:szCs w:val="24"/>
        </w:rPr>
        <w:t>, salvo que la parte a quien se dejó de notifica</w:t>
      </w:r>
      <w:r w:rsidR="00A6415E">
        <w:rPr>
          <w:rFonts w:ascii="Arial" w:hAnsi="Arial" w:cs="Arial"/>
          <w:spacing w:val="-3"/>
          <w:sz w:val="24"/>
          <w:szCs w:val="24"/>
        </w:rPr>
        <w:t>r haya actuado sin proponerla (Artículo 144-4º, CPC).</w:t>
      </w:r>
      <w:r w:rsidR="00E10E96">
        <w:rPr>
          <w:rFonts w:ascii="Arial" w:hAnsi="Arial" w:cs="Arial"/>
          <w:spacing w:val="-3"/>
          <w:sz w:val="24"/>
          <w:szCs w:val="24"/>
        </w:rPr>
        <w:t xml:space="preserve"> Al respecto la jurisprudencia de la CSJ</w:t>
      </w:r>
      <w:r w:rsidR="00E10E96">
        <w:rPr>
          <w:rStyle w:val="Refdenotaalpie"/>
          <w:rFonts w:ascii="Arial" w:hAnsi="Arial"/>
          <w:spacing w:val="-3"/>
          <w:sz w:val="24"/>
          <w:szCs w:val="24"/>
        </w:rPr>
        <w:footnoteReference w:id="9"/>
      </w:r>
      <w:r w:rsidR="00E10E96">
        <w:rPr>
          <w:rFonts w:ascii="Arial" w:hAnsi="Arial" w:cs="Arial"/>
          <w:spacing w:val="-3"/>
          <w:sz w:val="24"/>
          <w:szCs w:val="24"/>
        </w:rPr>
        <w:t xml:space="preserve">, ha dicho: </w:t>
      </w:r>
    </w:p>
    <w:p w:rsidR="00A6415E" w:rsidRDefault="00A6415E" w:rsidP="00E316D9">
      <w:pPr>
        <w:tabs>
          <w:tab w:val="left" w:pos="-720"/>
        </w:tabs>
        <w:suppressAutoHyphens/>
        <w:spacing w:line="360" w:lineRule="auto"/>
        <w:jc w:val="both"/>
        <w:rPr>
          <w:rFonts w:ascii="Arial" w:hAnsi="Arial" w:cs="Arial"/>
          <w:spacing w:val="-3"/>
          <w:sz w:val="24"/>
          <w:szCs w:val="24"/>
        </w:rPr>
      </w:pPr>
    </w:p>
    <w:p w:rsidR="0022046F" w:rsidRPr="0022046F" w:rsidRDefault="0022046F" w:rsidP="0022046F">
      <w:pPr>
        <w:ind w:left="567" w:right="567"/>
        <w:jc w:val="both"/>
        <w:rPr>
          <w:rFonts w:ascii="Arial" w:hAnsi="Arial" w:cs="Arial"/>
          <w:sz w:val="24"/>
          <w:szCs w:val="28"/>
        </w:rPr>
      </w:pPr>
      <w:r>
        <w:rPr>
          <w:rFonts w:ascii="Arial" w:hAnsi="Arial" w:cs="Arial"/>
          <w:sz w:val="24"/>
          <w:szCs w:val="28"/>
        </w:rPr>
        <w:t xml:space="preserve">4.1.- </w:t>
      </w:r>
      <w:r w:rsidRPr="0022046F">
        <w:rPr>
          <w:rFonts w:ascii="Arial" w:hAnsi="Arial" w:cs="Arial"/>
          <w:sz w:val="24"/>
          <w:szCs w:val="28"/>
        </w:rPr>
        <w:t xml:space="preserve">El artículo 140, numeral 9º, erige como motivo de nulidad, la indebida notificación o emplazamiento de las personas que deben ser citadas como partes, así sean indeterminadas, causal que no otra cosa propende rescatar </w:t>
      </w:r>
      <w:r w:rsidRPr="0022046F">
        <w:rPr>
          <w:rFonts w:ascii="Arial" w:hAnsi="Arial" w:cs="Arial"/>
          <w:sz w:val="24"/>
          <w:szCs w:val="28"/>
        </w:rPr>
        <w:lastRenderedPageBreak/>
        <w:t>la posibilidad de efectivizar las garantías mínimas de defensa y contradicción, en el sentido de permitir conocer y rebatir tanto los hechos como las pretensiones, y de ejercer el legítimo derecho de impugnación.</w:t>
      </w:r>
    </w:p>
    <w:p w:rsidR="0022046F" w:rsidRPr="0022046F" w:rsidRDefault="0022046F" w:rsidP="0022046F">
      <w:pPr>
        <w:ind w:left="567" w:right="567"/>
        <w:jc w:val="both"/>
        <w:rPr>
          <w:rFonts w:ascii="Arial" w:hAnsi="Arial" w:cs="Arial"/>
          <w:sz w:val="24"/>
          <w:szCs w:val="24"/>
        </w:rPr>
      </w:pPr>
    </w:p>
    <w:p w:rsidR="0022046F" w:rsidRPr="00903782" w:rsidRDefault="0022046F" w:rsidP="0022046F">
      <w:pPr>
        <w:ind w:left="567" w:right="567"/>
        <w:jc w:val="both"/>
        <w:rPr>
          <w:rFonts w:ascii="Arial" w:hAnsi="Arial" w:cs="Arial"/>
          <w:sz w:val="24"/>
          <w:szCs w:val="24"/>
          <w:lang w:val="es-MX"/>
        </w:rPr>
      </w:pPr>
      <w:r w:rsidRPr="0022046F">
        <w:rPr>
          <w:rFonts w:ascii="Arial" w:hAnsi="Arial" w:cs="Arial"/>
          <w:sz w:val="24"/>
          <w:szCs w:val="24"/>
          <w:lang w:val="es-MX"/>
        </w:rPr>
        <w:t>En palabras de la Sala, la notificación y el emplazamiento en debida forma, “franquea la puerta al ejercicio del derecho de defensa, garantía constitucional que como componente fundamental del debido proceso se resiente en presencia de irregularidades en el trámite cumplido para lograr la comparecencia del demandado en el juicio. En ese contexto, la ley requiere que la primicia sobre la existencia del proceso deba darse al demandado cumpliendo a cabalidad las exigencias que ha puesto el legislador en tan delicada materia, todo con el fin de lograr el propósito de integrarlo personalmente a la relación jurídico procesal”.</w:t>
      </w:r>
    </w:p>
    <w:p w:rsidR="0022046F" w:rsidRDefault="0022046F" w:rsidP="00E316D9">
      <w:pPr>
        <w:tabs>
          <w:tab w:val="left" w:pos="-720"/>
        </w:tabs>
        <w:suppressAutoHyphens/>
        <w:spacing w:line="360" w:lineRule="auto"/>
        <w:jc w:val="both"/>
        <w:rPr>
          <w:rFonts w:ascii="Arial" w:hAnsi="Arial" w:cs="Arial"/>
          <w:spacing w:val="-3"/>
          <w:sz w:val="24"/>
          <w:szCs w:val="24"/>
          <w:lang w:val="es-MX"/>
        </w:rPr>
      </w:pPr>
    </w:p>
    <w:p w:rsidR="0022046F" w:rsidRDefault="0098061E" w:rsidP="00E316D9">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De acuerdo con lo expresado</w:t>
      </w:r>
      <w:r w:rsidR="0022046F">
        <w:rPr>
          <w:rFonts w:ascii="Arial" w:hAnsi="Arial" w:cs="Arial"/>
          <w:spacing w:val="-3"/>
          <w:sz w:val="24"/>
          <w:szCs w:val="24"/>
          <w:lang w:val="es-MX"/>
        </w:rPr>
        <w:t>, la citada norma consagra varias hipótesis en las que puede presentarse la nulidad</w:t>
      </w:r>
      <w:r>
        <w:rPr>
          <w:rFonts w:ascii="Arial" w:hAnsi="Arial" w:cs="Arial"/>
          <w:spacing w:val="-3"/>
          <w:sz w:val="24"/>
          <w:szCs w:val="24"/>
          <w:lang w:val="es-MX"/>
        </w:rPr>
        <w:t xml:space="preserve">, bien </w:t>
      </w:r>
      <w:r w:rsidR="0022046F">
        <w:rPr>
          <w:rFonts w:ascii="Arial" w:hAnsi="Arial" w:cs="Arial"/>
          <w:spacing w:val="-3"/>
          <w:sz w:val="24"/>
          <w:szCs w:val="24"/>
          <w:lang w:val="es-MX"/>
        </w:rPr>
        <w:t xml:space="preserve">en consideración de la persona que </w:t>
      </w:r>
      <w:r w:rsidR="00F70EF4">
        <w:rPr>
          <w:rFonts w:ascii="Arial" w:hAnsi="Arial" w:cs="Arial"/>
          <w:spacing w:val="-3"/>
          <w:sz w:val="24"/>
          <w:szCs w:val="24"/>
          <w:lang w:val="es-MX"/>
        </w:rPr>
        <w:t xml:space="preserve">debía </w:t>
      </w:r>
      <w:r w:rsidR="0022046F">
        <w:rPr>
          <w:rFonts w:ascii="Arial" w:hAnsi="Arial" w:cs="Arial"/>
          <w:spacing w:val="-3"/>
          <w:sz w:val="24"/>
          <w:szCs w:val="24"/>
          <w:lang w:val="es-MX"/>
        </w:rPr>
        <w:t>notificarse o</w:t>
      </w:r>
      <w:r>
        <w:rPr>
          <w:rFonts w:ascii="Arial" w:hAnsi="Arial" w:cs="Arial"/>
          <w:spacing w:val="-3"/>
          <w:sz w:val="24"/>
          <w:szCs w:val="24"/>
          <w:lang w:val="es-MX"/>
        </w:rPr>
        <w:t xml:space="preserve"> a</w:t>
      </w:r>
      <w:r w:rsidR="0022046F">
        <w:rPr>
          <w:rFonts w:ascii="Arial" w:hAnsi="Arial" w:cs="Arial"/>
          <w:spacing w:val="-3"/>
          <w:sz w:val="24"/>
          <w:szCs w:val="24"/>
          <w:lang w:val="es-MX"/>
        </w:rPr>
        <w:t xml:space="preserve"> la f</w:t>
      </w:r>
      <w:r w:rsidR="00D042D8">
        <w:rPr>
          <w:rFonts w:ascii="Arial" w:hAnsi="Arial" w:cs="Arial"/>
          <w:spacing w:val="-3"/>
          <w:sz w:val="24"/>
          <w:szCs w:val="24"/>
          <w:lang w:val="es-MX"/>
        </w:rPr>
        <w:t xml:space="preserve">orma como </w:t>
      </w:r>
      <w:r w:rsidR="00F70EF4">
        <w:rPr>
          <w:rFonts w:ascii="Arial" w:hAnsi="Arial" w:cs="Arial"/>
          <w:spacing w:val="-3"/>
          <w:sz w:val="24"/>
          <w:szCs w:val="24"/>
          <w:lang w:val="es-MX"/>
        </w:rPr>
        <w:t xml:space="preserve">debió </w:t>
      </w:r>
      <w:r w:rsidR="00D042D8">
        <w:rPr>
          <w:rFonts w:ascii="Arial" w:hAnsi="Arial" w:cs="Arial"/>
          <w:spacing w:val="-3"/>
          <w:sz w:val="24"/>
          <w:szCs w:val="24"/>
          <w:lang w:val="es-MX"/>
        </w:rPr>
        <w:t>hace</w:t>
      </w:r>
      <w:r w:rsidR="00F70EF4">
        <w:rPr>
          <w:rFonts w:ascii="Arial" w:hAnsi="Arial" w:cs="Arial"/>
          <w:spacing w:val="-3"/>
          <w:sz w:val="24"/>
          <w:szCs w:val="24"/>
          <w:lang w:val="es-MX"/>
        </w:rPr>
        <w:t>rse</w:t>
      </w:r>
      <w:r>
        <w:rPr>
          <w:rFonts w:ascii="Arial" w:hAnsi="Arial" w:cs="Arial"/>
          <w:spacing w:val="-3"/>
          <w:sz w:val="24"/>
          <w:szCs w:val="24"/>
          <w:lang w:val="es-MX"/>
        </w:rPr>
        <w:t>.</w:t>
      </w:r>
    </w:p>
    <w:p w:rsidR="00BF0841" w:rsidRDefault="00BF0841" w:rsidP="00E316D9">
      <w:pPr>
        <w:tabs>
          <w:tab w:val="left" w:pos="-720"/>
        </w:tabs>
        <w:suppressAutoHyphens/>
        <w:spacing w:line="360" w:lineRule="auto"/>
        <w:jc w:val="both"/>
        <w:rPr>
          <w:rFonts w:ascii="Arial" w:hAnsi="Arial" w:cs="Arial"/>
          <w:spacing w:val="-3"/>
          <w:sz w:val="24"/>
          <w:szCs w:val="24"/>
          <w:lang w:val="es-MX"/>
        </w:rPr>
      </w:pPr>
    </w:p>
    <w:p w:rsidR="00D042D8" w:rsidRDefault="00D042D8" w:rsidP="00D042D8">
      <w:pPr>
        <w:pStyle w:val="Prrafodelista"/>
        <w:numPr>
          <w:ilvl w:val="2"/>
          <w:numId w:val="1"/>
        </w:num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La indebida notificación de personas determinadas</w:t>
      </w:r>
    </w:p>
    <w:p w:rsidR="00D042D8" w:rsidRDefault="00D042D8" w:rsidP="00D042D8">
      <w:pPr>
        <w:tabs>
          <w:tab w:val="left" w:pos="-720"/>
        </w:tabs>
        <w:suppressAutoHyphens/>
        <w:spacing w:line="360" w:lineRule="auto"/>
        <w:jc w:val="both"/>
        <w:rPr>
          <w:rFonts w:ascii="Arial" w:hAnsi="Arial" w:cs="Arial"/>
          <w:spacing w:val="-3"/>
          <w:sz w:val="24"/>
          <w:szCs w:val="24"/>
          <w:lang w:val="es-MX"/>
        </w:rPr>
      </w:pPr>
    </w:p>
    <w:p w:rsidR="00D042D8" w:rsidRDefault="00D042D8" w:rsidP="00D042D8">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Esta causal se configura cuando se incumplen las formalidades propias para la notificación, personal o por aviso, de personas distintas al demandado que como terceros deben vincularse al asunto, entre los que se pueden encontrar el llamado en garantía</w:t>
      </w:r>
      <w:r w:rsidR="00716C24">
        <w:rPr>
          <w:rFonts w:ascii="Arial" w:hAnsi="Arial" w:cs="Arial"/>
          <w:spacing w:val="-3"/>
          <w:sz w:val="24"/>
          <w:szCs w:val="24"/>
          <w:lang w:val="es-MX"/>
        </w:rPr>
        <w:t>,</w:t>
      </w:r>
      <w:r>
        <w:rPr>
          <w:rFonts w:ascii="Arial" w:hAnsi="Arial" w:cs="Arial"/>
          <w:spacing w:val="-3"/>
          <w:sz w:val="24"/>
          <w:szCs w:val="24"/>
          <w:lang w:val="es-MX"/>
        </w:rPr>
        <w:t xml:space="preserve"> el denunciado en el pleito</w:t>
      </w:r>
      <w:r w:rsidR="00716C24">
        <w:rPr>
          <w:rFonts w:ascii="Arial" w:hAnsi="Arial" w:cs="Arial"/>
          <w:spacing w:val="-3"/>
          <w:sz w:val="24"/>
          <w:szCs w:val="24"/>
          <w:lang w:val="es-MX"/>
        </w:rPr>
        <w:t xml:space="preserve"> o los sucesores procesales </w:t>
      </w:r>
      <w:r w:rsidR="003363AD">
        <w:rPr>
          <w:rFonts w:ascii="Arial" w:hAnsi="Arial" w:cs="Arial"/>
          <w:spacing w:val="-3"/>
          <w:sz w:val="24"/>
          <w:szCs w:val="24"/>
          <w:lang w:val="es-MX"/>
        </w:rPr>
        <w:t xml:space="preserve">(Cónyuge, herederos, albacea con tenencia de bienes, curador de herencia yacente) </w:t>
      </w:r>
      <w:r w:rsidR="00716C24">
        <w:rPr>
          <w:rFonts w:ascii="Arial" w:hAnsi="Arial" w:cs="Arial"/>
          <w:spacing w:val="-3"/>
          <w:sz w:val="24"/>
          <w:szCs w:val="24"/>
          <w:lang w:val="es-MX"/>
        </w:rPr>
        <w:t>de quien siendo litigante</w:t>
      </w:r>
      <w:r w:rsidR="00864328">
        <w:rPr>
          <w:rFonts w:ascii="Arial" w:hAnsi="Arial" w:cs="Arial"/>
          <w:spacing w:val="-3"/>
          <w:sz w:val="24"/>
          <w:szCs w:val="24"/>
          <w:lang w:val="es-MX"/>
        </w:rPr>
        <w:t xml:space="preserve"> deja de serlo</w:t>
      </w:r>
      <w:r w:rsidR="00716C24">
        <w:rPr>
          <w:rFonts w:ascii="Arial" w:hAnsi="Arial" w:cs="Arial"/>
          <w:spacing w:val="-3"/>
          <w:sz w:val="24"/>
          <w:szCs w:val="24"/>
          <w:lang w:val="es-MX"/>
        </w:rPr>
        <w:t xml:space="preserve"> en curso del proceso.</w:t>
      </w:r>
    </w:p>
    <w:p w:rsidR="00152009" w:rsidRDefault="00152009" w:rsidP="00D042D8">
      <w:pPr>
        <w:tabs>
          <w:tab w:val="left" w:pos="-720"/>
        </w:tabs>
        <w:suppressAutoHyphens/>
        <w:spacing w:line="360" w:lineRule="auto"/>
        <w:jc w:val="both"/>
        <w:rPr>
          <w:rFonts w:ascii="Arial" w:hAnsi="Arial" w:cs="Arial"/>
          <w:spacing w:val="-3"/>
          <w:sz w:val="24"/>
          <w:szCs w:val="24"/>
          <w:lang w:val="es-MX"/>
        </w:rPr>
      </w:pPr>
    </w:p>
    <w:p w:rsidR="00F70EF4" w:rsidRDefault="00864328" w:rsidP="00D042D8">
      <w:pPr>
        <w:tabs>
          <w:tab w:val="left" w:pos="-720"/>
        </w:tabs>
        <w:suppressAutoHyphens/>
        <w:spacing w:line="360" w:lineRule="auto"/>
        <w:jc w:val="both"/>
        <w:rPr>
          <w:rFonts w:ascii="Arial" w:hAnsi="Arial" w:cs="Arial"/>
          <w:color w:val="000000"/>
          <w:sz w:val="24"/>
          <w:shd w:val="clear" w:color="auto" w:fill="FFFFFF"/>
        </w:rPr>
      </w:pPr>
      <w:r>
        <w:rPr>
          <w:rFonts w:ascii="Arial" w:hAnsi="Arial" w:cs="Arial"/>
          <w:spacing w:val="-3"/>
          <w:sz w:val="24"/>
          <w:szCs w:val="24"/>
          <w:lang w:val="es-MX"/>
        </w:rPr>
        <w:t>Es útil</w:t>
      </w:r>
      <w:r w:rsidR="00640C70">
        <w:rPr>
          <w:rFonts w:ascii="Arial" w:hAnsi="Arial" w:cs="Arial"/>
          <w:spacing w:val="-3"/>
          <w:sz w:val="24"/>
          <w:szCs w:val="24"/>
          <w:lang w:val="es-MX"/>
        </w:rPr>
        <w:t xml:space="preserve"> para el caso</w:t>
      </w:r>
      <w:r>
        <w:rPr>
          <w:rFonts w:ascii="Arial" w:hAnsi="Arial" w:cs="Arial"/>
          <w:spacing w:val="-3"/>
          <w:sz w:val="24"/>
          <w:szCs w:val="24"/>
          <w:lang w:val="es-MX"/>
        </w:rPr>
        <w:t xml:space="preserve"> recordar que</w:t>
      </w:r>
      <w:r w:rsidR="00533A40">
        <w:rPr>
          <w:rFonts w:ascii="Arial" w:hAnsi="Arial" w:cs="Arial"/>
          <w:spacing w:val="-3"/>
          <w:sz w:val="24"/>
          <w:szCs w:val="24"/>
          <w:lang w:val="es-MX"/>
        </w:rPr>
        <w:t>,</w:t>
      </w:r>
      <w:r>
        <w:rPr>
          <w:rFonts w:ascii="Arial" w:hAnsi="Arial" w:cs="Arial"/>
          <w:spacing w:val="-3"/>
          <w:sz w:val="24"/>
          <w:szCs w:val="24"/>
          <w:lang w:val="es-MX"/>
        </w:rPr>
        <w:t xml:space="preserve"> </w:t>
      </w:r>
      <w:r w:rsidR="00152009">
        <w:rPr>
          <w:rFonts w:ascii="Arial" w:hAnsi="Arial" w:cs="Arial"/>
          <w:spacing w:val="-3"/>
          <w:sz w:val="24"/>
          <w:szCs w:val="24"/>
          <w:lang w:val="es-MX"/>
        </w:rPr>
        <w:t xml:space="preserve">la figura </w:t>
      </w:r>
      <w:r w:rsidR="00533A40">
        <w:rPr>
          <w:rFonts w:ascii="Arial" w:hAnsi="Arial" w:cs="Arial"/>
          <w:spacing w:val="-3"/>
          <w:sz w:val="24"/>
          <w:szCs w:val="24"/>
          <w:lang w:val="es-MX"/>
        </w:rPr>
        <w:t xml:space="preserve">de la </w:t>
      </w:r>
      <w:r w:rsidR="00533A40" w:rsidRPr="00DB7D6E">
        <w:rPr>
          <w:rFonts w:ascii="Arial" w:hAnsi="Arial" w:cs="Arial"/>
          <w:spacing w:val="-3"/>
          <w:sz w:val="24"/>
          <w:szCs w:val="24"/>
          <w:lang w:val="es-MX"/>
        </w:rPr>
        <w:t>s</w:t>
      </w:r>
      <w:r w:rsidRPr="00DB7D6E">
        <w:rPr>
          <w:rFonts w:ascii="Arial" w:hAnsi="Arial" w:cs="Arial"/>
          <w:spacing w:val="-3"/>
          <w:sz w:val="24"/>
          <w:szCs w:val="24"/>
          <w:lang w:val="es-MX"/>
        </w:rPr>
        <w:t>ucesión procesal</w:t>
      </w:r>
      <w:r>
        <w:rPr>
          <w:rFonts w:ascii="Arial" w:hAnsi="Arial" w:cs="Arial"/>
          <w:spacing w:val="-3"/>
          <w:sz w:val="24"/>
          <w:szCs w:val="24"/>
          <w:lang w:val="es-MX"/>
        </w:rPr>
        <w:t xml:space="preserve">, puede ocurrir </w:t>
      </w:r>
      <w:r w:rsidRPr="00864328">
        <w:rPr>
          <w:rFonts w:ascii="Arial" w:hAnsi="Arial" w:cs="Arial"/>
          <w:color w:val="000000"/>
          <w:sz w:val="24"/>
          <w:shd w:val="clear" w:color="auto" w:fill="FFFFFF"/>
        </w:rPr>
        <w:t>po</w:t>
      </w:r>
      <w:r>
        <w:rPr>
          <w:rFonts w:ascii="Arial" w:hAnsi="Arial" w:cs="Arial"/>
          <w:color w:val="000000"/>
          <w:sz w:val="24"/>
          <w:shd w:val="clear" w:color="auto" w:fill="FFFFFF"/>
        </w:rPr>
        <w:t xml:space="preserve">r muerte </w:t>
      </w:r>
      <w:r w:rsidR="00F36FB3">
        <w:rPr>
          <w:rFonts w:ascii="Arial" w:hAnsi="Arial" w:cs="Arial"/>
          <w:color w:val="000000"/>
          <w:sz w:val="24"/>
          <w:shd w:val="clear" w:color="auto" w:fill="FFFFFF"/>
        </w:rPr>
        <w:t xml:space="preserve">sobreviniente </w:t>
      </w:r>
      <w:r>
        <w:rPr>
          <w:rFonts w:ascii="Arial" w:hAnsi="Arial" w:cs="Arial"/>
          <w:color w:val="000000"/>
          <w:sz w:val="24"/>
          <w:shd w:val="clear" w:color="auto" w:fill="FFFFFF"/>
        </w:rPr>
        <w:t xml:space="preserve">de una de las partes o </w:t>
      </w:r>
      <w:r w:rsidRPr="00864328">
        <w:rPr>
          <w:rFonts w:ascii="Arial" w:hAnsi="Arial" w:cs="Arial"/>
          <w:color w:val="000000"/>
          <w:sz w:val="24"/>
          <w:shd w:val="clear" w:color="auto" w:fill="FFFFFF"/>
        </w:rPr>
        <w:t>por transferencia de la cosa litigiosa por acto entre vivos</w:t>
      </w:r>
      <w:r w:rsidR="00F36FB3">
        <w:rPr>
          <w:rFonts w:ascii="Arial" w:hAnsi="Arial" w:cs="Arial"/>
          <w:color w:val="000000"/>
          <w:sz w:val="24"/>
          <w:shd w:val="clear" w:color="auto" w:fill="FFFFFF"/>
        </w:rPr>
        <w:t xml:space="preserve">. </w:t>
      </w:r>
    </w:p>
    <w:p w:rsidR="00F70EF4" w:rsidRDefault="00F70EF4" w:rsidP="00D042D8">
      <w:pPr>
        <w:tabs>
          <w:tab w:val="left" w:pos="-720"/>
        </w:tabs>
        <w:suppressAutoHyphens/>
        <w:spacing w:line="360" w:lineRule="auto"/>
        <w:jc w:val="both"/>
        <w:rPr>
          <w:rFonts w:ascii="Arial" w:hAnsi="Arial" w:cs="Arial"/>
          <w:color w:val="000000"/>
          <w:sz w:val="24"/>
          <w:shd w:val="clear" w:color="auto" w:fill="FFFFFF"/>
        </w:rPr>
      </w:pPr>
    </w:p>
    <w:p w:rsidR="0008468F" w:rsidRDefault="00F36FB3" w:rsidP="00D042D8">
      <w:pPr>
        <w:tabs>
          <w:tab w:val="left" w:pos="-720"/>
        </w:tabs>
        <w:suppressAutoHyphens/>
        <w:spacing w:line="360" w:lineRule="auto"/>
        <w:jc w:val="both"/>
        <w:rPr>
          <w:rFonts w:ascii="Arial" w:hAnsi="Arial" w:cs="Arial"/>
          <w:color w:val="000000"/>
          <w:sz w:val="24"/>
          <w:shd w:val="clear" w:color="auto" w:fill="FFFFFF"/>
        </w:rPr>
      </w:pPr>
      <w:r>
        <w:rPr>
          <w:rFonts w:ascii="Arial" w:hAnsi="Arial" w:cs="Arial"/>
          <w:color w:val="000000"/>
          <w:sz w:val="24"/>
          <w:shd w:val="clear" w:color="auto" w:fill="FFFFFF"/>
        </w:rPr>
        <w:t>También hay que tener en cuenta que l</w:t>
      </w:r>
      <w:r w:rsidR="009551BE">
        <w:rPr>
          <w:rFonts w:ascii="Arial" w:hAnsi="Arial" w:cs="Arial"/>
          <w:color w:val="000000"/>
          <w:sz w:val="24"/>
          <w:shd w:val="clear" w:color="auto" w:fill="FFFFFF"/>
        </w:rPr>
        <w:t>os efectos son diferentes</w:t>
      </w:r>
      <w:r w:rsidR="00DB7D6E">
        <w:rPr>
          <w:rFonts w:ascii="Arial" w:hAnsi="Arial" w:cs="Arial"/>
          <w:color w:val="000000"/>
          <w:sz w:val="24"/>
          <w:shd w:val="clear" w:color="auto" w:fill="FFFFFF"/>
        </w:rPr>
        <w:t>,</w:t>
      </w:r>
      <w:r w:rsidR="009551BE">
        <w:rPr>
          <w:rFonts w:ascii="Arial" w:hAnsi="Arial" w:cs="Arial"/>
          <w:color w:val="000000"/>
          <w:sz w:val="24"/>
          <w:shd w:val="clear" w:color="auto" w:fill="FFFFFF"/>
        </w:rPr>
        <w:t xml:space="preserve"> si </w:t>
      </w:r>
      <w:r w:rsidR="00DB7D6E">
        <w:rPr>
          <w:rFonts w:ascii="Arial" w:hAnsi="Arial" w:cs="Arial"/>
          <w:color w:val="000000"/>
          <w:sz w:val="24"/>
          <w:shd w:val="clear" w:color="auto" w:fill="FFFFFF"/>
        </w:rPr>
        <w:t>tratándose de</w:t>
      </w:r>
      <w:r w:rsidR="00511E57">
        <w:rPr>
          <w:rFonts w:ascii="Arial" w:hAnsi="Arial" w:cs="Arial"/>
          <w:color w:val="000000"/>
          <w:sz w:val="24"/>
          <w:shd w:val="clear" w:color="auto" w:fill="FFFFFF"/>
        </w:rPr>
        <w:t xml:space="preserve"> </w:t>
      </w:r>
      <w:r w:rsidR="00335A2F">
        <w:rPr>
          <w:rFonts w:ascii="Arial" w:hAnsi="Arial" w:cs="Arial"/>
          <w:color w:val="000000"/>
          <w:sz w:val="24"/>
          <w:shd w:val="clear" w:color="auto" w:fill="FFFFFF"/>
        </w:rPr>
        <w:t>“</w:t>
      </w:r>
      <w:r w:rsidR="00511E57">
        <w:rPr>
          <w:rFonts w:ascii="Arial" w:hAnsi="Arial" w:cs="Arial"/>
          <w:color w:val="000000"/>
          <w:sz w:val="24"/>
          <w:shd w:val="clear" w:color="auto" w:fill="FFFFFF"/>
        </w:rPr>
        <w:t>parte</w:t>
      </w:r>
      <w:r w:rsidR="00335A2F">
        <w:rPr>
          <w:rFonts w:ascii="Arial" w:hAnsi="Arial" w:cs="Arial"/>
          <w:color w:val="000000"/>
          <w:sz w:val="24"/>
          <w:shd w:val="clear" w:color="auto" w:fill="FFFFFF"/>
        </w:rPr>
        <w:t>”</w:t>
      </w:r>
      <w:r w:rsidR="00511E57">
        <w:rPr>
          <w:rFonts w:ascii="Arial" w:hAnsi="Arial" w:cs="Arial"/>
          <w:color w:val="000000"/>
          <w:sz w:val="24"/>
          <w:shd w:val="clear" w:color="auto" w:fill="FFFFFF"/>
        </w:rPr>
        <w:t xml:space="preserve">, </w:t>
      </w:r>
      <w:proofErr w:type="spellStart"/>
      <w:r w:rsidR="00511E57">
        <w:rPr>
          <w:rFonts w:ascii="Arial" w:hAnsi="Arial" w:cs="Arial"/>
          <w:color w:val="000000"/>
          <w:sz w:val="24"/>
          <w:shd w:val="clear" w:color="auto" w:fill="FFFFFF"/>
        </w:rPr>
        <w:t>esta</w:t>
      </w:r>
      <w:proofErr w:type="spellEnd"/>
      <w:r w:rsidR="00511E57">
        <w:rPr>
          <w:rFonts w:ascii="Arial" w:hAnsi="Arial" w:cs="Arial"/>
          <w:color w:val="000000"/>
          <w:sz w:val="24"/>
          <w:shd w:val="clear" w:color="auto" w:fill="FFFFFF"/>
        </w:rPr>
        <w:t xml:space="preserve"> </w:t>
      </w:r>
      <w:r w:rsidR="00511E57" w:rsidRPr="00511E57">
        <w:rPr>
          <w:rFonts w:ascii="Arial" w:hAnsi="Arial" w:cs="Arial"/>
          <w:color w:val="000000"/>
          <w:sz w:val="24"/>
          <w:u w:val="single"/>
          <w:shd w:val="clear" w:color="auto" w:fill="FFFFFF"/>
        </w:rPr>
        <w:t xml:space="preserve">ya </w:t>
      </w:r>
      <w:r w:rsidR="00DB7D6E" w:rsidRPr="00511E57">
        <w:rPr>
          <w:rFonts w:ascii="Arial" w:hAnsi="Arial" w:cs="Arial"/>
          <w:color w:val="000000"/>
          <w:sz w:val="24"/>
          <w:u w:val="single"/>
          <w:shd w:val="clear" w:color="auto" w:fill="FFFFFF"/>
        </w:rPr>
        <w:t>había sido notificad</w:t>
      </w:r>
      <w:r w:rsidR="00621FD0">
        <w:rPr>
          <w:rFonts w:ascii="Arial" w:hAnsi="Arial" w:cs="Arial"/>
          <w:color w:val="000000"/>
          <w:sz w:val="24"/>
          <w:u w:val="single"/>
          <w:shd w:val="clear" w:color="auto" w:fill="FFFFFF"/>
        </w:rPr>
        <w:t>a</w:t>
      </w:r>
      <w:r w:rsidR="00621FD0" w:rsidRPr="00621FD0">
        <w:rPr>
          <w:rFonts w:ascii="Arial" w:hAnsi="Arial" w:cs="Arial"/>
          <w:color w:val="000000"/>
          <w:sz w:val="24"/>
          <w:shd w:val="clear" w:color="auto" w:fill="FFFFFF"/>
        </w:rPr>
        <w:t xml:space="preserve"> </w:t>
      </w:r>
      <w:r w:rsidR="00DB7D6E">
        <w:rPr>
          <w:rFonts w:ascii="Arial" w:hAnsi="Arial" w:cs="Arial"/>
          <w:color w:val="000000"/>
          <w:sz w:val="24"/>
          <w:shd w:val="clear" w:color="auto" w:fill="FFFFFF"/>
        </w:rPr>
        <w:t xml:space="preserve"> de la admisión proceso y por ende, </w:t>
      </w:r>
      <w:r>
        <w:rPr>
          <w:rFonts w:ascii="Arial" w:hAnsi="Arial" w:cs="Arial"/>
          <w:color w:val="000000"/>
          <w:sz w:val="24"/>
          <w:shd w:val="clear" w:color="auto" w:fill="FFFFFF"/>
        </w:rPr>
        <w:t xml:space="preserve">estaba </w:t>
      </w:r>
      <w:r w:rsidR="00DB7D6E">
        <w:rPr>
          <w:rFonts w:ascii="Arial" w:hAnsi="Arial" w:cs="Arial"/>
          <w:color w:val="000000"/>
          <w:sz w:val="24"/>
          <w:shd w:val="clear" w:color="auto" w:fill="FFFFFF"/>
        </w:rPr>
        <w:t>asistid</w:t>
      </w:r>
      <w:r w:rsidR="00335A2F">
        <w:rPr>
          <w:rFonts w:ascii="Arial" w:hAnsi="Arial" w:cs="Arial"/>
          <w:color w:val="000000"/>
          <w:sz w:val="24"/>
          <w:shd w:val="clear" w:color="auto" w:fill="FFFFFF"/>
        </w:rPr>
        <w:t>a</w:t>
      </w:r>
      <w:r w:rsidR="00DB7D6E">
        <w:rPr>
          <w:rFonts w:ascii="Arial" w:hAnsi="Arial" w:cs="Arial"/>
          <w:color w:val="000000"/>
          <w:sz w:val="24"/>
          <w:shd w:val="clear" w:color="auto" w:fill="FFFFFF"/>
        </w:rPr>
        <w:t xml:space="preserve"> o no por mandatario judicial, ya que en el primer </w:t>
      </w:r>
      <w:r w:rsidR="00640C70">
        <w:rPr>
          <w:rFonts w:ascii="Arial" w:hAnsi="Arial" w:cs="Arial"/>
          <w:color w:val="000000"/>
          <w:sz w:val="24"/>
          <w:shd w:val="clear" w:color="auto" w:fill="FFFFFF"/>
        </w:rPr>
        <w:t xml:space="preserve">caso </w:t>
      </w:r>
      <w:r w:rsidR="00DB7D6E">
        <w:rPr>
          <w:rFonts w:ascii="Arial" w:hAnsi="Arial" w:cs="Arial"/>
          <w:color w:val="000000"/>
          <w:sz w:val="24"/>
          <w:shd w:val="clear" w:color="auto" w:fill="FFFFFF"/>
        </w:rPr>
        <w:t>no habría lugar a interrumpir el asunto (Artículo 168, CPC) y podrían los sucesores, si comparecen</w:t>
      </w:r>
      <w:r>
        <w:rPr>
          <w:rFonts w:ascii="Arial" w:hAnsi="Arial" w:cs="Arial"/>
          <w:color w:val="000000"/>
          <w:sz w:val="24"/>
          <w:shd w:val="clear" w:color="auto" w:fill="FFFFFF"/>
        </w:rPr>
        <w:t>,</w:t>
      </w:r>
      <w:r w:rsidR="00DB7D6E">
        <w:rPr>
          <w:rFonts w:ascii="Arial" w:hAnsi="Arial" w:cs="Arial"/>
          <w:color w:val="000000"/>
          <w:sz w:val="24"/>
          <w:shd w:val="clear" w:color="auto" w:fill="FFFFFF"/>
        </w:rPr>
        <w:t xml:space="preserve"> continuar con la misma representación legal, mientras que en el segundo caso es imperativo </w:t>
      </w:r>
      <w:r>
        <w:rPr>
          <w:rFonts w:ascii="Arial" w:hAnsi="Arial" w:cs="Arial"/>
          <w:color w:val="000000"/>
          <w:sz w:val="24"/>
          <w:shd w:val="clear" w:color="auto" w:fill="FFFFFF"/>
        </w:rPr>
        <w:t xml:space="preserve">hacer las </w:t>
      </w:r>
      <w:r w:rsidR="00DB7D6E">
        <w:rPr>
          <w:rFonts w:ascii="Arial" w:hAnsi="Arial" w:cs="Arial"/>
          <w:color w:val="000000"/>
          <w:sz w:val="24"/>
          <w:shd w:val="clear" w:color="auto" w:fill="FFFFFF"/>
        </w:rPr>
        <w:t>citaciones de que trata el artículo 169 del CPC</w:t>
      </w:r>
      <w:r>
        <w:rPr>
          <w:rFonts w:ascii="Arial" w:hAnsi="Arial" w:cs="Arial"/>
          <w:color w:val="000000"/>
          <w:sz w:val="24"/>
          <w:shd w:val="clear" w:color="auto" w:fill="FFFFFF"/>
        </w:rPr>
        <w:t>,</w:t>
      </w:r>
      <w:r w:rsidR="00DB7D6E">
        <w:rPr>
          <w:rFonts w:ascii="Arial" w:hAnsi="Arial" w:cs="Arial"/>
          <w:color w:val="000000"/>
          <w:sz w:val="24"/>
          <w:shd w:val="clear" w:color="auto" w:fill="FFFFFF"/>
        </w:rPr>
        <w:t xml:space="preserve"> ya que no hay apoderado que haga valer los derechos del difunto o sus herederos</w:t>
      </w:r>
      <w:r w:rsidR="00640C70">
        <w:rPr>
          <w:rFonts w:ascii="Arial" w:hAnsi="Arial" w:cs="Arial"/>
          <w:color w:val="000000"/>
          <w:sz w:val="24"/>
          <w:shd w:val="clear" w:color="auto" w:fill="FFFFFF"/>
        </w:rPr>
        <w:t>, sobre quienes definitivamente tendrá efectos la sentencia</w:t>
      </w:r>
      <w:r>
        <w:rPr>
          <w:rFonts w:ascii="Arial" w:hAnsi="Arial" w:cs="Arial"/>
          <w:color w:val="000000"/>
          <w:sz w:val="24"/>
          <w:shd w:val="clear" w:color="auto" w:fill="FFFFFF"/>
        </w:rPr>
        <w:t>.</w:t>
      </w:r>
      <w:r w:rsidR="0008468F">
        <w:rPr>
          <w:rFonts w:ascii="Arial" w:hAnsi="Arial" w:cs="Arial"/>
          <w:color w:val="000000"/>
          <w:sz w:val="24"/>
          <w:shd w:val="clear" w:color="auto" w:fill="FFFFFF"/>
        </w:rPr>
        <w:t xml:space="preserve"> </w:t>
      </w:r>
    </w:p>
    <w:p w:rsidR="0008468F" w:rsidRDefault="0008468F" w:rsidP="00D042D8">
      <w:pPr>
        <w:tabs>
          <w:tab w:val="left" w:pos="-720"/>
        </w:tabs>
        <w:suppressAutoHyphens/>
        <w:spacing w:line="360" w:lineRule="auto"/>
        <w:jc w:val="both"/>
        <w:rPr>
          <w:rFonts w:ascii="Arial" w:hAnsi="Arial" w:cs="Arial"/>
          <w:color w:val="000000"/>
          <w:sz w:val="24"/>
          <w:shd w:val="clear" w:color="auto" w:fill="FFFFFF"/>
        </w:rPr>
      </w:pPr>
    </w:p>
    <w:p w:rsidR="00716C24" w:rsidRPr="0008468F" w:rsidRDefault="0008468F" w:rsidP="00D042D8">
      <w:pPr>
        <w:tabs>
          <w:tab w:val="left" w:pos="-720"/>
        </w:tabs>
        <w:suppressAutoHyphens/>
        <w:spacing w:line="360" w:lineRule="auto"/>
        <w:jc w:val="both"/>
        <w:rPr>
          <w:rFonts w:ascii="Arial" w:hAnsi="Arial" w:cs="Arial"/>
          <w:i/>
          <w:spacing w:val="-3"/>
          <w:sz w:val="32"/>
          <w:szCs w:val="24"/>
        </w:rPr>
      </w:pPr>
      <w:r>
        <w:rPr>
          <w:rFonts w:ascii="Arial" w:hAnsi="Arial" w:cs="Arial"/>
          <w:color w:val="000000"/>
          <w:sz w:val="24"/>
          <w:shd w:val="clear" w:color="auto" w:fill="FFFFFF"/>
        </w:rPr>
        <w:lastRenderedPageBreak/>
        <w:t xml:space="preserve">Así lo sostiene la doctrina jurisprudencial de la </w:t>
      </w:r>
      <w:r>
        <w:rPr>
          <w:rFonts w:ascii="Arial" w:hAnsi="Arial" w:cs="Arial"/>
          <w:spacing w:val="-3"/>
          <w:sz w:val="24"/>
          <w:szCs w:val="24"/>
        </w:rPr>
        <w:t>CSJ</w:t>
      </w:r>
      <w:r>
        <w:rPr>
          <w:rStyle w:val="Refdenotaalpie"/>
          <w:rFonts w:ascii="Arial" w:hAnsi="Arial"/>
          <w:spacing w:val="-3"/>
          <w:sz w:val="24"/>
          <w:szCs w:val="24"/>
        </w:rPr>
        <w:footnoteReference w:id="10"/>
      </w:r>
      <w:r>
        <w:rPr>
          <w:rFonts w:ascii="Arial" w:hAnsi="Arial" w:cs="Arial"/>
          <w:spacing w:val="-3"/>
          <w:sz w:val="24"/>
          <w:szCs w:val="24"/>
        </w:rPr>
        <w:t xml:space="preserve">, al referir: </w:t>
      </w:r>
      <w:r w:rsidRPr="0008468F">
        <w:rPr>
          <w:rFonts w:ascii="Arial" w:hAnsi="Arial" w:cs="Arial"/>
          <w:spacing w:val="-3"/>
          <w:sz w:val="24"/>
          <w:szCs w:val="24"/>
        </w:rPr>
        <w:t>“</w:t>
      </w:r>
      <w:r w:rsidRPr="0008468F">
        <w:rPr>
          <w:rFonts w:ascii="Arial" w:hAnsi="Arial" w:cs="Arial"/>
          <w:i/>
          <w:sz w:val="22"/>
        </w:rPr>
        <w:t>En otras palabras, cuando desaparece alguno de los intervinientes en el debate sus sucesores pueden participar en él, pero sólo es imprescindible citarlos cuando no existe apoderado debidamente reconocido que haga valer los derechos del difunto, evento en el cual la actuación se paraliza ipso jure.</w:t>
      </w:r>
      <w:r>
        <w:rPr>
          <w:rFonts w:ascii="Arial" w:hAnsi="Arial" w:cs="Arial"/>
          <w:i/>
          <w:sz w:val="22"/>
        </w:rPr>
        <w:t xml:space="preserve"> </w:t>
      </w:r>
      <w:r w:rsidRPr="0008468F">
        <w:rPr>
          <w:rFonts w:ascii="Arial" w:hAnsi="Arial" w:cs="Arial"/>
          <w:i/>
          <w:sz w:val="22"/>
        </w:rPr>
        <w:t xml:space="preserve">A contrario sensu, si se da el óbito de un pleiteador que cuenta con apoderado para la </w:t>
      </w:r>
      <w:proofErr w:type="spellStart"/>
      <w:r w:rsidRPr="0008468F">
        <w:rPr>
          <w:rFonts w:ascii="Arial" w:hAnsi="Arial" w:cs="Arial"/>
          <w:i/>
          <w:sz w:val="22"/>
        </w:rPr>
        <w:t>litis</w:t>
      </w:r>
      <w:proofErr w:type="spellEnd"/>
      <w:r w:rsidRPr="0008468F">
        <w:rPr>
          <w:rFonts w:ascii="Arial" w:hAnsi="Arial" w:cs="Arial"/>
          <w:i/>
          <w:sz w:val="22"/>
        </w:rPr>
        <w:t xml:space="preserve">, éste puede seguir actuando al tenor del penúltimo inciso del artículo 69 </w:t>
      </w:r>
      <w:proofErr w:type="spellStart"/>
      <w:r w:rsidRPr="0008468F">
        <w:rPr>
          <w:rFonts w:ascii="Arial" w:hAnsi="Arial" w:cs="Arial"/>
          <w:i/>
          <w:sz w:val="22"/>
        </w:rPr>
        <w:t>ejusdem</w:t>
      </w:r>
      <w:proofErr w:type="spellEnd"/>
      <w:r w:rsidRPr="0008468F">
        <w:rPr>
          <w:rFonts w:ascii="Arial" w:hAnsi="Arial" w:cs="Arial"/>
          <w:i/>
          <w:sz w:val="22"/>
        </w:rPr>
        <w:t>, según el cual «[l]a muerte del mandante, o la extinción de las personas jurídicas no pone fin al mandato judicial, si ya se ha presentado la demanda», lo que no obsta para que en cualquier momento el poder sea «revocado por los herederos o sucesores», a su criterio</w:t>
      </w:r>
      <w:r>
        <w:rPr>
          <w:rFonts w:ascii="Arial" w:hAnsi="Arial" w:cs="Arial"/>
          <w:i/>
          <w:sz w:val="22"/>
        </w:rPr>
        <w:t>”.</w:t>
      </w:r>
    </w:p>
    <w:p w:rsidR="00716C24" w:rsidRDefault="00716C24" w:rsidP="00D042D8">
      <w:pPr>
        <w:tabs>
          <w:tab w:val="left" w:pos="-720"/>
        </w:tabs>
        <w:suppressAutoHyphens/>
        <w:spacing w:line="360" w:lineRule="auto"/>
        <w:jc w:val="both"/>
        <w:rPr>
          <w:rFonts w:ascii="Arial" w:hAnsi="Arial" w:cs="Arial"/>
          <w:spacing w:val="-3"/>
          <w:sz w:val="24"/>
          <w:szCs w:val="24"/>
          <w:lang w:val="es-MX"/>
        </w:rPr>
      </w:pPr>
    </w:p>
    <w:p w:rsidR="00716C24" w:rsidRPr="00716C24" w:rsidRDefault="00716C24" w:rsidP="00716C24">
      <w:pPr>
        <w:pStyle w:val="Prrafodelista"/>
        <w:numPr>
          <w:ilvl w:val="2"/>
          <w:numId w:val="1"/>
        </w:num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 xml:space="preserve">El indebido emplazamiento </w:t>
      </w:r>
      <w:r w:rsidR="001D68DD">
        <w:rPr>
          <w:rFonts w:ascii="Arial" w:hAnsi="Arial" w:cs="Arial"/>
          <w:spacing w:val="-3"/>
          <w:sz w:val="24"/>
          <w:szCs w:val="24"/>
          <w:lang w:val="es-MX"/>
        </w:rPr>
        <w:t>de personas determinadas e indeterminadas</w:t>
      </w:r>
    </w:p>
    <w:p w:rsidR="009E66A3" w:rsidRDefault="009E66A3" w:rsidP="00E316D9">
      <w:pPr>
        <w:tabs>
          <w:tab w:val="left" w:pos="-720"/>
        </w:tabs>
        <w:suppressAutoHyphens/>
        <w:spacing w:line="360" w:lineRule="auto"/>
        <w:jc w:val="both"/>
        <w:rPr>
          <w:rFonts w:ascii="Arial" w:hAnsi="Arial" w:cs="Arial"/>
          <w:spacing w:val="-3"/>
          <w:sz w:val="24"/>
          <w:szCs w:val="24"/>
        </w:rPr>
      </w:pPr>
    </w:p>
    <w:p w:rsidR="00A81A64" w:rsidRDefault="002E1377" w:rsidP="00A81A64">
      <w:pPr>
        <w:spacing w:line="360" w:lineRule="auto"/>
        <w:ind w:right="51"/>
        <w:jc w:val="both"/>
        <w:rPr>
          <w:rFonts w:ascii="Arial" w:hAnsi="Arial" w:cs="Arial"/>
          <w:sz w:val="24"/>
          <w:szCs w:val="24"/>
          <w:lang w:val="es-MX"/>
        </w:rPr>
      </w:pPr>
      <w:r>
        <w:rPr>
          <w:rFonts w:ascii="Arial" w:hAnsi="Arial" w:cs="Arial"/>
          <w:sz w:val="24"/>
          <w:szCs w:val="24"/>
          <w:lang w:val="es-MX"/>
        </w:rPr>
        <w:t xml:space="preserve">El </w:t>
      </w:r>
      <w:r w:rsidR="00A81A64">
        <w:rPr>
          <w:rFonts w:ascii="Arial" w:hAnsi="Arial" w:cs="Arial"/>
          <w:sz w:val="24"/>
          <w:szCs w:val="24"/>
          <w:lang w:val="es-MX"/>
        </w:rPr>
        <w:t>emplazamiento de una persona determinada</w:t>
      </w:r>
      <w:r>
        <w:rPr>
          <w:rFonts w:ascii="Arial" w:hAnsi="Arial" w:cs="Arial"/>
          <w:sz w:val="24"/>
          <w:szCs w:val="24"/>
          <w:lang w:val="es-MX"/>
        </w:rPr>
        <w:t xml:space="preserve"> ha de verificar los r</w:t>
      </w:r>
      <w:r w:rsidR="00A81A64">
        <w:rPr>
          <w:rFonts w:ascii="Arial" w:hAnsi="Arial" w:cs="Arial"/>
          <w:sz w:val="24"/>
          <w:szCs w:val="24"/>
          <w:lang w:val="es-MX"/>
        </w:rPr>
        <w:t xml:space="preserve">equisitos estatuidos en el artículo 318 del CPC, </w:t>
      </w:r>
      <w:r w:rsidR="00621FD0">
        <w:rPr>
          <w:rFonts w:ascii="Arial" w:hAnsi="Arial" w:cs="Arial"/>
          <w:sz w:val="24"/>
          <w:szCs w:val="24"/>
          <w:lang w:val="es-MX"/>
        </w:rPr>
        <w:t>a saber</w:t>
      </w:r>
      <w:r w:rsidR="00A81A64">
        <w:rPr>
          <w:rFonts w:ascii="Arial" w:hAnsi="Arial" w:cs="Arial"/>
          <w:sz w:val="24"/>
          <w:szCs w:val="24"/>
          <w:lang w:val="es-MX"/>
        </w:rPr>
        <w:t xml:space="preserve">: (i) El nombre del emplazado; (ii) Las partes del proceso y (iii) La naturaleza del asunto o el juzgado que lo </w:t>
      </w:r>
      <w:r w:rsidR="00A81A64" w:rsidRPr="00146704">
        <w:rPr>
          <w:rFonts w:ascii="Arial" w:hAnsi="Arial" w:cs="Arial"/>
          <w:sz w:val="24"/>
          <w:szCs w:val="24"/>
          <w:lang w:val="es-MX"/>
        </w:rPr>
        <w:t>requiere</w:t>
      </w:r>
      <w:r w:rsidR="00A81A64">
        <w:rPr>
          <w:rFonts w:ascii="Arial" w:hAnsi="Arial" w:cs="Arial"/>
          <w:sz w:val="24"/>
          <w:szCs w:val="24"/>
          <w:lang w:val="es-MX"/>
        </w:rPr>
        <w:t xml:space="preserve">, </w:t>
      </w:r>
      <w:r w:rsidR="00A81A64" w:rsidRPr="00146704">
        <w:rPr>
          <w:rFonts w:ascii="Arial" w:hAnsi="Arial" w:cs="Arial"/>
          <w:sz w:val="24"/>
          <w:szCs w:val="24"/>
          <w:lang w:val="es-MX"/>
        </w:rPr>
        <w:t xml:space="preserve">edicto </w:t>
      </w:r>
      <w:r w:rsidR="00A81A64">
        <w:rPr>
          <w:rFonts w:ascii="Arial" w:hAnsi="Arial" w:cs="Arial"/>
          <w:sz w:val="24"/>
          <w:szCs w:val="24"/>
          <w:lang w:val="es-MX"/>
        </w:rPr>
        <w:t xml:space="preserve">que </w:t>
      </w:r>
      <w:r w:rsidR="00A81A64" w:rsidRPr="00146704">
        <w:rPr>
          <w:rFonts w:ascii="Arial" w:hAnsi="Arial" w:cs="Arial"/>
          <w:sz w:val="24"/>
          <w:szCs w:val="24"/>
          <w:lang w:val="es-MX"/>
        </w:rPr>
        <w:t>debe publicarse</w:t>
      </w:r>
      <w:r w:rsidR="00A81A64">
        <w:rPr>
          <w:rFonts w:ascii="Arial" w:hAnsi="Arial" w:cs="Arial"/>
          <w:sz w:val="24"/>
          <w:szCs w:val="24"/>
          <w:lang w:val="es-MX"/>
        </w:rPr>
        <w:t xml:space="preserve"> por una sola vez, en un diario de amplia circulación nacional en día domingo, a criterio del juez, que postulará al menos dos. Luego </w:t>
      </w:r>
      <w:r w:rsidR="00621FD0">
        <w:rPr>
          <w:rFonts w:ascii="Arial" w:hAnsi="Arial" w:cs="Arial"/>
          <w:sz w:val="24"/>
          <w:szCs w:val="24"/>
          <w:lang w:val="es-MX"/>
        </w:rPr>
        <w:t>de</w:t>
      </w:r>
      <w:r w:rsidR="00A81A64">
        <w:rPr>
          <w:rFonts w:ascii="Arial" w:hAnsi="Arial" w:cs="Arial"/>
          <w:sz w:val="24"/>
          <w:szCs w:val="24"/>
          <w:lang w:val="es-MX"/>
        </w:rPr>
        <w:t xml:space="preserve"> 15 días siguientes a la publicación se entenderá surtido. </w:t>
      </w:r>
      <w:r>
        <w:rPr>
          <w:rFonts w:ascii="Arial" w:hAnsi="Arial" w:cs="Arial"/>
          <w:sz w:val="24"/>
          <w:szCs w:val="24"/>
          <w:lang w:val="es-MX"/>
        </w:rPr>
        <w:t>El incumplimiento de alguno de estos supuestos, genera nulidad.</w:t>
      </w:r>
    </w:p>
    <w:p w:rsidR="00A81A64" w:rsidRPr="00A81A64" w:rsidRDefault="00A81A64" w:rsidP="00E316D9">
      <w:pPr>
        <w:tabs>
          <w:tab w:val="left" w:pos="-720"/>
        </w:tabs>
        <w:suppressAutoHyphens/>
        <w:spacing w:line="360" w:lineRule="auto"/>
        <w:jc w:val="both"/>
        <w:rPr>
          <w:rFonts w:ascii="Arial" w:hAnsi="Arial" w:cs="Arial"/>
          <w:spacing w:val="-3"/>
          <w:sz w:val="24"/>
          <w:szCs w:val="24"/>
          <w:lang w:val="es-MX"/>
        </w:rPr>
      </w:pPr>
    </w:p>
    <w:p w:rsidR="00485BA4" w:rsidRDefault="0029611C" w:rsidP="00485BA4">
      <w:pPr>
        <w:spacing w:line="360" w:lineRule="auto"/>
        <w:jc w:val="both"/>
        <w:rPr>
          <w:rFonts w:ascii="Arial" w:hAnsi="Arial" w:cs="Arial"/>
          <w:sz w:val="24"/>
          <w:szCs w:val="24"/>
        </w:rPr>
      </w:pPr>
      <w:r>
        <w:rPr>
          <w:rFonts w:ascii="Arial" w:hAnsi="Arial" w:cs="Arial"/>
          <w:sz w:val="24"/>
          <w:szCs w:val="24"/>
        </w:rPr>
        <w:t>Lo mismo</w:t>
      </w:r>
      <w:r w:rsidR="00AD77AF">
        <w:rPr>
          <w:rFonts w:ascii="Arial" w:hAnsi="Arial" w:cs="Arial"/>
          <w:sz w:val="24"/>
          <w:szCs w:val="24"/>
        </w:rPr>
        <w:t xml:space="preserve"> podría </w:t>
      </w:r>
      <w:r>
        <w:rPr>
          <w:rFonts w:ascii="Arial" w:hAnsi="Arial" w:cs="Arial"/>
          <w:sz w:val="24"/>
          <w:szCs w:val="24"/>
        </w:rPr>
        <w:t>ocurr</w:t>
      </w:r>
      <w:r w:rsidR="00AD77AF">
        <w:rPr>
          <w:rFonts w:ascii="Arial" w:hAnsi="Arial" w:cs="Arial"/>
          <w:sz w:val="24"/>
          <w:szCs w:val="24"/>
        </w:rPr>
        <w:t xml:space="preserve">ir </w:t>
      </w:r>
      <w:r>
        <w:rPr>
          <w:rFonts w:ascii="Arial" w:hAnsi="Arial" w:cs="Arial"/>
          <w:sz w:val="24"/>
          <w:szCs w:val="24"/>
        </w:rPr>
        <w:t xml:space="preserve">en </w:t>
      </w:r>
      <w:r w:rsidR="00EE599B">
        <w:rPr>
          <w:rFonts w:ascii="Arial" w:hAnsi="Arial" w:cs="Arial"/>
          <w:sz w:val="24"/>
          <w:szCs w:val="24"/>
        </w:rPr>
        <w:t>los procesos de pertenencia</w:t>
      </w:r>
      <w:r w:rsidR="00146704">
        <w:rPr>
          <w:rFonts w:ascii="Arial" w:hAnsi="Arial" w:cs="Arial"/>
          <w:sz w:val="24"/>
          <w:szCs w:val="24"/>
        </w:rPr>
        <w:t>,</w:t>
      </w:r>
      <w:r>
        <w:rPr>
          <w:rFonts w:ascii="Arial" w:hAnsi="Arial" w:cs="Arial"/>
          <w:sz w:val="24"/>
          <w:szCs w:val="24"/>
        </w:rPr>
        <w:t xml:space="preserve"> </w:t>
      </w:r>
      <w:r w:rsidR="00DE13EA">
        <w:rPr>
          <w:rFonts w:ascii="Arial" w:hAnsi="Arial" w:cs="Arial"/>
          <w:sz w:val="24"/>
          <w:szCs w:val="24"/>
        </w:rPr>
        <w:t xml:space="preserve">si se faltará a lo estipulado en </w:t>
      </w:r>
      <w:r w:rsidR="00973322">
        <w:rPr>
          <w:rFonts w:ascii="Arial" w:hAnsi="Arial" w:cs="Arial"/>
          <w:sz w:val="24"/>
          <w:szCs w:val="24"/>
        </w:rPr>
        <w:t xml:space="preserve">el artículo 407-6º del CPC </w:t>
      </w:r>
      <w:r w:rsidR="00DE13EA">
        <w:rPr>
          <w:rFonts w:ascii="Arial" w:hAnsi="Arial" w:cs="Arial"/>
          <w:sz w:val="24"/>
          <w:szCs w:val="24"/>
        </w:rPr>
        <w:t xml:space="preserve">puesto que en estos asuntos </w:t>
      </w:r>
      <w:r w:rsidR="00EE599B">
        <w:rPr>
          <w:rFonts w:ascii="Arial" w:hAnsi="Arial" w:cs="Arial"/>
          <w:sz w:val="24"/>
          <w:szCs w:val="24"/>
        </w:rPr>
        <w:t>se debe</w:t>
      </w:r>
      <w:r w:rsidR="00973322">
        <w:rPr>
          <w:rFonts w:ascii="Arial" w:hAnsi="Arial" w:cs="Arial"/>
          <w:sz w:val="24"/>
          <w:szCs w:val="24"/>
        </w:rPr>
        <w:t>n</w:t>
      </w:r>
      <w:r w:rsidR="00EE599B">
        <w:rPr>
          <w:rFonts w:ascii="Arial" w:hAnsi="Arial" w:cs="Arial"/>
          <w:sz w:val="24"/>
          <w:szCs w:val="24"/>
        </w:rPr>
        <w:t xml:space="preserve"> emplazar a las personas indeterminadas que se crean con derechos sobre el bien y </w:t>
      </w:r>
      <w:r w:rsidR="00DE13EA">
        <w:rPr>
          <w:rFonts w:ascii="Arial" w:hAnsi="Arial" w:cs="Arial"/>
          <w:sz w:val="24"/>
          <w:szCs w:val="24"/>
        </w:rPr>
        <w:t xml:space="preserve">el edicto para ello tiene </w:t>
      </w:r>
      <w:r w:rsidR="00EE599B">
        <w:rPr>
          <w:rFonts w:ascii="Arial" w:hAnsi="Arial" w:cs="Arial"/>
          <w:sz w:val="24"/>
          <w:szCs w:val="24"/>
        </w:rPr>
        <w:t>como formalidades</w:t>
      </w:r>
      <w:r w:rsidR="00485BA4">
        <w:rPr>
          <w:rFonts w:ascii="Arial" w:hAnsi="Arial" w:cs="Arial"/>
          <w:sz w:val="24"/>
          <w:szCs w:val="24"/>
        </w:rPr>
        <w:t xml:space="preserve">: </w:t>
      </w:r>
      <w:r w:rsidR="00EE599B">
        <w:rPr>
          <w:rFonts w:ascii="Arial" w:hAnsi="Arial" w:cs="Arial"/>
          <w:sz w:val="24"/>
          <w:szCs w:val="24"/>
        </w:rPr>
        <w:t>(i</w:t>
      </w:r>
      <w:r w:rsidR="00485BA4">
        <w:rPr>
          <w:rFonts w:ascii="Arial" w:hAnsi="Arial" w:cs="Arial"/>
          <w:sz w:val="24"/>
          <w:szCs w:val="24"/>
        </w:rPr>
        <w:t xml:space="preserve">) El nombre de la persona que promovió el proceso, la naturaleza de </w:t>
      </w:r>
      <w:r w:rsidR="00621FD0">
        <w:rPr>
          <w:rFonts w:ascii="Arial" w:hAnsi="Arial" w:cs="Arial"/>
          <w:sz w:val="24"/>
          <w:szCs w:val="24"/>
        </w:rPr>
        <w:t>e</w:t>
      </w:r>
      <w:r w:rsidR="00485BA4">
        <w:rPr>
          <w:rFonts w:ascii="Arial" w:hAnsi="Arial" w:cs="Arial"/>
          <w:sz w:val="24"/>
          <w:szCs w:val="24"/>
        </w:rPr>
        <w:t xml:space="preserve">ste y la </w:t>
      </w:r>
      <w:r w:rsidR="00485BA4" w:rsidRPr="00EE599B">
        <w:rPr>
          <w:rFonts w:ascii="Arial" w:hAnsi="Arial" w:cs="Arial"/>
          <w:sz w:val="24"/>
          <w:szCs w:val="24"/>
        </w:rPr>
        <w:t>clase</w:t>
      </w:r>
      <w:r w:rsidR="00485BA4">
        <w:rPr>
          <w:rFonts w:ascii="Arial" w:hAnsi="Arial" w:cs="Arial"/>
          <w:sz w:val="24"/>
          <w:szCs w:val="24"/>
        </w:rPr>
        <w:t xml:space="preserve"> prescripción alegada; </w:t>
      </w:r>
      <w:r w:rsidR="00EE599B">
        <w:rPr>
          <w:rFonts w:ascii="Arial" w:hAnsi="Arial" w:cs="Arial"/>
          <w:sz w:val="24"/>
          <w:szCs w:val="24"/>
        </w:rPr>
        <w:t>(ii</w:t>
      </w:r>
      <w:r w:rsidR="00485BA4">
        <w:rPr>
          <w:rFonts w:ascii="Arial" w:hAnsi="Arial" w:cs="Arial"/>
          <w:sz w:val="24"/>
          <w:szCs w:val="24"/>
        </w:rPr>
        <w:t xml:space="preserve">) El llamamiento de las personas que se crean con derecho para que concurran en el término de 15 días siguientes al emplazamiento; y </w:t>
      </w:r>
      <w:r w:rsidR="00EE599B">
        <w:rPr>
          <w:rFonts w:ascii="Arial" w:hAnsi="Arial" w:cs="Arial"/>
          <w:sz w:val="24"/>
          <w:szCs w:val="24"/>
        </w:rPr>
        <w:t>(iii)</w:t>
      </w:r>
      <w:r w:rsidR="00485BA4">
        <w:rPr>
          <w:rFonts w:ascii="Arial" w:hAnsi="Arial" w:cs="Arial"/>
          <w:sz w:val="24"/>
          <w:szCs w:val="24"/>
        </w:rPr>
        <w:t xml:space="preserve"> La especificación de los bienes, con ubicación, linderos, número o nombre. </w:t>
      </w:r>
    </w:p>
    <w:p w:rsidR="00EE599B" w:rsidRDefault="00EE599B" w:rsidP="00485BA4">
      <w:pPr>
        <w:spacing w:line="360" w:lineRule="auto"/>
        <w:jc w:val="both"/>
        <w:rPr>
          <w:rFonts w:ascii="Arial" w:hAnsi="Arial" w:cs="Arial"/>
          <w:sz w:val="24"/>
          <w:szCs w:val="24"/>
        </w:rPr>
      </w:pPr>
    </w:p>
    <w:p w:rsidR="00485BA4" w:rsidRDefault="0029611C" w:rsidP="00485BA4">
      <w:pPr>
        <w:spacing w:line="360" w:lineRule="auto"/>
        <w:ind w:right="51"/>
        <w:jc w:val="both"/>
        <w:rPr>
          <w:rFonts w:ascii="Arial" w:hAnsi="Arial" w:cs="Arial"/>
          <w:sz w:val="24"/>
          <w:szCs w:val="24"/>
          <w:lang w:val="es-MX"/>
        </w:rPr>
      </w:pPr>
      <w:r>
        <w:rPr>
          <w:rFonts w:ascii="Arial" w:hAnsi="Arial" w:cs="Arial"/>
          <w:sz w:val="24"/>
          <w:szCs w:val="24"/>
        </w:rPr>
        <w:t xml:space="preserve">De igual forma se incurre en la causal, cuando la falencia </w:t>
      </w:r>
      <w:r w:rsidR="00C92F0E">
        <w:rPr>
          <w:rFonts w:ascii="Arial" w:hAnsi="Arial" w:cs="Arial"/>
          <w:sz w:val="24"/>
          <w:szCs w:val="24"/>
        </w:rPr>
        <w:t>acaece</w:t>
      </w:r>
      <w:r>
        <w:rPr>
          <w:rFonts w:ascii="Arial" w:hAnsi="Arial" w:cs="Arial"/>
          <w:sz w:val="24"/>
          <w:szCs w:val="24"/>
        </w:rPr>
        <w:t xml:space="preserve"> al emplazar a los herederos del demandado</w:t>
      </w:r>
      <w:r w:rsidR="00C92F0E">
        <w:rPr>
          <w:rFonts w:ascii="Arial" w:hAnsi="Arial" w:cs="Arial"/>
          <w:sz w:val="24"/>
          <w:szCs w:val="24"/>
        </w:rPr>
        <w:t>,</w:t>
      </w:r>
      <w:r>
        <w:rPr>
          <w:rFonts w:ascii="Arial" w:hAnsi="Arial" w:cs="Arial"/>
          <w:sz w:val="24"/>
          <w:szCs w:val="24"/>
        </w:rPr>
        <w:t xml:space="preserve"> que </w:t>
      </w:r>
      <w:r>
        <w:rPr>
          <w:rFonts w:ascii="Arial" w:hAnsi="Arial" w:cs="Arial"/>
          <w:sz w:val="24"/>
          <w:szCs w:val="24"/>
          <w:lang w:val="es-MX"/>
        </w:rPr>
        <w:t xml:space="preserve">se tiene certeza ha fallecido </w:t>
      </w:r>
      <w:r w:rsidRPr="001D68DD">
        <w:rPr>
          <w:rFonts w:ascii="Arial" w:hAnsi="Arial" w:cs="Arial"/>
          <w:sz w:val="24"/>
          <w:szCs w:val="24"/>
          <w:u w:val="single"/>
          <w:lang w:val="es-MX"/>
        </w:rPr>
        <w:t>antes del inicio del proceso</w:t>
      </w:r>
      <w:r w:rsidR="00A81A64">
        <w:rPr>
          <w:rFonts w:ascii="Arial" w:hAnsi="Arial" w:cs="Arial"/>
          <w:sz w:val="24"/>
          <w:szCs w:val="24"/>
          <w:lang w:val="es-MX"/>
        </w:rPr>
        <w:t>, caso en el cual, es necesari</w:t>
      </w:r>
      <w:r>
        <w:rPr>
          <w:rFonts w:ascii="Arial" w:hAnsi="Arial" w:cs="Arial"/>
          <w:sz w:val="24"/>
          <w:szCs w:val="24"/>
          <w:lang w:val="es-MX"/>
        </w:rPr>
        <w:t xml:space="preserve">o el emplazamiento de </w:t>
      </w:r>
      <w:r w:rsidR="00B93EF1">
        <w:rPr>
          <w:rFonts w:ascii="Arial" w:hAnsi="Arial" w:cs="Arial"/>
          <w:sz w:val="24"/>
          <w:szCs w:val="24"/>
          <w:lang w:val="es-MX"/>
        </w:rPr>
        <w:t>los herederos indeterminados y (i) L</w:t>
      </w:r>
      <w:r w:rsidR="00A81A64">
        <w:rPr>
          <w:rFonts w:ascii="Arial" w:hAnsi="Arial" w:cs="Arial"/>
          <w:sz w:val="24"/>
          <w:szCs w:val="24"/>
          <w:lang w:val="es-MX"/>
        </w:rPr>
        <w:t>os herederos determinados o conocidos</w:t>
      </w:r>
      <w:r w:rsidR="00B93EF1">
        <w:rPr>
          <w:rFonts w:ascii="Arial" w:hAnsi="Arial" w:cs="Arial"/>
          <w:sz w:val="24"/>
          <w:szCs w:val="24"/>
          <w:lang w:val="es-MX"/>
        </w:rPr>
        <w:t>, c</w:t>
      </w:r>
      <w:r w:rsidR="00A81A64">
        <w:rPr>
          <w:rFonts w:ascii="Arial" w:hAnsi="Arial" w:cs="Arial"/>
          <w:sz w:val="24"/>
          <w:szCs w:val="24"/>
          <w:lang w:val="es-MX"/>
        </w:rPr>
        <w:t>uando no hay proceso de sucesión en curso</w:t>
      </w:r>
      <w:r w:rsidR="00B93EF1">
        <w:rPr>
          <w:rFonts w:ascii="Arial" w:hAnsi="Arial" w:cs="Arial"/>
          <w:sz w:val="24"/>
          <w:szCs w:val="24"/>
          <w:lang w:val="es-MX"/>
        </w:rPr>
        <w:t>; o (ii) Los herederos reconocidos, en el juicio sucesorio</w:t>
      </w:r>
      <w:r w:rsidR="00DE7ACF">
        <w:rPr>
          <w:rFonts w:ascii="Arial" w:hAnsi="Arial" w:cs="Arial"/>
          <w:sz w:val="24"/>
          <w:szCs w:val="24"/>
          <w:lang w:val="es-MX"/>
        </w:rPr>
        <w:t xml:space="preserve">; ello </w:t>
      </w:r>
      <w:r w:rsidR="00C92F0E">
        <w:rPr>
          <w:rFonts w:ascii="Arial" w:hAnsi="Arial" w:cs="Arial"/>
          <w:sz w:val="24"/>
          <w:szCs w:val="24"/>
          <w:lang w:val="es-MX"/>
        </w:rPr>
        <w:t xml:space="preserve">bajo la figura del litisconsorcio necesario </w:t>
      </w:r>
      <w:r w:rsidR="00DE7ACF">
        <w:rPr>
          <w:rFonts w:ascii="Arial" w:hAnsi="Arial" w:cs="Arial"/>
          <w:sz w:val="24"/>
          <w:szCs w:val="24"/>
          <w:lang w:val="es-MX"/>
        </w:rPr>
        <w:t>del artículo 81 de nuestro ordenamiento procesal civil</w:t>
      </w:r>
      <w:r w:rsidR="0032344B">
        <w:rPr>
          <w:rFonts w:ascii="Arial" w:hAnsi="Arial" w:cs="Arial"/>
          <w:sz w:val="24"/>
          <w:szCs w:val="24"/>
          <w:lang w:val="es-MX"/>
        </w:rPr>
        <w:t xml:space="preserve">, es decir, </w:t>
      </w:r>
      <w:r w:rsidR="0032344B">
        <w:rPr>
          <w:rFonts w:ascii="Arial" w:hAnsi="Arial" w:cs="Arial"/>
          <w:sz w:val="24"/>
          <w:szCs w:val="24"/>
        </w:rPr>
        <w:t>conforme el artículo 318 del CPC.</w:t>
      </w:r>
      <w:r w:rsidR="00DE7ACF">
        <w:rPr>
          <w:rFonts w:ascii="Arial" w:hAnsi="Arial" w:cs="Arial"/>
          <w:sz w:val="24"/>
          <w:szCs w:val="24"/>
          <w:lang w:val="es-MX"/>
        </w:rPr>
        <w:t xml:space="preserve"> </w:t>
      </w:r>
      <w:r w:rsidR="001D68DD">
        <w:rPr>
          <w:rFonts w:ascii="Arial" w:hAnsi="Arial" w:cs="Arial"/>
          <w:sz w:val="24"/>
          <w:szCs w:val="24"/>
          <w:lang w:val="es-MX"/>
        </w:rPr>
        <w:t>Aunque d</w:t>
      </w:r>
      <w:r w:rsidR="00DE7ACF">
        <w:rPr>
          <w:rFonts w:ascii="Arial" w:hAnsi="Arial" w:cs="Arial"/>
          <w:sz w:val="24"/>
          <w:szCs w:val="24"/>
          <w:lang w:val="es-MX"/>
        </w:rPr>
        <w:t>e conocerse el paradero de alguno de los herederos determinados debe surtirse la notificación personal.</w:t>
      </w:r>
    </w:p>
    <w:p w:rsidR="00C92F0E" w:rsidRDefault="00C92F0E" w:rsidP="00485BA4">
      <w:pPr>
        <w:spacing w:line="360" w:lineRule="auto"/>
        <w:ind w:right="51"/>
        <w:jc w:val="both"/>
        <w:rPr>
          <w:rFonts w:ascii="Arial" w:hAnsi="Arial" w:cs="Arial"/>
          <w:sz w:val="24"/>
          <w:szCs w:val="24"/>
          <w:lang w:val="es-MX"/>
        </w:rPr>
      </w:pPr>
    </w:p>
    <w:p w:rsidR="00C92F0E" w:rsidRDefault="00C92F0E" w:rsidP="00C92F0E">
      <w:pPr>
        <w:spacing w:line="360" w:lineRule="auto"/>
        <w:jc w:val="both"/>
        <w:rPr>
          <w:rFonts w:ascii="Arial" w:hAnsi="Arial" w:cs="Arial"/>
          <w:sz w:val="24"/>
          <w:szCs w:val="24"/>
          <w:lang w:val="es-MX"/>
        </w:rPr>
      </w:pPr>
      <w:r>
        <w:rPr>
          <w:rFonts w:ascii="Arial" w:hAnsi="Arial" w:cs="Arial"/>
          <w:sz w:val="24"/>
          <w:szCs w:val="24"/>
          <w:lang w:val="es-MX"/>
        </w:rPr>
        <w:lastRenderedPageBreak/>
        <w:t xml:space="preserve">En este punto, es propio advertir </w:t>
      </w:r>
      <w:r w:rsidRPr="00C92F0E">
        <w:rPr>
          <w:rFonts w:ascii="Arial" w:hAnsi="Arial" w:cs="Arial"/>
          <w:sz w:val="24"/>
          <w:szCs w:val="24"/>
          <w:lang w:val="es-MX"/>
        </w:rPr>
        <w:t>que el emplazamie</w:t>
      </w:r>
      <w:r>
        <w:rPr>
          <w:rFonts w:ascii="Arial" w:hAnsi="Arial" w:cs="Arial"/>
          <w:sz w:val="24"/>
          <w:szCs w:val="24"/>
          <w:lang w:val="es-MX"/>
        </w:rPr>
        <w:t xml:space="preserve">nto de las personas que se crean con alguno derecho (Artículo 407-6°, CPC) </w:t>
      </w:r>
      <w:r w:rsidRPr="00C92F0E">
        <w:rPr>
          <w:rFonts w:ascii="Arial" w:hAnsi="Arial" w:cs="Arial"/>
          <w:sz w:val="24"/>
          <w:szCs w:val="24"/>
          <w:lang w:val="es-MX"/>
        </w:rPr>
        <w:t xml:space="preserve">de manera </w:t>
      </w:r>
      <w:r>
        <w:rPr>
          <w:rFonts w:ascii="Arial" w:hAnsi="Arial" w:cs="Arial"/>
          <w:sz w:val="24"/>
          <w:szCs w:val="24"/>
          <w:lang w:val="es-MX"/>
        </w:rPr>
        <w:t xml:space="preserve">alguna </w:t>
      </w:r>
      <w:r w:rsidRPr="00C92F0E">
        <w:rPr>
          <w:rFonts w:ascii="Arial" w:hAnsi="Arial" w:cs="Arial"/>
          <w:sz w:val="24"/>
          <w:szCs w:val="24"/>
          <w:lang w:val="es-MX"/>
        </w:rPr>
        <w:t xml:space="preserve">suple </w:t>
      </w:r>
      <w:r>
        <w:rPr>
          <w:rFonts w:ascii="Arial" w:hAnsi="Arial" w:cs="Arial"/>
          <w:sz w:val="24"/>
          <w:szCs w:val="24"/>
          <w:lang w:val="es-MX"/>
        </w:rPr>
        <w:t xml:space="preserve">la </w:t>
      </w:r>
      <w:r w:rsidRPr="00C92F0E">
        <w:rPr>
          <w:rFonts w:ascii="Arial" w:hAnsi="Arial" w:cs="Arial"/>
          <w:sz w:val="24"/>
          <w:szCs w:val="24"/>
          <w:lang w:val="es-MX"/>
        </w:rPr>
        <w:t>falta de integración litisconsorcial</w:t>
      </w:r>
      <w:r>
        <w:rPr>
          <w:rFonts w:ascii="Arial" w:hAnsi="Arial" w:cs="Arial"/>
          <w:sz w:val="24"/>
          <w:szCs w:val="24"/>
          <w:lang w:val="es-MX"/>
        </w:rPr>
        <w:t xml:space="preserve"> que acaba de citarse (Artículo 81, CPC)</w:t>
      </w:r>
      <w:r w:rsidRPr="00C92F0E">
        <w:rPr>
          <w:rFonts w:ascii="Arial" w:hAnsi="Arial" w:cs="Arial"/>
          <w:sz w:val="24"/>
          <w:szCs w:val="24"/>
          <w:lang w:val="es-MX"/>
        </w:rPr>
        <w:t xml:space="preserve">, pues como se ve, la calidad en que concurren unas y otras </w:t>
      </w:r>
      <w:r w:rsidR="0032344B">
        <w:rPr>
          <w:rFonts w:ascii="Arial" w:hAnsi="Arial" w:cs="Arial"/>
          <w:sz w:val="24"/>
          <w:szCs w:val="24"/>
          <w:lang w:val="es-MX"/>
        </w:rPr>
        <w:t>personas, es diversa, ya que</w:t>
      </w:r>
      <w:r w:rsidRPr="00C92F0E">
        <w:rPr>
          <w:rFonts w:ascii="Arial" w:hAnsi="Arial" w:cs="Arial"/>
          <w:sz w:val="24"/>
          <w:szCs w:val="24"/>
          <w:lang w:val="es-MX"/>
        </w:rPr>
        <w:t xml:space="preserve"> los herederos (determinados e indeterminados) sustituyen como parte pasiva al causante</w:t>
      </w:r>
      <w:r w:rsidR="0032344B">
        <w:rPr>
          <w:rFonts w:ascii="Arial" w:hAnsi="Arial" w:cs="Arial"/>
          <w:sz w:val="24"/>
          <w:szCs w:val="24"/>
          <w:lang w:val="es-MX"/>
        </w:rPr>
        <w:t xml:space="preserve"> y</w:t>
      </w:r>
      <w:r w:rsidRPr="00C92F0E">
        <w:rPr>
          <w:rFonts w:ascii="Arial" w:hAnsi="Arial" w:cs="Arial"/>
          <w:sz w:val="24"/>
          <w:szCs w:val="24"/>
          <w:lang w:val="es-MX"/>
        </w:rPr>
        <w:t xml:space="preserve"> las personas con interés sobre el inmueble son convoca</w:t>
      </w:r>
      <w:r w:rsidR="00621FD0">
        <w:rPr>
          <w:rFonts w:ascii="Arial" w:hAnsi="Arial" w:cs="Arial"/>
          <w:sz w:val="24"/>
          <w:szCs w:val="24"/>
          <w:lang w:val="es-MX"/>
        </w:rPr>
        <w:t>das porque así lo manda la norma</w:t>
      </w:r>
      <w:r w:rsidR="00335A2F">
        <w:rPr>
          <w:rFonts w:ascii="Arial" w:hAnsi="Arial" w:cs="Arial"/>
          <w:sz w:val="24"/>
          <w:szCs w:val="24"/>
          <w:lang w:val="es-MX"/>
        </w:rPr>
        <w:t>,</w:t>
      </w:r>
      <w:r w:rsidRPr="00C92F0E">
        <w:rPr>
          <w:rFonts w:ascii="Arial" w:hAnsi="Arial" w:cs="Arial"/>
          <w:sz w:val="24"/>
          <w:szCs w:val="24"/>
          <w:lang w:val="es-MX"/>
        </w:rPr>
        <w:t xml:space="preserve"> para evitar conflictos futuros sobre el predio que se disputa. </w:t>
      </w:r>
      <w:r w:rsidR="0032344B">
        <w:rPr>
          <w:rFonts w:ascii="Arial" w:hAnsi="Arial" w:cs="Arial"/>
          <w:sz w:val="24"/>
          <w:szCs w:val="24"/>
          <w:lang w:val="es-MX"/>
        </w:rPr>
        <w:t xml:space="preserve">Además </w:t>
      </w:r>
      <w:r w:rsidRPr="00C92F0E">
        <w:rPr>
          <w:rFonts w:ascii="Arial" w:hAnsi="Arial" w:cs="Arial"/>
          <w:sz w:val="24"/>
          <w:szCs w:val="24"/>
          <w:lang w:val="es-MX"/>
        </w:rPr>
        <w:t xml:space="preserve">la forma de llamarlos es diferente, </w:t>
      </w:r>
      <w:r w:rsidR="00621FD0">
        <w:rPr>
          <w:rFonts w:ascii="Arial" w:hAnsi="Arial" w:cs="Arial"/>
          <w:sz w:val="24"/>
          <w:szCs w:val="24"/>
          <w:lang w:val="es-MX"/>
        </w:rPr>
        <w:t xml:space="preserve">aunque </w:t>
      </w:r>
      <w:r w:rsidRPr="00C92F0E">
        <w:rPr>
          <w:rFonts w:ascii="Arial" w:hAnsi="Arial" w:cs="Arial"/>
          <w:sz w:val="24"/>
          <w:szCs w:val="24"/>
          <w:lang w:val="es-MX"/>
        </w:rPr>
        <w:t xml:space="preserve">ambos </w:t>
      </w:r>
      <w:r w:rsidR="00621FD0">
        <w:rPr>
          <w:rFonts w:ascii="Arial" w:hAnsi="Arial" w:cs="Arial"/>
          <w:sz w:val="24"/>
          <w:szCs w:val="24"/>
          <w:lang w:val="es-MX"/>
        </w:rPr>
        <w:t xml:space="preserve">sean </w:t>
      </w:r>
      <w:r w:rsidRPr="00C92F0E">
        <w:rPr>
          <w:rFonts w:ascii="Arial" w:hAnsi="Arial" w:cs="Arial"/>
          <w:sz w:val="24"/>
          <w:szCs w:val="24"/>
          <w:lang w:val="es-MX"/>
        </w:rPr>
        <w:t>mediante emplazamiento.</w:t>
      </w:r>
      <w:r w:rsidR="00F36FB3">
        <w:rPr>
          <w:rFonts w:ascii="Arial" w:hAnsi="Arial" w:cs="Arial"/>
          <w:sz w:val="24"/>
          <w:szCs w:val="24"/>
          <w:lang w:val="es-MX"/>
        </w:rPr>
        <w:t xml:space="preserve"> Así lo reseña la jurisprudencia </w:t>
      </w:r>
      <w:r w:rsidR="00F36FB3">
        <w:rPr>
          <w:rFonts w:ascii="Arial" w:hAnsi="Arial" w:cs="Arial"/>
          <w:spacing w:val="-3"/>
          <w:sz w:val="24"/>
          <w:szCs w:val="24"/>
        </w:rPr>
        <w:t>de la CSJ</w:t>
      </w:r>
      <w:r w:rsidR="00F36FB3">
        <w:rPr>
          <w:rStyle w:val="Refdenotaalpie"/>
          <w:rFonts w:ascii="Arial" w:hAnsi="Arial"/>
          <w:spacing w:val="-3"/>
          <w:sz w:val="24"/>
          <w:szCs w:val="24"/>
        </w:rPr>
        <w:footnoteReference w:id="11"/>
      </w:r>
      <w:r w:rsidR="00E64C30">
        <w:rPr>
          <w:rFonts w:ascii="Arial" w:hAnsi="Arial" w:cs="Arial"/>
          <w:spacing w:val="-3"/>
          <w:sz w:val="24"/>
          <w:szCs w:val="24"/>
        </w:rPr>
        <w:t xml:space="preserve">: </w:t>
      </w:r>
    </w:p>
    <w:p w:rsidR="00F36FB3" w:rsidRDefault="00F36FB3" w:rsidP="00C92F0E">
      <w:pPr>
        <w:spacing w:line="360" w:lineRule="auto"/>
        <w:jc w:val="both"/>
        <w:rPr>
          <w:rFonts w:ascii="Arial" w:hAnsi="Arial" w:cs="Arial"/>
          <w:sz w:val="24"/>
          <w:szCs w:val="24"/>
          <w:lang w:val="es-MX"/>
        </w:rPr>
      </w:pPr>
    </w:p>
    <w:p w:rsidR="00E64C30" w:rsidRPr="00E64C30" w:rsidRDefault="00E64C30" w:rsidP="00E64C30">
      <w:pPr>
        <w:ind w:left="567" w:right="567"/>
        <w:jc w:val="both"/>
        <w:rPr>
          <w:rFonts w:ascii="Arial" w:hAnsi="Arial" w:cs="Arial"/>
          <w:sz w:val="24"/>
          <w:szCs w:val="28"/>
        </w:rPr>
      </w:pPr>
      <w:r w:rsidRPr="00E64C30">
        <w:rPr>
          <w:rFonts w:ascii="Arial" w:hAnsi="Arial" w:cs="Arial"/>
          <w:sz w:val="24"/>
          <w:szCs w:val="28"/>
        </w:rPr>
        <w:t>4.2.- Tratándose de un libelo frente a herederos “</w:t>
      </w:r>
      <w:r w:rsidRPr="00E64C30">
        <w:rPr>
          <w:rFonts w:ascii="Arial" w:hAnsi="Arial" w:cs="Arial"/>
          <w:i/>
          <w:sz w:val="24"/>
          <w:szCs w:val="28"/>
        </w:rPr>
        <w:t>determinados</w:t>
      </w:r>
      <w:r w:rsidRPr="00E64C30">
        <w:rPr>
          <w:rFonts w:ascii="Arial" w:hAnsi="Arial" w:cs="Arial"/>
          <w:sz w:val="24"/>
          <w:szCs w:val="28"/>
        </w:rPr>
        <w:t>” e “</w:t>
      </w:r>
      <w:r w:rsidRPr="00E64C30">
        <w:rPr>
          <w:rFonts w:ascii="Arial" w:hAnsi="Arial" w:cs="Arial"/>
          <w:i/>
          <w:sz w:val="24"/>
          <w:szCs w:val="28"/>
        </w:rPr>
        <w:t>indeterminados</w:t>
      </w:r>
      <w:r w:rsidRPr="00E64C30">
        <w:rPr>
          <w:rFonts w:ascii="Arial" w:hAnsi="Arial" w:cs="Arial"/>
          <w:sz w:val="24"/>
          <w:szCs w:val="28"/>
        </w:rPr>
        <w:t>” de una persona fallecida, así como contra “</w:t>
      </w:r>
      <w:r w:rsidRPr="00E64C30">
        <w:rPr>
          <w:rFonts w:ascii="Arial" w:hAnsi="Arial" w:cs="Arial"/>
          <w:i/>
          <w:sz w:val="24"/>
          <w:szCs w:val="28"/>
        </w:rPr>
        <w:t>personas indeterminadas</w:t>
      </w:r>
      <w:r w:rsidRPr="00E64C30">
        <w:rPr>
          <w:rFonts w:ascii="Arial" w:hAnsi="Arial" w:cs="Arial"/>
          <w:sz w:val="24"/>
          <w:szCs w:val="28"/>
        </w:rPr>
        <w:t xml:space="preserve">”, cual ocurre en los procesos de pertenencia, </w:t>
      </w:r>
      <w:r w:rsidRPr="00E64C30">
        <w:rPr>
          <w:rFonts w:ascii="Arial" w:hAnsi="Arial" w:cs="Arial"/>
          <w:sz w:val="24"/>
          <w:szCs w:val="28"/>
          <w:u w:val="single"/>
        </w:rPr>
        <w:t xml:space="preserve">es claro que ante la necesidad de los emplazamientos, el de unos y otros debe surtirse, en línea de principio, de manera separada, por ser su objeto distinto, dado que los primeros son llamados para que reciban notificación del auto que impulsa la demanda (artículo 318 del Código de Procedimiento Civil), mientras las segundas, para que hagan valer los derechos que creen tener sobre el bien (artículo 407, </w:t>
      </w:r>
      <w:r w:rsidRPr="00E64C30">
        <w:rPr>
          <w:rFonts w:ascii="Arial" w:hAnsi="Arial" w:cs="Arial"/>
          <w:i/>
          <w:sz w:val="24"/>
          <w:szCs w:val="28"/>
          <w:u w:val="single"/>
        </w:rPr>
        <w:t>ibídem</w:t>
      </w:r>
      <w:r w:rsidRPr="00E64C30">
        <w:rPr>
          <w:rFonts w:ascii="Arial" w:hAnsi="Arial" w:cs="Arial"/>
          <w:sz w:val="24"/>
          <w:szCs w:val="28"/>
          <w:u w:val="single"/>
        </w:rPr>
        <w:t>), y porque debido a lo mismo, cada uno se encuentra totalmente reglado</w:t>
      </w:r>
      <w:r w:rsidRPr="00E64C30">
        <w:rPr>
          <w:rFonts w:ascii="Arial" w:hAnsi="Arial" w:cs="Arial"/>
          <w:sz w:val="24"/>
          <w:szCs w:val="28"/>
        </w:rPr>
        <w:t>.</w:t>
      </w:r>
    </w:p>
    <w:p w:rsidR="00E64C30" w:rsidRPr="00E64C30" w:rsidRDefault="00E64C30" w:rsidP="00E64C30">
      <w:pPr>
        <w:ind w:left="567" w:right="567" w:firstLine="1418"/>
        <w:jc w:val="both"/>
        <w:rPr>
          <w:rFonts w:ascii="Arial" w:hAnsi="Arial" w:cs="Arial"/>
          <w:sz w:val="24"/>
          <w:szCs w:val="28"/>
        </w:rPr>
      </w:pPr>
      <w:r w:rsidRPr="00E64C30">
        <w:rPr>
          <w:rFonts w:ascii="Arial" w:hAnsi="Arial" w:cs="Arial"/>
          <w:sz w:val="24"/>
          <w:szCs w:val="28"/>
        </w:rPr>
        <w:t xml:space="preserve">   </w:t>
      </w:r>
    </w:p>
    <w:p w:rsidR="00E64C30" w:rsidRPr="00E64C30" w:rsidRDefault="00E64C30" w:rsidP="00E64C30">
      <w:pPr>
        <w:ind w:left="567" w:right="567"/>
        <w:jc w:val="both"/>
        <w:rPr>
          <w:rFonts w:ascii="Arial" w:hAnsi="Arial" w:cs="Arial"/>
          <w:sz w:val="24"/>
          <w:szCs w:val="28"/>
        </w:rPr>
      </w:pPr>
      <w:r w:rsidRPr="00E64C30">
        <w:rPr>
          <w:rFonts w:ascii="Arial" w:hAnsi="Arial" w:cs="Arial"/>
          <w:sz w:val="24"/>
          <w:szCs w:val="28"/>
        </w:rPr>
        <w:t>Por esto, cuando se demanda a los herederos de una persona, titular de derechos reales sobre el bien a usucapir, la Sala tiene dicho que su emplazamiento “</w:t>
      </w:r>
      <w:r w:rsidRPr="00E64C30">
        <w:rPr>
          <w:rFonts w:ascii="Arial" w:hAnsi="Arial" w:cs="Arial"/>
          <w:i/>
          <w:sz w:val="24"/>
          <w:szCs w:val="28"/>
        </w:rPr>
        <w:t>no puede entenderse</w:t>
      </w:r>
      <w:r w:rsidRPr="00E64C30">
        <w:rPr>
          <w:rFonts w:ascii="Arial" w:hAnsi="Arial" w:cs="Arial"/>
          <w:sz w:val="24"/>
          <w:szCs w:val="28"/>
        </w:rPr>
        <w:t>” “</w:t>
      </w:r>
      <w:r w:rsidRPr="00E64C30">
        <w:rPr>
          <w:rFonts w:ascii="Arial" w:hAnsi="Arial" w:cs="Arial"/>
          <w:i/>
          <w:sz w:val="24"/>
          <w:szCs w:val="28"/>
        </w:rPr>
        <w:t xml:space="preserve">comprendida dentro del llamamiento </w:t>
      </w:r>
      <w:proofErr w:type="spellStart"/>
      <w:r w:rsidRPr="00E64C30">
        <w:rPr>
          <w:rFonts w:ascii="Arial" w:hAnsi="Arial" w:cs="Arial"/>
          <w:i/>
          <w:sz w:val="24"/>
          <w:szCs w:val="28"/>
        </w:rPr>
        <w:t>edictal</w:t>
      </w:r>
      <w:proofErr w:type="spellEnd"/>
      <w:r w:rsidRPr="00E64C30">
        <w:rPr>
          <w:rFonts w:ascii="Arial" w:hAnsi="Arial" w:cs="Arial"/>
          <w:i/>
          <w:sz w:val="24"/>
          <w:szCs w:val="28"/>
        </w:rPr>
        <w:t xml:space="preserve"> que se hace necesariamente (…) a las personas indeterminadas</w:t>
      </w:r>
      <w:r w:rsidRPr="00E64C30">
        <w:rPr>
          <w:rFonts w:ascii="Arial" w:hAnsi="Arial" w:cs="Arial"/>
          <w:sz w:val="24"/>
          <w:szCs w:val="28"/>
        </w:rPr>
        <w:t>”. De ahí que “</w:t>
      </w:r>
      <w:r w:rsidRPr="00E64C30">
        <w:rPr>
          <w:rFonts w:ascii="Arial" w:hAnsi="Arial" w:cs="Arial"/>
          <w:i/>
          <w:sz w:val="24"/>
          <w:szCs w:val="28"/>
        </w:rPr>
        <w:t>deben ser citadas nominalmente para que tengan conocimiento de la demanda y tengan la oportunidad de acudir personalmente al proceso y procurarse su defensa</w:t>
      </w:r>
      <w:r w:rsidRPr="00E64C30">
        <w:rPr>
          <w:rFonts w:ascii="Arial" w:hAnsi="Arial" w:cs="Arial"/>
          <w:sz w:val="24"/>
          <w:szCs w:val="28"/>
        </w:rPr>
        <w:t>”</w:t>
      </w:r>
      <w:r w:rsidRPr="00E64C30">
        <w:rPr>
          <w:rStyle w:val="Refdenotaalpie"/>
          <w:rFonts w:ascii="Arial" w:hAnsi="Arial" w:cs="Arial"/>
          <w:sz w:val="24"/>
          <w:szCs w:val="28"/>
        </w:rPr>
        <w:footnoteReference w:id="12"/>
      </w:r>
      <w:r w:rsidRPr="00E64C30">
        <w:rPr>
          <w:rFonts w:ascii="Arial" w:hAnsi="Arial" w:cs="Arial"/>
          <w:sz w:val="24"/>
          <w:szCs w:val="28"/>
        </w:rPr>
        <w:t>.</w:t>
      </w:r>
      <w:r>
        <w:rPr>
          <w:rFonts w:ascii="Arial" w:hAnsi="Arial" w:cs="Arial"/>
          <w:sz w:val="24"/>
          <w:szCs w:val="28"/>
        </w:rPr>
        <w:t xml:space="preserve"> </w:t>
      </w:r>
      <w:proofErr w:type="spellStart"/>
      <w:r>
        <w:rPr>
          <w:rFonts w:ascii="Arial" w:hAnsi="Arial" w:cs="Arial"/>
          <w:sz w:val="24"/>
          <w:szCs w:val="28"/>
        </w:rPr>
        <w:t>Sublíneas</w:t>
      </w:r>
      <w:proofErr w:type="spellEnd"/>
      <w:r>
        <w:rPr>
          <w:rFonts w:ascii="Arial" w:hAnsi="Arial" w:cs="Arial"/>
          <w:sz w:val="24"/>
          <w:szCs w:val="28"/>
        </w:rPr>
        <w:t xml:space="preserve"> </w:t>
      </w:r>
      <w:r w:rsidR="00E1530A">
        <w:rPr>
          <w:rFonts w:ascii="Arial" w:hAnsi="Arial" w:cs="Arial"/>
          <w:sz w:val="24"/>
          <w:szCs w:val="28"/>
        </w:rPr>
        <w:t>fuera de texto</w:t>
      </w:r>
      <w:r>
        <w:rPr>
          <w:rFonts w:ascii="Arial" w:hAnsi="Arial" w:cs="Arial"/>
          <w:sz w:val="24"/>
          <w:szCs w:val="28"/>
        </w:rPr>
        <w:t>.</w:t>
      </w:r>
    </w:p>
    <w:p w:rsidR="00E64C30" w:rsidRPr="00E64C30" w:rsidRDefault="00E64C30" w:rsidP="00E64C30">
      <w:pPr>
        <w:ind w:left="567" w:right="567" w:firstLine="1418"/>
        <w:jc w:val="both"/>
        <w:rPr>
          <w:rFonts w:ascii="Arial" w:hAnsi="Arial" w:cs="Arial"/>
          <w:sz w:val="24"/>
          <w:szCs w:val="28"/>
        </w:rPr>
      </w:pPr>
    </w:p>
    <w:p w:rsidR="00C92F0E" w:rsidRDefault="00C92F0E" w:rsidP="00485BA4">
      <w:pPr>
        <w:spacing w:line="360" w:lineRule="auto"/>
        <w:ind w:right="51"/>
        <w:jc w:val="both"/>
        <w:rPr>
          <w:rFonts w:ascii="Arial" w:hAnsi="Arial" w:cs="Arial"/>
          <w:sz w:val="24"/>
          <w:szCs w:val="24"/>
          <w:lang w:val="es-MX"/>
        </w:rPr>
      </w:pPr>
    </w:p>
    <w:p w:rsidR="00C92F0E" w:rsidRDefault="00C92F0E" w:rsidP="00C92F0E">
      <w:pPr>
        <w:spacing w:line="360" w:lineRule="auto"/>
        <w:ind w:right="51"/>
        <w:jc w:val="both"/>
        <w:rPr>
          <w:rFonts w:ascii="Arial" w:hAnsi="Arial" w:cs="Arial"/>
          <w:sz w:val="24"/>
          <w:szCs w:val="24"/>
          <w:lang w:val="es-MX"/>
        </w:rPr>
      </w:pPr>
      <w:r>
        <w:rPr>
          <w:rFonts w:ascii="Arial" w:hAnsi="Arial" w:cs="Arial"/>
          <w:sz w:val="24"/>
          <w:szCs w:val="24"/>
        </w:rPr>
        <w:t xml:space="preserve">En suma, la omisión de alguno(s) de los requisitos (Artículos 318 o 407-6°, CPC), </w:t>
      </w:r>
      <w:r w:rsidRPr="007031D1">
        <w:rPr>
          <w:rFonts w:ascii="Arial" w:hAnsi="Arial" w:cs="Arial"/>
          <w:sz w:val="24"/>
          <w:szCs w:val="24"/>
        </w:rPr>
        <w:t>configura una flagrante vulneración al debido proceso</w:t>
      </w:r>
      <w:r>
        <w:rPr>
          <w:rFonts w:ascii="Arial" w:hAnsi="Arial" w:cs="Arial"/>
          <w:sz w:val="24"/>
          <w:szCs w:val="24"/>
        </w:rPr>
        <w:t>,</w:t>
      </w:r>
      <w:r w:rsidRPr="007031D1">
        <w:rPr>
          <w:rFonts w:ascii="Arial" w:hAnsi="Arial" w:cs="Arial"/>
          <w:sz w:val="24"/>
          <w:szCs w:val="24"/>
        </w:rPr>
        <w:t xml:space="preserve"> con mayor razón </w:t>
      </w:r>
      <w:r>
        <w:rPr>
          <w:rFonts w:ascii="Arial" w:hAnsi="Arial" w:cs="Arial"/>
          <w:sz w:val="24"/>
          <w:szCs w:val="24"/>
        </w:rPr>
        <w:t xml:space="preserve">cuando la(s) persona(s) </w:t>
      </w:r>
      <w:r w:rsidRPr="007031D1">
        <w:rPr>
          <w:rFonts w:ascii="Arial" w:hAnsi="Arial" w:cs="Arial"/>
          <w:sz w:val="24"/>
          <w:szCs w:val="24"/>
        </w:rPr>
        <w:t>no se hacen prese</w:t>
      </w:r>
      <w:r>
        <w:rPr>
          <w:rFonts w:ascii="Arial" w:hAnsi="Arial" w:cs="Arial"/>
          <w:sz w:val="24"/>
          <w:szCs w:val="24"/>
        </w:rPr>
        <w:t xml:space="preserve">ntes al litigio (Lo que casi siempre ocurre con las indeterminadas) y luego de emplazadas se les nombra </w:t>
      </w:r>
      <w:r w:rsidRPr="00903782">
        <w:rPr>
          <w:rFonts w:ascii="Arial" w:hAnsi="Arial" w:cs="Arial"/>
          <w:sz w:val="24"/>
          <w:szCs w:val="24"/>
        </w:rPr>
        <w:t xml:space="preserve">curador </w:t>
      </w:r>
      <w:r w:rsidRPr="00903782">
        <w:rPr>
          <w:rFonts w:ascii="Arial" w:hAnsi="Arial" w:cs="Arial"/>
          <w:i/>
          <w:sz w:val="24"/>
          <w:szCs w:val="24"/>
        </w:rPr>
        <w:t xml:space="preserve">ad </w:t>
      </w:r>
      <w:proofErr w:type="spellStart"/>
      <w:r w:rsidRPr="00903782">
        <w:rPr>
          <w:rFonts w:ascii="Arial" w:hAnsi="Arial" w:cs="Arial"/>
          <w:i/>
          <w:sz w:val="24"/>
          <w:szCs w:val="24"/>
        </w:rPr>
        <w:t>litem</w:t>
      </w:r>
      <w:proofErr w:type="spellEnd"/>
      <w:r w:rsidRPr="00903782">
        <w:rPr>
          <w:rFonts w:ascii="Arial" w:hAnsi="Arial" w:cs="Arial"/>
          <w:sz w:val="24"/>
          <w:szCs w:val="24"/>
        </w:rPr>
        <w:t xml:space="preserve"> qu</w:t>
      </w:r>
      <w:r>
        <w:rPr>
          <w:rFonts w:ascii="Arial" w:hAnsi="Arial" w:cs="Arial"/>
          <w:sz w:val="24"/>
          <w:szCs w:val="24"/>
        </w:rPr>
        <w:t xml:space="preserve">ien </w:t>
      </w:r>
      <w:r w:rsidRPr="00903782">
        <w:rPr>
          <w:rFonts w:ascii="Arial" w:hAnsi="Arial" w:cs="Arial"/>
          <w:sz w:val="24"/>
          <w:szCs w:val="24"/>
        </w:rPr>
        <w:t>carec</w:t>
      </w:r>
      <w:r>
        <w:rPr>
          <w:rFonts w:ascii="Arial" w:hAnsi="Arial" w:cs="Arial"/>
          <w:sz w:val="24"/>
          <w:szCs w:val="24"/>
        </w:rPr>
        <w:t xml:space="preserve">e </w:t>
      </w:r>
      <w:r w:rsidRPr="00903782">
        <w:rPr>
          <w:rFonts w:ascii="Arial" w:hAnsi="Arial" w:cs="Arial"/>
          <w:sz w:val="24"/>
          <w:szCs w:val="24"/>
        </w:rPr>
        <w:t>de toda facultad para convalidar la actuació</w:t>
      </w:r>
      <w:r>
        <w:rPr>
          <w:rFonts w:ascii="Arial" w:hAnsi="Arial" w:cs="Arial"/>
          <w:sz w:val="24"/>
          <w:szCs w:val="24"/>
        </w:rPr>
        <w:t xml:space="preserve">n por lo que no puede sanearse, de allí que </w:t>
      </w:r>
      <w:r w:rsidRPr="007031D1">
        <w:rPr>
          <w:rFonts w:ascii="Arial" w:hAnsi="Arial" w:cs="Arial"/>
          <w:sz w:val="24"/>
          <w:szCs w:val="24"/>
        </w:rPr>
        <w:t>la actuación s</w:t>
      </w:r>
      <w:r>
        <w:rPr>
          <w:rFonts w:ascii="Arial" w:hAnsi="Arial" w:cs="Arial"/>
          <w:sz w:val="24"/>
          <w:szCs w:val="24"/>
        </w:rPr>
        <w:t>ea</w:t>
      </w:r>
      <w:r w:rsidRPr="007031D1">
        <w:rPr>
          <w:rFonts w:ascii="Arial" w:hAnsi="Arial" w:cs="Arial"/>
          <w:sz w:val="24"/>
          <w:szCs w:val="24"/>
        </w:rPr>
        <w:t xml:space="preserve"> anómala </w:t>
      </w:r>
      <w:r>
        <w:rPr>
          <w:rFonts w:ascii="Arial" w:hAnsi="Arial" w:cs="Arial"/>
          <w:sz w:val="24"/>
          <w:szCs w:val="24"/>
        </w:rPr>
        <w:t xml:space="preserve">al tipificarse </w:t>
      </w:r>
      <w:r w:rsidRPr="007031D1">
        <w:rPr>
          <w:rFonts w:ascii="Arial" w:hAnsi="Arial" w:cs="Arial"/>
          <w:sz w:val="24"/>
          <w:szCs w:val="24"/>
        </w:rPr>
        <w:t xml:space="preserve">la causal </w:t>
      </w:r>
      <w:r>
        <w:rPr>
          <w:rFonts w:ascii="Arial" w:hAnsi="Arial" w:cs="Arial"/>
          <w:sz w:val="24"/>
          <w:szCs w:val="24"/>
        </w:rPr>
        <w:t>d</w:t>
      </w:r>
      <w:r w:rsidRPr="007031D1">
        <w:rPr>
          <w:rFonts w:ascii="Arial" w:hAnsi="Arial" w:cs="Arial"/>
          <w:sz w:val="24"/>
          <w:szCs w:val="24"/>
        </w:rPr>
        <w:t>el artículo</w:t>
      </w:r>
      <w:r>
        <w:rPr>
          <w:rFonts w:ascii="Arial" w:hAnsi="Arial" w:cs="Arial"/>
          <w:sz w:val="24"/>
          <w:szCs w:val="24"/>
        </w:rPr>
        <w:t xml:space="preserve"> 140-9 del CPC y la única forma de remediar</w:t>
      </w:r>
      <w:r w:rsidRPr="00903782">
        <w:rPr>
          <w:rFonts w:ascii="Arial" w:hAnsi="Arial" w:cs="Arial"/>
          <w:sz w:val="24"/>
          <w:szCs w:val="24"/>
        </w:rPr>
        <w:t xml:space="preserve">la </w:t>
      </w:r>
      <w:r w:rsidR="00621FD0">
        <w:rPr>
          <w:rFonts w:ascii="Arial" w:hAnsi="Arial" w:cs="Arial"/>
          <w:sz w:val="24"/>
          <w:szCs w:val="24"/>
        </w:rPr>
        <w:t xml:space="preserve">es </w:t>
      </w:r>
      <w:r w:rsidR="00621FD0">
        <w:rPr>
          <w:rFonts w:ascii="Arial" w:hAnsi="Arial" w:cs="Arial"/>
          <w:sz w:val="24"/>
          <w:szCs w:val="24"/>
          <w:lang w:val="es-MX"/>
        </w:rPr>
        <w:t xml:space="preserve">mediante la </w:t>
      </w:r>
      <w:r w:rsidRPr="00903782">
        <w:rPr>
          <w:rFonts w:ascii="Arial" w:hAnsi="Arial" w:cs="Arial"/>
          <w:sz w:val="24"/>
          <w:szCs w:val="24"/>
          <w:lang w:val="es-MX"/>
        </w:rPr>
        <w:t>declara</w:t>
      </w:r>
      <w:r>
        <w:rPr>
          <w:rFonts w:ascii="Arial" w:hAnsi="Arial" w:cs="Arial"/>
          <w:sz w:val="24"/>
          <w:szCs w:val="24"/>
          <w:lang w:val="es-MX"/>
        </w:rPr>
        <w:t xml:space="preserve">toria </w:t>
      </w:r>
      <w:r w:rsidRPr="00903782">
        <w:rPr>
          <w:rFonts w:ascii="Arial" w:hAnsi="Arial" w:cs="Arial"/>
          <w:sz w:val="24"/>
          <w:szCs w:val="24"/>
          <w:lang w:val="es-MX"/>
        </w:rPr>
        <w:t>de nulidad.</w:t>
      </w:r>
    </w:p>
    <w:p w:rsidR="00621FD0" w:rsidRDefault="00621FD0" w:rsidP="00C92F0E">
      <w:pPr>
        <w:spacing w:line="360" w:lineRule="auto"/>
        <w:ind w:right="51"/>
        <w:jc w:val="both"/>
        <w:rPr>
          <w:rFonts w:ascii="Arial" w:hAnsi="Arial" w:cs="Arial"/>
          <w:sz w:val="24"/>
          <w:szCs w:val="24"/>
          <w:lang w:val="es-MX"/>
        </w:rPr>
      </w:pPr>
    </w:p>
    <w:p w:rsidR="00485BA4" w:rsidRDefault="00485BA4" w:rsidP="00485BA4">
      <w:pPr>
        <w:pStyle w:val="Prrafodelista"/>
        <w:numPr>
          <w:ilvl w:val="1"/>
          <w:numId w:val="1"/>
        </w:numPr>
        <w:tabs>
          <w:tab w:val="left" w:pos="-720"/>
        </w:tabs>
        <w:suppressAutoHyphens/>
        <w:spacing w:line="360" w:lineRule="auto"/>
        <w:jc w:val="both"/>
        <w:rPr>
          <w:rFonts w:ascii="Arial" w:hAnsi="Arial" w:cs="Arial"/>
          <w:spacing w:val="-3"/>
          <w:sz w:val="24"/>
          <w:szCs w:val="24"/>
        </w:rPr>
      </w:pPr>
      <w:r w:rsidRPr="002E20D6">
        <w:rPr>
          <w:rFonts w:ascii="Arial" w:hAnsi="Arial" w:cs="Arial"/>
          <w:spacing w:val="-3"/>
          <w:sz w:val="24"/>
          <w:szCs w:val="24"/>
        </w:rPr>
        <w:t>El caso concreto que se analiza</w:t>
      </w:r>
    </w:p>
    <w:p w:rsidR="001D68DD" w:rsidRDefault="001D68DD" w:rsidP="001D68DD">
      <w:pPr>
        <w:tabs>
          <w:tab w:val="left" w:pos="-720"/>
        </w:tabs>
        <w:suppressAutoHyphens/>
        <w:spacing w:line="360" w:lineRule="auto"/>
        <w:jc w:val="both"/>
        <w:rPr>
          <w:rFonts w:ascii="Arial" w:hAnsi="Arial" w:cs="Arial"/>
          <w:spacing w:val="-3"/>
          <w:sz w:val="24"/>
          <w:szCs w:val="24"/>
        </w:rPr>
      </w:pPr>
    </w:p>
    <w:p w:rsidR="001D68DD" w:rsidRDefault="001D68DD"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A partir de las premisas jurídicas </w:t>
      </w:r>
      <w:r w:rsidR="00621FD0">
        <w:rPr>
          <w:rFonts w:ascii="Arial" w:hAnsi="Arial" w:cs="Arial"/>
          <w:spacing w:val="-3"/>
          <w:sz w:val="24"/>
          <w:szCs w:val="24"/>
        </w:rPr>
        <w:t>precitadas</w:t>
      </w:r>
      <w:r w:rsidR="00335A2F">
        <w:rPr>
          <w:rFonts w:ascii="Arial" w:hAnsi="Arial" w:cs="Arial"/>
          <w:spacing w:val="-3"/>
          <w:sz w:val="24"/>
          <w:szCs w:val="24"/>
        </w:rPr>
        <w:t>,</w:t>
      </w:r>
      <w:r w:rsidR="00621FD0">
        <w:rPr>
          <w:rFonts w:ascii="Arial" w:hAnsi="Arial" w:cs="Arial"/>
          <w:spacing w:val="-3"/>
          <w:sz w:val="24"/>
          <w:szCs w:val="24"/>
        </w:rPr>
        <w:t xml:space="preserve"> </w:t>
      </w:r>
      <w:r>
        <w:rPr>
          <w:rFonts w:ascii="Arial" w:hAnsi="Arial" w:cs="Arial"/>
          <w:spacing w:val="-3"/>
          <w:sz w:val="24"/>
          <w:szCs w:val="24"/>
        </w:rPr>
        <w:t xml:space="preserve">en este asunto se ha configurado la nulidad del numeral 9 del artículo 140 del CPC, tal como pasará a explicarse. </w:t>
      </w:r>
    </w:p>
    <w:p w:rsidR="001D68DD" w:rsidRDefault="001D68DD" w:rsidP="001D68DD">
      <w:pPr>
        <w:tabs>
          <w:tab w:val="left" w:pos="-720"/>
        </w:tabs>
        <w:suppressAutoHyphens/>
        <w:spacing w:line="360" w:lineRule="auto"/>
        <w:jc w:val="both"/>
        <w:rPr>
          <w:rFonts w:ascii="Arial" w:hAnsi="Arial" w:cs="Arial"/>
          <w:spacing w:val="-3"/>
          <w:sz w:val="24"/>
          <w:szCs w:val="24"/>
        </w:rPr>
      </w:pPr>
    </w:p>
    <w:p w:rsidR="001378D5" w:rsidRDefault="00E1530A"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lastRenderedPageBreak/>
        <w:t xml:space="preserve">Como </w:t>
      </w:r>
      <w:r w:rsidR="004519F2">
        <w:rPr>
          <w:rFonts w:ascii="Arial" w:hAnsi="Arial" w:cs="Arial"/>
          <w:spacing w:val="-3"/>
          <w:sz w:val="24"/>
          <w:szCs w:val="24"/>
        </w:rPr>
        <w:t xml:space="preserve">ya </w:t>
      </w:r>
      <w:r w:rsidR="00194716">
        <w:rPr>
          <w:rFonts w:ascii="Arial" w:hAnsi="Arial" w:cs="Arial"/>
          <w:spacing w:val="-3"/>
          <w:sz w:val="24"/>
          <w:szCs w:val="24"/>
        </w:rPr>
        <w:t>se ha mencionado, e</w:t>
      </w:r>
      <w:r w:rsidR="004519F2">
        <w:rPr>
          <w:rFonts w:ascii="Arial" w:hAnsi="Arial" w:cs="Arial"/>
          <w:spacing w:val="-3"/>
          <w:sz w:val="24"/>
          <w:szCs w:val="24"/>
        </w:rPr>
        <w:t xml:space="preserve">ste </w:t>
      </w:r>
      <w:r w:rsidR="00194716">
        <w:rPr>
          <w:rFonts w:ascii="Arial" w:hAnsi="Arial" w:cs="Arial"/>
          <w:spacing w:val="-3"/>
          <w:sz w:val="24"/>
          <w:szCs w:val="24"/>
        </w:rPr>
        <w:t>asunto e</w:t>
      </w:r>
      <w:r w:rsidR="004519F2">
        <w:rPr>
          <w:rFonts w:ascii="Arial" w:hAnsi="Arial" w:cs="Arial"/>
          <w:spacing w:val="-3"/>
          <w:sz w:val="24"/>
          <w:szCs w:val="24"/>
        </w:rPr>
        <w:t>s un proceso de pertenencia</w:t>
      </w:r>
      <w:r w:rsidR="00587725">
        <w:rPr>
          <w:rFonts w:ascii="Arial" w:hAnsi="Arial" w:cs="Arial"/>
          <w:spacing w:val="-3"/>
          <w:sz w:val="24"/>
          <w:szCs w:val="24"/>
        </w:rPr>
        <w:t>,</w:t>
      </w:r>
      <w:r w:rsidR="004519F2">
        <w:rPr>
          <w:rFonts w:ascii="Arial" w:hAnsi="Arial" w:cs="Arial"/>
          <w:spacing w:val="-3"/>
          <w:sz w:val="24"/>
          <w:szCs w:val="24"/>
        </w:rPr>
        <w:t xml:space="preserve"> el que por disposición legal </w:t>
      </w:r>
      <w:r w:rsidR="00587725">
        <w:rPr>
          <w:rFonts w:ascii="Arial" w:hAnsi="Arial" w:cs="Arial"/>
          <w:spacing w:val="-3"/>
          <w:sz w:val="24"/>
          <w:szCs w:val="24"/>
        </w:rPr>
        <w:t>(Artículo 407-5°, CPC) debe dirigirse contra todas las personas que figuren como titulares de derecho reales sobre el bien inmueble</w:t>
      </w:r>
      <w:r w:rsidR="001378D5">
        <w:rPr>
          <w:rFonts w:ascii="Arial" w:hAnsi="Arial" w:cs="Arial"/>
          <w:spacing w:val="-3"/>
          <w:sz w:val="24"/>
          <w:szCs w:val="24"/>
        </w:rPr>
        <w:t xml:space="preserve"> cuya prescripción se pretende. </w:t>
      </w:r>
    </w:p>
    <w:p w:rsidR="001378D5" w:rsidRDefault="001378D5" w:rsidP="001D68DD">
      <w:pPr>
        <w:tabs>
          <w:tab w:val="left" w:pos="-720"/>
        </w:tabs>
        <w:suppressAutoHyphens/>
        <w:spacing w:line="360" w:lineRule="auto"/>
        <w:jc w:val="both"/>
        <w:rPr>
          <w:rFonts w:ascii="Arial" w:hAnsi="Arial" w:cs="Arial"/>
          <w:spacing w:val="-3"/>
          <w:sz w:val="24"/>
          <w:szCs w:val="24"/>
        </w:rPr>
      </w:pPr>
    </w:p>
    <w:p w:rsidR="001D68DD" w:rsidRDefault="001378D5" w:rsidP="001D68DD">
      <w:pPr>
        <w:tabs>
          <w:tab w:val="left" w:pos="-720"/>
        </w:tabs>
        <w:suppressAutoHyphens/>
        <w:spacing w:line="360" w:lineRule="auto"/>
        <w:jc w:val="both"/>
        <w:rPr>
          <w:rFonts w:ascii="Arial" w:hAnsi="Arial" w:cs="Arial"/>
          <w:sz w:val="24"/>
          <w:szCs w:val="24"/>
          <w:lang w:val="es-CO"/>
        </w:rPr>
      </w:pPr>
      <w:r>
        <w:rPr>
          <w:rFonts w:ascii="Arial" w:hAnsi="Arial" w:cs="Arial"/>
          <w:spacing w:val="-3"/>
          <w:sz w:val="24"/>
          <w:szCs w:val="24"/>
        </w:rPr>
        <w:t xml:space="preserve">Una revisión del certificado de tradición del predio, advierte que los propietarios inscritos son: </w:t>
      </w:r>
      <w:r>
        <w:rPr>
          <w:rFonts w:ascii="Arial" w:hAnsi="Arial" w:cs="Arial"/>
          <w:sz w:val="24"/>
          <w:szCs w:val="24"/>
          <w:lang w:val="es-CO"/>
        </w:rPr>
        <w:t>Sara Morales de Ríos,</w:t>
      </w:r>
      <w:r w:rsidR="0090473C">
        <w:rPr>
          <w:rFonts w:ascii="Arial" w:hAnsi="Arial" w:cs="Arial"/>
          <w:sz w:val="24"/>
          <w:szCs w:val="24"/>
          <w:lang w:val="es-CO"/>
        </w:rPr>
        <w:t xml:space="preserve"> Luc</w:t>
      </w:r>
      <w:r w:rsidR="00621FD0">
        <w:rPr>
          <w:rFonts w:ascii="Arial" w:hAnsi="Arial" w:cs="Arial"/>
          <w:sz w:val="24"/>
          <w:szCs w:val="24"/>
          <w:lang w:val="es-CO"/>
        </w:rPr>
        <w:t>í</w:t>
      </w:r>
      <w:r w:rsidR="0090473C">
        <w:rPr>
          <w:rFonts w:ascii="Arial" w:hAnsi="Arial" w:cs="Arial"/>
          <w:sz w:val="24"/>
          <w:szCs w:val="24"/>
          <w:lang w:val="es-CO"/>
        </w:rPr>
        <w:t xml:space="preserve">a </w:t>
      </w:r>
      <w:r w:rsidR="00621FD0">
        <w:rPr>
          <w:rFonts w:ascii="Arial" w:hAnsi="Arial" w:cs="Arial"/>
          <w:sz w:val="24"/>
          <w:szCs w:val="24"/>
          <w:lang w:val="es-CO"/>
        </w:rPr>
        <w:t xml:space="preserve">(Sic) </w:t>
      </w:r>
      <w:r w:rsidR="0090473C">
        <w:rPr>
          <w:rFonts w:ascii="Arial" w:hAnsi="Arial" w:cs="Arial"/>
          <w:sz w:val="24"/>
          <w:szCs w:val="24"/>
          <w:lang w:val="es-CO"/>
        </w:rPr>
        <w:t xml:space="preserve">Morales de Giraldo, </w:t>
      </w:r>
      <w:r>
        <w:rPr>
          <w:rFonts w:ascii="Arial" w:hAnsi="Arial" w:cs="Arial"/>
          <w:sz w:val="24"/>
          <w:szCs w:val="24"/>
          <w:lang w:val="es-CO"/>
        </w:rPr>
        <w:t xml:space="preserve">María Isabel Morales Figueroa, </w:t>
      </w:r>
      <w:r w:rsidR="0090473C">
        <w:rPr>
          <w:rFonts w:ascii="Arial" w:hAnsi="Arial" w:cs="Arial"/>
          <w:sz w:val="24"/>
          <w:szCs w:val="24"/>
          <w:lang w:val="es-CO"/>
        </w:rPr>
        <w:t xml:space="preserve"> Guillermo Morales Figueroa, </w:t>
      </w:r>
      <w:r>
        <w:rPr>
          <w:rFonts w:ascii="Arial" w:hAnsi="Arial" w:cs="Arial"/>
          <w:sz w:val="24"/>
          <w:szCs w:val="24"/>
          <w:lang w:val="es-CO"/>
        </w:rPr>
        <w:t>José Jairo Loaiza Vélez, Ramón Eduardo Giraldo Morales, Ángela Patricia Giraldo Morales, Francisco Luis Giraldo Morales</w:t>
      </w:r>
      <w:r w:rsidR="0090473C">
        <w:rPr>
          <w:rFonts w:ascii="Arial" w:hAnsi="Arial" w:cs="Arial"/>
          <w:sz w:val="24"/>
          <w:szCs w:val="24"/>
          <w:lang w:val="es-CO"/>
        </w:rPr>
        <w:t xml:space="preserve"> y</w:t>
      </w:r>
      <w:r>
        <w:rPr>
          <w:rFonts w:ascii="Arial" w:hAnsi="Arial" w:cs="Arial"/>
          <w:sz w:val="24"/>
          <w:szCs w:val="24"/>
          <w:lang w:val="es-CO"/>
        </w:rPr>
        <w:t xml:space="preserve"> Mario Rafael Giraldo Morales</w:t>
      </w:r>
      <w:r w:rsidR="0090473C">
        <w:rPr>
          <w:rFonts w:ascii="Arial" w:hAnsi="Arial" w:cs="Arial"/>
          <w:sz w:val="24"/>
          <w:szCs w:val="24"/>
          <w:lang w:val="es-CO"/>
        </w:rPr>
        <w:t>; contra quienes debió dirigirse al proceso</w:t>
      </w:r>
      <w:r w:rsidR="00621FD0">
        <w:rPr>
          <w:rFonts w:ascii="Arial" w:hAnsi="Arial" w:cs="Arial"/>
          <w:sz w:val="24"/>
          <w:szCs w:val="24"/>
          <w:lang w:val="es-CO"/>
        </w:rPr>
        <w:t>,</w:t>
      </w:r>
      <w:r w:rsidR="0090473C">
        <w:rPr>
          <w:rFonts w:ascii="Arial" w:hAnsi="Arial" w:cs="Arial"/>
          <w:sz w:val="24"/>
          <w:szCs w:val="24"/>
          <w:lang w:val="es-CO"/>
        </w:rPr>
        <w:t xml:space="preserve"> además</w:t>
      </w:r>
      <w:r w:rsidR="00621FD0">
        <w:rPr>
          <w:rFonts w:ascii="Arial" w:hAnsi="Arial" w:cs="Arial"/>
          <w:sz w:val="24"/>
          <w:szCs w:val="24"/>
          <w:lang w:val="es-CO"/>
        </w:rPr>
        <w:t>,</w:t>
      </w:r>
      <w:r w:rsidR="0090473C">
        <w:rPr>
          <w:rFonts w:ascii="Arial" w:hAnsi="Arial" w:cs="Arial"/>
          <w:sz w:val="24"/>
          <w:szCs w:val="24"/>
          <w:lang w:val="es-CO"/>
        </w:rPr>
        <w:t xml:space="preserve"> las personas indeterminadas que se crean con derecho sobre el inmueble</w:t>
      </w:r>
      <w:r w:rsidR="00AD77AF">
        <w:rPr>
          <w:rFonts w:ascii="Arial" w:hAnsi="Arial" w:cs="Arial"/>
          <w:sz w:val="24"/>
          <w:szCs w:val="24"/>
          <w:lang w:val="es-CO"/>
        </w:rPr>
        <w:t>, pero así no ocurrió</w:t>
      </w:r>
      <w:r w:rsidR="0090473C">
        <w:rPr>
          <w:rFonts w:ascii="Arial" w:hAnsi="Arial" w:cs="Arial"/>
          <w:sz w:val="24"/>
          <w:szCs w:val="24"/>
          <w:lang w:val="es-CO"/>
        </w:rPr>
        <w:t>.</w:t>
      </w:r>
    </w:p>
    <w:p w:rsidR="0090473C" w:rsidRDefault="0090473C" w:rsidP="001D68DD">
      <w:pPr>
        <w:tabs>
          <w:tab w:val="left" w:pos="-720"/>
        </w:tabs>
        <w:suppressAutoHyphens/>
        <w:spacing w:line="360" w:lineRule="auto"/>
        <w:jc w:val="both"/>
        <w:rPr>
          <w:rFonts w:ascii="Arial" w:hAnsi="Arial" w:cs="Arial"/>
          <w:sz w:val="24"/>
          <w:szCs w:val="24"/>
          <w:lang w:val="es-CO"/>
        </w:rPr>
      </w:pPr>
    </w:p>
    <w:p w:rsidR="0090473C" w:rsidRDefault="00621FD0" w:rsidP="001D68DD">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 xml:space="preserve">Según </w:t>
      </w:r>
      <w:r w:rsidR="0090473C">
        <w:rPr>
          <w:rFonts w:ascii="Arial" w:hAnsi="Arial" w:cs="Arial"/>
          <w:sz w:val="24"/>
          <w:szCs w:val="24"/>
          <w:lang w:val="es-CO"/>
        </w:rPr>
        <w:t>el registro civil de defunción de</w:t>
      </w:r>
      <w:r w:rsidR="00335A2F">
        <w:rPr>
          <w:rFonts w:ascii="Arial" w:hAnsi="Arial" w:cs="Arial"/>
          <w:sz w:val="24"/>
          <w:szCs w:val="24"/>
          <w:lang w:val="es-CO"/>
        </w:rPr>
        <w:t xml:space="preserve"> la demandada,</w:t>
      </w:r>
      <w:r w:rsidR="0090473C">
        <w:rPr>
          <w:rFonts w:ascii="Arial" w:hAnsi="Arial" w:cs="Arial"/>
          <w:sz w:val="24"/>
          <w:szCs w:val="24"/>
          <w:lang w:val="es-CO"/>
        </w:rPr>
        <w:t xml:space="preserve"> Sara Morales de Ríos (Folio 156, ib.)</w:t>
      </w:r>
      <w:r w:rsidR="002767EA">
        <w:rPr>
          <w:rFonts w:ascii="Arial" w:hAnsi="Arial" w:cs="Arial"/>
          <w:sz w:val="24"/>
          <w:szCs w:val="24"/>
          <w:lang w:val="es-CO"/>
        </w:rPr>
        <w:t>,</w:t>
      </w:r>
      <w:r w:rsidR="0090473C">
        <w:rPr>
          <w:rFonts w:ascii="Arial" w:hAnsi="Arial" w:cs="Arial"/>
          <w:sz w:val="24"/>
          <w:szCs w:val="24"/>
          <w:lang w:val="es-CO"/>
        </w:rPr>
        <w:t xml:space="preserve"> su fallecimiento ocurri</w:t>
      </w:r>
      <w:r w:rsidR="008316BF">
        <w:rPr>
          <w:rFonts w:ascii="Arial" w:hAnsi="Arial" w:cs="Arial"/>
          <w:sz w:val="24"/>
          <w:szCs w:val="24"/>
          <w:lang w:val="es-CO"/>
        </w:rPr>
        <w:t>ó antes de iniciar</w:t>
      </w:r>
      <w:r w:rsidR="0090473C">
        <w:rPr>
          <w:rFonts w:ascii="Arial" w:hAnsi="Arial" w:cs="Arial"/>
          <w:sz w:val="24"/>
          <w:szCs w:val="24"/>
          <w:lang w:val="es-CO"/>
        </w:rPr>
        <w:t xml:space="preserve"> el proceso (22-06-1987) </w:t>
      </w:r>
      <w:r w:rsidR="00752F50">
        <w:rPr>
          <w:rFonts w:ascii="Arial" w:hAnsi="Arial" w:cs="Arial"/>
          <w:sz w:val="24"/>
          <w:szCs w:val="24"/>
          <w:lang w:val="es-CO"/>
        </w:rPr>
        <w:t>lo que implicaba (Conforme el artículo 81 del CPC) que se emplazaran sus herederos determinados e indeterminados</w:t>
      </w:r>
      <w:r w:rsidR="002767EA">
        <w:rPr>
          <w:rFonts w:ascii="Arial" w:hAnsi="Arial" w:cs="Arial"/>
          <w:sz w:val="24"/>
          <w:szCs w:val="24"/>
          <w:lang w:val="es-CO"/>
        </w:rPr>
        <w:t xml:space="preserve">, </w:t>
      </w:r>
      <w:r w:rsidR="00AD77AF">
        <w:rPr>
          <w:rFonts w:ascii="Arial" w:hAnsi="Arial" w:cs="Arial"/>
          <w:sz w:val="24"/>
          <w:szCs w:val="24"/>
          <w:lang w:val="es-CO"/>
        </w:rPr>
        <w:t xml:space="preserve">lo cual tampoco </w:t>
      </w:r>
      <w:r w:rsidR="002767EA">
        <w:rPr>
          <w:rFonts w:ascii="Arial" w:hAnsi="Arial" w:cs="Arial"/>
          <w:sz w:val="24"/>
          <w:szCs w:val="24"/>
          <w:lang w:val="es-CO"/>
        </w:rPr>
        <w:t xml:space="preserve">se hizo, porque </w:t>
      </w:r>
      <w:r w:rsidR="008E4641">
        <w:rPr>
          <w:rFonts w:ascii="Arial" w:hAnsi="Arial" w:cs="Arial"/>
          <w:sz w:val="24"/>
          <w:szCs w:val="24"/>
          <w:lang w:val="es-CO"/>
        </w:rPr>
        <w:t xml:space="preserve">al </w:t>
      </w:r>
      <w:r w:rsidR="00752F50">
        <w:rPr>
          <w:rFonts w:ascii="Arial" w:hAnsi="Arial" w:cs="Arial"/>
          <w:sz w:val="24"/>
          <w:szCs w:val="24"/>
          <w:lang w:val="es-CO"/>
        </w:rPr>
        <w:t xml:space="preserve">informarse </w:t>
      </w:r>
      <w:r w:rsidR="0090473C">
        <w:rPr>
          <w:rFonts w:ascii="Arial" w:hAnsi="Arial" w:cs="Arial"/>
          <w:sz w:val="24"/>
          <w:szCs w:val="24"/>
          <w:lang w:val="es-CO"/>
        </w:rPr>
        <w:t>ese deceso s</w:t>
      </w:r>
      <w:r w:rsidR="00AD77AF">
        <w:rPr>
          <w:rFonts w:ascii="Arial" w:hAnsi="Arial" w:cs="Arial"/>
          <w:sz w:val="24"/>
          <w:szCs w:val="24"/>
          <w:lang w:val="es-CO"/>
        </w:rPr>
        <w:t xml:space="preserve">i bien se </w:t>
      </w:r>
      <w:r w:rsidR="0090473C">
        <w:rPr>
          <w:rFonts w:ascii="Arial" w:hAnsi="Arial" w:cs="Arial"/>
          <w:sz w:val="24"/>
          <w:szCs w:val="24"/>
          <w:lang w:val="es-CO"/>
        </w:rPr>
        <w:t>d</w:t>
      </w:r>
      <w:r w:rsidR="00752F50">
        <w:rPr>
          <w:rFonts w:ascii="Arial" w:hAnsi="Arial" w:cs="Arial"/>
          <w:sz w:val="24"/>
          <w:szCs w:val="24"/>
          <w:lang w:val="es-CO"/>
        </w:rPr>
        <w:t>ispuso el emplazamiento</w:t>
      </w:r>
      <w:r w:rsidR="00AD77AF">
        <w:rPr>
          <w:rFonts w:ascii="Arial" w:hAnsi="Arial" w:cs="Arial"/>
          <w:sz w:val="24"/>
          <w:szCs w:val="24"/>
          <w:lang w:val="es-CO"/>
        </w:rPr>
        <w:t xml:space="preserve">, </w:t>
      </w:r>
      <w:r w:rsidR="002767EA">
        <w:rPr>
          <w:rFonts w:ascii="Arial" w:hAnsi="Arial" w:cs="Arial"/>
          <w:sz w:val="24"/>
          <w:szCs w:val="24"/>
          <w:lang w:val="es-CO"/>
        </w:rPr>
        <w:t xml:space="preserve">solo </w:t>
      </w:r>
      <w:r w:rsidR="00AD77AF">
        <w:rPr>
          <w:rFonts w:ascii="Arial" w:hAnsi="Arial" w:cs="Arial"/>
          <w:sz w:val="24"/>
          <w:szCs w:val="24"/>
          <w:lang w:val="es-CO"/>
        </w:rPr>
        <w:t xml:space="preserve">fue para </w:t>
      </w:r>
      <w:r w:rsidR="00752F50">
        <w:rPr>
          <w:rFonts w:ascii="Arial" w:hAnsi="Arial" w:cs="Arial"/>
          <w:sz w:val="24"/>
          <w:szCs w:val="24"/>
          <w:lang w:val="es-CO"/>
        </w:rPr>
        <w:t>los segundos</w:t>
      </w:r>
      <w:r w:rsidR="004C7CAB">
        <w:rPr>
          <w:rFonts w:ascii="Arial" w:hAnsi="Arial" w:cs="Arial"/>
          <w:sz w:val="24"/>
          <w:szCs w:val="24"/>
          <w:lang w:val="es-CO"/>
        </w:rPr>
        <w:t xml:space="preserve"> (Numeral 4, folio 165)</w:t>
      </w:r>
      <w:r w:rsidR="008316BF">
        <w:rPr>
          <w:rFonts w:ascii="Arial" w:hAnsi="Arial" w:cs="Arial"/>
          <w:sz w:val="24"/>
          <w:szCs w:val="24"/>
          <w:lang w:val="es-CO"/>
        </w:rPr>
        <w:t xml:space="preserve"> y el </w:t>
      </w:r>
      <w:r w:rsidR="00752F50">
        <w:rPr>
          <w:rFonts w:ascii="Arial" w:hAnsi="Arial" w:cs="Arial"/>
          <w:sz w:val="24"/>
          <w:szCs w:val="24"/>
          <w:lang w:val="es-CO"/>
        </w:rPr>
        <w:t xml:space="preserve">yerro </w:t>
      </w:r>
      <w:r w:rsidR="008316BF">
        <w:rPr>
          <w:rFonts w:ascii="Arial" w:hAnsi="Arial" w:cs="Arial"/>
          <w:sz w:val="24"/>
          <w:szCs w:val="24"/>
          <w:lang w:val="es-CO"/>
        </w:rPr>
        <w:t xml:space="preserve">en modo alguno </w:t>
      </w:r>
      <w:r w:rsidR="002767EA">
        <w:rPr>
          <w:rFonts w:ascii="Arial" w:hAnsi="Arial" w:cs="Arial"/>
          <w:sz w:val="24"/>
          <w:szCs w:val="24"/>
          <w:lang w:val="es-CO"/>
        </w:rPr>
        <w:t xml:space="preserve">queda </w:t>
      </w:r>
      <w:r w:rsidR="008316BF">
        <w:rPr>
          <w:rFonts w:ascii="Arial" w:hAnsi="Arial" w:cs="Arial"/>
          <w:sz w:val="24"/>
          <w:szCs w:val="24"/>
          <w:lang w:val="es-CO"/>
        </w:rPr>
        <w:t xml:space="preserve">subsanado </w:t>
      </w:r>
      <w:r w:rsidR="004C7CAB">
        <w:rPr>
          <w:rFonts w:ascii="Arial" w:hAnsi="Arial" w:cs="Arial"/>
          <w:sz w:val="24"/>
          <w:szCs w:val="24"/>
          <w:lang w:val="es-CO"/>
        </w:rPr>
        <w:t xml:space="preserve">con </w:t>
      </w:r>
      <w:r w:rsidR="00752F50">
        <w:rPr>
          <w:rFonts w:ascii="Arial" w:hAnsi="Arial" w:cs="Arial"/>
          <w:sz w:val="24"/>
          <w:szCs w:val="24"/>
          <w:lang w:val="es-CO"/>
        </w:rPr>
        <w:t>la notificación a José Abad Ríos Morales</w:t>
      </w:r>
      <w:r w:rsidR="008316BF">
        <w:rPr>
          <w:rFonts w:ascii="Arial" w:hAnsi="Arial" w:cs="Arial"/>
          <w:sz w:val="24"/>
          <w:szCs w:val="24"/>
          <w:lang w:val="es-CO"/>
        </w:rPr>
        <w:t>,</w:t>
      </w:r>
      <w:r w:rsidR="002767EA">
        <w:rPr>
          <w:rFonts w:ascii="Arial" w:hAnsi="Arial" w:cs="Arial"/>
          <w:sz w:val="24"/>
          <w:szCs w:val="24"/>
          <w:lang w:val="es-CO"/>
        </w:rPr>
        <w:t xml:space="preserve"> </w:t>
      </w:r>
      <w:r w:rsidR="00AD77AF">
        <w:rPr>
          <w:rFonts w:ascii="Arial" w:hAnsi="Arial" w:cs="Arial"/>
          <w:sz w:val="24"/>
          <w:szCs w:val="24"/>
          <w:lang w:val="es-CO"/>
        </w:rPr>
        <w:t xml:space="preserve">que </w:t>
      </w:r>
      <w:r w:rsidR="008316BF">
        <w:rPr>
          <w:rFonts w:ascii="Arial" w:hAnsi="Arial" w:cs="Arial"/>
          <w:sz w:val="24"/>
          <w:szCs w:val="24"/>
          <w:lang w:val="es-CO"/>
        </w:rPr>
        <w:t>aunque a</w:t>
      </w:r>
      <w:r w:rsidR="00752F50">
        <w:rPr>
          <w:rFonts w:ascii="Arial" w:hAnsi="Arial" w:cs="Arial"/>
          <w:sz w:val="24"/>
          <w:szCs w:val="24"/>
          <w:lang w:val="es-CO"/>
        </w:rPr>
        <w:t xml:space="preserve">creditó tener la calidad </w:t>
      </w:r>
      <w:r w:rsidR="004C7CAB">
        <w:rPr>
          <w:rFonts w:ascii="Arial" w:hAnsi="Arial" w:cs="Arial"/>
          <w:sz w:val="24"/>
          <w:szCs w:val="24"/>
          <w:lang w:val="es-CO"/>
        </w:rPr>
        <w:t>de heredero determinado</w:t>
      </w:r>
      <w:r w:rsidR="002767EA">
        <w:rPr>
          <w:rFonts w:ascii="Arial" w:hAnsi="Arial" w:cs="Arial"/>
          <w:sz w:val="24"/>
          <w:szCs w:val="24"/>
          <w:lang w:val="es-CO"/>
        </w:rPr>
        <w:t>, en manera alguna</w:t>
      </w:r>
      <w:r w:rsidR="004C7CAB">
        <w:rPr>
          <w:rFonts w:ascii="Arial" w:hAnsi="Arial" w:cs="Arial"/>
          <w:sz w:val="24"/>
          <w:szCs w:val="24"/>
          <w:lang w:val="es-CO"/>
        </w:rPr>
        <w:t xml:space="preserve"> afirmó o probó ser el único.</w:t>
      </w:r>
    </w:p>
    <w:p w:rsidR="002767EA" w:rsidRDefault="002767EA" w:rsidP="001D68DD">
      <w:pPr>
        <w:tabs>
          <w:tab w:val="left" w:pos="-720"/>
        </w:tabs>
        <w:suppressAutoHyphens/>
        <w:spacing w:line="360" w:lineRule="auto"/>
        <w:jc w:val="both"/>
        <w:rPr>
          <w:rFonts w:ascii="Arial" w:hAnsi="Arial" w:cs="Arial"/>
          <w:sz w:val="24"/>
          <w:szCs w:val="24"/>
          <w:lang w:val="es-CO"/>
        </w:rPr>
      </w:pPr>
    </w:p>
    <w:p w:rsidR="005B62A9" w:rsidRDefault="00F36215" w:rsidP="005B62A9">
      <w:pPr>
        <w:spacing w:line="410" w:lineRule="exact"/>
        <w:ind w:left="40" w:right="20"/>
        <w:jc w:val="both"/>
        <w:rPr>
          <w:rFonts w:ascii="Arial" w:hAnsi="Arial" w:cs="Arial"/>
          <w:color w:val="000000"/>
          <w:sz w:val="24"/>
          <w:szCs w:val="24"/>
        </w:rPr>
      </w:pPr>
      <w:r>
        <w:rPr>
          <w:rFonts w:ascii="Arial" w:hAnsi="Arial" w:cs="Arial"/>
          <w:sz w:val="24"/>
          <w:szCs w:val="24"/>
          <w:lang w:val="es-CO"/>
        </w:rPr>
        <w:t xml:space="preserve">Cuestión </w:t>
      </w:r>
      <w:r w:rsidR="008316BF">
        <w:rPr>
          <w:rFonts w:ascii="Arial" w:hAnsi="Arial" w:cs="Arial"/>
          <w:sz w:val="24"/>
          <w:szCs w:val="24"/>
          <w:lang w:val="es-CO"/>
        </w:rPr>
        <w:t xml:space="preserve">similar pasa con el </w:t>
      </w:r>
      <w:r w:rsidR="00335A2F">
        <w:rPr>
          <w:rFonts w:ascii="Arial" w:hAnsi="Arial" w:cs="Arial"/>
          <w:sz w:val="24"/>
          <w:szCs w:val="24"/>
          <w:lang w:val="es-CO"/>
        </w:rPr>
        <w:t xml:space="preserve">demandado </w:t>
      </w:r>
      <w:r w:rsidR="008316BF">
        <w:rPr>
          <w:rFonts w:ascii="Arial" w:hAnsi="Arial" w:cs="Arial"/>
          <w:sz w:val="24"/>
          <w:szCs w:val="24"/>
          <w:lang w:val="es-CO"/>
        </w:rPr>
        <w:t xml:space="preserve">Guillermo Morales Figueroa, </w:t>
      </w:r>
      <w:r w:rsidR="005B62A9">
        <w:rPr>
          <w:rFonts w:ascii="Arial" w:hAnsi="Arial" w:cs="Arial"/>
          <w:sz w:val="24"/>
          <w:szCs w:val="24"/>
          <w:lang w:val="es-CO"/>
        </w:rPr>
        <w:t>aunque es necesario hacer una precisión previa, y es que el documento allegado para acreditar su fallecimiento (Folio 182, ib.), carece de los requisitos que para el efecto establece el artículo 254-1° del CPC, por lo que, necesario sería que se disponga la incorporación con el lleno de tales de esas exigencias, máxime que así lo autoriza</w:t>
      </w:r>
      <w:r w:rsidR="005B62A9">
        <w:rPr>
          <w:rFonts w:ascii="Arial" w:hAnsi="Arial" w:cs="Arial"/>
          <w:color w:val="000000"/>
          <w:sz w:val="24"/>
          <w:szCs w:val="24"/>
        </w:rPr>
        <w:t xml:space="preserve"> la jurisprudencia nacional</w:t>
      </w:r>
      <w:r w:rsidR="005B62A9">
        <w:rPr>
          <w:rStyle w:val="Refdenotaalpie"/>
          <w:rFonts w:ascii="Arial" w:hAnsi="Arial"/>
          <w:color w:val="000000"/>
          <w:sz w:val="24"/>
          <w:szCs w:val="24"/>
        </w:rPr>
        <w:footnoteReference w:id="13"/>
      </w:r>
      <w:r w:rsidR="005B62A9">
        <w:rPr>
          <w:rFonts w:ascii="Arial" w:hAnsi="Arial" w:cs="Arial"/>
          <w:color w:val="000000"/>
          <w:sz w:val="24"/>
          <w:szCs w:val="24"/>
          <w:vertAlign w:val="superscript"/>
        </w:rPr>
        <w:t>-</w:t>
      </w:r>
      <w:r w:rsidR="005B62A9">
        <w:rPr>
          <w:rStyle w:val="Refdenotaalpie"/>
          <w:rFonts w:ascii="Arial" w:hAnsi="Arial"/>
          <w:color w:val="000000"/>
          <w:sz w:val="24"/>
          <w:szCs w:val="24"/>
        </w:rPr>
        <w:footnoteReference w:id="14"/>
      </w:r>
      <w:r w:rsidR="005B62A9">
        <w:rPr>
          <w:rFonts w:ascii="Arial" w:hAnsi="Arial" w:cs="Arial"/>
          <w:color w:val="000000"/>
          <w:sz w:val="24"/>
          <w:szCs w:val="24"/>
        </w:rPr>
        <w:t>.</w:t>
      </w:r>
    </w:p>
    <w:p w:rsidR="001A64DC" w:rsidRDefault="001A64DC" w:rsidP="005B62A9">
      <w:pPr>
        <w:spacing w:line="410" w:lineRule="exact"/>
        <w:ind w:left="40" w:right="20"/>
        <w:jc w:val="both"/>
        <w:rPr>
          <w:rFonts w:ascii="Arial" w:hAnsi="Arial" w:cs="Arial"/>
          <w:color w:val="000000"/>
          <w:sz w:val="24"/>
          <w:szCs w:val="24"/>
        </w:rPr>
      </w:pPr>
    </w:p>
    <w:p w:rsidR="005B62A9" w:rsidRDefault="00F36215" w:rsidP="001D68DD">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A</w:t>
      </w:r>
      <w:r w:rsidR="001A64DC">
        <w:rPr>
          <w:rFonts w:ascii="Arial" w:hAnsi="Arial" w:cs="Arial"/>
          <w:sz w:val="24"/>
          <w:szCs w:val="24"/>
          <w:lang w:val="es-CO"/>
        </w:rPr>
        <w:t xml:space="preserve">hora, aún a </w:t>
      </w:r>
      <w:r>
        <w:rPr>
          <w:rFonts w:ascii="Arial" w:hAnsi="Arial" w:cs="Arial"/>
          <w:sz w:val="24"/>
          <w:szCs w:val="24"/>
          <w:lang w:val="es-CO"/>
        </w:rPr>
        <w:t xml:space="preserve">pesar de la precitada falencia, </w:t>
      </w:r>
      <w:r w:rsidR="001A64DC">
        <w:rPr>
          <w:rFonts w:ascii="Arial" w:hAnsi="Arial" w:cs="Arial"/>
          <w:sz w:val="24"/>
          <w:szCs w:val="24"/>
          <w:lang w:val="es-CO"/>
        </w:rPr>
        <w:t xml:space="preserve">puede verse </w:t>
      </w:r>
      <w:r>
        <w:rPr>
          <w:rFonts w:ascii="Arial" w:hAnsi="Arial" w:cs="Arial"/>
          <w:sz w:val="24"/>
          <w:szCs w:val="24"/>
          <w:lang w:val="es-CO"/>
        </w:rPr>
        <w:t>que el</w:t>
      </w:r>
      <w:r w:rsidR="008316BF">
        <w:rPr>
          <w:rFonts w:ascii="Arial" w:hAnsi="Arial" w:cs="Arial"/>
          <w:sz w:val="24"/>
          <w:szCs w:val="24"/>
          <w:lang w:val="es-CO"/>
        </w:rPr>
        <w:t xml:space="preserve"> fallecimiento </w:t>
      </w:r>
      <w:r>
        <w:rPr>
          <w:rFonts w:ascii="Arial" w:hAnsi="Arial" w:cs="Arial"/>
          <w:sz w:val="24"/>
          <w:szCs w:val="24"/>
          <w:lang w:val="es-CO"/>
        </w:rPr>
        <w:t xml:space="preserve">del señor Morales Figueroa, </w:t>
      </w:r>
      <w:r w:rsidR="008316BF">
        <w:rPr>
          <w:rFonts w:ascii="Arial" w:hAnsi="Arial" w:cs="Arial"/>
          <w:sz w:val="24"/>
          <w:szCs w:val="24"/>
          <w:lang w:val="es-CO"/>
        </w:rPr>
        <w:t xml:space="preserve">acaeció después de empezar el proceso (10-03-2009) </w:t>
      </w:r>
      <w:r>
        <w:rPr>
          <w:rFonts w:ascii="Arial" w:hAnsi="Arial" w:cs="Arial"/>
          <w:sz w:val="24"/>
          <w:szCs w:val="24"/>
          <w:lang w:val="es-CO"/>
        </w:rPr>
        <w:t xml:space="preserve">pero </w:t>
      </w:r>
      <w:r w:rsidR="008316BF">
        <w:rPr>
          <w:rFonts w:ascii="Arial" w:hAnsi="Arial" w:cs="Arial"/>
          <w:sz w:val="24"/>
          <w:szCs w:val="24"/>
          <w:lang w:val="es-CO"/>
        </w:rPr>
        <w:t xml:space="preserve">su vinculación solo </w:t>
      </w:r>
      <w:r w:rsidR="005B62A9">
        <w:rPr>
          <w:rFonts w:ascii="Arial" w:hAnsi="Arial" w:cs="Arial"/>
          <w:sz w:val="24"/>
          <w:szCs w:val="24"/>
          <w:lang w:val="es-CO"/>
        </w:rPr>
        <w:t xml:space="preserve">vino a disponerse </w:t>
      </w:r>
      <w:r w:rsidR="008316BF">
        <w:rPr>
          <w:rFonts w:ascii="Arial" w:hAnsi="Arial" w:cs="Arial"/>
          <w:sz w:val="24"/>
          <w:szCs w:val="24"/>
          <w:lang w:val="es-CO"/>
        </w:rPr>
        <w:t>el 12-07-2010 (Folios 149 a 151, ib.)</w:t>
      </w:r>
      <w:r>
        <w:rPr>
          <w:rFonts w:ascii="Arial" w:hAnsi="Arial" w:cs="Arial"/>
          <w:sz w:val="24"/>
          <w:szCs w:val="24"/>
          <w:lang w:val="es-CO"/>
        </w:rPr>
        <w:t>,</w:t>
      </w:r>
      <w:r w:rsidR="005B62A9">
        <w:rPr>
          <w:rFonts w:ascii="Arial" w:hAnsi="Arial" w:cs="Arial"/>
          <w:sz w:val="24"/>
          <w:szCs w:val="24"/>
          <w:lang w:val="es-CO"/>
        </w:rPr>
        <w:t xml:space="preserve"> por lo tanto</w:t>
      </w:r>
      <w:r>
        <w:rPr>
          <w:rFonts w:ascii="Arial" w:hAnsi="Arial" w:cs="Arial"/>
          <w:sz w:val="24"/>
          <w:szCs w:val="24"/>
          <w:lang w:val="es-CO"/>
        </w:rPr>
        <w:t>,</w:t>
      </w:r>
      <w:r w:rsidR="005B62A9">
        <w:rPr>
          <w:rFonts w:ascii="Arial" w:hAnsi="Arial" w:cs="Arial"/>
          <w:sz w:val="24"/>
          <w:szCs w:val="24"/>
          <w:lang w:val="es-CO"/>
        </w:rPr>
        <w:t xml:space="preserve"> </w:t>
      </w:r>
      <w:r w:rsidR="008316BF">
        <w:rPr>
          <w:rFonts w:ascii="Arial" w:hAnsi="Arial" w:cs="Arial"/>
          <w:sz w:val="24"/>
          <w:szCs w:val="24"/>
          <w:lang w:val="es-CO"/>
        </w:rPr>
        <w:t>debió seguirse el procedimiento establecido por el artículo 81 del CPC</w:t>
      </w:r>
      <w:r w:rsidR="005B62A9">
        <w:rPr>
          <w:rFonts w:ascii="Arial" w:hAnsi="Arial" w:cs="Arial"/>
          <w:sz w:val="24"/>
          <w:szCs w:val="24"/>
          <w:lang w:val="es-CO"/>
        </w:rPr>
        <w:t>, es decir, ordenar el e</w:t>
      </w:r>
      <w:r w:rsidR="008316BF">
        <w:rPr>
          <w:rFonts w:ascii="Arial" w:hAnsi="Arial" w:cs="Arial"/>
          <w:sz w:val="24"/>
          <w:szCs w:val="24"/>
          <w:lang w:val="es-CO"/>
        </w:rPr>
        <w:t xml:space="preserve">mplazamiento de </w:t>
      </w:r>
      <w:r w:rsidR="005B62A9">
        <w:rPr>
          <w:rFonts w:ascii="Arial" w:hAnsi="Arial" w:cs="Arial"/>
          <w:sz w:val="24"/>
          <w:szCs w:val="24"/>
          <w:lang w:val="es-CO"/>
        </w:rPr>
        <w:t xml:space="preserve">los </w:t>
      </w:r>
      <w:r w:rsidR="008316BF">
        <w:rPr>
          <w:rFonts w:ascii="Arial" w:hAnsi="Arial" w:cs="Arial"/>
          <w:sz w:val="24"/>
          <w:szCs w:val="24"/>
          <w:lang w:val="es-CO"/>
        </w:rPr>
        <w:t>herederos determinados e indeterminados</w:t>
      </w:r>
      <w:r w:rsidR="005B62A9">
        <w:rPr>
          <w:rFonts w:ascii="Arial" w:hAnsi="Arial" w:cs="Arial"/>
          <w:sz w:val="24"/>
          <w:szCs w:val="24"/>
          <w:lang w:val="es-CO"/>
        </w:rPr>
        <w:t xml:space="preserve">, </w:t>
      </w:r>
      <w:r>
        <w:rPr>
          <w:rFonts w:ascii="Arial" w:hAnsi="Arial" w:cs="Arial"/>
          <w:sz w:val="24"/>
          <w:szCs w:val="24"/>
          <w:lang w:val="es-CO"/>
        </w:rPr>
        <w:t xml:space="preserve">trámite que </w:t>
      </w:r>
      <w:r w:rsidR="001A64DC">
        <w:rPr>
          <w:rFonts w:ascii="Arial" w:hAnsi="Arial" w:cs="Arial"/>
          <w:sz w:val="24"/>
          <w:szCs w:val="24"/>
          <w:lang w:val="es-CO"/>
        </w:rPr>
        <w:t xml:space="preserve">también </w:t>
      </w:r>
      <w:r w:rsidR="005B62A9">
        <w:rPr>
          <w:rFonts w:ascii="Arial" w:hAnsi="Arial" w:cs="Arial"/>
          <w:sz w:val="24"/>
          <w:szCs w:val="24"/>
          <w:lang w:val="es-CO"/>
        </w:rPr>
        <w:t xml:space="preserve">se pretermitió. </w:t>
      </w:r>
    </w:p>
    <w:p w:rsidR="005B62A9" w:rsidRDefault="005B62A9" w:rsidP="001D68DD">
      <w:pPr>
        <w:tabs>
          <w:tab w:val="left" w:pos="-720"/>
        </w:tabs>
        <w:suppressAutoHyphens/>
        <w:spacing w:line="360" w:lineRule="auto"/>
        <w:jc w:val="both"/>
        <w:rPr>
          <w:rFonts w:ascii="Arial" w:hAnsi="Arial" w:cs="Arial"/>
          <w:sz w:val="24"/>
          <w:szCs w:val="24"/>
          <w:lang w:val="es-CO"/>
        </w:rPr>
      </w:pPr>
    </w:p>
    <w:p w:rsidR="0050008A" w:rsidRDefault="00FD3E9A" w:rsidP="001D68DD">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C</w:t>
      </w:r>
      <w:r w:rsidR="00E238DF">
        <w:rPr>
          <w:rFonts w:ascii="Arial" w:hAnsi="Arial" w:cs="Arial"/>
          <w:sz w:val="24"/>
          <w:szCs w:val="24"/>
          <w:lang w:val="es-CO"/>
        </w:rPr>
        <w:t xml:space="preserve">abe </w:t>
      </w:r>
      <w:r>
        <w:rPr>
          <w:rFonts w:ascii="Arial" w:hAnsi="Arial" w:cs="Arial"/>
          <w:sz w:val="24"/>
          <w:szCs w:val="24"/>
          <w:lang w:val="es-CO"/>
        </w:rPr>
        <w:t>aquí anotar que</w:t>
      </w:r>
      <w:r w:rsidR="000312D9">
        <w:rPr>
          <w:rFonts w:ascii="Arial" w:hAnsi="Arial" w:cs="Arial"/>
          <w:sz w:val="24"/>
          <w:szCs w:val="24"/>
          <w:lang w:val="es-CO"/>
        </w:rPr>
        <w:t xml:space="preserve"> </w:t>
      </w:r>
      <w:r w:rsidR="00B821B0">
        <w:rPr>
          <w:rFonts w:ascii="Arial" w:hAnsi="Arial" w:cs="Arial"/>
          <w:sz w:val="24"/>
          <w:szCs w:val="24"/>
          <w:lang w:val="es-CO"/>
        </w:rPr>
        <w:t>la figura de la sucesión procesal era inaplicable, porque definitivamente e</w:t>
      </w:r>
      <w:r w:rsidR="00E238DF">
        <w:rPr>
          <w:rFonts w:ascii="Arial" w:hAnsi="Arial" w:cs="Arial"/>
          <w:sz w:val="24"/>
          <w:szCs w:val="24"/>
          <w:lang w:val="es-CO"/>
        </w:rPr>
        <w:t xml:space="preserve">se </w:t>
      </w:r>
      <w:r w:rsidR="00B821B0">
        <w:rPr>
          <w:rFonts w:ascii="Arial" w:hAnsi="Arial" w:cs="Arial"/>
          <w:sz w:val="24"/>
          <w:szCs w:val="24"/>
          <w:lang w:val="es-CO"/>
        </w:rPr>
        <w:t xml:space="preserve">demandado no </w:t>
      </w:r>
      <w:r w:rsidR="002E1377">
        <w:rPr>
          <w:rFonts w:ascii="Arial" w:hAnsi="Arial" w:cs="Arial"/>
          <w:sz w:val="24"/>
          <w:szCs w:val="24"/>
          <w:lang w:val="es-CO"/>
        </w:rPr>
        <w:t>era “parte” del proceso para la fecha de su deceso</w:t>
      </w:r>
      <w:r w:rsidR="0027495D">
        <w:rPr>
          <w:rFonts w:ascii="Arial" w:hAnsi="Arial" w:cs="Arial"/>
          <w:sz w:val="24"/>
          <w:szCs w:val="24"/>
          <w:lang w:val="es-CO"/>
        </w:rPr>
        <w:t xml:space="preserve"> </w:t>
      </w:r>
      <w:r w:rsidR="0027495D">
        <w:rPr>
          <w:rFonts w:ascii="Arial" w:hAnsi="Arial" w:cs="Arial"/>
          <w:sz w:val="24"/>
          <w:szCs w:val="24"/>
          <w:lang w:val="es-CO"/>
        </w:rPr>
        <w:lastRenderedPageBreak/>
        <w:t xml:space="preserve">(Ni siquiera había sido </w:t>
      </w:r>
      <w:r w:rsidR="00D41839">
        <w:rPr>
          <w:rFonts w:ascii="Arial" w:hAnsi="Arial" w:cs="Arial"/>
          <w:sz w:val="24"/>
          <w:szCs w:val="24"/>
          <w:lang w:val="es-CO"/>
        </w:rPr>
        <w:t>referido</w:t>
      </w:r>
      <w:r w:rsidR="0027495D">
        <w:rPr>
          <w:rFonts w:ascii="Arial" w:hAnsi="Arial" w:cs="Arial"/>
          <w:sz w:val="24"/>
          <w:szCs w:val="24"/>
          <w:lang w:val="es-CO"/>
        </w:rPr>
        <w:t xml:space="preserve"> en esa calidad) </w:t>
      </w:r>
      <w:r w:rsidR="002E1377">
        <w:rPr>
          <w:rFonts w:ascii="Arial" w:hAnsi="Arial" w:cs="Arial"/>
          <w:sz w:val="24"/>
          <w:szCs w:val="24"/>
          <w:lang w:val="es-CO"/>
        </w:rPr>
        <w:t>y por ende, menos h</w:t>
      </w:r>
      <w:r w:rsidR="00B821B0">
        <w:rPr>
          <w:rFonts w:ascii="Arial" w:hAnsi="Arial" w:cs="Arial"/>
          <w:sz w:val="24"/>
          <w:szCs w:val="24"/>
          <w:lang w:val="es-CO"/>
        </w:rPr>
        <w:t>abía sido notificado</w:t>
      </w:r>
      <w:r w:rsidR="002E1377">
        <w:rPr>
          <w:rFonts w:ascii="Arial" w:hAnsi="Arial" w:cs="Arial"/>
          <w:sz w:val="24"/>
          <w:szCs w:val="24"/>
          <w:lang w:val="es-CO"/>
        </w:rPr>
        <w:t xml:space="preserve"> o constituido apoderado judicial</w:t>
      </w:r>
      <w:r w:rsidR="007F7376">
        <w:rPr>
          <w:rFonts w:ascii="Arial" w:hAnsi="Arial" w:cs="Arial"/>
          <w:sz w:val="24"/>
          <w:szCs w:val="24"/>
          <w:lang w:val="es-CO"/>
        </w:rPr>
        <w:t xml:space="preserve"> </w:t>
      </w:r>
      <w:r w:rsidR="00B821B0">
        <w:rPr>
          <w:rFonts w:ascii="Arial" w:hAnsi="Arial" w:cs="Arial"/>
          <w:sz w:val="24"/>
          <w:szCs w:val="24"/>
          <w:lang w:val="es-CO"/>
        </w:rPr>
        <w:t xml:space="preserve">y como se vio en las premisas jurídicas de esta decisión, </w:t>
      </w:r>
      <w:r w:rsidR="00B821B0" w:rsidRPr="00325722">
        <w:rPr>
          <w:rFonts w:ascii="Arial" w:hAnsi="Arial" w:cs="Arial"/>
          <w:sz w:val="24"/>
          <w:szCs w:val="24"/>
          <w:u w:val="single"/>
          <w:lang w:val="es-CO"/>
        </w:rPr>
        <w:t xml:space="preserve">solo </w:t>
      </w:r>
      <w:r w:rsidR="00CF1A0B" w:rsidRPr="00325722">
        <w:rPr>
          <w:rFonts w:ascii="Arial" w:hAnsi="Arial" w:cs="Arial"/>
          <w:sz w:val="24"/>
          <w:szCs w:val="24"/>
          <w:u w:val="single"/>
          <w:lang w:val="es-CO"/>
        </w:rPr>
        <w:t xml:space="preserve">ante </w:t>
      </w:r>
      <w:r w:rsidR="00B821B0" w:rsidRPr="00325722">
        <w:rPr>
          <w:rFonts w:ascii="Arial" w:hAnsi="Arial" w:cs="Arial"/>
          <w:sz w:val="24"/>
          <w:szCs w:val="24"/>
          <w:u w:val="single"/>
          <w:lang w:val="es-CO"/>
        </w:rPr>
        <w:t>ese evento e</w:t>
      </w:r>
      <w:r w:rsidR="00CF1A0B" w:rsidRPr="00325722">
        <w:rPr>
          <w:rFonts w:ascii="Arial" w:hAnsi="Arial" w:cs="Arial"/>
          <w:sz w:val="24"/>
          <w:szCs w:val="24"/>
          <w:u w:val="single"/>
          <w:lang w:val="es-CO"/>
        </w:rPr>
        <w:t>s</w:t>
      </w:r>
      <w:r w:rsidR="00B821B0" w:rsidRPr="00325722">
        <w:rPr>
          <w:rFonts w:ascii="Arial" w:hAnsi="Arial" w:cs="Arial"/>
          <w:sz w:val="24"/>
          <w:szCs w:val="24"/>
          <w:u w:val="single"/>
          <w:lang w:val="es-CO"/>
        </w:rPr>
        <w:t xml:space="preserve"> aplicable</w:t>
      </w:r>
      <w:r w:rsidR="00B821B0">
        <w:rPr>
          <w:rFonts w:ascii="Arial" w:hAnsi="Arial" w:cs="Arial"/>
          <w:sz w:val="24"/>
          <w:szCs w:val="24"/>
          <w:lang w:val="es-CO"/>
        </w:rPr>
        <w:t>.</w:t>
      </w:r>
    </w:p>
    <w:p w:rsidR="00E238DF" w:rsidRDefault="00E238DF" w:rsidP="001D68DD">
      <w:pPr>
        <w:tabs>
          <w:tab w:val="left" w:pos="-720"/>
        </w:tabs>
        <w:suppressAutoHyphens/>
        <w:spacing w:line="360" w:lineRule="auto"/>
        <w:jc w:val="both"/>
        <w:rPr>
          <w:rFonts w:ascii="Arial" w:hAnsi="Arial" w:cs="Arial"/>
          <w:sz w:val="24"/>
          <w:szCs w:val="24"/>
          <w:lang w:val="es-CO"/>
        </w:rPr>
      </w:pPr>
    </w:p>
    <w:p w:rsidR="00E238DF" w:rsidRDefault="00E238DF" w:rsidP="001D68DD">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 xml:space="preserve">Hay que decir también que </w:t>
      </w:r>
      <w:r w:rsidRPr="00325722">
        <w:rPr>
          <w:rFonts w:ascii="Arial" w:hAnsi="Arial" w:cs="Arial"/>
          <w:sz w:val="24"/>
          <w:szCs w:val="24"/>
          <w:u w:val="single"/>
          <w:lang w:val="es-CO"/>
        </w:rPr>
        <w:t>todos</w:t>
      </w:r>
      <w:r>
        <w:rPr>
          <w:rFonts w:ascii="Arial" w:hAnsi="Arial" w:cs="Arial"/>
          <w:sz w:val="24"/>
          <w:szCs w:val="24"/>
          <w:lang w:val="es-CO"/>
        </w:rPr>
        <w:t xml:space="preserve"> los </w:t>
      </w:r>
      <w:r w:rsidR="009A6AD1">
        <w:rPr>
          <w:rFonts w:ascii="Arial" w:hAnsi="Arial" w:cs="Arial"/>
          <w:sz w:val="24"/>
          <w:szCs w:val="24"/>
          <w:lang w:val="es-CO"/>
        </w:rPr>
        <w:t xml:space="preserve">edictos </w:t>
      </w:r>
      <w:proofErr w:type="spellStart"/>
      <w:r>
        <w:rPr>
          <w:rFonts w:ascii="Arial" w:hAnsi="Arial" w:cs="Arial"/>
          <w:sz w:val="24"/>
          <w:szCs w:val="24"/>
          <w:lang w:val="es-CO"/>
        </w:rPr>
        <w:t>emplaza</w:t>
      </w:r>
      <w:r w:rsidR="009A6AD1">
        <w:rPr>
          <w:rFonts w:ascii="Arial" w:hAnsi="Arial" w:cs="Arial"/>
          <w:sz w:val="24"/>
          <w:szCs w:val="24"/>
          <w:lang w:val="es-CO"/>
        </w:rPr>
        <w:t>torios</w:t>
      </w:r>
      <w:proofErr w:type="spellEnd"/>
      <w:r w:rsidR="009A6AD1">
        <w:rPr>
          <w:rFonts w:ascii="Arial" w:hAnsi="Arial" w:cs="Arial"/>
          <w:sz w:val="24"/>
          <w:szCs w:val="24"/>
          <w:lang w:val="es-CO"/>
        </w:rPr>
        <w:t xml:space="preserve"> que se hicieron </w:t>
      </w:r>
      <w:r>
        <w:rPr>
          <w:rFonts w:ascii="Arial" w:hAnsi="Arial" w:cs="Arial"/>
          <w:sz w:val="24"/>
          <w:szCs w:val="24"/>
          <w:lang w:val="es-CO"/>
        </w:rPr>
        <w:t>en el proceso</w:t>
      </w:r>
      <w:r w:rsidR="00AB4FA5">
        <w:rPr>
          <w:rFonts w:ascii="Arial" w:hAnsi="Arial" w:cs="Arial"/>
          <w:sz w:val="24"/>
          <w:szCs w:val="24"/>
          <w:lang w:val="es-CO"/>
        </w:rPr>
        <w:t xml:space="preserve">, </w:t>
      </w:r>
      <w:r w:rsidR="00AB4FA5" w:rsidRPr="00325722">
        <w:rPr>
          <w:rFonts w:ascii="Arial" w:hAnsi="Arial" w:cs="Arial"/>
          <w:sz w:val="24"/>
          <w:szCs w:val="24"/>
          <w:u w:val="single"/>
          <w:lang w:val="es-CO"/>
        </w:rPr>
        <w:t>incumplen</w:t>
      </w:r>
      <w:r w:rsidR="00AB4FA5">
        <w:rPr>
          <w:rFonts w:ascii="Arial" w:hAnsi="Arial" w:cs="Arial"/>
          <w:sz w:val="24"/>
          <w:szCs w:val="24"/>
          <w:lang w:val="es-CO"/>
        </w:rPr>
        <w:t xml:space="preserve"> los requisitos </w:t>
      </w:r>
      <w:r w:rsidR="00325722">
        <w:rPr>
          <w:rFonts w:ascii="Arial" w:hAnsi="Arial" w:cs="Arial"/>
          <w:sz w:val="24"/>
          <w:szCs w:val="24"/>
          <w:lang w:val="es-CO"/>
        </w:rPr>
        <w:t xml:space="preserve">de </w:t>
      </w:r>
      <w:r w:rsidR="00AB4FA5">
        <w:rPr>
          <w:rFonts w:ascii="Arial" w:hAnsi="Arial" w:cs="Arial"/>
          <w:sz w:val="24"/>
          <w:szCs w:val="24"/>
          <w:lang w:val="es-CO"/>
        </w:rPr>
        <w:t>los artículos 318 y 407-6° del CPC, dado que</w:t>
      </w:r>
      <w:r w:rsidR="00325722">
        <w:rPr>
          <w:rFonts w:ascii="Arial" w:hAnsi="Arial" w:cs="Arial"/>
          <w:sz w:val="24"/>
          <w:szCs w:val="24"/>
          <w:lang w:val="es-CO"/>
        </w:rPr>
        <w:t>,</w:t>
      </w:r>
      <w:r w:rsidR="00AB4FA5">
        <w:rPr>
          <w:rFonts w:ascii="Arial" w:hAnsi="Arial" w:cs="Arial"/>
          <w:sz w:val="24"/>
          <w:szCs w:val="24"/>
          <w:lang w:val="es-CO"/>
        </w:rPr>
        <w:t xml:space="preserve"> incluso</w:t>
      </w:r>
      <w:r w:rsidR="00325722">
        <w:rPr>
          <w:rFonts w:ascii="Arial" w:hAnsi="Arial" w:cs="Arial"/>
          <w:sz w:val="24"/>
          <w:szCs w:val="24"/>
          <w:lang w:val="es-CO"/>
        </w:rPr>
        <w:t xml:space="preserve">, aquellos efectuados para convocar </w:t>
      </w:r>
      <w:r w:rsidR="00272E97">
        <w:rPr>
          <w:rFonts w:ascii="Arial" w:hAnsi="Arial" w:cs="Arial"/>
          <w:sz w:val="24"/>
          <w:szCs w:val="24"/>
          <w:lang w:val="es-CO"/>
        </w:rPr>
        <w:t xml:space="preserve">a los herederos indeterminados de Sara Morales de Ríos (Folio 178, ib.) y </w:t>
      </w:r>
      <w:r w:rsidR="00325722">
        <w:rPr>
          <w:rFonts w:ascii="Arial" w:hAnsi="Arial" w:cs="Arial"/>
          <w:sz w:val="24"/>
          <w:szCs w:val="24"/>
          <w:lang w:val="es-CO"/>
        </w:rPr>
        <w:t xml:space="preserve">los </w:t>
      </w:r>
      <w:r w:rsidR="00272E97">
        <w:rPr>
          <w:rFonts w:ascii="Arial" w:hAnsi="Arial" w:cs="Arial"/>
          <w:sz w:val="24"/>
          <w:szCs w:val="24"/>
          <w:lang w:val="es-CO"/>
        </w:rPr>
        <w:t>últimos que se hicieron de las personas indeterminadas (Folios 203 y 206, ib.)</w:t>
      </w:r>
      <w:r w:rsidR="009A6AD1">
        <w:rPr>
          <w:rFonts w:ascii="Arial" w:hAnsi="Arial" w:cs="Arial"/>
          <w:sz w:val="24"/>
          <w:szCs w:val="24"/>
          <w:lang w:val="es-CO"/>
        </w:rPr>
        <w:t xml:space="preserve"> </w:t>
      </w:r>
      <w:r w:rsidR="00702D99">
        <w:rPr>
          <w:rFonts w:ascii="Arial" w:hAnsi="Arial" w:cs="Arial"/>
          <w:sz w:val="24"/>
          <w:szCs w:val="24"/>
          <w:lang w:val="es-CO"/>
        </w:rPr>
        <w:t xml:space="preserve">a más </w:t>
      </w:r>
      <w:r w:rsidR="009A6AD1">
        <w:rPr>
          <w:rFonts w:ascii="Arial" w:hAnsi="Arial" w:cs="Arial"/>
          <w:sz w:val="24"/>
          <w:szCs w:val="24"/>
          <w:lang w:val="es-CO"/>
        </w:rPr>
        <w:t xml:space="preserve">de mencionar </w:t>
      </w:r>
      <w:r w:rsidR="00272E97">
        <w:rPr>
          <w:rFonts w:ascii="Arial" w:hAnsi="Arial" w:cs="Arial"/>
          <w:sz w:val="24"/>
          <w:szCs w:val="24"/>
          <w:lang w:val="es-CO"/>
        </w:rPr>
        <w:t xml:space="preserve">en forma </w:t>
      </w:r>
      <w:r w:rsidR="00325722">
        <w:rPr>
          <w:rFonts w:ascii="Arial" w:hAnsi="Arial" w:cs="Arial"/>
          <w:sz w:val="24"/>
          <w:szCs w:val="24"/>
          <w:lang w:val="es-CO"/>
        </w:rPr>
        <w:t xml:space="preserve">incorrecta </w:t>
      </w:r>
      <w:r w:rsidR="00272E97">
        <w:rPr>
          <w:rFonts w:ascii="Arial" w:hAnsi="Arial" w:cs="Arial"/>
          <w:sz w:val="24"/>
          <w:szCs w:val="24"/>
          <w:lang w:val="es-CO"/>
        </w:rPr>
        <w:t xml:space="preserve">la parte demandada </w:t>
      </w:r>
      <w:r w:rsidR="009A6AD1">
        <w:rPr>
          <w:rFonts w:ascii="Arial" w:hAnsi="Arial" w:cs="Arial"/>
          <w:sz w:val="24"/>
          <w:szCs w:val="24"/>
          <w:lang w:val="es-CO"/>
        </w:rPr>
        <w:t>del litigio, solo</w:t>
      </w:r>
      <w:r w:rsidR="00702D99">
        <w:rPr>
          <w:rFonts w:ascii="Arial" w:hAnsi="Arial" w:cs="Arial"/>
          <w:sz w:val="24"/>
          <w:szCs w:val="24"/>
          <w:lang w:val="es-CO"/>
        </w:rPr>
        <w:t xml:space="preserve"> aluden al</w:t>
      </w:r>
      <w:r w:rsidR="009A6AD1">
        <w:rPr>
          <w:rFonts w:ascii="Arial" w:hAnsi="Arial" w:cs="Arial"/>
          <w:sz w:val="24"/>
          <w:szCs w:val="24"/>
          <w:lang w:val="es-CO"/>
        </w:rPr>
        <w:t xml:space="preserve"> auto </w:t>
      </w:r>
      <w:proofErr w:type="spellStart"/>
      <w:r w:rsidR="009A6AD1">
        <w:rPr>
          <w:rFonts w:ascii="Arial" w:hAnsi="Arial" w:cs="Arial"/>
          <w:sz w:val="24"/>
          <w:szCs w:val="24"/>
          <w:lang w:val="es-CO"/>
        </w:rPr>
        <w:t>admisorio</w:t>
      </w:r>
      <w:proofErr w:type="spellEnd"/>
      <w:r w:rsidR="00702D99">
        <w:rPr>
          <w:rFonts w:ascii="Arial" w:hAnsi="Arial" w:cs="Arial"/>
          <w:sz w:val="24"/>
          <w:szCs w:val="24"/>
          <w:lang w:val="es-CO"/>
        </w:rPr>
        <w:t xml:space="preserve"> de 12-07-2010 y omiten el inicial</w:t>
      </w:r>
      <w:r w:rsidR="00D41839">
        <w:rPr>
          <w:rFonts w:ascii="Arial" w:hAnsi="Arial" w:cs="Arial"/>
          <w:sz w:val="24"/>
          <w:szCs w:val="24"/>
          <w:lang w:val="es-CO"/>
        </w:rPr>
        <w:t>,</w:t>
      </w:r>
      <w:r w:rsidR="00702D99">
        <w:rPr>
          <w:rFonts w:ascii="Arial" w:hAnsi="Arial" w:cs="Arial"/>
          <w:sz w:val="24"/>
          <w:szCs w:val="24"/>
          <w:lang w:val="es-CO"/>
        </w:rPr>
        <w:t xml:space="preserve"> fechado 17-02-2009</w:t>
      </w:r>
      <w:r w:rsidR="00272E97">
        <w:rPr>
          <w:rFonts w:ascii="Arial" w:hAnsi="Arial" w:cs="Arial"/>
          <w:sz w:val="24"/>
          <w:szCs w:val="24"/>
          <w:lang w:val="es-CO"/>
        </w:rPr>
        <w:t>.</w:t>
      </w:r>
    </w:p>
    <w:p w:rsidR="00272E97" w:rsidRDefault="00272E97" w:rsidP="001D68DD">
      <w:pPr>
        <w:tabs>
          <w:tab w:val="left" w:pos="-720"/>
        </w:tabs>
        <w:suppressAutoHyphens/>
        <w:spacing w:line="360" w:lineRule="auto"/>
        <w:jc w:val="both"/>
        <w:rPr>
          <w:rFonts w:ascii="Arial" w:hAnsi="Arial" w:cs="Arial"/>
          <w:sz w:val="24"/>
          <w:szCs w:val="24"/>
          <w:lang w:val="es-CO"/>
        </w:rPr>
      </w:pPr>
    </w:p>
    <w:p w:rsidR="00272E97" w:rsidRDefault="00002F8D" w:rsidP="001D68DD">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 xml:space="preserve">Añádase a lo dicho </w:t>
      </w:r>
      <w:r w:rsidR="006724C6">
        <w:rPr>
          <w:rFonts w:ascii="Arial" w:hAnsi="Arial" w:cs="Arial"/>
          <w:sz w:val="24"/>
          <w:szCs w:val="24"/>
          <w:lang w:val="es-CO"/>
        </w:rPr>
        <w:t>que</w:t>
      </w:r>
      <w:r w:rsidR="00A300BA">
        <w:rPr>
          <w:rFonts w:ascii="Arial" w:hAnsi="Arial" w:cs="Arial"/>
          <w:sz w:val="24"/>
          <w:szCs w:val="24"/>
          <w:lang w:val="es-CO"/>
        </w:rPr>
        <w:t>,</w:t>
      </w:r>
      <w:r w:rsidR="006724C6">
        <w:rPr>
          <w:rFonts w:ascii="Arial" w:hAnsi="Arial" w:cs="Arial"/>
          <w:sz w:val="24"/>
          <w:szCs w:val="24"/>
          <w:lang w:val="es-CO"/>
        </w:rPr>
        <w:t xml:space="preserve"> aunque nunca se aclaró e</w:t>
      </w:r>
      <w:r w:rsidR="009A6AD1">
        <w:rPr>
          <w:rFonts w:ascii="Arial" w:hAnsi="Arial" w:cs="Arial"/>
          <w:sz w:val="24"/>
          <w:szCs w:val="24"/>
          <w:lang w:val="es-CO"/>
        </w:rPr>
        <w:t xml:space="preserve">l nombre de </w:t>
      </w:r>
      <w:r w:rsidR="006724C6">
        <w:rPr>
          <w:rFonts w:ascii="Arial" w:hAnsi="Arial" w:cs="Arial"/>
          <w:sz w:val="24"/>
          <w:szCs w:val="24"/>
          <w:lang w:val="es-CO"/>
        </w:rPr>
        <w:t>la señora Lucy o Luc</w:t>
      </w:r>
      <w:r w:rsidR="009A6AD1">
        <w:rPr>
          <w:rFonts w:ascii="Arial" w:hAnsi="Arial" w:cs="Arial"/>
          <w:sz w:val="24"/>
          <w:szCs w:val="24"/>
          <w:lang w:val="es-CO"/>
        </w:rPr>
        <w:t>í</w:t>
      </w:r>
      <w:r w:rsidR="006724C6">
        <w:rPr>
          <w:rFonts w:ascii="Arial" w:hAnsi="Arial" w:cs="Arial"/>
          <w:sz w:val="24"/>
          <w:szCs w:val="24"/>
          <w:lang w:val="es-CO"/>
        </w:rPr>
        <w:t xml:space="preserve">a Morales de Giraldo, </w:t>
      </w:r>
      <w:r w:rsidR="009A6AD1">
        <w:rPr>
          <w:rFonts w:ascii="Arial" w:hAnsi="Arial" w:cs="Arial"/>
          <w:sz w:val="24"/>
          <w:szCs w:val="24"/>
          <w:lang w:val="es-CO"/>
        </w:rPr>
        <w:t>se us</w:t>
      </w:r>
      <w:r w:rsidR="002233B9">
        <w:rPr>
          <w:rFonts w:ascii="Arial" w:hAnsi="Arial" w:cs="Arial"/>
          <w:sz w:val="24"/>
          <w:szCs w:val="24"/>
          <w:lang w:val="es-CO"/>
        </w:rPr>
        <w:t xml:space="preserve">aron </w:t>
      </w:r>
      <w:r w:rsidR="009A6AD1">
        <w:rPr>
          <w:rFonts w:ascii="Arial" w:hAnsi="Arial" w:cs="Arial"/>
          <w:sz w:val="24"/>
          <w:szCs w:val="24"/>
          <w:lang w:val="es-CO"/>
        </w:rPr>
        <w:t>indistintamente</w:t>
      </w:r>
      <w:r w:rsidR="00335A2F">
        <w:rPr>
          <w:rFonts w:ascii="Arial" w:hAnsi="Arial" w:cs="Arial"/>
          <w:sz w:val="24"/>
          <w:szCs w:val="24"/>
          <w:lang w:val="es-CO"/>
        </w:rPr>
        <w:t>,</w:t>
      </w:r>
      <w:r w:rsidR="009A6AD1">
        <w:rPr>
          <w:rFonts w:ascii="Arial" w:hAnsi="Arial" w:cs="Arial"/>
          <w:sz w:val="24"/>
          <w:szCs w:val="24"/>
          <w:lang w:val="es-CO"/>
        </w:rPr>
        <w:t xml:space="preserve"> </w:t>
      </w:r>
      <w:r w:rsidR="002233B9">
        <w:rPr>
          <w:rFonts w:ascii="Arial" w:hAnsi="Arial" w:cs="Arial"/>
          <w:sz w:val="24"/>
          <w:szCs w:val="24"/>
          <w:lang w:val="es-CO"/>
        </w:rPr>
        <w:t>al menos, en subsidio de lo anterior, debió citarse con sus dos nombres, además la cuestión era fácil de verificar a partir de la identidad de esta, en los documentos que sirvieron para las anotaciones 001 y 004 del certificado de tradición del inmueble, de donde fácil se advertiría lo innecesario de su comparecencia en el asunto, dado que falleció</w:t>
      </w:r>
      <w:r w:rsidR="00702D99">
        <w:rPr>
          <w:rFonts w:ascii="Arial" w:hAnsi="Arial" w:cs="Arial"/>
          <w:sz w:val="24"/>
          <w:szCs w:val="24"/>
          <w:lang w:val="es-CO"/>
        </w:rPr>
        <w:t xml:space="preserve"> (Dejó de ser sujeto de derecho)</w:t>
      </w:r>
      <w:r w:rsidR="002233B9">
        <w:rPr>
          <w:rFonts w:ascii="Arial" w:hAnsi="Arial" w:cs="Arial"/>
          <w:sz w:val="24"/>
          <w:szCs w:val="24"/>
          <w:lang w:val="es-CO"/>
        </w:rPr>
        <w:t xml:space="preserve"> y sus </w:t>
      </w:r>
      <w:r w:rsidR="006724C6">
        <w:rPr>
          <w:rFonts w:ascii="Arial" w:hAnsi="Arial" w:cs="Arial"/>
          <w:sz w:val="24"/>
          <w:szCs w:val="24"/>
          <w:lang w:val="es-CO"/>
        </w:rPr>
        <w:t xml:space="preserve">herederos </w:t>
      </w:r>
      <w:r w:rsidR="002233B9">
        <w:rPr>
          <w:rFonts w:ascii="Arial" w:hAnsi="Arial" w:cs="Arial"/>
          <w:sz w:val="24"/>
          <w:szCs w:val="24"/>
          <w:lang w:val="es-CO"/>
        </w:rPr>
        <w:t>son</w:t>
      </w:r>
      <w:r w:rsidR="00663064">
        <w:rPr>
          <w:rFonts w:ascii="Arial" w:hAnsi="Arial" w:cs="Arial"/>
          <w:sz w:val="24"/>
          <w:szCs w:val="24"/>
          <w:lang w:val="es-CO"/>
        </w:rPr>
        <w:t xml:space="preserve"> quienes </w:t>
      </w:r>
      <w:r w:rsidR="00803E0D">
        <w:rPr>
          <w:rFonts w:ascii="Arial" w:hAnsi="Arial" w:cs="Arial"/>
          <w:sz w:val="24"/>
          <w:szCs w:val="24"/>
          <w:lang w:val="es-CO"/>
        </w:rPr>
        <w:t xml:space="preserve">tienen </w:t>
      </w:r>
      <w:r w:rsidR="00663064">
        <w:rPr>
          <w:rFonts w:ascii="Arial" w:hAnsi="Arial" w:cs="Arial"/>
          <w:sz w:val="24"/>
          <w:szCs w:val="24"/>
          <w:lang w:val="es-CO"/>
        </w:rPr>
        <w:t>la calidad de propietarios (Ramón Eduardo Giraldo Morales, Ángela Patricia Giraldo Morales, Francisco Luis Giraldo Morales, Mario Rafael Giraldo Morales) tal c</w:t>
      </w:r>
      <w:r w:rsidR="002233B9">
        <w:rPr>
          <w:rFonts w:ascii="Arial" w:hAnsi="Arial" w:cs="Arial"/>
          <w:sz w:val="24"/>
          <w:szCs w:val="24"/>
          <w:lang w:val="es-CO"/>
        </w:rPr>
        <w:t>omo qued</w:t>
      </w:r>
      <w:r w:rsidR="00663064">
        <w:rPr>
          <w:rFonts w:ascii="Arial" w:hAnsi="Arial" w:cs="Arial"/>
          <w:sz w:val="24"/>
          <w:szCs w:val="24"/>
          <w:lang w:val="es-CO"/>
        </w:rPr>
        <w:t>ó</w:t>
      </w:r>
      <w:r w:rsidR="002233B9">
        <w:rPr>
          <w:rFonts w:ascii="Arial" w:hAnsi="Arial" w:cs="Arial"/>
          <w:sz w:val="24"/>
          <w:szCs w:val="24"/>
          <w:lang w:val="es-CO"/>
        </w:rPr>
        <w:t xml:space="preserve"> registrado en</w:t>
      </w:r>
      <w:r w:rsidR="00702D99">
        <w:rPr>
          <w:rFonts w:ascii="Arial" w:hAnsi="Arial" w:cs="Arial"/>
          <w:sz w:val="24"/>
          <w:szCs w:val="24"/>
          <w:lang w:val="es-CO"/>
        </w:rPr>
        <w:t xml:space="preserve"> la</w:t>
      </w:r>
      <w:r w:rsidR="002233B9">
        <w:rPr>
          <w:rFonts w:ascii="Arial" w:hAnsi="Arial" w:cs="Arial"/>
          <w:sz w:val="24"/>
          <w:szCs w:val="24"/>
          <w:lang w:val="es-CO"/>
        </w:rPr>
        <w:t xml:space="preserve"> última anotación reseñada</w:t>
      </w:r>
      <w:r w:rsidR="007520E6">
        <w:rPr>
          <w:rFonts w:ascii="Arial" w:hAnsi="Arial" w:cs="Arial"/>
          <w:sz w:val="24"/>
          <w:szCs w:val="24"/>
          <w:lang w:val="es-CO"/>
        </w:rPr>
        <w:t>.</w:t>
      </w:r>
    </w:p>
    <w:p w:rsidR="00E238DF" w:rsidRDefault="00E238DF" w:rsidP="001D68DD">
      <w:pPr>
        <w:tabs>
          <w:tab w:val="left" w:pos="-720"/>
        </w:tabs>
        <w:suppressAutoHyphens/>
        <w:spacing w:line="360" w:lineRule="auto"/>
        <w:jc w:val="both"/>
        <w:rPr>
          <w:rFonts w:ascii="Arial" w:hAnsi="Arial" w:cs="Arial"/>
          <w:sz w:val="24"/>
          <w:szCs w:val="24"/>
          <w:lang w:val="es-CO"/>
        </w:rPr>
      </w:pPr>
    </w:p>
    <w:p w:rsidR="00882E18" w:rsidRDefault="001C5EFF" w:rsidP="00882E18">
      <w:pPr>
        <w:spacing w:line="360" w:lineRule="auto"/>
        <w:jc w:val="both"/>
        <w:rPr>
          <w:rFonts w:ascii="Arial" w:hAnsi="Arial" w:cs="Arial"/>
          <w:sz w:val="24"/>
          <w:szCs w:val="24"/>
          <w:lang w:val="es-MX"/>
        </w:rPr>
      </w:pPr>
      <w:r>
        <w:rPr>
          <w:rFonts w:ascii="Arial" w:hAnsi="Arial" w:cs="Arial"/>
          <w:sz w:val="24"/>
          <w:szCs w:val="24"/>
          <w:lang w:val="es-CO"/>
        </w:rPr>
        <w:t xml:space="preserve">Las circunstancias relievadas, </w:t>
      </w:r>
      <w:r w:rsidR="00002F8D">
        <w:rPr>
          <w:rFonts w:ascii="Arial" w:hAnsi="Arial" w:cs="Arial"/>
          <w:sz w:val="24"/>
          <w:szCs w:val="24"/>
        </w:rPr>
        <w:t xml:space="preserve">evidencian que se ha configurado </w:t>
      </w:r>
      <w:r w:rsidR="00002F8D" w:rsidRPr="007031D1">
        <w:rPr>
          <w:rFonts w:ascii="Arial" w:hAnsi="Arial" w:cs="Arial"/>
          <w:sz w:val="24"/>
          <w:szCs w:val="24"/>
        </w:rPr>
        <w:t>una flagrante vulneración al debido proceso</w:t>
      </w:r>
      <w:r w:rsidR="003A5E74">
        <w:rPr>
          <w:rFonts w:ascii="Arial" w:hAnsi="Arial" w:cs="Arial"/>
          <w:sz w:val="24"/>
          <w:szCs w:val="24"/>
        </w:rPr>
        <w:t xml:space="preserve">, ya que </w:t>
      </w:r>
      <w:r w:rsidR="003A5E74" w:rsidRPr="007031D1">
        <w:rPr>
          <w:rFonts w:ascii="Arial" w:hAnsi="Arial" w:cs="Arial"/>
          <w:sz w:val="24"/>
          <w:szCs w:val="24"/>
        </w:rPr>
        <w:t>la actuación es</w:t>
      </w:r>
      <w:r w:rsidR="009A6AD1">
        <w:rPr>
          <w:rFonts w:ascii="Arial" w:hAnsi="Arial" w:cs="Arial"/>
          <w:sz w:val="24"/>
          <w:szCs w:val="24"/>
        </w:rPr>
        <w:t>tá viciada</w:t>
      </w:r>
      <w:r w:rsidR="003A5E74" w:rsidRPr="007031D1">
        <w:rPr>
          <w:rFonts w:ascii="Arial" w:hAnsi="Arial" w:cs="Arial"/>
          <w:sz w:val="24"/>
          <w:szCs w:val="24"/>
        </w:rPr>
        <w:t xml:space="preserve"> </w:t>
      </w:r>
      <w:r w:rsidR="003A5E74">
        <w:rPr>
          <w:rFonts w:ascii="Arial" w:hAnsi="Arial" w:cs="Arial"/>
          <w:sz w:val="24"/>
          <w:szCs w:val="24"/>
        </w:rPr>
        <w:t xml:space="preserve">por </w:t>
      </w:r>
      <w:r w:rsidR="003A5E74" w:rsidRPr="007031D1">
        <w:rPr>
          <w:rFonts w:ascii="Arial" w:hAnsi="Arial" w:cs="Arial"/>
          <w:sz w:val="24"/>
          <w:szCs w:val="24"/>
        </w:rPr>
        <w:t xml:space="preserve">la causal </w:t>
      </w:r>
      <w:r w:rsidR="003A5E74">
        <w:rPr>
          <w:rFonts w:ascii="Arial" w:hAnsi="Arial" w:cs="Arial"/>
          <w:sz w:val="24"/>
          <w:szCs w:val="24"/>
        </w:rPr>
        <w:t>d</w:t>
      </w:r>
      <w:r w:rsidR="003A5E74" w:rsidRPr="007031D1">
        <w:rPr>
          <w:rFonts w:ascii="Arial" w:hAnsi="Arial" w:cs="Arial"/>
          <w:sz w:val="24"/>
          <w:szCs w:val="24"/>
        </w:rPr>
        <w:t>el artículo</w:t>
      </w:r>
      <w:r w:rsidR="003A5E74">
        <w:rPr>
          <w:rFonts w:ascii="Arial" w:hAnsi="Arial" w:cs="Arial"/>
          <w:sz w:val="24"/>
          <w:szCs w:val="24"/>
        </w:rPr>
        <w:t xml:space="preserve"> 140-9 del CPC</w:t>
      </w:r>
      <w:r w:rsidR="009402F8">
        <w:rPr>
          <w:rFonts w:ascii="Arial" w:hAnsi="Arial" w:cs="Arial"/>
          <w:sz w:val="24"/>
          <w:szCs w:val="24"/>
        </w:rPr>
        <w:t xml:space="preserve">. </w:t>
      </w:r>
      <w:r w:rsidR="009402F8" w:rsidRPr="00903782">
        <w:rPr>
          <w:rFonts w:ascii="Arial" w:hAnsi="Arial" w:cs="Arial"/>
          <w:sz w:val="24"/>
          <w:szCs w:val="24"/>
          <w:lang w:val="es-MX"/>
        </w:rPr>
        <w:t xml:space="preserve">Los </w:t>
      </w:r>
      <w:r w:rsidR="00882E18" w:rsidRPr="00903782">
        <w:rPr>
          <w:rFonts w:ascii="Arial" w:hAnsi="Arial" w:cs="Arial"/>
          <w:sz w:val="24"/>
          <w:szCs w:val="24"/>
          <w:lang w:val="es-MX"/>
        </w:rPr>
        <w:t xml:space="preserve">efectos de </w:t>
      </w:r>
      <w:r w:rsidR="009402F8">
        <w:rPr>
          <w:rFonts w:ascii="Arial" w:hAnsi="Arial" w:cs="Arial"/>
          <w:sz w:val="24"/>
          <w:szCs w:val="24"/>
          <w:lang w:val="es-MX"/>
        </w:rPr>
        <w:t xml:space="preserve">esta </w:t>
      </w:r>
      <w:r w:rsidR="00882E18" w:rsidRPr="00903782">
        <w:rPr>
          <w:rFonts w:ascii="Arial" w:hAnsi="Arial" w:cs="Arial"/>
          <w:sz w:val="24"/>
          <w:szCs w:val="24"/>
          <w:lang w:val="es-MX"/>
        </w:rPr>
        <w:t xml:space="preserve">declaratoria afectan </w:t>
      </w:r>
      <w:r w:rsidR="00882E18">
        <w:rPr>
          <w:rFonts w:ascii="Arial" w:hAnsi="Arial" w:cs="Arial"/>
          <w:sz w:val="24"/>
          <w:szCs w:val="24"/>
          <w:lang w:val="es-MX"/>
        </w:rPr>
        <w:t xml:space="preserve">todo </w:t>
      </w:r>
      <w:r w:rsidR="00882E18" w:rsidRPr="00903782">
        <w:rPr>
          <w:rFonts w:ascii="Arial" w:hAnsi="Arial" w:cs="Arial"/>
          <w:sz w:val="24"/>
          <w:szCs w:val="24"/>
          <w:lang w:val="es-MX"/>
        </w:rPr>
        <w:t xml:space="preserve">lo actuado </w:t>
      </w:r>
      <w:r w:rsidR="003A7CD8">
        <w:rPr>
          <w:rFonts w:ascii="Arial" w:hAnsi="Arial" w:cs="Arial"/>
          <w:sz w:val="24"/>
          <w:szCs w:val="24"/>
          <w:lang w:val="es-MX"/>
        </w:rPr>
        <w:t>a partir de</w:t>
      </w:r>
      <w:r w:rsidR="00882E18">
        <w:rPr>
          <w:rFonts w:ascii="Arial" w:hAnsi="Arial" w:cs="Arial"/>
          <w:sz w:val="24"/>
          <w:szCs w:val="24"/>
          <w:lang w:val="es-MX"/>
        </w:rPr>
        <w:t>l auto fechado 12-07-2010</w:t>
      </w:r>
      <w:r w:rsidR="003A7CD8">
        <w:rPr>
          <w:rFonts w:ascii="Arial" w:hAnsi="Arial" w:cs="Arial"/>
          <w:sz w:val="24"/>
          <w:szCs w:val="24"/>
          <w:lang w:val="es-MX"/>
        </w:rPr>
        <w:t>,</w:t>
      </w:r>
      <w:r w:rsidR="00882E18">
        <w:rPr>
          <w:rFonts w:ascii="Arial" w:hAnsi="Arial" w:cs="Arial"/>
          <w:sz w:val="24"/>
          <w:szCs w:val="24"/>
          <w:lang w:val="es-MX"/>
        </w:rPr>
        <w:t xml:space="preserve"> inclusive, por ser la decisión que buscó encausar el asunto con la totalidad de los demandados</w:t>
      </w:r>
      <w:r w:rsidR="009A6AD1">
        <w:rPr>
          <w:rFonts w:ascii="Arial" w:hAnsi="Arial" w:cs="Arial"/>
          <w:sz w:val="24"/>
          <w:szCs w:val="24"/>
          <w:lang w:val="es-MX"/>
        </w:rPr>
        <w:t>,</w:t>
      </w:r>
      <w:r w:rsidR="00882E18">
        <w:rPr>
          <w:rFonts w:ascii="Arial" w:hAnsi="Arial" w:cs="Arial"/>
          <w:sz w:val="24"/>
          <w:szCs w:val="24"/>
          <w:lang w:val="es-MX"/>
        </w:rPr>
        <w:t xml:space="preserve"> </w:t>
      </w:r>
      <w:r w:rsidR="00663064">
        <w:rPr>
          <w:rFonts w:ascii="Arial" w:hAnsi="Arial" w:cs="Arial"/>
          <w:sz w:val="24"/>
          <w:szCs w:val="24"/>
          <w:lang w:val="es-MX"/>
        </w:rPr>
        <w:t xml:space="preserve">sin embargo </w:t>
      </w:r>
      <w:r w:rsidR="00882E18">
        <w:rPr>
          <w:rFonts w:ascii="Arial" w:hAnsi="Arial" w:cs="Arial"/>
          <w:sz w:val="24"/>
          <w:szCs w:val="24"/>
          <w:lang w:val="es-MX"/>
        </w:rPr>
        <w:t xml:space="preserve">no lo consiguió en debida forma. </w:t>
      </w:r>
    </w:p>
    <w:p w:rsidR="00902D44" w:rsidRDefault="00902D44" w:rsidP="001D68DD">
      <w:pPr>
        <w:tabs>
          <w:tab w:val="left" w:pos="-720"/>
        </w:tabs>
        <w:suppressAutoHyphens/>
        <w:spacing w:line="360" w:lineRule="auto"/>
        <w:jc w:val="both"/>
        <w:rPr>
          <w:rFonts w:ascii="Arial" w:hAnsi="Arial" w:cs="Arial"/>
          <w:sz w:val="24"/>
          <w:szCs w:val="24"/>
          <w:lang w:val="es-CO"/>
        </w:rPr>
      </w:pPr>
    </w:p>
    <w:p w:rsidR="00902D44" w:rsidRDefault="00051EE0" w:rsidP="00902D44">
      <w:pPr>
        <w:tabs>
          <w:tab w:val="left" w:pos="-720"/>
        </w:tabs>
        <w:suppressAutoHyphens/>
        <w:spacing w:line="360" w:lineRule="auto"/>
        <w:jc w:val="both"/>
        <w:rPr>
          <w:rFonts w:ascii="Arial" w:hAnsi="Arial" w:cs="Arial"/>
          <w:spacing w:val="-3"/>
          <w:sz w:val="24"/>
          <w:szCs w:val="22"/>
        </w:rPr>
      </w:pPr>
      <w:r>
        <w:rPr>
          <w:rFonts w:ascii="Arial" w:hAnsi="Arial" w:cs="Arial"/>
          <w:sz w:val="24"/>
          <w:szCs w:val="24"/>
          <w:lang w:val="es-CO"/>
        </w:rPr>
        <w:t xml:space="preserve">De otra parte, </w:t>
      </w:r>
      <w:r w:rsidR="009A6AD1">
        <w:rPr>
          <w:rFonts w:ascii="Arial" w:hAnsi="Arial" w:cs="Arial"/>
          <w:sz w:val="24"/>
          <w:szCs w:val="24"/>
          <w:lang w:val="es-CO"/>
        </w:rPr>
        <w:t xml:space="preserve">debe </w:t>
      </w:r>
      <w:r w:rsidR="00902D44">
        <w:rPr>
          <w:rFonts w:ascii="Arial" w:hAnsi="Arial" w:cs="Arial"/>
          <w:sz w:val="24"/>
          <w:szCs w:val="24"/>
          <w:lang w:val="es-CO"/>
        </w:rPr>
        <w:t>resaltar</w:t>
      </w:r>
      <w:r w:rsidR="009A6AD1">
        <w:rPr>
          <w:rFonts w:ascii="Arial" w:hAnsi="Arial" w:cs="Arial"/>
          <w:sz w:val="24"/>
          <w:szCs w:val="24"/>
          <w:lang w:val="es-CO"/>
        </w:rPr>
        <w:t>se</w:t>
      </w:r>
      <w:r w:rsidR="00902D44">
        <w:rPr>
          <w:rFonts w:ascii="Arial" w:hAnsi="Arial" w:cs="Arial"/>
          <w:sz w:val="24"/>
          <w:szCs w:val="24"/>
          <w:lang w:val="es-CO"/>
        </w:rPr>
        <w:t xml:space="preserve"> que e</w:t>
      </w:r>
      <w:r w:rsidR="00902D44" w:rsidRPr="00E84277">
        <w:rPr>
          <w:rFonts w:ascii="Arial" w:hAnsi="Arial" w:cs="Arial"/>
          <w:spacing w:val="-3"/>
          <w:sz w:val="24"/>
          <w:szCs w:val="22"/>
        </w:rPr>
        <w:t xml:space="preserve">l artículo </w:t>
      </w:r>
      <w:r w:rsidR="00902D44">
        <w:rPr>
          <w:rFonts w:ascii="Arial" w:hAnsi="Arial" w:cs="Arial"/>
          <w:spacing w:val="-3"/>
          <w:sz w:val="24"/>
          <w:szCs w:val="22"/>
        </w:rPr>
        <w:t>323</w:t>
      </w:r>
      <w:r w:rsidR="009A6AD1">
        <w:rPr>
          <w:rFonts w:ascii="Arial" w:hAnsi="Arial" w:cs="Arial"/>
          <w:spacing w:val="-3"/>
          <w:sz w:val="24"/>
          <w:szCs w:val="22"/>
        </w:rPr>
        <w:t>, CPC</w:t>
      </w:r>
      <w:r w:rsidR="00C5034C">
        <w:rPr>
          <w:rFonts w:ascii="Arial" w:hAnsi="Arial" w:cs="Arial"/>
          <w:spacing w:val="-3"/>
          <w:sz w:val="24"/>
          <w:szCs w:val="22"/>
        </w:rPr>
        <w:t xml:space="preserve">, </w:t>
      </w:r>
      <w:r w:rsidR="00902D44">
        <w:rPr>
          <w:rFonts w:ascii="Arial" w:hAnsi="Arial" w:cs="Arial"/>
          <w:spacing w:val="-3"/>
          <w:sz w:val="24"/>
          <w:szCs w:val="22"/>
        </w:rPr>
        <w:t xml:space="preserve">dispone, en forma especial, los datos que debe contener </w:t>
      </w:r>
      <w:r w:rsidR="009A6AD1">
        <w:rPr>
          <w:rFonts w:ascii="Arial" w:hAnsi="Arial" w:cs="Arial"/>
          <w:spacing w:val="-3"/>
          <w:sz w:val="24"/>
          <w:szCs w:val="22"/>
        </w:rPr>
        <w:t xml:space="preserve">el </w:t>
      </w:r>
      <w:r w:rsidR="00902D44">
        <w:rPr>
          <w:rFonts w:ascii="Arial" w:hAnsi="Arial" w:cs="Arial"/>
          <w:spacing w:val="-3"/>
          <w:sz w:val="24"/>
          <w:szCs w:val="22"/>
        </w:rPr>
        <w:t>edicto para enterar a las partes, válidamente de la decisión final; señala que habrá de indicar</w:t>
      </w:r>
      <w:r w:rsidR="009A6AD1">
        <w:rPr>
          <w:rFonts w:ascii="Arial" w:hAnsi="Arial" w:cs="Arial"/>
          <w:spacing w:val="-3"/>
          <w:sz w:val="24"/>
          <w:szCs w:val="22"/>
        </w:rPr>
        <w:t>:</w:t>
      </w:r>
      <w:r w:rsidR="00902D44">
        <w:rPr>
          <w:rFonts w:ascii="Arial" w:hAnsi="Arial" w:cs="Arial"/>
          <w:spacing w:val="-3"/>
          <w:sz w:val="24"/>
          <w:szCs w:val="22"/>
        </w:rPr>
        <w:t xml:space="preserve"> (i) La palabra edicto en la parte superior; (ii) El tipo de proceso; (iii) El demandante; (iv) </w:t>
      </w:r>
      <w:r w:rsidR="00902D44" w:rsidRPr="008562A6">
        <w:rPr>
          <w:rFonts w:ascii="Arial" w:hAnsi="Arial" w:cs="Arial"/>
          <w:spacing w:val="-3"/>
          <w:sz w:val="24"/>
          <w:szCs w:val="22"/>
          <w:u w:val="single"/>
        </w:rPr>
        <w:t>La parte demandada</w:t>
      </w:r>
      <w:r w:rsidR="00902D44">
        <w:rPr>
          <w:rFonts w:ascii="Arial" w:hAnsi="Arial" w:cs="Arial"/>
          <w:spacing w:val="-3"/>
          <w:sz w:val="24"/>
          <w:szCs w:val="22"/>
        </w:rPr>
        <w:t>; (v) La fecha de la sentencia; y (vi) La firma del secretario (a).</w:t>
      </w:r>
    </w:p>
    <w:p w:rsidR="009402F8" w:rsidRPr="00E84277" w:rsidRDefault="009402F8" w:rsidP="00902D44">
      <w:pPr>
        <w:tabs>
          <w:tab w:val="left" w:pos="-720"/>
        </w:tabs>
        <w:suppressAutoHyphens/>
        <w:spacing w:line="360" w:lineRule="auto"/>
        <w:jc w:val="both"/>
        <w:rPr>
          <w:rFonts w:ascii="Arial" w:hAnsi="Arial" w:cs="Arial"/>
          <w:spacing w:val="-3"/>
          <w:sz w:val="24"/>
          <w:szCs w:val="22"/>
        </w:rPr>
      </w:pPr>
    </w:p>
    <w:p w:rsidR="00BD71D4" w:rsidRPr="00CC5C5B" w:rsidRDefault="00902D44" w:rsidP="00902D44">
      <w:pPr>
        <w:spacing w:line="360" w:lineRule="auto"/>
        <w:jc w:val="both"/>
        <w:rPr>
          <w:rFonts w:ascii="Arial" w:hAnsi="Arial" w:cs="Arial"/>
          <w:sz w:val="24"/>
          <w:szCs w:val="24"/>
        </w:rPr>
      </w:pPr>
      <w:r>
        <w:rPr>
          <w:rFonts w:ascii="Arial" w:hAnsi="Arial" w:cs="Arial"/>
          <w:sz w:val="24"/>
          <w:szCs w:val="24"/>
        </w:rPr>
        <w:t xml:space="preserve">En el caso particular, el edicto </w:t>
      </w:r>
      <w:proofErr w:type="spellStart"/>
      <w:r>
        <w:rPr>
          <w:rFonts w:ascii="Arial" w:hAnsi="Arial" w:cs="Arial"/>
          <w:sz w:val="24"/>
          <w:szCs w:val="24"/>
        </w:rPr>
        <w:t>notificatorio</w:t>
      </w:r>
      <w:proofErr w:type="spellEnd"/>
      <w:r>
        <w:rPr>
          <w:rFonts w:ascii="Arial" w:hAnsi="Arial" w:cs="Arial"/>
          <w:sz w:val="24"/>
          <w:szCs w:val="24"/>
        </w:rPr>
        <w:t xml:space="preserve"> de la sentencia proferida en este proceso</w:t>
      </w:r>
      <w:r w:rsidR="00BD71D4">
        <w:rPr>
          <w:rFonts w:ascii="Arial" w:hAnsi="Arial" w:cs="Arial"/>
          <w:sz w:val="24"/>
          <w:szCs w:val="24"/>
        </w:rPr>
        <w:t xml:space="preserve"> y esta misma</w:t>
      </w:r>
      <w:r>
        <w:rPr>
          <w:rFonts w:ascii="Arial" w:hAnsi="Arial" w:cs="Arial"/>
          <w:sz w:val="24"/>
          <w:szCs w:val="24"/>
        </w:rPr>
        <w:t>, ha preterido señalar en forma íntegra la parte demanda</w:t>
      </w:r>
      <w:r w:rsidR="00BD71D4">
        <w:rPr>
          <w:rFonts w:ascii="Arial" w:hAnsi="Arial" w:cs="Arial"/>
          <w:sz w:val="24"/>
          <w:szCs w:val="24"/>
        </w:rPr>
        <w:t>da</w:t>
      </w:r>
      <w:r>
        <w:rPr>
          <w:rFonts w:ascii="Arial" w:hAnsi="Arial" w:cs="Arial"/>
          <w:sz w:val="24"/>
          <w:szCs w:val="24"/>
        </w:rPr>
        <w:t xml:space="preserve">, que </w:t>
      </w:r>
      <w:r w:rsidR="00BD71D4">
        <w:rPr>
          <w:rFonts w:ascii="Arial" w:hAnsi="Arial" w:cs="Arial"/>
          <w:sz w:val="24"/>
          <w:szCs w:val="24"/>
        </w:rPr>
        <w:t xml:space="preserve">hasta ese entonces eran </w:t>
      </w:r>
      <w:r w:rsidR="00BD71D4" w:rsidRPr="00BD71D4">
        <w:rPr>
          <w:rFonts w:ascii="Arial" w:hAnsi="Arial" w:cs="Arial"/>
          <w:sz w:val="24"/>
          <w:szCs w:val="24"/>
          <w:u w:val="single"/>
        </w:rPr>
        <w:t>los herederos indeterminados</w:t>
      </w:r>
      <w:r w:rsidR="00BD71D4">
        <w:rPr>
          <w:rFonts w:ascii="Arial" w:hAnsi="Arial" w:cs="Arial"/>
          <w:sz w:val="24"/>
          <w:szCs w:val="24"/>
        </w:rPr>
        <w:t xml:space="preserve"> de </w:t>
      </w:r>
      <w:r w:rsidR="00BD71D4">
        <w:rPr>
          <w:rFonts w:ascii="Arial" w:hAnsi="Arial" w:cs="Arial"/>
          <w:sz w:val="24"/>
          <w:szCs w:val="24"/>
          <w:lang w:val="es-CO"/>
        </w:rPr>
        <w:t xml:space="preserve">Sara Morales de Ríos, María Isabel Morales Figueroa, José Jairo Loaiza Vélez, Ramón Eduardo Giraldo Morales, Ángela Patricia Giraldo Morales, Francisco Luis Giraldo Morales, Mario Rafael Giraldo Morales, </w:t>
      </w:r>
      <w:r w:rsidR="00BD71D4" w:rsidRPr="00CC5C5B">
        <w:rPr>
          <w:rFonts w:ascii="Arial" w:hAnsi="Arial" w:cs="Arial"/>
          <w:sz w:val="24"/>
          <w:szCs w:val="24"/>
          <w:u w:val="single"/>
          <w:lang w:val="es-CO"/>
        </w:rPr>
        <w:lastRenderedPageBreak/>
        <w:t>Lucy</w:t>
      </w:r>
      <w:r w:rsidR="009A6AD1" w:rsidRPr="00CC5C5B">
        <w:rPr>
          <w:rFonts w:ascii="Arial" w:hAnsi="Arial" w:cs="Arial"/>
          <w:sz w:val="24"/>
          <w:szCs w:val="24"/>
          <w:lang w:val="es-CO"/>
        </w:rPr>
        <w:t xml:space="preserve"> o Lucí</w:t>
      </w:r>
      <w:r w:rsidR="00BD71D4" w:rsidRPr="00CC5C5B">
        <w:rPr>
          <w:rFonts w:ascii="Arial" w:hAnsi="Arial" w:cs="Arial"/>
          <w:sz w:val="24"/>
          <w:szCs w:val="24"/>
          <w:lang w:val="es-CO"/>
        </w:rPr>
        <w:t>a Morales de Giraldo, Guillermo Morales Figueroa, José Abad Ríos Morales y demás personas indeterminadas;</w:t>
      </w:r>
      <w:r w:rsidRPr="00CC5C5B">
        <w:rPr>
          <w:rFonts w:ascii="Arial" w:hAnsi="Arial" w:cs="Arial"/>
          <w:sz w:val="24"/>
          <w:szCs w:val="24"/>
        </w:rPr>
        <w:t xml:space="preserve"> dado que son ellas las que conforman jurídicamente la parte, en sentido procesal.  </w:t>
      </w:r>
    </w:p>
    <w:p w:rsidR="00BD71D4" w:rsidRPr="00CC5C5B" w:rsidRDefault="00BD71D4" w:rsidP="00902D44">
      <w:pPr>
        <w:spacing w:line="360" w:lineRule="auto"/>
        <w:jc w:val="both"/>
        <w:rPr>
          <w:rFonts w:ascii="Arial" w:hAnsi="Arial" w:cs="Arial"/>
          <w:sz w:val="24"/>
          <w:szCs w:val="24"/>
        </w:rPr>
      </w:pPr>
    </w:p>
    <w:p w:rsidR="00051EE0" w:rsidRPr="00CC5C5B" w:rsidRDefault="00902D44" w:rsidP="00902D44">
      <w:pPr>
        <w:spacing w:line="360" w:lineRule="auto"/>
        <w:jc w:val="both"/>
        <w:rPr>
          <w:rFonts w:ascii="Arial" w:hAnsi="Arial" w:cs="Arial"/>
          <w:sz w:val="24"/>
          <w:szCs w:val="24"/>
          <w:lang w:val="es-MX"/>
        </w:rPr>
      </w:pPr>
      <w:r w:rsidRPr="00CC5C5B">
        <w:rPr>
          <w:rFonts w:ascii="Arial" w:hAnsi="Arial" w:cs="Arial"/>
          <w:sz w:val="24"/>
          <w:szCs w:val="24"/>
        </w:rPr>
        <w:t xml:space="preserve">Así, entonces, </w:t>
      </w:r>
      <w:r w:rsidR="00BD71D4" w:rsidRPr="00CC5C5B">
        <w:rPr>
          <w:rFonts w:ascii="Arial" w:hAnsi="Arial" w:cs="Arial"/>
          <w:sz w:val="24"/>
          <w:szCs w:val="24"/>
        </w:rPr>
        <w:t xml:space="preserve">si lo atrás </w:t>
      </w:r>
      <w:r w:rsidR="00304D9F" w:rsidRPr="00CC5C5B">
        <w:rPr>
          <w:rFonts w:ascii="Arial" w:hAnsi="Arial" w:cs="Arial"/>
          <w:sz w:val="24"/>
          <w:szCs w:val="24"/>
        </w:rPr>
        <w:t xml:space="preserve">anotado </w:t>
      </w:r>
      <w:r w:rsidR="00BD71D4" w:rsidRPr="00CC5C5B">
        <w:rPr>
          <w:rFonts w:ascii="Arial" w:hAnsi="Arial" w:cs="Arial"/>
          <w:sz w:val="24"/>
          <w:szCs w:val="24"/>
        </w:rPr>
        <w:t xml:space="preserve">fuera </w:t>
      </w:r>
      <w:r w:rsidR="00304D9F" w:rsidRPr="00CC5C5B">
        <w:rPr>
          <w:rFonts w:ascii="Arial" w:hAnsi="Arial" w:cs="Arial"/>
          <w:sz w:val="24"/>
          <w:szCs w:val="24"/>
        </w:rPr>
        <w:t>in</w:t>
      </w:r>
      <w:r w:rsidR="00BD71D4" w:rsidRPr="00CC5C5B">
        <w:rPr>
          <w:rFonts w:ascii="Arial" w:hAnsi="Arial" w:cs="Arial"/>
          <w:sz w:val="24"/>
          <w:szCs w:val="24"/>
        </w:rPr>
        <w:t xml:space="preserve">suficiente, lo anterior también </w:t>
      </w:r>
      <w:r w:rsidRPr="00CC5C5B">
        <w:rPr>
          <w:rFonts w:ascii="Arial" w:hAnsi="Arial" w:cs="Arial"/>
          <w:sz w:val="24"/>
          <w:szCs w:val="24"/>
        </w:rPr>
        <w:t>estructura</w:t>
      </w:r>
      <w:r w:rsidR="009402F8" w:rsidRPr="00CC5C5B">
        <w:rPr>
          <w:rFonts w:ascii="Arial" w:hAnsi="Arial" w:cs="Arial"/>
          <w:sz w:val="24"/>
          <w:szCs w:val="24"/>
        </w:rPr>
        <w:t xml:space="preserve"> otra </w:t>
      </w:r>
      <w:r w:rsidRPr="00CC5C5B">
        <w:rPr>
          <w:rFonts w:ascii="Arial" w:hAnsi="Arial" w:cs="Arial"/>
          <w:sz w:val="24"/>
          <w:szCs w:val="24"/>
        </w:rPr>
        <w:t>causal</w:t>
      </w:r>
      <w:r w:rsidR="009402F8" w:rsidRPr="00CC5C5B">
        <w:rPr>
          <w:rFonts w:ascii="Arial" w:hAnsi="Arial" w:cs="Arial"/>
          <w:sz w:val="24"/>
          <w:szCs w:val="24"/>
        </w:rPr>
        <w:t xml:space="preserve">, es decir, la </w:t>
      </w:r>
      <w:r w:rsidRPr="00CC5C5B">
        <w:rPr>
          <w:rFonts w:ascii="Arial" w:hAnsi="Arial" w:cs="Arial"/>
          <w:sz w:val="24"/>
          <w:szCs w:val="24"/>
        </w:rPr>
        <w:t xml:space="preserve">prescrita en el artículo 140, parte final, ibídem, </w:t>
      </w:r>
      <w:r w:rsidR="00BD71D4" w:rsidRPr="00CC5C5B">
        <w:rPr>
          <w:rFonts w:ascii="Arial" w:hAnsi="Arial" w:cs="Arial"/>
          <w:sz w:val="24"/>
          <w:szCs w:val="24"/>
        </w:rPr>
        <w:t xml:space="preserve">puesto que se ha realizado en forma incorrecta la </w:t>
      </w:r>
      <w:r w:rsidRPr="00CC5C5B">
        <w:rPr>
          <w:rFonts w:ascii="Arial" w:hAnsi="Arial" w:cs="Arial"/>
          <w:sz w:val="24"/>
          <w:szCs w:val="24"/>
        </w:rPr>
        <w:t>respectiva notificación</w:t>
      </w:r>
      <w:r w:rsidR="00BD71D4" w:rsidRPr="00CC5C5B">
        <w:rPr>
          <w:rFonts w:ascii="Arial" w:hAnsi="Arial" w:cs="Arial"/>
          <w:sz w:val="24"/>
          <w:szCs w:val="24"/>
        </w:rPr>
        <w:t xml:space="preserve"> de la sentencia</w:t>
      </w:r>
      <w:r w:rsidRPr="00CC5C5B">
        <w:rPr>
          <w:rFonts w:ascii="Arial" w:hAnsi="Arial" w:cs="Arial"/>
          <w:sz w:val="24"/>
          <w:szCs w:val="24"/>
        </w:rPr>
        <w:t xml:space="preserve">, </w:t>
      </w:r>
      <w:r w:rsidR="00304D9F" w:rsidRPr="00CC5C5B">
        <w:rPr>
          <w:rFonts w:ascii="Arial" w:hAnsi="Arial" w:cs="Arial"/>
          <w:sz w:val="24"/>
          <w:szCs w:val="24"/>
        </w:rPr>
        <w:t xml:space="preserve">claro está </w:t>
      </w:r>
      <w:r w:rsidR="009A6AD1" w:rsidRPr="00CC5C5B">
        <w:rPr>
          <w:rFonts w:ascii="Arial" w:hAnsi="Arial" w:cs="Arial"/>
          <w:sz w:val="24"/>
          <w:szCs w:val="24"/>
        </w:rPr>
        <w:t xml:space="preserve">sin entidad </w:t>
      </w:r>
      <w:r w:rsidR="00304D9F" w:rsidRPr="00CC5C5B">
        <w:rPr>
          <w:rFonts w:ascii="Arial" w:hAnsi="Arial" w:cs="Arial"/>
          <w:sz w:val="24"/>
          <w:szCs w:val="24"/>
        </w:rPr>
        <w:t xml:space="preserve">para </w:t>
      </w:r>
      <w:r w:rsidRPr="00CC5C5B">
        <w:rPr>
          <w:rFonts w:ascii="Arial" w:hAnsi="Arial" w:cs="Arial"/>
          <w:sz w:val="24"/>
          <w:szCs w:val="24"/>
        </w:rPr>
        <w:t xml:space="preserve">invalidar </w:t>
      </w:r>
      <w:r w:rsidR="00304D9F" w:rsidRPr="00CC5C5B">
        <w:rPr>
          <w:rFonts w:ascii="Arial" w:hAnsi="Arial" w:cs="Arial"/>
          <w:sz w:val="24"/>
          <w:szCs w:val="24"/>
        </w:rPr>
        <w:t xml:space="preserve">todo </w:t>
      </w:r>
      <w:r w:rsidRPr="00CC5C5B">
        <w:rPr>
          <w:rFonts w:ascii="Arial" w:hAnsi="Arial" w:cs="Arial"/>
          <w:sz w:val="24"/>
          <w:szCs w:val="24"/>
        </w:rPr>
        <w:t xml:space="preserve">lo actuado, </w:t>
      </w:r>
      <w:r w:rsidR="00304D9F" w:rsidRPr="00CC5C5B">
        <w:rPr>
          <w:rFonts w:ascii="Arial" w:hAnsi="Arial" w:cs="Arial"/>
          <w:sz w:val="24"/>
          <w:szCs w:val="24"/>
        </w:rPr>
        <w:t xml:space="preserve">solamente la diligencia </w:t>
      </w:r>
      <w:r w:rsidR="009A6AD1" w:rsidRPr="00CC5C5B">
        <w:rPr>
          <w:rFonts w:ascii="Arial" w:hAnsi="Arial" w:cs="Arial"/>
          <w:sz w:val="24"/>
          <w:szCs w:val="24"/>
        </w:rPr>
        <w:t>irregular</w:t>
      </w:r>
      <w:r w:rsidR="00663064" w:rsidRPr="00CC5C5B">
        <w:rPr>
          <w:rFonts w:ascii="Arial" w:hAnsi="Arial" w:cs="Arial"/>
          <w:sz w:val="24"/>
          <w:szCs w:val="24"/>
        </w:rPr>
        <w:t>;</w:t>
      </w:r>
      <w:r w:rsidR="009A6AD1" w:rsidRPr="00CC5C5B">
        <w:rPr>
          <w:rFonts w:ascii="Arial" w:hAnsi="Arial" w:cs="Arial"/>
          <w:sz w:val="24"/>
          <w:szCs w:val="24"/>
        </w:rPr>
        <w:t xml:space="preserve"> de este parecer</w:t>
      </w:r>
      <w:r w:rsidR="00304D9F" w:rsidRPr="00CC5C5B">
        <w:rPr>
          <w:rFonts w:ascii="Arial" w:hAnsi="Arial" w:cs="Arial"/>
          <w:sz w:val="24"/>
          <w:szCs w:val="24"/>
        </w:rPr>
        <w:t xml:space="preserve"> </w:t>
      </w:r>
      <w:r w:rsidR="00246A2F" w:rsidRPr="00CC5C5B">
        <w:rPr>
          <w:rFonts w:ascii="Arial" w:hAnsi="Arial" w:cs="Arial"/>
          <w:sz w:val="24"/>
          <w:szCs w:val="24"/>
        </w:rPr>
        <w:t xml:space="preserve">es </w:t>
      </w:r>
      <w:r w:rsidRPr="00CC5C5B">
        <w:rPr>
          <w:rFonts w:ascii="Arial" w:hAnsi="Arial" w:cs="Arial"/>
          <w:sz w:val="24"/>
          <w:szCs w:val="24"/>
        </w:rPr>
        <w:t xml:space="preserve">el profesor Sanabria </w:t>
      </w:r>
      <w:r w:rsidRPr="00CC5C5B">
        <w:rPr>
          <w:rFonts w:ascii="Arial" w:hAnsi="Arial" w:cs="Arial"/>
          <w:sz w:val="24"/>
          <w:szCs w:val="24"/>
          <w:lang w:val="es-MX"/>
        </w:rPr>
        <w:t>Santos</w:t>
      </w:r>
      <w:r w:rsidRPr="00CC5C5B">
        <w:rPr>
          <w:rStyle w:val="Refdenotaalpie"/>
          <w:rFonts w:ascii="Arial" w:hAnsi="Arial"/>
          <w:sz w:val="24"/>
          <w:szCs w:val="24"/>
          <w:lang w:val="es-MX"/>
        </w:rPr>
        <w:footnoteReference w:id="15"/>
      </w:r>
      <w:r w:rsidRPr="00CC5C5B">
        <w:rPr>
          <w:rFonts w:ascii="Arial" w:hAnsi="Arial" w:cs="Arial"/>
          <w:sz w:val="24"/>
          <w:szCs w:val="24"/>
          <w:lang w:val="es-MX"/>
        </w:rPr>
        <w:t>.</w:t>
      </w:r>
      <w:r w:rsidR="00051EE0" w:rsidRPr="00CC5C5B">
        <w:rPr>
          <w:rFonts w:ascii="Arial" w:hAnsi="Arial" w:cs="Arial"/>
          <w:sz w:val="24"/>
          <w:szCs w:val="24"/>
          <w:lang w:val="es-MX"/>
        </w:rPr>
        <w:t xml:space="preserve"> </w:t>
      </w:r>
    </w:p>
    <w:p w:rsidR="00051EE0" w:rsidRPr="00CC5C5B" w:rsidRDefault="00051EE0" w:rsidP="00902D44">
      <w:pPr>
        <w:spacing w:line="360" w:lineRule="auto"/>
        <w:jc w:val="both"/>
        <w:rPr>
          <w:rFonts w:ascii="Arial" w:hAnsi="Arial" w:cs="Arial"/>
          <w:sz w:val="24"/>
          <w:szCs w:val="24"/>
          <w:lang w:val="es-MX"/>
        </w:rPr>
      </w:pPr>
    </w:p>
    <w:p w:rsidR="00CC5C5B" w:rsidRPr="00CC5C5B" w:rsidRDefault="00CC5C5B" w:rsidP="00051EE0">
      <w:pPr>
        <w:spacing w:line="360" w:lineRule="auto"/>
        <w:jc w:val="both"/>
        <w:rPr>
          <w:rFonts w:ascii="Arial" w:hAnsi="Arial" w:cs="Arial"/>
          <w:sz w:val="24"/>
          <w:szCs w:val="24"/>
          <w:lang w:val="es-CO"/>
        </w:rPr>
      </w:pPr>
      <w:r w:rsidRPr="00CC5C5B">
        <w:rPr>
          <w:rFonts w:ascii="Arial" w:hAnsi="Arial" w:cs="Arial"/>
          <w:spacing w:val="-3"/>
          <w:sz w:val="24"/>
          <w:szCs w:val="24"/>
          <w:lang w:val="es-ES_tradnl"/>
        </w:rPr>
        <w:t xml:space="preserve">No </w:t>
      </w:r>
      <w:r w:rsidR="00051EE0" w:rsidRPr="00CC5C5B">
        <w:rPr>
          <w:rFonts w:ascii="Arial" w:hAnsi="Arial" w:cs="Arial"/>
          <w:spacing w:val="-3"/>
          <w:sz w:val="24"/>
          <w:szCs w:val="24"/>
          <w:lang w:val="es-ES_tradnl"/>
        </w:rPr>
        <w:t>sobra acotar que acorde con lo preceptuado en el artículo 137-4º del CPC (Regla aplicable para el asunto, tal como ya se ha dicho)</w:t>
      </w:r>
      <w:r w:rsidR="00C77578" w:rsidRPr="00CC5C5B">
        <w:rPr>
          <w:rFonts w:ascii="Arial" w:hAnsi="Arial" w:cs="Arial"/>
          <w:spacing w:val="-3"/>
          <w:sz w:val="24"/>
          <w:szCs w:val="24"/>
          <w:lang w:val="es-ES_tradnl"/>
        </w:rPr>
        <w:t>,</w:t>
      </w:r>
      <w:r w:rsidR="00051EE0" w:rsidRPr="00CC5C5B">
        <w:rPr>
          <w:rFonts w:ascii="Arial" w:hAnsi="Arial" w:cs="Arial"/>
          <w:spacing w:val="-3"/>
          <w:sz w:val="24"/>
          <w:szCs w:val="24"/>
          <w:lang w:val="es-ES_tradnl"/>
        </w:rPr>
        <w:t xml:space="preserve"> los incidentes no suspenden el proceso</w:t>
      </w:r>
      <w:r w:rsidR="00803E0D" w:rsidRPr="00CC5C5B">
        <w:rPr>
          <w:rFonts w:ascii="Arial" w:hAnsi="Arial" w:cs="Arial"/>
          <w:spacing w:val="-3"/>
          <w:sz w:val="24"/>
          <w:szCs w:val="24"/>
          <w:lang w:val="es-ES_tradnl"/>
        </w:rPr>
        <w:t>, aunque</w:t>
      </w:r>
      <w:r w:rsidR="00051EE0" w:rsidRPr="00CC5C5B">
        <w:rPr>
          <w:rFonts w:ascii="Arial" w:hAnsi="Arial" w:cs="Arial"/>
          <w:spacing w:val="-3"/>
          <w:sz w:val="24"/>
          <w:szCs w:val="24"/>
          <w:lang w:val="es-ES_tradnl"/>
        </w:rPr>
        <w:t xml:space="preserve"> </w:t>
      </w:r>
      <w:r w:rsidR="00C77578" w:rsidRPr="00CC5C5B">
        <w:rPr>
          <w:rFonts w:ascii="Arial" w:hAnsi="Arial" w:cs="Arial"/>
          <w:spacing w:val="-3"/>
          <w:sz w:val="24"/>
          <w:szCs w:val="24"/>
          <w:lang w:val="es-ES_tradnl"/>
        </w:rPr>
        <w:t xml:space="preserve">si frenan </w:t>
      </w:r>
      <w:r w:rsidR="00051EE0" w:rsidRPr="00CC5C5B">
        <w:rPr>
          <w:rFonts w:ascii="Arial" w:hAnsi="Arial" w:cs="Arial"/>
          <w:spacing w:val="-3"/>
          <w:sz w:val="24"/>
          <w:szCs w:val="24"/>
          <w:lang w:val="es-ES_tradnl"/>
        </w:rPr>
        <w:t xml:space="preserve">la </w:t>
      </w:r>
      <w:r w:rsidR="00C77578" w:rsidRPr="00CC5C5B">
        <w:rPr>
          <w:rFonts w:ascii="Arial" w:hAnsi="Arial" w:cs="Arial"/>
          <w:spacing w:val="-3"/>
          <w:sz w:val="24"/>
          <w:szCs w:val="24"/>
          <w:lang w:val="es-ES_tradnl"/>
        </w:rPr>
        <w:t xml:space="preserve">emisión de la </w:t>
      </w:r>
      <w:r w:rsidR="00051EE0" w:rsidRPr="00CC5C5B">
        <w:rPr>
          <w:rFonts w:ascii="Arial" w:hAnsi="Arial" w:cs="Arial"/>
          <w:spacing w:val="-3"/>
          <w:sz w:val="24"/>
          <w:szCs w:val="24"/>
          <w:lang w:val="es-ES_tradnl"/>
        </w:rPr>
        <w:t>sentencia</w:t>
      </w:r>
      <w:r w:rsidR="00C77578" w:rsidRPr="00CC5C5B">
        <w:rPr>
          <w:rFonts w:ascii="Arial" w:hAnsi="Arial" w:cs="Arial"/>
          <w:spacing w:val="-3"/>
          <w:sz w:val="24"/>
          <w:szCs w:val="24"/>
          <w:lang w:val="es-ES_tradnl"/>
        </w:rPr>
        <w:t xml:space="preserve"> y esa norma fue inobservada, acorde con las diligencias obrantes en el cuaderno No.4</w:t>
      </w:r>
      <w:r w:rsidR="00051EE0" w:rsidRPr="00CC5C5B">
        <w:rPr>
          <w:rFonts w:ascii="Arial" w:hAnsi="Arial" w:cs="Arial"/>
          <w:sz w:val="24"/>
          <w:szCs w:val="24"/>
          <w:lang w:val="es-CO"/>
        </w:rPr>
        <w:t>.</w:t>
      </w:r>
    </w:p>
    <w:p w:rsidR="00CC5C5B" w:rsidRPr="00CC5C5B" w:rsidRDefault="00CC5C5B" w:rsidP="00051EE0">
      <w:pPr>
        <w:spacing w:line="360" w:lineRule="auto"/>
        <w:jc w:val="both"/>
        <w:rPr>
          <w:rFonts w:ascii="Arial" w:hAnsi="Arial" w:cs="Arial"/>
          <w:sz w:val="24"/>
          <w:szCs w:val="24"/>
          <w:lang w:val="es-CO"/>
        </w:rPr>
      </w:pPr>
    </w:p>
    <w:p w:rsidR="00051EE0" w:rsidRPr="00CC5C5B" w:rsidRDefault="00CC5C5B" w:rsidP="00051EE0">
      <w:pPr>
        <w:spacing w:line="360" w:lineRule="auto"/>
        <w:jc w:val="both"/>
        <w:rPr>
          <w:rFonts w:ascii="Arial" w:hAnsi="Arial" w:cs="Arial"/>
          <w:sz w:val="24"/>
          <w:szCs w:val="24"/>
          <w:lang w:val="es-CO"/>
        </w:rPr>
      </w:pPr>
      <w:r w:rsidRPr="00CC5C5B">
        <w:rPr>
          <w:rFonts w:ascii="Arial" w:hAnsi="Arial" w:cs="Arial"/>
          <w:spacing w:val="-3"/>
          <w:sz w:val="24"/>
          <w:szCs w:val="24"/>
          <w:u w:val="single"/>
          <w:lang w:val="es-ES_tradnl"/>
        </w:rPr>
        <w:t xml:space="preserve">Finalmente, </w:t>
      </w:r>
      <w:r w:rsidRPr="00CC5C5B">
        <w:rPr>
          <w:rFonts w:ascii="Arial" w:hAnsi="Arial" w:cs="Arial"/>
          <w:sz w:val="24"/>
          <w:szCs w:val="24"/>
          <w:u w:val="single"/>
          <w:lang w:val="es-CO"/>
        </w:rPr>
        <w:t>es extrañ</w:t>
      </w:r>
      <w:r>
        <w:rPr>
          <w:rFonts w:ascii="Arial" w:hAnsi="Arial" w:cs="Arial"/>
          <w:sz w:val="24"/>
          <w:szCs w:val="24"/>
          <w:u w:val="single"/>
          <w:lang w:val="es-CO"/>
        </w:rPr>
        <w:t>a</w:t>
      </w:r>
      <w:r w:rsidRPr="00CC5C5B">
        <w:rPr>
          <w:rFonts w:ascii="Arial" w:hAnsi="Arial" w:cs="Arial"/>
          <w:sz w:val="24"/>
          <w:szCs w:val="24"/>
          <w:u w:val="single"/>
          <w:lang w:val="es-CO"/>
        </w:rPr>
        <w:t xml:space="preserve"> </w:t>
      </w:r>
      <w:r w:rsidRPr="00CC5C5B">
        <w:rPr>
          <w:rFonts w:ascii="Arial" w:hAnsi="Arial" w:cs="Arial"/>
          <w:sz w:val="24"/>
          <w:szCs w:val="24"/>
          <w:u w:val="single"/>
        </w:rPr>
        <w:t>la demora en el trámite del recurso, la impugnación fue radicada el 10-11-2015 (Folio 294, ib.) y la alzada se concede, sin justificación alguna, el 15-03-2016 (Folio 297, ib.)</w:t>
      </w:r>
      <w:r w:rsidRPr="00CC5C5B">
        <w:rPr>
          <w:rFonts w:ascii="Arial" w:hAnsi="Arial" w:cs="Arial"/>
          <w:sz w:val="24"/>
          <w:szCs w:val="24"/>
        </w:rPr>
        <w:t xml:space="preserve">. </w:t>
      </w:r>
    </w:p>
    <w:p w:rsidR="004C7CAB" w:rsidRPr="00CC5C5B" w:rsidRDefault="00B821B0" w:rsidP="001D68DD">
      <w:pPr>
        <w:tabs>
          <w:tab w:val="left" w:pos="-720"/>
        </w:tabs>
        <w:suppressAutoHyphens/>
        <w:spacing w:line="360" w:lineRule="auto"/>
        <w:jc w:val="both"/>
        <w:rPr>
          <w:rFonts w:ascii="Arial" w:hAnsi="Arial" w:cs="Arial"/>
          <w:spacing w:val="-3"/>
          <w:sz w:val="24"/>
          <w:szCs w:val="24"/>
        </w:rPr>
      </w:pPr>
      <w:r w:rsidRPr="00CC5C5B">
        <w:rPr>
          <w:rFonts w:ascii="Arial" w:hAnsi="Arial" w:cs="Arial"/>
          <w:sz w:val="24"/>
          <w:szCs w:val="24"/>
          <w:lang w:val="es-CO"/>
        </w:rPr>
        <w:t xml:space="preserve"> </w:t>
      </w:r>
    </w:p>
    <w:p w:rsidR="00BD71D4" w:rsidRPr="00CC5C5B" w:rsidRDefault="00BD71D4" w:rsidP="00485BA4">
      <w:pPr>
        <w:spacing w:line="360" w:lineRule="auto"/>
        <w:ind w:right="51"/>
        <w:jc w:val="both"/>
        <w:rPr>
          <w:rFonts w:ascii="Arial" w:hAnsi="Arial" w:cs="Arial"/>
          <w:sz w:val="24"/>
          <w:szCs w:val="24"/>
          <w:lang w:val="es-MX"/>
        </w:rPr>
      </w:pPr>
    </w:p>
    <w:p w:rsidR="00485BA4" w:rsidRPr="00CC5C5B" w:rsidRDefault="00485BA4" w:rsidP="00485BA4">
      <w:pPr>
        <w:pStyle w:val="Textopredeterminado"/>
        <w:numPr>
          <w:ilvl w:val="0"/>
          <w:numId w:val="1"/>
        </w:numPr>
        <w:spacing w:line="360" w:lineRule="auto"/>
        <w:jc w:val="both"/>
        <w:textAlignment w:val="baseline"/>
        <w:rPr>
          <w:rFonts w:ascii="Arial" w:hAnsi="Arial" w:cs="Arial"/>
          <w:szCs w:val="24"/>
        </w:rPr>
      </w:pPr>
      <w:r w:rsidRPr="00CC5C5B">
        <w:rPr>
          <w:rFonts w:ascii="Arial" w:hAnsi="Arial" w:cs="Arial"/>
          <w:szCs w:val="24"/>
        </w:rPr>
        <w:t xml:space="preserve">LAS DECISIONES </w:t>
      </w:r>
    </w:p>
    <w:p w:rsidR="00485BA4" w:rsidRPr="00CC5C5B" w:rsidRDefault="00485BA4" w:rsidP="00485BA4">
      <w:pPr>
        <w:pStyle w:val="Textoindependiente"/>
        <w:spacing w:line="360" w:lineRule="auto"/>
        <w:ind w:right="51"/>
        <w:rPr>
          <w:rFonts w:ascii="Arial" w:hAnsi="Arial" w:cs="Arial"/>
          <w:szCs w:val="24"/>
          <w:lang w:val="es-CO"/>
        </w:rPr>
      </w:pPr>
    </w:p>
    <w:p w:rsidR="00485BA4" w:rsidRPr="00CC5C5B" w:rsidRDefault="00485BA4" w:rsidP="00485BA4">
      <w:pPr>
        <w:spacing w:line="360" w:lineRule="auto"/>
        <w:ind w:right="51"/>
        <w:jc w:val="both"/>
        <w:rPr>
          <w:rFonts w:ascii="Arial" w:hAnsi="Arial" w:cs="Arial"/>
          <w:sz w:val="24"/>
          <w:szCs w:val="24"/>
          <w:lang w:val="es-MX"/>
        </w:rPr>
      </w:pPr>
      <w:r w:rsidRPr="00CC5C5B">
        <w:rPr>
          <w:rFonts w:ascii="Arial" w:hAnsi="Arial" w:cs="Arial"/>
          <w:sz w:val="24"/>
          <w:szCs w:val="24"/>
          <w:lang w:val="es-CO"/>
        </w:rPr>
        <w:t xml:space="preserve">En armonía con las premisas expuestas, </w:t>
      </w:r>
      <w:r w:rsidRPr="00CC5C5B">
        <w:rPr>
          <w:rFonts w:ascii="Arial" w:hAnsi="Arial" w:cs="Arial"/>
          <w:sz w:val="24"/>
          <w:szCs w:val="24"/>
        </w:rPr>
        <w:t xml:space="preserve">se declarará la nulidad de lo actuado desde </w:t>
      </w:r>
      <w:r w:rsidR="006200B3" w:rsidRPr="00CC5C5B">
        <w:rPr>
          <w:rFonts w:ascii="Arial" w:hAnsi="Arial" w:cs="Arial"/>
          <w:sz w:val="24"/>
          <w:szCs w:val="24"/>
        </w:rPr>
        <w:t xml:space="preserve">el auto de fecha 12-07-2010 inclusive, </w:t>
      </w:r>
      <w:r w:rsidRPr="00CC5C5B">
        <w:rPr>
          <w:rFonts w:ascii="Arial" w:hAnsi="Arial" w:cs="Arial"/>
          <w:sz w:val="24"/>
          <w:szCs w:val="24"/>
          <w:lang w:val="es-MX"/>
        </w:rPr>
        <w:t>a fin de que en primera sede se enm</w:t>
      </w:r>
      <w:r w:rsidR="00246A2F" w:rsidRPr="00CC5C5B">
        <w:rPr>
          <w:rFonts w:ascii="Arial" w:hAnsi="Arial" w:cs="Arial"/>
          <w:sz w:val="24"/>
          <w:szCs w:val="24"/>
          <w:lang w:val="es-MX"/>
        </w:rPr>
        <w:t xml:space="preserve">iende </w:t>
      </w:r>
      <w:r w:rsidRPr="00CC5C5B">
        <w:rPr>
          <w:rFonts w:ascii="Arial" w:hAnsi="Arial" w:cs="Arial"/>
          <w:sz w:val="24"/>
          <w:szCs w:val="24"/>
          <w:lang w:val="es-MX"/>
        </w:rPr>
        <w:t xml:space="preserve">la actuación, bajo </w:t>
      </w:r>
      <w:r w:rsidR="006200B3" w:rsidRPr="00CC5C5B">
        <w:rPr>
          <w:rFonts w:ascii="Arial" w:hAnsi="Arial" w:cs="Arial"/>
          <w:sz w:val="24"/>
          <w:szCs w:val="24"/>
          <w:lang w:val="es-MX"/>
        </w:rPr>
        <w:t>los aspectos</w:t>
      </w:r>
      <w:r w:rsidRPr="00CC5C5B">
        <w:rPr>
          <w:rFonts w:ascii="Arial" w:hAnsi="Arial" w:cs="Arial"/>
          <w:sz w:val="24"/>
          <w:szCs w:val="24"/>
          <w:lang w:val="es-MX"/>
        </w:rPr>
        <w:t xml:space="preserve"> </w:t>
      </w:r>
      <w:r w:rsidR="006200B3" w:rsidRPr="00CC5C5B">
        <w:rPr>
          <w:rFonts w:ascii="Arial" w:hAnsi="Arial" w:cs="Arial"/>
          <w:sz w:val="24"/>
          <w:szCs w:val="24"/>
          <w:lang w:val="es-MX"/>
        </w:rPr>
        <w:t xml:space="preserve">que </w:t>
      </w:r>
      <w:r w:rsidRPr="00CC5C5B">
        <w:rPr>
          <w:rFonts w:ascii="Arial" w:hAnsi="Arial" w:cs="Arial"/>
          <w:sz w:val="24"/>
          <w:szCs w:val="24"/>
          <w:lang w:val="es-MX"/>
        </w:rPr>
        <w:t>acá se ha</w:t>
      </w:r>
      <w:r w:rsidR="006200B3" w:rsidRPr="00CC5C5B">
        <w:rPr>
          <w:rFonts w:ascii="Arial" w:hAnsi="Arial" w:cs="Arial"/>
          <w:sz w:val="24"/>
          <w:szCs w:val="24"/>
          <w:lang w:val="es-MX"/>
        </w:rPr>
        <w:t>n</w:t>
      </w:r>
      <w:r w:rsidRPr="00CC5C5B">
        <w:rPr>
          <w:rFonts w:ascii="Arial" w:hAnsi="Arial" w:cs="Arial"/>
          <w:sz w:val="24"/>
          <w:szCs w:val="24"/>
          <w:lang w:val="es-MX"/>
        </w:rPr>
        <w:t xml:space="preserve"> puesto de presente. </w:t>
      </w:r>
    </w:p>
    <w:p w:rsidR="00485BA4" w:rsidRPr="00CC5C5B" w:rsidRDefault="00485BA4" w:rsidP="00485BA4">
      <w:pPr>
        <w:pStyle w:val="Textoindependiente"/>
        <w:spacing w:line="360" w:lineRule="auto"/>
        <w:ind w:right="51"/>
        <w:rPr>
          <w:rFonts w:ascii="Arial" w:hAnsi="Arial" w:cs="Arial"/>
          <w:szCs w:val="24"/>
        </w:rPr>
      </w:pPr>
    </w:p>
    <w:p w:rsidR="00485BA4" w:rsidRPr="00CC5C5B" w:rsidRDefault="00485BA4" w:rsidP="00485BA4">
      <w:pPr>
        <w:tabs>
          <w:tab w:val="left" w:pos="-720"/>
        </w:tabs>
        <w:suppressAutoHyphens/>
        <w:spacing w:line="360" w:lineRule="auto"/>
        <w:jc w:val="both"/>
        <w:rPr>
          <w:rFonts w:ascii="Arial" w:hAnsi="Arial" w:cs="Arial"/>
          <w:spacing w:val="-3"/>
          <w:sz w:val="24"/>
          <w:szCs w:val="24"/>
        </w:rPr>
      </w:pPr>
      <w:r w:rsidRPr="00CC5C5B">
        <w:rPr>
          <w:rFonts w:ascii="Arial" w:hAnsi="Arial" w:cs="Arial"/>
          <w:sz w:val="24"/>
          <w:szCs w:val="24"/>
        </w:rPr>
        <w:t xml:space="preserve">Considerando suficientes los argumentos expuestos, el </w:t>
      </w:r>
      <w:r w:rsidRPr="00CC5C5B">
        <w:rPr>
          <w:rFonts w:ascii="Arial" w:hAnsi="Arial" w:cs="Arial"/>
          <w:smallCaps/>
          <w:sz w:val="24"/>
          <w:szCs w:val="24"/>
        </w:rPr>
        <w:t>Tribunal Superior del Distrito Judicial de Pereira, Sala Unitaria</w:t>
      </w:r>
      <w:r w:rsidRPr="00CC5C5B">
        <w:rPr>
          <w:rFonts w:ascii="Arial" w:hAnsi="Arial" w:cs="Arial"/>
          <w:sz w:val="24"/>
          <w:szCs w:val="24"/>
        </w:rPr>
        <w:t>,</w:t>
      </w:r>
    </w:p>
    <w:p w:rsidR="00485BA4" w:rsidRPr="00CC5C5B" w:rsidRDefault="00485BA4" w:rsidP="00485BA4">
      <w:pPr>
        <w:tabs>
          <w:tab w:val="left" w:pos="-720"/>
        </w:tabs>
        <w:suppressAutoHyphens/>
        <w:spacing w:line="360" w:lineRule="auto"/>
        <w:jc w:val="center"/>
        <w:rPr>
          <w:rFonts w:ascii="Arial" w:hAnsi="Arial" w:cs="Arial"/>
          <w:smallCaps/>
          <w:sz w:val="24"/>
          <w:szCs w:val="24"/>
        </w:rPr>
      </w:pPr>
    </w:p>
    <w:p w:rsidR="00485BA4" w:rsidRPr="00CC5C5B" w:rsidRDefault="00485BA4" w:rsidP="00485BA4">
      <w:pPr>
        <w:tabs>
          <w:tab w:val="left" w:pos="-720"/>
        </w:tabs>
        <w:suppressAutoHyphens/>
        <w:spacing w:line="360" w:lineRule="auto"/>
        <w:jc w:val="center"/>
        <w:rPr>
          <w:rFonts w:ascii="Arial" w:hAnsi="Arial" w:cs="Arial"/>
          <w:smallCaps/>
          <w:sz w:val="24"/>
          <w:szCs w:val="24"/>
        </w:rPr>
      </w:pPr>
      <w:r w:rsidRPr="00CC5C5B">
        <w:rPr>
          <w:rFonts w:ascii="Arial" w:hAnsi="Arial" w:cs="Arial"/>
          <w:smallCaps/>
          <w:sz w:val="24"/>
          <w:szCs w:val="24"/>
        </w:rPr>
        <w:t>R e s u e l v e,</w:t>
      </w:r>
    </w:p>
    <w:p w:rsidR="00485BA4" w:rsidRPr="00CC5C5B" w:rsidRDefault="00485BA4" w:rsidP="00485BA4">
      <w:pPr>
        <w:tabs>
          <w:tab w:val="left" w:pos="-720"/>
        </w:tabs>
        <w:suppressAutoHyphens/>
        <w:spacing w:line="360" w:lineRule="auto"/>
        <w:jc w:val="center"/>
        <w:rPr>
          <w:rFonts w:ascii="Arial" w:hAnsi="Arial" w:cs="Arial"/>
          <w:smallCaps/>
          <w:sz w:val="24"/>
          <w:szCs w:val="24"/>
        </w:rPr>
      </w:pPr>
    </w:p>
    <w:p w:rsidR="00485BA4" w:rsidRPr="00CC5C5B" w:rsidRDefault="00485BA4" w:rsidP="00485BA4">
      <w:pPr>
        <w:pStyle w:val="Textopredeterminado"/>
        <w:numPr>
          <w:ilvl w:val="0"/>
          <w:numId w:val="9"/>
        </w:numPr>
        <w:spacing w:line="360" w:lineRule="auto"/>
        <w:jc w:val="both"/>
        <w:textAlignment w:val="baseline"/>
        <w:rPr>
          <w:rFonts w:ascii="Arial" w:hAnsi="Arial" w:cs="Arial"/>
          <w:szCs w:val="24"/>
        </w:rPr>
      </w:pPr>
      <w:r w:rsidRPr="00CC5C5B">
        <w:rPr>
          <w:rFonts w:ascii="Arial" w:hAnsi="Arial" w:cs="Arial"/>
          <w:spacing w:val="-3"/>
          <w:szCs w:val="24"/>
        </w:rPr>
        <w:t xml:space="preserve">DECLARAR </w:t>
      </w:r>
      <w:r w:rsidRPr="00CC5C5B">
        <w:rPr>
          <w:rFonts w:ascii="Arial" w:hAnsi="Arial" w:cs="Arial"/>
          <w:szCs w:val="24"/>
        </w:rPr>
        <w:t>la nulidad de lo actuado en este</w:t>
      </w:r>
      <w:r w:rsidR="006200B3" w:rsidRPr="00CC5C5B">
        <w:rPr>
          <w:rFonts w:ascii="Arial" w:hAnsi="Arial" w:cs="Arial"/>
          <w:szCs w:val="24"/>
        </w:rPr>
        <w:t xml:space="preserve"> proceso </w:t>
      </w:r>
      <w:r w:rsidR="009A6AD1" w:rsidRPr="00CC5C5B">
        <w:rPr>
          <w:rFonts w:ascii="Arial" w:hAnsi="Arial" w:cs="Arial"/>
          <w:szCs w:val="24"/>
        </w:rPr>
        <w:t xml:space="preserve">desde </w:t>
      </w:r>
      <w:r w:rsidR="006200B3" w:rsidRPr="00CC5C5B">
        <w:rPr>
          <w:rFonts w:ascii="Arial" w:hAnsi="Arial" w:cs="Arial"/>
          <w:szCs w:val="24"/>
        </w:rPr>
        <w:t>el proveído de fecha 12-07-2010</w:t>
      </w:r>
      <w:r w:rsidRPr="00CC5C5B">
        <w:rPr>
          <w:rFonts w:ascii="Arial" w:hAnsi="Arial" w:cs="Arial"/>
          <w:szCs w:val="24"/>
        </w:rPr>
        <w:t>, inclusive.</w:t>
      </w:r>
    </w:p>
    <w:p w:rsidR="00485BA4" w:rsidRPr="00CC5C5B" w:rsidRDefault="00485BA4" w:rsidP="00485BA4">
      <w:pPr>
        <w:spacing w:line="360" w:lineRule="auto"/>
        <w:ind w:left="360"/>
        <w:rPr>
          <w:rFonts w:ascii="Arial" w:hAnsi="Arial" w:cs="Arial"/>
          <w:sz w:val="24"/>
          <w:szCs w:val="24"/>
        </w:rPr>
      </w:pPr>
    </w:p>
    <w:p w:rsidR="00485BA4" w:rsidRPr="00CC5C5B" w:rsidRDefault="00485BA4" w:rsidP="006200B3">
      <w:pPr>
        <w:pStyle w:val="Textopredeterminado"/>
        <w:numPr>
          <w:ilvl w:val="0"/>
          <w:numId w:val="9"/>
        </w:numPr>
        <w:spacing w:line="360" w:lineRule="auto"/>
        <w:jc w:val="both"/>
        <w:textAlignment w:val="baseline"/>
        <w:rPr>
          <w:rFonts w:ascii="Arial" w:hAnsi="Arial" w:cs="Arial"/>
          <w:spacing w:val="-3"/>
          <w:szCs w:val="24"/>
        </w:rPr>
      </w:pPr>
      <w:r w:rsidRPr="00CC5C5B">
        <w:rPr>
          <w:rFonts w:ascii="Arial" w:hAnsi="Arial" w:cs="Arial"/>
          <w:spacing w:val="-3"/>
          <w:szCs w:val="24"/>
        </w:rPr>
        <w:lastRenderedPageBreak/>
        <w:t xml:space="preserve">DEVOLVER el expediente al Juzgado </w:t>
      </w:r>
      <w:r w:rsidR="006200B3" w:rsidRPr="00CC5C5B">
        <w:rPr>
          <w:rFonts w:ascii="Arial" w:hAnsi="Arial" w:cs="Arial"/>
          <w:spacing w:val="-3"/>
          <w:szCs w:val="24"/>
        </w:rPr>
        <w:t xml:space="preserve">Primero </w:t>
      </w:r>
      <w:r w:rsidRPr="00CC5C5B">
        <w:rPr>
          <w:rFonts w:ascii="Arial" w:hAnsi="Arial" w:cs="Arial"/>
          <w:spacing w:val="-3"/>
          <w:szCs w:val="24"/>
        </w:rPr>
        <w:t>Civil del Circuito de esta ciudad, para que se rehaga la actuación viciada, con estricto acatamiento de los términos anotados en esta providencia.</w:t>
      </w:r>
    </w:p>
    <w:p w:rsidR="00DB2868" w:rsidRPr="00901630" w:rsidRDefault="00DB2868" w:rsidP="00DB2868">
      <w:pPr>
        <w:suppressAutoHyphens/>
        <w:spacing w:line="360" w:lineRule="auto"/>
        <w:jc w:val="center"/>
        <w:rPr>
          <w:rFonts w:ascii="Arial" w:hAnsi="Arial" w:cs="Arial"/>
          <w:smallCaps/>
          <w:lang w:val="es-CO"/>
        </w:rPr>
      </w:pPr>
      <w:r w:rsidRPr="00901630">
        <w:rPr>
          <w:rFonts w:ascii="Arial" w:hAnsi="Arial" w:cs="Arial"/>
          <w:smallCaps/>
          <w:sz w:val="24"/>
          <w:szCs w:val="24"/>
          <w:lang w:val="es-CO"/>
        </w:rPr>
        <w:t>Notifíquese</w:t>
      </w:r>
      <w:r w:rsidRPr="00901630">
        <w:rPr>
          <w:rFonts w:ascii="Arial" w:hAnsi="Arial" w:cs="Arial"/>
          <w:smallCaps/>
          <w:lang w:val="es-CO"/>
        </w:rPr>
        <w:t>,</w:t>
      </w:r>
    </w:p>
    <w:p w:rsidR="00DB2868" w:rsidRPr="00901630" w:rsidRDefault="00DB2868" w:rsidP="00DB2868">
      <w:pPr>
        <w:pStyle w:val="Textoindependiente"/>
        <w:spacing w:line="360" w:lineRule="auto"/>
        <w:jc w:val="center"/>
        <w:rPr>
          <w:spacing w:val="20"/>
          <w:w w:val="150"/>
          <w:sz w:val="22"/>
          <w:szCs w:val="22"/>
          <w:lang w:val="es-CO"/>
        </w:rPr>
      </w:pPr>
    </w:p>
    <w:p w:rsidR="003E1A30" w:rsidRPr="00901630" w:rsidRDefault="003E1A30" w:rsidP="00DB2868">
      <w:pPr>
        <w:pStyle w:val="Textoindependiente"/>
        <w:spacing w:line="360" w:lineRule="auto"/>
        <w:jc w:val="center"/>
        <w:rPr>
          <w:spacing w:val="20"/>
          <w:w w:val="150"/>
          <w:sz w:val="22"/>
          <w:szCs w:val="22"/>
          <w:lang w:val="es-CO"/>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C77578" w:rsidRDefault="00111F9C" w:rsidP="00951CD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s-CO"/>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901630">
        <w:rPr>
          <w:rFonts w:ascii="Arial" w:hAnsi="Arial" w:cs="Arial"/>
          <w:spacing w:val="20"/>
          <w:w w:val="150"/>
          <w:sz w:val="18"/>
          <w:szCs w:val="22"/>
          <w:lang w:val="es-CO"/>
        </w:rPr>
        <w:t xml:space="preserve"> </w:t>
      </w:r>
    </w:p>
    <w:p w:rsidR="00DB2868" w:rsidRPr="003431F8" w:rsidRDefault="00803E0D" w:rsidP="003431F8">
      <w:pPr>
        <w:pStyle w:val="Textoindependiente"/>
        <w:spacing w:line="360" w:lineRule="auto"/>
        <w:jc w:val="right"/>
        <w:rPr>
          <w:rFonts w:ascii="Arial" w:hAnsi="Arial" w:cs="Arial"/>
          <w:spacing w:val="20"/>
          <w:w w:val="150"/>
          <w:sz w:val="18"/>
          <w:szCs w:val="22"/>
          <w:lang w:val="es-CO"/>
        </w:rPr>
      </w:pPr>
      <w:r w:rsidRPr="00901630">
        <w:rPr>
          <w:rFonts w:ascii="Arial" w:hAnsi="Arial"/>
          <w:i/>
          <w:caps/>
          <w:spacing w:val="20"/>
          <w:w w:val="150"/>
          <w:sz w:val="8"/>
          <w:szCs w:val="12"/>
          <w:lang w:val="es-CO"/>
        </w:rPr>
        <w:t>dgh / DGD/ 201</w:t>
      </w:r>
      <w:r>
        <w:rPr>
          <w:rFonts w:ascii="Arial" w:hAnsi="Arial"/>
          <w:i/>
          <w:caps/>
          <w:spacing w:val="20"/>
          <w:w w:val="150"/>
          <w:sz w:val="8"/>
          <w:szCs w:val="12"/>
          <w:lang w:val="es-CO"/>
        </w:rPr>
        <w:t>6</w:t>
      </w:r>
      <w:r w:rsidR="00C77578" w:rsidRPr="002F0F02">
        <w:rPr>
          <w:noProof/>
        </w:rPr>
        <mc:AlternateContent>
          <mc:Choice Requires="wps">
            <w:drawing>
              <wp:anchor distT="0" distB="0" distL="114300" distR="114300" simplePos="0" relativeHeight="251660288" behindDoc="0" locked="0" layoutInCell="1" allowOverlap="1" wp14:anchorId="6EA23CBE" wp14:editId="61014021">
                <wp:simplePos x="0" y="0"/>
                <wp:positionH relativeFrom="margin">
                  <wp:align>center</wp:align>
                </wp:positionH>
                <wp:positionV relativeFrom="paragraph">
                  <wp:posOffset>168275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3CBE" id="Rectangle 7" o:spid="_x0000_s1026" style="position:absolute;margin-left:0;margin-top:13.25pt;width:210.4pt;height:10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" strokeweight="2.25pt">
                <v:stroke linestyle="thickThin"/>
                <v:textbo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v:textbox>
                <w10:wrap anchorx="margin"/>
              </v:rect>
            </w:pict>
          </mc:Fallback>
        </mc:AlternateContent>
      </w:r>
    </w:p>
    <w:p w:rsidR="00F34085" w:rsidRDefault="00F34085">
      <w:pPr>
        <w:spacing w:after="200" w:line="276" w:lineRule="auto"/>
        <w:rPr>
          <w:rFonts w:ascii="Arial" w:hAnsi="Arial"/>
          <w:i/>
          <w:caps/>
          <w:spacing w:val="20"/>
          <w:w w:val="150"/>
          <w:sz w:val="8"/>
          <w:szCs w:val="12"/>
          <w:lang w:val="es-CO"/>
        </w:rPr>
      </w:pPr>
      <w:bookmarkStart w:id="0" w:name="_GoBack"/>
      <w:bookmarkEnd w:id="0"/>
    </w:p>
    <w:sectPr w:rsidR="00F34085" w:rsidSect="00BE392D">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06" w:rsidRDefault="00C53506" w:rsidP="009A1240">
      <w:r>
        <w:separator/>
      </w:r>
    </w:p>
  </w:endnote>
  <w:endnote w:type="continuationSeparator" w:id="0">
    <w:p w:rsidR="00C53506" w:rsidRDefault="00C53506"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Default="00533A40"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533A40" w:rsidRDefault="00533A40" w:rsidP="00045CE3">
    <w:pPr>
      <w:pStyle w:val="Piedepgina"/>
      <w:spacing w:line="360" w:lineRule="auto"/>
      <w:jc w:val="right"/>
      <w:rPr>
        <w:rFonts w:ascii="Arial" w:hAnsi="Arial" w:cs="Arial"/>
        <w:spacing w:val="20"/>
        <w:w w:val="200"/>
        <w:sz w:val="14"/>
        <w:szCs w:val="10"/>
        <w:lang w:val="es-CO"/>
      </w:rPr>
    </w:pPr>
  </w:p>
  <w:p w:rsidR="00533A40" w:rsidRPr="003E18D8" w:rsidRDefault="00533A40"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533A40" w:rsidRDefault="00533A40"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06" w:rsidRDefault="00C53506" w:rsidP="009A1240">
      <w:r>
        <w:separator/>
      </w:r>
    </w:p>
  </w:footnote>
  <w:footnote w:type="continuationSeparator" w:id="0">
    <w:p w:rsidR="00C53506" w:rsidRDefault="00C53506" w:rsidP="009A1240">
      <w:r>
        <w:continuationSeparator/>
      </w:r>
    </w:p>
  </w:footnote>
  <w:footnote w:id="1">
    <w:p w:rsidR="00533A40" w:rsidRPr="003A4792" w:rsidRDefault="00533A40" w:rsidP="00271744">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CANOSA TORRADO, Fernando. Las nulidades en el derecho procesal civil, sexta edición, Ediciones Doctrina y ley, 2009, p.23.</w:t>
      </w:r>
    </w:p>
  </w:footnote>
  <w:footnote w:id="2">
    <w:p w:rsidR="00533A40" w:rsidRPr="003A4792" w:rsidRDefault="00533A40" w:rsidP="00271744">
      <w:pPr>
        <w:pStyle w:val="Textonotapie"/>
        <w:jc w:val="both"/>
        <w:rPr>
          <w:rFonts w:asciiTheme="minorHAnsi" w:hAnsiTheme="minorHAnsi"/>
        </w:rPr>
      </w:pPr>
      <w:r w:rsidRPr="003A4792">
        <w:rPr>
          <w:rStyle w:val="Refdenotaalpie"/>
          <w:rFonts w:asciiTheme="minorHAnsi" w:hAnsiTheme="minorHAnsi" w:cs="Calibri"/>
          <w:szCs w:val="18"/>
          <w:lang w:val="es-CO"/>
        </w:rPr>
        <w:footnoteRef/>
      </w:r>
      <w:r w:rsidRPr="003A4792">
        <w:rPr>
          <w:rFonts w:asciiTheme="minorHAnsi" w:hAnsiTheme="minorHAnsi" w:cs="Calibri"/>
          <w:szCs w:val="18"/>
          <w:lang w:val="es-CO"/>
        </w:rPr>
        <w:t xml:space="preserve"> LÓPEZ BLANCO, Hernán Fabio. Procedimiento civil, tomo I, parte general, 11ª edición,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2012, p.913 ss.</w:t>
      </w:r>
    </w:p>
  </w:footnote>
  <w:footnote w:id="3">
    <w:p w:rsidR="00533A40" w:rsidRPr="003A4792" w:rsidRDefault="00533A40" w:rsidP="00271744">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AZULA CAMACHO, Jaime. Manual de derecho procesal civil, tomo II, cuarta edición, editorial Temis, Bogotá D.C., 1994, p.303.</w:t>
      </w:r>
    </w:p>
  </w:footnote>
  <w:footnote w:id="4">
    <w:p w:rsidR="00533A40" w:rsidRPr="003A4792" w:rsidRDefault="00533A40" w:rsidP="00271744">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ROJAS GÓMEZ, Miguel Enrique. El proceso civil colombiano, parte general, Universidad Externado de Colombia, 1999, Bogotá DC, p.178.</w:t>
      </w:r>
    </w:p>
  </w:footnote>
  <w:footnote w:id="5">
    <w:p w:rsidR="00533A40" w:rsidRPr="003A4792" w:rsidRDefault="00533A40" w:rsidP="00271744">
      <w:pPr>
        <w:pStyle w:val="Textonotapie"/>
        <w:jc w:val="both"/>
        <w:rPr>
          <w:rFonts w:asciiTheme="minorHAnsi" w:hAnsiTheme="minorHAnsi"/>
        </w:rPr>
      </w:pPr>
      <w:r w:rsidRPr="003A4792">
        <w:rPr>
          <w:rStyle w:val="Refdenotaalpie"/>
          <w:rFonts w:asciiTheme="minorHAnsi" w:hAnsiTheme="minorHAnsi"/>
        </w:rPr>
        <w:footnoteRef/>
      </w:r>
      <w:r w:rsidRPr="003A4792">
        <w:rPr>
          <w:rFonts w:asciiTheme="minorHAnsi" w:hAnsiTheme="minorHAnsi"/>
        </w:rPr>
        <w:t xml:space="preserve"> </w:t>
      </w:r>
      <w:r w:rsidRPr="003A4792">
        <w:rPr>
          <w:rFonts w:asciiTheme="minorHAnsi" w:hAnsiTheme="minorHAnsi" w:cs="Calibri"/>
          <w:lang w:val="es-CO"/>
        </w:rPr>
        <w:t>SANABRIA SANTOS, Henry. Nulidades en el proceso civil, Universidad Externado de Colombia, 2ª edición, Bogotá DC, 2011, p.124.</w:t>
      </w:r>
    </w:p>
  </w:footnote>
  <w:footnote w:id="6">
    <w:p w:rsidR="00533A40" w:rsidRPr="003A4792" w:rsidRDefault="00533A40" w:rsidP="00271744">
      <w:pPr>
        <w:pStyle w:val="Textonotapie"/>
        <w:jc w:val="both"/>
        <w:rPr>
          <w:rFonts w:asciiTheme="minorHAnsi" w:hAnsiTheme="minorHAnsi"/>
          <w:lang w:val="es-CO"/>
        </w:rPr>
      </w:pPr>
      <w:r w:rsidRPr="003A4792">
        <w:rPr>
          <w:rStyle w:val="Refdenotaalpie"/>
          <w:rFonts w:asciiTheme="minorHAnsi" w:hAnsiTheme="minorHAnsi"/>
        </w:rPr>
        <w:footnoteRef/>
      </w:r>
      <w:r w:rsidRPr="003A4792">
        <w:rPr>
          <w:rFonts w:asciiTheme="minorHAnsi" w:hAnsiTheme="minorHAnsi"/>
        </w:rPr>
        <w:t xml:space="preserve"> </w:t>
      </w:r>
      <w:r w:rsidRPr="003A4792">
        <w:rPr>
          <w:rFonts w:asciiTheme="minorHAnsi" w:hAnsiTheme="minorHAnsi" w:cs="Calibri"/>
        </w:rPr>
        <w:t xml:space="preserve">INSTITUTO </w:t>
      </w:r>
      <w:r>
        <w:rPr>
          <w:rFonts w:asciiTheme="minorHAnsi" w:hAnsiTheme="minorHAnsi" w:cs="Calibri"/>
        </w:rPr>
        <w:t>COLOMBIANO DE DERECHO PROCESAL</w:t>
      </w:r>
      <w:r w:rsidRPr="003A4792">
        <w:rPr>
          <w:rFonts w:asciiTheme="minorHAnsi" w:hAnsiTheme="minorHAnsi" w:cs="Calibri"/>
        </w:rPr>
        <w:t xml:space="preserve">. </w:t>
      </w:r>
      <w:r>
        <w:rPr>
          <w:rFonts w:asciiTheme="minorHAnsi" w:hAnsiTheme="minorHAnsi" w:cs="Calibri"/>
        </w:rPr>
        <w:t>Código General del Proceso</w:t>
      </w:r>
      <w:r w:rsidRPr="003A4792">
        <w:rPr>
          <w:rFonts w:asciiTheme="minorHAnsi" w:hAnsiTheme="minorHAnsi" w:cs="Calibri"/>
          <w:lang w:val="es-CO"/>
        </w:rPr>
        <w:t xml:space="preserve">, </w:t>
      </w:r>
      <w:r>
        <w:rPr>
          <w:rFonts w:asciiTheme="minorHAnsi" w:hAnsiTheme="minorHAnsi" w:cs="Calibri"/>
          <w:lang w:val="es-CO"/>
        </w:rPr>
        <w:t>Henry Sanabria Santos</w:t>
      </w:r>
      <w:r w:rsidRPr="003A4792">
        <w:rPr>
          <w:rFonts w:asciiTheme="minorHAnsi" w:hAnsiTheme="minorHAnsi" w:cs="Calibri"/>
          <w:lang w:val="es-CO"/>
        </w:rPr>
        <w:t>,</w:t>
      </w:r>
      <w:r>
        <w:rPr>
          <w:rFonts w:asciiTheme="minorHAnsi" w:hAnsiTheme="minorHAnsi" w:cs="Calibri"/>
          <w:lang w:val="es-CO"/>
        </w:rPr>
        <w:t xml:space="preserve"> 1ª edición,</w:t>
      </w:r>
      <w:r w:rsidRPr="003A4792">
        <w:rPr>
          <w:rFonts w:asciiTheme="minorHAnsi" w:hAnsiTheme="minorHAnsi" w:cs="Calibri"/>
          <w:lang w:val="es-CO"/>
        </w:rPr>
        <w:t xml:space="preserve"> </w:t>
      </w:r>
      <w:r>
        <w:rPr>
          <w:rFonts w:asciiTheme="minorHAnsi" w:hAnsiTheme="minorHAnsi" w:cs="Calibri"/>
          <w:lang w:val="es-CO"/>
        </w:rPr>
        <w:t>Impresor Panamericana Formas e Impresos SAS</w:t>
      </w:r>
      <w:r w:rsidRPr="003A4792">
        <w:rPr>
          <w:rFonts w:asciiTheme="minorHAnsi" w:hAnsiTheme="minorHAnsi" w:cs="Calibri"/>
          <w:lang w:val="es-CO"/>
        </w:rPr>
        <w:t>, 20</w:t>
      </w:r>
      <w:r>
        <w:rPr>
          <w:rFonts w:asciiTheme="minorHAnsi" w:hAnsiTheme="minorHAnsi" w:cs="Calibri"/>
          <w:lang w:val="es-CO"/>
        </w:rPr>
        <w:t>14</w:t>
      </w:r>
      <w:r w:rsidRPr="003A4792">
        <w:rPr>
          <w:rFonts w:asciiTheme="minorHAnsi" w:hAnsiTheme="minorHAnsi" w:cs="Calibri"/>
          <w:lang w:val="es-CO"/>
        </w:rPr>
        <w:t>, p.</w:t>
      </w:r>
      <w:r>
        <w:rPr>
          <w:rFonts w:asciiTheme="minorHAnsi" w:hAnsiTheme="minorHAnsi" w:cs="Calibri"/>
          <w:lang w:val="es-CO"/>
        </w:rPr>
        <w:t>258.</w:t>
      </w:r>
    </w:p>
  </w:footnote>
  <w:footnote w:id="7">
    <w:p w:rsidR="00533A40" w:rsidRPr="003A4792" w:rsidRDefault="00533A40" w:rsidP="00271744">
      <w:pPr>
        <w:pStyle w:val="Textonotapie"/>
        <w:jc w:val="both"/>
        <w:rPr>
          <w:rFonts w:asciiTheme="minorHAnsi" w:hAnsiTheme="minorHAnsi"/>
        </w:rPr>
      </w:pPr>
      <w:r w:rsidRPr="003A4792">
        <w:rPr>
          <w:rStyle w:val="Refdenotaalpie"/>
          <w:rFonts w:asciiTheme="minorHAnsi" w:hAnsiTheme="minorHAnsi" w:cs="Calibri"/>
          <w:lang w:val="es-CO"/>
        </w:rPr>
        <w:footnoteRef/>
      </w:r>
      <w:r w:rsidRPr="003A4792">
        <w:rPr>
          <w:rFonts w:asciiTheme="minorHAnsi" w:hAnsiTheme="minorHAnsi" w:cs="Calibri"/>
          <w:lang w:val="es-CO"/>
        </w:rPr>
        <w:t xml:space="preserve"> CANOSA TORRADO, Fernando, ob. cit., p.19 y ss.</w:t>
      </w:r>
    </w:p>
  </w:footnote>
  <w:footnote w:id="8">
    <w:p w:rsidR="00533A40" w:rsidRPr="003A4792" w:rsidRDefault="00533A40" w:rsidP="00271744">
      <w:pPr>
        <w:pStyle w:val="Textonotapie"/>
        <w:jc w:val="both"/>
        <w:rPr>
          <w:rFonts w:asciiTheme="minorHAnsi" w:hAnsiTheme="minorHAnsi" w:cs="Arial"/>
          <w:lang w:val="es-CO"/>
        </w:rPr>
      </w:pPr>
      <w:r w:rsidRPr="003A4792">
        <w:rPr>
          <w:rStyle w:val="Refdenotaalpie"/>
          <w:rFonts w:asciiTheme="minorHAnsi" w:hAnsiTheme="minorHAnsi" w:cs="Arial"/>
        </w:rPr>
        <w:footnoteRef/>
      </w:r>
      <w:r w:rsidRPr="003A4792">
        <w:rPr>
          <w:rFonts w:asciiTheme="minorHAnsi" w:hAnsiTheme="minorHAnsi" w:cs="Arial"/>
        </w:rPr>
        <w:t xml:space="preserve"> </w:t>
      </w:r>
      <w:r w:rsidRPr="003A4792">
        <w:rPr>
          <w:rFonts w:asciiTheme="minorHAnsi" w:hAnsiTheme="minorHAnsi"/>
          <w:lang w:val="es-CO"/>
        </w:rPr>
        <w:t xml:space="preserve">CORTE SUPREMA DE JUSTICIA, Sala de Casación Civil. Sentencia del 11-12-2012, MP: Jesús </w:t>
      </w:r>
      <w:proofErr w:type="spellStart"/>
      <w:r w:rsidRPr="003A4792">
        <w:rPr>
          <w:rFonts w:asciiTheme="minorHAnsi" w:hAnsiTheme="minorHAnsi"/>
          <w:lang w:val="es-CO"/>
        </w:rPr>
        <w:t>Vall</w:t>
      </w:r>
      <w:proofErr w:type="spellEnd"/>
      <w:r w:rsidRPr="003A4792">
        <w:rPr>
          <w:rFonts w:asciiTheme="minorHAnsi" w:hAnsiTheme="minorHAnsi"/>
          <w:lang w:val="es-CO"/>
        </w:rPr>
        <w:t xml:space="preserve"> de </w:t>
      </w:r>
      <w:proofErr w:type="spellStart"/>
      <w:r w:rsidRPr="003A4792">
        <w:rPr>
          <w:rFonts w:asciiTheme="minorHAnsi" w:hAnsiTheme="minorHAnsi"/>
          <w:lang w:val="es-CO"/>
        </w:rPr>
        <w:t>Rutén</w:t>
      </w:r>
      <w:proofErr w:type="spellEnd"/>
      <w:r w:rsidRPr="003A4792">
        <w:rPr>
          <w:rFonts w:asciiTheme="minorHAnsi" w:hAnsiTheme="minorHAnsi"/>
          <w:lang w:val="es-CO"/>
        </w:rPr>
        <w:t xml:space="preserve"> Ruiz, expediente No.52001-3103-001-2007-00046-01.</w:t>
      </w:r>
    </w:p>
  </w:footnote>
  <w:footnote w:id="9">
    <w:p w:rsidR="00533A40" w:rsidRPr="0022046F" w:rsidRDefault="00533A40" w:rsidP="0022046F">
      <w:pPr>
        <w:pStyle w:val="Default"/>
        <w:jc w:val="both"/>
        <w:rPr>
          <w:rFonts w:asciiTheme="minorHAnsi" w:hAnsiTheme="minorHAnsi" w:cstheme="minorHAnsi"/>
          <w:sz w:val="20"/>
        </w:rPr>
      </w:pPr>
      <w:r w:rsidRPr="0022046F">
        <w:rPr>
          <w:rStyle w:val="Refdenotaalpie"/>
          <w:rFonts w:asciiTheme="minorHAnsi" w:hAnsiTheme="minorHAnsi" w:cstheme="minorHAnsi"/>
          <w:sz w:val="20"/>
        </w:rPr>
        <w:footnoteRef/>
      </w:r>
      <w:r w:rsidRPr="0022046F">
        <w:rPr>
          <w:rFonts w:asciiTheme="minorHAnsi" w:hAnsiTheme="minorHAnsi" w:cstheme="minorHAnsi"/>
          <w:sz w:val="20"/>
        </w:rPr>
        <w:t xml:space="preserve"> CORTE SUPREMA DE JUSTICIA, Sala de Casación Civil. Sentencia del 01-03-2012, MP: Jaime Alberto </w:t>
      </w:r>
      <w:proofErr w:type="spellStart"/>
      <w:r w:rsidRPr="0022046F">
        <w:rPr>
          <w:rFonts w:asciiTheme="minorHAnsi" w:hAnsiTheme="minorHAnsi" w:cstheme="minorHAnsi"/>
          <w:sz w:val="20"/>
        </w:rPr>
        <w:t>Arrubla</w:t>
      </w:r>
      <w:proofErr w:type="spellEnd"/>
      <w:r w:rsidRPr="0022046F">
        <w:rPr>
          <w:rFonts w:asciiTheme="minorHAnsi" w:hAnsiTheme="minorHAnsi" w:cstheme="minorHAnsi"/>
          <w:sz w:val="20"/>
        </w:rPr>
        <w:t xml:space="preserve"> </w:t>
      </w:r>
      <w:proofErr w:type="spellStart"/>
      <w:r w:rsidRPr="0022046F">
        <w:rPr>
          <w:rFonts w:asciiTheme="minorHAnsi" w:hAnsiTheme="minorHAnsi" w:cstheme="minorHAnsi"/>
          <w:sz w:val="20"/>
        </w:rPr>
        <w:t>Paucar</w:t>
      </w:r>
      <w:proofErr w:type="spellEnd"/>
      <w:r w:rsidRPr="0022046F">
        <w:rPr>
          <w:rFonts w:asciiTheme="minorHAnsi" w:hAnsiTheme="minorHAnsi" w:cstheme="minorHAnsi"/>
          <w:sz w:val="20"/>
        </w:rPr>
        <w:t>, expediente No.C-0800131030132004-00191-01</w:t>
      </w:r>
      <w:r w:rsidR="0008468F">
        <w:rPr>
          <w:rFonts w:asciiTheme="minorHAnsi" w:hAnsiTheme="minorHAnsi" w:cstheme="minorHAnsi"/>
          <w:sz w:val="20"/>
        </w:rPr>
        <w:t>.</w:t>
      </w:r>
    </w:p>
  </w:footnote>
  <w:footnote w:id="10">
    <w:p w:rsidR="0008468F" w:rsidRPr="0022046F" w:rsidRDefault="0008468F" w:rsidP="0008468F">
      <w:pPr>
        <w:pStyle w:val="Default"/>
        <w:jc w:val="both"/>
        <w:rPr>
          <w:rFonts w:asciiTheme="minorHAnsi" w:hAnsiTheme="minorHAnsi" w:cstheme="minorHAnsi"/>
          <w:sz w:val="20"/>
        </w:rPr>
      </w:pPr>
      <w:r w:rsidRPr="0022046F">
        <w:rPr>
          <w:rStyle w:val="Refdenotaalpie"/>
          <w:rFonts w:asciiTheme="minorHAnsi" w:hAnsiTheme="minorHAnsi" w:cstheme="minorHAnsi"/>
          <w:sz w:val="20"/>
        </w:rPr>
        <w:footnoteRef/>
      </w:r>
      <w:r w:rsidRPr="0022046F">
        <w:rPr>
          <w:rFonts w:asciiTheme="minorHAnsi" w:hAnsiTheme="minorHAnsi" w:cstheme="minorHAnsi"/>
          <w:sz w:val="20"/>
        </w:rPr>
        <w:t xml:space="preserve"> CORTE SUPREMA DE JUSTICIA, Sala de Casación Civil. Sentencia </w:t>
      </w:r>
      <w:r>
        <w:rPr>
          <w:rFonts w:asciiTheme="minorHAnsi" w:hAnsiTheme="minorHAnsi" w:cstheme="minorHAnsi"/>
          <w:sz w:val="20"/>
        </w:rPr>
        <w:t>SC12377-2014</w:t>
      </w:r>
      <w:r w:rsidRPr="0022046F">
        <w:rPr>
          <w:rFonts w:asciiTheme="minorHAnsi" w:hAnsiTheme="minorHAnsi" w:cstheme="minorHAnsi"/>
          <w:sz w:val="20"/>
        </w:rPr>
        <w:t xml:space="preserve">, MP: </w:t>
      </w:r>
      <w:r>
        <w:rPr>
          <w:rFonts w:asciiTheme="minorHAnsi" w:hAnsiTheme="minorHAnsi" w:cstheme="minorHAnsi"/>
          <w:sz w:val="20"/>
        </w:rPr>
        <w:t>Fernando Giraldo Gutiérrez.</w:t>
      </w:r>
    </w:p>
  </w:footnote>
  <w:footnote w:id="11">
    <w:p w:rsidR="00F36FB3" w:rsidRPr="00E64C30" w:rsidRDefault="00F36FB3" w:rsidP="00E64C30">
      <w:pPr>
        <w:pStyle w:val="Default"/>
        <w:jc w:val="both"/>
        <w:rPr>
          <w:rFonts w:asciiTheme="minorHAnsi" w:hAnsiTheme="minorHAnsi" w:cstheme="minorHAnsi"/>
          <w:sz w:val="20"/>
        </w:rPr>
      </w:pPr>
      <w:r w:rsidRPr="00E64C30">
        <w:rPr>
          <w:rStyle w:val="Refdenotaalpie"/>
          <w:rFonts w:asciiTheme="minorHAnsi" w:hAnsiTheme="minorHAnsi" w:cstheme="minorHAnsi"/>
          <w:sz w:val="20"/>
        </w:rPr>
        <w:footnoteRef/>
      </w:r>
      <w:r w:rsidRPr="00E64C30">
        <w:rPr>
          <w:rFonts w:asciiTheme="minorHAnsi" w:hAnsiTheme="minorHAnsi" w:cstheme="minorHAnsi"/>
          <w:sz w:val="20"/>
        </w:rPr>
        <w:t xml:space="preserve"> </w:t>
      </w:r>
      <w:r w:rsidR="0008468F" w:rsidRPr="0022046F">
        <w:rPr>
          <w:rFonts w:asciiTheme="minorHAnsi" w:hAnsiTheme="minorHAnsi" w:cstheme="minorHAnsi"/>
          <w:sz w:val="20"/>
        </w:rPr>
        <w:t xml:space="preserve">CORTE SUPREMA DE JUSTICIA, Sala de Casación Civil. Sentencia del 01-03-2012, </w:t>
      </w:r>
      <w:r w:rsidR="00621FD0">
        <w:rPr>
          <w:rFonts w:asciiTheme="minorHAnsi" w:hAnsiTheme="minorHAnsi" w:cstheme="minorHAnsi"/>
          <w:sz w:val="20"/>
        </w:rPr>
        <w:t>Ob. cit.</w:t>
      </w:r>
    </w:p>
  </w:footnote>
  <w:footnote w:id="12">
    <w:p w:rsidR="00E64C30" w:rsidRPr="00E64C30" w:rsidRDefault="00E64C30" w:rsidP="00E64C30">
      <w:pPr>
        <w:pStyle w:val="Textonotapie"/>
        <w:jc w:val="both"/>
        <w:rPr>
          <w:rFonts w:asciiTheme="minorHAnsi" w:hAnsiTheme="minorHAnsi" w:cstheme="minorHAnsi"/>
        </w:rPr>
      </w:pPr>
      <w:r w:rsidRPr="00E64C30">
        <w:rPr>
          <w:rStyle w:val="Refdenotaalpie"/>
          <w:rFonts w:asciiTheme="minorHAnsi" w:hAnsiTheme="minorHAnsi" w:cstheme="minorHAnsi"/>
        </w:rPr>
        <w:footnoteRef/>
      </w:r>
      <w:r w:rsidRPr="00E64C30">
        <w:rPr>
          <w:rFonts w:asciiTheme="minorHAnsi" w:hAnsiTheme="minorHAnsi" w:cstheme="minorHAnsi"/>
        </w:rPr>
        <w:t xml:space="preserve"> CORTE SUPREMA DE JUSTICIA, Sala de Casación Civil.</w:t>
      </w:r>
      <w:r>
        <w:rPr>
          <w:rFonts w:asciiTheme="minorHAnsi" w:hAnsiTheme="minorHAnsi" w:cstheme="minorHAnsi"/>
        </w:rPr>
        <w:t xml:space="preserve"> </w:t>
      </w:r>
      <w:r w:rsidRPr="00E64C30">
        <w:rPr>
          <w:rFonts w:asciiTheme="minorHAnsi" w:hAnsiTheme="minorHAnsi" w:cstheme="minorHAnsi"/>
        </w:rPr>
        <w:t>Sentencia 17 de septiembre de 1996, CCXLII-408, segundo semestre.</w:t>
      </w:r>
    </w:p>
  </w:footnote>
  <w:footnote w:id="13">
    <w:p w:rsidR="005B62A9" w:rsidRDefault="005B62A9" w:rsidP="005B62A9">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olor w:val="000000"/>
        </w:rPr>
        <w:t>CORTE CONSTITUCIONAL. Sentencia T-213 del 16-03-2012.</w:t>
      </w:r>
    </w:p>
  </w:footnote>
  <w:footnote w:id="14">
    <w:p w:rsidR="005B62A9" w:rsidRDefault="005B62A9" w:rsidP="005B62A9">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olor w:val="000000"/>
        </w:rPr>
        <w:t>CORTE SUPREMA DE JUSTICIA, Sala de Casación Civil. Sentencia SC-11302 del 29-08-2014.</w:t>
      </w:r>
    </w:p>
  </w:footnote>
  <w:footnote w:id="15">
    <w:p w:rsidR="00902D44" w:rsidRPr="00E40351" w:rsidRDefault="00902D44" w:rsidP="00902D44">
      <w:pPr>
        <w:pStyle w:val="Textonotapie"/>
        <w:jc w:val="both"/>
        <w:rPr>
          <w:rFonts w:asciiTheme="minorHAnsi" w:hAnsiTheme="minorHAnsi"/>
          <w:lang w:val="es-CO"/>
        </w:rPr>
      </w:pPr>
      <w:r w:rsidRPr="00E40351">
        <w:rPr>
          <w:rStyle w:val="Refdenotaalpie"/>
          <w:rFonts w:asciiTheme="minorHAnsi" w:hAnsiTheme="minorHAnsi"/>
        </w:rPr>
        <w:footnoteRef/>
      </w:r>
      <w:r w:rsidRPr="00E40351">
        <w:rPr>
          <w:rFonts w:asciiTheme="minorHAnsi" w:hAnsiTheme="minorHAnsi"/>
        </w:rPr>
        <w:t xml:space="preserve"> </w:t>
      </w:r>
      <w:r w:rsidRPr="00E40351">
        <w:rPr>
          <w:rFonts w:asciiTheme="minorHAnsi" w:hAnsiTheme="minorHAnsi" w:cs="Calibri"/>
          <w:lang w:val="es-CO"/>
        </w:rPr>
        <w:t>SANABRIA SANTOS, Henry. Nulidades en el proceso civil, segunda edición, Universidad Externado de Colombia, Bogotá, 2011, p.356.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Pr="00B62758" w:rsidRDefault="00533A40"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3431F8" w:rsidRPr="003431F8">
      <w:rPr>
        <w:rFonts w:asciiTheme="minorHAnsi" w:hAnsiTheme="minorHAnsi" w:cs="Calibri"/>
        <w:bCs/>
        <w:noProof/>
      </w:rPr>
      <w:t>11</w:t>
    </w:r>
    <w:r w:rsidRPr="00B62758">
      <w:rPr>
        <w:rFonts w:asciiTheme="minorHAnsi" w:hAnsiTheme="minorHAnsi" w:cs="Calibri"/>
      </w:rPr>
      <w:fldChar w:fldCharType="end"/>
    </w:r>
  </w:p>
  <w:p w:rsidR="00533A40" w:rsidRPr="00323447" w:rsidRDefault="00533A40"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Pr>
        <w:rFonts w:asciiTheme="majorHAnsi" w:hAnsiTheme="majorHAnsi" w:cs="Iskoola Pota"/>
        <w:i/>
        <w:sz w:val="16"/>
        <w:lang w:val="es-CO"/>
      </w:rPr>
      <w:t>09</w:t>
    </w:r>
    <w:r w:rsidRPr="00323447">
      <w:rPr>
        <w:rFonts w:asciiTheme="majorHAnsi" w:hAnsiTheme="majorHAnsi" w:cs="Iskoola Pota"/>
        <w:i/>
        <w:sz w:val="16"/>
        <w:lang w:val="es-CO"/>
      </w:rPr>
      <w:t>-00</w:t>
    </w:r>
    <w:r>
      <w:rPr>
        <w:rFonts w:asciiTheme="majorHAnsi" w:hAnsiTheme="majorHAnsi" w:cs="Iskoola Pota"/>
        <w:i/>
        <w:sz w:val="16"/>
        <w:lang w:val="es-CO"/>
      </w:rPr>
      <w:t>033-</w:t>
    </w:r>
    <w:r w:rsidRPr="00323447">
      <w:rPr>
        <w:rFonts w:asciiTheme="majorHAnsi" w:hAnsiTheme="majorHAnsi" w:cs="Iskoola Pota"/>
        <w:i/>
        <w:sz w:val="16"/>
        <w:lang w:val="es-CO"/>
      </w:rPr>
      <w:t>0</w:t>
    </w:r>
    <w:r>
      <w:rPr>
        <w:rFonts w:asciiTheme="majorHAnsi" w:hAnsiTheme="majorHAnsi" w:cs="Iskoola Pota"/>
        <w:i/>
        <w:sz w:val="16"/>
        <w:lang w:val="es-CO"/>
      </w:rPr>
      <w:t>2</w:t>
    </w:r>
  </w:p>
  <w:p w:rsidR="00533A40" w:rsidRPr="00045CE3" w:rsidRDefault="00533A40"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2F8D"/>
    <w:rsid w:val="0000570F"/>
    <w:rsid w:val="000111C6"/>
    <w:rsid w:val="000124CA"/>
    <w:rsid w:val="0003035B"/>
    <w:rsid w:val="000312D9"/>
    <w:rsid w:val="00032991"/>
    <w:rsid w:val="00045CE3"/>
    <w:rsid w:val="00050E52"/>
    <w:rsid w:val="00051EE0"/>
    <w:rsid w:val="000521D3"/>
    <w:rsid w:val="00054BF9"/>
    <w:rsid w:val="00057617"/>
    <w:rsid w:val="00057B5C"/>
    <w:rsid w:val="00060A66"/>
    <w:rsid w:val="00061786"/>
    <w:rsid w:val="00063444"/>
    <w:rsid w:val="00063E12"/>
    <w:rsid w:val="00073E33"/>
    <w:rsid w:val="00081450"/>
    <w:rsid w:val="0008468F"/>
    <w:rsid w:val="000933B9"/>
    <w:rsid w:val="000979F2"/>
    <w:rsid w:val="000A2D45"/>
    <w:rsid w:val="000A3198"/>
    <w:rsid w:val="000B2C44"/>
    <w:rsid w:val="000B4877"/>
    <w:rsid w:val="000B66EE"/>
    <w:rsid w:val="000C6F53"/>
    <w:rsid w:val="000C7CE2"/>
    <w:rsid w:val="000D03C3"/>
    <w:rsid w:val="000D106C"/>
    <w:rsid w:val="000D1C67"/>
    <w:rsid w:val="000D4106"/>
    <w:rsid w:val="000D51C5"/>
    <w:rsid w:val="000D579D"/>
    <w:rsid w:val="000D70EB"/>
    <w:rsid w:val="000E1102"/>
    <w:rsid w:val="000E4FA0"/>
    <w:rsid w:val="000F08E0"/>
    <w:rsid w:val="000F16E3"/>
    <w:rsid w:val="000F1B66"/>
    <w:rsid w:val="000F3C01"/>
    <w:rsid w:val="000F6932"/>
    <w:rsid w:val="00107E1A"/>
    <w:rsid w:val="00111F9C"/>
    <w:rsid w:val="00112D32"/>
    <w:rsid w:val="001130D4"/>
    <w:rsid w:val="00114608"/>
    <w:rsid w:val="00114FEE"/>
    <w:rsid w:val="00116494"/>
    <w:rsid w:val="00117C9A"/>
    <w:rsid w:val="0012018F"/>
    <w:rsid w:val="00121881"/>
    <w:rsid w:val="00122CE4"/>
    <w:rsid w:val="00132BE5"/>
    <w:rsid w:val="001378D5"/>
    <w:rsid w:val="00137C3D"/>
    <w:rsid w:val="001403D4"/>
    <w:rsid w:val="00141432"/>
    <w:rsid w:val="001446B1"/>
    <w:rsid w:val="001452E0"/>
    <w:rsid w:val="00146704"/>
    <w:rsid w:val="00152009"/>
    <w:rsid w:val="00157865"/>
    <w:rsid w:val="00166B47"/>
    <w:rsid w:val="00190036"/>
    <w:rsid w:val="00193599"/>
    <w:rsid w:val="00194716"/>
    <w:rsid w:val="00196A2D"/>
    <w:rsid w:val="001A46C4"/>
    <w:rsid w:val="001A565D"/>
    <w:rsid w:val="001A64DC"/>
    <w:rsid w:val="001A688F"/>
    <w:rsid w:val="001B2496"/>
    <w:rsid w:val="001B3230"/>
    <w:rsid w:val="001B4583"/>
    <w:rsid w:val="001B4B9B"/>
    <w:rsid w:val="001C36DF"/>
    <w:rsid w:val="001C3F97"/>
    <w:rsid w:val="001C51D4"/>
    <w:rsid w:val="001C5578"/>
    <w:rsid w:val="001C5598"/>
    <w:rsid w:val="001C5EFF"/>
    <w:rsid w:val="001D0AA3"/>
    <w:rsid w:val="001D60DE"/>
    <w:rsid w:val="001D68DD"/>
    <w:rsid w:val="001D7953"/>
    <w:rsid w:val="001D7E85"/>
    <w:rsid w:val="001E18FB"/>
    <w:rsid w:val="001E57DE"/>
    <w:rsid w:val="001F53B6"/>
    <w:rsid w:val="00200BEC"/>
    <w:rsid w:val="00201848"/>
    <w:rsid w:val="00207C51"/>
    <w:rsid w:val="0021075B"/>
    <w:rsid w:val="002142AC"/>
    <w:rsid w:val="00216AE8"/>
    <w:rsid w:val="002174EA"/>
    <w:rsid w:val="0022046F"/>
    <w:rsid w:val="002233B9"/>
    <w:rsid w:val="002243EA"/>
    <w:rsid w:val="00227FA6"/>
    <w:rsid w:val="00230208"/>
    <w:rsid w:val="00231A7F"/>
    <w:rsid w:val="002358F6"/>
    <w:rsid w:val="0023681D"/>
    <w:rsid w:val="00236A9B"/>
    <w:rsid w:val="0023704F"/>
    <w:rsid w:val="00237B2C"/>
    <w:rsid w:val="00237BF5"/>
    <w:rsid w:val="002419D4"/>
    <w:rsid w:val="00243379"/>
    <w:rsid w:val="0024455A"/>
    <w:rsid w:val="00246A2F"/>
    <w:rsid w:val="00257943"/>
    <w:rsid w:val="002579E7"/>
    <w:rsid w:val="00257B1F"/>
    <w:rsid w:val="00261534"/>
    <w:rsid w:val="0026164F"/>
    <w:rsid w:val="00264AA5"/>
    <w:rsid w:val="002659B3"/>
    <w:rsid w:val="00266906"/>
    <w:rsid w:val="00270768"/>
    <w:rsid w:val="002711FB"/>
    <w:rsid w:val="00271744"/>
    <w:rsid w:val="00271EB5"/>
    <w:rsid w:val="00272E97"/>
    <w:rsid w:val="0027495D"/>
    <w:rsid w:val="0027637D"/>
    <w:rsid w:val="00276737"/>
    <w:rsid w:val="002767EA"/>
    <w:rsid w:val="00280589"/>
    <w:rsid w:val="002825A8"/>
    <w:rsid w:val="002860D6"/>
    <w:rsid w:val="00286E35"/>
    <w:rsid w:val="002873EC"/>
    <w:rsid w:val="002912F2"/>
    <w:rsid w:val="002952D6"/>
    <w:rsid w:val="0029611C"/>
    <w:rsid w:val="00297096"/>
    <w:rsid w:val="002A0A88"/>
    <w:rsid w:val="002A18D8"/>
    <w:rsid w:val="002B513B"/>
    <w:rsid w:val="002C4195"/>
    <w:rsid w:val="002C7A37"/>
    <w:rsid w:val="002D4917"/>
    <w:rsid w:val="002D605B"/>
    <w:rsid w:val="002E0BA3"/>
    <w:rsid w:val="002E1377"/>
    <w:rsid w:val="002E20D6"/>
    <w:rsid w:val="002E21FB"/>
    <w:rsid w:val="002E5263"/>
    <w:rsid w:val="002E562C"/>
    <w:rsid w:val="002F2F2A"/>
    <w:rsid w:val="002F4DF5"/>
    <w:rsid w:val="002F7410"/>
    <w:rsid w:val="003013A2"/>
    <w:rsid w:val="00304D9F"/>
    <w:rsid w:val="00304E86"/>
    <w:rsid w:val="00305C99"/>
    <w:rsid w:val="00310EAB"/>
    <w:rsid w:val="0031225A"/>
    <w:rsid w:val="00323447"/>
    <w:rsid w:val="0032344B"/>
    <w:rsid w:val="00325722"/>
    <w:rsid w:val="00327E02"/>
    <w:rsid w:val="003319C7"/>
    <w:rsid w:val="003336C3"/>
    <w:rsid w:val="00335A2F"/>
    <w:rsid w:val="003363AD"/>
    <w:rsid w:val="00336BA6"/>
    <w:rsid w:val="0034299F"/>
    <w:rsid w:val="00342E88"/>
    <w:rsid w:val="003431F8"/>
    <w:rsid w:val="003458B9"/>
    <w:rsid w:val="00352931"/>
    <w:rsid w:val="00360576"/>
    <w:rsid w:val="00363D70"/>
    <w:rsid w:val="00370D1D"/>
    <w:rsid w:val="0038158A"/>
    <w:rsid w:val="00384791"/>
    <w:rsid w:val="00386111"/>
    <w:rsid w:val="00392869"/>
    <w:rsid w:val="00392F07"/>
    <w:rsid w:val="00393DD3"/>
    <w:rsid w:val="003972DC"/>
    <w:rsid w:val="003A1A5B"/>
    <w:rsid w:val="003A5E74"/>
    <w:rsid w:val="003A7CD8"/>
    <w:rsid w:val="003B19D8"/>
    <w:rsid w:val="003B445E"/>
    <w:rsid w:val="003C5098"/>
    <w:rsid w:val="003C77D5"/>
    <w:rsid w:val="003D081D"/>
    <w:rsid w:val="003D67D8"/>
    <w:rsid w:val="003D6C3D"/>
    <w:rsid w:val="003E1A30"/>
    <w:rsid w:val="003E236C"/>
    <w:rsid w:val="003E3CF7"/>
    <w:rsid w:val="003E4533"/>
    <w:rsid w:val="003E5ED3"/>
    <w:rsid w:val="003F3AD2"/>
    <w:rsid w:val="00400B90"/>
    <w:rsid w:val="00402132"/>
    <w:rsid w:val="00403F27"/>
    <w:rsid w:val="00411AC5"/>
    <w:rsid w:val="00414421"/>
    <w:rsid w:val="004155DE"/>
    <w:rsid w:val="004225C0"/>
    <w:rsid w:val="00427BE4"/>
    <w:rsid w:val="004335C7"/>
    <w:rsid w:val="00436669"/>
    <w:rsid w:val="004456D1"/>
    <w:rsid w:val="004519F2"/>
    <w:rsid w:val="00455DE9"/>
    <w:rsid w:val="004614E4"/>
    <w:rsid w:val="00461F2C"/>
    <w:rsid w:val="00465107"/>
    <w:rsid w:val="00471F25"/>
    <w:rsid w:val="00482924"/>
    <w:rsid w:val="004848E7"/>
    <w:rsid w:val="0048492D"/>
    <w:rsid w:val="00484CE7"/>
    <w:rsid w:val="00485BA4"/>
    <w:rsid w:val="004A7C24"/>
    <w:rsid w:val="004B3837"/>
    <w:rsid w:val="004B6BF7"/>
    <w:rsid w:val="004C1DD1"/>
    <w:rsid w:val="004C319B"/>
    <w:rsid w:val="004C7CAB"/>
    <w:rsid w:val="004E1CAC"/>
    <w:rsid w:val="004E1EF9"/>
    <w:rsid w:val="004E2173"/>
    <w:rsid w:val="004E3E38"/>
    <w:rsid w:val="004E665F"/>
    <w:rsid w:val="004E6A80"/>
    <w:rsid w:val="004F229E"/>
    <w:rsid w:val="004F537C"/>
    <w:rsid w:val="004F7009"/>
    <w:rsid w:val="004F7160"/>
    <w:rsid w:val="0050008A"/>
    <w:rsid w:val="00500A43"/>
    <w:rsid w:val="00500DC5"/>
    <w:rsid w:val="005022A7"/>
    <w:rsid w:val="005035D2"/>
    <w:rsid w:val="00511E57"/>
    <w:rsid w:val="005136BB"/>
    <w:rsid w:val="00515B6B"/>
    <w:rsid w:val="005168B7"/>
    <w:rsid w:val="0052315C"/>
    <w:rsid w:val="0052398B"/>
    <w:rsid w:val="0053073B"/>
    <w:rsid w:val="00533A40"/>
    <w:rsid w:val="005410DE"/>
    <w:rsid w:val="0054427C"/>
    <w:rsid w:val="0055115B"/>
    <w:rsid w:val="00551E20"/>
    <w:rsid w:val="00556460"/>
    <w:rsid w:val="00564C16"/>
    <w:rsid w:val="0056570B"/>
    <w:rsid w:val="00570A9B"/>
    <w:rsid w:val="00570C60"/>
    <w:rsid w:val="00572804"/>
    <w:rsid w:val="005768FC"/>
    <w:rsid w:val="0058265D"/>
    <w:rsid w:val="00582F12"/>
    <w:rsid w:val="0058709F"/>
    <w:rsid w:val="00587725"/>
    <w:rsid w:val="005938D9"/>
    <w:rsid w:val="00597D74"/>
    <w:rsid w:val="005A13BD"/>
    <w:rsid w:val="005A3571"/>
    <w:rsid w:val="005B62A9"/>
    <w:rsid w:val="005B781D"/>
    <w:rsid w:val="005C3D57"/>
    <w:rsid w:val="005C4919"/>
    <w:rsid w:val="005D0B8F"/>
    <w:rsid w:val="005D0C4E"/>
    <w:rsid w:val="005D39F3"/>
    <w:rsid w:val="005D49DF"/>
    <w:rsid w:val="005D5A2C"/>
    <w:rsid w:val="005E03C6"/>
    <w:rsid w:val="005E1AAF"/>
    <w:rsid w:val="005E604E"/>
    <w:rsid w:val="005F1FB2"/>
    <w:rsid w:val="005F25FC"/>
    <w:rsid w:val="0060361C"/>
    <w:rsid w:val="0060427D"/>
    <w:rsid w:val="00607310"/>
    <w:rsid w:val="00611CB0"/>
    <w:rsid w:val="006144B3"/>
    <w:rsid w:val="00617D63"/>
    <w:rsid w:val="006200B3"/>
    <w:rsid w:val="00621FD0"/>
    <w:rsid w:val="00623497"/>
    <w:rsid w:val="006235A9"/>
    <w:rsid w:val="00623A6D"/>
    <w:rsid w:val="00631466"/>
    <w:rsid w:val="00631717"/>
    <w:rsid w:val="00637ECB"/>
    <w:rsid w:val="0064041B"/>
    <w:rsid w:val="00640C70"/>
    <w:rsid w:val="00646320"/>
    <w:rsid w:val="00651C7E"/>
    <w:rsid w:val="006527BF"/>
    <w:rsid w:val="00655F31"/>
    <w:rsid w:val="00660E7E"/>
    <w:rsid w:val="00663064"/>
    <w:rsid w:val="00663341"/>
    <w:rsid w:val="006724C6"/>
    <w:rsid w:val="00672632"/>
    <w:rsid w:val="00674682"/>
    <w:rsid w:val="0067785B"/>
    <w:rsid w:val="00681A45"/>
    <w:rsid w:val="00682BBB"/>
    <w:rsid w:val="006837D2"/>
    <w:rsid w:val="00686B69"/>
    <w:rsid w:val="006916DA"/>
    <w:rsid w:val="006950C1"/>
    <w:rsid w:val="00695536"/>
    <w:rsid w:val="006A11EF"/>
    <w:rsid w:val="006A30E2"/>
    <w:rsid w:val="006A3EE1"/>
    <w:rsid w:val="006A6085"/>
    <w:rsid w:val="006B2386"/>
    <w:rsid w:val="006B768E"/>
    <w:rsid w:val="006B7EB8"/>
    <w:rsid w:val="006C408D"/>
    <w:rsid w:val="006C572F"/>
    <w:rsid w:val="006E07AA"/>
    <w:rsid w:val="006E1121"/>
    <w:rsid w:val="006E221E"/>
    <w:rsid w:val="006F310C"/>
    <w:rsid w:val="006F58F9"/>
    <w:rsid w:val="006F61F6"/>
    <w:rsid w:val="00702D99"/>
    <w:rsid w:val="007031D1"/>
    <w:rsid w:val="00706FA2"/>
    <w:rsid w:val="00707F42"/>
    <w:rsid w:val="00715013"/>
    <w:rsid w:val="00716C24"/>
    <w:rsid w:val="00725DA4"/>
    <w:rsid w:val="00726D6E"/>
    <w:rsid w:val="00727833"/>
    <w:rsid w:val="007326D4"/>
    <w:rsid w:val="007330E3"/>
    <w:rsid w:val="00734860"/>
    <w:rsid w:val="00737026"/>
    <w:rsid w:val="00740B86"/>
    <w:rsid w:val="007520E6"/>
    <w:rsid w:val="00752F50"/>
    <w:rsid w:val="0076163D"/>
    <w:rsid w:val="007668A2"/>
    <w:rsid w:val="00774AD2"/>
    <w:rsid w:val="00776C17"/>
    <w:rsid w:val="00780839"/>
    <w:rsid w:val="00780AD5"/>
    <w:rsid w:val="00781593"/>
    <w:rsid w:val="00781928"/>
    <w:rsid w:val="007841FC"/>
    <w:rsid w:val="007853A8"/>
    <w:rsid w:val="007860C0"/>
    <w:rsid w:val="007A1804"/>
    <w:rsid w:val="007A476E"/>
    <w:rsid w:val="007B471D"/>
    <w:rsid w:val="007C03DB"/>
    <w:rsid w:val="007C66B8"/>
    <w:rsid w:val="007D102F"/>
    <w:rsid w:val="007D341B"/>
    <w:rsid w:val="007D7466"/>
    <w:rsid w:val="007F105A"/>
    <w:rsid w:val="007F2975"/>
    <w:rsid w:val="007F3A25"/>
    <w:rsid w:val="007F7376"/>
    <w:rsid w:val="007F74BC"/>
    <w:rsid w:val="008020F8"/>
    <w:rsid w:val="00803E0D"/>
    <w:rsid w:val="00810D50"/>
    <w:rsid w:val="00811404"/>
    <w:rsid w:val="0081363A"/>
    <w:rsid w:val="00817588"/>
    <w:rsid w:val="00820BF6"/>
    <w:rsid w:val="0082292F"/>
    <w:rsid w:val="00822CEC"/>
    <w:rsid w:val="00827A6D"/>
    <w:rsid w:val="0083050E"/>
    <w:rsid w:val="008316BF"/>
    <w:rsid w:val="00832731"/>
    <w:rsid w:val="00834347"/>
    <w:rsid w:val="00834976"/>
    <w:rsid w:val="00842FE8"/>
    <w:rsid w:val="008557A4"/>
    <w:rsid w:val="0086018A"/>
    <w:rsid w:val="0086284C"/>
    <w:rsid w:val="00863948"/>
    <w:rsid w:val="00864328"/>
    <w:rsid w:val="00876E0A"/>
    <w:rsid w:val="00882E18"/>
    <w:rsid w:val="00884D74"/>
    <w:rsid w:val="008851BC"/>
    <w:rsid w:val="008872A2"/>
    <w:rsid w:val="008920B4"/>
    <w:rsid w:val="008930E1"/>
    <w:rsid w:val="00895B4B"/>
    <w:rsid w:val="008B14AB"/>
    <w:rsid w:val="008B18E2"/>
    <w:rsid w:val="008B3E9A"/>
    <w:rsid w:val="008B500B"/>
    <w:rsid w:val="008B7145"/>
    <w:rsid w:val="008D2851"/>
    <w:rsid w:val="008D321B"/>
    <w:rsid w:val="008D7233"/>
    <w:rsid w:val="008E0505"/>
    <w:rsid w:val="008E0D48"/>
    <w:rsid w:val="008E1174"/>
    <w:rsid w:val="008E4641"/>
    <w:rsid w:val="008E7C8E"/>
    <w:rsid w:val="00901551"/>
    <w:rsid w:val="00901630"/>
    <w:rsid w:val="00902D44"/>
    <w:rsid w:val="00903782"/>
    <w:rsid w:val="0090473C"/>
    <w:rsid w:val="009108C5"/>
    <w:rsid w:val="00910B1E"/>
    <w:rsid w:val="00911C83"/>
    <w:rsid w:val="009147CB"/>
    <w:rsid w:val="00921C1B"/>
    <w:rsid w:val="009402F8"/>
    <w:rsid w:val="00944538"/>
    <w:rsid w:val="0094614E"/>
    <w:rsid w:val="00951CD3"/>
    <w:rsid w:val="00952E5E"/>
    <w:rsid w:val="00953227"/>
    <w:rsid w:val="00953B22"/>
    <w:rsid w:val="009551BE"/>
    <w:rsid w:val="00955CD5"/>
    <w:rsid w:val="00956A70"/>
    <w:rsid w:val="0095728D"/>
    <w:rsid w:val="00960B51"/>
    <w:rsid w:val="00963CDC"/>
    <w:rsid w:val="00963ECB"/>
    <w:rsid w:val="00967D6F"/>
    <w:rsid w:val="00973322"/>
    <w:rsid w:val="009759B2"/>
    <w:rsid w:val="00980394"/>
    <w:rsid w:val="0098061E"/>
    <w:rsid w:val="00985FD1"/>
    <w:rsid w:val="00991764"/>
    <w:rsid w:val="0099309B"/>
    <w:rsid w:val="009969C3"/>
    <w:rsid w:val="009A1240"/>
    <w:rsid w:val="009A48D7"/>
    <w:rsid w:val="009A6AD1"/>
    <w:rsid w:val="009A6C1F"/>
    <w:rsid w:val="009A7A02"/>
    <w:rsid w:val="009C1975"/>
    <w:rsid w:val="009C207D"/>
    <w:rsid w:val="009C743A"/>
    <w:rsid w:val="009D09D0"/>
    <w:rsid w:val="009E1072"/>
    <w:rsid w:val="009E3076"/>
    <w:rsid w:val="009E3110"/>
    <w:rsid w:val="009E66A3"/>
    <w:rsid w:val="009F0E61"/>
    <w:rsid w:val="009F2506"/>
    <w:rsid w:val="00A003AF"/>
    <w:rsid w:val="00A06CA4"/>
    <w:rsid w:val="00A11F60"/>
    <w:rsid w:val="00A12284"/>
    <w:rsid w:val="00A21951"/>
    <w:rsid w:val="00A22745"/>
    <w:rsid w:val="00A230D3"/>
    <w:rsid w:val="00A2585D"/>
    <w:rsid w:val="00A300BA"/>
    <w:rsid w:val="00A3039E"/>
    <w:rsid w:val="00A33DE2"/>
    <w:rsid w:val="00A35365"/>
    <w:rsid w:val="00A51E08"/>
    <w:rsid w:val="00A5299D"/>
    <w:rsid w:val="00A5572D"/>
    <w:rsid w:val="00A56277"/>
    <w:rsid w:val="00A5650F"/>
    <w:rsid w:val="00A57455"/>
    <w:rsid w:val="00A61194"/>
    <w:rsid w:val="00A62541"/>
    <w:rsid w:val="00A62787"/>
    <w:rsid w:val="00A6415E"/>
    <w:rsid w:val="00A644D6"/>
    <w:rsid w:val="00A71D99"/>
    <w:rsid w:val="00A7420C"/>
    <w:rsid w:val="00A81263"/>
    <w:rsid w:val="00A81A64"/>
    <w:rsid w:val="00A833D4"/>
    <w:rsid w:val="00A837CE"/>
    <w:rsid w:val="00A909D6"/>
    <w:rsid w:val="00A96BBB"/>
    <w:rsid w:val="00A97E41"/>
    <w:rsid w:val="00AA0D85"/>
    <w:rsid w:val="00AB2D84"/>
    <w:rsid w:val="00AB4FA5"/>
    <w:rsid w:val="00AB6D90"/>
    <w:rsid w:val="00AB75BC"/>
    <w:rsid w:val="00AC0533"/>
    <w:rsid w:val="00AC51E2"/>
    <w:rsid w:val="00AC71B8"/>
    <w:rsid w:val="00AC72E5"/>
    <w:rsid w:val="00AC7745"/>
    <w:rsid w:val="00AD1A3F"/>
    <w:rsid w:val="00AD410B"/>
    <w:rsid w:val="00AD77AF"/>
    <w:rsid w:val="00AE0641"/>
    <w:rsid w:val="00AE38B2"/>
    <w:rsid w:val="00AF09DF"/>
    <w:rsid w:val="00AF4B72"/>
    <w:rsid w:val="00AF6454"/>
    <w:rsid w:val="00AF7A6F"/>
    <w:rsid w:val="00B01A99"/>
    <w:rsid w:val="00B21163"/>
    <w:rsid w:val="00B214D7"/>
    <w:rsid w:val="00B25249"/>
    <w:rsid w:val="00B27D74"/>
    <w:rsid w:val="00B307B1"/>
    <w:rsid w:val="00B37678"/>
    <w:rsid w:val="00B52EC6"/>
    <w:rsid w:val="00B55A68"/>
    <w:rsid w:val="00B60061"/>
    <w:rsid w:val="00B62758"/>
    <w:rsid w:val="00B6378D"/>
    <w:rsid w:val="00B6380C"/>
    <w:rsid w:val="00B675CB"/>
    <w:rsid w:val="00B71EBD"/>
    <w:rsid w:val="00B724CE"/>
    <w:rsid w:val="00B744A5"/>
    <w:rsid w:val="00B74B6B"/>
    <w:rsid w:val="00B75A6A"/>
    <w:rsid w:val="00B821B0"/>
    <w:rsid w:val="00B82B66"/>
    <w:rsid w:val="00B849B9"/>
    <w:rsid w:val="00B87206"/>
    <w:rsid w:val="00B93EF1"/>
    <w:rsid w:val="00B960FD"/>
    <w:rsid w:val="00BA052A"/>
    <w:rsid w:val="00BA0A2F"/>
    <w:rsid w:val="00BA457F"/>
    <w:rsid w:val="00BB455A"/>
    <w:rsid w:val="00BC1A36"/>
    <w:rsid w:val="00BC2578"/>
    <w:rsid w:val="00BC3D53"/>
    <w:rsid w:val="00BC3EC8"/>
    <w:rsid w:val="00BC589D"/>
    <w:rsid w:val="00BC77B9"/>
    <w:rsid w:val="00BD1343"/>
    <w:rsid w:val="00BD71D4"/>
    <w:rsid w:val="00BD744D"/>
    <w:rsid w:val="00BE0E76"/>
    <w:rsid w:val="00BE16DB"/>
    <w:rsid w:val="00BE2F2A"/>
    <w:rsid w:val="00BE392D"/>
    <w:rsid w:val="00BE49F3"/>
    <w:rsid w:val="00BF0045"/>
    <w:rsid w:val="00BF0841"/>
    <w:rsid w:val="00BF73F6"/>
    <w:rsid w:val="00C022C2"/>
    <w:rsid w:val="00C02A44"/>
    <w:rsid w:val="00C04D9E"/>
    <w:rsid w:val="00C0547C"/>
    <w:rsid w:val="00C0586F"/>
    <w:rsid w:val="00C05C86"/>
    <w:rsid w:val="00C12E58"/>
    <w:rsid w:val="00C140FE"/>
    <w:rsid w:val="00C15ED5"/>
    <w:rsid w:val="00C20FB2"/>
    <w:rsid w:val="00C23440"/>
    <w:rsid w:val="00C31D4B"/>
    <w:rsid w:val="00C32B52"/>
    <w:rsid w:val="00C34DDA"/>
    <w:rsid w:val="00C363C4"/>
    <w:rsid w:val="00C363D3"/>
    <w:rsid w:val="00C36400"/>
    <w:rsid w:val="00C36F80"/>
    <w:rsid w:val="00C40CD0"/>
    <w:rsid w:val="00C41B40"/>
    <w:rsid w:val="00C432DC"/>
    <w:rsid w:val="00C4374A"/>
    <w:rsid w:val="00C50024"/>
    <w:rsid w:val="00C5034C"/>
    <w:rsid w:val="00C52051"/>
    <w:rsid w:val="00C53506"/>
    <w:rsid w:val="00C54FE1"/>
    <w:rsid w:val="00C63C8D"/>
    <w:rsid w:val="00C647E5"/>
    <w:rsid w:val="00C65DA3"/>
    <w:rsid w:val="00C71656"/>
    <w:rsid w:val="00C741D5"/>
    <w:rsid w:val="00C77578"/>
    <w:rsid w:val="00C820E9"/>
    <w:rsid w:val="00C82245"/>
    <w:rsid w:val="00C903AF"/>
    <w:rsid w:val="00C91199"/>
    <w:rsid w:val="00C9127E"/>
    <w:rsid w:val="00C92F0E"/>
    <w:rsid w:val="00C9534A"/>
    <w:rsid w:val="00CA0F66"/>
    <w:rsid w:val="00CA2355"/>
    <w:rsid w:val="00CA6C0B"/>
    <w:rsid w:val="00CB6B9A"/>
    <w:rsid w:val="00CC1093"/>
    <w:rsid w:val="00CC15CC"/>
    <w:rsid w:val="00CC5C5B"/>
    <w:rsid w:val="00CC75F4"/>
    <w:rsid w:val="00CD2257"/>
    <w:rsid w:val="00CD7AAA"/>
    <w:rsid w:val="00CE0370"/>
    <w:rsid w:val="00CF0EBE"/>
    <w:rsid w:val="00CF1A0B"/>
    <w:rsid w:val="00CF3CF5"/>
    <w:rsid w:val="00CF3F30"/>
    <w:rsid w:val="00CF6850"/>
    <w:rsid w:val="00CF7AA1"/>
    <w:rsid w:val="00D02CB4"/>
    <w:rsid w:val="00D041EC"/>
    <w:rsid w:val="00D042D8"/>
    <w:rsid w:val="00D06465"/>
    <w:rsid w:val="00D112E2"/>
    <w:rsid w:val="00D1698E"/>
    <w:rsid w:val="00D2108D"/>
    <w:rsid w:val="00D2440A"/>
    <w:rsid w:val="00D26844"/>
    <w:rsid w:val="00D4141F"/>
    <w:rsid w:val="00D41839"/>
    <w:rsid w:val="00D46DD8"/>
    <w:rsid w:val="00D47ACB"/>
    <w:rsid w:val="00D51EAD"/>
    <w:rsid w:val="00D5369D"/>
    <w:rsid w:val="00D619AE"/>
    <w:rsid w:val="00D65724"/>
    <w:rsid w:val="00D70FD2"/>
    <w:rsid w:val="00D71B92"/>
    <w:rsid w:val="00D73D69"/>
    <w:rsid w:val="00D83E5D"/>
    <w:rsid w:val="00D84F31"/>
    <w:rsid w:val="00D851DA"/>
    <w:rsid w:val="00D9154D"/>
    <w:rsid w:val="00D915F4"/>
    <w:rsid w:val="00D93167"/>
    <w:rsid w:val="00D94D58"/>
    <w:rsid w:val="00D97527"/>
    <w:rsid w:val="00D97B75"/>
    <w:rsid w:val="00DA079E"/>
    <w:rsid w:val="00DA1E67"/>
    <w:rsid w:val="00DA5858"/>
    <w:rsid w:val="00DB0458"/>
    <w:rsid w:val="00DB222B"/>
    <w:rsid w:val="00DB2868"/>
    <w:rsid w:val="00DB4F9A"/>
    <w:rsid w:val="00DB7D6E"/>
    <w:rsid w:val="00DC031D"/>
    <w:rsid w:val="00DC21CE"/>
    <w:rsid w:val="00DC3B05"/>
    <w:rsid w:val="00DC4E67"/>
    <w:rsid w:val="00DD00F5"/>
    <w:rsid w:val="00DD366D"/>
    <w:rsid w:val="00DE078F"/>
    <w:rsid w:val="00DE13EA"/>
    <w:rsid w:val="00DE19D9"/>
    <w:rsid w:val="00DE429A"/>
    <w:rsid w:val="00DE56F3"/>
    <w:rsid w:val="00DE7ACF"/>
    <w:rsid w:val="00DF5461"/>
    <w:rsid w:val="00DF73EF"/>
    <w:rsid w:val="00E036C8"/>
    <w:rsid w:val="00E04CE6"/>
    <w:rsid w:val="00E10297"/>
    <w:rsid w:val="00E10E96"/>
    <w:rsid w:val="00E10EC7"/>
    <w:rsid w:val="00E13879"/>
    <w:rsid w:val="00E14DB5"/>
    <w:rsid w:val="00E1530A"/>
    <w:rsid w:val="00E16943"/>
    <w:rsid w:val="00E17C1A"/>
    <w:rsid w:val="00E238DF"/>
    <w:rsid w:val="00E23B32"/>
    <w:rsid w:val="00E253EE"/>
    <w:rsid w:val="00E2686D"/>
    <w:rsid w:val="00E316D9"/>
    <w:rsid w:val="00E34EB6"/>
    <w:rsid w:val="00E42B6A"/>
    <w:rsid w:val="00E4399D"/>
    <w:rsid w:val="00E44741"/>
    <w:rsid w:val="00E54E75"/>
    <w:rsid w:val="00E55393"/>
    <w:rsid w:val="00E5643E"/>
    <w:rsid w:val="00E5720B"/>
    <w:rsid w:val="00E64C30"/>
    <w:rsid w:val="00E7400E"/>
    <w:rsid w:val="00E8141D"/>
    <w:rsid w:val="00E856DA"/>
    <w:rsid w:val="00E86F07"/>
    <w:rsid w:val="00E87611"/>
    <w:rsid w:val="00E92773"/>
    <w:rsid w:val="00E9418E"/>
    <w:rsid w:val="00E96913"/>
    <w:rsid w:val="00EA12F0"/>
    <w:rsid w:val="00EA1D9C"/>
    <w:rsid w:val="00EA52AE"/>
    <w:rsid w:val="00EB1F06"/>
    <w:rsid w:val="00EB2A8A"/>
    <w:rsid w:val="00EB7E37"/>
    <w:rsid w:val="00EC251A"/>
    <w:rsid w:val="00EC3FF2"/>
    <w:rsid w:val="00ED0720"/>
    <w:rsid w:val="00ED2DDA"/>
    <w:rsid w:val="00EE0413"/>
    <w:rsid w:val="00EE0973"/>
    <w:rsid w:val="00EE599B"/>
    <w:rsid w:val="00EF4827"/>
    <w:rsid w:val="00F0240A"/>
    <w:rsid w:val="00F121C1"/>
    <w:rsid w:val="00F16A39"/>
    <w:rsid w:val="00F20247"/>
    <w:rsid w:val="00F2175F"/>
    <w:rsid w:val="00F25594"/>
    <w:rsid w:val="00F31348"/>
    <w:rsid w:val="00F32BA7"/>
    <w:rsid w:val="00F34085"/>
    <w:rsid w:val="00F36215"/>
    <w:rsid w:val="00F36FB3"/>
    <w:rsid w:val="00F404F9"/>
    <w:rsid w:val="00F44F5D"/>
    <w:rsid w:val="00F6163C"/>
    <w:rsid w:val="00F6458D"/>
    <w:rsid w:val="00F65EC8"/>
    <w:rsid w:val="00F70EF4"/>
    <w:rsid w:val="00F72723"/>
    <w:rsid w:val="00F91A2C"/>
    <w:rsid w:val="00F9221E"/>
    <w:rsid w:val="00F94637"/>
    <w:rsid w:val="00F96938"/>
    <w:rsid w:val="00FA35FE"/>
    <w:rsid w:val="00FB30C6"/>
    <w:rsid w:val="00FC0A1B"/>
    <w:rsid w:val="00FC0DD8"/>
    <w:rsid w:val="00FC5390"/>
    <w:rsid w:val="00FC5EB6"/>
    <w:rsid w:val="00FC7BF7"/>
    <w:rsid w:val="00FD3E9A"/>
    <w:rsid w:val="00FD4A6D"/>
    <w:rsid w:val="00FD7D84"/>
    <w:rsid w:val="00FD7EDC"/>
    <w:rsid w:val="00FE41FD"/>
    <w:rsid w:val="00FE6F62"/>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2204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514">
      <w:bodyDiv w:val="1"/>
      <w:marLeft w:val="0"/>
      <w:marRight w:val="0"/>
      <w:marTop w:val="0"/>
      <w:marBottom w:val="0"/>
      <w:divBdr>
        <w:top w:val="none" w:sz="0" w:space="0" w:color="auto"/>
        <w:left w:val="none" w:sz="0" w:space="0" w:color="auto"/>
        <w:bottom w:val="none" w:sz="0" w:space="0" w:color="auto"/>
        <w:right w:val="none" w:sz="0" w:space="0" w:color="auto"/>
      </w:divBdr>
    </w:div>
    <w:div w:id="17452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1642-68BA-44E8-B6BC-2C122469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3529</Words>
  <Characters>19415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Diana Milena Giraldo Diez</cp:lastModifiedBy>
  <cp:revision>40</cp:revision>
  <cp:lastPrinted>2016-05-03T16:14:00Z</cp:lastPrinted>
  <dcterms:created xsi:type="dcterms:W3CDTF">2016-05-02T12:23:00Z</dcterms:created>
  <dcterms:modified xsi:type="dcterms:W3CDTF">2016-05-06T16:26:00Z</dcterms:modified>
</cp:coreProperties>
</file>