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45" w:rsidRDefault="00CD2257" w:rsidP="008B7145">
      <w:pPr>
        <w:pStyle w:val="Sinespaciado"/>
        <w:spacing w:line="360" w:lineRule="auto"/>
        <w:jc w:val="center"/>
        <w:rPr>
          <w:rFonts w:ascii="Arial" w:hAnsi="Arial"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inespaciado"/>
        <w:spacing w:line="360" w:lineRule="auto"/>
        <w:jc w:val="center"/>
        <w:rPr>
          <w:rFonts w:ascii="Arial" w:hAnsi="Arial" w:cs="Arial"/>
          <w:w w:val="140"/>
          <w:sz w:val="14"/>
          <w:szCs w:val="14"/>
        </w:rPr>
      </w:pPr>
    </w:p>
    <w:p w:rsidR="008B7145" w:rsidRPr="007860C0" w:rsidRDefault="008B7145" w:rsidP="008B71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009B54C5">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009B54C5">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8B7145" w:rsidRDefault="00045CE3" w:rsidP="00045CE3">
      <w:pPr>
        <w:spacing w:line="360" w:lineRule="auto"/>
        <w:jc w:val="center"/>
        <w:rPr>
          <w:rFonts w:ascii="Arial" w:hAnsi="Arial" w:cs="Arial"/>
          <w:b/>
          <w:bCs/>
          <w:sz w:val="22"/>
          <w:szCs w:val="22"/>
        </w:rPr>
      </w:pPr>
    </w:p>
    <w:p w:rsidR="00094BEA" w:rsidRPr="00C303BC" w:rsidRDefault="00094BEA" w:rsidP="00094BEA">
      <w:pPr>
        <w:pStyle w:val="Textoindependiente"/>
        <w:spacing w:line="360" w:lineRule="auto"/>
        <w:rPr>
          <w:rFonts w:ascii="Arial" w:hAnsi="Arial" w:cs="Arial"/>
          <w:sz w:val="22"/>
          <w:szCs w:val="22"/>
        </w:rPr>
      </w:pPr>
      <w:r w:rsidRPr="0040704F">
        <w:rPr>
          <w:rFonts w:ascii="Arial" w:hAnsi="Arial" w:cs="Arial"/>
          <w:sz w:val="22"/>
          <w:szCs w:val="22"/>
        </w:rPr>
        <w:tab/>
      </w:r>
      <w:r w:rsidR="00920096">
        <w:rPr>
          <w:rFonts w:ascii="Arial" w:hAnsi="Arial" w:cs="Arial"/>
          <w:sz w:val="22"/>
          <w:szCs w:val="22"/>
        </w:rPr>
        <w:tab/>
      </w:r>
      <w:r w:rsidRPr="00C303BC">
        <w:rPr>
          <w:rFonts w:ascii="Arial" w:hAnsi="Arial" w:cs="Arial"/>
          <w:sz w:val="22"/>
          <w:szCs w:val="22"/>
        </w:rPr>
        <w:t>Asunto</w:t>
      </w:r>
      <w:r w:rsidRPr="00C303BC">
        <w:rPr>
          <w:rFonts w:ascii="Arial" w:hAnsi="Arial" w:cs="Arial"/>
          <w:sz w:val="22"/>
          <w:szCs w:val="22"/>
        </w:rPr>
        <w:tab/>
      </w:r>
      <w:r w:rsidRPr="00C303BC">
        <w:rPr>
          <w:rFonts w:ascii="Arial" w:hAnsi="Arial" w:cs="Arial"/>
          <w:sz w:val="22"/>
          <w:szCs w:val="22"/>
        </w:rPr>
        <w:tab/>
      </w:r>
      <w:r w:rsidRPr="00C303BC">
        <w:rPr>
          <w:rFonts w:ascii="Arial" w:hAnsi="Arial" w:cs="Arial"/>
          <w:sz w:val="22"/>
          <w:szCs w:val="22"/>
        </w:rPr>
        <w:tab/>
      </w:r>
      <w:r w:rsidR="00920096">
        <w:rPr>
          <w:rFonts w:ascii="Arial" w:hAnsi="Arial" w:cs="Arial"/>
          <w:sz w:val="22"/>
          <w:szCs w:val="22"/>
        </w:rPr>
        <w:tab/>
      </w:r>
      <w:r w:rsidRPr="00C303BC">
        <w:rPr>
          <w:rFonts w:ascii="Arial" w:hAnsi="Arial" w:cs="Arial"/>
          <w:sz w:val="22"/>
          <w:szCs w:val="22"/>
        </w:rPr>
        <w:t xml:space="preserve">: Apelación </w:t>
      </w:r>
      <w:r w:rsidR="00920096">
        <w:rPr>
          <w:rFonts w:ascii="Arial" w:hAnsi="Arial" w:cs="Arial"/>
          <w:sz w:val="22"/>
          <w:szCs w:val="22"/>
        </w:rPr>
        <w:t>sentencia</w:t>
      </w:r>
      <w:r w:rsidR="007F0E1D">
        <w:rPr>
          <w:rFonts w:ascii="Arial" w:hAnsi="Arial" w:cs="Arial"/>
          <w:sz w:val="22"/>
          <w:szCs w:val="22"/>
        </w:rPr>
        <w:t xml:space="preserve">- </w:t>
      </w:r>
      <w:r w:rsidR="007F0E1D" w:rsidRPr="00C303BC">
        <w:rPr>
          <w:rFonts w:ascii="Arial" w:hAnsi="Arial" w:cs="Arial"/>
          <w:sz w:val="22"/>
          <w:szCs w:val="22"/>
        </w:rPr>
        <w:t>Dec</w:t>
      </w:r>
      <w:r w:rsidR="007F0E1D">
        <w:rPr>
          <w:rFonts w:ascii="Arial" w:hAnsi="Arial" w:cs="Arial"/>
          <w:sz w:val="22"/>
          <w:szCs w:val="22"/>
        </w:rPr>
        <w:t xml:space="preserve">lara </w:t>
      </w:r>
      <w:r w:rsidR="007F0E1D" w:rsidRPr="00CF4567">
        <w:rPr>
          <w:rFonts w:ascii="Arial" w:hAnsi="Arial" w:cs="Arial"/>
          <w:sz w:val="22"/>
          <w:szCs w:val="22"/>
        </w:rPr>
        <w:t>desierto</w:t>
      </w:r>
    </w:p>
    <w:p w:rsidR="00920096" w:rsidRPr="001D71FA" w:rsidRDefault="00920096" w:rsidP="00920096">
      <w:pPr>
        <w:spacing w:line="360" w:lineRule="auto"/>
        <w:ind w:left="708"/>
        <w:jc w:val="both"/>
        <w:rPr>
          <w:rFonts w:ascii="Arial" w:hAnsi="Arial"/>
          <w:sz w:val="22"/>
          <w:szCs w:val="22"/>
          <w:lang w:val="es-CO"/>
        </w:rPr>
      </w:pPr>
      <w:r w:rsidRPr="001D71FA">
        <w:rPr>
          <w:rFonts w:ascii="Arial" w:hAnsi="Arial" w:cs="Arial"/>
          <w:sz w:val="22"/>
          <w:szCs w:val="22"/>
        </w:rPr>
        <w:tab/>
        <w:t>Tipo de proceso</w:t>
      </w:r>
      <w:r w:rsidRPr="001D71FA">
        <w:rPr>
          <w:rFonts w:ascii="Arial" w:hAnsi="Arial" w:cs="Arial"/>
          <w:sz w:val="22"/>
          <w:szCs w:val="22"/>
        </w:rPr>
        <w:tab/>
      </w:r>
      <w:r w:rsidRPr="001D71FA">
        <w:rPr>
          <w:rFonts w:ascii="Arial" w:hAnsi="Arial" w:cs="Arial"/>
          <w:sz w:val="22"/>
          <w:szCs w:val="22"/>
        </w:rPr>
        <w:tab/>
        <w:t xml:space="preserve">: </w:t>
      </w:r>
      <w:r w:rsidR="00D31830">
        <w:rPr>
          <w:rFonts w:ascii="Arial" w:hAnsi="Arial" w:cs="Arial"/>
          <w:sz w:val="22"/>
          <w:szCs w:val="22"/>
        </w:rPr>
        <w:t xml:space="preserve">Verbal </w:t>
      </w:r>
      <w:r w:rsidRPr="001D71FA">
        <w:rPr>
          <w:rFonts w:ascii="Arial" w:hAnsi="Arial"/>
          <w:sz w:val="22"/>
          <w:szCs w:val="22"/>
          <w:lang w:val="es-CO"/>
        </w:rPr>
        <w:t xml:space="preserve">– </w:t>
      </w:r>
      <w:r w:rsidR="00D31830">
        <w:rPr>
          <w:rFonts w:ascii="Arial" w:hAnsi="Arial"/>
          <w:sz w:val="22"/>
          <w:szCs w:val="22"/>
          <w:lang w:val="es-CO"/>
        </w:rPr>
        <w:t>Unión marital de hecho</w:t>
      </w:r>
    </w:p>
    <w:p w:rsidR="00920096" w:rsidRPr="001D71FA" w:rsidRDefault="00920096" w:rsidP="00920096">
      <w:pPr>
        <w:spacing w:line="360" w:lineRule="auto"/>
        <w:ind w:left="4248" w:hanging="2832"/>
        <w:jc w:val="both"/>
        <w:rPr>
          <w:rFonts w:ascii="Arial" w:hAnsi="Arial"/>
          <w:sz w:val="22"/>
          <w:szCs w:val="22"/>
          <w:lang w:val="es-CO"/>
        </w:rPr>
      </w:pPr>
      <w:r w:rsidRPr="001D71FA">
        <w:rPr>
          <w:rFonts w:ascii="Arial" w:hAnsi="Arial" w:cs="Arial"/>
          <w:sz w:val="22"/>
          <w:szCs w:val="22"/>
          <w:lang w:val="es-CO"/>
        </w:rPr>
        <w:t>Demandante</w:t>
      </w:r>
      <w:r>
        <w:rPr>
          <w:rFonts w:ascii="Arial" w:hAnsi="Arial" w:cs="Arial"/>
          <w:sz w:val="22"/>
          <w:szCs w:val="22"/>
          <w:lang w:val="es-CO"/>
        </w:rPr>
        <w:t xml:space="preserve"> </w:t>
      </w:r>
      <w:r w:rsidRPr="001D71FA">
        <w:rPr>
          <w:rFonts w:ascii="Arial" w:hAnsi="Arial" w:cs="Arial"/>
          <w:sz w:val="22"/>
          <w:szCs w:val="22"/>
          <w:lang w:val="es-CO"/>
        </w:rPr>
        <w:tab/>
        <w:t xml:space="preserve">: </w:t>
      </w:r>
      <w:r w:rsidR="00D31830">
        <w:rPr>
          <w:rFonts w:ascii="Arial" w:hAnsi="Arial" w:cs="Arial"/>
          <w:sz w:val="22"/>
          <w:szCs w:val="22"/>
          <w:lang w:val="es-CO"/>
        </w:rPr>
        <w:t>María Eloisa Gallego Marín</w:t>
      </w:r>
    </w:p>
    <w:p w:rsidR="00920096" w:rsidRPr="001D71FA" w:rsidRDefault="00920096" w:rsidP="00920096">
      <w:pPr>
        <w:pStyle w:val="Textoindependiente"/>
        <w:spacing w:line="360" w:lineRule="auto"/>
        <w:ind w:left="708"/>
        <w:rPr>
          <w:rFonts w:ascii="Arial" w:hAnsi="Arial" w:cs="Arial"/>
          <w:sz w:val="22"/>
          <w:szCs w:val="22"/>
        </w:rPr>
      </w:pPr>
      <w:r w:rsidRPr="001D71FA">
        <w:rPr>
          <w:rFonts w:ascii="Arial" w:hAnsi="Arial" w:cs="Arial"/>
          <w:sz w:val="22"/>
          <w:szCs w:val="22"/>
          <w:lang w:val="es-CO"/>
        </w:rPr>
        <w:tab/>
        <w:t>Demandado</w:t>
      </w:r>
      <w:r>
        <w:rPr>
          <w:rFonts w:ascii="Arial" w:hAnsi="Arial" w:cs="Arial"/>
          <w:sz w:val="22"/>
          <w:szCs w:val="22"/>
          <w:lang w:val="es-CO"/>
        </w:rPr>
        <w:t xml:space="preserve"> </w:t>
      </w:r>
      <w:r w:rsidR="00D31830">
        <w:rPr>
          <w:rFonts w:ascii="Arial" w:hAnsi="Arial" w:cs="Arial"/>
          <w:sz w:val="22"/>
          <w:szCs w:val="22"/>
          <w:lang w:val="es-CO"/>
        </w:rPr>
        <w:tab/>
      </w:r>
      <w:r w:rsidRPr="001D71FA">
        <w:rPr>
          <w:rFonts w:ascii="Arial" w:hAnsi="Arial" w:cs="Arial"/>
          <w:sz w:val="22"/>
          <w:szCs w:val="22"/>
          <w:lang w:val="es-CO"/>
        </w:rPr>
        <w:tab/>
      </w:r>
      <w:r w:rsidRPr="001D71FA">
        <w:rPr>
          <w:rFonts w:ascii="Arial" w:hAnsi="Arial" w:cs="Arial"/>
          <w:sz w:val="22"/>
          <w:szCs w:val="22"/>
          <w:lang w:val="es-CO"/>
        </w:rPr>
        <w:tab/>
        <w:t xml:space="preserve">: </w:t>
      </w:r>
      <w:r w:rsidR="00D31830">
        <w:rPr>
          <w:rFonts w:ascii="Arial" w:hAnsi="Arial" w:cs="Arial"/>
          <w:sz w:val="22"/>
          <w:szCs w:val="22"/>
          <w:lang w:val="es-CO"/>
        </w:rPr>
        <w:t>Darío Germán Tovar Ospina</w:t>
      </w:r>
    </w:p>
    <w:p w:rsidR="00920096" w:rsidRDefault="00920096" w:rsidP="00920096">
      <w:pPr>
        <w:pStyle w:val="Textoindependiente"/>
        <w:spacing w:line="360" w:lineRule="auto"/>
        <w:ind w:left="708"/>
        <w:rPr>
          <w:rFonts w:ascii="Arial" w:hAnsi="Arial" w:cs="Arial"/>
          <w:sz w:val="22"/>
          <w:szCs w:val="22"/>
          <w:lang w:val="es-CO"/>
        </w:rPr>
      </w:pPr>
      <w:r w:rsidRPr="001D71FA">
        <w:rPr>
          <w:rFonts w:ascii="Arial" w:hAnsi="Arial" w:cs="Arial"/>
          <w:sz w:val="22"/>
          <w:szCs w:val="22"/>
          <w:lang w:val="es-CO"/>
        </w:rPr>
        <w:tab/>
        <w:t>Procedencia</w:t>
      </w:r>
      <w:r w:rsidRPr="001D71FA">
        <w:rPr>
          <w:rFonts w:ascii="Arial" w:hAnsi="Arial" w:cs="Arial"/>
          <w:sz w:val="22"/>
          <w:szCs w:val="22"/>
          <w:lang w:val="es-CO"/>
        </w:rPr>
        <w:tab/>
      </w:r>
      <w:r w:rsidRPr="001D71FA">
        <w:rPr>
          <w:rFonts w:ascii="Arial" w:hAnsi="Arial" w:cs="Arial"/>
          <w:sz w:val="22"/>
          <w:szCs w:val="22"/>
          <w:lang w:val="es-CO"/>
        </w:rPr>
        <w:tab/>
      </w:r>
      <w:r w:rsidRPr="001D71FA">
        <w:rPr>
          <w:rFonts w:ascii="Arial" w:hAnsi="Arial" w:cs="Arial"/>
          <w:sz w:val="22"/>
          <w:szCs w:val="22"/>
          <w:lang w:val="es-CO"/>
        </w:rPr>
        <w:tab/>
        <w:t xml:space="preserve">: Juzgado </w:t>
      </w:r>
      <w:r w:rsidR="00D31830">
        <w:rPr>
          <w:rFonts w:ascii="Arial" w:hAnsi="Arial" w:cs="Arial"/>
          <w:sz w:val="22"/>
          <w:szCs w:val="22"/>
          <w:lang w:val="es-CO"/>
        </w:rPr>
        <w:t>Único Promiscuo del Circuito de La Virginia</w:t>
      </w:r>
    </w:p>
    <w:p w:rsidR="0068721F" w:rsidRDefault="0068721F" w:rsidP="0068721F">
      <w:pPr>
        <w:pStyle w:val="Textoindependiente"/>
        <w:spacing w:line="360" w:lineRule="auto"/>
        <w:rPr>
          <w:rFonts w:ascii="Arial" w:hAnsi="Arial"/>
          <w:sz w:val="22"/>
          <w:szCs w:val="22"/>
        </w:rPr>
      </w:pPr>
      <w:r w:rsidRPr="002060F5">
        <w:rPr>
          <w:rFonts w:ascii="Arial" w:hAnsi="Arial" w:cs="Arial"/>
          <w:sz w:val="22"/>
          <w:szCs w:val="22"/>
        </w:rPr>
        <w:tab/>
      </w:r>
      <w:r w:rsidRPr="002060F5">
        <w:rPr>
          <w:rFonts w:ascii="Arial" w:hAnsi="Arial" w:cs="Arial"/>
          <w:sz w:val="22"/>
          <w:szCs w:val="22"/>
        </w:rPr>
        <w:tab/>
      </w:r>
      <w:r w:rsidRPr="00647549">
        <w:rPr>
          <w:rFonts w:ascii="Arial" w:hAnsi="Arial" w:cs="Arial"/>
          <w:sz w:val="22"/>
          <w:szCs w:val="22"/>
        </w:rPr>
        <w:t>Tema</w:t>
      </w:r>
      <w:r w:rsidRPr="00647549">
        <w:rPr>
          <w:rFonts w:ascii="Arial" w:hAnsi="Arial" w:cs="Arial"/>
          <w:sz w:val="22"/>
          <w:szCs w:val="22"/>
        </w:rPr>
        <w:tab/>
      </w:r>
      <w:r>
        <w:rPr>
          <w:rFonts w:ascii="Arial" w:hAnsi="Arial" w:cs="Arial"/>
          <w:sz w:val="22"/>
          <w:szCs w:val="22"/>
        </w:rPr>
        <w:tab/>
      </w:r>
      <w:r w:rsidRPr="00647549">
        <w:rPr>
          <w:rFonts w:ascii="Arial" w:hAnsi="Arial" w:cs="Arial"/>
          <w:sz w:val="22"/>
          <w:szCs w:val="22"/>
        </w:rPr>
        <w:tab/>
      </w:r>
      <w:r w:rsidRPr="00647549">
        <w:rPr>
          <w:rFonts w:ascii="Arial" w:hAnsi="Arial" w:cs="Arial"/>
          <w:sz w:val="22"/>
          <w:szCs w:val="22"/>
        </w:rPr>
        <w:tab/>
        <w:t>:</w:t>
      </w:r>
      <w:r w:rsidRPr="00647549">
        <w:rPr>
          <w:rFonts w:ascii="Arial" w:hAnsi="Arial" w:cs="Arial"/>
          <w:sz w:val="20"/>
          <w:szCs w:val="22"/>
        </w:rPr>
        <w:t xml:space="preserve"> </w:t>
      </w:r>
      <w:r w:rsidR="000F6CA9" w:rsidRPr="000F6CA9">
        <w:rPr>
          <w:rFonts w:ascii="Arial" w:hAnsi="Arial" w:cs="Arial"/>
          <w:sz w:val="22"/>
          <w:szCs w:val="22"/>
          <w:lang w:val="es-CO"/>
        </w:rPr>
        <w:t>Sustentación</w:t>
      </w:r>
      <w:r w:rsidR="000F6CA9">
        <w:rPr>
          <w:rFonts w:ascii="Arial" w:hAnsi="Arial" w:cs="Arial"/>
          <w:sz w:val="20"/>
          <w:szCs w:val="22"/>
        </w:rPr>
        <w:t xml:space="preserve"> </w:t>
      </w:r>
      <w:r w:rsidR="000F6CA9">
        <w:rPr>
          <w:rFonts w:ascii="Arial" w:hAnsi="Arial" w:cs="Arial"/>
          <w:sz w:val="22"/>
          <w:szCs w:val="22"/>
          <w:lang w:val="es-CO"/>
        </w:rPr>
        <w:t>–</w:t>
      </w:r>
      <w:r w:rsidRPr="0068721F">
        <w:rPr>
          <w:rFonts w:ascii="Arial" w:hAnsi="Arial" w:cs="Arial"/>
          <w:sz w:val="22"/>
          <w:szCs w:val="22"/>
          <w:lang w:val="es-CO"/>
        </w:rPr>
        <w:t xml:space="preserve"> </w:t>
      </w:r>
      <w:r w:rsidR="00D31830">
        <w:rPr>
          <w:rFonts w:ascii="Arial" w:hAnsi="Arial" w:cs="Arial"/>
          <w:sz w:val="22"/>
          <w:szCs w:val="22"/>
          <w:lang w:val="es-CO"/>
        </w:rPr>
        <w:t>Reparos</w:t>
      </w:r>
      <w:r w:rsidR="000F6CA9">
        <w:rPr>
          <w:rFonts w:ascii="Arial" w:hAnsi="Arial" w:cs="Arial"/>
          <w:sz w:val="22"/>
          <w:szCs w:val="22"/>
          <w:lang w:val="es-CO"/>
        </w:rPr>
        <w:t xml:space="preserve"> concretos – Deserción</w:t>
      </w:r>
    </w:p>
    <w:p w:rsidR="00920096" w:rsidRPr="001D71FA" w:rsidRDefault="00920096" w:rsidP="00920096">
      <w:pPr>
        <w:pStyle w:val="Textoindependiente"/>
        <w:spacing w:line="360" w:lineRule="auto"/>
        <w:ind w:left="708"/>
        <w:rPr>
          <w:rFonts w:ascii="Arial" w:hAnsi="Arial" w:cs="Arial"/>
          <w:sz w:val="22"/>
          <w:szCs w:val="22"/>
          <w:lang w:val="es-CO"/>
        </w:rPr>
      </w:pPr>
      <w:r w:rsidRPr="001D71FA">
        <w:rPr>
          <w:rFonts w:ascii="Arial" w:hAnsi="Arial" w:cs="Arial"/>
          <w:sz w:val="22"/>
          <w:szCs w:val="22"/>
          <w:lang w:val="es-CO"/>
        </w:rPr>
        <w:tab/>
        <w:t>Radicación</w:t>
      </w:r>
      <w:r w:rsidRPr="001D71FA">
        <w:rPr>
          <w:rFonts w:ascii="Arial" w:hAnsi="Arial" w:cs="Arial"/>
          <w:sz w:val="22"/>
          <w:szCs w:val="22"/>
          <w:lang w:val="es-CO"/>
        </w:rPr>
        <w:tab/>
      </w:r>
      <w:r w:rsidRPr="001D71FA">
        <w:rPr>
          <w:rFonts w:ascii="Arial" w:hAnsi="Arial" w:cs="Arial"/>
          <w:sz w:val="22"/>
          <w:szCs w:val="22"/>
          <w:lang w:val="es-CO"/>
        </w:rPr>
        <w:tab/>
      </w:r>
      <w:r w:rsidRPr="001D71FA">
        <w:rPr>
          <w:rFonts w:ascii="Arial" w:hAnsi="Arial" w:cs="Arial"/>
          <w:sz w:val="22"/>
          <w:szCs w:val="22"/>
          <w:lang w:val="es-CO"/>
        </w:rPr>
        <w:tab/>
        <w:t>: 201</w:t>
      </w:r>
      <w:r w:rsidR="00D31830">
        <w:rPr>
          <w:rFonts w:ascii="Arial" w:hAnsi="Arial" w:cs="Arial"/>
          <w:sz w:val="22"/>
          <w:szCs w:val="22"/>
          <w:lang w:val="es-CO"/>
        </w:rPr>
        <w:t>5-</w:t>
      </w:r>
      <w:r w:rsidRPr="001D71FA">
        <w:rPr>
          <w:rFonts w:ascii="Arial" w:hAnsi="Arial" w:cs="Arial"/>
          <w:sz w:val="22"/>
          <w:szCs w:val="22"/>
          <w:lang w:val="es-CO"/>
        </w:rPr>
        <w:t>00</w:t>
      </w:r>
      <w:r w:rsidR="00D31830">
        <w:rPr>
          <w:rFonts w:ascii="Arial" w:hAnsi="Arial" w:cs="Arial"/>
          <w:sz w:val="22"/>
          <w:szCs w:val="22"/>
          <w:lang w:val="es-CO"/>
        </w:rPr>
        <w:t>052</w:t>
      </w:r>
      <w:r w:rsidRPr="001D71FA">
        <w:rPr>
          <w:rFonts w:ascii="Arial" w:hAnsi="Arial" w:cs="Arial"/>
          <w:sz w:val="22"/>
          <w:szCs w:val="22"/>
          <w:lang w:val="es-CO"/>
        </w:rPr>
        <w:t>-0</w:t>
      </w:r>
      <w:r>
        <w:rPr>
          <w:rFonts w:ascii="Arial" w:hAnsi="Arial" w:cs="Arial"/>
          <w:sz w:val="22"/>
          <w:szCs w:val="22"/>
          <w:lang w:val="es-CO"/>
        </w:rPr>
        <w:t>1</w:t>
      </w:r>
      <w:r w:rsidRPr="001D71FA">
        <w:rPr>
          <w:rFonts w:ascii="Arial" w:hAnsi="Arial" w:cs="Arial"/>
          <w:sz w:val="22"/>
          <w:szCs w:val="22"/>
          <w:lang w:val="es-CO"/>
        </w:rPr>
        <w:t xml:space="preserve"> </w:t>
      </w:r>
    </w:p>
    <w:p w:rsidR="00AD10DB" w:rsidRPr="00920096" w:rsidRDefault="00920096" w:rsidP="00920096">
      <w:pPr>
        <w:pStyle w:val="Textoindependiente"/>
        <w:spacing w:line="360" w:lineRule="auto"/>
        <w:ind w:left="708"/>
        <w:rPr>
          <w:rFonts w:ascii="Arial" w:hAnsi="Arial" w:cs="Arial"/>
          <w:sz w:val="22"/>
          <w:szCs w:val="22"/>
          <w:lang w:val="es-CO"/>
        </w:rPr>
      </w:pPr>
      <w:r>
        <w:rPr>
          <w:rFonts w:ascii="Arial" w:hAnsi="Arial" w:cs="Arial"/>
          <w:sz w:val="22"/>
          <w:szCs w:val="22"/>
          <w:lang w:val="es-CO"/>
        </w:rPr>
        <w:tab/>
      </w:r>
      <w:r w:rsidR="00AD10DB" w:rsidRPr="00920096">
        <w:rPr>
          <w:rFonts w:ascii="Arial" w:hAnsi="Arial" w:cs="Arial"/>
          <w:sz w:val="22"/>
          <w:szCs w:val="22"/>
          <w:lang w:val="es-CO"/>
        </w:rPr>
        <w:t>Mag</w:t>
      </w:r>
      <w:r w:rsidR="0093651C" w:rsidRPr="00920096">
        <w:rPr>
          <w:rFonts w:ascii="Arial" w:hAnsi="Arial" w:cs="Arial"/>
          <w:sz w:val="22"/>
          <w:szCs w:val="22"/>
          <w:lang w:val="es-CO"/>
        </w:rPr>
        <w:t>.</w:t>
      </w:r>
      <w:r w:rsidR="00AD10DB" w:rsidRPr="00920096">
        <w:rPr>
          <w:rFonts w:ascii="Arial" w:hAnsi="Arial" w:cs="Arial"/>
          <w:sz w:val="22"/>
          <w:szCs w:val="22"/>
          <w:lang w:val="es-CO"/>
        </w:rPr>
        <w:t>Sustanciador</w:t>
      </w:r>
      <w:r w:rsidR="00AD10DB" w:rsidRPr="00920096">
        <w:rPr>
          <w:rFonts w:ascii="Arial" w:hAnsi="Arial" w:cs="Arial"/>
          <w:sz w:val="22"/>
          <w:szCs w:val="22"/>
          <w:lang w:val="es-CO"/>
        </w:rPr>
        <w:tab/>
      </w:r>
      <w:r>
        <w:rPr>
          <w:rFonts w:ascii="Arial" w:hAnsi="Arial" w:cs="Arial"/>
          <w:sz w:val="22"/>
          <w:szCs w:val="22"/>
          <w:lang w:val="es-CO"/>
        </w:rPr>
        <w:tab/>
      </w:r>
      <w:r w:rsidR="00AD10DB" w:rsidRPr="00920096">
        <w:rPr>
          <w:rFonts w:ascii="Arial" w:hAnsi="Arial" w:cs="Arial"/>
          <w:sz w:val="22"/>
          <w:szCs w:val="22"/>
          <w:lang w:val="es-CO"/>
        </w:rPr>
        <w:t xml:space="preserve">: </w:t>
      </w:r>
      <w:r w:rsidR="00AD10DB" w:rsidRPr="00920096">
        <w:rPr>
          <w:rFonts w:ascii="Arial" w:hAnsi="Arial" w:cs="Arial"/>
          <w:smallCaps/>
          <w:sz w:val="22"/>
          <w:szCs w:val="22"/>
          <w:lang w:val="es-CO"/>
        </w:rPr>
        <w:t>Duberney Grisales Herrera</w:t>
      </w:r>
    </w:p>
    <w:p w:rsidR="00AD10DB" w:rsidRPr="006D1BF2" w:rsidRDefault="00AD10DB" w:rsidP="00AD10DB">
      <w:pPr>
        <w:pBdr>
          <w:bottom w:val="double" w:sz="6" w:space="1" w:color="auto"/>
        </w:pBdr>
        <w:spacing w:line="360" w:lineRule="auto"/>
        <w:ind w:firstLine="708"/>
        <w:jc w:val="center"/>
        <w:rPr>
          <w:rFonts w:ascii="Arial" w:hAnsi="Arial" w:cs="Arial"/>
          <w:sz w:val="22"/>
          <w:szCs w:val="22"/>
        </w:rPr>
      </w:pPr>
    </w:p>
    <w:p w:rsidR="00AD10DB" w:rsidRDefault="00AD10DB" w:rsidP="00AD10DB">
      <w:pPr>
        <w:spacing w:line="360" w:lineRule="auto"/>
        <w:jc w:val="center"/>
        <w:rPr>
          <w:rFonts w:ascii="Arial" w:hAnsi="Arial" w:cs="Arial"/>
          <w:sz w:val="24"/>
          <w:szCs w:val="24"/>
        </w:rPr>
      </w:pPr>
    </w:p>
    <w:p w:rsidR="00AD10DB" w:rsidRPr="006E333E" w:rsidRDefault="003D5B0A" w:rsidP="00AD10DB">
      <w:pPr>
        <w:spacing w:line="360" w:lineRule="auto"/>
        <w:jc w:val="center"/>
        <w:rPr>
          <w:rFonts w:ascii="Arial" w:hAnsi="Arial" w:cs="Arial"/>
          <w:smallCaps/>
          <w:sz w:val="24"/>
          <w:szCs w:val="24"/>
        </w:rPr>
      </w:pPr>
      <w:r>
        <w:rPr>
          <w:rFonts w:ascii="Arial" w:hAnsi="Arial" w:cs="Arial"/>
          <w:smallCaps/>
          <w:sz w:val="24"/>
          <w:szCs w:val="24"/>
        </w:rPr>
        <w:t>Veintiséis</w:t>
      </w:r>
      <w:r w:rsidR="00D31830">
        <w:rPr>
          <w:rFonts w:ascii="Arial" w:hAnsi="Arial" w:cs="Arial"/>
          <w:smallCaps/>
          <w:sz w:val="24"/>
          <w:szCs w:val="24"/>
        </w:rPr>
        <w:t xml:space="preserve"> </w:t>
      </w:r>
      <w:r w:rsidR="00AD10DB" w:rsidRPr="006E333E">
        <w:rPr>
          <w:rFonts w:ascii="Arial" w:hAnsi="Arial" w:cs="Arial"/>
          <w:smallCaps/>
          <w:sz w:val="24"/>
          <w:szCs w:val="24"/>
        </w:rPr>
        <w:t>(</w:t>
      </w:r>
      <w:r w:rsidR="00D31830">
        <w:rPr>
          <w:rFonts w:ascii="Arial" w:hAnsi="Arial" w:cs="Arial"/>
          <w:smallCaps/>
          <w:sz w:val="24"/>
          <w:szCs w:val="24"/>
        </w:rPr>
        <w:t>2</w:t>
      </w:r>
      <w:r>
        <w:rPr>
          <w:rFonts w:ascii="Arial" w:hAnsi="Arial" w:cs="Arial"/>
          <w:smallCaps/>
          <w:sz w:val="24"/>
          <w:szCs w:val="24"/>
        </w:rPr>
        <w:t>6</w:t>
      </w:r>
      <w:r w:rsidR="00AD10DB" w:rsidRPr="006E333E">
        <w:rPr>
          <w:rFonts w:ascii="Arial" w:hAnsi="Arial" w:cs="Arial"/>
          <w:smallCaps/>
          <w:sz w:val="24"/>
          <w:szCs w:val="24"/>
        </w:rPr>
        <w:t xml:space="preserve">) de </w:t>
      </w:r>
      <w:r w:rsidR="00D31830">
        <w:rPr>
          <w:rFonts w:ascii="Arial" w:hAnsi="Arial" w:cs="Arial"/>
          <w:smallCaps/>
          <w:sz w:val="24"/>
          <w:szCs w:val="24"/>
        </w:rPr>
        <w:t xml:space="preserve">mayo </w:t>
      </w:r>
      <w:r w:rsidR="00AD10DB" w:rsidRPr="006E333E">
        <w:rPr>
          <w:rFonts w:ascii="Arial" w:hAnsi="Arial" w:cs="Arial"/>
          <w:smallCaps/>
          <w:sz w:val="24"/>
          <w:szCs w:val="24"/>
        </w:rPr>
        <w:t xml:space="preserve">de dos mil </w:t>
      </w:r>
      <w:r w:rsidR="00607759">
        <w:rPr>
          <w:rFonts w:ascii="Arial" w:hAnsi="Arial" w:cs="Arial"/>
          <w:smallCaps/>
          <w:sz w:val="24"/>
          <w:szCs w:val="24"/>
        </w:rPr>
        <w:t xml:space="preserve">dieciséis </w:t>
      </w:r>
      <w:r w:rsidR="00AD10DB" w:rsidRPr="006E333E">
        <w:rPr>
          <w:rFonts w:ascii="Arial" w:hAnsi="Arial" w:cs="Arial"/>
          <w:smallCaps/>
          <w:sz w:val="24"/>
          <w:szCs w:val="24"/>
        </w:rPr>
        <w:t>(201</w:t>
      </w:r>
      <w:r w:rsidR="00607759">
        <w:rPr>
          <w:rFonts w:ascii="Arial" w:hAnsi="Arial" w:cs="Arial"/>
          <w:smallCaps/>
          <w:sz w:val="24"/>
          <w:szCs w:val="24"/>
        </w:rPr>
        <w:t>6</w:t>
      </w:r>
      <w:r w:rsidR="00AD10DB" w:rsidRPr="006E333E">
        <w:rPr>
          <w:rFonts w:ascii="Arial" w:hAnsi="Arial" w:cs="Arial"/>
          <w:smallCaps/>
          <w:sz w:val="24"/>
          <w:szCs w:val="24"/>
        </w:rPr>
        <w:t>).</w:t>
      </w:r>
    </w:p>
    <w:p w:rsidR="00AD10DB" w:rsidRDefault="00AD10DB" w:rsidP="00AD10DB">
      <w:pPr>
        <w:spacing w:line="360" w:lineRule="auto"/>
        <w:jc w:val="both"/>
        <w:rPr>
          <w:rFonts w:ascii="Arial" w:hAnsi="Arial" w:cs="Arial"/>
          <w:sz w:val="24"/>
          <w:szCs w:val="24"/>
        </w:rPr>
      </w:pPr>
    </w:p>
    <w:p w:rsidR="00920096" w:rsidRDefault="00920096" w:rsidP="00AD10DB">
      <w:pPr>
        <w:spacing w:line="360" w:lineRule="auto"/>
        <w:jc w:val="both"/>
        <w:rPr>
          <w:rFonts w:ascii="Arial" w:hAnsi="Arial" w:cs="Arial"/>
          <w:sz w:val="24"/>
          <w:szCs w:val="24"/>
        </w:rPr>
      </w:pPr>
    </w:p>
    <w:p w:rsidR="007F0E1D" w:rsidRPr="00B50E55" w:rsidRDefault="007F0E1D" w:rsidP="007F0E1D">
      <w:pPr>
        <w:pStyle w:val="Sinespaciado"/>
        <w:widowControl/>
        <w:numPr>
          <w:ilvl w:val="0"/>
          <w:numId w:val="8"/>
        </w:numPr>
        <w:autoSpaceDE/>
        <w:autoSpaceDN/>
        <w:adjustRightInd/>
        <w:spacing w:line="360" w:lineRule="auto"/>
        <w:jc w:val="both"/>
        <w:rPr>
          <w:rFonts w:ascii="Arial" w:hAnsi="Arial" w:cs="Arial"/>
        </w:rPr>
      </w:pPr>
      <w:r>
        <w:rPr>
          <w:rFonts w:ascii="Arial" w:hAnsi="Arial" w:cs="Arial"/>
          <w:sz w:val="28"/>
          <w:szCs w:val="28"/>
        </w:rPr>
        <w:t>E</w:t>
      </w:r>
      <w:r>
        <w:rPr>
          <w:rFonts w:ascii="Arial" w:hAnsi="Arial" w:cs="Arial"/>
        </w:rPr>
        <w:t>L</w:t>
      </w:r>
      <w:r w:rsidRPr="00CF2E47">
        <w:rPr>
          <w:rFonts w:ascii="Arial" w:hAnsi="Arial" w:cs="Arial"/>
        </w:rPr>
        <w:t xml:space="preserve"> </w:t>
      </w:r>
      <w:r>
        <w:rPr>
          <w:rFonts w:ascii="Arial" w:hAnsi="Arial" w:cs="Arial"/>
        </w:rPr>
        <w:t>ASUNTO POR DECIDIR</w:t>
      </w:r>
    </w:p>
    <w:p w:rsidR="007F0E1D" w:rsidRPr="00125206" w:rsidRDefault="007F0E1D" w:rsidP="007F0E1D">
      <w:pPr>
        <w:pStyle w:val="Puesto"/>
        <w:spacing w:line="360" w:lineRule="auto"/>
        <w:jc w:val="left"/>
        <w:rPr>
          <w:b w:val="0"/>
          <w:bCs/>
          <w:i w:val="0"/>
          <w:iCs/>
          <w:spacing w:val="-3"/>
          <w:sz w:val="22"/>
          <w:szCs w:val="22"/>
          <w:lang w:val="es-ES_tradnl"/>
        </w:rPr>
      </w:pPr>
    </w:p>
    <w:p w:rsidR="007F0E1D" w:rsidRPr="00B40F83" w:rsidRDefault="007F0E1D" w:rsidP="007F0E1D">
      <w:pPr>
        <w:spacing w:line="360" w:lineRule="auto"/>
        <w:jc w:val="both"/>
        <w:rPr>
          <w:rFonts w:ascii="Arial" w:hAnsi="Arial" w:cs="Arial"/>
          <w:sz w:val="24"/>
          <w:szCs w:val="24"/>
        </w:rPr>
      </w:pPr>
      <w:r>
        <w:rPr>
          <w:rFonts w:ascii="Arial" w:hAnsi="Arial" w:cs="Arial"/>
          <w:sz w:val="24"/>
          <w:szCs w:val="24"/>
        </w:rPr>
        <w:t>La verificación de los supuestos de viabilidad de</w:t>
      </w:r>
      <w:r w:rsidRPr="00B40F83">
        <w:rPr>
          <w:rFonts w:ascii="Arial" w:hAnsi="Arial" w:cs="Arial"/>
          <w:sz w:val="24"/>
          <w:szCs w:val="24"/>
        </w:rPr>
        <w:t xml:space="preserve">l recurso ordinario de apelación propuesto por la parte </w:t>
      </w:r>
      <w:r>
        <w:rPr>
          <w:rFonts w:ascii="Arial" w:hAnsi="Arial" w:cs="Arial"/>
          <w:sz w:val="24"/>
          <w:szCs w:val="24"/>
        </w:rPr>
        <w:t>demandante</w:t>
      </w:r>
      <w:r w:rsidRPr="00B40F83">
        <w:rPr>
          <w:rFonts w:ascii="Arial" w:hAnsi="Arial" w:cs="Arial"/>
          <w:sz w:val="24"/>
          <w:szCs w:val="24"/>
        </w:rPr>
        <w:t xml:space="preserve">, contra </w:t>
      </w:r>
      <w:r w:rsidR="00920096">
        <w:rPr>
          <w:rFonts w:ascii="Arial" w:hAnsi="Arial" w:cs="Arial"/>
          <w:sz w:val="24"/>
          <w:szCs w:val="24"/>
        </w:rPr>
        <w:t xml:space="preserve">el fallo </w:t>
      </w:r>
      <w:r w:rsidR="0013682E">
        <w:rPr>
          <w:rFonts w:ascii="Arial" w:hAnsi="Arial" w:cs="Arial"/>
          <w:sz w:val="24"/>
          <w:szCs w:val="24"/>
        </w:rPr>
        <w:t xml:space="preserve">proferido el </w:t>
      </w:r>
      <w:r w:rsidR="00920096">
        <w:rPr>
          <w:rFonts w:ascii="Arial" w:hAnsi="Arial" w:cs="Arial"/>
          <w:sz w:val="24"/>
          <w:szCs w:val="24"/>
        </w:rPr>
        <w:t>2</w:t>
      </w:r>
      <w:r w:rsidR="0013682E">
        <w:rPr>
          <w:rFonts w:ascii="Arial" w:hAnsi="Arial" w:cs="Arial"/>
          <w:sz w:val="24"/>
          <w:szCs w:val="24"/>
        </w:rPr>
        <w:t>8</w:t>
      </w:r>
      <w:r w:rsidR="00920096">
        <w:rPr>
          <w:rFonts w:ascii="Arial" w:hAnsi="Arial" w:cs="Arial"/>
          <w:sz w:val="24"/>
          <w:szCs w:val="24"/>
        </w:rPr>
        <w:t>-0</w:t>
      </w:r>
      <w:r w:rsidR="0013682E">
        <w:rPr>
          <w:rFonts w:ascii="Arial" w:hAnsi="Arial" w:cs="Arial"/>
          <w:sz w:val="24"/>
          <w:szCs w:val="24"/>
        </w:rPr>
        <w:t>4</w:t>
      </w:r>
      <w:r>
        <w:rPr>
          <w:rFonts w:ascii="Arial" w:hAnsi="Arial" w:cs="Arial"/>
          <w:sz w:val="24"/>
          <w:szCs w:val="24"/>
        </w:rPr>
        <w:t>-201</w:t>
      </w:r>
      <w:r w:rsidR="0013682E">
        <w:rPr>
          <w:rFonts w:ascii="Arial" w:hAnsi="Arial" w:cs="Arial"/>
          <w:sz w:val="24"/>
          <w:szCs w:val="24"/>
        </w:rPr>
        <w:t>6</w:t>
      </w:r>
      <w:r>
        <w:rPr>
          <w:rFonts w:ascii="Arial" w:hAnsi="Arial" w:cs="Arial"/>
          <w:sz w:val="24"/>
          <w:szCs w:val="24"/>
        </w:rPr>
        <w:t xml:space="preserve"> que de</w:t>
      </w:r>
      <w:r w:rsidR="00920096">
        <w:rPr>
          <w:rFonts w:ascii="Arial" w:hAnsi="Arial" w:cs="Arial"/>
          <w:sz w:val="24"/>
          <w:szCs w:val="24"/>
        </w:rPr>
        <w:t>sestimó las pretensiones de la demanda</w:t>
      </w:r>
      <w:r w:rsidRPr="00B40F83">
        <w:rPr>
          <w:rFonts w:ascii="Arial" w:hAnsi="Arial" w:cs="Arial"/>
          <w:sz w:val="24"/>
          <w:szCs w:val="24"/>
        </w:rPr>
        <w:t>, previas las apreciaciones jurídicas que enseguida se plantean.</w:t>
      </w:r>
    </w:p>
    <w:p w:rsidR="007F0E1D" w:rsidRDefault="007F0E1D" w:rsidP="007F0E1D">
      <w:pPr>
        <w:pStyle w:val="Sinespaciado"/>
        <w:widowControl/>
        <w:autoSpaceDE/>
        <w:autoSpaceDN/>
        <w:adjustRightInd/>
        <w:spacing w:line="360" w:lineRule="auto"/>
        <w:jc w:val="both"/>
        <w:rPr>
          <w:rFonts w:ascii="Arial" w:hAnsi="Arial" w:cs="Arial"/>
        </w:rPr>
      </w:pPr>
    </w:p>
    <w:p w:rsidR="007F0E1D" w:rsidRDefault="007F0E1D" w:rsidP="007F0E1D">
      <w:pPr>
        <w:pStyle w:val="Sinespaciado"/>
        <w:widowControl/>
        <w:autoSpaceDE/>
        <w:autoSpaceDN/>
        <w:adjustRightInd/>
        <w:spacing w:line="360" w:lineRule="auto"/>
        <w:jc w:val="both"/>
        <w:rPr>
          <w:rFonts w:ascii="Arial" w:hAnsi="Arial" w:cs="Arial"/>
        </w:rPr>
      </w:pPr>
    </w:p>
    <w:p w:rsidR="007F0E1D" w:rsidRDefault="007F0E1D" w:rsidP="007F0E1D">
      <w:pPr>
        <w:pStyle w:val="Sinespaciado"/>
        <w:numPr>
          <w:ilvl w:val="0"/>
          <w:numId w:val="8"/>
        </w:numPr>
        <w:spacing w:line="360" w:lineRule="auto"/>
        <w:jc w:val="both"/>
        <w:rPr>
          <w:rFonts w:ascii="Arial" w:hAnsi="Arial" w:cs="Arial"/>
        </w:rPr>
      </w:pPr>
      <w:r w:rsidRPr="00DB7C98">
        <w:rPr>
          <w:rFonts w:ascii="Arial" w:hAnsi="Arial" w:cs="Arial"/>
          <w:sz w:val="28"/>
          <w:szCs w:val="28"/>
        </w:rPr>
        <w:t>L</w:t>
      </w:r>
      <w:r w:rsidRPr="00CF2E47">
        <w:rPr>
          <w:rFonts w:ascii="Arial" w:hAnsi="Arial" w:cs="Arial"/>
        </w:rPr>
        <w:t>AS ESTIMACIONES JURÍDICAS PARA DECIDIR</w:t>
      </w:r>
    </w:p>
    <w:p w:rsidR="007F0E1D" w:rsidRDefault="007F0E1D" w:rsidP="007F0E1D">
      <w:pPr>
        <w:spacing w:line="360" w:lineRule="auto"/>
        <w:jc w:val="both"/>
        <w:rPr>
          <w:rFonts w:ascii="Arial" w:hAnsi="Arial" w:cs="Arial"/>
          <w:sz w:val="24"/>
          <w:szCs w:val="24"/>
        </w:rPr>
      </w:pPr>
    </w:p>
    <w:p w:rsidR="007F0E1D" w:rsidRDefault="007F0E1D" w:rsidP="007F0E1D">
      <w:pPr>
        <w:spacing w:line="360" w:lineRule="auto"/>
        <w:jc w:val="both"/>
        <w:rPr>
          <w:rFonts w:ascii="Arial" w:hAnsi="Arial" w:cs="Arial"/>
          <w:sz w:val="24"/>
          <w:szCs w:val="24"/>
        </w:rPr>
      </w:pPr>
      <w:r>
        <w:rPr>
          <w:rFonts w:ascii="Arial" w:hAnsi="Arial" w:cs="Arial"/>
          <w:sz w:val="24"/>
          <w:szCs w:val="24"/>
        </w:rPr>
        <w:t>2.1. Los requisitos de viabilidad de un recurso</w:t>
      </w:r>
    </w:p>
    <w:p w:rsidR="007F0E1D" w:rsidRPr="00AC3AFA" w:rsidRDefault="007F0E1D" w:rsidP="007F0E1D">
      <w:pPr>
        <w:spacing w:line="360" w:lineRule="auto"/>
        <w:jc w:val="both"/>
        <w:rPr>
          <w:rFonts w:ascii="Arial" w:hAnsi="Arial" w:cs="Arial"/>
          <w:sz w:val="24"/>
          <w:szCs w:val="24"/>
        </w:rPr>
      </w:pPr>
    </w:p>
    <w:p w:rsidR="007F0E1D" w:rsidRPr="002E1265" w:rsidRDefault="007F0E1D" w:rsidP="007F0E1D">
      <w:pPr>
        <w:spacing w:line="360" w:lineRule="auto"/>
        <w:jc w:val="both"/>
        <w:rPr>
          <w:rFonts w:ascii="Arial" w:hAnsi="Arial" w:cs="Arial"/>
          <w:sz w:val="24"/>
          <w:szCs w:val="24"/>
        </w:rPr>
      </w:pPr>
      <w:r w:rsidRPr="002E1265">
        <w:rPr>
          <w:rFonts w:ascii="Arial" w:hAnsi="Arial" w:cs="Arial"/>
          <w:sz w:val="24"/>
          <w:szCs w:val="24"/>
        </w:rPr>
        <w:t>Desde la óptica procesal, en presencia de los recursos, deben siempre concurrir los llamados presupuestos de viabilidad</w:t>
      </w:r>
      <w:r>
        <w:rPr>
          <w:rFonts w:ascii="Arial" w:hAnsi="Arial" w:cs="Arial"/>
          <w:sz w:val="24"/>
          <w:szCs w:val="24"/>
        </w:rPr>
        <w:t xml:space="preserve"> o trámite del recurso</w:t>
      </w:r>
      <w:r w:rsidRPr="002E1265">
        <w:rPr>
          <w:rFonts w:ascii="Arial" w:hAnsi="Arial" w:cs="Arial"/>
          <w:sz w:val="24"/>
          <w:szCs w:val="24"/>
        </w:rPr>
        <w:t>, al decir de la doctrina 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2E1265">
        <w:rPr>
          <w:rFonts w:ascii="Arial" w:hAnsi="Arial" w:cs="Arial"/>
          <w:sz w:val="24"/>
          <w:szCs w:val="24"/>
        </w:rPr>
        <w:t>, a efecto</w:t>
      </w:r>
      <w:r>
        <w:rPr>
          <w:rFonts w:ascii="Arial" w:hAnsi="Arial" w:cs="Arial"/>
          <w:sz w:val="24"/>
          <w:szCs w:val="24"/>
        </w:rPr>
        <w:t>s de examinar el tema de apelación.</w:t>
      </w:r>
    </w:p>
    <w:p w:rsidR="007F0E1D" w:rsidRPr="00B27CC5" w:rsidRDefault="007F0E1D" w:rsidP="007F0E1D">
      <w:pPr>
        <w:pStyle w:val="Sinespaciado"/>
        <w:spacing w:line="360" w:lineRule="auto"/>
        <w:jc w:val="both"/>
        <w:rPr>
          <w:rFonts w:ascii="Arial" w:hAnsi="Arial" w:cs="Arial"/>
        </w:rPr>
      </w:pPr>
    </w:p>
    <w:p w:rsidR="009C5DFB" w:rsidRDefault="007F0E1D" w:rsidP="007F0E1D">
      <w:pPr>
        <w:pStyle w:val="Sinespaciado"/>
        <w:spacing w:line="360" w:lineRule="auto"/>
        <w:jc w:val="both"/>
        <w:rPr>
          <w:rFonts w:ascii="Arial" w:hAnsi="Arial" w:cs="Arial"/>
        </w:rPr>
      </w:pPr>
      <w:r w:rsidRPr="00B27CC5">
        <w:rPr>
          <w:rFonts w:ascii="Arial" w:hAnsi="Arial" w:cs="Arial"/>
        </w:rPr>
        <w:t xml:space="preserve">Se dice que los aludidos presupuestos son una serie de exigencias normativas formales </w:t>
      </w:r>
      <w:r w:rsidRPr="00B27CC5">
        <w:rPr>
          <w:rFonts w:ascii="Arial" w:hAnsi="Arial" w:cs="Arial"/>
        </w:rPr>
        <w:lastRenderedPageBreak/>
        <w:t xml:space="preserve">que permiten su trámite y aseguran su decisión.  Y como anota el profesor López Blanco: </w:t>
      </w:r>
      <w:r w:rsidRPr="009C5DFB">
        <w:rPr>
          <w:rFonts w:ascii="Arial" w:hAnsi="Arial" w:cs="Arial"/>
          <w:sz w:val="22"/>
        </w:rPr>
        <w:t>“</w:t>
      </w:r>
      <w:r w:rsidRPr="009C5DFB">
        <w:rPr>
          <w:rFonts w:ascii="Arial" w:hAnsi="Arial" w:cs="Arial"/>
          <w:i/>
          <w:iCs/>
          <w:sz w:val="22"/>
        </w:rPr>
        <w:t xml:space="preserve">En todo caso sin estar reunidos los requisitos de viabilidad del recurso jamás podrá tener éxito el mismo por constituir </w:t>
      </w:r>
      <w:r w:rsidR="00825EA0" w:rsidRPr="009C5DFB">
        <w:rPr>
          <w:rFonts w:ascii="Arial" w:hAnsi="Arial" w:cs="Arial"/>
          <w:i/>
          <w:iCs/>
          <w:sz w:val="22"/>
        </w:rPr>
        <w:t xml:space="preserve">el lleno de ellos </w:t>
      </w:r>
      <w:r w:rsidRPr="009C5DFB">
        <w:rPr>
          <w:rFonts w:ascii="Arial" w:hAnsi="Arial" w:cs="Arial"/>
          <w:i/>
          <w:iCs/>
          <w:sz w:val="22"/>
        </w:rPr>
        <w:t>un precedente necesario para decidirlo</w:t>
      </w:r>
      <w:r w:rsidR="00825EA0" w:rsidRPr="009C5DFB">
        <w:rPr>
          <w:rFonts w:ascii="Arial" w:hAnsi="Arial" w:cs="Arial"/>
          <w:i/>
          <w:iCs/>
          <w:sz w:val="22"/>
        </w:rPr>
        <w:t xml:space="preserve"> (…)</w:t>
      </w:r>
      <w:r w:rsidRPr="009C5DFB">
        <w:rPr>
          <w:rFonts w:ascii="Arial" w:hAnsi="Arial" w:cs="Arial"/>
          <w:i/>
          <w:iCs/>
          <w:sz w:val="22"/>
        </w:rPr>
        <w:t>.</w:t>
      </w:r>
      <w:r w:rsidRPr="009C5DFB">
        <w:rPr>
          <w:rFonts w:ascii="Arial" w:hAnsi="Arial" w:cs="Arial"/>
          <w:sz w:val="22"/>
        </w:rPr>
        <w:t>”</w:t>
      </w:r>
      <w:r w:rsidRPr="00B27CC5">
        <w:rPr>
          <w:rFonts w:ascii="Arial" w:hAnsi="Arial" w:cs="Arial"/>
          <w:vertAlign w:val="superscript"/>
        </w:rPr>
        <w:footnoteReference w:id="3"/>
      </w:r>
      <w:r w:rsidRPr="00B27CC5">
        <w:rPr>
          <w:rFonts w:ascii="Arial" w:hAnsi="Arial" w:cs="Arial"/>
        </w:rPr>
        <w:t xml:space="preserve">.  </w:t>
      </w:r>
    </w:p>
    <w:p w:rsidR="009C5DFB" w:rsidRDefault="009C5DFB" w:rsidP="007F0E1D">
      <w:pPr>
        <w:pStyle w:val="Sinespaciado"/>
        <w:spacing w:line="360" w:lineRule="auto"/>
        <w:jc w:val="both"/>
        <w:rPr>
          <w:rFonts w:ascii="Arial" w:hAnsi="Arial" w:cs="Arial"/>
        </w:rPr>
      </w:pPr>
    </w:p>
    <w:p w:rsidR="00A70B4D" w:rsidRDefault="007F0E1D" w:rsidP="007F0E1D">
      <w:pPr>
        <w:pStyle w:val="Sinespaciado"/>
        <w:spacing w:line="360" w:lineRule="auto"/>
        <w:jc w:val="both"/>
        <w:rPr>
          <w:rFonts w:ascii="Arial" w:hAnsi="Arial" w:cs="Arial"/>
        </w:rPr>
      </w:pPr>
      <w:r w:rsidRPr="00B27CC5">
        <w:rPr>
          <w:rFonts w:ascii="Arial" w:hAnsi="Arial" w:cs="Arial"/>
        </w:rPr>
        <w:t>Explica el profesor Rojas Gómez</w:t>
      </w:r>
      <w:r w:rsidRPr="00B27CC5">
        <w:rPr>
          <w:rStyle w:val="Refdenotaalpie"/>
          <w:rFonts w:ascii="Arial" w:hAnsi="Arial" w:cs="Arial"/>
        </w:rPr>
        <w:footnoteReference w:id="4"/>
      </w:r>
      <w:r w:rsidRPr="00B27CC5">
        <w:rPr>
          <w:rFonts w:ascii="Arial" w:hAnsi="Arial" w:cs="Arial"/>
        </w:rPr>
        <w:t xml:space="preserve"> en su obra: </w:t>
      </w:r>
      <w:r w:rsidRPr="009C5DFB">
        <w:rPr>
          <w:rFonts w:ascii="Arial" w:hAnsi="Arial" w:cs="Arial"/>
          <w:sz w:val="22"/>
        </w:rPr>
        <w:t>“</w:t>
      </w:r>
      <w:r w:rsidRPr="009C5DFB">
        <w:rPr>
          <w:rFonts w:ascii="Arial" w:hAnsi="Arial" w:cs="Arial"/>
          <w:i/>
          <w:iCs/>
          <w:sz w:val="22"/>
        </w:rPr>
        <w:t xml:space="preserve">Ya se ha dicho que el empleo de un recurso no </w:t>
      </w:r>
      <w:r w:rsidRPr="009C5DFB">
        <w:rPr>
          <w:rFonts w:ascii="Arial" w:hAnsi="Arial" w:cs="Arial"/>
          <w:i/>
          <w:iCs/>
          <w:sz w:val="22"/>
          <w:u w:val="single"/>
        </w:rPr>
        <w:t>está supeditado a que el impugnante le asista razón en su disentimiento, pues ello sólo se definirá después de haberlo sometido al trámite correspondiente</w:t>
      </w:r>
      <w:r w:rsidRPr="009C5DFB">
        <w:rPr>
          <w:rFonts w:ascii="Arial" w:hAnsi="Arial" w:cs="Arial"/>
          <w:i/>
          <w:iCs/>
          <w:sz w:val="22"/>
        </w:rPr>
        <w:t>.</w:t>
      </w:r>
      <w:r w:rsidRPr="009C5DFB">
        <w:rPr>
          <w:rFonts w:ascii="Arial" w:hAnsi="Arial" w:cs="Arial"/>
          <w:sz w:val="22"/>
        </w:rPr>
        <w:t>”</w:t>
      </w:r>
      <w:r w:rsidR="001E7DAD">
        <w:rPr>
          <w:rFonts w:ascii="Arial" w:hAnsi="Arial" w:cs="Arial"/>
          <w:sz w:val="22"/>
        </w:rPr>
        <w:t xml:space="preserve"> </w:t>
      </w:r>
      <w:r w:rsidR="001E7DAD" w:rsidRPr="001E7DAD">
        <w:rPr>
          <w:rFonts w:ascii="Arial" w:hAnsi="Arial" w:cs="Arial"/>
        </w:rPr>
        <w:t>(Sublínea de esta Sala)</w:t>
      </w:r>
      <w:r w:rsidRPr="00B27CC5">
        <w:rPr>
          <w:rFonts w:ascii="Arial" w:hAnsi="Arial" w:cs="Arial"/>
        </w:rPr>
        <w:t xml:space="preserve">. </w:t>
      </w:r>
    </w:p>
    <w:p w:rsidR="00A70B4D" w:rsidRDefault="00A70B4D" w:rsidP="007F0E1D">
      <w:pPr>
        <w:pStyle w:val="Sinespaciado"/>
        <w:spacing w:line="360" w:lineRule="auto"/>
        <w:jc w:val="both"/>
        <w:rPr>
          <w:rFonts w:ascii="Arial" w:hAnsi="Arial" w:cs="Arial"/>
        </w:rPr>
      </w:pPr>
    </w:p>
    <w:p w:rsidR="007F0E1D" w:rsidRDefault="007F0E1D" w:rsidP="007F0E1D">
      <w:pPr>
        <w:pStyle w:val="Sinespaciado"/>
        <w:spacing w:line="360" w:lineRule="auto"/>
        <w:jc w:val="both"/>
        <w:rPr>
          <w:rFonts w:ascii="Arial" w:hAnsi="Arial" w:cs="Arial"/>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A70B4D">
        <w:rPr>
          <w:rFonts w:ascii="Arial" w:hAnsi="Arial" w:cs="Arial"/>
        </w:rPr>
        <w:t>Esos supuestos</w:t>
      </w:r>
      <w:r w:rsidR="00C608FF">
        <w:rPr>
          <w:rFonts w:ascii="Arial" w:hAnsi="Arial" w:cs="Arial"/>
        </w:rPr>
        <w:t xml:space="preserve"> </w:t>
      </w:r>
      <w:r w:rsidR="00A70B4D">
        <w:rPr>
          <w:rFonts w:ascii="Arial" w:hAnsi="Arial" w:cs="Arial"/>
        </w:rPr>
        <w:t xml:space="preserve">son </w:t>
      </w:r>
      <w:r w:rsidRPr="002E1265">
        <w:rPr>
          <w:rFonts w:ascii="Arial" w:hAnsi="Arial" w:cs="Arial"/>
        </w:rPr>
        <w:t>legitimación, oportuni</w:t>
      </w:r>
      <w:r>
        <w:rPr>
          <w:rFonts w:ascii="Arial" w:hAnsi="Arial" w:cs="Arial"/>
        </w:rPr>
        <w:t>dad, procedencia</w:t>
      </w:r>
      <w:r w:rsidR="001E7DAD">
        <w:rPr>
          <w:rFonts w:ascii="Arial" w:hAnsi="Arial" w:cs="Arial"/>
        </w:rPr>
        <w:t xml:space="preserve"> y cargas procesales</w:t>
      </w:r>
      <w:r w:rsidR="009151F5">
        <w:rPr>
          <w:rFonts w:ascii="Arial" w:hAnsi="Arial" w:cs="Arial"/>
        </w:rPr>
        <w:t xml:space="preserve"> (Sustentación, expedición de copias, etc)</w:t>
      </w:r>
      <w:r w:rsidR="00C608FF">
        <w:rPr>
          <w:rFonts w:ascii="Arial" w:hAnsi="Arial" w:cs="Arial"/>
        </w:rPr>
        <w:t>, es necesario precisar desde ya que</w:t>
      </w:r>
      <w:r w:rsidR="00E04130">
        <w:rPr>
          <w:rFonts w:ascii="Arial" w:hAnsi="Arial" w:cs="Arial"/>
        </w:rPr>
        <w:t>,</w:t>
      </w:r>
      <w:r w:rsidR="00C608FF">
        <w:rPr>
          <w:rFonts w:ascii="Arial" w:hAnsi="Arial" w:cs="Arial"/>
        </w:rPr>
        <w:t xml:space="preserve"> los tres primeros implican la inadmisibilidad del recurso mientras </w:t>
      </w:r>
      <w:r w:rsidR="00E04130">
        <w:rPr>
          <w:rFonts w:ascii="Arial" w:hAnsi="Arial" w:cs="Arial"/>
        </w:rPr>
        <w:t xml:space="preserve">que, </w:t>
      </w:r>
      <w:r w:rsidR="00C608FF">
        <w:rPr>
          <w:rFonts w:ascii="Arial" w:hAnsi="Arial" w:cs="Arial"/>
        </w:rPr>
        <w:t xml:space="preserve">el cuarto, </w:t>
      </w:r>
      <w:r w:rsidR="00E04130">
        <w:rPr>
          <w:rFonts w:ascii="Arial" w:hAnsi="Arial" w:cs="Arial"/>
        </w:rPr>
        <w:t>provoca</w:t>
      </w:r>
      <w:r w:rsidR="00C608FF">
        <w:rPr>
          <w:rFonts w:ascii="Arial" w:hAnsi="Arial" w:cs="Arial"/>
        </w:rPr>
        <w:t xml:space="preserve"> </w:t>
      </w:r>
      <w:r w:rsidR="00E04130">
        <w:rPr>
          <w:rFonts w:ascii="Arial" w:hAnsi="Arial" w:cs="Arial"/>
        </w:rPr>
        <w:t>la</w:t>
      </w:r>
      <w:r w:rsidR="00C608FF">
        <w:rPr>
          <w:rFonts w:ascii="Arial" w:hAnsi="Arial" w:cs="Arial"/>
        </w:rPr>
        <w:t xml:space="preserve"> deserción del mismo, tal como lo acota el tratadista </w:t>
      </w:r>
      <w:r w:rsidR="00C608FF" w:rsidRPr="00B27CC5">
        <w:rPr>
          <w:rFonts w:ascii="Arial" w:hAnsi="Arial" w:cs="Arial"/>
        </w:rPr>
        <w:t>López Blanco</w:t>
      </w:r>
      <w:r w:rsidR="00C608FF">
        <w:rPr>
          <w:rStyle w:val="Refdenotaalpie"/>
          <w:rFonts w:ascii="Arial" w:hAnsi="Arial"/>
        </w:rPr>
        <w:footnoteReference w:id="5"/>
      </w:r>
      <w:r w:rsidR="00C11794">
        <w:rPr>
          <w:rFonts w:ascii="Arial" w:hAnsi="Arial" w:cs="Arial"/>
        </w:rPr>
        <w:t>.</w:t>
      </w:r>
    </w:p>
    <w:p w:rsidR="007F0E1D" w:rsidRPr="002E1265" w:rsidRDefault="007F0E1D" w:rsidP="007F0E1D">
      <w:pPr>
        <w:pStyle w:val="Sinespaciado"/>
        <w:spacing w:line="360" w:lineRule="auto"/>
        <w:jc w:val="both"/>
        <w:rPr>
          <w:rFonts w:ascii="Arial" w:hAnsi="Arial" w:cs="Arial"/>
        </w:rPr>
      </w:pPr>
    </w:p>
    <w:p w:rsidR="00B75C6A" w:rsidRPr="00B75C6A" w:rsidRDefault="007F0E1D" w:rsidP="00B75C6A">
      <w:pPr>
        <w:spacing w:line="360" w:lineRule="auto"/>
        <w:jc w:val="both"/>
        <w:rPr>
          <w:rFonts w:ascii="Arial" w:hAnsi="Arial" w:cs="Arial"/>
          <w:sz w:val="24"/>
          <w:szCs w:val="24"/>
        </w:rPr>
      </w:pPr>
      <w:r w:rsidRPr="00B75C6A">
        <w:rPr>
          <w:rFonts w:ascii="Arial" w:hAnsi="Arial" w:cs="Arial"/>
          <w:sz w:val="24"/>
          <w:szCs w:val="24"/>
        </w:rPr>
        <w:t xml:space="preserve">Frente a los tres primeros el estudio se </w:t>
      </w:r>
      <w:r w:rsidR="0084781D" w:rsidRPr="00B75C6A">
        <w:rPr>
          <w:rFonts w:ascii="Arial" w:hAnsi="Arial" w:cs="Arial"/>
          <w:sz w:val="24"/>
          <w:szCs w:val="24"/>
        </w:rPr>
        <w:t>da</w:t>
      </w:r>
      <w:r w:rsidR="0062131C" w:rsidRPr="00B75C6A">
        <w:rPr>
          <w:rFonts w:ascii="Arial" w:hAnsi="Arial" w:cs="Arial"/>
          <w:sz w:val="24"/>
          <w:szCs w:val="24"/>
        </w:rPr>
        <w:t xml:space="preserve"> por s</w:t>
      </w:r>
      <w:r w:rsidRPr="00B75C6A">
        <w:rPr>
          <w:rFonts w:ascii="Arial" w:hAnsi="Arial" w:cs="Arial"/>
          <w:sz w:val="24"/>
          <w:szCs w:val="24"/>
        </w:rPr>
        <w:t>uperado</w:t>
      </w:r>
      <w:r w:rsidR="0062131C" w:rsidRPr="00B75C6A">
        <w:rPr>
          <w:rFonts w:ascii="Arial" w:hAnsi="Arial" w:cs="Arial"/>
          <w:sz w:val="24"/>
          <w:szCs w:val="24"/>
        </w:rPr>
        <w:t>,</w:t>
      </w:r>
      <w:r w:rsidR="0084781D" w:rsidRPr="00B75C6A">
        <w:rPr>
          <w:rFonts w:ascii="Arial" w:hAnsi="Arial" w:cs="Arial"/>
          <w:sz w:val="24"/>
          <w:szCs w:val="24"/>
        </w:rPr>
        <w:t xml:space="preserve"> dado que:</w:t>
      </w:r>
      <w:r w:rsidRPr="00B75C6A">
        <w:rPr>
          <w:rFonts w:ascii="Arial" w:hAnsi="Arial" w:cs="Arial"/>
          <w:sz w:val="24"/>
          <w:szCs w:val="24"/>
        </w:rPr>
        <w:t xml:space="preserve"> </w:t>
      </w:r>
      <w:r w:rsidR="0084781D" w:rsidRPr="00B75C6A">
        <w:rPr>
          <w:rFonts w:ascii="Arial" w:hAnsi="Arial" w:cs="Arial"/>
          <w:sz w:val="24"/>
          <w:szCs w:val="24"/>
        </w:rPr>
        <w:t xml:space="preserve">(i) Hay legitimación </w:t>
      </w:r>
      <w:r w:rsidR="001E7DAD">
        <w:rPr>
          <w:rFonts w:ascii="Arial" w:hAnsi="Arial" w:cs="Arial"/>
          <w:sz w:val="24"/>
          <w:szCs w:val="24"/>
        </w:rPr>
        <w:t xml:space="preserve">o interés </w:t>
      </w:r>
      <w:r w:rsidR="0084781D" w:rsidRPr="00B75C6A">
        <w:rPr>
          <w:rFonts w:ascii="Arial" w:hAnsi="Arial" w:cs="Arial"/>
          <w:sz w:val="24"/>
          <w:szCs w:val="24"/>
        </w:rPr>
        <w:t xml:space="preserve">en la parte actora, que recurre; (ii) La providencia atacada es susceptible de apelación (Artículo 321, CGP); y (iii) Fue oportuna la alzada, según se extrae de la grabación de la audiencia. </w:t>
      </w:r>
      <w:r w:rsidR="00B75C6A">
        <w:rPr>
          <w:rFonts w:ascii="Arial" w:hAnsi="Arial" w:cs="Arial"/>
          <w:sz w:val="24"/>
          <w:szCs w:val="24"/>
        </w:rPr>
        <w:t xml:space="preserve">Ahora el examen </w:t>
      </w:r>
      <w:r w:rsidR="00B75C6A" w:rsidRPr="00B75C6A">
        <w:rPr>
          <w:rFonts w:ascii="Arial" w:hAnsi="Arial" w:cs="Arial"/>
          <w:sz w:val="24"/>
          <w:szCs w:val="24"/>
        </w:rPr>
        <w:t xml:space="preserve">se centrará en la </w:t>
      </w:r>
      <w:r w:rsidR="00B75C6A" w:rsidRPr="001E7DAD">
        <w:rPr>
          <w:rFonts w:ascii="Arial" w:hAnsi="Arial" w:cs="Arial"/>
          <w:sz w:val="24"/>
          <w:szCs w:val="24"/>
          <w:u w:val="single"/>
        </w:rPr>
        <w:t>sustentación</w:t>
      </w:r>
      <w:r w:rsidR="00B75C6A">
        <w:rPr>
          <w:rFonts w:ascii="Arial" w:hAnsi="Arial" w:cs="Arial"/>
          <w:sz w:val="24"/>
          <w:szCs w:val="24"/>
        </w:rPr>
        <w:t xml:space="preserve">, como </w:t>
      </w:r>
      <w:r w:rsidR="00A70B4D">
        <w:rPr>
          <w:rFonts w:ascii="Arial" w:hAnsi="Arial" w:cs="Arial"/>
          <w:sz w:val="24"/>
          <w:szCs w:val="24"/>
        </w:rPr>
        <w:t xml:space="preserve">carga procesal </w:t>
      </w:r>
      <w:r w:rsidR="00B75C6A">
        <w:rPr>
          <w:rFonts w:ascii="Arial" w:hAnsi="Arial" w:cs="Arial"/>
          <w:sz w:val="24"/>
          <w:szCs w:val="24"/>
        </w:rPr>
        <w:t>que se echa de menos dada la vigencia del CGP</w:t>
      </w:r>
      <w:r w:rsidR="00B75C6A" w:rsidRPr="00B75C6A">
        <w:rPr>
          <w:rFonts w:ascii="Arial" w:hAnsi="Arial" w:cs="Arial"/>
          <w:sz w:val="24"/>
          <w:szCs w:val="24"/>
        </w:rPr>
        <w:t xml:space="preserve">, </w:t>
      </w:r>
      <w:r w:rsidR="00B75C6A">
        <w:rPr>
          <w:rFonts w:ascii="Arial" w:hAnsi="Arial" w:cs="Arial"/>
          <w:sz w:val="24"/>
          <w:szCs w:val="24"/>
        </w:rPr>
        <w:t>tal como pasará a explicarse.</w:t>
      </w:r>
    </w:p>
    <w:p w:rsidR="0084781D" w:rsidRDefault="0084781D" w:rsidP="0084781D">
      <w:pPr>
        <w:spacing w:line="360" w:lineRule="auto"/>
        <w:jc w:val="both"/>
        <w:rPr>
          <w:rFonts w:ascii="Arial" w:hAnsi="Arial" w:cs="Arial"/>
          <w:sz w:val="24"/>
          <w:szCs w:val="24"/>
        </w:rPr>
      </w:pPr>
    </w:p>
    <w:p w:rsidR="00477144" w:rsidRDefault="00477144" w:rsidP="00477144">
      <w:pPr>
        <w:spacing w:line="360" w:lineRule="auto"/>
        <w:jc w:val="both"/>
        <w:rPr>
          <w:rFonts w:ascii="Arial" w:hAnsi="Arial" w:cs="Arial"/>
          <w:sz w:val="24"/>
          <w:szCs w:val="24"/>
        </w:rPr>
      </w:pPr>
      <w:r>
        <w:rPr>
          <w:rFonts w:ascii="Arial" w:hAnsi="Arial" w:cs="Arial"/>
          <w:sz w:val="24"/>
          <w:szCs w:val="24"/>
        </w:rPr>
        <w:t>2.1.1. La sustentación</w:t>
      </w:r>
      <w:r w:rsidR="001E7DAD">
        <w:rPr>
          <w:rFonts w:ascii="Arial" w:hAnsi="Arial" w:cs="Arial"/>
          <w:sz w:val="24"/>
          <w:szCs w:val="24"/>
        </w:rPr>
        <w:t xml:space="preserve"> del recurso</w:t>
      </w:r>
    </w:p>
    <w:p w:rsidR="00477144" w:rsidRDefault="00477144" w:rsidP="0084781D">
      <w:pPr>
        <w:spacing w:line="360" w:lineRule="auto"/>
        <w:jc w:val="both"/>
        <w:rPr>
          <w:rFonts w:ascii="Arial" w:hAnsi="Arial" w:cs="Arial"/>
          <w:sz w:val="24"/>
          <w:szCs w:val="24"/>
        </w:rPr>
      </w:pPr>
    </w:p>
    <w:p w:rsidR="007F0E1D" w:rsidRPr="0084781D" w:rsidRDefault="00477144" w:rsidP="0084781D">
      <w:pPr>
        <w:spacing w:line="360" w:lineRule="auto"/>
        <w:jc w:val="both"/>
        <w:rPr>
          <w:rFonts w:ascii="Arial" w:hAnsi="Arial" w:cs="Arial"/>
          <w:sz w:val="24"/>
        </w:rPr>
      </w:pPr>
      <w:r w:rsidRPr="0084781D">
        <w:rPr>
          <w:rFonts w:ascii="Arial" w:hAnsi="Arial" w:cs="Arial"/>
          <w:sz w:val="24"/>
        </w:rPr>
        <w:t xml:space="preserve">Se </w:t>
      </w:r>
      <w:r w:rsidR="007F0E1D" w:rsidRPr="0084781D">
        <w:rPr>
          <w:rFonts w:ascii="Arial" w:hAnsi="Arial" w:cs="Arial"/>
          <w:sz w:val="24"/>
        </w:rPr>
        <w:t xml:space="preserve">entiende como la exposición de las razones y fundamentos al Juez de porqué la </w:t>
      </w:r>
      <w:r w:rsidR="007F0E1D" w:rsidRPr="001E7DAD">
        <w:rPr>
          <w:rFonts w:ascii="Arial" w:hAnsi="Arial" w:cs="Arial"/>
          <w:i/>
          <w:iCs/>
          <w:sz w:val="22"/>
        </w:rPr>
        <w:t xml:space="preserve">“(…) providencia está errada, con el fin de que proceda a modificarla o revocarla, por cuanto es evidente que si el juez no tiene esa base, </w:t>
      </w:r>
      <w:r w:rsidR="00D671C9">
        <w:rPr>
          <w:rFonts w:ascii="Arial" w:hAnsi="Arial" w:cs="Arial"/>
          <w:i/>
          <w:iCs/>
          <w:sz w:val="22"/>
        </w:rPr>
        <w:t xml:space="preserve">no le es dable entrar </w:t>
      </w:r>
      <w:r w:rsidR="007F0E1D" w:rsidRPr="001E7DAD">
        <w:rPr>
          <w:rFonts w:ascii="Arial" w:hAnsi="Arial" w:cs="Arial"/>
          <w:i/>
          <w:iCs/>
          <w:sz w:val="22"/>
        </w:rPr>
        <w:t>a resolver</w:t>
      </w:r>
      <w:r w:rsidR="00D671C9">
        <w:rPr>
          <w:rFonts w:ascii="Arial" w:hAnsi="Arial" w:cs="Arial"/>
          <w:i/>
          <w:iCs/>
          <w:sz w:val="22"/>
        </w:rPr>
        <w:t xml:space="preserve"> (…)</w:t>
      </w:r>
      <w:r w:rsidR="007F0E1D" w:rsidRPr="001E7DAD">
        <w:rPr>
          <w:rFonts w:ascii="Arial" w:hAnsi="Arial" w:cs="Arial"/>
          <w:i/>
          <w:iCs/>
          <w:sz w:val="22"/>
        </w:rPr>
        <w:t>”</w:t>
      </w:r>
      <w:r w:rsidR="007F0E1D" w:rsidRPr="0084781D">
        <w:rPr>
          <w:rFonts w:ascii="Arial" w:hAnsi="Arial" w:cs="Arial"/>
          <w:i/>
          <w:iCs/>
          <w:sz w:val="24"/>
          <w:vertAlign w:val="superscript"/>
        </w:rPr>
        <w:footnoteReference w:id="6"/>
      </w:r>
      <w:r w:rsidR="007F0E1D" w:rsidRPr="0084781D">
        <w:rPr>
          <w:rFonts w:ascii="Arial" w:hAnsi="Arial" w:cs="Arial"/>
          <w:sz w:val="24"/>
        </w:rPr>
        <w:t xml:space="preserve">.  Es que no basta el mero deseo de la parte de recurrir una determinada providencia, sino que debe indicar el porqué de su inconformidad debidamente fundamentada.  </w:t>
      </w:r>
    </w:p>
    <w:p w:rsidR="007F0E1D" w:rsidRDefault="007F0E1D" w:rsidP="007F0E1D">
      <w:pPr>
        <w:pStyle w:val="Sinespaciado"/>
        <w:spacing w:line="360" w:lineRule="auto"/>
        <w:jc w:val="both"/>
        <w:rPr>
          <w:rFonts w:ascii="Arial" w:hAnsi="Arial" w:cs="Arial"/>
        </w:rPr>
      </w:pPr>
    </w:p>
    <w:p w:rsidR="007F0E1D" w:rsidRDefault="007F0E1D" w:rsidP="007F0E1D">
      <w:pPr>
        <w:pStyle w:val="Sinespaciado"/>
        <w:spacing w:line="360" w:lineRule="auto"/>
        <w:jc w:val="both"/>
        <w:rPr>
          <w:rFonts w:ascii="Arial" w:hAnsi="Arial" w:cs="Arial"/>
        </w:rPr>
      </w:pPr>
      <w:r>
        <w:rPr>
          <w:rFonts w:ascii="Arial" w:hAnsi="Arial" w:cs="Arial"/>
        </w:rPr>
        <w:t>Comenta, en la misma línea de pensamiento, el profesor Miguel E. Rojas G</w:t>
      </w:r>
      <w:r>
        <w:rPr>
          <w:rStyle w:val="Refdenotaalpie"/>
          <w:rFonts w:ascii="Arial" w:hAnsi="Arial" w:cs="Arial"/>
        </w:rPr>
        <w:footnoteReference w:id="7"/>
      </w:r>
      <w:r>
        <w:rPr>
          <w:rFonts w:ascii="Arial" w:hAnsi="Arial" w:cs="Arial"/>
        </w:rPr>
        <w:t xml:space="preserve">.: </w:t>
      </w:r>
      <w:r w:rsidRPr="001E7DAD">
        <w:rPr>
          <w:rFonts w:ascii="Arial" w:hAnsi="Arial" w:cs="Arial"/>
          <w:sz w:val="22"/>
        </w:rPr>
        <w:t>“</w:t>
      </w:r>
      <w:r w:rsidRPr="001E7DAD">
        <w:rPr>
          <w:rFonts w:ascii="Arial" w:hAnsi="Arial" w:cs="Arial"/>
          <w:i/>
          <w:iCs/>
          <w:sz w:val="22"/>
        </w:rPr>
        <w:t xml:space="preserve">Si el individuo se siente injustamente lesionado como consecuencia de la decisión judicial, habrá de tener por lo menos una razón seria para considerarlo así.  </w:t>
      </w:r>
      <w:r w:rsidRPr="001E7DAD">
        <w:rPr>
          <w:rFonts w:ascii="Arial" w:hAnsi="Arial" w:cs="Arial"/>
          <w:i/>
          <w:iCs/>
          <w:sz w:val="22"/>
          <w:u w:val="single"/>
        </w:rPr>
        <w:t>Para que fundadamente pueda esperar que la justicia se corrija removiendo los errores que la determinan, tendrá que explicar siquiera el motivo de su inconformidad.</w:t>
      </w:r>
      <w:r w:rsidRPr="001E7DAD">
        <w:rPr>
          <w:rFonts w:ascii="Arial" w:hAnsi="Arial" w:cs="Arial"/>
          <w:sz w:val="22"/>
        </w:rPr>
        <w:t>”</w:t>
      </w:r>
      <w:r w:rsidR="00D671C9">
        <w:rPr>
          <w:rFonts w:ascii="Arial" w:hAnsi="Arial" w:cs="Arial"/>
          <w:sz w:val="22"/>
        </w:rPr>
        <w:t xml:space="preserve"> </w:t>
      </w:r>
      <w:r w:rsidR="00D671C9" w:rsidRPr="00D671C9">
        <w:rPr>
          <w:rFonts w:ascii="Arial" w:hAnsi="Arial" w:cs="Arial"/>
        </w:rPr>
        <w:t>(Subrayado ajeno al original).</w:t>
      </w:r>
    </w:p>
    <w:p w:rsidR="007F0E1D" w:rsidRDefault="007F0E1D" w:rsidP="007F0E1D">
      <w:pPr>
        <w:pStyle w:val="Sinespaciado"/>
        <w:spacing w:line="360" w:lineRule="auto"/>
        <w:jc w:val="both"/>
        <w:rPr>
          <w:rFonts w:ascii="Arial" w:hAnsi="Arial" w:cs="Arial"/>
        </w:rPr>
      </w:pPr>
    </w:p>
    <w:p w:rsidR="007F0E1D" w:rsidRDefault="007F0E1D" w:rsidP="007F0E1D">
      <w:pPr>
        <w:pStyle w:val="Sinespaciado"/>
        <w:spacing w:line="360" w:lineRule="auto"/>
        <w:jc w:val="both"/>
        <w:rPr>
          <w:rFonts w:ascii="Arial" w:hAnsi="Arial" w:cs="Arial"/>
          <w:lang w:val="es-CO"/>
        </w:rPr>
      </w:pPr>
      <w:r w:rsidRPr="00AD1F9C">
        <w:rPr>
          <w:rFonts w:ascii="Arial" w:hAnsi="Arial" w:cs="Arial"/>
          <w:lang w:val="es-CO"/>
        </w:rPr>
        <w:lastRenderedPageBreak/>
        <w:t xml:space="preserve">El recurso de apelación no es simplemente una manifestación aislada de </w:t>
      </w:r>
      <w:r>
        <w:rPr>
          <w:rFonts w:ascii="Arial" w:hAnsi="Arial" w:cs="Arial"/>
          <w:lang w:val="es-CO"/>
        </w:rPr>
        <w:t>disc</w:t>
      </w:r>
      <w:r w:rsidRPr="00AD1F9C">
        <w:rPr>
          <w:rFonts w:ascii="Arial" w:hAnsi="Arial" w:cs="Arial"/>
          <w:lang w:val="es-CO"/>
        </w:rPr>
        <w:t xml:space="preserve">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w:t>
      </w:r>
      <w:r>
        <w:rPr>
          <w:rFonts w:ascii="Arial" w:hAnsi="Arial" w:cs="Arial"/>
          <w:lang w:val="es-CO"/>
        </w:rPr>
        <w:t>auscultar en los argumentos de la impugnación</w:t>
      </w:r>
      <w:r w:rsidRPr="00AD1F9C">
        <w:rPr>
          <w:rFonts w:ascii="Arial" w:hAnsi="Arial" w:cs="Arial"/>
          <w:lang w:val="es-CO"/>
        </w:rPr>
        <w:t xml:space="preserve"> para</w:t>
      </w:r>
      <w:r>
        <w:rPr>
          <w:rFonts w:ascii="Arial" w:hAnsi="Arial" w:cs="Arial"/>
          <w:lang w:val="es-CO"/>
        </w:rPr>
        <w:t xml:space="preserve"> concluir, si según los </w:t>
      </w:r>
      <w:r w:rsidRPr="00AD1F9C">
        <w:rPr>
          <w:rFonts w:ascii="Arial" w:hAnsi="Arial" w:cs="Arial"/>
          <w:lang w:val="es-CO"/>
        </w:rPr>
        <w:t xml:space="preserve">motivos expuestos </w:t>
      </w:r>
      <w:r>
        <w:rPr>
          <w:rFonts w:ascii="Arial" w:hAnsi="Arial" w:cs="Arial"/>
          <w:lang w:val="es-CO"/>
        </w:rPr>
        <w:t xml:space="preserve">allí, </w:t>
      </w:r>
      <w:r w:rsidRPr="00AD1F9C">
        <w:rPr>
          <w:rFonts w:ascii="Arial" w:hAnsi="Arial" w:cs="Arial"/>
          <w:lang w:val="es-CO"/>
        </w:rPr>
        <w:t>le asiste razón o no</w:t>
      </w:r>
      <w:r>
        <w:rPr>
          <w:rFonts w:ascii="Arial" w:hAnsi="Arial" w:cs="Arial"/>
          <w:lang w:val="es-CO"/>
        </w:rPr>
        <w:t xml:space="preserve">. </w:t>
      </w:r>
    </w:p>
    <w:p w:rsidR="00190742" w:rsidRDefault="00190742" w:rsidP="007F0E1D">
      <w:pPr>
        <w:pStyle w:val="Sinespaciado"/>
        <w:spacing w:line="360" w:lineRule="auto"/>
        <w:jc w:val="both"/>
        <w:rPr>
          <w:rFonts w:ascii="Arial" w:hAnsi="Arial" w:cs="Arial"/>
        </w:rPr>
      </w:pPr>
    </w:p>
    <w:p w:rsidR="007F0E1D" w:rsidRDefault="007F0E1D" w:rsidP="007F0E1D">
      <w:pPr>
        <w:pStyle w:val="Sinespaciado"/>
        <w:spacing w:line="360" w:lineRule="auto"/>
        <w:jc w:val="both"/>
        <w:rPr>
          <w:rFonts w:ascii="Arial" w:hAnsi="Arial" w:cs="Arial"/>
        </w:rPr>
      </w:pPr>
      <w:r w:rsidRPr="006B7FDF">
        <w:rPr>
          <w:rFonts w:ascii="Arial" w:hAnsi="Arial" w:cs="Arial"/>
          <w:lang w:val="es-CO"/>
        </w:rPr>
        <w:t>Sobre el tema</w:t>
      </w:r>
      <w:r>
        <w:rPr>
          <w:rFonts w:ascii="Arial" w:hAnsi="Arial" w:cs="Arial"/>
          <w:lang w:val="es-CO"/>
        </w:rPr>
        <w:t xml:space="preserve"> se ha ocupado la misma </w:t>
      </w:r>
      <w:r w:rsidRPr="006B7FDF">
        <w:rPr>
          <w:rFonts w:ascii="Arial" w:hAnsi="Arial" w:cs="Arial"/>
          <w:lang w:val="es-CO"/>
        </w:rPr>
        <w:t>Corte Constitucional</w:t>
      </w:r>
      <w:r w:rsidRPr="006B7FDF">
        <w:rPr>
          <w:rFonts w:ascii="Arial" w:hAnsi="Arial" w:cs="Arial"/>
          <w:sz w:val="28"/>
          <w:szCs w:val="28"/>
          <w:vertAlign w:val="superscript"/>
        </w:rPr>
        <w:footnoteReference w:id="8"/>
      </w:r>
      <w:r w:rsidR="00F16444">
        <w:rPr>
          <w:rFonts w:ascii="Arial" w:hAnsi="Arial" w:cs="Arial"/>
          <w:lang w:val="es-CO"/>
        </w:rPr>
        <w:t xml:space="preserve"> y la CSJ</w:t>
      </w:r>
      <w:r w:rsidR="00C11794">
        <w:rPr>
          <w:rFonts w:ascii="Arial" w:hAnsi="Arial" w:cs="Arial"/>
          <w:lang w:val="es-CO"/>
        </w:rPr>
        <w:t>,</w:t>
      </w:r>
      <w:r>
        <w:rPr>
          <w:rFonts w:ascii="Arial" w:hAnsi="Arial" w:cs="Arial"/>
        </w:rPr>
        <w:t xml:space="preserve"> desde antaño</w:t>
      </w:r>
      <w:r w:rsidR="00C11794">
        <w:rPr>
          <w:rFonts w:ascii="Arial" w:hAnsi="Arial" w:cs="Arial"/>
        </w:rPr>
        <w:t>,</w:t>
      </w:r>
      <w:r>
        <w:rPr>
          <w:rFonts w:ascii="Arial" w:hAnsi="Arial" w:cs="Arial"/>
        </w:rPr>
        <w:t xml:space="preserve"> ha precisado que el requisito de la sustentación</w:t>
      </w:r>
      <w:r w:rsidR="00F16444">
        <w:rPr>
          <w:rFonts w:ascii="Arial" w:hAnsi="Arial" w:cs="Arial"/>
        </w:rPr>
        <w:t>,</w:t>
      </w:r>
      <w:r>
        <w:rPr>
          <w:rFonts w:ascii="Arial" w:hAnsi="Arial" w:cs="Arial"/>
        </w:rPr>
        <w:t xml:space="preserve"> para que se torne </w:t>
      </w:r>
      <w:r w:rsidR="00F16444">
        <w:rPr>
          <w:rFonts w:ascii="Arial" w:hAnsi="Arial" w:cs="Arial"/>
        </w:rPr>
        <w:t>viable</w:t>
      </w:r>
      <w:r>
        <w:rPr>
          <w:rFonts w:ascii="Arial" w:hAnsi="Arial" w:cs="Arial"/>
        </w:rPr>
        <w:t xml:space="preserve"> impone al recurrente precisar con razones claras y puntuales su descontento, en este sentido precisó:</w:t>
      </w:r>
    </w:p>
    <w:p w:rsidR="007F0E1D" w:rsidRDefault="007F0E1D" w:rsidP="007F0E1D">
      <w:pPr>
        <w:pStyle w:val="Sinespaciado"/>
        <w:tabs>
          <w:tab w:val="left" w:pos="709"/>
        </w:tabs>
        <w:spacing w:line="276" w:lineRule="auto"/>
        <w:ind w:left="567" w:right="567"/>
        <w:jc w:val="both"/>
        <w:rPr>
          <w:rFonts w:ascii="Arial" w:hAnsi="Arial" w:cs="Arial"/>
        </w:rPr>
      </w:pPr>
    </w:p>
    <w:p w:rsidR="007F0E1D" w:rsidRPr="00E1029B" w:rsidRDefault="00F16444" w:rsidP="003D5B0A">
      <w:pPr>
        <w:pStyle w:val="Sinespaciado"/>
        <w:tabs>
          <w:tab w:val="left" w:pos="709"/>
        </w:tabs>
        <w:ind w:left="567" w:right="567"/>
        <w:jc w:val="both"/>
        <w:rPr>
          <w:rFonts w:ascii="Arial" w:hAnsi="Arial" w:cs="Arial"/>
        </w:rPr>
      </w:pPr>
      <w:r w:rsidRPr="00F16444">
        <w:rPr>
          <w:rFonts w:ascii="Arial" w:hAnsi="Arial" w:cs="Arial"/>
        </w:rPr>
        <w:t xml:space="preserve">… </w:t>
      </w:r>
      <w:r w:rsidR="00D671C9" w:rsidRPr="00F16444">
        <w:rPr>
          <w:rFonts w:ascii="Arial" w:hAnsi="Arial" w:cs="Arial"/>
        </w:rPr>
        <w:t>cree la Corte que no pueda darse por sustentada una apelación, y por ende cumplida la condición que subordina la admisibilidad de este recurso, cuando el impugnante</w:t>
      </w:r>
      <w:r w:rsidR="007F0E1D" w:rsidRPr="00E1029B">
        <w:rPr>
          <w:rFonts w:ascii="Arial" w:hAnsi="Arial" w:cs="Arial"/>
        </w:rPr>
        <w:t xml:space="preserve"> se limita simplemente a calificar la providencia recurrida de ilegal, injurídica o irregular; tampoco cuando emplea expresiones abstractas tales como, si hay prueba de los hechos, no están demostrados los hechos u otras semejantes, puesto que aquellos calificativos y estas expresiones, justamente por su vaguedad e imprecisión no expresan, pero ni siquiera implícitamente, las razones o motivos de la inco</w:t>
      </w:r>
      <w:r w:rsidR="007F0E1D">
        <w:rPr>
          <w:rFonts w:ascii="Arial" w:hAnsi="Arial" w:cs="Arial"/>
        </w:rPr>
        <w:t>n</w:t>
      </w:r>
      <w:r w:rsidR="007F0E1D" w:rsidRPr="00E1029B">
        <w:rPr>
          <w:rFonts w:ascii="Arial" w:hAnsi="Arial" w:cs="Arial"/>
        </w:rPr>
        <w:t>formidad del apelante con las deducciones lógica-jurídicas a que llegó el juez en su proveído impugnado</w:t>
      </w:r>
      <w:r>
        <w:rPr>
          <w:rFonts w:ascii="Arial" w:hAnsi="Arial" w:cs="Arial"/>
        </w:rPr>
        <w:t>.</w:t>
      </w:r>
      <w:r w:rsidR="007F0E1D" w:rsidRPr="00E1029B">
        <w:rPr>
          <w:rStyle w:val="Refdenotaalpie"/>
          <w:rFonts w:ascii="Arial" w:hAnsi="Arial" w:cs="Arial"/>
        </w:rPr>
        <w:footnoteReference w:id="9"/>
      </w:r>
    </w:p>
    <w:p w:rsidR="00B75C6A" w:rsidRDefault="00B75C6A" w:rsidP="00477144">
      <w:pPr>
        <w:pStyle w:val="Sinespaciado"/>
        <w:tabs>
          <w:tab w:val="left" w:pos="709"/>
        </w:tabs>
        <w:spacing w:line="360" w:lineRule="auto"/>
        <w:ind w:left="567" w:right="567"/>
        <w:jc w:val="both"/>
        <w:rPr>
          <w:rFonts w:ascii="Arial" w:hAnsi="Arial" w:cs="Arial"/>
        </w:rPr>
      </w:pPr>
    </w:p>
    <w:p w:rsidR="00477144" w:rsidRDefault="00477144" w:rsidP="00477144">
      <w:pPr>
        <w:spacing w:line="360" w:lineRule="auto"/>
        <w:jc w:val="both"/>
        <w:rPr>
          <w:rFonts w:ascii="Arial" w:hAnsi="Arial" w:cs="Arial"/>
          <w:sz w:val="24"/>
          <w:szCs w:val="24"/>
        </w:rPr>
      </w:pPr>
      <w:r>
        <w:rPr>
          <w:rFonts w:ascii="Arial" w:hAnsi="Arial" w:cs="Arial"/>
          <w:sz w:val="24"/>
          <w:szCs w:val="24"/>
        </w:rPr>
        <w:t>2.1.2. La sustentación en vigencia del CGP</w:t>
      </w:r>
    </w:p>
    <w:p w:rsidR="00477144" w:rsidRDefault="00477144" w:rsidP="00477144">
      <w:pPr>
        <w:pStyle w:val="Sinespaciado"/>
        <w:tabs>
          <w:tab w:val="left" w:pos="709"/>
        </w:tabs>
        <w:spacing w:line="276" w:lineRule="auto"/>
        <w:ind w:left="567" w:right="567"/>
        <w:jc w:val="both"/>
        <w:rPr>
          <w:rFonts w:ascii="Arial" w:hAnsi="Arial" w:cs="Arial"/>
        </w:rPr>
      </w:pPr>
    </w:p>
    <w:p w:rsidR="00477144" w:rsidRPr="00426B02" w:rsidRDefault="00477144" w:rsidP="00477144">
      <w:pPr>
        <w:spacing w:line="360" w:lineRule="auto"/>
        <w:jc w:val="both"/>
        <w:rPr>
          <w:rFonts w:ascii="Arial" w:hAnsi="Arial" w:cs="Arial"/>
          <w:i/>
          <w:sz w:val="24"/>
          <w:szCs w:val="24"/>
        </w:rPr>
      </w:pPr>
      <w:r w:rsidRPr="00426B02">
        <w:rPr>
          <w:rFonts w:ascii="Arial" w:hAnsi="Arial" w:cs="Arial"/>
          <w:sz w:val="24"/>
          <w:szCs w:val="24"/>
        </w:rPr>
        <w:t xml:space="preserve">Esa normativa estipula en el artículo 322 que: </w:t>
      </w:r>
      <w:r w:rsidRPr="00426B02">
        <w:rPr>
          <w:rFonts w:ascii="Arial" w:hAnsi="Arial" w:cs="Arial"/>
          <w:i/>
          <w:sz w:val="22"/>
          <w:szCs w:val="24"/>
        </w:rPr>
        <w:t xml:space="preserve">“(…) </w:t>
      </w:r>
      <w:r w:rsidRPr="00426B02">
        <w:rPr>
          <w:rFonts w:ascii="Arial" w:hAnsi="Arial" w:cs="Arial"/>
          <w:i/>
          <w:sz w:val="22"/>
          <w:szCs w:val="24"/>
          <w:lang w:val="es-CO"/>
        </w:rPr>
        <w:t xml:space="preserve">Cuando </w:t>
      </w:r>
      <w:r w:rsidRPr="00426B02">
        <w:rPr>
          <w:rFonts w:ascii="Arial" w:hAnsi="Arial" w:cs="Arial"/>
          <w:i/>
          <w:sz w:val="22"/>
          <w:szCs w:val="24"/>
        </w:rPr>
        <w:t>se apele una sentencia, el apelante, al momento de interponer el recurso en la audiencia si hubiera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r w:rsidR="00C11794">
        <w:rPr>
          <w:rFonts w:ascii="Arial" w:hAnsi="Arial" w:cs="Arial"/>
          <w:i/>
          <w:sz w:val="22"/>
          <w:szCs w:val="24"/>
        </w:rPr>
        <w:t>(</w:t>
      </w:r>
      <w:r w:rsidRPr="00426B02">
        <w:rPr>
          <w:rFonts w:ascii="Arial" w:hAnsi="Arial" w:cs="Arial"/>
          <w:i/>
          <w:sz w:val="22"/>
          <w:szCs w:val="24"/>
        </w:rPr>
        <w:t>…</w:t>
      </w:r>
      <w:r w:rsidR="00C11794">
        <w:rPr>
          <w:rFonts w:ascii="Arial" w:hAnsi="Arial" w:cs="Arial"/>
          <w:i/>
          <w:sz w:val="22"/>
          <w:szCs w:val="24"/>
        </w:rPr>
        <w:t>)</w:t>
      </w:r>
      <w:r w:rsidRPr="00426B02">
        <w:rPr>
          <w:rFonts w:ascii="Arial" w:hAnsi="Arial" w:cs="Arial"/>
          <w:i/>
          <w:sz w:val="22"/>
          <w:szCs w:val="24"/>
        </w:rPr>
        <w:t>”</w:t>
      </w:r>
      <w:r w:rsidRPr="00426B02">
        <w:rPr>
          <w:rFonts w:ascii="Arial" w:hAnsi="Arial" w:cs="Arial"/>
          <w:i/>
          <w:sz w:val="24"/>
          <w:szCs w:val="24"/>
        </w:rPr>
        <w:t xml:space="preserve">. </w:t>
      </w:r>
      <w:r w:rsidRPr="00426B02">
        <w:rPr>
          <w:rFonts w:ascii="Arial" w:hAnsi="Arial" w:cs="Arial"/>
          <w:sz w:val="24"/>
          <w:szCs w:val="24"/>
        </w:rPr>
        <w:t>Y enseguida refiere que ante la falta de esos reparos, el juez de primera instancia debe declarar desierto el recurso</w:t>
      </w:r>
      <w:r w:rsidR="00F16444">
        <w:rPr>
          <w:rFonts w:ascii="Arial" w:hAnsi="Arial" w:cs="Arial"/>
          <w:sz w:val="24"/>
          <w:szCs w:val="24"/>
        </w:rPr>
        <w:t>,</w:t>
      </w:r>
      <w:r w:rsidRPr="00426B02">
        <w:rPr>
          <w:rFonts w:ascii="Arial" w:hAnsi="Arial" w:cs="Arial"/>
          <w:sz w:val="24"/>
          <w:szCs w:val="24"/>
        </w:rPr>
        <w:t xml:space="preserve"> </w:t>
      </w:r>
      <w:r w:rsidR="00F16444">
        <w:rPr>
          <w:rFonts w:ascii="Arial" w:hAnsi="Arial" w:cs="Arial"/>
          <w:sz w:val="24"/>
          <w:szCs w:val="24"/>
        </w:rPr>
        <w:t xml:space="preserve">así como cuando </w:t>
      </w:r>
      <w:r w:rsidRPr="00426B02">
        <w:rPr>
          <w:rFonts w:ascii="Arial" w:hAnsi="Arial" w:cs="Arial"/>
          <w:sz w:val="24"/>
          <w:szCs w:val="24"/>
        </w:rPr>
        <w:t xml:space="preserve">no fuere sustentado ante el superior. </w:t>
      </w:r>
      <w:r w:rsidRPr="00426B02">
        <w:rPr>
          <w:rFonts w:ascii="Arial" w:hAnsi="Arial" w:cs="Arial"/>
          <w:i/>
          <w:sz w:val="24"/>
          <w:szCs w:val="24"/>
        </w:rPr>
        <w:t xml:space="preserve"> </w:t>
      </w:r>
    </w:p>
    <w:p w:rsidR="00426B02" w:rsidRDefault="00426B02" w:rsidP="00477144">
      <w:pPr>
        <w:spacing w:line="360" w:lineRule="auto"/>
        <w:jc w:val="both"/>
        <w:rPr>
          <w:rFonts w:ascii="Gadugi" w:hAnsi="Gadugi"/>
          <w:i/>
          <w:sz w:val="24"/>
          <w:szCs w:val="24"/>
        </w:rPr>
      </w:pPr>
    </w:p>
    <w:p w:rsidR="00E31D06" w:rsidRPr="00373580" w:rsidRDefault="00F725BA" w:rsidP="00373580">
      <w:pPr>
        <w:spacing w:line="360" w:lineRule="auto"/>
        <w:jc w:val="both"/>
        <w:rPr>
          <w:rFonts w:ascii="Arial" w:hAnsi="Arial" w:cs="Arial"/>
          <w:sz w:val="24"/>
        </w:rPr>
      </w:pPr>
      <w:r>
        <w:rPr>
          <w:rFonts w:ascii="Arial" w:hAnsi="Arial" w:cs="Arial"/>
          <w:sz w:val="24"/>
          <w:szCs w:val="24"/>
        </w:rPr>
        <w:t xml:space="preserve">Acorde con lo anterior, fácil se </w:t>
      </w:r>
      <w:r w:rsidR="00426B02">
        <w:rPr>
          <w:rFonts w:ascii="Arial" w:hAnsi="Arial" w:cs="Arial"/>
          <w:sz w:val="24"/>
          <w:szCs w:val="24"/>
        </w:rPr>
        <w:t xml:space="preserve">concluye que ese estatuto procesal consagró una </w:t>
      </w:r>
      <w:r w:rsidR="00477144" w:rsidRPr="00426B02">
        <w:rPr>
          <w:rFonts w:ascii="Arial" w:hAnsi="Arial" w:cs="Arial"/>
          <w:sz w:val="24"/>
          <w:szCs w:val="24"/>
        </w:rPr>
        <w:t>nueva forma de</w:t>
      </w:r>
      <w:r w:rsidR="00426B02">
        <w:rPr>
          <w:rFonts w:ascii="Arial" w:hAnsi="Arial" w:cs="Arial"/>
          <w:sz w:val="24"/>
          <w:szCs w:val="24"/>
        </w:rPr>
        <w:t xml:space="preserve"> sustentar el recurso porque hay </w:t>
      </w:r>
      <w:r w:rsidR="00477144" w:rsidRPr="00426B02">
        <w:rPr>
          <w:rFonts w:ascii="Arial" w:hAnsi="Arial" w:cs="Arial"/>
          <w:sz w:val="24"/>
          <w:szCs w:val="24"/>
        </w:rPr>
        <w:t xml:space="preserve">dos estadios diferenciados para </w:t>
      </w:r>
      <w:r w:rsidR="00426B02">
        <w:rPr>
          <w:rFonts w:ascii="Arial" w:hAnsi="Arial" w:cs="Arial"/>
          <w:sz w:val="24"/>
          <w:szCs w:val="24"/>
        </w:rPr>
        <w:t>ese efecto</w:t>
      </w:r>
      <w:r w:rsidR="008C0972">
        <w:rPr>
          <w:rStyle w:val="Refdenotaalpie"/>
          <w:rFonts w:ascii="Arial" w:hAnsi="Arial"/>
          <w:sz w:val="24"/>
          <w:szCs w:val="24"/>
        </w:rPr>
        <w:footnoteReference w:id="10"/>
      </w:r>
      <w:r w:rsidR="00805077">
        <w:rPr>
          <w:rFonts w:ascii="Arial" w:hAnsi="Arial" w:cs="Arial"/>
          <w:sz w:val="24"/>
          <w:szCs w:val="24"/>
          <w:vertAlign w:val="superscript"/>
        </w:rPr>
        <w:t>-</w:t>
      </w:r>
      <w:r w:rsidR="00805077">
        <w:rPr>
          <w:rStyle w:val="Refdenotaalpie"/>
          <w:rFonts w:ascii="Arial" w:hAnsi="Arial"/>
          <w:sz w:val="24"/>
          <w:szCs w:val="24"/>
        </w:rPr>
        <w:footnoteReference w:id="11"/>
      </w:r>
      <w:r w:rsidR="00805077">
        <w:rPr>
          <w:rFonts w:ascii="Arial" w:hAnsi="Arial" w:cs="Arial"/>
          <w:sz w:val="24"/>
          <w:szCs w:val="24"/>
          <w:vertAlign w:val="superscript"/>
        </w:rPr>
        <w:t>-</w:t>
      </w:r>
      <w:r w:rsidR="00805077">
        <w:rPr>
          <w:rStyle w:val="Refdenotaalpie"/>
          <w:rFonts w:ascii="Arial" w:hAnsi="Arial"/>
          <w:sz w:val="24"/>
          <w:szCs w:val="24"/>
        </w:rPr>
        <w:footnoteReference w:id="12"/>
      </w:r>
      <w:r w:rsidR="00426B02">
        <w:rPr>
          <w:rFonts w:ascii="Arial" w:hAnsi="Arial" w:cs="Arial"/>
          <w:sz w:val="24"/>
          <w:szCs w:val="24"/>
        </w:rPr>
        <w:t xml:space="preserve">, el primero </w:t>
      </w:r>
      <w:r w:rsidR="00477144" w:rsidRPr="00426B02">
        <w:rPr>
          <w:rFonts w:ascii="Arial" w:hAnsi="Arial" w:cs="Arial"/>
          <w:sz w:val="24"/>
          <w:szCs w:val="24"/>
        </w:rPr>
        <w:t xml:space="preserve">ante el juez de primer grado, pues allí comienza el ejercicio señalándole </w:t>
      </w:r>
      <w:r w:rsidR="00477144" w:rsidRPr="00426B02">
        <w:rPr>
          <w:rFonts w:ascii="Arial" w:hAnsi="Arial" w:cs="Arial"/>
          <w:sz w:val="24"/>
          <w:szCs w:val="24"/>
          <w:u w:val="single"/>
        </w:rPr>
        <w:t xml:space="preserve">los </w:t>
      </w:r>
      <w:r w:rsidR="00477144" w:rsidRPr="00426B02">
        <w:rPr>
          <w:rFonts w:ascii="Arial" w:hAnsi="Arial" w:cs="Arial"/>
          <w:sz w:val="24"/>
          <w:szCs w:val="24"/>
          <w:u w:val="single"/>
        </w:rPr>
        <w:lastRenderedPageBreak/>
        <w:t>reparos concretos que la parte tiene contra lo resuelto</w:t>
      </w:r>
      <w:r w:rsidR="00477144" w:rsidRPr="00426B02">
        <w:rPr>
          <w:rFonts w:ascii="Arial" w:hAnsi="Arial" w:cs="Arial"/>
          <w:sz w:val="24"/>
          <w:szCs w:val="24"/>
        </w:rPr>
        <w:t>; y</w:t>
      </w:r>
      <w:r w:rsidR="00426B02">
        <w:rPr>
          <w:rFonts w:ascii="Arial" w:hAnsi="Arial" w:cs="Arial"/>
          <w:sz w:val="24"/>
          <w:szCs w:val="24"/>
        </w:rPr>
        <w:t>,</w:t>
      </w:r>
      <w:r w:rsidR="00477144" w:rsidRPr="00426B02">
        <w:rPr>
          <w:rFonts w:ascii="Arial" w:hAnsi="Arial" w:cs="Arial"/>
          <w:sz w:val="24"/>
          <w:szCs w:val="24"/>
        </w:rPr>
        <w:t xml:space="preserve"> el segundo ante el superior, dentro de la audiencia que se programe</w:t>
      </w:r>
      <w:r w:rsidR="00426B02">
        <w:rPr>
          <w:rFonts w:ascii="Arial" w:hAnsi="Arial" w:cs="Arial"/>
          <w:sz w:val="24"/>
          <w:szCs w:val="24"/>
        </w:rPr>
        <w:t xml:space="preserve"> </w:t>
      </w:r>
      <w:r w:rsidR="00426B02" w:rsidRPr="00426B02">
        <w:rPr>
          <w:rFonts w:ascii="Arial" w:hAnsi="Arial" w:cs="Arial"/>
          <w:sz w:val="24"/>
          <w:szCs w:val="24"/>
        </w:rPr>
        <w:t>para sustentar</w:t>
      </w:r>
      <w:r w:rsidR="00477144" w:rsidRPr="00426B02">
        <w:rPr>
          <w:rFonts w:ascii="Arial" w:hAnsi="Arial" w:cs="Arial"/>
          <w:sz w:val="24"/>
          <w:szCs w:val="24"/>
        </w:rPr>
        <w:t>, en la que no se podrá ir más allá de lo que fue propuesto ante el inferior</w:t>
      </w:r>
      <w:r w:rsidR="00805077">
        <w:rPr>
          <w:rFonts w:ascii="Arial" w:hAnsi="Arial" w:cs="Arial"/>
          <w:sz w:val="24"/>
          <w:szCs w:val="24"/>
        </w:rPr>
        <w:t xml:space="preserve"> (Artículo 327, CGP)</w:t>
      </w:r>
      <w:r w:rsidR="00477144" w:rsidRPr="00426B02">
        <w:rPr>
          <w:rFonts w:ascii="Arial" w:hAnsi="Arial" w:cs="Arial"/>
          <w:sz w:val="24"/>
          <w:szCs w:val="24"/>
        </w:rPr>
        <w:t xml:space="preserve">. </w:t>
      </w:r>
      <w:r w:rsidR="005240C5" w:rsidRPr="00373580">
        <w:rPr>
          <w:rFonts w:ascii="Arial" w:hAnsi="Arial" w:cs="Arial"/>
          <w:sz w:val="24"/>
        </w:rPr>
        <w:t>En este punto, r</w:t>
      </w:r>
      <w:r w:rsidR="00E31D06" w:rsidRPr="00373580">
        <w:rPr>
          <w:rFonts w:ascii="Arial" w:hAnsi="Arial" w:cs="Arial"/>
          <w:sz w:val="24"/>
        </w:rPr>
        <w:t>esulta útil recordar</w:t>
      </w:r>
      <w:r w:rsidR="005240C5" w:rsidRPr="00373580">
        <w:rPr>
          <w:rFonts w:ascii="Arial" w:hAnsi="Arial" w:cs="Arial"/>
          <w:sz w:val="24"/>
        </w:rPr>
        <w:t>,</w:t>
      </w:r>
      <w:r w:rsidR="00E31D06" w:rsidRPr="00373580">
        <w:rPr>
          <w:rFonts w:ascii="Arial" w:hAnsi="Arial" w:cs="Arial"/>
          <w:sz w:val="24"/>
        </w:rPr>
        <w:t xml:space="preserve"> lo dicho </w:t>
      </w:r>
      <w:r w:rsidR="005240C5" w:rsidRPr="00373580">
        <w:rPr>
          <w:rFonts w:ascii="Arial" w:hAnsi="Arial" w:cs="Arial"/>
          <w:sz w:val="24"/>
        </w:rPr>
        <w:t xml:space="preserve">frente al tema </w:t>
      </w:r>
      <w:r w:rsidR="00E31D06" w:rsidRPr="00373580">
        <w:rPr>
          <w:rFonts w:ascii="Arial" w:hAnsi="Arial" w:cs="Arial"/>
          <w:sz w:val="24"/>
        </w:rPr>
        <w:t>por el profesor Rojas Gómez</w:t>
      </w:r>
      <w:r w:rsidR="00E31D06" w:rsidRPr="00373580">
        <w:rPr>
          <w:rStyle w:val="Refdenotaalpie"/>
          <w:rFonts w:ascii="Arial" w:hAnsi="Arial" w:cs="Arial"/>
          <w:sz w:val="24"/>
        </w:rPr>
        <w:footnoteReference w:id="13"/>
      </w:r>
      <w:r w:rsidR="00E31D06" w:rsidRPr="00373580">
        <w:rPr>
          <w:rFonts w:ascii="Arial" w:hAnsi="Arial" w:cs="Arial"/>
          <w:sz w:val="24"/>
        </w:rPr>
        <w:t xml:space="preserve">: </w:t>
      </w:r>
    </w:p>
    <w:p w:rsidR="00BC50F4" w:rsidRDefault="00BC50F4" w:rsidP="007F0E1D">
      <w:pPr>
        <w:pStyle w:val="Sinespaciado"/>
        <w:spacing w:line="360" w:lineRule="auto"/>
        <w:jc w:val="both"/>
        <w:rPr>
          <w:rFonts w:ascii="Arial" w:hAnsi="Arial" w:cs="Arial"/>
        </w:rPr>
      </w:pPr>
    </w:p>
    <w:p w:rsidR="00BC50F4" w:rsidRDefault="00BC50F4" w:rsidP="00683BF7">
      <w:pPr>
        <w:pStyle w:val="Sinespaciado"/>
        <w:ind w:left="567" w:right="567"/>
        <w:jc w:val="both"/>
        <w:rPr>
          <w:rFonts w:ascii="Arial" w:hAnsi="Arial" w:cs="Arial"/>
        </w:rPr>
      </w:pPr>
      <w:r>
        <w:rPr>
          <w:rFonts w:ascii="Arial" w:hAnsi="Arial" w:cs="Arial"/>
        </w:rPr>
        <w:t xml:space="preserve">Cuando se trate de </w:t>
      </w:r>
      <w:r w:rsidRPr="00683BF7">
        <w:rPr>
          <w:rFonts w:ascii="Arial" w:hAnsi="Arial" w:cs="Arial"/>
          <w:u w:val="single"/>
        </w:rPr>
        <w:t>apelación de la sentencia la sustentación</w:t>
      </w:r>
      <w:r>
        <w:rPr>
          <w:rFonts w:ascii="Arial" w:hAnsi="Arial" w:cs="Arial"/>
        </w:rPr>
        <w:t xml:space="preserve"> se debe realizar mediante </w:t>
      </w:r>
      <w:r w:rsidRPr="003D5B0A">
        <w:rPr>
          <w:rFonts w:ascii="Arial" w:hAnsi="Arial" w:cs="Arial"/>
          <w:u w:val="single"/>
        </w:rPr>
        <w:t>dos actos en momentos distintos</w:t>
      </w:r>
      <w:r>
        <w:rPr>
          <w:rFonts w:ascii="Arial" w:hAnsi="Arial" w:cs="Arial"/>
        </w:rPr>
        <w:t>, así:</w:t>
      </w:r>
    </w:p>
    <w:p w:rsidR="008C0972" w:rsidRDefault="008C0972" w:rsidP="00683BF7">
      <w:pPr>
        <w:pStyle w:val="Sinespaciado"/>
        <w:ind w:left="567" w:right="567"/>
        <w:jc w:val="both"/>
        <w:rPr>
          <w:rFonts w:ascii="Arial" w:hAnsi="Arial" w:cs="Arial"/>
        </w:rPr>
      </w:pPr>
    </w:p>
    <w:p w:rsidR="00BC50F4" w:rsidRDefault="00373580" w:rsidP="00373580">
      <w:pPr>
        <w:pStyle w:val="Sinespaciado"/>
        <w:numPr>
          <w:ilvl w:val="0"/>
          <w:numId w:val="10"/>
        </w:numPr>
        <w:ind w:right="567"/>
        <w:jc w:val="both"/>
        <w:rPr>
          <w:rFonts w:ascii="Arial" w:hAnsi="Arial" w:cs="Arial"/>
        </w:rPr>
      </w:pPr>
      <w:r>
        <w:rPr>
          <w:rFonts w:ascii="Arial" w:hAnsi="Arial" w:cs="Arial"/>
        </w:rPr>
        <w:t xml:space="preserve"> </w:t>
      </w:r>
      <w:r w:rsidR="00BC50F4">
        <w:rPr>
          <w:rFonts w:ascii="Arial" w:hAnsi="Arial" w:cs="Arial"/>
        </w:rPr>
        <w:t xml:space="preserve">La precisión breve de </w:t>
      </w:r>
      <w:r w:rsidR="00BC50F4" w:rsidRPr="00683BF7">
        <w:rPr>
          <w:rFonts w:ascii="Arial" w:hAnsi="Arial" w:cs="Arial"/>
          <w:u w:val="single"/>
        </w:rPr>
        <w:t>los reparos</w:t>
      </w:r>
      <w:r w:rsidR="00BC50F4">
        <w:rPr>
          <w:rFonts w:ascii="Arial" w:hAnsi="Arial" w:cs="Arial"/>
        </w:rPr>
        <w:t xml:space="preserve"> contra el fallo. Se trata de enunciar ante el juez de primera instancia las razones por las que se cuestiona la providencia. De ser pronunciada en audiencia, los reparos pueden hacerse allí mismo en el momento de interponer el recurso, o por escrito presentado dentro de los tres día (Sic) siguientes. Pero s</w:t>
      </w:r>
      <w:r w:rsidR="00D51ACF">
        <w:rPr>
          <w:rFonts w:ascii="Arial" w:hAnsi="Arial" w:cs="Arial"/>
        </w:rPr>
        <w:t>i</w:t>
      </w:r>
      <w:bookmarkStart w:id="0" w:name="_GoBack"/>
      <w:bookmarkEnd w:id="0"/>
      <w:r w:rsidR="00BC50F4">
        <w:rPr>
          <w:rFonts w:ascii="Arial" w:hAnsi="Arial" w:cs="Arial"/>
        </w:rPr>
        <w:t xml:space="preserve"> la sentencia se profiere fuera de audiencia, aquellos tienen que formularse por escrito dentro del mismo plazo (CGP, art. 321-2).</w:t>
      </w:r>
    </w:p>
    <w:p w:rsidR="00373580" w:rsidRDefault="00373580" w:rsidP="00373580">
      <w:pPr>
        <w:pStyle w:val="Sinespaciado"/>
        <w:ind w:left="927" w:right="567"/>
        <w:jc w:val="both"/>
        <w:rPr>
          <w:rFonts w:ascii="Arial" w:hAnsi="Arial" w:cs="Arial"/>
        </w:rPr>
      </w:pPr>
    </w:p>
    <w:p w:rsidR="00BC50F4" w:rsidRDefault="00BC50F4" w:rsidP="00683BF7">
      <w:pPr>
        <w:pStyle w:val="Sinespaciado"/>
        <w:ind w:left="567" w:right="567"/>
        <w:jc w:val="both"/>
        <w:rPr>
          <w:rFonts w:ascii="Arial" w:hAnsi="Arial" w:cs="Arial"/>
        </w:rPr>
      </w:pPr>
      <w:r>
        <w:rPr>
          <w:rFonts w:ascii="Arial" w:hAnsi="Arial" w:cs="Arial"/>
        </w:rPr>
        <w:t xml:space="preserve">2. </w:t>
      </w:r>
      <w:r w:rsidRPr="00683BF7">
        <w:rPr>
          <w:rFonts w:ascii="Arial" w:hAnsi="Arial" w:cs="Arial"/>
          <w:u w:val="single"/>
        </w:rPr>
        <w:t>La sustentación propiamente dicha</w:t>
      </w:r>
      <w:r>
        <w:rPr>
          <w:rFonts w:ascii="Arial" w:hAnsi="Arial" w:cs="Arial"/>
        </w:rPr>
        <w:t>. Consiste en el alegato que debe hacer el apelante ante el juez de segunda instancia (CGP, art.327-2), con exposición detallada y concreta de los reparos expresados ante el juez de primera, y sin la posibilidad de formular nuevos cue</w:t>
      </w:r>
      <w:r w:rsidR="00373580">
        <w:rPr>
          <w:rFonts w:ascii="Arial" w:hAnsi="Arial" w:cs="Arial"/>
        </w:rPr>
        <w:t>stionamientos (CGP, art.327-3).</w:t>
      </w:r>
    </w:p>
    <w:p w:rsidR="00373580" w:rsidRDefault="00373580" w:rsidP="00683BF7">
      <w:pPr>
        <w:pStyle w:val="Sinespaciado"/>
        <w:ind w:left="567" w:right="567"/>
        <w:jc w:val="both"/>
        <w:rPr>
          <w:rFonts w:ascii="Arial" w:hAnsi="Arial" w:cs="Arial"/>
        </w:rPr>
      </w:pPr>
    </w:p>
    <w:p w:rsidR="00BC50F4" w:rsidRDefault="00BC50F4" w:rsidP="00683BF7">
      <w:pPr>
        <w:pStyle w:val="Sinespaciado"/>
        <w:ind w:left="567" w:right="567"/>
        <w:jc w:val="both"/>
        <w:rPr>
          <w:rFonts w:ascii="Arial" w:hAnsi="Arial" w:cs="Arial"/>
        </w:rPr>
      </w:pPr>
      <w:r>
        <w:rPr>
          <w:rFonts w:ascii="Arial" w:hAnsi="Arial" w:cs="Arial"/>
        </w:rPr>
        <w:t xml:space="preserve">Omitir cualquiera de los dos actos que integran la sustentación de la apelación interpuesta contra la sentencia obliga al juez a declarar </w:t>
      </w:r>
      <w:r w:rsidRPr="00672364">
        <w:rPr>
          <w:rFonts w:ascii="Arial" w:hAnsi="Arial" w:cs="Arial"/>
        </w:rPr>
        <w:t>desierto el recurso</w:t>
      </w:r>
      <w:r>
        <w:rPr>
          <w:rFonts w:ascii="Arial" w:hAnsi="Arial" w:cs="Arial"/>
        </w:rPr>
        <w:t>. Si lo que se omite es el primer acto</w:t>
      </w:r>
      <w:r w:rsidR="00115557">
        <w:rPr>
          <w:rFonts w:ascii="Arial" w:hAnsi="Arial" w:cs="Arial"/>
        </w:rPr>
        <w:t xml:space="preserve">, la </w:t>
      </w:r>
      <w:r w:rsidR="00115557" w:rsidRPr="003D5B0A">
        <w:rPr>
          <w:rFonts w:ascii="Arial" w:hAnsi="Arial" w:cs="Arial"/>
          <w:u w:val="single"/>
        </w:rPr>
        <w:t>deserción</w:t>
      </w:r>
      <w:r w:rsidR="00115557">
        <w:rPr>
          <w:rFonts w:ascii="Arial" w:hAnsi="Arial" w:cs="Arial"/>
        </w:rPr>
        <w:t xml:space="preserve"> debe ser declarada por el juez de primera instancia; de omitirse el segundo, corresponde al superior </w:t>
      </w:r>
      <w:r w:rsidR="00115557" w:rsidRPr="005204C6">
        <w:rPr>
          <w:rFonts w:ascii="Arial" w:hAnsi="Arial" w:cs="Arial"/>
        </w:rPr>
        <w:t xml:space="preserve">declararla (CGP, art.322-4). </w:t>
      </w:r>
      <w:r w:rsidR="00683BF7" w:rsidRPr="005204C6">
        <w:rPr>
          <w:rFonts w:ascii="Arial" w:hAnsi="Arial" w:cs="Arial"/>
        </w:rPr>
        <w:t>(Sublínea fuera de texto).</w:t>
      </w:r>
    </w:p>
    <w:p w:rsidR="00672364" w:rsidRDefault="00672364" w:rsidP="0006282A">
      <w:pPr>
        <w:pStyle w:val="Sinespaciado"/>
        <w:spacing w:line="360" w:lineRule="auto"/>
        <w:ind w:right="567"/>
        <w:jc w:val="both"/>
        <w:rPr>
          <w:rFonts w:ascii="Arial" w:hAnsi="Arial" w:cs="Arial"/>
        </w:rPr>
      </w:pPr>
    </w:p>
    <w:p w:rsidR="00C11794" w:rsidRDefault="00C11794" w:rsidP="00C11794">
      <w:pPr>
        <w:pStyle w:val="Sinespaciado"/>
        <w:spacing w:line="360" w:lineRule="auto"/>
        <w:jc w:val="both"/>
        <w:rPr>
          <w:rFonts w:ascii="Arial" w:hAnsi="Arial" w:cs="Arial"/>
        </w:rPr>
      </w:pPr>
      <w:r>
        <w:rPr>
          <w:rFonts w:ascii="Arial" w:hAnsi="Arial" w:cs="Arial"/>
        </w:rPr>
        <w:t>La posición de declarar desierto el recurso ante la falta de reparos concretos</w:t>
      </w:r>
      <w:r>
        <w:rPr>
          <w:rStyle w:val="Refdenotaalpie"/>
          <w:rFonts w:ascii="Arial" w:hAnsi="Arial"/>
        </w:rPr>
        <w:footnoteReference w:id="14"/>
      </w:r>
      <w:r>
        <w:rPr>
          <w:rFonts w:ascii="Arial" w:hAnsi="Arial" w:cs="Arial"/>
        </w:rPr>
        <w:t>, ya ha sido adoptada por una de las Salas de la especialidad</w:t>
      </w:r>
      <w:r>
        <w:rPr>
          <w:rStyle w:val="Refdenotaalpie"/>
          <w:rFonts w:ascii="Arial" w:hAnsi="Arial" w:cs="Arial"/>
        </w:rPr>
        <w:footnoteReference w:id="15"/>
      </w:r>
      <w:r>
        <w:rPr>
          <w:rFonts w:ascii="Arial" w:hAnsi="Arial" w:cs="Arial"/>
        </w:rPr>
        <w:t xml:space="preserve"> aunque en anterior oportunidad había considerado la inadmisibilidad del recurso</w:t>
      </w:r>
      <w:r>
        <w:rPr>
          <w:rStyle w:val="Refdenotaalpie"/>
          <w:rFonts w:ascii="Arial" w:hAnsi="Arial"/>
        </w:rPr>
        <w:footnoteReference w:id="16"/>
      </w:r>
      <w:r>
        <w:rPr>
          <w:rFonts w:ascii="Arial" w:hAnsi="Arial" w:cs="Arial"/>
        </w:rPr>
        <w:t>.</w:t>
      </w:r>
    </w:p>
    <w:p w:rsidR="00477144" w:rsidRDefault="00477144" w:rsidP="007F0E1D">
      <w:pPr>
        <w:pStyle w:val="Sinespaciado"/>
        <w:spacing w:line="360" w:lineRule="auto"/>
        <w:jc w:val="both"/>
        <w:rPr>
          <w:rFonts w:ascii="Arial" w:hAnsi="Arial" w:cs="Arial"/>
        </w:rPr>
      </w:pPr>
    </w:p>
    <w:p w:rsidR="00A115B4" w:rsidRPr="007B48F5" w:rsidRDefault="00A115B4" w:rsidP="007F0E1D">
      <w:pPr>
        <w:pStyle w:val="Sinespaciado"/>
        <w:spacing w:line="360" w:lineRule="auto"/>
        <w:jc w:val="both"/>
        <w:rPr>
          <w:rFonts w:ascii="Arial" w:hAnsi="Arial" w:cs="Arial"/>
        </w:rPr>
      </w:pPr>
    </w:p>
    <w:p w:rsidR="007F0E1D" w:rsidRDefault="007F0E1D" w:rsidP="007F0E1D">
      <w:pPr>
        <w:pStyle w:val="Sinespaciado"/>
        <w:numPr>
          <w:ilvl w:val="0"/>
          <w:numId w:val="8"/>
        </w:numPr>
        <w:spacing w:line="360" w:lineRule="auto"/>
        <w:jc w:val="both"/>
        <w:rPr>
          <w:rFonts w:ascii="Arial" w:hAnsi="Arial" w:cs="Arial"/>
        </w:rPr>
      </w:pPr>
      <w:r>
        <w:rPr>
          <w:rFonts w:ascii="Arial" w:hAnsi="Arial" w:cs="Arial"/>
          <w:sz w:val="28"/>
          <w:szCs w:val="28"/>
        </w:rPr>
        <w:t>E</w:t>
      </w:r>
      <w:r>
        <w:rPr>
          <w:rFonts w:ascii="Arial" w:hAnsi="Arial" w:cs="Arial"/>
        </w:rPr>
        <w:t>L</w:t>
      </w:r>
      <w:r w:rsidRPr="00CF2E47">
        <w:rPr>
          <w:rFonts w:ascii="Arial" w:hAnsi="Arial" w:cs="Arial"/>
        </w:rPr>
        <w:t xml:space="preserve"> </w:t>
      </w:r>
      <w:r>
        <w:rPr>
          <w:rFonts w:ascii="Arial" w:hAnsi="Arial" w:cs="Arial"/>
        </w:rPr>
        <w:t>CASO CONCRETO QUE SE ANALIZA</w:t>
      </w:r>
    </w:p>
    <w:p w:rsidR="007F0E1D" w:rsidRDefault="007F0E1D" w:rsidP="007F0E1D">
      <w:pPr>
        <w:pStyle w:val="Sinespaciado"/>
        <w:spacing w:line="360" w:lineRule="auto"/>
        <w:jc w:val="both"/>
        <w:rPr>
          <w:rFonts w:ascii="Arial" w:hAnsi="Arial" w:cs="Arial"/>
        </w:rPr>
      </w:pPr>
    </w:p>
    <w:p w:rsidR="0066530A" w:rsidRDefault="007F0E1D" w:rsidP="007F0E1D">
      <w:pPr>
        <w:pStyle w:val="Sinespaciado"/>
        <w:spacing w:line="360" w:lineRule="auto"/>
        <w:jc w:val="both"/>
        <w:rPr>
          <w:rFonts w:ascii="Arial" w:hAnsi="Arial" w:cs="Arial"/>
        </w:rPr>
      </w:pPr>
      <w:r w:rsidRPr="0062131C">
        <w:rPr>
          <w:rFonts w:ascii="Arial" w:hAnsi="Arial" w:cs="Arial"/>
        </w:rPr>
        <w:t>La parte actora en prime</w:t>
      </w:r>
      <w:r w:rsidR="00920096">
        <w:rPr>
          <w:rFonts w:ascii="Arial" w:hAnsi="Arial" w:cs="Arial"/>
        </w:rPr>
        <w:t>r</w:t>
      </w:r>
      <w:r w:rsidRPr="0062131C">
        <w:rPr>
          <w:rFonts w:ascii="Arial" w:hAnsi="Arial" w:cs="Arial"/>
        </w:rPr>
        <w:t>a instancia expresó</w:t>
      </w:r>
      <w:r w:rsidR="0006282A">
        <w:rPr>
          <w:rFonts w:ascii="Arial" w:hAnsi="Arial" w:cs="Arial"/>
        </w:rPr>
        <w:t>:</w:t>
      </w:r>
      <w:r w:rsidRPr="0062131C">
        <w:rPr>
          <w:rFonts w:ascii="Arial" w:hAnsi="Arial" w:cs="Arial"/>
        </w:rPr>
        <w:t xml:space="preserve"> </w:t>
      </w:r>
      <w:r w:rsidRPr="00DD3357">
        <w:rPr>
          <w:rFonts w:ascii="Arial" w:hAnsi="Arial" w:cs="Arial"/>
          <w:i/>
          <w:sz w:val="22"/>
        </w:rPr>
        <w:t xml:space="preserve">“(…) </w:t>
      </w:r>
      <w:r w:rsidR="0006282A" w:rsidRPr="00DD3357">
        <w:rPr>
          <w:rFonts w:ascii="Arial" w:hAnsi="Arial" w:cs="Arial"/>
          <w:i/>
          <w:sz w:val="22"/>
        </w:rPr>
        <w:t>señor juez la</w:t>
      </w:r>
      <w:r w:rsidR="0066530A" w:rsidRPr="00DD3357">
        <w:rPr>
          <w:rFonts w:ascii="Arial" w:hAnsi="Arial" w:cs="Arial"/>
          <w:i/>
          <w:sz w:val="22"/>
        </w:rPr>
        <w:t xml:space="preserve"> parte demandante apela el fallo </w:t>
      </w:r>
      <w:r w:rsidRPr="00DD3357">
        <w:rPr>
          <w:rFonts w:ascii="Arial" w:hAnsi="Arial" w:cs="Arial"/>
          <w:i/>
          <w:sz w:val="22"/>
        </w:rPr>
        <w:t>(…)</w:t>
      </w:r>
      <w:r w:rsidR="0066530A" w:rsidRPr="00DD3357">
        <w:rPr>
          <w:rFonts w:ascii="Arial" w:hAnsi="Arial" w:cs="Arial"/>
          <w:i/>
          <w:sz w:val="22"/>
        </w:rPr>
        <w:t xml:space="preserve"> señor juez me acojo a lo declarado en los alegatos de conclusión como base para la apelación (…)</w:t>
      </w:r>
      <w:r w:rsidRPr="00DD3357">
        <w:rPr>
          <w:rFonts w:ascii="Arial" w:hAnsi="Arial" w:cs="Arial"/>
          <w:i/>
          <w:sz w:val="22"/>
        </w:rPr>
        <w:t>”</w:t>
      </w:r>
      <w:r w:rsidR="0068721F" w:rsidRPr="00DD3357">
        <w:rPr>
          <w:rFonts w:ascii="Arial" w:hAnsi="Arial" w:cs="Arial"/>
          <w:sz w:val="22"/>
        </w:rPr>
        <w:t xml:space="preserve"> </w:t>
      </w:r>
      <w:r w:rsidR="0068721F">
        <w:rPr>
          <w:rFonts w:ascii="Arial" w:hAnsi="Arial" w:cs="Arial"/>
        </w:rPr>
        <w:t>(</w:t>
      </w:r>
      <w:r w:rsidR="0066530A">
        <w:rPr>
          <w:rFonts w:ascii="Arial" w:hAnsi="Arial" w:cs="Arial"/>
        </w:rPr>
        <w:t>Tiempo 00:45:26 y 00:45:51, registro de audio de la audiencia)</w:t>
      </w:r>
      <w:r w:rsidRPr="0062131C">
        <w:rPr>
          <w:rFonts w:ascii="Arial" w:hAnsi="Arial" w:cs="Arial"/>
        </w:rPr>
        <w:t xml:space="preserve">. </w:t>
      </w:r>
      <w:r w:rsidR="0066530A">
        <w:rPr>
          <w:rFonts w:ascii="Arial" w:hAnsi="Arial" w:cs="Arial"/>
        </w:rPr>
        <w:t xml:space="preserve">Ello </w:t>
      </w:r>
      <w:r w:rsidR="003B3E79">
        <w:rPr>
          <w:rFonts w:ascii="Arial" w:hAnsi="Arial" w:cs="Arial"/>
        </w:rPr>
        <w:t xml:space="preserve">aun cuando </w:t>
      </w:r>
      <w:r w:rsidR="0066530A">
        <w:rPr>
          <w:rFonts w:ascii="Arial" w:hAnsi="Arial" w:cs="Arial"/>
        </w:rPr>
        <w:t xml:space="preserve">el juez al conceder el recurso le señaló: </w:t>
      </w:r>
      <w:r w:rsidR="0066530A" w:rsidRPr="00DD3357">
        <w:rPr>
          <w:rFonts w:ascii="Arial" w:hAnsi="Arial" w:cs="Arial"/>
          <w:i/>
          <w:sz w:val="22"/>
        </w:rPr>
        <w:t>“(…) el despacho entonces teniendo en cuenta que la parte demandante apela el fallo, le concede el uso de la palabra para que lo sustente</w:t>
      </w:r>
      <w:r w:rsidR="00DD3357" w:rsidRPr="00DD3357">
        <w:rPr>
          <w:rFonts w:ascii="Arial" w:hAnsi="Arial" w:cs="Arial"/>
          <w:i/>
          <w:sz w:val="22"/>
        </w:rPr>
        <w:t xml:space="preserve"> en este momento</w:t>
      </w:r>
      <w:r w:rsidR="0066530A" w:rsidRPr="00DD3357">
        <w:rPr>
          <w:rFonts w:ascii="Arial" w:hAnsi="Arial" w:cs="Arial"/>
          <w:i/>
          <w:sz w:val="22"/>
        </w:rPr>
        <w:t xml:space="preserve"> (…)” </w:t>
      </w:r>
      <w:r w:rsidR="0066530A">
        <w:rPr>
          <w:rFonts w:ascii="Arial" w:hAnsi="Arial" w:cs="Arial"/>
        </w:rPr>
        <w:t>(Tiempo 00:45:35, registro de audio de la audiencia)</w:t>
      </w:r>
      <w:r w:rsidR="00DD3357">
        <w:rPr>
          <w:rFonts w:ascii="Arial" w:hAnsi="Arial" w:cs="Arial"/>
        </w:rPr>
        <w:t>.</w:t>
      </w:r>
      <w:r w:rsidR="00373580">
        <w:rPr>
          <w:rFonts w:ascii="Arial" w:hAnsi="Arial" w:cs="Arial"/>
        </w:rPr>
        <w:t xml:space="preserve"> </w:t>
      </w:r>
    </w:p>
    <w:p w:rsidR="00373580" w:rsidRDefault="007F0E1D" w:rsidP="00373580">
      <w:pPr>
        <w:pStyle w:val="Sinespaciado"/>
        <w:spacing w:line="360" w:lineRule="auto"/>
        <w:jc w:val="both"/>
        <w:rPr>
          <w:rFonts w:ascii="Arial" w:hAnsi="Arial" w:cs="Arial"/>
        </w:rPr>
      </w:pPr>
      <w:r>
        <w:rPr>
          <w:rFonts w:ascii="Arial" w:hAnsi="Arial" w:cs="Arial"/>
        </w:rPr>
        <w:lastRenderedPageBreak/>
        <w:t xml:space="preserve">Puestas así las cosas, se muestra evidente que en manera alguna se ha </w:t>
      </w:r>
      <w:r w:rsidR="00DD3357">
        <w:rPr>
          <w:rFonts w:ascii="Arial" w:hAnsi="Arial" w:cs="Arial"/>
        </w:rPr>
        <w:t xml:space="preserve">formulado reparo contra </w:t>
      </w:r>
      <w:r>
        <w:rPr>
          <w:rFonts w:ascii="Arial" w:hAnsi="Arial" w:cs="Arial"/>
        </w:rPr>
        <w:t xml:space="preserve">la </w:t>
      </w:r>
      <w:r w:rsidR="0062131C">
        <w:rPr>
          <w:rFonts w:ascii="Arial" w:hAnsi="Arial" w:cs="Arial"/>
        </w:rPr>
        <w:t xml:space="preserve">providencia </w:t>
      </w:r>
      <w:r>
        <w:rPr>
          <w:rFonts w:ascii="Arial" w:hAnsi="Arial" w:cs="Arial"/>
        </w:rPr>
        <w:t xml:space="preserve">adoptada por </w:t>
      </w:r>
      <w:r w:rsidR="00DD3357">
        <w:rPr>
          <w:rFonts w:ascii="Arial" w:hAnsi="Arial" w:cs="Arial"/>
        </w:rPr>
        <w:t>e</w:t>
      </w:r>
      <w:r>
        <w:rPr>
          <w:rFonts w:ascii="Arial" w:hAnsi="Arial" w:cs="Arial"/>
        </w:rPr>
        <w:t xml:space="preserve">l </w:t>
      </w:r>
      <w:r w:rsidR="0062131C">
        <w:rPr>
          <w:rFonts w:ascii="Arial" w:hAnsi="Arial" w:cs="Arial"/>
        </w:rPr>
        <w:t xml:space="preserve">juez </w:t>
      </w:r>
      <w:r>
        <w:rPr>
          <w:rFonts w:ascii="Arial" w:hAnsi="Arial" w:cs="Arial"/>
        </w:rPr>
        <w:t>de primer grado, de tal manera que se pueda adentrar esta Superioridad en el análisis pertinente.</w:t>
      </w:r>
      <w:r w:rsidR="00C63F40">
        <w:rPr>
          <w:rFonts w:ascii="Arial" w:hAnsi="Arial" w:cs="Arial"/>
        </w:rPr>
        <w:t xml:space="preserve"> Y aun cuando lo dicho en las alegaciones sea consonante con la pretensión que fue negada, es imposible devolverse a lo dicho en aquel momento ya que la decisión ni siquiera había sido emitida, se desconocía que iban a desestimarse las pretensiones. </w:t>
      </w:r>
      <w:r w:rsidR="00373580">
        <w:rPr>
          <w:rFonts w:ascii="Arial" w:hAnsi="Arial" w:cs="Arial"/>
        </w:rPr>
        <w:t>No tuvo en cuenta el razonamiento del j</w:t>
      </w:r>
      <w:r w:rsidR="00D00D7D">
        <w:rPr>
          <w:rFonts w:ascii="Arial" w:hAnsi="Arial" w:cs="Arial"/>
        </w:rPr>
        <w:t xml:space="preserve">uez para resolver le contienda, que desde luego </w:t>
      </w:r>
      <w:r w:rsidR="00D16F22">
        <w:rPr>
          <w:rFonts w:ascii="Arial" w:hAnsi="Arial" w:cs="Arial"/>
        </w:rPr>
        <w:t>es</w:t>
      </w:r>
      <w:r w:rsidR="00D00D7D">
        <w:rPr>
          <w:rFonts w:ascii="Arial" w:hAnsi="Arial" w:cs="Arial"/>
        </w:rPr>
        <w:t xml:space="preserve"> posterior a los alegatos.</w:t>
      </w:r>
    </w:p>
    <w:p w:rsidR="00C63F40" w:rsidRPr="00125A53" w:rsidRDefault="00C63F40" w:rsidP="007F0E1D">
      <w:pPr>
        <w:pStyle w:val="Sinespaciado"/>
        <w:spacing w:line="360" w:lineRule="auto"/>
        <w:jc w:val="both"/>
        <w:rPr>
          <w:rFonts w:ascii="Arial" w:hAnsi="Arial" w:cs="Arial"/>
          <w:sz w:val="20"/>
        </w:rPr>
      </w:pPr>
    </w:p>
    <w:p w:rsidR="007F0E1D" w:rsidRDefault="007F0E1D" w:rsidP="007F0E1D">
      <w:pPr>
        <w:pStyle w:val="Sinespaciado"/>
        <w:spacing w:line="360" w:lineRule="auto"/>
        <w:jc w:val="both"/>
        <w:rPr>
          <w:rFonts w:ascii="Arial" w:hAnsi="Arial" w:cs="Arial"/>
          <w:u w:val="single"/>
        </w:rPr>
      </w:pPr>
      <w:r>
        <w:rPr>
          <w:rFonts w:ascii="Arial" w:hAnsi="Arial" w:cs="Arial"/>
        </w:rPr>
        <w:t>Oportuno traer la palabras del citado profesor Rojas Gómez</w:t>
      </w:r>
      <w:r>
        <w:rPr>
          <w:rStyle w:val="Refdenotaalpie"/>
          <w:rFonts w:ascii="Arial" w:hAnsi="Arial" w:cs="Arial"/>
        </w:rPr>
        <w:footnoteReference w:id="17"/>
      </w:r>
      <w:r>
        <w:rPr>
          <w:rFonts w:ascii="Arial" w:hAnsi="Arial" w:cs="Arial"/>
        </w:rPr>
        <w:t xml:space="preserve">: </w:t>
      </w:r>
      <w:r w:rsidRPr="009D6B88">
        <w:rPr>
          <w:rFonts w:ascii="Arial" w:hAnsi="Arial" w:cs="Arial"/>
          <w:sz w:val="22"/>
        </w:rPr>
        <w:t>“</w:t>
      </w:r>
      <w:r w:rsidRPr="009D6B88">
        <w:rPr>
          <w:rFonts w:ascii="Arial" w:hAnsi="Arial" w:cs="Arial"/>
          <w:i/>
          <w:iCs/>
          <w:sz w:val="22"/>
        </w:rPr>
        <w:t xml:space="preserve">Si el pronunciamiento judicial es producto de una actividad que se supone responsable y seria, quien se atreva a cuestionarlo debe mostrar siquiera la misma seriedad en sus </w:t>
      </w:r>
      <w:r w:rsidRPr="009D6B88">
        <w:rPr>
          <w:rFonts w:ascii="Arial" w:hAnsi="Arial" w:cs="Arial"/>
          <w:i/>
          <w:iCs/>
          <w:sz w:val="22"/>
          <w:u w:val="single"/>
        </w:rPr>
        <w:t>reparos</w:t>
      </w:r>
      <w:r w:rsidRPr="009D6B88">
        <w:rPr>
          <w:rFonts w:ascii="Arial" w:hAnsi="Arial" w:cs="Arial"/>
          <w:i/>
          <w:iCs/>
          <w:sz w:val="22"/>
        </w:rPr>
        <w:t>, lo cual solo puede constatarse si hay una adecuada fundamentación.</w:t>
      </w:r>
      <w:r w:rsidRPr="009D6B88">
        <w:rPr>
          <w:rFonts w:ascii="Arial" w:hAnsi="Arial" w:cs="Arial"/>
          <w:sz w:val="22"/>
        </w:rPr>
        <w:t>”</w:t>
      </w:r>
      <w:r>
        <w:rPr>
          <w:rFonts w:ascii="Arial" w:hAnsi="Arial" w:cs="Arial"/>
        </w:rPr>
        <w:t>.</w:t>
      </w:r>
      <w:r w:rsidR="00D00D7D">
        <w:rPr>
          <w:rFonts w:ascii="Arial" w:hAnsi="Arial" w:cs="Arial"/>
        </w:rPr>
        <w:t xml:space="preserve"> </w:t>
      </w:r>
      <w:r w:rsidR="00373580">
        <w:rPr>
          <w:rFonts w:ascii="Arial" w:hAnsi="Arial" w:cs="Arial"/>
        </w:rPr>
        <w:t xml:space="preserve">Así las cosas, </w:t>
      </w:r>
      <w:r w:rsidRPr="002E1265">
        <w:rPr>
          <w:rFonts w:ascii="Arial" w:hAnsi="Arial" w:cs="Arial"/>
        </w:rPr>
        <w:t>se echa</w:t>
      </w:r>
      <w:r w:rsidR="00DD3357">
        <w:rPr>
          <w:rFonts w:ascii="Arial" w:hAnsi="Arial" w:cs="Arial"/>
        </w:rPr>
        <w:t xml:space="preserve"> de menos el primer acto de la sustentación </w:t>
      </w:r>
      <w:r w:rsidR="00D00D7D">
        <w:rPr>
          <w:rFonts w:ascii="Arial" w:hAnsi="Arial" w:cs="Arial"/>
        </w:rPr>
        <w:t>que es una exigencia del nuevo CGP y, se itera, provoca la declaratoria de deserción</w:t>
      </w:r>
      <w:r w:rsidR="00125A53">
        <w:rPr>
          <w:rFonts w:ascii="Arial" w:hAnsi="Arial" w:cs="Arial"/>
        </w:rPr>
        <w:t xml:space="preserve">, puesto que lo que se debe hacer en sede de impugnación </w:t>
      </w:r>
      <w:r w:rsidR="00125A53">
        <w:rPr>
          <w:rFonts w:ascii="Arial" w:hAnsi="Arial" w:cs="Arial"/>
          <w:i/>
        </w:rPr>
        <w:t xml:space="preserve">es cuestionar los motivos probatorios normativos y jurisprudenciales </w:t>
      </w:r>
      <w:r w:rsidR="00125A53">
        <w:rPr>
          <w:rFonts w:ascii="Arial" w:hAnsi="Arial" w:cs="Arial"/>
          <w:i/>
          <w:u w:val="single"/>
        </w:rPr>
        <w:t>usados en la decisión atacada.</w:t>
      </w:r>
    </w:p>
    <w:p w:rsidR="007F0E1D" w:rsidRPr="00125A53" w:rsidRDefault="007F0E1D" w:rsidP="007F0E1D">
      <w:pPr>
        <w:pStyle w:val="Sinespaciado"/>
        <w:spacing w:line="360" w:lineRule="auto"/>
        <w:jc w:val="both"/>
        <w:rPr>
          <w:rFonts w:ascii="Arial" w:hAnsi="Arial" w:cs="Arial"/>
          <w:sz w:val="20"/>
          <w:u w:val="single"/>
        </w:rPr>
      </w:pPr>
    </w:p>
    <w:p w:rsidR="0068721F" w:rsidRPr="00125A53" w:rsidRDefault="0068721F" w:rsidP="007F0E1D">
      <w:pPr>
        <w:pStyle w:val="Sinespaciado"/>
        <w:spacing w:line="360" w:lineRule="auto"/>
        <w:jc w:val="both"/>
        <w:rPr>
          <w:rFonts w:ascii="Arial" w:hAnsi="Arial" w:cs="Arial"/>
          <w:sz w:val="20"/>
        </w:rPr>
      </w:pPr>
    </w:p>
    <w:p w:rsidR="007F0E1D" w:rsidRDefault="007F0E1D" w:rsidP="007F0E1D">
      <w:pPr>
        <w:pStyle w:val="Textopredeterminado"/>
        <w:numPr>
          <w:ilvl w:val="0"/>
          <w:numId w:val="8"/>
        </w:numPr>
        <w:spacing w:line="360" w:lineRule="auto"/>
        <w:jc w:val="both"/>
        <w:textAlignment w:val="baseline"/>
        <w:rPr>
          <w:rFonts w:ascii="Arial" w:hAnsi="Arial" w:cs="Arial"/>
        </w:rPr>
      </w:pPr>
      <w:r w:rsidRPr="0014171F">
        <w:rPr>
          <w:rFonts w:ascii="Arial" w:hAnsi="Arial" w:cs="Arial"/>
        </w:rPr>
        <w:t>LAS DECISIONES FINALES</w:t>
      </w:r>
    </w:p>
    <w:p w:rsidR="00C11794" w:rsidRPr="00125A53" w:rsidRDefault="00C11794" w:rsidP="00C11794">
      <w:pPr>
        <w:pStyle w:val="Textopredeterminado"/>
        <w:spacing w:line="360" w:lineRule="auto"/>
        <w:ind w:left="360"/>
        <w:jc w:val="both"/>
        <w:textAlignment w:val="baseline"/>
        <w:rPr>
          <w:rFonts w:ascii="Arial" w:hAnsi="Arial" w:cs="Arial"/>
          <w:sz w:val="20"/>
        </w:rPr>
      </w:pPr>
    </w:p>
    <w:p w:rsidR="007F0E1D" w:rsidRPr="001D1A8E" w:rsidRDefault="007F0E1D" w:rsidP="007F0E1D">
      <w:pPr>
        <w:pStyle w:val="Textoindependiente"/>
        <w:spacing w:line="360" w:lineRule="auto"/>
        <w:ind w:right="51"/>
        <w:rPr>
          <w:rFonts w:ascii="Arial" w:hAnsi="Arial" w:cs="Arial"/>
          <w:sz w:val="22"/>
          <w:szCs w:val="22"/>
        </w:rPr>
      </w:pPr>
      <w:r w:rsidRPr="0090333F">
        <w:rPr>
          <w:rFonts w:ascii="Arial" w:hAnsi="Arial" w:cs="Arial"/>
          <w:lang w:val="es-CO"/>
        </w:rPr>
        <w:t xml:space="preserve">En armonía con las premisas expuestas, </w:t>
      </w:r>
      <w:r>
        <w:rPr>
          <w:rFonts w:ascii="Arial" w:hAnsi="Arial" w:cs="Arial"/>
        </w:rPr>
        <w:t xml:space="preserve">se declarará </w:t>
      </w:r>
      <w:r w:rsidR="0062131C" w:rsidRPr="00373580">
        <w:rPr>
          <w:rFonts w:ascii="Arial" w:hAnsi="Arial" w:cs="Arial"/>
        </w:rPr>
        <w:t xml:space="preserve">desierto </w:t>
      </w:r>
      <w:r w:rsidR="0062131C">
        <w:rPr>
          <w:rFonts w:ascii="Arial" w:hAnsi="Arial" w:cs="Arial"/>
        </w:rPr>
        <w:t>el recurso</w:t>
      </w:r>
      <w:r w:rsidR="0068721F">
        <w:rPr>
          <w:rFonts w:ascii="Arial" w:hAnsi="Arial" w:cs="Arial"/>
        </w:rPr>
        <w:t>,</w:t>
      </w:r>
      <w:r w:rsidR="0062131C">
        <w:rPr>
          <w:rFonts w:ascii="Arial" w:hAnsi="Arial" w:cs="Arial"/>
        </w:rPr>
        <w:t xml:space="preserve"> </w:t>
      </w:r>
      <w:r>
        <w:rPr>
          <w:rFonts w:ascii="Arial" w:hAnsi="Arial" w:cs="Arial"/>
        </w:rPr>
        <w:t xml:space="preserve">por ausencia de </w:t>
      </w:r>
      <w:r w:rsidR="00DD3357">
        <w:rPr>
          <w:rFonts w:ascii="Arial" w:hAnsi="Arial" w:cs="Arial"/>
        </w:rPr>
        <w:t>la formulación de los reparos</w:t>
      </w:r>
      <w:r>
        <w:rPr>
          <w:rFonts w:ascii="Arial" w:hAnsi="Arial" w:cs="Arial"/>
        </w:rPr>
        <w:t>, interpuest</w:t>
      </w:r>
      <w:r w:rsidR="0068721F">
        <w:rPr>
          <w:rFonts w:ascii="Arial" w:hAnsi="Arial" w:cs="Arial"/>
        </w:rPr>
        <w:t>o</w:t>
      </w:r>
      <w:r>
        <w:rPr>
          <w:rFonts w:ascii="Arial" w:hAnsi="Arial" w:cs="Arial"/>
        </w:rPr>
        <w:t xml:space="preserve"> contra </w:t>
      </w:r>
      <w:r w:rsidR="0062131C" w:rsidRPr="00B40F83">
        <w:rPr>
          <w:rFonts w:ascii="Arial" w:hAnsi="Arial" w:cs="Arial"/>
          <w:szCs w:val="24"/>
        </w:rPr>
        <w:t xml:space="preserve">la </w:t>
      </w:r>
      <w:r w:rsidR="00920096">
        <w:rPr>
          <w:rFonts w:ascii="Arial" w:hAnsi="Arial" w:cs="Arial"/>
          <w:szCs w:val="24"/>
        </w:rPr>
        <w:t>sentencia de primer grado</w:t>
      </w:r>
      <w:r w:rsidR="0062131C">
        <w:rPr>
          <w:rFonts w:ascii="Arial" w:hAnsi="Arial" w:cs="Arial"/>
          <w:szCs w:val="24"/>
        </w:rPr>
        <w:t xml:space="preserve"> </w:t>
      </w:r>
      <w:r w:rsidR="00920096">
        <w:rPr>
          <w:rFonts w:ascii="Arial" w:hAnsi="Arial" w:cs="Arial"/>
          <w:szCs w:val="24"/>
        </w:rPr>
        <w:t>que desestimó las pretensiones de la demanda</w:t>
      </w:r>
      <w:r w:rsidR="0062131C">
        <w:rPr>
          <w:rFonts w:ascii="Arial" w:hAnsi="Arial" w:cs="Arial"/>
          <w:szCs w:val="24"/>
        </w:rPr>
        <w:t>, en la ac</w:t>
      </w:r>
      <w:r w:rsidR="00190742">
        <w:rPr>
          <w:rFonts w:ascii="Arial" w:hAnsi="Arial" w:cs="Arial"/>
          <w:szCs w:val="24"/>
        </w:rPr>
        <w:t xml:space="preserve">tuación </w:t>
      </w:r>
      <w:r>
        <w:rPr>
          <w:rFonts w:ascii="Arial" w:hAnsi="Arial" w:cs="Arial"/>
        </w:rPr>
        <w:t>ya referenciada.</w:t>
      </w:r>
    </w:p>
    <w:p w:rsidR="007F0E1D" w:rsidRPr="00D00D7D" w:rsidRDefault="007F0E1D" w:rsidP="007F0E1D">
      <w:pPr>
        <w:autoSpaceDE w:val="0"/>
        <w:autoSpaceDN w:val="0"/>
        <w:adjustRightInd w:val="0"/>
        <w:spacing w:line="360" w:lineRule="auto"/>
        <w:jc w:val="both"/>
        <w:rPr>
          <w:rFonts w:ascii="Arial" w:hAnsi="Arial" w:cs="Arial"/>
          <w:szCs w:val="24"/>
        </w:rPr>
      </w:pPr>
    </w:p>
    <w:p w:rsidR="007F0E1D" w:rsidRPr="005B51AB" w:rsidRDefault="007F0E1D" w:rsidP="007F0E1D">
      <w:pPr>
        <w:autoSpaceDE w:val="0"/>
        <w:autoSpaceDN w:val="0"/>
        <w:adjustRightInd w:val="0"/>
        <w:spacing w:line="360" w:lineRule="auto"/>
        <w:jc w:val="both"/>
        <w:rPr>
          <w:rFonts w:ascii="Arial" w:hAnsi="Arial" w:cs="Arial"/>
          <w:sz w:val="24"/>
          <w:szCs w:val="24"/>
          <w:lang w:val="es-ES_tradnl"/>
        </w:rPr>
      </w:pPr>
      <w:r w:rsidRPr="005B51AB">
        <w:rPr>
          <w:rFonts w:ascii="Arial" w:hAnsi="Arial" w:cs="Arial"/>
          <w:sz w:val="24"/>
          <w:szCs w:val="24"/>
        </w:rPr>
        <w:t xml:space="preserve">Considerando suficientes los argumentos expuestos en esta providencia, </w:t>
      </w:r>
      <w:r>
        <w:rPr>
          <w:rFonts w:ascii="Arial" w:hAnsi="Arial" w:cs="Arial"/>
          <w:sz w:val="24"/>
          <w:szCs w:val="24"/>
        </w:rPr>
        <w:t xml:space="preserve">el </w:t>
      </w:r>
      <w:r w:rsidRPr="005B51AB">
        <w:rPr>
          <w:rFonts w:ascii="Arial" w:hAnsi="Arial" w:cs="Arial"/>
          <w:smallCaps/>
          <w:sz w:val="24"/>
          <w:szCs w:val="24"/>
        </w:rPr>
        <w:t xml:space="preserve">Tribunal Superior del Distrito Judicial de Pereira, en Sala </w:t>
      </w:r>
      <w:r w:rsidR="00917983">
        <w:rPr>
          <w:rFonts w:ascii="Arial" w:hAnsi="Arial" w:cs="Arial"/>
          <w:smallCaps/>
          <w:sz w:val="24"/>
          <w:szCs w:val="24"/>
        </w:rPr>
        <w:t>U</w:t>
      </w:r>
      <w:r>
        <w:rPr>
          <w:rFonts w:ascii="Arial" w:hAnsi="Arial" w:cs="Arial"/>
          <w:smallCaps/>
          <w:sz w:val="24"/>
          <w:szCs w:val="24"/>
        </w:rPr>
        <w:t>nitaria</w:t>
      </w:r>
      <w:r w:rsidRPr="005B51AB">
        <w:rPr>
          <w:rFonts w:ascii="Arial" w:hAnsi="Arial" w:cs="Arial"/>
          <w:sz w:val="24"/>
          <w:szCs w:val="24"/>
        </w:rPr>
        <w:t>,</w:t>
      </w:r>
    </w:p>
    <w:p w:rsidR="007B4698" w:rsidRPr="00D00D7D" w:rsidRDefault="007B4698" w:rsidP="007F0E1D">
      <w:pPr>
        <w:pStyle w:val="Sinespaciado"/>
        <w:spacing w:line="360" w:lineRule="auto"/>
        <w:jc w:val="center"/>
        <w:rPr>
          <w:rFonts w:ascii="Arial" w:hAnsi="Arial" w:cs="Arial"/>
          <w:sz w:val="20"/>
        </w:rPr>
      </w:pPr>
    </w:p>
    <w:p w:rsidR="007F0E1D" w:rsidRDefault="007F0E1D" w:rsidP="007F0E1D">
      <w:pPr>
        <w:pStyle w:val="Sinespaciado"/>
        <w:spacing w:line="360" w:lineRule="auto"/>
        <w:jc w:val="center"/>
        <w:rPr>
          <w:rFonts w:ascii="Arial" w:hAnsi="Arial" w:cs="Arial"/>
          <w:sz w:val="20"/>
          <w:szCs w:val="20"/>
        </w:rPr>
      </w:pPr>
      <w:r w:rsidRPr="007C7FFE">
        <w:rPr>
          <w:rFonts w:ascii="Arial" w:hAnsi="Arial" w:cs="Arial"/>
        </w:rPr>
        <w:t>R</w:t>
      </w:r>
      <w:r w:rsidRPr="001D1A8E">
        <w:rPr>
          <w:rFonts w:ascii="Arial" w:hAnsi="Arial" w:cs="Arial"/>
        </w:rPr>
        <w:t xml:space="preserve"> </w:t>
      </w:r>
      <w:r w:rsidRPr="007C7FFE">
        <w:rPr>
          <w:rFonts w:ascii="Arial" w:hAnsi="Arial" w:cs="Arial"/>
          <w:sz w:val="20"/>
          <w:szCs w:val="20"/>
        </w:rPr>
        <w:t>E S U E L V E,</w:t>
      </w:r>
    </w:p>
    <w:p w:rsidR="007F0E1D" w:rsidRPr="00125A53" w:rsidRDefault="007F0E1D" w:rsidP="007F0E1D">
      <w:pPr>
        <w:pStyle w:val="Sinespaciado"/>
        <w:spacing w:line="360" w:lineRule="auto"/>
        <w:jc w:val="center"/>
        <w:rPr>
          <w:rFonts w:ascii="Arial" w:hAnsi="Arial" w:cs="Arial"/>
          <w:sz w:val="20"/>
        </w:rPr>
      </w:pPr>
    </w:p>
    <w:p w:rsidR="007F0E1D" w:rsidRDefault="007F0E1D" w:rsidP="007F0E1D">
      <w:pPr>
        <w:pStyle w:val="Textopredeterminado"/>
        <w:numPr>
          <w:ilvl w:val="0"/>
          <w:numId w:val="9"/>
        </w:numPr>
        <w:spacing w:line="360" w:lineRule="auto"/>
        <w:jc w:val="both"/>
        <w:textAlignment w:val="baseline"/>
        <w:rPr>
          <w:rFonts w:ascii="Arial" w:hAnsi="Arial" w:cs="Arial"/>
        </w:rPr>
      </w:pPr>
      <w:r>
        <w:rPr>
          <w:rFonts w:ascii="Arial" w:hAnsi="Arial" w:cs="Arial"/>
        </w:rPr>
        <w:t xml:space="preserve">DECLARAR </w:t>
      </w:r>
      <w:r w:rsidR="0062131C" w:rsidRPr="009D6B88">
        <w:rPr>
          <w:rFonts w:ascii="Arial" w:hAnsi="Arial" w:cs="Arial"/>
        </w:rPr>
        <w:t>desierto</w:t>
      </w:r>
      <w:r w:rsidR="0062131C">
        <w:rPr>
          <w:rFonts w:ascii="Arial" w:hAnsi="Arial" w:cs="Arial"/>
        </w:rPr>
        <w:t xml:space="preserve"> </w:t>
      </w:r>
      <w:r>
        <w:rPr>
          <w:rFonts w:ascii="Arial" w:hAnsi="Arial" w:cs="Arial"/>
        </w:rPr>
        <w:t>el recurso de apelación formulado por la parte</w:t>
      </w:r>
      <w:r w:rsidR="00920096">
        <w:rPr>
          <w:rFonts w:ascii="Arial" w:hAnsi="Arial" w:cs="Arial"/>
        </w:rPr>
        <w:t xml:space="preserve"> actora </w:t>
      </w:r>
      <w:r>
        <w:rPr>
          <w:rFonts w:ascii="Arial" w:hAnsi="Arial" w:cs="Arial"/>
        </w:rPr>
        <w:t xml:space="preserve">contra la </w:t>
      </w:r>
      <w:r w:rsidR="00FF5395">
        <w:rPr>
          <w:rFonts w:ascii="Arial" w:hAnsi="Arial" w:cs="Arial"/>
        </w:rPr>
        <w:t xml:space="preserve">providencia </w:t>
      </w:r>
      <w:r>
        <w:rPr>
          <w:rFonts w:ascii="Arial" w:hAnsi="Arial" w:cs="Arial"/>
        </w:rPr>
        <w:t xml:space="preserve">del </w:t>
      </w:r>
      <w:r w:rsidR="00920096">
        <w:rPr>
          <w:rFonts w:ascii="Arial" w:hAnsi="Arial" w:cs="Arial"/>
        </w:rPr>
        <w:t>2</w:t>
      </w:r>
      <w:r w:rsidR="00DD3357">
        <w:rPr>
          <w:rFonts w:ascii="Arial" w:hAnsi="Arial" w:cs="Arial"/>
        </w:rPr>
        <w:t>8</w:t>
      </w:r>
      <w:r w:rsidR="00920096">
        <w:rPr>
          <w:rFonts w:ascii="Arial" w:hAnsi="Arial" w:cs="Arial"/>
        </w:rPr>
        <w:t>-0</w:t>
      </w:r>
      <w:r w:rsidR="00DD3357">
        <w:rPr>
          <w:rFonts w:ascii="Arial" w:hAnsi="Arial" w:cs="Arial"/>
        </w:rPr>
        <w:t>4</w:t>
      </w:r>
      <w:r w:rsidR="0062131C">
        <w:rPr>
          <w:rFonts w:ascii="Arial" w:hAnsi="Arial" w:cs="Arial"/>
        </w:rPr>
        <w:t>-201</w:t>
      </w:r>
      <w:r w:rsidR="00DD3357">
        <w:rPr>
          <w:rFonts w:ascii="Arial" w:hAnsi="Arial" w:cs="Arial"/>
        </w:rPr>
        <w:t>6</w:t>
      </w:r>
      <w:r>
        <w:rPr>
          <w:rFonts w:ascii="Arial" w:hAnsi="Arial" w:cs="Arial"/>
        </w:rPr>
        <w:t xml:space="preserve">, </w:t>
      </w:r>
      <w:r w:rsidR="00DD3357">
        <w:rPr>
          <w:rFonts w:ascii="Arial" w:hAnsi="Arial" w:cs="Arial"/>
        </w:rPr>
        <w:t xml:space="preserve">ante </w:t>
      </w:r>
      <w:r>
        <w:rPr>
          <w:rFonts w:ascii="Arial" w:hAnsi="Arial" w:cs="Arial"/>
        </w:rPr>
        <w:t xml:space="preserve">falta de </w:t>
      </w:r>
      <w:r w:rsidR="00DD3357">
        <w:rPr>
          <w:rFonts w:ascii="Arial" w:hAnsi="Arial" w:cs="Arial"/>
        </w:rPr>
        <w:t>enunciación de los reparos</w:t>
      </w:r>
      <w:r>
        <w:rPr>
          <w:rFonts w:ascii="Arial" w:hAnsi="Arial" w:cs="Arial"/>
        </w:rPr>
        <w:t>.</w:t>
      </w:r>
    </w:p>
    <w:p w:rsidR="007F0E1D" w:rsidRPr="00D00D7D" w:rsidRDefault="007F0E1D" w:rsidP="007F0E1D">
      <w:pPr>
        <w:spacing w:line="360" w:lineRule="auto"/>
        <w:ind w:left="360"/>
        <w:rPr>
          <w:rFonts w:ascii="Arial" w:hAnsi="Arial" w:cs="Arial"/>
          <w:szCs w:val="24"/>
        </w:rPr>
      </w:pPr>
    </w:p>
    <w:p w:rsidR="007F0E1D" w:rsidRPr="00DD3357" w:rsidRDefault="007F0E1D" w:rsidP="007F0E1D">
      <w:pPr>
        <w:pStyle w:val="Textopredeterminado"/>
        <w:numPr>
          <w:ilvl w:val="0"/>
          <w:numId w:val="9"/>
        </w:numPr>
        <w:spacing w:line="360" w:lineRule="auto"/>
        <w:jc w:val="both"/>
        <w:textAlignment w:val="baseline"/>
        <w:rPr>
          <w:rFonts w:ascii="Arial" w:hAnsi="Arial" w:cs="Arial"/>
          <w:szCs w:val="24"/>
        </w:rPr>
      </w:pPr>
      <w:r w:rsidRPr="00DD3357">
        <w:rPr>
          <w:rFonts w:ascii="Arial" w:hAnsi="Arial" w:cs="Arial"/>
          <w:szCs w:val="24"/>
        </w:rPr>
        <w:t xml:space="preserve">DEVOLVER el expediente al </w:t>
      </w:r>
      <w:r w:rsidR="00DD3357" w:rsidRPr="00DD3357">
        <w:rPr>
          <w:rFonts w:ascii="Arial" w:hAnsi="Arial" w:cs="Arial"/>
          <w:szCs w:val="24"/>
          <w:lang w:val="es-CO"/>
        </w:rPr>
        <w:t>Juzgado Único Promiscuo del Circuito de La Virginia</w:t>
      </w:r>
      <w:r w:rsidRPr="00DD3357">
        <w:rPr>
          <w:rFonts w:ascii="Arial" w:hAnsi="Arial" w:cs="Arial"/>
          <w:szCs w:val="24"/>
        </w:rPr>
        <w:t>.</w:t>
      </w:r>
    </w:p>
    <w:p w:rsidR="00AD10DB" w:rsidRPr="00D00D7D" w:rsidRDefault="00AD10DB" w:rsidP="00AD10DB">
      <w:pPr>
        <w:suppressAutoHyphens/>
        <w:spacing w:line="360" w:lineRule="auto"/>
        <w:jc w:val="both"/>
        <w:rPr>
          <w:rFonts w:ascii="Arial" w:hAnsi="Arial" w:cs="Arial"/>
          <w:spacing w:val="-3"/>
          <w:szCs w:val="24"/>
        </w:rPr>
      </w:pPr>
    </w:p>
    <w:p w:rsidR="00AD10DB" w:rsidRPr="006E333E" w:rsidRDefault="00AD10DB" w:rsidP="00AD10DB">
      <w:pPr>
        <w:spacing w:line="360" w:lineRule="auto"/>
        <w:jc w:val="center"/>
        <w:rPr>
          <w:rFonts w:ascii="Arial" w:hAnsi="Arial" w:cs="Arial"/>
          <w:smallCaps/>
          <w:sz w:val="24"/>
          <w:szCs w:val="24"/>
        </w:rPr>
      </w:pPr>
      <w:r w:rsidRPr="006E333E">
        <w:rPr>
          <w:rFonts w:ascii="Arial" w:hAnsi="Arial" w:cs="Arial"/>
          <w:smallCaps/>
          <w:sz w:val="24"/>
          <w:szCs w:val="24"/>
        </w:rPr>
        <w:t>Notifíquese,</w:t>
      </w:r>
    </w:p>
    <w:p w:rsidR="00AD10DB" w:rsidRDefault="00125A53" w:rsidP="00125A53">
      <w:pPr>
        <w:spacing w:line="360" w:lineRule="auto"/>
        <w:jc w:val="right"/>
        <w:rPr>
          <w:rFonts w:ascii="Arial" w:hAnsi="Arial" w:cs="Arial"/>
          <w:sz w:val="24"/>
          <w:szCs w:val="24"/>
        </w:rPr>
      </w:pPr>
      <w:r>
        <w:rPr>
          <w:rFonts w:ascii="Arial" w:hAnsi="Arial" w:cs="Arial"/>
          <w:i/>
          <w:spacing w:val="20"/>
          <w:w w:val="150"/>
          <w:sz w:val="6"/>
          <w:szCs w:val="22"/>
          <w:lang w:val="en-US"/>
        </w:rPr>
        <w:t>DGH/DGD / 2016</w:t>
      </w:r>
    </w:p>
    <w:p w:rsidR="00920096" w:rsidRDefault="00920096" w:rsidP="00AD10DB">
      <w:pPr>
        <w:spacing w:line="360" w:lineRule="auto"/>
        <w:jc w:val="both"/>
        <w:rPr>
          <w:rFonts w:ascii="Arial" w:hAnsi="Arial" w:cs="Arial"/>
          <w:sz w:val="24"/>
          <w:szCs w:val="24"/>
        </w:rPr>
      </w:pPr>
    </w:p>
    <w:p w:rsidR="00125A53" w:rsidRDefault="00125A53" w:rsidP="00AD10DB">
      <w:pPr>
        <w:spacing w:line="360" w:lineRule="auto"/>
        <w:jc w:val="both"/>
        <w:rPr>
          <w:rFonts w:ascii="Arial" w:hAnsi="Arial" w:cs="Arial"/>
          <w:sz w:val="24"/>
          <w:szCs w:val="24"/>
        </w:rPr>
      </w:pPr>
    </w:p>
    <w:p w:rsidR="00AD10DB" w:rsidRPr="006E333E" w:rsidRDefault="00AD10DB" w:rsidP="00AD10DB">
      <w:pPr>
        <w:pStyle w:val="Textopredeterminado"/>
        <w:spacing w:line="360" w:lineRule="auto"/>
        <w:jc w:val="center"/>
        <w:rPr>
          <w:rFonts w:ascii="Arial" w:hAnsi="Arial" w:cs="Arial"/>
          <w:caps/>
          <w:spacing w:val="20"/>
          <w:w w:val="150"/>
          <w:lang w:val="es-MX"/>
        </w:rPr>
      </w:pPr>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33124D" w:rsidRDefault="00AD10DB" w:rsidP="00125A5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i/>
          <w:spacing w:val="20"/>
          <w:w w:val="150"/>
          <w:sz w:val="6"/>
          <w:szCs w:val="22"/>
          <w:lang w:val="en-US"/>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0033124D" w:rsidRPr="000A184C">
        <w:rPr>
          <w:rFonts w:ascii="Arial" w:hAnsi="Arial" w:cs="Arial"/>
          <w:spacing w:val="20"/>
          <w:w w:val="150"/>
          <w:sz w:val="18"/>
          <w:szCs w:val="22"/>
          <w:lang w:val="en-US"/>
        </w:rPr>
        <w:t xml:space="preserve"> </w:t>
      </w:r>
    </w:p>
    <w:p w:rsidR="00125A53" w:rsidRDefault="0025722D">
      <w:pPr>
        <w:spacing w:after="200" w:line="276" w:lineRule="auto"/>
        <w:rPr>
          <w:rFonts w:ascii="Arial" w:hAnsi="Arial" w:cs="Arial"/>
          <w:i/>
          <w:spacing w:val="20"/>
          <w:w w:val="150"/>
          <w:sz w:val="6"/>
          <w:szCs w:val="22"/>
          <w:lang w:val="en-US"/>
        </w:rPr>
      </w:pPr>
      <w:r>
        <w:rPr>
          <w:noProof/>
        </w:rPr>
        <w:lastRenderedPageBreak/>
        <mc:AlternateContent>
          <mc:Choice Requires="wps">
            <w:drawing>
              <wp:anchor distT="0" distB="0" distL="114300" distR="114300" simplePos="0" relativeHeight="251660288" behindDoc="0" locked="0" layoutInCell="1" allowOverlap="1" wp14:anchorId="62BA574B" wp14:editId="21B3BC47">
                <wp:simplePos x="0" y="0"/>
                <wp:positionH relativeFrom="margin">
                  <wp:align>center</wp:align>
                </wp:positionH>
                <wp:positionV relativeFrom="paragraph">
                  <wp:posOffset>82550</wp:posOffset>
                </wp:positionV>
                <wp:extent cx="2521744" cy="1257300"/>
                <wp:effectExtent l="19050" t="19050" r="1206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744" cy="1257300"/>
                        </a:xfrm>
                        <a:prstGeom prst="rect">
                          <a:avLst/>
                        </a:prstGeom>
                        <a:solidFill>
                          <a:srgbClr val="FFFFFF"/>
                        </a:solidFill>
                        <a:ln w="28575" cmpd="thickThin">
                          <a:solidFill>
                            <a:srgbClr val="000000"/>
                          </a:solidFill>
                          <a:miter lim="800000"/>
                          <a:headEnd/>
                          <a:tailEnd/>
                        </a:ln>
                      </wps:spPr>
                      <wps:txbx>
                        <w:txbxContent>
                          <w:p w:rsidR="00125A53" w:rsidRPr="0069377F" w:rsidRDefault="00125A53" w:rsidP="00125A53">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125A53" w:rsidRDefault="00125A53" w:rsidP="00125A53">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125A53" w:rsidRPr="0069377F" w:rsidRDefault="00125A53" w:rsidP="00125A53">
                            <w:pPr>
                              <w:jc w:val="center"/>
                              <w:rPr>
                                <w:rFonts w:ascii="Kalinga" w:hAnsi="Kalinga" w:cs="Kalinga"/>
                                <w:color w:val="000000"/>
                                <w:sz w:val="18"/>
                                <w:szCs w:val="22"/>
                              </w:rPr>
                            </w:pPr>
                          </w:p>
                          <w:p w:rsidR="00125A53" w:rsidRPr="0069377F" w:rsidRDefault="00125A53" w:rsidP="00125A53">
                            <w:pPr>
                              <w:jc w:val="center"/>
                              <w:rPr>
                                <w:rFonts w:ascii="Kalinga" w:hAnsi="Kalinga" w:cs="Kalinga"/>
                                <w:color w:val="000000"/>
                                <w:sz w:val="18"/>
                                <w:szCs w:val="22"/>
                              </w:rPr>
                            </w:pPr>
                          </w:p>
                          <w:p w:rsidR="00125A53" w:rsidRPr="00AC087B" w:rsidRDefault="00125A53" w:rsidP="00125A53">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125A53" w:rsidRPr="0069377F" w:rsidRDefault="00125A53" w:rsidP="00125A53">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125A53" w:rsidRPr="00AC087B" w:rsidRDefault="00125A53" w:rsidP="00125A53">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A574B" id="Rectangle 7" o:spid="_x0000_s1026" style="position:absolute;margin-left:0;margin-top:6.5pt;width:198.55pt;height:9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1/MwIAAFoEAAAOAAAAZHJzL2Uyb0RvYy54bWysVNuO0zAQfUfiHyy/0ySlpSVqulp1KUJa&#10;YMUuH+A4TmOtb4zdpuXrd+xkSxd4QuTB8sTjkzPnzGR1ddSKHAR4aU1Fi0lOiTDcNtLsKvr9Yftm&#10;SYkPzDRMWSMqehKeXq1fv1r1rhRT21nVCCAIYnzZu4p2IbgyyzzvhGZ+Yp0weNha0CxgCLusAdYj&#10;ulbZNM/fZb2FxoHlwnt8ezMc0nXCb1vBw9e29SIQVVHkFtIKaa3jmq1XrNwBc53kIw32Dyw0kwY/&#10;eoa6YYGRPcg/oLTkYL1tw4Rbndm2lVykGrCaIv+tmvuOOZFqQXG8O8vk/x8s/3K4AyIb9I4SwzRa&#10;9A1FY2anBFlEeXrnS8y6d3cQC/Tu1vJHT4zddJglrgFs3wnWIKki5mcvLsTA41VS959tg+hsH2xS&#10;6tiCjoCoATkmQ05nQ8QxEI4vp/NpsZjNKOF4Vkzni7d5sixj5fN1Bz58FFaTuKkoIPkEzw63PkQ6&#10;rHxOSfStks1WKpUC2NUbBeTAsDu26UkVYJWXacqQHrks54s5MtEOxQrYLo8P3Wj6i2x/CZqn52+g&#10;WgZsfCV1RZfnJFZGJT+YJrVlYFINeyxCmVHaqObgSjjWx9Gg2jYnFBns0OA4kLjpLPykpMfmrqj/&#10;sWcgKFGfDBr1vpjN4jSkYDZfTDGAy5P68oQZjlBYNCXDdhOGCdo7kLsOv1QkyY29RnNbmWSPxg+s&#10;Rt7YwMmNcdjihFzGKevXL2H9BAAA//8DAFBLAwQUAAYACAAAACEAvniHTNwAAAAHAQAADwAAAGRy&#10;cy9kb3ducmV2LnhtbEyPQU/DMAyF70j8h8hI3FjaDbHRNZ0GEkIcN8rdbUzb0ThVk22FX485sZP1&#10;/Kz3PuebyfXqRGPoPBtIZwko4trbjhsD5fvL3QpUiMgWe89k4JsCbIrrqxwz68+8o9M+NkpCOGRo&#10;oI1xyLQOdUsOw8wPxOJ9+tFhFDk22o54lnDX63mSPGiHHUtDiwM9t1R/7Y/OwMdrs/vBeqkP5ZOv&#10;fHm/2uq3YMztzbRdg4o0xf9j+MMXdCiEqfJHtkH1BuSRKNuFTHEXj8sUVGVgnqYJ6CLXl/zFLwAA&#10;AP//AwBQSwECLQAUAAYACAAAACEAtoM4kv4AAADhAQAAEwAAAAAAAAAAAAAAAAAAAAAAW0NvbnRl&#10;bnRfVHlwZXNdLnhtbFBLAQItABQABgAIAAAAIQA4/SH/1gAAAJQBAAALAAAAAAAAAAAAAAAAAC8B&#10;AABfcmVscy8ucmVsc1BLAQItABQABgAIAAAAIQBEN71/MwIAAFoEAAAOAAAAAAAAAAAAAAAAAC4C&#10;AABkcnMvZTJvRG9jLnhtbFBLAQItABQABgAIAAAAIQC+eIdM3AAAAAcBAAAPAAAAAAAAAAAAAAAA&#10;AI0EAABkcnMvZG93bnJldi54bWxQSwUGAAAAAAQABADzAAAAlgUAAAAA&#10;" strokeweight="2.25pt">
                <v:stroke linestyle="thickThin"/>
                <v:textbox>
                  <w:txbxContent>
                    <w:p w:rsidR="00125A53" w:rsidRPr="0069377F" w:rsidRDefault="00125A53" w:rsidP="00125A53">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125A53" w:rsidRDefault="00125A53" w:rsidP="00125A53">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125A53" w:rsidRPr="0069377F" w:rsidRDefault="00125A53" w:rsidP="00125A53">
                      <w:pPr>
                        <w:jc w:val="center"/>
                        <w:rPr>
                          <w:rFonts w:ascii="Kalinga" w:hAnsi="Kalinga" w:cs="Kalinga"/>
                          <w:color w:val="000000"/>
                          <w:sz w:val="18"/>
                          <w:szCs w:val="22"/>
                        </w:rPr>
                      </w:pPr>
                    </w:p>
                    <w:p w:rsidR="00125A53" w:rsidRPr="0069377F" w:rsidRDefault="00125A53" w:rsidP="00125A53">
                      <w:pPr>
                        <w:jc w:val="center"/>
                        <w:rPr>
                          <w:rFonts w:ascii="Kalinga" w:hAnsi="Kalinga" w:cs="Kalinga"/>
                          <w:color w:val="000000"/>
                          <w:sz w:val="18"/>
                          <w:szCs w:val="22"/>
                        </w:rPr>
                      </w:pPr>
                    </w:p>
                    <w:p w:rsidR="00125A53" w:rsidRPr="00AC087B" w:rsidRDefault="00125A53" w:rsidP="00125A53">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125A53" w:rsidRPr="0069377F" w:rsidRDefault="00125A53" w:rsidP="00125A53">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125A53" w:rsidRPr="00AC087B" w:rsidRDefault="00125A53" w:rsidP="00125A53">
                      <w:pPr>
                        <w:jc w:val="center"/>
                        <w:rPr>
                          <w:rFonts w:ascii="Kalinga" w:hAnsi="Kalinga" w:cs="Kalinga"/>
                          <w:sz w:val="22"/>
                          <w:szCs w:val="22"/>
                        </w:rPr>
                      </w:pPr>
                    </w:p>
                  </w:txbxContent>
                </v:textbox>
                <w10:wrap anchorx="margin"/>
              </v:rect>
            </w:pict>
          </mc:Fallback>
        </mc:AlternateContent>
      </w:r>
    </w:p>
    <w:p w:rsidR="001D622F" w:rsidRDefault="001D622F" w:rsidP="00EA40EA">
      <w:pPr>
        <w:spacing w:line="360" w:lineRule="auto"/>
        <w:jc w:val="right"/>
        <w:rPr>
          <w:rFonts w:ascii="Arial" w:hAnsi="Arial" w:cs="Arial"/>
          <w:i/>
          <w:spacing w:val="20"/>
          <w:w w:val="150"/>
          <w:sz w:val="6"/>
          <w:szCs w:val="22"/>
          <w:lang w:val="en-US"/>
        </w:rPr>
      </w:pPr>
    </w:p>
    <w:sectPr w:rsidR="001D622F" w:rsidSect="00C15ED5">
      <w:headerReference w:type="default" r:id="rId9"/>
      <w:footerReference w:type="default" r:id="rId10"/>
      <w:pgSz w:w="12240" w:h="18720"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01" w:rsidRDefault="00A42D01" w:rsidP="009A1240">
      <w:r>
        <w:separator/>
      </w:r>
    </w:p>
  </w:endnote>
  <w:endnote w:type="continuationSeparator" w:id="0">
    <w:p w:rsidR="00A42D01" w:rsidRDefault="00A42D0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01" w:rsidRDefault="00A42D01" w:rsidP="009A1240">
      <w:r>
        <w:separator/>
      </w:r>
    </w:p>
  </w:footnote>
  <w:footnote w:type="continuationSeparator" w:id="0">
    <w:p w:rsidR="00A42D01" w:rsidRDefault="00A42D01" w:rsidP="009A1240">
      <w:r>
        <w:continuationSeparator/>
      </w:r>
    </w:p>
  </w:footnote>
  <w:footnote w:id="1">
    <w:p w:rsidR="007F0E1D" w:rsidRDefault="007F0E1D" w:rsidP="007F0E1D">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000F6CA9" w:rsidRPr="003A4792">
        <w:rPr>
          <w:rFonts w:asciiTheme="minorHAnsi" w:hAnsiTheme="minorHAnsi" w:cs="Calibri"/>
          <w:szCs w:val="18"/>
          <w:lang w:val="es-CO"/>
        </w:rPr>
        <w:t xml:space="preserve">LÓPEZ BLANCO, Hernán Fabio. </w:t>
      </w:r>
      <w:r w:rsidR="000F6CA9">
        <w:rPr>
          <w:rFonts w:asciiTheme="minorHAnsi" w:hAnsiTheme="minorHAnsi" w:cs="Calibri"/>
          <w:szCs w:val="18"/>
          <w:lang w:val="es-CO"/>
        </w:rPr>
        <w:t>Código general del proceso</w:t>
      </w:r>
      <w:r w:rsidR="000F6CA9" w:rsidRPr="003A4792">
        <w:rPr>
          <w:rFonts w:asciiTheme="minorHAnsi" w:hAnsiTheme="minorHAnsi" w:cs="Calibri"/>
          <w:szCs w:val="18"/>
          <w:lang w:val="es-CO"/>
        </w:rPr>
        <w:t>, parte general, Bogotá DC, Dupré editores, 201</w:t>
      </w:r>
      <w:r w:rsidR="000F6CA9">
        <w:rPr>
          <w:rFonts w:asciiTheme="minorHAnsi" w:hAnsiTheme="minorHAnsi" w:cs="Calibri"/>
          <w:szCs w:val="18"/>
          <w:lang w:val="es-CO"/>
        </w:rPr>
        <w:t>6</w:t>
      </w:r>
      <w:r w:rsidR="000F6CA9" w:rsidRPr="003A4792">
        <w:rPr>
          <w:rFonts w:asciiTheme="minorHAnsi" w:hAnsiTheme="minorHAnsi" w:cs="Calibri"/>
          <w:szCs w:val="18"/>
          <w:lang w:val="es-CO"/>
        </w:rPr>
        <w:t>, p.</w:t>
      </w:r>
      <w:r w:rsidR="000F6CA9">
        <w:rPr>
          <w:rFonts w:asciiTheme="minorHAnsi" w:hAnsiTheme="minorHAnsi" w:cs="Calibri"/>
          <w:szCs w:val="18"/>
          <w:lang w:val="es-CO"/>
        </w:rPr>
        <w:t>769</w:t>
      </w:r>
      <w:r w:rsidR="00825EA0">
        <w:rPr>
          <w:rFonts w:asciiTheme="minorHAnsi" w:hAnsiTheme="minorHAnsi" w:cs="Calibri"/>
          <w:szCs w:val="18"/>
          <w:lang w:val="es-CO"/>
        </w:rPr>
        <w:t>-776</w:t>
      </w:r>
      <w:r w:rsidRPr="00951C2E">
        <w:rPr>
          <w:rFonts w:ascii="Calibri" w:hAnsi="Calibri" w:cs="Calibri"/>
        </w:rPr>
        <w:t>.</w:t>
      </w:r>
    </w:p>
  </w:footnote>
  <w:footnote w:id="2">
    <w:p w:rsidR="007F0E1D" w:rsidRDefault="007F0E1D" w:rsidP="007F0E1D">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7F0E1D" w:rsidRPr="00825EA0" w:rsidRDefault="007F0E1D" w:rsidP="007F0E1D">
      <w:pPr>
        <w:pStyle w:val="Sinespaciado"/>
        <w:jc w:val="both"/>
        <w:rPr>
          <w:sz w:val="20"/>
          <w:szCs w:val="20"/>
        </w:rPr>
      </w:pPr>
      <w:r w:rsidRPr="00825EA0">
        <w:rPr>
          <w:rFonts w:ascii="Calibri" w:hAnsi="Calibri" w:cs="Calibri"/>
          <w:sz w:val="20"/>
          <w:szCs w:val="20"/>
          <w:vertAlign w:val="superscript"/>
        </w:rPr>
        <w:footnoteRef/>
      </w:r>
      <w:r w:rsidRPr="00825EA0">
        <w:rPr>
          <w:rFonts w:ascii="Calibri" w:hAnsi="Calibri" w:cs="Calibri"/>
          <w:sz w:val="20"/>
          <w:szCs w:val="20"/>
        </w:rPr>
        <w:t xml:space="preserve"> </w:t>
      </w:r>
      <w:r w:rsidR="00825EA0" w:rsidRPr="00825EA0">
        <w:rPr>
          <w:rFonts w:asciiTheme="minorHAnsi" w:hAnsiTheme="minorHAnsi" w:cs="Calibri"/>
          <w:sz w:val="20"/>
          <w:szCs w:val="20"/>
          <w:lang w:val="es-CO"/>
        </w:rPr>
        <w:t xml:space="preserve">LÓPEZ BLANCO, Hernán Fabio. </w:t>
      </w:r>
      <w:r w:rsidR="00D671C9">
        <w:rPr>
          <w:rFonts w:ascii="Calibri" w:hAnsi="Calibri" w:cs="Calibri"/>
          <w:sz w:val="20"/>
          <w:szCs w:val="20"/>
        </w:rPr>
        <w:t>O</w:t>
      </w:r>
      <w:r w:rsidR="00D671C9" w:rsidRPr="00825EA0">
        <w:rPr>
          <w:rFonts w:ascii="Calibri" w:hAnsi="Calibri" w:cs="Calibri"/>
          <w:sz w:val="20"/>
          <w:szCs w:val="20"/>
        </w:rPr>
        <w:t>b</w:t>
      </w:r>
      <w:r w:rsidRPr="00825EA0">
        <w:rPr>
          <w:rFonts w:ascii="Calibri" w:hAnsi="Calibri" w:cs="Calibri"/>
          <w:sz w:val="20"/>
          <w:szCs w:val="20"/>
        </w:rPr>
        <w:t xml:space="preserve">. </w:t>
      </w:r>
      <w:r w:rsidR="00825EA0">
        <w:rPr>
          <w:rFonts w:ascii="Calibri" w:hAnsi="Calibri" w:cs="Calibri"/>
          <w:sz w:val="20"/>
          <w:szCs w:val="20"/>
        </w:rPr>
        <w:t>c</w:t>
      </w:r>
      <w:r w:rsidRPr="00825EA0">
        <w:rPr>
          <w:rFonts w:ascii="Calibri" w:hAnsi="Calibri" w:cs="Calibri"/>
          <w:sz w:val="20"/>
          <w:szCs w:val="20"/>
        </w:rPr>
        <w:t>it., p.7</w:t>
      </w:r>
      <w:r w:rsidR="00825EA0">
        <w:rPr>
          <w:rFonts w:ascii="Calibri" w:hAnsi="Calibri" w:cs="Calibri"/>
          <w:sz w:val="20"/>
          <w:szCs w:val="20"/>
        </w:rPr>
        <w:t>69</w:t>
      </w:r>
      <w:r w:rsidRPr="00825EA0">
        <w:rPr>
          <w:rFonts w:ascii="Calibri" w:hAnsi="Calibri" w:cs="Calibri"/>
          <w:sz w:val="20"/>
          <w:szCs w:val="20"/>
        </w:rPr>
        <w:t xml:space="preserve">. </w:t>
      </w:r>
    </w:p>
  </w:footnote>
  <w:footnote w:id="4">
    <w:p w:rsidR="007F0E1D" w:rsidRDefault="007F0E1D" w:rsidP="007F0E1D">
      <w:pPr>
        <w:pStyle w:val="Textonotapie"/>
        <w:jc w:val="both"/>
      </w:pPr>
      <w:r w:rsidRPr="00951C2E">
        <w:rPr>
          <w:rStyle w:val="Refdenotaalpie"/>
          <w:rFonts w:ascii="Calibri" w:hAnsi="Calibri" w:cs="Calibri"/>
        </w:rPr>
        <w:footnoteRef/>
      </w:r>
      <w:r w:rsidRPr="00951C2E">
        <w:rPr>
          <w:rFonts w:ascii="Calibri" w:hAnsi="Calibri" w:cs="Calibri"/>
        </w:rPr>
        <w:t xml:space="preserve"> ROJAS GÓMEZ, Miguel Enrique. Apuntes sobre la ley de descongestión, Ediciones Doctrina y Ley Ltda., 2010, Bogotá DC, p.242.</w:t>
      </w:r>
    </w:p>
  </w:footnote>
  <w:footnote w:id="5">
    <w:p w:rsidR="00C608FF" w:rsidRPr="00C608FF" w:rsidRDefault="00C608FF">
      <w:pPr>
        <w:pStyle w:val="Textonotapie"/>
        <w:rPr>
          <w:lang w:val="es-CO"/>
        </w:rPr>
      </w:pPr>
      <w:r>
        <w:rPr>
          <w:rStyle w:val="Refdenotaalpie"/>
        </w:rPr>
        <w:footnoteRef/>
      </w:r>
      <w:r>
        <w:t xml:space="preserve"> </w:t>
      </w:r>
      <w:r w:rsidR="00C11794" w:rsidRPr="00951C2E">
        <w:rPr>
          <w:rFonts w:ascii="Calibri" w:hAnsi="Calibri" w:cs="Calibri"/>
        </w:rPr>
        <w:t>LÓPEZ BLANCO, Hernán Fabio. Ob. cit., p.7</w:t>
      </w:r>
      <w:r w:rsidR="00C11794">
        <w:rPr>
          <w:rFonts w:ascii="Calibri" w:hAnsi="Calibri" w:cs="Calibri"/>
        </w:rPr>
        <w:t>76</w:t>
      </w:r>
    </w:p>
  </w:footnote>
  <w:footnote w:id="6">
    <w:p w:rsidR="007F0E1D" w:rsidRDefault="007F0E1D" w:rsidP="007F0E1D">
      <w:pPr>
        <w:pStyle w:val="Sinespaciado"/>
        <w:jc w:val="both"/>
      </w:pPr>
      <w:r w:rsidRPr="00951C2E">
        <w:rPr>
          <w:rFonts w:ascii="Calibri" w:hAnsi="Calibri" w:cs="Calibri"/>
          <w:sz w:val="20"/>
          <w:szCs w:val="20"/>
          <w:vertAlign w:val="superscript"/>
        </w:rPr>
        <w:footnoteRef/>
      </w:r>
      <w:r w:rsidRPr="00951C2E">
        <w:rPr>
          <w:rFonts w:ascii="Calibri" w:hAnsi="Calibri" w:cs="Calibri"/>
          <w:sz w:val="20"/>
          <w:szCs w:val="20"/>
        </w:rPr>
        <w:t xml:space="preserve"> LÓPEZ BLANCO, Hernán Fabio.</w:t>
      </w:r>
      <w:r w:rsidR="00D671C9" w:rsidRPr="00951C2E">
        <w:rPr>
          <w:rFonts w:ascii="Calibri" w:hAnsi="Calibri" w:cs="Calibri"/>
          <w:sz w:val="20"/>
          <w:szCs w:val="20"/>
        </w:rPr>
        <w:t xml:space="preserve"> </w:t>
      </w:r>
      <w:r w:rsidRPr="00951C2E">
        <w:rPr>
          <w:rFonts w:ascii="Calibri" w:hAnsi="Calibri" w:cs="Calibri"/>
          <w:sz w:val="20"/>
          <w:szCs w:val="20"/>
        </w:rPr>
        <w:t>Ob. cit., p.7</w:t>
      </w:r>
      <w:r w:rsidR="00D671C9">
        <w:rPr>
          <w:rFonts w:ascii="Calibri" w:hAnsi="Calibri" w:cs="Calibri"/>
          <w:sz w:val="20"/>
          <w:szCs w:val="20"/>
        </w:rPr>
        <w:t>78</w:t>
      </w:r>
      <w:r w:rsidRPr="00951C2E">
        <w:rPr>
          <w:rFonts w:ascii="Calibri" w:hAnsi="Calibri" w:cs="Calibri"/>
          <w:sz w:val="20"/>
          <w:szCs w:val="20"/>
        </w:rPr>
        <w:t>.</w:t>
      </w:r>
    </w:p>
  </w:footnote>
  <w:footnote w:id="7">
    <w:p w:rsidR="007F0E1D" w:rsidRDefault="007F0E1D" w:rsidP="007F0E1D">
      <w:pPr>
        <w:pStyle w:val="Textonotapie"/>
        <w:jc w:val="both"/>
      </w:pPr>
      <w:r w:rsidRPr="00951C2E">
        <w:rPr>
          <w:rStyle w:val="Refdenotaalpie"/>
          <w:rFonts w:ascii="Calibri" w:hAnsi="Calibri" w:cs="Calibri"/>
        </w:rPr>
        <w:footnoteRef/>
      </w:r>
      <w:r w:rsidRPr="00951C2E">
        <w:rPr>
          <w:rFonts w:ascii="Calibri" w:hAnsi="Calibri" w:cs="Calibri"/>
        </w:rPr>
        <w:t xml:space="preserve"> ROJAS GÓMEZ, Miguel Enrique. Lecciones de derecho procesal, Teoría del proceso, tomo I, Escuela de Actualización Jurídica, 3ª edición, 2013, Bogotá DC, p.204.</w:t>
      </w:r>
    </w:p>
  </w:footnote>
  <w:footnote w:id="8">
    <w:p w:rsidR="007F0E1D" w:rsidRPr="00805077" w:rsidRDefault="007F0E1D" w:rsidP="00C11794">
      <w:pPr>
        <w:pStyle w:val="Textonotapie"/>
        <w:jc w:val="both"/>
        <w:rPr>
          <w:rFonts w:asciiTheme="minorHAnsi" w:hAnsiTheme="minorHAnsi"/>
        </w:rPr>
      </w:pPr>
      <w:r w:rsidRPr="00805077">
        <w:rPr>
          <w:rFonts w:asciiTheme="minorHAnsi" w:hAnsiTheme="minorHAnsi" w:cs="Calibri"/>
          <w:vertAlign w:val="superscript"/>
        </w:rPr>
        <w:footnoteRef/>
      </w:r>
      <w:r w:rsidRPr="00805077">
        <w:rPr>
          <w:rFonts w:asciiTheme="minorHAnsi" w:hAnsiTheme="minorHAnsi" w:cs="Calibri"/>
          <w:lang w:val="es-CO"/>
        </w:rPr>
        <w:t xml:space="preserve"> CORTE CONSTITUCIONAL.  Sentencia C-365 del 18-08-1994,  MP: José Gregorio Hernández Galindo. </w:t>
      </w:r>
    </w:p>
  </w:footnote>
  <w:footnote w:id="9">
    <w:p w:rsidR="007F0E1D" w:rsidRPr="00805077" w:rsidRDefault="007F0E1D" w:rsidP="00C11794">
      <w:pPr>
        <w:pStyle w:val="Textonotapie"/>
        <w:jc w:val="both"/>
        <w:rPr>
          <w:rFonts w:asciiTheme="minorHAnsi" w:hAnsiTheme="minorHAnsi"/>
        </w:rPr>
      </w:pPr>
      <w:r w:rsidRPr="00805077">
        <w:rPr>
          <w:rStyle w:val="Refdenotaalpie"/>
          <w:rFonts w:asciiTheme="minorHAnsi" w:hAnsiTheme="minorHAnsi" w:cs="Calibri"/>
        </w:rPr>
        <w:footnoteRef/>
      </w:r>
      <w:r w:rsidRPr="00805077">
        <w:rPr>
          <w:rFonts w:asciiTheme="minorHAnsi" w:hAnsiTheme="minorHAnsi" w:cs="Calibri"/>
        </w:rPr>
        <w:t xml:space="preserve"> CORTE SUPREMA DE JUSTICA. Sala Casación Civil. Auto del 30-08-1984; MP: Humberto Murcia Ballén.</w:t>
      </w:r>
    </w:p>
  </w:footnote>
  <w:footnote w:id="10">
    <w:p w:rsidR="008C0972" w:rsidRPr="00805077" w:rsidRDefault="008C0972" w:rsidP="00C11794">
      <w:pPr>
        <w:pStyle w:val="Textonotapie"/>
        <w:jc w:val="both"/>
        <w:rPr>
          <w:rFonts w:asciiTheme="minorHAnsi" w:hAnsiTheme="minorHAnsi"/>
          <w:lang w:val="es-CO"/>
        </w:rPr>
      </w:pPr>
      <w:r w:rsidRPr="00805077">
        <w:rPr>
          <w:rStyle w:val="Refdenotaalpie"/>
          <w:rFonts w:asciiTheme="minorHAnsi" w:hAnsiTheme="minorHAnsi"/>
        </w:rPr>
        <w:footnoteRef/>
      </w:r>
      <w:r w:rsidRPr="00805077">
        <w:rPr>
          <w:rFonts w:asciiTheme="minorHAnsi" w:hAnsiTheme="minorHAnsi"/>
        </w:rPr>
        <w:t xml:space="preserve"> </w:t>
      </w:r>
      <w:r w:rsidR="00805077" w:rsidRPr="00805077">
        <w:rPr>
          <w:rFonts w:asciiTheme="minorHAnsi" w:hAnsiTheme="minorHAnsi"/>
        </w:rPr>
        <w:t xml:space="preserve">ESCOBAR VÉLEZ, </w:t>
      </w:r>
      <w:r w:rsidR="00C11794">
        <w:rPr>
          <w:rFonts w:asciiTheme="minorHAnsi" w:hAnsiTheme="minorHAnsi"/>
        </w:rPr>
        <w:t>É</w:t>
      </w:r>
      <w:r w:rsidR="00805077" w:rsidRPr="00805077">
        <w:rPr>
          <w:rFonts w:asciiTheme="minorHAnsi" w:hAnsiTheme="minorHAnsi"/>
        </w:rPr>
        <w:t>dgar Guillermo</w:t>
      </w:r>
      <w:r w:rsidR="00805077">
        <w:rPr>
          <w:rFonts w:asciiTheme="minorHAnsi" w:hAnsiTheme="minorHAnsi"/>
        </w:rPr>
        <w:t>. Los recursos en el código general del proceso, Librería Jurídica Sánchez R. Ltda, 1ª edición, 2015, Medellín, p.75.</w:t>
      </w:r>
    </w:p>
  </w:footnote>
  <w:footnote w:id="11">
    <w:p w:rsidR="00805077" w:rsidRPr="00805077" w:rsidRDefault="00805077" w:rsidP="00C11794">
      <w:pPr>
        <w:pStyle w:val="Textonotapie"/>
        <w:jc w:val="both"/>
        <w:rPr>
          <w:rFonts w:asciiTheme="minorHAnsi" w:hAnsiTheme="minorHAnsi"/>
          <w:lang w:val="es-CO"/>
        </w:rPr>
      </w:pPr>
      <w:r w:rsidRPr="00805077">
        <w:rPr>
          <w:rStyle w:val="Refdenotaalpie"/>
          <w:rFonts w:asciiTheme="minorHAnsi" w:hAnsiTheme="minorHAnsi"/>
        </w:rPr>
        <w:footnoteRef/>
      </w:r>
      <w:r w:rsidRPr="00805077">
        <w:rPr>
          <w:rFonts w:asciiTheme="minorHAnsi" w:hAnsiTheme="minorHAnsi"/>
        </w:rPr>
        <w:t xml:space="preserve"> </w:t>
      </w:r>
      <w:r w:rsidRPr="00805077">
        <w:rPr>
          <w:rFonts w:asciiTheme="minorHAnsi" w:hAnsiTheme="minorHAnsi" w:cs="Calibri"/>
        </w:rPr>
        <w:t>ROJAS GÓMEZ, Miguel Enrique. Lecciones de derecho procesal, Procedimiento Civil, tomo II, Escuela de Actualización Jurídica, 5ª edición, 2013, Bogotá DC, p.353</w:t>
      </w:r>
      <w:r>
        <w:rPr>
          <w:rFonts w:asciiTheme="minorHAnsi" w:hAnsiTheme="minorHAnsi" w:cs="Calibri"/>
        </w:rPr>
        <w:t>.</w:t>
      </w:r>
    </w:p>
  </w:footnote>
  <w:footnote w:id="12">
    <w:p w:rsidR="00805077" w:rsidRPr="00805077" w:rsidRDefault="00805077" w:rsidP="00C11794">
      <w:pPr>
        <w:pStyle w:val="Textonotapie"/>
        <w:jc w:val="both"/>
        <w:rPr>
          <w:rFonts w:asciiTheme="minorHAnsi" w:hAnsiTheme="minorHAnsi"/>
          <w:lang w:val="es-CO"/>
        </w:rPr>
      </w:pPr>
      <w:r w:rsidRPr="00805077">
        <w:rPr>
          <w:rStyle w:val="Refdenotaalpie"/>
          <w:rFonts w:asciiTheme="minorHAnsi" w:hAnsiTheme="minorHAnsi"/>
        </w:rPr>
        <w:footnoteRef/>
      </w:r>
      <w:r w:rsidRPr="00805077">
        <w:rPr>
          <w:rFonts w:asciiTheme="minorHAnsi" w:hAnsiTheme="minorHAnsi"/>
        </w:rPr>
        <w:t xml:space="preserve"> PELÁEZ HERNÁ</w:t>
      </w:r>
      <w:r>
        <w:rPr>
          <w:rFonts w:asciiTheme="minorHAnsi" w:hAnsiTheme="minorHAnsi"/>
        </w:rPr>
        <w:t>N</w:t>
      </w:r>
      <w:r w:rsidRPr="00805077">
        <w:rPr>
          <w:rFonts w:asciiTheme="minorHAnsi" w:hAnsiTheme="minorHAnsi"/>
        </w:rPr>
        <w:t xml:space="preserve">DEZ, </w:t>
      </w:r>
      <w:r w:rsidR="00373580">
        <w:rPr>
          <w:rFonts w:asciiTheme="minorHAnsi" w:hAnsiTheme="minorHAnsi"/>
        </w:rPr>
        <w:t>Ramón Antonio. La oralidad en el proceso civil, Ediciones Nueva Jurídica, 2ª edición, 2015, Bogotá DC, P.71.</w:t>
      </w:r>
    </w:p>
  </w:footnote>
  <w:footnote w:id="13">
    <w:p w:rsidR="00E31D06" w:rsidRDefault="00E31D06" w:rsidP="00E31D06">
      <w:pPr>
        <w:pStyle w:val="Textonotapie"/>
        <w:jc w:val="both"/>
      </w:pPr>
      <w:r w:rsidRPr="00951C2E">
        <w:rPr>
          <w:rStyle w:val="Refdenotaalpie"/>
          <w:rFonts w:ascii="Calibri" w:hAnsi="Calibri" w:cs="Calibri"/>
        </w:rPr>
        <w:footnoteRef/>
      </w:r>
      <w:r w:rsidRPr="00951C2E">
        <w:rPr>
          <w:rFonts w:ascii="Calibri" w:hAnsi="Calibri" w:cs="Calibri"/>
        </w:rPr>
        <w:t xml:space="preserve"> ROJAS GÓMEZ, Miguel Enrique. Lecciones de derecho procesal, </w:t>
      </w:r>
      <w:r w:rsidR="00115557">
        <w:rPr>
          <w:rFonts w:ascii="Calibri" w:hAnsi="Calibri" w:cs="Calibri"/>
        </w:rPr>
        <w:t>Procedimiento Civil</w:t>
      </w:r>
      <w:r w:rsidRPr="00951C2E">
        <w:rPr>
          <w:rFonts w:ascii="Calibri" w:hAnsi="Calibri" w:cs="Calibri"/>
        </w:rPr>
        <w:t xml:space="preserve">, tomo </w:t>
      </w:r>
      <w:r w:rsidR="00115557">
        <w:rPr>
          <w:rFonts w:ascii="Calibri" w:hAnsi="Calibri" w:cs="Calibri"/>
        </w:rPr>
        <w:t>I</w:t>
      </w:r>
      <w:r w:rsidRPr="00951C2E">
        <w:rPr>
          <w:rFonts w:ascii="Calibri" w:hAnsi="Calibri" w:cs="Calibri"/>
        </w:rPr>
        <w:t xml:space="preserve">I, Escuela de Actualización Jurídica, </w:t>
      </w:r>
      <w:r w:rsidR="00115557">
        <w:rPr>
          <w:rFonts w:ascii="Calibri" w:hAnsi="Calibri" w:cs="Calibri"/>
        </w:rPr>
        <w:t>5</w:t>
      </w:r>
      <w:r w:rsidRPr="00951C2E">
        <w:rPr>
          <w:rFonts w:ascii="Calibri" w:hAnsi="Calibri" w:cs="Calibri"/>
        </w:rPr>
        <w:t>ª edición, 2013, Bogotá DC, p.</w:t>
      </w:r>
      <w:r w:rsidR="00115557">
        <w:rPr>
          <w:rFonts w:ascii="Calibri" w:hAnsi="Calibri" w:cs="Calibri"/>
        </w:rPr>
        <w:t>353</w:t>
      </w:r>
      <w:r w:rsidRPr="00951C2E">
        <w:rPr>
          <w:rFonts w:ascii="Calibri" w:hAnsi="Calibri" w:cs="Calibri"/>
        </w:rPr>
        <w:t>.</w:t>
      </w:r>
    </w:p>
  </w:footnote>
  <w:footnote w:id="14">
    <w:p w:rsidR="00C11794" w:rsidRPr="0065726A" w:rsidRDefault="00C11794" w:rsidP="00C11794">
      <w:pPr>
        <w:pStyle w:val="Textonotapie"/>
        <w:rPr>
          <w:rFonts w:asciiTheme="minorHAnsi" w:hAnsiTheme="minorHAnsi"/>
          <w:lang w:val="es-CO"/>
        </w:rPr>
      </w:pPr>
      <w:r w:rsidRPr="0065726A">
        <w:rPr>
          <w:rStyle w:val="Refdenotaalpie"/>
          <w:rFonts w:asciiTheme="minorHAnsi" w:hAnsiTheme="minorHAnsi"/>
        </w:rPr>
        <w:footnoteRef/>
      </w:r>
      <w:r w:rsidRPr="0065726A">
        <w:rPr>
          <w:rFonts w:asciiTheme="minorHAnsi" w:hAnsiTheme="minorHAnsi"/>
        </w:rPr>
        <w:t xml:space="preserve"> </w:t>
      </w:r>
      <w:r w:rsidRPr="0065726A">
        <w:rPr>
          <w:rFonts w:asciiTheme="minorHAnsi" w:hAnsiTheme="minorHAnsi" w:cs="Calibri"/>
        </w:rPr>
        <w:t>LÓPEZ BLANCO, Hernán Fabio. Ob. cit., p.</w:t>
      </w:r>
      <w:r>
        <w:rPr>
          <w:rFonts w:asciiTheme="minorHAnsi" w:hAnsiTheme="minorHAnsi" w:cs="Calibri"/>
        </w:rPr>
        <w:t>801.</w:t>
      </w:r>
    </w:p>
  </w:footnote>
  <w:footnote w:id="15">
    <w:p w:rsidR="00C11794" w:rsidRPr="0065726A" w:rsidRDefault="00C11794" w:rsidP="00C11794">
      <w:pPr>
        <w:pStyle w:val="Textonotapie"/>
        <w:jc w:val="both"/>
        <w:rPr>
          <w:rFonts w:asciiTheme="minorHAnsi" w:hAnsiTheme="minorHAnsi"/>
          <w:lang w:val="es-CO"/>
        </w:rPr>
      </w:pPr>
      <w:r w:rsidRPr="0065726A">
        <w:rPr>
          <w:rStyle w:val="Refdenotaalpie"/>
          <w:rFonts w:asciiTheme="minorHAnsi" w:hAnsiTheme="minorHAnsi"/>
        </w:rPr>
        <w:footnoteRef/>
      </w:r>
      <w:r w:rsidRPr="0065726A">
        <w:rPr>
          <w:rFonts w:asciiTheme="minorHAnsi" w:hAnsiTheme="minorHAnsi"/>
        </w:rPr>
        <w:t xml:space="preserve"> </w:t>
      </w:r>
      <w:r w:rsidRPr="0065726A">
        <w:rPr>
          <w:rFonts w:asciiTheme="minorHAnsi" w:hAnsiTheme="minorHAnsi" w:cs="Calibri"/>
          <w:lang w:val="es-CO"/>
        </w:rPr>
        <w:t>TRIBUNAL SUPERIOR DE PEREIRA, Sala Civil – Familia. Providencia del</w:t>
      </w:r>
      <w:r w:rsidRPr="0065726A">
        <w:rPr>
          <w:rFonts w:asciiTheme="minorHAnsi" w:hAnsiTheme="minorHAnsi" w:cs="Calibri"/>
        </w:rPr>
        <w:t xml:space="preserve"> 13-04-2016; MS: Jaime Alberto Saraza Naranjo, expediente No.2015-00783-01.</w:t>
      </w:r>
    </w:p>
  </w:footnote>
  <w:footnote w:id="16">
    <w:p w:rsidR="00C11794" w:rsidRPr="0065726A" w:rsidRDefault="00C11794" w:rsidP="00C11794">
      <w:pPr>
        <w:pStyle w:val="Textonotapie"/>
        <w:jc w:val="both"/>
        <w:rPr>
          <w:rFonts w:asciiTheme="minorHAnsi" w:hAnsiTheme="minorHAnsi"/>
          <w:lang w:val="es-CO"/>
        </w:rPr>
      </w:pPr>
      <w:r w:rsidRPr="0065726A">
        <w:rPr>
          <w:rStyle w:val="Refdenotaalpie"/>
          <w:rFonts w:asciiTheme="minorHAnsi" w:hAnsiTheme="minorHAnsi"/>
        </w:rPr>
        <w:footnoteRef/>
      </w:r>
      <w:r w:rsidRPr="0065726A">
        <w:rPr>
          <w:rFonts w:asciiTheme="minorHAnsi" w:hAnsiTheme="minorHAnsi"/>
        </w:rPr>
        <w:t xml:space="preserve"> </w:t>
      </w:r>
      <w:r w:rsidRPr="0065726A">
        <w:rPr>
          <w:rFonts w:asciiTheme="minorHAnsi" w:hAnsiTheme="minorHAnsi" w:cs="Calibri"/>
          <w:lang w:val="es-CO"/>
        </w:rPr>
        <w:t>TRIBUNAL SUPERIOR DE PEREIRA, Sala Civil – Familia. Providencia del</w:t>
      </w:r>
      <w:r w:rsidRPr="0065726A">
        <w:rPr>
          <w:rFonts w:asciiTheme="minorHAnsi" w:hAnsiTheme="minorHAnsi" w:cs="Calibri"/>
        </w:rPr>
        <w:t xml:space="preserve"> 28-03-2016; MS: Jaime Alberto Saraza Naranjo, expediente No.2015-00026-01.</w:t>
      </w:r>
    </w:p>
  </w:footnote>
  <w:footnote w:id="17">
    <w:p w:rsidR="007F0E1D" w:rsidRPr="0065726A" w:rsidRDefault="007F0E1D" w:rsidP="0001641C">
      <w:pPr>
        <w:pStyle w:val="Textonotapie"/>
        <w:jc w:val="both"/>
        <w:rPr>
          <w:rFonts w:asciiTheme="minorHAnsi" w:hAnsiTheme="minorHAnsi"/>
        </w:rPr>
      </w:pPr>
      <w:r w:rsidRPr="0065726A">
        <w:rPr>
          <w:rStyle w:val="Refdenotaalpie"/>
          <w:rFonts w:asciiTheme="minorHAnsi" w:hAnsiTheme="minorHAnsi" w:cs="Calibri"/>
        </w:rPr>
        <w:footnoteRef/>
      </w:r>
      <w:r w:rsidRPr="0065726A">
        <w:rPr>
          <w:rFonts w:asciiTheme="minorHAnsi" w:hAnsiTheme="minorHAnsi" w:cs="Calibri"/>
        </w:rPr>
        <w:t xml:space="preserve"> ROJAS GÓMEZ, Miguel Enrique. </w:t>
      </w:r>
      <w:r w:rsidR="00AC45F1" w:rsidRPr="0065726A">
        <w:rPr>
          <w:rFonts w:asciiTheme="minorHAnsi" w:hAnsiTheme="minorHAnsi" w:cs="Calibri"/>
        </w:rPr>
        <w:t>Ob</w:t>
      </w:r>
      <w:r w:rsidRPr="0065726A">
        <w:rPr>
          <w:rFonts w:asciiTheme="minorHAnsi" w:hAnsiTheme="minorHAnsi" w:cs="Calibri"/>
        </w:rPr>
        <w:t>. cit., p.209.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D51ACF" w:rsidRPr="00D51ACF">
      <w:rPr>
        <w:rFonts w:asciiTheme="minorHAnsi" w:hAnsiTheme="minorHAnsi" w:cs="Calibri"/>
        <w:bCs/>
        <w:noProof/>
      </w:rPr>
      <w:t>6</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383C21">
      <w:rPr>
        <w:rFonts w:asciiTheme="majorHAnsi" w:hAnsiTheme="majorHAnsi" w:cs="Iskoola Pota"/>
        <w:i/>
        <w:sz w:val="16"/>
        <w:lang w:val="es-CO"/>
      </w:rPr>
      <w:t>1</w:t>
    </w:r>
    <w:r w:rsidR="00D31830">
      <w:rPr>
        <w:rFonts w:asciiTheme="majorHAnsi" w:hAnsiTheme="majorHAnsi" w:cs="Iskoola Pota"/>
        <w:i/>
        <w:sz w:val="16"/>
        <w:lang w:val="es-CO"/>
      </w:rPr>
      <w:t>5</w:t>
    </w:r>
    <w:r w:rsidRPr="00C303BC">
      <w:rPr>
        <w:rFonts w:asciiTheme="majorHAnsi" w:hAnsiTheme="majorHAnsi" w:cs="Iskoola Pota"/>
        <w:i/>
        <w:sz w:val="16"/>
        <w:lang w:val="es-CO"/>
      </w:rPr>
      <w:t>-0</w:t>
    </w:r>
    <w:r w:rsidR="0093651C">
      <w:rPr>
        <w:rFonts w:asciiTheme="majorHAnsi" w:hAnsiTheme="majorHAnsi" w:cs="Iskoola Pota"/>
        <w:i/>
        <w:sz w:val="16"/>
        <w:lang w:val="es-CO"/>
      </w:rPr>
      <w:t>0</w:t>
    </w:r>
    <w:r w:rsidR="00D31830">
      <w:rPr>
        <w:rFonts w:asciiTheme="majorHAnsi" w:hAnsiTheme="majorHAnsi" w:cs="Iskoola Pota"/>
        <w:i/>
        <w:sz w:val="16"/>
        <w:lang w:val="es-CO"/>
      </w:rPr>
      <w:t>052</w:t>
    </w:r>
    <w:r w:rsidRPr="00C303BC">
      <w:rPr>
        <w:rFonts w:asciiTheme="majorHAnsi" w:hAnsiTheme="majorHAnsi" w:cs="Iskoola Pota"/>
        <w:i/>
        <w:sz w:val="16"/>
        <w:lang w:val="es-CO"/>
      </w:rPr>
      <w:t>-0</w:t>
    </w:r>
    <w:r w:rsidR="008B7145" w:rsidRPr="00C303BC">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07D87"/>
    <w:multiLevelType w:val="hybridMultilevel"/>
    <w:tmpl w:val="A4F25EC2"/>
    <w:lvl w:ilvl="0" w:tplc="E74CF6CC">
      <w:start w:val="1"/>
      <w:numFmt w:val="decimal"/>
      <w:suff w:val="nothing"/>
      <w:lvlText w:val="%1."/>
      <w:lvlJc w:val="left"/>
      <w:pPr>
        <w:ind w:left="567" w:firstLine="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7"/>
  </w:num>
  <w:num w:numId="2">
    <w:abstractNumId w:val="5"/>
  </w:num>
  <w:num w:numId="3">
    <w:abstractNumId w:val="9"/>
  </w:num>
  <w:num w:numId="4">
    <w:abstractNumId w:val="8"/>
  </w:num>
  <w:num w:numId="5">
    <w:abstractNumId w:val="4"/>
  </w:num>
  <w:num w:numId="6">
    <w:abstractNumId w:val="2"/>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1641C"/>
    <w:rsid w:val="00032991"/>
    <w:rsid w:val="00045CE3"/>
    <w:rsid w:val="00050E52"/>
    <w:rsid w:val="000521D3"/>
    <w:rsid w:val="00057617"/>
    <w:rsid w:val="00057B5C"/>
    <w:rsid w:val="00060A66"/>
    <w:rsid w:val="00061786"/>
    <w:rsid w:val="0006282A"/>
    <w:rsid w:val="00063444"/>
    <w:rsid w:val="00063E12"/>
    <w:rsid w:val="00094BEA"/>
    <w:rsid w:val="000979F2"/>
    <w:rsid w:val="000A3198"/>
    <w:rsid w:val="000B2C44"/>
    <w:rsid w:val="000B4877"/>
    <w:rsid w:val="000C36C4"/>
    <w:rsid w:val="000D03C3"/>
    <w:rsid w:val="000D106C"/>
    <w:rsid w:val="000D1C67"/>
    <w:rsid w:val="000D4106"/>
    <w:rsid w:val="000D51C5"/>
    <w:rsid w:val="000D579D"/>
    <w:rsid w:val="000D70EB"/>
    <w:rsid w:val="000E1102"/>
    <w:rsid w:val="000F08E0"/>
    <w:rsid w:val="000F16E3"/>
    <w:rsid w:val="000F1B66"/>
    <w:rsid w:val="000F3C01"/>
    <w:rsid w:val="000F6932"/>
    <w:rsid w:val="000F6CA9"/>
    <w:rsid w:val="00107E1A"/>
    <w:rsid w:val="00112D32"/>
    <w:rsid w:val="001130D4"/>
    <w:rsid w:val="00114608"/>
    <w:rsid w:val="00114FEE"/>
    <w:rsid w:val="00115557"/>
    <w:rsid w:val="00117C9A"/>
    <w:rsid w:val="0012018F"/>
    <w:rsid w:val="00121881"/>
    <w:rsid w:val="00122CE4"/>
    <w:rsid w:val="00124BCD"/>
    <w:rsid w:val="00125A53"/>
    <w:rsid w:val="00132BE5"/>
    <w:rsid w:val="0013682E"/>
    <w:rsid w:val="00137E27"/>
    <w:rsid w:val="001403D4"/>
    <w:rsid w:val="00141432"/>
    <w:rsid w:val="001446B1"/>
    <w:rsid w:val="001452E0"/>
    <w:rsid w:val="00157865"/>
    <w:rsid w:val="00166D57"/>
    <w:rsid w:val="0017105E"/>
    <w:rsid w:val="00190036"/>
    <w:rsid w:val="00190742"/>
    <w:rsid w:val="001A46C4"/>
    <w:rsid w:val="001A565D"/>
    <w:rsid w:val="001A688F"/>
    <w:rsid w:val="001B2496"/>
    <w:rsid w:val="001B3230"/>
    <w:rsid w:val="001B4583"/>
    <w:rsid w:val="001B4B9B"/>
    <w:rsid w:val="001C36DF"/>
    <w:rsid w:val="001C3F97"/>
    <w:rsid w:val="001C51D4"/>
    <w:rsid w:val="001C5578"/>
    <w:rsid w:val="001C5598"/>
    <w:rsid w:val="001D0AA3"/>
    <w:rsid w:val="001D60DE"/>
    <w:rsid w:val="001D622F"/>
    <w:rsid w:val="001D7953"/>
    <w:rsid w:val="001D7E85"/>
    <w:rsid w:val="001E18FB"/>
    <w:rsid w:val="001E57DE"/>
    <w:rsid w:val="001E7DAD"/>
    <w:rsid w:val="001F53B6"/>
    <w:rsid w:val="00201848"/>
    <w:rsid w:val="00202312"/>
    <w:rsid w:val="00207C51"/>
    <w:rsid w:val="0021075B"/>
    <w:rsid w:val="00216AE8"/>
    <w:rsid w:val="00227FA6"/>
    <w:rsid w:val="00230208"/>
    <w:rsid w:val="00231A7F"/>
    <w:rsid w:val="0023681D"/>
    <w:rsid w:val="00236A9B"/>
    <w:rsid w:val="0023704F"/>
    <w:rsid w:val="00237B2C"/>
    <w:rsid w:val="00237BF5"/>
    <w:rsid w:val="002419D4"/>
    <w:rsid w:val="00243379"/>
    <w:rsid w:val="0024455A"/>
    <w:rsid w:val="0025722D"/>
    <w:rsid w:val="00257943"/>
    <w:rsid w:val="002579E7"/>
    <w:rsid w:val="00257B1F"/>
    <w:rsid w:val="002711FB"/>
    <w:rsid w:val="0027637D"/>
    <w:rsid w:val="00280589"/>
    <w:rsid w:val="002825A8"/>
    <w:rsid w:val="002860D6"/>
    <w:rsid w:val="002873EC"/>
    <w:rsid w:val="002912F2"/>
    <w:rsid w:val="002937E5"/>
    <w:rsid w:val="00297096"/>
    <w:rsid w:val="002A0A88"/>
    <w:rsid w:val="002A18D8"/>
    <w:rsid w:val="002B513B"/>
    <w:rsid w:val="002C4195"/>
    <w:rsid w:val="002C7A37"/>
    <w:rsid w:val="002D4917"/>
    <w:rsid w:val="002D605B"/>
    <w:rsid w:val="002E0BA3"/>
    <w:rsid w:val="002E21FB"/>
    <w:rsid w:val="002E5263"/>
    <w:rsid w:val="002E562C"/>
    <w:rsid w:val="002F4DF5"/>
    <w:rsid w:val="002F7410"/>
    <w:rsid w:val="003013A2"/>
    <w:rsid w:val="00301E59"/>
    <w:rsid w:val="00305C99"/>
    <w:rsid w:val="00310EAB"/>
    <w:rsid w:val="00323447"/>
    <w:rsid w:val="0033124D"/>
    <w:rsid w:val="003319C7"/>
    <w:rsid w:val="003336C3"/>
    <w:rsid w:val="00342E88"/>
    <w:rsid w:val="00344BF2"/>
    <w:rsid w:val="003458B9"/>
    <w:rsid w:val="00352931"/>
    <w:rsid w:val="00360576"/>
    <w:rsid w:val="00360BE3"/>
    <w:rsid w:val="00360F2F"/>
    <w:rsid w:val="00363D70"/>
    <w:rsid w:val="00370D1D"/>
    <w:rsid w:val="00373580"/>
    <w:rsid w:val="0038158A"/>
    <w:rsid w:val="00383C21"/>
    <w:rsid w:val="00384791"/>
    <w:rsid w:val="00386111"/>
    <w:rsid w:val="00392869"/>
    <w:rsid w:val="00392F07"/>
    <w:rsid w:val="00393DD3"/>
    <w:rsid w:val="003972DC"/>
    <w:rsid w:val="003A1A5B"/>
    <w:rsid w:val="003B19D8"/>
    <w:rsid w:val="003B3E79"/>
    <w:rsid w:val="003B445E"/>
    <w:rsid w:val="003B469C"/>
    <w:rsid w:val="003C5098"/>
    <w:rsid w:val="003C77D5"/>
    <w:rsid w:val="003D081D"/>
    <w:rsid w:val="003D5B0A"/>
    <w:rsid w:val="003D67D8"/>
    <w:rsid w:val="003D6C3D"/>
    <w:rsid w:val="003E236C"/>
    <w:rsid w:val="003E3CF7"/>
    <w:rsid w:val="003E4533"/>
    <w:rsid w:val="003E5ED3"/>
    <w:rsid w:val="003F3AD2"/>
    <w:rsid w:val="003F66A6"/>
    <w:rsid w:val="00400B90"/>
    <w:rsid w:val="00402132"/>
    <w:rsid w:val="00403F27"/>
    <w:rsid w:val="004100F7"/>
    <w:rsid w:val="00411AC5"/>
    <w:rsid w:val="00414421"/>
    <w:rsid w:val="00417EB4"/>
    <w:rsid w:val="00426B02"/>
    <w:rsid w:val="00427BE4"/>
    <w:rsid w:val="004335C7"/>
    <w:rsid w:val="00436669"/>
    <w:rsid w:val="00455DE9"/>
    <w:rsid w:val="004614E4"/>
    <w:rsid w:val="00461F2C"/>
    <w:rsid w:val="00465107"/>
    <w:rsid w:val="00471F25"/>
    <w:rsid w:val="00477144"/>
    <w:rsid w:val="00481A0C"/>
    <w:rsid w:val="00482924"/>
    <w:rsid w:val="004848E7"/>
    <w:rsid w:val="0048492D"/>
    <w:rsid w:val="0049754F"/>
    <w:rsid w:val="004A7C24"/>
    <w:rsid w:val="004B6BF7"/>
    <w:rsid w:val="004C319B"/>
    <w:rsid w:val="004E1CAC"/>
    <w:rsid w:val="004E1EF9"/>
    <w:rsid w:val="004E2173"/>
    <w:rsid w:val="004E6A80"/>
    <w:rsid w:val="004F229E"/>
    <w:rsid w:val="004F25AC"/>
    <w:rsid w:val="004F537C"/>
    <w:rsid w:val="004F7160"/>
    <w:rsid w:val="00500A43"/>
    <w:rsid w:val="00500DC5"/>
    <w:rsid w:val="005022A7"/>
    <w:rsid w:val="005035D2"/>
    <w:rsid w:val="00515B6B"/>
    <w:rsid w:val="005204C6"/>
    <w:rsid w:val="0052398B"/>
    <w:rsid w:val="005240C5"/>
    <w:rsid w:val="00526F65"/>
    <w:rsid w:val="0053073B"/>
    <w:rsid w:val="00541B8C"/>
    <w:rsid w:val="0054427C"/>
    <w:rsid w:val="0055115B"/>
    <w:rsid w:val="00564C16"/>
    <w:rsid w:val="0056570B"/>
    <w:rsid w:val="00570A9B"/>
    <w:rsid w:val="00570C60"/>
    <w:rsid w:val="00572804"/>
    <w:rsid w:val="005768FC"/>
    <w:rsid w:val="00582F12"/>
    <w:rsid w:val="0058709F"/>
    <w:rsid w:val="00587231"/>
    <w:rsid w:val="005938D9"/>
    <w:rsid w:val="00597D74"/>
    <w:rsid w:val="005B781D"/>
    <w:rsid w:val="005C3D57"/>
    <w:rsid w:val="005C4919"/>
    <w:rsid w:val="005D0B8F"/>
    <w:rsid w:val="005D0C4E"/>
    <w:rsid w:val="005D39F3"/>
    <w:rsid w:val="005D49DF"/>
    <w:rsid w:val="005E03C6"/>
    <w:rsid w:val="005E5BDF"/>
    <w:rsid w:val="005E604E"/>
    <w:rsid w:val="005F1FB2"/>
    <w:rsid w:val="0060427D"/>
    <w:rsid w:val="00607310"/>
    <w:rsid w:val="00607759"/>
    <w:rsid w:val="00611CB0"/>
    <w:rsid w:val="006144B3"/>
    <w:rsid w:val="00617D63"/>
    <w:rsid w:val="0062131C"/>
    <w:rsid w:val="00623497"/>
    <w:rsid w:val="006235A9"/>
    <w:rsid w:val="00623A6D"/>
    <w:rsid w:val="00631466"/>
    <w:rsid w:val="00651C7E"/>
    <w:rsid w:val="006527BF"/>
    <w:rsid w:val="0065726A"/>
    <w:rsid w:val="00660E7E"/>
    <w:rsid w:val="00662D36"/>
    <w:rsid w:val="00663341"/>
    <w:rsid w:val="0066530A"/>
    <w:rsid w:val="00672364"/>
    <w:rsid w:val="00672632"/>
    <w:rsid w:val="0067785B"/>
    <w:rsid w:val="00681A45"/>
    <w:rsid w:val="00682BBB"/>
    <w:rsid w:val="006837D2"/>
    <w:rsid w:val="00683BF7"/>
    <w:rsid w:val="00686B69"/>
    <w:rsid w:val="0068721F"/>
    <w:rsid w:val="006950C1"/>
    <w:rsid w:val="00695536"/>
    <w:rsid w:val="006A11EF"/>
    <w:rsid w:val="006A30E2"/>
    <w:rsid w:val="006A6085"/>
    <w:rsid w:val="006B2386"/>
    <w:rsid w:val="006B768E"/>
    <w:rsid w:val="006B7EB8"/>
    <w:rsid w:val="006C408D"/>
    <w:rsid w:val="006C572F"/>
    <w:rsid w:val="006D7DA7"/>
    <w:rsid w:val="006E1121"/>
    <w:rsid w:val="006E221E"/>
    <w:rsid w:val="006F310C"/>
    <w:rsid w:val="006F58F9"/>
    <w:rsid w:val="006F61F6"/>
    <w:rsid w:val="007031D1"/>
    <w:rsid w:val="00707F42"/>
    <w:rsid w:val="00715013"/>
    <w:rsid w:val="00725DA4"/>
    <w:rsid w:val="00726D6E"/>
    <w:rsid w:val="00727833"/>
    <w:rsid w:val="007326D4"/>
    <w:rsid w:val="007330E3"/>
    <w:rsid w:val="00734860"/>
    <w:rsid w:val="00737026"/>
    <w:rsid w:val="00740B86"/>
    <w:rsid w:val="0076163D"/>
    <w:rsid w:val="007668A2"/>
    <w:rsid w:val="00774AD2"/>
    <w:rsid w:val="00776C17"/>
    <w:rsid w:val="00780839"/>
    <w:rsid w:val="00781593"/>
    <w:rsid w:val="00781928"/>
    <w:rsid w:val="007841FC"/>
    <w:rsid w:val="007853A8"/>
    <w:rsid w:val="007860C0"/>
    <w:rsid w:val="00786922"/>
    <w:rsid w:val="007A1804"/>
    <w:rsid w:val="007A476E"/>
    <w:rsid w:val="007B4698"/>
    <w:rsid w:val="007C03DB"/>
    <w:rsid w:val="007C66B8"/>
    <w:rsid w:val="007D102F"/>
    <w:rsid w:val="007D341B"/>
    <w:rsid w:val="007D7466"/>
    <w:rsid w:val="007F0E1D"/>
    <w:rsid w:val="007F105A"/>
    <w:rsid w:val="007F2975"/>
    <w:rsid w:val="007F3A25"/>
    <w:rsid w:val="00805077"/>
    <w:rsid w:val="00810D50"/>
    <w:rsid w:val="0081363A"/>
    <w:rsid w:val="00820BF6"/>
    <w:rsid w:val="0082292F"/>
    <w:rsid w:val="00825EA0"/>
    <w:rsid w:val="00827A6D"/>
    <w:rsid w:val="0083050E"/>
    <w:rsid w:val="00832731"/>
    <w:rsid w:val="00834347"/>
    <w:rsid w:val="00834976"/>
    <w:rsid w:val="0084781D"/>
    <w:rsid w:val="008557A4"/>
    <w:rsid w:val="0086284C"/>
    <w:rsid w:val="00863948"/>
    <w:rsid w:val="00876E0A"/>
    <w:rsid w:val="00884D74"/>
    <w:rsid w:val="00886EF0"/>
    <w:rsid w:val="008872A2"/>
    <w:rsid w:val="008920B4"/>
    <w:rsid w:val="008930E1"/>
    <w:rsid w:val="008B14AB"/>
    <w:rsid w:val="008B18E2"/>
    <w:rsid w:val="008B2AF1"/>
    <w:rsid w:val="008B3E9A"/>
    <w:rsid w:val="008B500B"/>
    <w:rsid w:val="008B7145"/>
    <w:rsid w:val="008C0972"/>
    <w:rsid w:val="008D321B"/>
    <w:rsid w:val="008E0505"/>
    <w:rsid w:val="008E0D48"/>
    <w:rsid w:val="008E1174"/>
    <w:rsid w:val="008E6B3F"/>
    <w:rsid w:val="00903782"/>
    <w:rsid w:val="00910B1E"/>
    <w:rsid w:val="00911C83"/>
    <w:rsid w:val="009147CB"/>
    <w:rsid w:val="009151F5"/>
    <w:rsid w:val="00917983"/>
    <w:rsid w:val="00920096"/>
    <w:rsid w:val="00921C1B"/>
    <w:rsid w:val="0093651C"/>
    <w:rsid w:val="00944538"/>
    <w:rsid w:val="0094614E"/>
    <w:rsid w:val="00952E5E"/>
    <w:rsid w:val="00953227"/>
    <w:rsid w:val="00953B22"/>
    <w:rsid w:val="00956A70"/>
    <w:rsid w:val="0095728D"/>
    <w:rsid w:val="00963ECB"/>
    <w:rsid w:val="00967D6F"/>
    <w:rsid w:val="009759B2"/>
    <w:rsid w:val="00985FD1"/>
    <w:rsid w:val="0099309B"/>
    <w:rsid w:val="009969C3"/>
    <w:rsid w:val="009A1240"/>
    <w:rsid w:val="009A6C1F"/>
    <w:rsid w:val="009A7A02"/>
    <w:rsid w:val="009B54C5"/>
    <w:rsid w:val="009C1975"/>
    <w:rsid w:val="009C207D"/>
    <w:rsid w:val="009C5DFB"/>
    <w:rsid w:val="009D3CA9"/>
    <w:rsid w:val="009D5343"/>
    <w:rsid w:val="009D6B88"/>
    <w:rsid w:val="009E1072"/>
    <w:rsid w:val="009E3076"/>
    <w:rsid w:val="009E3110"/>
    <w:rsid w:val="009F0E61"/>
    <w:rsid w:val="009F2506"/>
    <w:rsid w:val="00A03EFF"/>
    <w:rsid w:val="00A044AC"/>
    <w:rsid w:val="00A115B4"/>
    <w:rsid w:val="00A11F60"/>
    <w:rsid w:val="00A12284"/>
    <w:rsid w:val="00A13BDD"/>
    <w:rsid w:val="00A22745"/>
    <w:rsid w:val="00A230D3"/>
    <w:rsid w:val="00A2585D"/>
    <w:rsid w:val="00A3039E"/>
    <w:rsid w:val="00A35365"/>
    <w:rsid w:val="00A42D01"/>
    <w:rsid w:val="00A51E08"/>
    <w:rsid w:val="00A5572D"/>
    <w:rsid w:val="00A56277"/>
    <w:rsid w:val="00A57455"/>
    <w:rsid w:val="00A62541"/>
    <w:rsid w:val="00A62787"/>
    <w:rsid w:val="00A63699"/>
    <w:rsid w:val="00A644D6"/>
    <w:rsid w:val="00A70B4D"/>
    <w:rsid w:val="00A71D99"/>
    <w:rsid w:val="00A7420C"/>
    <w:rsid w:val="00A748DF"/>
    <w:rsid w:val="00A81263"/>
    <w:rsid w:val="00A837CE"/>
    <w:rsid w:val="00A85597"/>
    <w:rsid w:val="00A909D6"/>
    <w:rsid w:val="00A96BBB"/>
    <w:rsid w:val="00A97BC3"/>
    <w:rsid w:val="00A97E41"/>
    <w:rsid w:val="00AA0D85"/>
    <w:rsid w:val="00AB2D84"/>
    <w:rsid w:val="00AB6D90"/>
    <w:rsid w:val="00AC0533"/>
    <w:rsid w:val="00AC45F1"/>
    <w:rsid w:val="00AC51E2"/>
    <w:rsid w:val="00AC71B8"/>
    <w:rsid w:val="00AC72E5"/>
    <w:rsid w:val="00AD10DB"/>
    <w:rsid w:val="00AD1A3F"/>
    <w:rsid w:val="00AD410B"/>
    <w:rsid w:val="00AD6D47"/>
    <w:rsid w:val="00AE0641"/>
    <w:rsid w:val="00AE38B2"/>
    <w:rsid w:val="00AF09DF"/>
    <w:rsid w:val="00AF4B72"/>
    <w:rsid w:val="00AF69AF"/>
    <w:rsid w:val="00AF7A6F"/>
    <w:rsid w:val="00B01A99"/>
    <w:rsid w:val="00B07E4B"/>
    <w:rsid w:val="00B21163"/>
    <w:rsid w:val="00B214D7"/>
    <w:rsid w:val="00B25249"/>
    <w:rsid w:val="00B27D74"/>
    <w:rsid w:val="00B307B1"/>
    <w:rsid w:val="00B37678"/>
    <w:rsid w:val="00B46FFD"/>
    <w:rsid w:val="00B50C23"/>
    <w:rsid w:val="00B52EC6"/>
    <w:rsid w:val="00B55A68"/>
    <w:rsid w:val="00B60061"/>
    <w:rsid w:val="00B62758"/>
    <w:rsid w:val="00B6380C"/>
    <w:rsid w:val="00B675CB"/>
    <w:rsid w:val="00B71EBD"/>
    <w:rsid w:val="00B724CE"/>
    <w:rsid w:val="00B74B6B"/>
    <w:rsid w:val="00B75A6A"/>
    <w:rsid w:val="00B75C6A"/>
    <w:rsid w:val="00B849B9"/>
    <w:rsid w:val="00B87206"/>
    <w:rsid w:val="00B960FD"/>
    <w:rsid w:val="00BA0A2F"/>
    <w:rsid w:val="00BA3EF6"/>
    <w:rsid w:val="00BA457F"/>
    <w:rsid w:val="00BB455A"/>
    <w:rsid w:val="00BC1A36"/>
    <w:rsid w:val="00BC2578"/>
    <w:rsid w:val="00BC3D53"/>
    <w:rsid w:val="00BC3EC8"/>
    <w:rsid w:val="00BC50F4"/>
    <w:rsid w:val="00BC589D"/>
    <w:rsid w:val="00BC77B9"/>
    <w:rsid w:val="00BD1343"/>
    <w:rsid w:val="00BD744D"/>
    <w:rsid w:val="00BE0E76"/>
    <w:rsid w:val="00BE16DB"/>
    <w:rsid w:val="00BE2F2A"/>
    <w:rsid w:val="00BE49F3"/>
    <w:rsid w:val="00BF0045"/>
    <w:rsid w:val="00BF73F6"/>
    <w:rsid w:val="00C022C2"/>
    <w:rsid w:val="00C02A44"/>
    <w:rsid w:val="00C04D9E"/>
    <w:rsid w:val="00C0547C"/>
    <w:rsid w:val="00C0586F"/>
    <w:rsid w:val="00C05C86"/>
    <w:rsid w:val="00C11794"/>
    <w:rsid w:val="00C12E58"/>
    <w:rsid w:val="00C15ED5"/>
    <w:rsid w:val="00C20FB2"/>
    <w:rsid w:val="00C23440"/>
    <w:rsid w:val="00C303BC"/>
    <w:rsid w:val="00C31C0A"/>
    <w:rsid w:val="00C31D4B"/>
    <w:rsid w:val="00C32B52"/>
    <w:rsid w:val="00C34DDA"/>
    <w:rsid w:val="00C363C4"/>
    <w:rsid w:val="00C363D3"/>
    <w:rsid w:val="00C36400"/>
    <w:rsid w:val="00C36F80"/>
    <w:rsid w:val="00C40CD0"/>
    <w:rsid w:val="00C54FE1"/>
    <w:rsid w:val="00C608FF"/>
    <w:rsid w:val="00C63F40"/>
    <w:rsid w:val="00C647E5"/>
    <w:rsid w:val="00C65DA3"/>
    <w:rsid w:val="00C741D5"/>
    <w:rsid w:val="00C820E9"/>
    <w:rsid w:val="00C82245"/>
    <w:rsid w:val="00C832B8"/>
    <w:rsid w:val="00C903AF"/>
    <w:rsid w:val="00C91199"/>
    <w:rsid w:val="00C9127E"/>
    <w:rsid w:val="00C9534A"/>
    <w:rsid w:val="00CA0F66"/>
    <w:rsid w:val="00CA6C0B"/>
    <w:rsid w:val="00CB6B9A"/>
    <w:rsid w:val="00CC1093"/>
    <w:rsid w:val="00CC15CC"/>
    <w:rsid w:val="00CC75F4"/>
    <w:rsid w:val="00CD2257"/>
    <w:rsid w:val="00CD7AAA"/>
    <w:rsid w:val="00CF0EBE"/>
    <w:rsid w:val="00CF3CF5"/>
    <w:rsid w:val="00CF4567"/>
    <w:rsid w:val="00CF6850"/>
    <w:rsid w:val="00CF7AA1"/>
    <w:rsid w:val="00D00D7D"/>
    <w:rsid w:val="00D02CB4"/>
    <w:rsid w:val="00D06465"/>
    <w:rsid w:val="00D112E2"/>
    <w:rsid w:val="00D1698E"/>
    <w:rsid w:val="00D16F22"/>
    <w:rsid w:val="00D204D6"/>
    <w:rsid w:val="00D2108D"/>
    <w:rsid w:val="00D2440A"/>
    <w:rsid w:val="00D26844"/>
    <w:rsid w:val="00D31830"/>
    <w:rsid w:val="00D4141F"/>
    <w:rsid w:val="00D4441E"/>
    <w:rsid w:val="00D46DD8"/>
    <w:rsid w:val="00D47ACB"/>
    <w:rsid w:val="00D51ACF"/>
    <w:rsid w:val="00D51EAD"/>
    <w:rsid w:val="00D5369D"/>
    <w:rsid w:val="00D619AE"/>
    <w:rsid w:val="00D671C9"/>
    <w:rsid w:val="00D70FD2"/>
    <w:rsid w:val="00D71B92"/>
    <w:rsid w:val="00D73D69"/>
    <w:rsid w:val="00D83E5D"/>
    <w:rsid w:val="00D84F31"/>
    <w:rsid w:val="00D851DA"/>
    <w:rsid w:val="00D85B05"/>
    <w:rsid w:val="00D9154D"/>
    <w:rsid w:val="00D915F4"/>
    <w:rsid w:val="00D93167"/>
    <w:rsid w:val="00D94D58"/>
    <w:rsid w:val="00D97527"/>
    <w:rsid w:val="00D97B75"/>
    <w:rsid w:val="00DA079E"/>
    <w:rsid w:val="00DA1E67"/>
    <w:rsid w:val="00DA5858"/>
    <w:rsid w:val="00DB0458"/>
    <w:rsid w:val="00DB222B"/>
    <w:rsid w:val="00DB2868"/>
    <w:rsid w:val="00DC031D"/>
    <w:rsid w:val="00DC21CE"/>
    <w:rsid w:val="00DC3B05"/>
    <w:rsid w:val="00DC4E67"/>
    <w:rsid w:val="00DD00F5"/>
    <w:rsid w:val="00DD3308"/>
    <w:rsid w:val="00DD3357"/>
    <w:rsid w:val="00DD366D"/>
    <w:rsid w:val="00DE078F"/>
    <w:rsid w:val="00DE19D9"/>
    <w:rsid w:val="00DE429A"/>
    <w:rsid w:val="00DE6399"/>
    <w:rsid w:val="00DE7F75"/>
    <w:rsid w:val="00DF5461"/>
    <w:rsid w:val="00DF73EF"/>
    <w:rsid w:val="00E036C8"/>
    <w:rsid w:val="00E04130"/>
    <w:rsid w:val="00E04CE6"/>
    <w:rsid w:val="00E10297"/>
    <w:rsid w:val="00E13879"/>
    <w:rsid w:val="00E14DB5"/>
    <w:rsid w:val="00E16943"/>
    <w:rsid w:val="00E23B32"/>
    <w:rsid w:val="00E253EE"/>
    <w:rsid w:val="00E2686D"/>
    <w:rsid w:val="00E316D9"/>
    <w:rsid w:val="00E31D06"/>
    <w:rsid w:val="00E34EB6"/>
    <w:rsid w:val="00E42B6A"/>
    <w:rsid w:val="00E4399D"/>
    <w:rsid w:val="00E44741"/>
    <w:rsid w:val="00E45AE0"/>
    <w:rsid w:val="00E54E75"/>
    <w:rsid w:val="00E55393"/>
    <w:rsid w:val="00E5643E"/>
    <w:rsid w:val="00E5720B"/>
    <w:rsid w:val="00E642EC"/>
    <w:rsid w:val="00E7400E"/>
    <w:rsid w:val="00E8141D"/>
    <w:rsid w:val="00E856DA"/>
    <w:rsid w:val="00E86F07"/>
    <w:rsid w:val="00E87611"/>
    <w:rsid w:val="00E87D43"/>
    <w:rsid w:val="00E92773"/>
    <w:rsid w:val="00E9418E"/>
    <w:rsid w:val="00E96913"/>
    <w:rsid w:val="00EA00D7"/>
    <w:rsid w:val="00EA12F0"/>
    <w:rsid w:val="00EA40EA"/>
    <w:rsid w:val="00EB1F06"/>
    <w:rsid w:val="00EB2A8A"/>
    <w:rsid w:val="00EB7E37"/>
    <w:rsid w:val="00EC1479"/>
    <w:rsid w:val="00EC3FF2"/>
    <w:rsid w:val="00ED0720"/>
    <w:rsid w:val="00EE0413"/>
    <w:rsid w:val="00EE0973"/>
    <w:rsid w:val="00EF4827"/>
    <w:rsid w:val="00F0240A"/>
    <w:rsid w:val="00F121C1"/>
    <w:rsid w:val="00F16444"/>
    <w:rsid w:val="00F20247"/>
    <w:rsid w:val="00F25594"/>
    <w:rsid w:val="00F31348"/>
    <w:rsid w:val="00F32BA7"/>
    <w:rsid w:val="00F404F9"/>
    <w:rsid w:val="00F6163C"/>
    <w:rsid w:val="00F6458D"/>
    <w:rsid w:val="00F65EC8"/>
    <w:rsid w:val="00F725BA"/>
    <w:rsid w:val="00F72723"/>
    <w:rsid w:val="00F91A2C"/>
    <w:rsid w:val="00F94637"/>
    <w:rsid w:val="00F96938"/>
    <w:rsid w:val="00F97CD6"/>
    <w:rsid w:val="00FA35FE"/>
    <w:rsid w:val="00FB30C6"/>
    <w:rsid w:val="00FC0A1B"/>
    <w:rsid w:val="00FC0DD8"/>
    <w:rsid w:val="00FC5390"/>
    <w:rsid w:val="00FC5EB6"/>
    <w:rsid w:val="00FC7BF7"/>
    <w:rsid w:val="00FD7D84"/>
    <w:rsid w:val="00FD7EDC"/>
    <w:rsid w:val="00FE41FD"/>
    <w:rsid w:val="00FE74F1"/>
    <w:rsid w:val="00FF132F"/>
    <w:rsid w:val="00FF5395"/>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3A7DD9-C58F-41BB-B369-26DC3692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7F0E1D"/>
    <w:rPr>
      <w:rFonts w:ascii="Courier New" w:hAnsi="Courier New" w:cs="Courier New"/>
      <w:sz w:val="22"/>
      <w:szCs w:val="22"/>
      <w:lang w:val="es-ES" w:eastAsia="es-ES"/>
    </w:rPr>
  </w:style>
  <w:style w:type="character" w:styleId="Refdecomentario">
    <w:name w:val="annotation reference"/>
    <w:basedOn w:val="Fuentedeprrafopredeter"/>
    <w:uiPriority w:val="99"/>
    <w:rsid w:val="00E04130"/>
    <w:rPr>
      <w:sz w:val="16"/>
      <w:szCs w:val="16"/>
    </w:rPr>
  </w:style>
  <w:style w:type="paragraph" w:styleId="Textocomentario">
    <w:name w:val="annotation text"/>
    <w:basedOn w:val="Normal"/>
    <w:link w:val="TextocomentarioCar"/>
    <w:uiPriority w:val="99"/>
    <w:rsid w:val="00E04130"/>
  </w:style>
  <w:style w:type="character" w:customStyle="1" w:styleId="TextocomentarioCar">
    <w:name w:val="Texto comentario Car"/>
    <w:basedOn w:val="Fuentedeprrafopredeter"/>
    <w:link w:val="Textocomentario"/>
    <w:uiPriority w:val="99"/>
    <w:rsid w:val="00E04130"/>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E04130"/>
    <w:rPr>
      <w:b/>
      <w:bCs/>
    </w:rPr>
  </w:style>
  <w:style w:type="character" w:customStyle="1" w:styleId="AsuntodelcomentarioCar">
    <w:name w:val="Asunto del comentario Car"/>
    <w:basedOn w:val="TextocomentarioCar"/>
    <w:link w:val="Asuntodelcomentario"/>
    <w:uiPriority w:val="99"/>
    <w:rsid w:val="00E04130"/>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26F9-248E-41EC-B39A-1CAF5B91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1606</Words>
  <Characters>8837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Diana Milena Giraldo Diez</cp:lastModifiedBy>
  <cp:revision>2</cp:revision>
  <cp:lastPrinted>2016-05-26T12:50:00Z</cp:lastPrinted>
  <dcterms:created xsi:type="dcterms:W3CDTF">2016-05-18T14:34:00Z</dcterms:created>
  <dcterms:modified xsi:type="dcterms:W3CDTF">2016-05-27T13:40:00Z</dcterms:modified>
</cp:coreProperties>
</file>