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A4" w:rsidRDefault="00EE7CA4"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w:t>
      </w:r>
      <w:bookmarkStart w:id="0" w:name="_GoBack"/>
      <w:bookmarkEnd w:id="0"/>
      <w:r w:rsidR="0099045D" w:rsidRPr="002060F5">
        <w:rPr>
          <w:rFonts w:ascii="Arial" w:hAnsi="Arial" w:cs="Arial"/>
          <w:sz w:val="22"/>
          <w:szCs w:val="22"/>
        </w:rPr>
        <w:t>ncia de tutela en primera instancia</w:t>
      </w:r>
    </w:p>
    <w:p w:rsidR="002C5C9D" w:rsidRDefault="002C5C9D" w:rsidP="002C5C9D">
      <w:pPr>
        <w:pStyle w:val="Textoindependiente"/>
        <w:tabs>
          <w:tab w:val="clear" w:pos="1416"/>
        </w:tabs>
        <w:spacing w:line="360" w:lineRule="auto"/>
        <w:ind w:left="3600" w:hanging="2184"/>
        <w:rPr>
          <w:rFonts w:ascii="Arial" w:hAnsi="Arial" w:cs="Arial"/>
          <w:sz w:val="22"/>
          <w:szCs w:val="22"/>
        </w:rPr>
      </w:pPr>
      <w:r w:rsidRPr="008B7279">
        <w:rPr>
          <w:rFonts w:ascii="Arial" w:hAnsi="Arial" w:cs="Arial"/>
          <w:sz w:val="22"/>
          <w:szCs w:val="22"/>
        </w:rPr>
        <w:t>Accionante</w:t>
      </w:r>
      <w:r w:rsidRPr="008B7279">
        <w:rPr>
          <w:rFonts w:ascii="Arial" w:hAnsi="Arial" w:cs="Arial"/>
          <w:sz w:val="22"/>
          <w:szCs w:val="22"/>
        </w:rPr>
        <w:tab/>
      </w:r>
      <w:r w:rsidRPr="008B7279">
        <w:rPr>
          <w:rFonts w:ascii="Arial" w:hAnsi="Arial" w:cs="Arial"/>
          <w:sz w:val="22"/>
          <w:szCs w:val="22"/>
        </w:rPr>
        <w:tab/>
        <w:t xml:space="preserve">: </w:t>
      </w:r>
      <w:r w:rsidR="005A0697">
        <w:rPr>
          <w:rFonts w:ascii="Arial" w:hAnsi="Arial" w:cs="Arial"/>
          <w:sz w:val="22"/>
          <w:szCs w:val="22"/>
        </w:rPr>
        <w:t xml:space="preserve">Javier Elías Arias </w:t>
      </w:r>
      <w:proofErr w:type="spellStart"/>
      <w:r w:rsidR="005A0697">
        <w:rPr>
          <w:rFonts w:ascii="Arial" w:hAnsi="Arial" w:cs="Arial"/>
          <w:sz w:val="22"/>
          <w:szCs w:val="22"/>
        </w:rPr>
        <w:t>Idárraga</w:t>
      </w:r>
      <w:proofErr w:type="spellEnd"/>
    </w:p>
    <w:p w:rsidR="002C5C9D" w:rsidRDefault="002C5C9D" w:rsidP="002C5C9D">
      <w:pPr>
        <w:pStyle w:val="Textoindependiente"/>
        <w:tabs>
          <w:tab w:val="clear" w:pos="2832"/>
          <w:tab w:val="clear" w:pos="3540"/>
        </w:tabs>
        <w:spacing w:line="360" w:lineRule="auto"/>
        <w:ind w:left="3544" w:hanging="2187"/>
        <w:rPr>
          <w:rFonts w:ascii="Arial" w:hAnsi="Arial" w:cs="Arial"/>
          <w:sz w:val="22"/>
          <w:szCs w:val="22"/>
        </w:rPr>
      </w:pPr>
      <w:r w:rsidRPr="0071706A">
        <w:rPr>
          <w:rFonts w:ascii="Arial" w:hAnsi="Arial" w:cs="Arial"/>
          <w:sz w:val="22"/>
          <w:szCs w:val="22"/>
        </w:rPr>
        <w:tab/>
        <w:t>Presunto infractor</w:t>
      </w:r>
      <w:r w:rsidRPr="0071706A">
        <w:rPr>
          <w:rFonts w:ascii="Arial" w:hAnsi="Arial" w:cs="Arial"/>
          <w:sz w:val="22"/>
          <w:szCs w:val="22"/>
        </w:rPr>
        <w:tab/>
        <w:t xml:space="preserve">: </w:t>
      </w:r>
      <w:r w:rsidR="005A0697">
        <w:rPr>
          <w:rFonts w:ascii="Arial" w:hAnsi="Arial" w:cs="Arial"/>
          <w:sz w:val="22"/>
          <w:szCs w:val="22"/>
        </w:rPr>
        <w:t>Defensoría del Pueblo Regional Caldas</w:t>
      </w:r>
    </w:p>
    <w:p w:rsidR="002C5C9D" w:rsidRPr="008B7279" w:rsidRDefault="002C5C9D" w:rsidP="002C5C9D">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8B7279">
        <w:rPr>
          <w:rFonts w:ascii="Arial" w:hAnsi="Arial" w:cs="Arial"/>
          <w:sz w:val="22"/>
          <w:szCs w:val="22"/>
        </w:rPr>
        <w:t>Radicación</w:t>
      </w:r>
      <w:r w:rsidRPr="008B7279">
        <w:rPr>
          <w:rFonts w:ascii="Arial" w:hAnsi="Arial" w:cs="Arial"/>
          <w:sz w:val="22"/>
          <w:szCs w:val="22"/>
        </w:rPr>
        <w:tab/>
      </w:r>
      <w:r w:rsidRPr="008B7279">
        <w:rPr>
          <w:rFonts w:ascii="Arial" w:hAnsi="Arial" w:cs="Arial"/>
          <w:sz w:val="22"/>
          <w:szCs w:val="22"/>
        </w:rPr>
        <w:tab/>
        <w:t xml:space="preserve">: </w:t>
      </w:r>
      <w:r w:rsidR="00C26DD2">
        <w:rPr>
          <w:rFonts w:ascii="Arial" w:hAnsi="Arial" w:cs="Arial"/>
          <w:sz w:val="22"/>
          <w:szCs w:val="22"/>
        </w:rPr>
        <w:t>2016-</w:t>
      </w:r>
      <w:r w:rsidR="005A0697">
        <w:rPr>
          <w:rFonts w:ascii="Arial" w:hAnsi="Arial" w:cs="Arial"/>
          <w:sz w:val="22"/>
          <w:szCs w:val="22"/>
        </w:rPr>
        <w:t>00554</w:t>
      </w:r>
      <w:r w:rsidRPr="008B7279">
        <w:rPr>
          <w:rFonts w:ascii="Arial" w:hAnsi="Arial" w:cs="Arial"/>
          <w:sz w:val="22"/>
          <w:szCs w:val="22"/>
        </w:rPr>
        <w:t xml:space="preserve">-00 (Interna </w:t>
      </w:r>
      <w:r w:rsidR="005A0697">
        <w:rPr>
          <w:rFonts w:ascii="Arial" w:hAnsi="Arial" w:cs="Arial"/>
          <w:sz w:val="22"/>
          <w:szCs w:val="22"/>
        </w:rPr>
        <w:t>554</w:t>
      </w:r>
      <w:r w:rsidR="00C26DD2">
        <w:rPr>
          <w:rFonts w:ascii="Arial" w:hAnsi="Arial" w:cs="Arial"/>
          <w:sz w:val="22"/>
          <w:szCs w:val="22"/>
        </w:rPr>
        <w:t>89</w:t>
      </w:r>
      <w:r w:rsidRPr="008B7279">
        <w:rPr>
          <w:rFonts w:ascii="Arial" w:hAnsi="Arial" w:cs="Arial"/>
          <w:sz w:val="22"/>
          <w:szCs w:val="22"/>
        </w:rPr>
        <w:t>LLRR)</w:t>
      </w:r>
    </w:p>
    <w:p w:rsidR="008E5334" w:rsidRPr="00211546"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4D79C3" w:rsidRPr="004D79C3">
        <w:rPr>
          <w:rFonts w:ascii="Arial" w:hAnsi="Arial" w:cs="Arial"/>
          <w:sz w:val="20"/>
          <w:szCs w:val="22"/>
        </w:rPr>
        <w:t xml:space="preserve"> </w:t>
      </w:r>
      <w:r w:rsidR="00C26DD2">
        <w:rPr>
          <w:rFonts w:ascii="Arial" w:hAnsi="Arial" w:cs="Arial"/>
          <w:sz w:val="22"/>
          <w:szCs w:val="22"/>
        </w:rPr>
        <w:t xml:space="preserve">Procedencia - Temeridad </w:t>
      </w:r>
      <w:r w:rsidR="005A0697">
        <w:rPr>
          <w:rFonts w:ascii="Arial" w:hAnsi="Arial" w:cs="Arial"/>
          <w:sz w:val="22"/>
          <w:szCs w:val="22"/>
        </w:rPr>
        <w:t>– Cosa juzgada constitucional</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795C9D">
        <w:rPr>
          <w:rFonts w:ascii="Arial" w:hAnsi="Arial"/>
          <w:sz w:val="22"/>
          <w:szCs w:val="22"/>
        </w:rPr>
        <w:t>314 de 30-06-2016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C26DD2" w:rsidP="006617DD">
      <w:pPr>
        <w:spacing w:line="360" w:lineRule="auto"/>
        <w:jc w:val="center"/>
        <w:rPr>
          <w:rFonts w:ascii="Arial" w:hAnsi="Arial" w:cs="Arial"/>
          <w:iCs/>
          <w:szCs w:val="28"/>
          <w:lang w:val="es-CO"/>
        </w:rPr>
      </w:pPr>
      <w:r>
        <w:rPr>
          <w:rFonts w:ascii="Arial" w:hAnsi="Arial" w:cs="Arial"/>
          <w:iCs/>
          <w:smallCaps/>
          <w:szCs w:val="28"/>
          <w:lang w:val="es-CO"/>
        </w:rPr>
        <w:t>Pereira, R.</w:t>
      </w:r>
      <w:r w:rsidR="006617DD" w:rsidRPr="000B1B68">
        <w:rPr>
          <w:rFonts w:ascii="Arial" w:hAnsi="Arial" w:cs="Arial"/>
          <w:iCs/>
          <w:smallCaps/>
          <w:szCs w:val="28"/>
          <w:lang w:val="es-CO"/>
        </w:rPr>
        <w:t>,</w:t>
      </w:r>
      <w:r w:rsidR="004201EE">
        <w:rPr>
          <w:rFonts w:ascii="Arial" w:hAnsi="Arial" w:cs="Arial"/>
          <w:iCs/>
          <w:smallCaps/>
          <w:szCs w:val="28"/>
          <w:lang w:val="es-CO"/>
        </w:rPr>
        <w:t xml:space="preserve"> </w:t>
      </w:r>
      <w:r w:rsidR="00795C9D">
        <w:rPr>
          <w:rFonts w:ascii="Arial" w:hAnsi="Arial" w:cs="Arial"/>
          <w:iCs/>
          <w:smallCaps/>
          <w:szCs w:val="28"/>
          <w:lang w:val="es-CO"/>
        </w:rPr>
        <w:t>treinta</w:t>
      </w:r>
      <w:r w:rsidR="005A0697">
        <w:rPr>
          <w:rFonts w:ascii="Arial" w:hAnsi="Arial" w:cs="Arial"/>
          <w:iCs/>
          <w:smallCaps/>
          <w:szCs w:val="28"/>
          <w:lang w:val="es-CO"/>
        </w:rPr>
        <w:t xml:space="preserve"> </w:t>
      </w:r>
      <w:r w:rsidR="006617DD" w:rsidRPr="000B1B68">
        <w:rPr>
          <w:rFonts w:ascii="Arial" w:hAnsi="Arial" w:cs="Arial"/>
          <w:iCs/>
          <w:smallCaps/>
          <w:szCs w:val="28"/>
          <w:lang w:val="es-CO"/>
        </w:rPr>
        <w:t>(</w:t>
      </w:r>
      <w:r w:rsidR="00795C9D">
        <w:rPr>
          <w:rFonts w:ascii="Arial" w:hAnsi="Arial" w:cs="Arial"/>
          <w:iCs/>
          <w:smallCaps/>
          <w:szCs w:val="28"/>
          <w:lang w:val="es-CO"/>
        </w:rPr>
        <w:t>30</w:t>
      </w:r>
      <w:r w:rsidR="006617DD">
        <w:rPr>
          <w:rFonts w:ascii="Arial" w:hAnsi="Arial" w:cs="Arial"/>
          <w:iCs/>
          <w:smallCaps/>
          <w:szCs w:val="28"/>
          <w:lang w:val="es-CO"/>
        </w:rPr>
        <w:t>)</w:t>
      </w:r>
      <w:r w:rsidR="006617DD" w:rsidRPr="000B1B68">
        <w:rPr>
          <w:rFonts w:ascii="Arial" w:hAnsi="Arial" w:cs="Arial"/>
          <w:iCs/>
          <w:smallCaps/>
          <w:szCs w:val="28"/>
          <w:lang w:val="es-CO"/>
        </w:rPr>
        <w:t xml:space="preserve"> de </w:t>
      </w:r>
      <w:r w:rsidR="00795C9D">
        <w:rPr>
          <w:rFonts w:ascii="Arial" w:hAnsi="Arial" w:cs="Arial"/>
          <w:iCs/>
          <w:smallCaps/>
          <w:szCs w:val="28"/>
          <w:lang w:val="es-CO"/>
        </w:rPr>
        <w:t xml:space="preserve">junio </w:t>
      </w:r>
      <w:r w:rsidR="006617DD">
        <w:rPr>
          <w:rFonts w:ascii="Arial" w:hAnsi="Arial" w:cs="Arial"/>
          <w:iCs/>
          <w:smallCaps/>
          <w:szCs w:val="28"/>
          <w:lang w:val="es-CO"/>
        </w:rPr>
        <w:t>de</w:t>
      </w:r>
      <w:r w:rsidR="006617DD" w:rsidRPr="000B1B68">
        <w:rPr>
          <w:rFonts w:ascii="Arial" w:hAnsi="Arial" w:cs="Arial"/>
          <w:iCs/>
          <w:smallCaps/>
          <w:szCs w:val="28"/>
          <w:lang w:val="es-CO"/>
        </w:rPr>
        <w:t xml:space="preserve"> dos mil </w:t>
      </w:r>
      <w:r>
        <w:rPr>
          <w:rFonts w:ascii="Arial" w:hAnsi="Arial" w:cs="Arial"/>
          <w:iCs/>
          <w:smallCaps/>
          <w:szCs w:val="28"/>
          <w:lang w:val="es-CO"/>
        </w:rPr>
        <w:t xml:space="preserve">dieciséis </w:t>
      </w:r>
      <w:r w:rsidR="006617DD" w:rsidRPr="000B1B68">
        <w:rPr>
          <w:rFonts w:ascii="Arial" w:hAnsi="Arial" w:cs="Arial"/>
          <w:iCs/>
          <w:smallCaps/>
          <w:szCs w:val="28"/>
          <w:lang w:val="es-CO"/>
        </w:rPr>
        <w:t>(</w:t>
      </w:r>
      <w:r>
        <w:rPr>
          <w:rFonts w:ascii="Arial" w:hAnsi="Arial" w:cs="Arial"/>
          <w:iCs/>
          <w:smallCaps/>
          <w:szCs w:val="28"/>
          <w:lang w:val="es-CO"/>
        </w:rPr>
        <w:t>2016</w:t>
      </w:r>
      <w:r w:rsidR="006617DD" w:rsidRPr="000B1B68">
        <w:rPr>
          <w:rFonts w:ascii="Arial" w:hAnsi="Arial" w:cs="Arial"/>
          <w:iCs/>
          <w:smallCaps/>
          <w:szCs w:val="28"/>
          <w:lang w:val="es-CO"/>
        </w:rPr>
        <w:t>)</w:t>
      </w:r>
      <w:r w:rsidR="006617DD" w:rsidRPr="000B1B68">
        <w:rPr>
          <w:rFonts w:ascii="Arial" w:hAnsi="Arial" w:cs="Arial"/>
          <w:iCs/>
          <w:szCs w:val="28"/>
          <w:lang w:val="es-CO"/>
        </w:rPr>
        <w:t>.</w:t>
      </w:r>
    </w:p>
    <w:p w:rsidR="0023398A" w:rsidRPr="00EE705E" w:rsidRDefault="0023398A" w:rsidP="0099045D">
      <w:pPr>
        <w:spacing w:line="360" w:lineRule="auto"/>
        <w:jc w:val="center"/>
        <w:rPr>
          <w:rFonts w:ascii="Arial" w:hAnsi="Arial" w:cs="Arial"/>
          <w:b/>
          <w:bCs/>
          <w:lang w:val="es-CO"/>
        </w:rPr>
      </w:pPr>
    </w:p>
    <w:p w:rsidR="000147A2" w:rsidRPr="00EE705E"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99045D">
      <w:pPr>
        <w:pStyle w:val="Textoindependiente"/>
        <w:spacing w:line="360" w:lineRule="auto"/>
        <w:rPr>
          <w:rFonts w:ascii="Arial" w:hAnsi="Arial"/>
          <w:szCs w:val="24"/>
        </w:rPr>
      </w:pPr>
    </w:p>
    <w:p w:rsidR="00A35FC0" w:rsidRPr="00F9418E" w:rsidRDefault="005A0697" w:rsidP="00A35FC0">
      <w:pPr>
        <w:pStyle w:val="Textoindependiente"/>
        <w:spacing w:line="360" w:lineRule="auto"/>
        <w:rPr>
          <w:rFonts w:ascii="Arial" w:hAnsi="Arial"/>
          <w:szCs w:val="24"/>
        </w:rPr>
      </w:pPr>
      <w:r>
        <w:rPr>
          <w:rFonts w:ascii="Arial" w:hAnsi="Arial"/>
          <w:szCs w:val="24"/>
        </w:rPr>
        <w:t>Los doce (12) amparos constitucionales acumulados y unificados con el radicado de la referencia</w:t>
      </w:r>
      <w:r w:rsidR="00A35FC0" w:rsidRPr="00F9418E">
        <w:rPr>
          <w:rFonts w:ascii="Arial" w:hAnsi="Arial"/>
          <w:szCs w:val="24"/>
        </w:rPr>
        <w:t xml:space="preserve">, </w:t>
      </w:r>
      <w:r w:rsidR="00F2155F">
        <w:rPr>
          <w:rFonts w:ascii="Arial" w:hAnsi="Arial"/>
          <w:szCs w:val="24"/>
        </w:rPr>
        <w:t>previa declaración de competencia a esta Corporación por la CSJ</w:t>
      </w:r>
      <w:r w:rsidR="00F2155F">
        <w:rPr>
          <w:rStyle w:val="Refdenotaalpie"/>
          <w:rFonts w:ascii="Arial" w:hAnsi="Arial"/>
          <w:szCs w:val="24"/>
        </w:rPr>
        <w:footnoteReference w:id="1"/>
      </w:r>
      <w:r w:rsidR="00F2155F">
        <w:rPr>
          <w:rFonts w:ascii="Arial" w:hAnsi="Arial"/>
          <w:szCs w:val="24"/>
        </w:rPr>
        <w:t xml:space="preserve">, </w:t>
      </w:r>
      <w:r w:rsidR="002C5C9D">
        <w:rPr>
          <w:rFonts w:ascii="Arial" w:hAnsi="Arial"/>
          <w:szCs w:val="24"/>
        </w:rPr>
        <w:t xml:space="preserve">adelantada </w:t>
      </w:r>
      <w:r w:rsidR="003A3B20">
        <w:rPr>
          <w:rFonts w:ascii="Arial" w:hAnsi="Arial"/>
          <w:szCs w:val="24"/>
        </w:rPr>
        <w:t>l</w:t>
      </w:r>
      <w:r w:rsidR="00A35FC0" w:rsidRPr="00F9418E">
        <w:rPr>
          <w:rFonts w:ascii="Arial" w:hAnsi="Arial"/>
          <w:szCs w:val="24"/>
        </w:rPr>
        <w:t xml:space="preserve">a actuación </w:t>
      </w:r>
      <w:r w:rsidR="002C5C9D" w:rsidRPr="00F9418E">
        <w:rPr>
          <w:rFonts w:ascii="Arial" w:hAnsi="Arial"/>
          <w:szCs w:val="24"/>
        </w:rPr>
        <w:t>pertinente</w:t>
      </w:r>
      <w:r w:rsidR="00A35FC0" w:rsidRPr="00F9418E">
        <w:rPr>
          <w:rFonts w:ascii="Arial" w:hAnsi="Arial"/>
          <w:szCs w:val="24"/>
        </w:rPr>
        <w:t xml:space="preserve"> con el</w:t>
      </w:r>
      <w:r w:rsidR="00A35FC0">
        <w:rPr>
          <w:rFonts w:ascii="Arial" w:hAnsi="Arial"/>
          <w:szCs w:val="24"/>
        </w:rPr>
        <w:t xml:space="preserve"> </w:t>
      </w:r>
      <w:r w:rsidR="00A35FC0" w:rsidRPr="00F9418E">
        <w:rPr>
          <w:rFonts w:ascii="Arial" w:hAnsi="Arial"/>
          <w:szCs w:val="24"/>
        </w:rPr>
        <w:t xml:space="preserve">trámite preferente y sumario, sin que se </w:t>
      </w:r>
      <w:r w:rsidR="000A1B48">
        <w:rPr>
          <w:rFonts w:ascii="Arial" w:hAnsi="Arial"/>
          <w:szCs w:val="24"/>
        </w:rPr>
        <w:t xml:space="preserve">aprecien </w:t>
      </w:r>
      <w:r w:rsidR="00A35FC0" w:rsidRPr="00F9418E">
        <w:rPr>
          <w:rFonts w:ascii="Arial" w:hAnsi="Arial"/>
          <w:szCs w:val="24"/>
        </w:rPr>
        <w:t>causales de nulidad que la invaliden.</w:t>
      </w:r>
    </w:p>
    <w:p w:rsidR="0099045D" w:rsidRPr="00BA69B4" w:rsidRDefault="0099045D" w:rsidP="0099045D">
      <w:pPr>
        <w:pStyle w:val="Textoindependiente"/>
        <w:spacing w:line="360" w:lineRule="auto"/>
        <w:rPr>
          <w:rFonts w:ascii="Arial" w:hAnsi="Arial"/>
          <w:szCs w:val="24"/>
        </w:rPr>
      </w:pPr>
    </w:p>
    <w:p w:rsidR="000147A2" w:rsidRPr="00BA69B4"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Default="0099045D" w:rsidP="0099045D">
      <w:pPr>
        <w:pStyle w:val="Textoindependiente"/>
        <w:spacing w:line="360" w:lineRule="auto"/>
        <w:rPr>
          <w:rFonts w:ascii="Arial" w:hAnsi="Arial" w:cs="Arial"/>
          <w:szCs w:val="24"/>
        </w:rPr>
      </w:pPr>
    </w:p>
    <w:p w:rsidR="006A7A1D" w:rsidRDefault="003F77C9" w:rsidP="00AF753A">
      <w:pPr>
        <w:spacing w:line="360" w:lineRule="auto"/>
        <w:jc w:val="both"/>
        <w:rPr>
          <w:rFonts w:ascii="Arial" w:hAnsi="Arial" w:cs="Arial"/>
        </w:rPr>
      </w:pPr>
      <w:r>
        <w:rPr>
          <w:rFonts w:ascii="Arial" w:hAnsi="Arial" w:cs="Arial"/>
        </w:rPr>
        <w:t>Inform</w:t>
      </w:r>
      <w:r w:rsidR="001A52A7">
        <w:rPr>
          <w:rFonts w:ascii="Arial" w:hAnsi="Arial" w:cs="Arial"/>
        </w:rPr>
        <w:t xml:space="preserve">ó </w:t>
      </w:r>
      <w:r w:rsidR="00E87A44">
        <w:rPr>
          <w:rFonts w:ascii="Arial" w:hAnsi="Arial" w:cs="Arial"/>
        </w:rPr>
        <w:t>el ac</w:t>
      </w:r>
      <w:r w:rsidR="000A1B48">
        <w:rPr>
          <w:rFonts w:ascii="Arial" w:hAnsi="Arial" w:cs="Arial"/>
        </w:rPr>
        <w:t xml:space="preserve">cionante </w:t>
      </w:r>
      <w:r w:rsidR="00D61EC2">
        <w:rPr>
          <w:rFonts w:ascii="Arial" w:hAnsi="Arial" w:cs="Arial"/>
        </w:rPr>
        <w:t xml:space="preserve">que </w:t>
      </w:r>
      <w:r w:rsidR="00870351">
        <w:rPr>
          <w:rFonts w:ascii="Arial" w:hAnsi="Arial" w:cs="Arial"/>
        </w:rPr>
        <w:t xml:space="preserve">presenta el amparo constitucional porque la </w:t>
      </w:r>
      <w:r w:rsidR="005A0697">
        <w:rPr>
          <w:rFonts w:ascii="Arial" w:hAnsi="Arial" w:cs="Arial"/>
        </w:rPr>
        <w:t xml:space="preserve">Defensoría del Pueblo de Manizales se rehúsa a formular </w:t>
      </w:r>
      <w:r w:rsidR="00870351">
        <w:rPr>
          <w:rFonts w:ascii="Arial" w:hAnsi="Arial" w:cs="Arial"/>
        </w:rPr>
        <w:t>acciones de tutela en su nombre</w:t>
      </w:r>
      <w:r w:rsidR="005A0697">
        <w:rPr>
          <w:rFonts w:ascii="Arial" w:hAnsi="Arial" w:cs="Arial"/>
        </w:rPr>
        <w:t xml:space="preserve">, </w:t>
      </w:r>
      <w:r w:rsidR="00D93283">
        <w:rPr>
          <w:rFonts w:ascii="Arial" w:hAnsi="Arial" w:cs="Arial"/>
        </w:rPr>
        <w:t>lo que trasgrede</w:t>
      </w:r>
      <w:r w:rsidR="00870351">
        <w:rPr>
          <w:rFonts w:ascii="Arial" w:hAnsi="Arial" w:cs="Arial"/>
        </w:rPr>
        <w:t xml:space="preserve"> la Ley 734</w:t>
      </w:r>
      <w:r w:rsidR="00D67854">
        <w:rPr>
          <w:rFonts w:ascii="Arial" w:hAnsi="Arial" w:cs="Arial"/>
        </w:rPr>
        <w:t xml:space="preserve"> </w:t>
      </w:r>
      <w:r w:rsidR="00CC2232" w:rsidRPr="00AF753A">
        <w:rPr>
          <w:rFonts w:ascii="Arial" w:hAnsi="Arial" w:cs="Arial"/>
        </w:rPr>
        <w:t>(Folio</w:t>
      </w:r>
      <w:r w:rsidR="00711881">
        <w:rPr>
          <w:rFonts w:ascii="Arial" w:hAnsi="Arial" w:cs="Arial"/>
        </w:rPr>
        <w:t>s</w:t>
      </w:r>
      <w:r w:rsidR="008259FB">
        <w:rPr>
          <w:rFonts w:ascii="Arial" w:hAnsi="Arial" w:cs="Arial"/>
        </w:rPr>
        <w:t xml:space="preserve"> </w:t>
      </w:r>
      <w:r w:rsidR="001F6B69">
        <w:rPr>
          <w:rFonts w:ascii="Arial" w:hAnsi="Arial" w:cs="Arial"/>
        </w:rPr>
        <w:t>6 a 17</w:t>
      </w:r>
      <w:r w:rsidR="00CC2232" w:rsidRPr="00AF753A">
        <w:rPr>
          <w:rFonts w:ascii="Arial" w:hAnsi="Arial" w:cs="Arial"/>
        </w:rPr>
        <w:t>,</w:t>
      </w:r>
      <w:r w:rsidR="008375BC" w:rsidRPr="00AF753A">
        <w:rPr>
          <w:rFonts w:ascii="Arial" w:hAnsi="Arial" w:cs="Arial"/>
        </w:rPr>
        <w:t xml:space="preserve"> </w:t>
      </w:r>
      <w:r w:rsidR="001F6B69">
        <w:rPr>
          <w:rFonts w:ascii="Arial" w:hAnsi="Arial" w:cs="Arial"/>
        </w:rPr>
        <w:t>este cuaderno</w:t>
      </w:r>
      <w:r w:rsidR="00AB506D">
        <w:rPr>
          <w:rFonts w:ascii="Arial" w:hAnsi="Arial" w:cs="Arial"/>
        </w:rPr>
        <w:t>)</w:t>
      </w:r>
      <w:r w:rsidR="006A7A1D" w:rsidRPr="00AF753A">
        <w:rPr>
          <w:rFonts w:ascii="Arial" w:hAnsi="Arial" w:cs="Arial"/>
        </w:rPr>
        <w:t xml:space="preserve">. </w:t>
      </w:r>
    </w:p>
    <w:p w:rsidR="00FD3140" w:rsidRPr="00BA69B4" w:rsidRDefault="00FD3140" w:rsidP="0099045D">
      <w:pPr>
        <w:pStyle w:val="Textoindependiente"/>
        <w:spacing w:line="360" w:lineRule="auto"/>
        <w:rPr>
          <w:rFonts w:ascii="Arial" w:hAnsi="Arial"/>
          <w:szCs w:val="24"/>
          <w:lang w:val="es-CO"/>
        </w:rPr>
      </w:pPr>
    </w:p>
    <w:p w:rsidR="002B0607" w:rsidRPr="009C04FD" w:rsidRDefault="002B0607" w:rsidP="0099045D">
      <w:pPr>
        <w:pStyle w:val="Textoindependiente"/>
        <w:spacing w:line="360" w:lineRule="auto"/>
        <w:rPr>
          <w:rFonts w:ascii="Arial" w:hAnsi="Arial"/>
          <w:sz w:val="22"/>
          <w:szCs w:val="24"/>
          <w:lang w:val="es-ES"/>
        </w:rPr>
      </w:pPr>
    </w:p>
    <w:p w:rsidR="00AC1B79" w:rsidRDefault="00AC1B79" w:rsidP="00AC1B79">
      <w:pPr>
        <w:pStyle w:val="Textoindependien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767F97" w:rsidRPr="0023648D" w:rsidRDefault="00767F97" w:rsidP="00767F97">
      <w:pPr>
        <w:pStyle w:val="Textoindependiente"/>
        <w:spacing w:line="360" w:lineRule="auto"/>
        <w:ind w:left="360"/>
        <w:rPr>
          <w:rFonts w:ascii="Arial" w:hAnsi="Arial"/>
          <w:szCs w:val="24"/>
        </w:rPr>
      </w:pPr>
    </w:p>
    <w:p w:rsidR="00AC1B79" w:rsidRDefault="00D67854" w:rsidP="00AC1B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Los derechos fundamentales al debido proceso</w:t>
      </w:r>
      <w:r w:rsidR="00B743E4">
        <w:rPr>
          <w:rFonts w:ascii="Arial" w:hAnsi="Arial" w:cs="Arial"/>
          <w:spacing w:val="-3"/>
          <w:lang w:val="es-ES_tradnl"/>
        </w:rPr>
        <w:t xml:space="preserve">, igualdad y debida administración de justicia </w:t>
      </w:r>
      <w:r w:rsidR="00AC1B79">
        <w:rPr>
          <w:rFonts w:ascii="Arial" w:hAnsi="Arial" w:cs="Arial"/>
        </w:rPr>
        <w:t>(</w:t>
      </w:r>
      <w:r w:rsidR="00B743E4" w:rsidRPr="00AF753A">
        <w:rPr>
          <w:rFonts w:ascii="Arial" w:hAnsi="Arial" w:cs="Arial"/>
        </w:rPr>
        <w:t>Folio</w:t>
      </w:r>
      <w:r w:rsidR="00B743E4">
        <w:rPr>
          <w:rFonts w:ascii="Arial" w:hAnsi="Arial" w:cs="Arial"/>
        </w:rPr>
        <w:t>s 6 a 17</w:t>
      </w:r>
      <w:r w:rsidR="00B743E4" w:rsidRPr="00AF753A">
        <w:rPr>
          <w:rFonts w:ascii="Arial" w:hAnsi="Arial" w:cs="Arial"/>
        </w:rPr>
        <w:t xml:space="preserve">, </w:t>
      </w:r>
      <w:r w:rsidR="00B743E4">
        <w:rPr>
          <w:rFonts w:ascii="Arial" w:hAnsi="Arial" w:cs="Arial"/>
        </w:rPr>
        <w:t>este cuaderno)</w:t>
      </w:r>
      <w:r w:rsidR="00B743E4" w:rsidRPr="00AF753A">
        <w:rPr>
          <w:rFonts w:ascii="Arial" w:hAnsi="Arial" w:cs="Arial"/>
        </w:rPr>
        <w:t>.</w:t>
      </w: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lastRenderedPageBreak/>
        <w:t>LA PETICIÓN DE PROTECCIÓN</w:t>
      </w:r>
    </w:p>
    <w:p w:rsidR="00BA69B4" w:rsidRPr="00EE705E" w:rsidRDefault="00BA69B4" w:rsidP="00BA69B4">
      <w:pPr>
        <w:pStyle w:val="Textoindependiente"/>
        <w:spacing w:line="360" w:lineRule="auto"/>
        <w:ind w:left="360"/>
        <w:rPr>
          <w:rFonts w:ascii="Arial" w:hAnsi="Arial"/>
          <w:szCs w:val="24"/>
        </w:rPr>
      </w:pPr>
    </w:p>
    <w:p w:rsidR="003F77C9" w:rsidRDefault="00431AF7" w:rsidP="00431AF7">
      <w:pPr>
        <w:pStyle w:val="Sinespaciado"/>
        <w:spacing w:line="360" w:lineRule="auto"/>
        <w:jc w:val="both"/>
        <w:rPr>
          <w:rFonts w:ascii="Arial" w:hAnsi="Arial" w:cs="Arial"/>
          <w:szCs w:val="24"/>
        </w:rPr>
      </w:pPr>
      <w:r>
        <w:rPr>
          <w:rFonts w:ascii="Arial" w:hAnsi="Arial" w:cs="Arial"/>
          <w:szCs w:val="24"/>
        </w:rPr>
        <w:t>Solicitó: (i) D</w:t>
      </w:r>
      <w:r w:rsidR="00B743E4">
        <w:rPr>
          <w:rFonts w:ascii="Arial" w:hAnsi="Arial" w:cs="Arial"/>
          <w:szCs w:val="24"/>
        </w:rPr>
        <w:t>eterminar si la accionada trasgrede la Ley 734</w:t>
      </w:r>
      <w:r>
        <w:rPr>
          <w:rFonts w:ascii="Arial" w:hAnsi="Arial" w:cs="Arial"/>
          <w:szCs w:val="24"/>
        </w:rPr>
        <w:t xml:space="preserve">; </w:t>
      </w:r>
      <w:r w:rsidR="00B743E4">
        <w:rPr>
          <w:rFonts w:ascii="Arial" w:hAnsi="Arial" w:cs="Arial"/>
          <w:szCs w:val="24"/>
        </w:rPr>
        <w:t>y</w:t>
      </w:r>
      <w:r>
        <w:rPr>
          <w:rFonts w:ascii="Arial" w:hAnsi="Arial" w:cs="Arial"/>
          <w:szCs w:val="24"/>
        </w:rPr>
        <w:t>,</w:t>
      </w:r>
      <w:r w:rsidR="00B743E4">
        <w:rPr>
          <w:rFonts w:ascii="Arial" w:hAnsi="Arial" w:cs="Arial"/>
          <w:szCs w:val="24"/>
        </w:rPr>
        <w:t xml:space="preserve"> </w:t>
      </w:r>
      <w:r>
        <w:rPr>
          <w:rFonts w:ascii="Arial" w:hAnsi="Arial" w:cs="Arial"/>
          <w:szCs w:val="24"/>
        </w:rPr>
        <w:t xml:space="preserve">(ii) Ordenar que formule acciones de tutela en </w:t>
      </w:r>
      <w:r w:rsidR="00D93283">
        <w:rPr>
          <w:rFonts w:ascii="Arial" w:hAnsi="Arial" w:cs="Arial"/>
          <w:szCs w:val="24"/>
        </w:rPr>
        <w:t xml:space="preserve">su </w:t>
      </w:r>
      <w:r>
        <w:rPr>
          <w:rFonts w:ascii="Arial" w:hAnsi="Arial" w:cs="Arial"/>
          <w:szCs w:val="24"/>
        </w:rPr>
        <w:t>nombre tendientes a proteger sus derechos fundamentales en las acciones populares que promueve</w:t>
      </w:r>
      <w:r w:rsidR="00D67854">
        <w:rPr>
          <w:rFonts w:ascii="Arial" w:hAnsi="Arial" w:cs="Arial"/>
          <w:szCs w:val="24"/>
        </w:rPr>
        <w:t xml:space="preserve"> </w:t>
      </w:r>
      <w:r>
        <w:rPr>
          <w:rFonts w:ascii="Arial" w:hAnsi="Arial" w:cs="Arial"/>
          <w:szCs w:val="24"/>
        </w:rPr>
        <w:t>(</w:t>
      </w:r>
      <w:r w:rsidRPr="00AF753A">
        <w:rPr>
          <w:rFonts w:ascii="Arial" w:hAnsi="Arial" w:cs="Arial"/>
        </w:rPr>
        <w:t>Folio</w:t>
      </w:r>
      <w:r>
        <w:rPr>
          <w:rFonts w:ascii="Arial" w:hAnsi="Arial" w:cs="Arial"/>
        </w:rPr>
        <w:t>s 6 a 17</w:t>
      </w:r>
      <w:r w:rsidRPr="00AF753A">
        <w:rPr>
          <w:rFonts w:ascii="Arial" w:hAnsi="Arial" w:cs="Arial"/>
        </w:rPr>
        <w:t xml:space="preserve">, </w:t>
      </w:r>
      <w:r>
        <w:rPr>
          <w:rFonts w:ascii="Arial" w:hAnsi="Arial" w:cs="Arial"/>
        </w:rPr>
        <w:t>este cuaderno)</w:t>
      </w:r>
      <w:r w:rsidRPr="00AF753A">
        <w:rPr>
          <w:rFonts w:ascii="Arial" w:hAnsi="Arial" w:cs="Arial"/>
        </w:rPr>
        <w:t>.</w:t>
      </w:r>
    </w:p>
    <w:p w:rsidR="003A2CB1" w:rsidRDefault="003A2CB1" w:rsidP="000145EA">
      <w:pPr>
        <w:pStyle w:val="Sinespaciado"/>
        <w:spacing w:line="360" w:lineRule="auto"/>
        <w:jc w:val="both"/>
        <w:rPr>
          <w:rFonts w:ascii="Arial" w:hAnsi="Arial" w:cs="Arial"/>
          <w:szCs w:val="24"/>
        </w:rPr>
      </w:pPr>
    </w:p>
    <w:p w:rsidR="002359A1" w:rsidRPr="00EE705E" w:rsidRDefault="002359A1"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Default="0035297D" w:rsidP="00704D44">
      <w:pPr>
        <w:pStyle w:val="Sinespaciado"/>
        <w:tabs>
          <w:tab w:val="left" w:pos="1200"/>
        </w:tabs>
        <w:spacing w:line="360" w:lineRule="auto"/>
        <w:jc w:val="both"/>
        <w:rPr>
          <w:rFonts w:ascii="Arial" w:hAnsi="Arial"/>
          <w:szCs w:val="24"/>
        </w:rPr>
      </w:pPr>
    </w:p>
    <w:p w:rsidR="00B41B34" w:rsidRDefault="00431AF7" w:rsidP="00297D4F">
      <w:pPr>
        <w:pStyle w:val="Sinespaciado"/>
        <w:tabs>
          <w:tab w:val="left" w:pos="1200"/>
        </w:tabs>
        <w:spacing w:line="360" w:lineRule="auto"/>
        <w:jc w:val="both"/>
        <w:rPr>
          <w:rFonts w:ascii="Arial" w:hAnsi="Arial"/>
        </w:rPr>
      </w:pPr>
      <w:r>
        <w:rPr>
          <w:rFonts w:ascii="Arial" w:hAnsi="Arial" w:cs="Arial"/>
        </w:rPr>
        <w:t>Recibidas el 20-06-2016</w:t>
      </w:r>
      <w:r w:rsidR="00830BB9">
        <w:rPr>
          <w:rFonts w:ascii="Arial" w:hAnsi="Arial" w:cs="Arial"/>
        </w:rPr>
        <w:t>,</w:t>
      </w:r>
      <w:r>
        <w:rPr>
          <w:rFonts w:ascii="Arial" w:hAnsi="Arial" w:cs="Arial"/>
        </w:rPr>
        <w:t xml:space="preserve"> luego </w:t>
      </w:r>
      <w:r w:rsidR="00830BB9">
        <w:rPr>
          <w:rFonts w:ascii="Arial" w:hAnsi="Arial" w:cs="Arial"/>
        </w:rPr>
        <w:t xml:space="preserve">de que la CSJ declarará </w:t>
      </w:r>
      <w:r>
        <w:rPr>
          <w:rFonts w:ascii="Arial" w:hAnsi="Arial" w:cs="Arial"/>
        </w:rPr>
        <w:t>la competencia de esta Sala para c</w:t>
      </w:r>
      <w:r w:rsidR="00830BB9">
        <w:rPr>
          <w:rFonts w:ascii="Arial" w:hAnsi="Arial" w:cs="Arial"/>
        </w:rPr>
        <w:t>onocer de los amparos,</w:t>
      </w:r>
      <w:r w:rsidR="00E152FE">
        <w:rPr>
          <w:rFonts w:ascii="Arial" w:hAnsi="Arial"/>
        </w:rPr>
        <w:t xml:space="preserve"> </w:t>
      </w:r>
      <w:r w:rsidR="008B5070">
        <w:rPr>
          <w:rFonts w:ascii="Arial" w:hAnsi="Arial"/>
        </w:rPr>
        <w:t>co</w:t>
      </w:r>
      <w:r w:rsidR="00AE3DA6" w:rsidRPr="00704D44">
        <w:rPr>
          <w:rFonts w:ascii="Arial" w:hAnsi="Arial"/>
        </w:rPr>
        <w:t>n providencia</w:t>
      </w:r>
      <w:r w:rsidR="008B77FC">
        <w:rPr>
          <w:rFonts w:ascii="Arial" w:hAnsi="Arial"/>
        </w:rPr>
        <w:t xml:space="preserve"> de</w:t>
      </w:r>
      <w:r w:rsidR="00E152FE">
        <w:rPr>
          <w:rFonts w:ascii="Arial" w:hAnsi="Arial"/>
        </w:rPr>
        <w:t xml:space="preserve"> </w:t>
      </w:r>
      <w:r w:rsidR="008B77FC">
        <w:rPr>
          <w:rFonts w:ascii="Arial" w:hAnsi="Arial"/>
        </w:rPr>
        <w:t>l</w:t>
      </w:r>
      <w:r w:rsidR="00E152FE">
        <w:rPr>
          <w:rFonts w:ascii="Arial" w:hAnsi="Arial"/>
        </w:rPr>
        <w:t>a</w:t>
      </w:r>
      <w:r w:rsidR="005A73B4">
        <w:rPr>
          <w:rFonts w:ascii="Arial" w:hAnsi="Arial"/>
        </w:rPr>
        <w:t xml:space="preserve"> </w:t>
      </w:r>
      <w:r w:rsidR="00E152FE">
        <w:rPr>
          <w:rFonts w:ascii="Arial" w:hAnsi="Arial"/>
        </w:rPr>
        <w:t>misma fecha</w:t>
      </w:r>
      <w:r w:rsidR="00F86FB8">
        <w:rPr>
          <w:rFonts w:ascii="Arial" w:hAnsi="Arial"/>
        </w:rPr>
        <w:t xml:space="preserve">, </w:t>
      </w:r>
      <w:r w:rsidR="00830BB9">
        <w:rPr>
          <w:rFonts w:ascii="Arial" w:hAnsi="Arial"/>
        </w:rPr>
        <w:t xml:space="preserve">se acumularon, </w:t>
      </w:r>
      <w:r w:rsidR="00C244B0">
        <w:rPr>
          <w:rFonts w:ascii="Arial" w:hAnsi="Arial"/>
        </w:rPr>
        <w:t xml:space="preserve">se </w:t>
      </w:r>
      <w:r w:rsidR="00830BB9">
        <w:rPr>
          <w:rFonts w:ascii="Arial" w:hAnsi="Arial"/>
        </w:rPr>
        <w:t>admitieron</w:t>
      </w:r>
      <w:r w:rsidR="00E51070">
        <w:rPr>
          <w:rFonts w:ascii="Arial" w:hAnsi="Arial"/>
        </w:rPr>
        <w:t xml:space="preserve"> </w:t>
      </w:r>
      <w:r w:rsidR="00001A9E">
        <w:rPr>
          <w:rFonts w:ascii="Arial" w:hAnsi="Arial"/>
        </w:rPr>
        <w:t xml:space="preserve">y </w:t>
      </w:r>
      <w:r w:rsidR="00C15191">
        <w:rPr>
          <w:rFonts w:ascii="Arial" w:hAnsi="Arial"/>
        </w:rPr>
        <w:t xml:space="preserve">se </w:t>
      </w:r>
      <w:r w:rsidR="006617DD">
        <w:rPr>
          <w:rFonts w:ascii="Arial" w:hAnsi="Arial"/>
        </w:rPr>
        <w:t xml:space="preserve">dispuso </w:t>
      </w:r>
      <w:r w:rsidR="00461EBB">
        <w:rPr>
          <w:rFonts w:ascii="Arial" w:hAnsi="Arial"/>
        </w:rPr>
        <w:t>notificar a la</w:t>
      </w:r>
      <w:r w:rsidR="009C4A9B">
        <w:rPr>
          <w:rFonts w:ascii="Arial" w:hAnsi="Arial"/>
        </w:rPr>
        <w:t xml:space="preserve"> </w:t>
      </w:r>
      <w:r w:rsidR="00461EBB">
        <w:rPr>
          <w:rFonts w:ascii="Arial" w:hAnsi="Arial"/>
        </w:rPr>
        <w:t>pa</w:t>
      </w:r>
      <w:r w:rsidR="009C4A9B">
        <w:rPr>
          <w:rFonts w:ascii="Arial" w:hAnsi="Arial"/>
        </w:rPr>
        <w:t>r</w:t>
      </w:r>
      <w:r w:rsidR="00DD4A2B">
        <w:rPr>
          <w:rFonts w:ascii="Arial" w:hAnsi="Arial"/>
        </w:rPr>
        <w:t>t</w:t>
      </w:r>
      <w:r w:rsidR="009C4A9B">
        <w:rPr>
          <w:rFonts w:ascii="Arial" w:hAnsi="Arial"/>
        </w:rPr>
        <w:t>e</w:t>
      </w:r>
      <w:r w:rsidR="00C15191">
        <w:rPr>
          <w:rFonts w:ascii="Arial" w:hAnsi="Arial"/>
        </w:rPr>
        <w:t>s</w:t>
      </w:r>
      <w:r w:rsidR="005A492B">
        <w:rPr>
          <w:rFonts w:ascii="Arial" w:hAnsi="Arial"/>
        </w:rPr>
        <w:t>, entre otros</w:t>
      </w:r>
      <w:r w:rsidR="008259FB">
        <w:rPr>
          <w:rFonts w:ascii="Arial" w:hAnsi="Arial"/>
        </w:rPr>
        <w:t xml:space="preserve"> ordenamientos</w:t>
      </w:r>
      <w:r w:rsidR="009C4A9B">
        <w:rPr>
          <w:rFonts w:ascii="Arial" w:hAnsi="Arial"/>
        </w:rPr>
        <w:t xml:space="preserve"> </w:t>
      </w:r>
      <w:r w:rsidR="00D55A12" w:rsidRPr="00704D44">
        <w:rPr>
          <w:rFonts w:ascii="Arial" w:hAnsi="Arial"/>
        </w:rPr>
        <w:t>(Folio</w:t>
      </w:r>
      <w:r w:rsidR="002359A1">
        <w:rPr>
          <w:rFonts w:ascii="Arial" w:hAnsi="Arial"/>
        </w:rPr>
        <w:t>s</w:t>
      </w:r>
      <w:r w:rsidR="00AA18A0">
        <w:rPr>
          <w:rFonts w:ascii="Arial" w:hAnsi="Arial"/>
        </w:rPr>
        <w:t xml:space="preserve"> </w:t>
      </w:r>
      <w:r w:rsidR="00830BB9">
        <w:rPr>
          <w:rFonts w:ascii="Arial" w:hAnsi="Arial"/>
        </w:rPr>
        <w:t>41 y 42</w:t>
      </w:r>
      <w:r w:rsidR="008259FB">
        <w:rPr>
          <w:rFonts w:ascii="Arial" w:hAnsi="Arial"/>
        </w:rPr>
        <w:t xml:space="preserve">, </w:t>
      </w:r>
      <w:r w:rsidR="00DD61D7">
        <w:rPr>
          <w:rFonts w:ascii="Arial" w:hAnsi="Arial"/>
        </w:rPr>
        <w:t>ídem</w:t>
      </w:r>
      <w:r w:rsidR="00D21875">
        <w:rPr>
          <w:rFonts w:ascii="Arial" w:hAnsi="Arial"/>
        </w:rPr>
        <w:t>)</w:t>
      </w:r>
      <w:r w:rsidR="00BD3214">
        <w:rPr>
          <w:rFonts w:ascii="Arial" w:hAnsi="Arial"/>
        </w:rPr>
        <w:t>. F</w:t>
      </w:r>
      <w:r w:rsidR="00566FD2">
        <w:rPr>
          <w:rFonts w:ascii="Arial" w:hAnsi="Arial"/>
        </w:rPr>
        <w:t>ue</w:t>
      </w:r>
      <w:r w:rsidR="00C15191">
        <w:rPr>
          <w:rFonts w:ascii="Arial" w:hAnsi="Arial"/>
        </w:rPr>
        <w:t>ron</w:t>
      </w:r>
      <w:r w:rsidR="00566FD2">
        <w:rPr>
          <w:rFonts w:ascii="Arial" w:hAnsi="Arial"/>
        </w:rPr>
        <w:t xml:space="preserve"> debidamente notificad</w:t>
      </w:r>
      <w:r w:rsidR="00461EBB">
        <w:rPr>
          <w:rFonts w:ascii="Arial" w:hAnsi="Arial"/>
        </w:rPr>
        <w:t>os los extremos de la acción</w:t>
      </w:r>
      <w:r w:rsidR="00BD3214">
        <w:rPr>
          <w:rFonts w:ascii="Arial" w:hAnsi="Arial"/>
        </w:rPr>
        <w:t xml:space="preserve"> </w:t>
      </w:r>
      <w:r w:rsidR="00566FD2">
        <w:rPr>
          <w:rFonts w:ascii="Arial" w:hAnsi="Arial"/>
        </w:rPr>
        <w:t xml:space="preserve">(Folios </w:t>
      </w:r>
      <w:r w:rsidR="00830BB9">
        <w:rPr>
          <w:rFonts w:ascii="Arial" w:hAnsi="Arial"/>
        </w:rPr>
        <w:t>43 y 44</w:t>
      </w:r>
      <w:r w:rsidR="00AA18A0">
        <w:rPr>
          <w:rFonts w:ascii="Arial" w:hAnsi="Arial"/>
        </w:rPr>
        <w:t>,</w:t>
      </w:r>
      <w:r w:rsidR="00EE29B8">
        <w:rPr>
          <w:rFonts w:ascii="Arial" w:hAnsi="Arial"/>
        </w:rPr>
        <w:t xml:space="preserve"> </w:t>
      </w:r>
      <w:r w:rsidR="00E152FE">
        <w:rPr>
          <w:rFonts w:ascii="Arial" w:hAnsi="Arial"/>
        </w:rPr>
        <w:t>ib.</w:t>
      </w:r>
      <w:r w:rsidR="00EE29B8">
        <w:rPr>
          <w:rFonts w:ascii="Arial" w:hAnsi="Arial"/>
        </w:rPr>
        <w:t>)</w:t>
      </w:r>
      <w:r w:rsidR="007422B7">
        <w:rPr>
          <w:rFonts w:ascii="Arial" w:hAnsi="Arial"/>
        </w:rPr>
        <w:t>.</w:t>
      </w:r>
      <w:r w:rsidR="00CF429F">
        <w:rPr>
          <w:rFonts w:ascii="Arial" w:hAnsi="Arial"/>
        </w:rPr>
        <w:t xml:space="preserve"> </w:t>
      </w:r>
      <w:r w:rsidR="002359A1">
        <w:rPr>
          <w:rFonts w:ascii="Arial" w:hAnsi="Arial"/>
        </w:rPr>
        <w:t xml:space="preserve">Contestó </w:t>
      </w:r>
      <w:r w:rsidR="00830BB9">
        <w:rPr>
          <w:rFonts w:ascii="Arial" w:hAnsi="Arial"/>
        </w:rPr>
        <w:t xml:space="preserve">la accionada </w:t>
      </w:r>
      <w:r w:rsidR="00E51070">
        <w:rPr>
          <w:rFonts w:ascii="Arial" w:hAnsi="Arial"/>
        </w:rPr>
        <w:t xml:space="preserve">(Folios </w:t>
      </w:r>
      <w:r w:rsidR="00830BB9">
        <w:rPr>
          <w:rFonts w:ascii="Arial" w:hAnsi="Arial"/>
        </w:rPr>
        <w:t>53 a 56</w:t>
      </w:r>
      <w:r w:rsidR="00E51070">
        <w:rPr>
          <w:rFonts w:ascii="Arial" w:hAnsi="Arial"/>
        </w:rPr>
        <w:t xml:space="preserve">, </w:t>
      </w:r>
      <w:r w:rsidR="00E152FE">
        <w:rPr>
          <w:rFonts w:ascii="Arial" w:hAnsi="Arial"/>
        </w:rPr>
        <w:t>ib.</w:t>
      </w:r>
      <w:r w:rsidR="00E51070">
        <w:rPr>
          <w:rFonts w:ascii="Arial" w:hAnsi="Arial"/>
        </w:rPr>
        <w:t>)</w:t>
      </w:r>
      <w:r w:rsidR="00B41B34" w:rsidRPr="00DD6F03">
        <w:rPr>
          <w:rFonts w:ascii="Arial" w:hAnsi="Arial"/>
        </w:rPr>
        <w:t>.</w:t>
      </w:r>
      <w:r w:rsidR="00DD6F03">
        <w:rPr>
          <w:rFonts w:ascii="Arial" w:hAnsi="Arial"/>
        </w:rPr>
        <w:t xml:space="preserve"> </w:t>
      </w:r>
    </w:p>
    <w:p w:rsidR="003A2CB1" w:rsidRPr="00E75282" w:rsidRDefault="003A2CB1" w:rsidP="00B50331">
      <w:pPr>
        <w:spacing w:line="360" w:lineRule="auto"/>
        <w:jc w:val="both"/>
        <w:rPr>
          <w:rFonts w:ascii="Arial" w:hAnsi="Arial"/>
        </w:rPr>
      </w:pPr>
    </w:p>
    <w:p w:rsidR="003A2CB1" w:rsidRPr="00E75282" w:rsidRDefault="003A2CB1" w:rsidP="00B50331">
      <w:pPr>
        <w:spacing w:line="360" w:lineRule="auto"/>
        <w:jc w:val="both"/>
        <w:rPr>
          <w:rFonts w:ascii="Arial" w:hAnsi="Arial"/>
        </w:rPr>
      </w:pPr>
    </w:p>
    <w:p w:rsidR="003A2CB1" w:rsidRDefault="003A2CB1" w:rsidP="003A2CB1">
      <w:pPr>
        <w:numPr>
          <w:ilvl w:val="0"/>
          <w:numId w:val="18"/>
        </w:numPr>
        <w:spacing w:line="360" w:lineRule="auto"/>
        <w:jc w:val="both"/>
        <w:rPr>
          <w:rFonts w:ascii="Arial" w:hAnsi="Arial"/>
        </w:rPr>
      </w:pPr>
      <w:r>
        <w:rPr>
          <w:rFonts w:ascii="Arial" w:hAnsi="Arial"/>
        </w:rPr>
        <w:t>LA SINOPSIS DE LA RESPUESTA</w:t>
      </w:r>
    </w:p>
    <w:p w:rsidR="003A2CB1" w:rsidRDefault="003A2CB1" w:rsidP="003A2CB1">
      <w:pPr>
        <w:spacing w:line="360" w:lineRule="auto"/>
        <w:jc w:val="both"/>
        <w:rPr>
          <w:rFonts w:ascii="Arial" w:hAnsi="Arial"/>
        </w:rPr>
      </w:pPr>
    </w:p>
    <w:p w:rsidR="00830BB9" w:rsidRPr="00B81FDA" w:rsidRDefault="00830BB9" w:rsidP="00830BB9">
      <w:pPr>
        <w:spacing w:line="360" w:lineRule="auto"/>
        <w:jc w:val="both"/>
        <w:rPr>
          <w:rFonts w:ascii="Arial" w:hAnsi="Arial"/>
        </w:rPr>
      </w:pPr>
      <w:r>
        <w:rPr>
          <w:rFonts w:ascii="Arial" w:hAnsi="Arial"/>
        </w:rPr>
        <w:t xml:space="preserve">La Defensoría del Pueblo Regional de Caldas manifestó que el accionante desde el mes de noviembre de 2015 no se ha presentado en sus instalaciones para que se le asistiera en la presentación de acciones de tutela. De otro lado, indicó que desde el año 2014 designó un defensor público para que </w:t>
      </w:r>
      <w:r w:rsidR="00D93283">
        <w:rPr>
          <w:rFonts w:ascii="Arial" w:hAnsi="Arial"/>
        </w:rPr>
        <w:t xml:space="preserve">le </w:t>
      </w:r>
      <w:r>
        <w:rPr>
          <w:rFonts w:ascii="Arial" w:hAnsi="Arial"/>
        </w:rPr>
        <w:t>brindara asesoría</w:t>
      </w:r>
      <w:r w:rsidR="00D93283">
        <w:rPr>
          <w:rFonts w:ascii="Arial" w:hAnsi="Arial"/>
        </w:rPr>
        <w:t>,</w:t>
      </w:r>
      <w:r>
        <w:rPr>
          <w:rFonts w:ascii="Arial" w:hAnsi="Arial"/>
        </w:rPr>
        <w:t xml:space="preserve"> hizo un recuento de las actuaciones adelantadas y de las distintas solicitudes presentadas, y concluyó el abuso que hace de las acciones constitucionales. Asimismo, consideró que el accionante actúa con temeridad y mala fe porque con las acciones populares pretende el reconocimiento de intereses económicos (Folios 53 a 56, ib.).</w:t>
      </w:r>
    </w:p>
    <w:p w:rsidR="00830BB9" w:rsidRDefault="00830BB9" w:rsidP="00767F97">
      <w:pPr>
        <w:spacing w:line="360" w:lineRule="auto"/>
        <w:jc w:val="both"/>
        <w:rPr>
          <w:rFonts w:ascii="Arial" w:hAnsi="Arial"/>
        </w:rPr>
      </w:pPr>
    </w:p>
    <w:p w:rsidR="00F73664" w:rsidRDefault="00F73664" w:rsidP="00F73664">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F134D6" w:rsidRPr="00AE73C7" w:rsidRDefault="00F134D6" w:rsidP="00F134D6">
      <w:pPr>
        <w:pStyle w:val="Textoindependiente"/>
        <w:spacing w:line="360" w:lineRule="auto"/>
        <w:ind w:left="400"/>
        <w:rPr>
          <w:rFonts w:ascii="Arial" w:hAnsi="Arial"/>
          <w:szCs w:val="24"/>
        </w:rPr>
      </w:pPr>
    </w:p>
    <w:p w:rsidR="00CF429F" w:rsidRPr="00AE73C7" w:rsidRDefault="00CF429F" w:rsidP="00CF429F">
      <w:pPr>
        <w:pStyle w:val="Textoindependiente"/>
        <w:numPr>
          <w:ilvl w:val="1"/>
          <w:numId w:val="18"/>
        </w:numPr>
        <w:tabs>
          <w:tab w:val="clear" w:pos="708"/>
          <w:tab w:val="left" w:pos="709"/>
        </w:tabs>
        <w:spacing w:line="360" w:lineRule="auto"/>
        <w:rPr>
          <w:rFonts w:ascii="Arial" w:hAnsi="Arial"/>
          <w:szCs w:val="24"/>
        </w:rPr>
      </w:pPr>
      <w:r w:rsidRPr="00AE73C7">
        <w:rPr>
          <w:rFonts w:ascii="Arial" w:hAnsi="Arial"/>
          <w:szCs w:val="24"/>
        </w:rPr>
        <w:t>La competencia</w:t>
      </w:r>
    </w:p>
    <w:p w:rsidR="00A50109" w:rsidRPr="00AE73C7" w:rsidRDefault="00A50109" w:rsidP="00A50109">
      <w:pPr>
        <w:pStyle w:val="Textoindependiente"/>
        <w:tabs>
          <w:tab w:val="clear" w:pos="708"/>
          <w:tab w:val="left" w:pos="709"/>
        </w:tabs>
        <w:spacing w:line="360" w:lineRule="auto"/>
        <w:ind w:left="720"/>
        <w:rPr>
          <w:rFonts w:ascii="Arial" w:hAnsi="Arial"/>
          <w:szCs w:val="24"/>
        </w:rPr>
      </w:pPr>
    </w:p>
    <w:p w:rsidR="00E80233" w:rsidRDefault="00E80233" w:rsidP="00E80233">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002C59AC">
        <w:rPr>
          <w:rFonts w:ascii="Arial" w:hAnsi="Arial" w:cs="Arial"/>
          <w:sz w:val="24"/>
          <w:szCs w:val="24"/>
        </w:rPr>
        <w:t>la accionada es una entidad del orden nacional</w:t>
      </w:r>
      <w:r>
        <w:rPr>
          <w:rFonts w:ascii="Arial" w:hAnsi="Arial" w:cs="Arial"/>
          <w:sz w:val="24"/>
          <w:szCs w:val="24"/>
        </w:rPr>
        <w:t xml:space="preserve"> </w:t>
      </w:r>
      <w:r w:rsidR="002C59AC">
        <w:rPr>
          <w:rFonts w:ascii="Arial" w:hAnsi="Arial" w:cs="Arial"/>
          <w:sz w:val="24"/>
          <w:szCs w:val="24"/>
        </w:rPr>
        <w:t>y el amparo fue radicado en este distrito</w:t>
      </w:r>
      <w:r w:rsidR="002C59AC">
        <w:rPr>
          <w:rStyle w:val="Refdenotaalpie"/>
          <w:rFonts w:ascii="Arial" w:hAnsi="Arial"/>
          <w:sz w:val="24"/>
          <w:szCs w:val="24"/>
        </w:rPr>
        <w:footnoteReference w:id="2"/>
      </w:r>
      <w:r w:rsidR="002C59AC">
        <w:rPr>
          <w:rFonts w:ascii="Arial" w:hAnsi="Arial" w:cs="Arial"/>
          <w:sz w:val="24"/>
          <w:szCs w:val="24"/>
        </w:rPr>
        <w:t xml:space="preserve"> </w:t>
      </w:r>
      <w:r w:rsidRPr="004A1A69">
        <w:rPr>
          <w:rFonts w:ascii="Arial" w:hAnsi="Arial" w:cs="Arial"/>
          <w:sz w:val="24"/>
          <w:szCs w:val="24"/>
        </w:rPr>
        <w:t>(</w:t>
      </w:r>
      <w:r w:rsidR="002C59AC">
        <w:rPr>
          <w:rFonts w:ascii="Arial" w:hAnsi="Arial" w:cs="Arial"/>
          <w:sz w:val="24"/>
          <w:szCs w:val="24"/>
        </w:rPr>
        <w:t>Artículos 1º del Decreto 25 de 2014 y</w:t>
      </w:r>
      <w:r w:rsidRPr="004A1A69">
        <w:rPr>
          <w:rFonts w:ascii="Arial" w:hAnsi="Arial" w:cs="Arial"/>
          <w:sz w:val="24"/>
          <w:szCs w:val="24"/>
        </w:rPr>
        <w:t xml:space="preserve"> 37 </w:t>
      </w:r>
      <w:r w:rsidRPr="00CB3FF7">
        <w:rPr>
          <w:rFonts w:ascii="Arial" w:hAnsi="Arial" w:cs="Arial"/>
          <w:sz w:val="24"/>
          <w:szCs w:val="24"/>
        </w:rPr>
        <w:t>del Decreto 2591 de 1991).</w:t>
      </w:r>
    </w:p>
    <w:p w:rsidR="00E80233" w:rsidRDefault="00E80233" w:rsidP="00E80233">
      <w:pPr>
        <w:pStyle w:val="Textoindependiente"/>
        <w:spacing w:line="360" w:lineRule="auto"/>
        <w:rPr>
          <w:rFonts w:ascii="Arial" w:hAnsi="Arial" w:cs="Arial"/>
          <w:szCs w:val="24"/>
        </w:rPr>
      </w:pPr>
    </w:p>
    <w:p w:rsidR="00B05D5D" w:rsidRDefault="00B05D5D" w:rsidP="00B05D5D">
      <w:pPr>
        <w:pStyle w:val="Textoindependiente"/>
        <w:numPr>
          <w:ilvl w:val="1"/>
          <w:numId w:val="18"/>
        </w:numPr>
        <w:spacing w:line="360" w:lineRule="auto"/>
        <w:rPr>
          <w:rFonts w:ascii="Arial" w:hAnsi="Arial" w:cs="Arial"/>
          <w:szCs w:val="24"/>
        </w:rPr>
      </w:pPr>
      <w:r>
        <w:rPr>
          <w:rFonts w:ascii="Arial" w:hAnsi="Arial" w:cs="Arial"/>
          <w:szCs w:val="24"/>
        </w:rPr>
        <w:lastRenderedPageBreak/>
        <w:t>La legitimación en la causa</w:t>
      </w:r>
    </w:p>
    <w:p w:rsidR="001E61FA" w:rsidRDefault="001E61FA" w:rsidP="00B05D5D">
      <w:pPr>
        <w:pStyle w:val="Textoindependiente"/>
        <w:spacing w:line="360" w:lineRule="auto"/>
        <w:rPr>
          <w:rFonts w:ascii="Arial" w:hAnsi="Arial" w:cs="Arial"/>
          <w:szCs w:val="24"/>
        </w:rPr>
      </w:pPr>
    </w:p>
    <w:p w:rsidR="00E80233" w:rsidRDefault="00E80233" w:rsidP="00B05D5D">
      <w:pPr>
        <w:pStyle w:val="Textoindependiente"/>
        <w:spacing w:line="360" w:lineRule="auto"/>
        <w:rPr>
          <w:rFonts w:ascii="Arial" w:hAnsi="Arial" w:cs="Arial"/>
          <w:szCs w:val="24"/>
        </w:rPr>
      </w:pPr>
      <w:r w:rsidRPr="00B95F25">
        <w:rPr>
          <w:rFonts w:ascii="Arial" w:hAnsi="Arial" w:cs="Arial"/>
          <w:szCs w:val="24"/>
        </w:rPr>
        <w:t xml:space="preserve">Por </w:t>
      </w:r>
      <w:r w:rsidR="001E61FA">
        <w:rPr>
          <w:rFonts w:ascii="Arial" w:hAnsi="Arial" w:cs="Arial"/>
          <w:szCs w:val="24"/>
        </w:rPr>
        <w:t xml:space="preserve"> </w:t>
      </w:r>
      <w:r w:rsidRPr="00B95F25">
        <w:rPr>
          <w:rFonts w:ascii="Arial" w:hAnsi="Arial" w:cs="Arial"/>
          <w:szCs w:val="24"/>
        </w:rPr>
        <w:t xml:space="preserve">activa </w:t>
      </w:r>
      <w:r w:rsidR="001E61FA">
        <w:rPr>
          <w:rFonts w:ascii="Arial" w:hAnsi="Arial" w:cs="Arial"/>
          <w:szCs w:val="24"/>
        </w:rPr>
        <w:t xml:space="preserve"> </w:t>
      </w:r>
      <w:r w:rsidRPr="00B95F25">
        <w:rPr>
          <w:rFonts w:ascii="Arial" w:hAnsi="Arial" w:cs="Arial"/>
          <w:szCs w:val="24"/>
        </w:rPr>
        <w:t xml:space="preserve">se </w:t>
      </w:r>
      <w:r w:rsidR="001E61FA">
        <w:rPr>
          <w:rFonts w:ascii="Arial" w:hAnsi="Arial" w:cs="Arial"/>
          <w:szCs w:val="24"/>
        </w:rPr>
        <w:t xml:space="preserve"> </w:t>
      </w:r>
      <w:r w:rsidRPr="00B95F25">
        <w:rPr>
          <w:rFonts w:ascii="Arial" w:hAnsi="Arial" w:cs="Arial"/>
          <w:szCs w:val="24"/>
        </w:rPr>
        <w:t xml:space="preserve">cumple </w:t>
      </w:r>
      <w:r w:rsidR="001E61FA">
        <w:rPr>
          <w:rFonts w:ascii="Arial" w:hAnsi="Arial" w:cs="Arial"/>
          <w:szCs w:val="24"/>
        </w:rPr>
        <w:t xml:space="preserve"> </w:t>
      </w:r>
      <w:r w:rsidRPr="00B95F25">
        <w:rPr>
          <w:rFonts w:ascii="Arial" w:hAnsi="Arial" w:cs="Arial"/>
          <w:szCs w:val="24"/>
        </w:rPr>
        <w:t>en consideración a que quien ejerce la acción</w:t>
      </w:r>
      <w:r w:rsidR="002C59AC">
        <w:rPr>
          <w:rFonts w:ascii="Arial" w:hAnsi="Arial" w:cs="Arial"/>
          <w:szCs w:val="24"/>
        </w:rPr>
        <w:t xml:space="preserve"> ha solicitado a la accionada presentar acciones de tutela en su nombre</w:t>
      </w:r>
      <w:r w:rsidRPr="00902F93">
        <w:rPr>
          <w:rFonts w:ascii="Arial" w:hAnsi="Arial" w:cs="Arial"/>
          <w:szCs w:val="24"/>
        </w:rPr>
        <w:t xml:space="preserve">. Y por pasiva, </w:t>
      </w:r>
      <w:r w:rsidR="002C59AC">
        <w:rPr>
          <w:rFonts w:ascii="Arial" w:hAnsi="Arial" w:cs="Arial"/>
          <w:szCs w:val="24"/>
        </w:rPr>
        <w:t>la Defensoría del Pueblo Regional de Caldas</w:t>
      </w:r>
      <w:r>
        <w:rPr>
          <w:rFonts w:ascii="Arial" w:hAnsi="Arial" w:cs="Arial"/>
          <w:szCs w:val="24"/>
        </w:rPr>
        <w:t xml:space="preserve">, al ser </w:t>
      </w:r>
      <w:r w:rsidR="002C59AC">
        <w:rPr>
          <w:rFonts w:ascii="Arial" w:hAnsi="Arial" w:cs="Arial"/>
          <w:szCs w:val="24"/>
        </w:rPr>
        <w:t xml:space="preserve">la entidad a la que el accionante </w:t>
      </w:r>
      <w:r w:rsidR="00D93283">
        <w:rPr>
          <w:rFonts w:ascii="Arial" w:hAnsi="Arial" w:cs="Arial"/>
          <w:szCs w:val="24"/>
        </w:rPr>
        <w:t xml:space="preserve">pidió </w:t>
      </w:r>
      <w:r w:rsidR="002C59AC">
        <w:rPr>
          <w:rFonts w:ascii="Arial" w:hAnsi="Arial" w:cs="Arial"/>
          <w:szCs w:val="24"/>
        </w:rPr>
        <w:t>la asistencia para presentar los amparos</w:t>
      </w:r>
      <w:r>
        <w:rPr>
          <w:rFonts w:ascii="Arial" w:hAnsi="Arial" w:cs="Arial"/>
          <w:szCs w:val="24"/>
        </w:rPr>
        <w:t>.</w:t>
      </w:r>
    </w:p>
    <w:p w:rsidR="00E80233" w:rsidRDefault="00E80233" w:rsidP="00E80233">
      <w:pPr>
        <w:widowControl/>
        <w:spacing w:line="360" w:lineRule="auto"/>
        <w:jc w:val="both"/>
        <w:rPr>
          <w:rFonts w:ascii="Arial" w:hAnsi="Arial" w:cs="Arial"/>
        </w:rPr>
      </w:pPr>
    </w:p>
    <w:p w:rsidR="00CF429F" w:rsidRPr="00AE73C7" w:rsidRDefault="00CF429F" w:rsidP="00CF429F">
      <w:pPr>
        <w:pStyle w:val="Textoindependiente"/>
        <w:numPr>
          <w:ilvl w:val="1"/>
          <w:numId w:val="18"/>
        </w:numPr>
        <w:spacing w:line="360" w:lineRule="auto"/>
        <w:rPr>
          <w:rFonts w:ascii="Arial" w:hAnsi="Arial"/>
          <w:szCs w:val="24"/>
        </w:rPr>
      </w:pPr>
      <w:r w:rsidRPr="00AE73C7">
        <w:rPr>
          <w:rFonts w:ascii="Arial" w:hAnsi="Arial"/>
          <w:szCs w:val="24"/>
        </w:rPr>
        <w:t>El problema jurídico a resolver</w:t>
      </w:r>
    </w:p>
    <w:p w:rsidR="00984EE4" w:rsidRPr="00AE73C7" w:rsidRDefault="00984EE4" w:rsidP="00CF429F">
      <w:pPr>
        <w:pStyle w:val="Textoindependiente"/>
        <w:tabs>
          <w:tab w:val="clear" w:pos="708"/>
          <w:tab w:val="clear" w:pos="1416"/>
          <w:tab w:val="left" w:pos="709"/>
          <w:tab w:val="left" w:pos="1418"/>
        </w:tabs>
        <w:spacing w:line="360" w:lineRule="auto"/>
        <w:rPr>
          <w:rFonts w:ascii="Arial" w:hAnsi="Arial"/>
          <w:szCs w:val="24"/>
        </w:rPr>
      </w:pPr>
    </w:p>
    <w:p w:rsidR="00B05D5D" w:rsidRDefault="00B05D5D" w:rsidP="00B05D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sidR="002C59AC">
        <w:rPr>
          <w:rFonts w:ascii="Arial" w:hAnsi="Arial" w:cs="Arial"/>
          <w:spacing w:val="-3"/>
          <w:lang w:val="es-ES_tradnl"/>
        </w:rPr>
        <w:t>La Defensoría del Pueblo Regional de Caldas</w:t>
      </w:r>
      <w:r>
        <w:rPr>
          <w:rFonts w:ascii="Arial" w:hAnsi="Arial" w:cs="Arial"/>
        </w:rPr>
        <w:t xml:space="preserve">, </w:t>
      </w:r>
      <w:r w:rsidR="002C59AC">
        <w:rPr>
          <w:rFonts w:ascii="Arial" w:hAnsi="Arial" w:cs="Arial"/>
          <w:spacing w:val="-3"/>
          <w:lang w:val="es-ES_tradnl"/>
        </w:rPr>
        <w:t>ha</w:t>
      </w:r>
      <w:r>
        <w:rPr>
          <w:rFonts w:ascii="Arial" w:hAnsi="Arial" w:cs="Arial"/>
          <w:spacing w:val="-3"/>
          <w:lang w:val="es-ES_tradnl"/>
        </w:rPr>
        <w:t xml:space="preserve">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w:t>
      </w:r>
      <w:r w:rsidR="002C59AC">
        <w:rPr>
          <w:rFonts w:ascii="Arial" w:hAnsi="Arial" w:cs="Arial"/>
          <w:spacing w:val="-3"/>
          <w:lang w:val="es-ES_tradnl"/>
        </w:rPr>
        <w:t>por la renuencia en presentar acciones de tutela en su nombre</w:t>
      </w:r>
      <w:r>
        <w:rPr>
          <w:rFonts w:ascii="Arial" w:hAnsi="Arial" w:cs="Arial"/>
          <w:spacing w:val="-3"/>
          <w:lang w:val="es-ES_tradnl"/>
        </w:rPr>
        <w:t>, según lo expuesto en el escrito de tutela</w:t>
      </w:r>
      <w:r w:rsidRPr="00383E2F">
        <w:rPr>
          <w:rFonts w:ascii="Arial" w:hAnsi="Arial" w:cs="Arial"/>
          <w:spacing w:val="-3"/>
          <w:lang w:val="es-ES_tradnl"/>
        </w:rPr>
        <w:t>?</w:t>
      </w:r>
    </w:p>
    <w:p w:rsidR="00EE705E" w:rsidRDefault="00EE705E"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E67681" w:rsidRPr="00AE73C7" w:rsidRDefault="00E67681" w:rsidP="00DA7FE8">
      <w:pPr>
        <w:pStyle w:val="Textoindependiente"/>
        <w:numPr>
          <w:ilvl w:val="1"/>
          <w:numId w:val="18"/>
        </w:numPr>
        <w:tabs>
          <w:tab w:val="clear" w:pos="708"/>
          <w:tab w:val="clear" w:pos="1416"/>
          <w:tab w:val="left" w:pos="709"/>
          <w:tab w:val="left" w:pos="1418"/>
        </w:tabs>
        <w:spacing w:line="360" w:lineRule="auto"/>
        <w:rPr>
          <w:rFonts w:ascii="Arial" w:hAnsi="Arial" w:cs="Arial"/>
          <w:szCs w:val="24"/>
        </w:rPr>
      </w:pPr>
      <w:r w:rsidRPr="00AE73C7">
        <w:rPr>
          <w:rFonts w:ascii="Arial" w:hAnsi="Arial" w:cs="Arial"/>
          <w:szCs w:val="24"/>
        </w:rPr>
        <w:t>La resolución de</w:t>
      </w:r>
      <w:r w:rsidR="002F2F90">
        <w:rPr>
          <w:rFonts w:ascii="Arial" w:hAnsi="Arial" w:cs="Arial"/>
          <w:szCs w:val="24"/>
        </w:rPr>
        <w:t xml:space="preserve"> </w:t>
      </w:r>
      <w:r w:rsidRPr="00AE73C7">
        <w:rPr>
          <w:rFonts w:ascii="Arial" w:hAnsi="Arial" w:cs="Arial"/>
          <w:szCs w:val="24"/>
        </w:rPr>
        <w:t>l</w:t>
      </w:r>
      <w:r w:rsidR="002F2F90">
        <w:rPr>
          <w:rFonts w:ascii="Arial" w:hAnsi="Arial" w:cs="Arial"/>
          <w:szCs w:val="24"/>
        </w:rPr>
        <w:t>os</w:t>
      </w:r>
      <w:r w:rsidRPr="00AE73C7">
        <w:rPr>
          <w:rFonts w:ascii="Arial" w:hAnsi="Arial" w:cs="Arial"/>
          <w:szCs w:val="24"/>
        </w:rPr>
        <w:t xml:space="preserve"> problema</w:t>
      </w:r>
      <w:r w:rsidR="002F2F90">
        <w:rPr>
          <w:rFonts w:ascii="Arial" w:hAnsi="Arial" w:cs="Arial"/>
          <w:szCs w:val="24"/>
        </w:rPr>
        <w:t>s</w:t>
      </w:r>
      <w:r w:rsidRPr="00AE73C7">
        <w:rPr>
          <w:rFonts w:ascii="Arial" w:hAnsi="Arial" w:cs="Arial"/>
          <w:szCs w:val="24"/>
        </w:rPr>
        <w:t xml:space="preserve"> jurídico</w:t>
      </w:r>
      <w:r w:rsidR="002F2F90">
        <w:rPr>
          <w:rFonts w:ascii="Arial" w:hAnsi="Arial" w:cs="Arial"/>
          <w:szCs w:val="24"/>
        </w:rPr>
        <w:t>s</w:t>
      </w:r>
    </w:p>
    <w:p w:rsidR="00E67681" w:rsidRPr="00556F7F" w:rsidRDefault="00E67681" w:rsidP="00E676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EE705E" w:rsidRPr="00556F7F" w:rsidRDefault="00EE705E" w:rsidP="00B05D5D">
      <w:pPr>
        <w:pStyle w:val="Textoindependiente"/>
        <w:numPr>
          <w:ilvl w:val="2"/>
          <w:numId w:val="18"/>
        </w:numPr>
        <w:tabs>
          <w:tab w:val="clear" w:pos="708"/>
          <w:tab w:val="left" w:pos="709"/>
        </w:tabs>
        <w:spacing w:line="360" w:lineRule="auto"/>
        <w:rPr>
          <w:rFonts w:ascii="Arial" w:hAnsi="Arial" w:cs="Arial"/>
          <w:sz w:val="22"/>
          <w:szCs w:val="22"/>
        </w:rPr>
      </w:pPr>
      <w:r w:rsidRPr="00556F7F">
        <w:rPr>
          <w:rFonts w:ascii="Arial" w:hAnsi="Arial"/>
        </w:rPr>
        <w:t>Los supuestos de la acción de tutela temeraria</w:t>
      </w:r>
      <w:r w:rsidR="008C531D">
        <w:rPr>
          <w:rFonts w:ascii="Arial" w:hAnsi="Arial"/>
        </w:rPr>
        <w:t xml:space="preserve"> y la cosa juzgada constitucional</w:t>
      </w:r>
    </w:p>
    <w:p w:rsidR="00EE705E" w:rsidRPr="00556F7F" w:rsidRDefault="00EE705E" w:rsidP="00EE705E">
      <w:pPr>
        <w:pStyle w:val="Textoindependiente"/>
        <w:tabs>
          <w:tab w:val="clear" w:pos="0"/>
          <w:tab w:val="clear" w:pos="708"/>
          <w:tab w:val="left" w:pos="709"/>
        </w:tabs>
        <w:spacing w:line="360" w:lineRule="auto"/>
        <w:rPr>
          <w:rFonts w:ascii="Arial" w:hAnsi="Arial" w:cs="Arial"/>
          <w:szCs w:val="22"/>
        </w:rPr>
      </w:pPr>
    </w:p>
    <w:p w:rsidR="00B05D5D" w:rsidRPr="00556F7F" w:rsidRDefault="00B05D5D" w:rsidP="00B05D5D">
      <w:pPr>
        <w:pStyle w:val="Textoindependiente"/>
        <w:tabs>
          <w:tab w:val="clear" w:pos="708"/>
          <w:tab w:val="left" w:pos="709"/>
        </w:tabs>
        <w:spacing w:line="360" w:lineRule="auto"/>
        <w:rPr>
          <w:rFonts w:ascii="Arial" w:hAnsi="Arial" w:cs="Arial"/>
          <w:szCs w:val="22"/>
          <w:lang w:val="es-CO"/>
        </w:rPr>
      </w:pPr>
      <w:r w:rsidRPr="00556F7F">
        <w:rPr>
          <w:rFonts w:ascii="Arial" w:hAnsi="Arial" w:cs="Arial"/>
          <w:szCs w:val="22"/>
          <w:lang w:val="es-CO"/>
        </w:rPr>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xml:space="preserve">, </w:t>
      </w:r>
      <w:r w:rsidR="007E3668" w:rsidRPr="00556F7F">
        <w:rPr>
          <w:rFonts w:ascii="Arial" w:hAnsi="Arial" w:cs="Arial"/>
          <w:szCs w:val="22"/>
          <w:lang w:val="es-CO"/>
        </w:rPr>
        <w:t xml:space="preserve">y </w:t>
      </w:r>
      <w:r w:rsidRPr="00556F7F">
        <w:rPr>
          <w:rFonts w:ascii="Arial" w:hAnsi="Arial" w:cs="Arial"/>
          <w:szCs w:val="22"/>
          <w:lang w:val="es-CO"/>
        </w:rPr>
        <w:t xml:space="preserve">su comprobación </w:t>
      </w:r>
      <w:r w:rsidR="00CB27AD" w:rsidRPr="00556F7F">
        <w:rPr>
          <w:rFonts w:ascii="Arial" w:hAnsi="Arial" w:cs="Arial"/>
          <w:szCs w:val="22"/>
          <w:lang w:val="es-CO"/>
        </w:rPr>
        <w:t>da lugar</w:t>
      </w:r>
      <w:r w:rsidRPr="00556F7F">
        <w:rPr>
          <w:rFonts w:ascii="Arial" w:hAnsi="Arial" w:cs="Arial"/>
          <w:szCs w:val="22"/>
          <w:lang w:val="es-CO"/>
        </w:rPr>
        <w:t xml:space="preserve"> </w:t>
      </w:r>
      <w:r w:rsidR="00CB27AD" w:rsidRPr="00556F7F">
        <w:rPr>
          <w:rFonts w:ascii="Arial" w:hAnsi="Arial" w:cs="Arial"/>
          <w:szCs w:val="22"/>
          <w:lang w:val="es-CO"/>
        </w:rPr>
        <w:t>a</w:t>
      </w:r>
      <w:r w:rsidR="007E3668" w:rsidRPr="00556F7F">
        <w:rPr>
          <w:rFonts w:ascii="Arial" w:hAnsi="Arial" w:cs="Arial"/>
          <w:szCs w:val="22"/>
          <w:lang w:val="es-CO"/>
        </w:rPr>
        <w:t xml:space="preserve">l rechazo y </w:t>
      </w:r>
      <w:r w:rsidR="00CB27AD" w:rsidRPr="00556F7F">
        <w:rPr>
          <w:rFonts w:ascii="Arial" w:hAnsi="Arial" w:cs="Arial"/>
          <w:szCs w:val="22"/>
          <w:lang w:val="es-CO"/>
        </w:rPr>
        <w:t xml:space="preserve">a la </w:t>
      </w:r>
      <w:r w:rsidRPr="00556F7F">
        <w:rPr>
          <w:rFonts w:ascii="Arial" w:hAnsi="Arial" w:cs="Arial"/>
          <w:szCs w:val="22"/>
          <w:lang w:val="es-CO"/>
        </w:rPr>
        <w:t>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p>
    <w:p w:rsidR="00B05D5D" w:rsidRPr="00556F7F" w:rsidRDefault="00B05D5D" w:rsidP="00EE705E">
      <w:pPr>
        <w:pStyle w:val="Textoindependiente"/>
        <w:tabs>
          <w:tab w:val="clear" w:pos="0"/>
          <w:tab w:val="clear" w:pos="708"/>
          <w:tab w:val="left" w:pos="709"/>
        </w:tabs>
        <w:spacing w:line="360" w:lineRule="auto"/>
        <w:rPr>
          <w:rFonts w:ascii="Arial" w:hAnsi="Arial" w:cs="Arial"/>
          <w:szCs w:val="22"/>
        </w:rPr>
      </w:pPr>
    </w:p>
    <w:p w:rsidR="00EE705E" w:rsidRPr="00556F7F" w:rsidRDefault="00B05D5D" w:rsidP="00EE705E">
      <w:pPr>
        <w:pStyle w:val="Textoindependiente"/>
        <w:tabs>
          <w:tab w:val="clear" w:pos="0"/>
          <w:tab w:val="clear" w:pos="708"/>
          <w:tab w:val="left" w:pos="709"/>
        </w:tabs>
        <w:spacing w:line="360" w:lineRule="auto"/>
        <w:rPr>
          <w:rFonts w:ascii="Arial" w:hAnsi="Arial" w:cs="Arial"/>
          <w:sz w:val="22"/>
          <w:szCs w:val="22"/>
        </w:rPr>
      </w:pPr>
      <w:r w:rsidRPr="00556F7F">
        <w:rPr>
          <w:rFonts w:ascii="Arial" w:hAnsi="Arial" w:cs="Arial"/>
          <w:szCs w:val="22"/>
        </w:rPr>
        <w:t>P</w:t>
      </w:r>
      <w:r w:rsidR="00EE705E" w:rsidRPr="00556F7F">
        <w:rPr>
          <w:rFonts w:ascii="Arial" w:hAnsi="Arial" w:cs="Arial"/>
          <w:szCs w:val="22"/>
        </w:rPr>
        <w:t>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00EE705E" w:rsidRPr="00556F7F">
        <w:rPr>
          <w:rFonts w:ascii="Arial" w:hAnsi="Arial" w:cs="Arial"/>
          <w:sz w:val="22"/>
          <w:szCs w:val="22"/>
        </w:rPr>
        <w:t xml:space="preserve"> “</w:t>
      </w:r>
      <w:r w:rsidR="00EE705E"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00EE705E" w:rsidRPr="00556F7F">
        <w:rPr>
          <w:rFonts w:ascii="Arial" w:hAnsi="Arial" w:cs="Arial"/>
          <w:i/>
          <w:sz w:val="20"/>
          <w:szCs w:val="22"/>
        </w:rPr>
        <w:t xml:space="preserve">, </w:t>
      </w:r>
      <w:r w:rsidR="00EE705E" w:rsidRPr="00556F7F">
        <w:rPr>
          <w:rFonts w:ascii="Arial" w:hAnsi="Arial" w:cs="Arial"/>
          <w:szCs w:val="22"/>
        </w:rPr>
        <w:t>así ha doctrinado la Corte Constitucional</w:t>
      </w:r>
      <w:r w:rsidR="00EE705E" w:rsidRPr="00556F7F">
        <w:rPr>
          <w:rStyle w:val="Refdenotaalpie"/>
          <w:rFonts w:ascii="Arial" w:hAnsi="Arial"/>
          <w:szCs w:val="22"/>
        </w:rPr>
        <w:footnoteReference w:id="3"/>
      </w:r>
      <w:r w:rsidR="00EE705E" w:rsidRPr="00556F7F">
        <w:rPr>
          <w:rFonts w:ascii="Arial" w:hAnsi="Arial" w:cs="Arial"/>
          <w:sz w:val="22"/>
          <w:szCs w:val="22"/>
        </w:rPr>
        <w:t>.</w:t>
      </w:r>
    </w:p>
    <w:p w:rsidR="00767F97" w:rsidRPr="00556F7F" w:rsidRDefault="00767F97" w:rsidP="00EE705E">
      <w:pPr>
        <w:pStyle w:val="Textoindependiente"/>
        <w:tabs>
          <w:tab w:val="clear" w:pos="0"/>
          <w:tab w:val="clear" w:pos="708"/>
          <w:tab w:val="left" w:pos="709"/>
        </w:tabs>
        <w:spacing w:line="360" w:lineRule="auto"/>
        <w:rPr>
          <w:rFonts w:ascii="Arial" w:hAnsi="Arial" w:cs="Arial"/>
          <w:szCs w:val="22"/>
        </w:rPr>
      </w:pPr>
    </w:p>
    <w:p w:rsidR="00767F97" w:rsidRPr="00556F7F" w:rsidRDefault="00767F97" w:rsidP="00EE705E">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No obstante lo anterior, t</w:t>
      </w:r>
      <w:r w:rsidR="00CA12C8" w:rsidRPr="00556F7F">
        <w:rPr>
          <w:rFonts w:ascii="Arial" w:hAnsi="Arial" w:cs="Arial"/>
          <w:szCs w:val="22"/>
        </w:rPr>
        <w:t xml:space="preserve">ambién ha dicho la jurisprudencia constitucional que no siempre ante una duplicidad de acciones se presenta la </w:t>
      </w:r>
      <w:r w:rsidR="00EE705E" w:rsidRPr="00556F7F">
        <w:rPr>
          <w:rFonts w:ascii="Arial" w:hAnsi="Arial" w:cs="Arial"/>
          <w:szCs w:val="22"/>
        </w:rPr>
        <w:t>temeridad en el ejercicio de la tutela,</w:t>
      </w:r>
      <w:r w:rsidRPr="00556F7F">
        <w:rPr>
          <w:rFonts w:ascii="Arial" w:hAnsi="Arial" w:cs="Arial"/>
          <w:szCs w:val="22"/>
        </w:rPr>
        <w:t xml:space="preserve"> criterio </w:t>
      </w:r>
    </w:p>
    <w:p w:rsidR="00EE705E" w:rsidRDefault="004B2BCD" w:rsidP="00EE705E">
      <w:pPr>
        <w:pStyle w:val="Textoindependiente"/>
        <w:tabs>
          <w:tab w:val="clear" w:pos="0"/>
          <w:tab w:val="clear" w:pos="708"/>
          <w:tab w:val="left" w:pos="709"/>
        </w:tabs>
        <w:spacing w:line="360" w:lineRule="auto"/>
        <w:rPr>
          <w:rFonts w:ascii="Arial" w:hAnsi="Arial" w:cs="Arial"/>
          <w:szCs w:val="22"/>
        </w:rPr>
      </w:pPr>
      <w:proofErr w:type="gramStart"/>
      <w:r w:rsidRPr="00556F7F">
        <w:rPr>
          <w:rFonts w:ascii="Arial" w:hAnsi="Arial" w:cs="Arial"/>
          <w:szCs w:val="22"/>
        </w:rPr>
        <w:t>reiterado</w:t>
      </w:r>
      <w:proofErr w:type="gramEnd"/>
      <w:r w:rsidR="00833A61">
        <w:rPr>
          <w:rStyle w:val="Refdenotaalpie"/>
          <w:rFonts w:ascii="Arial" w:hAnsi="Arial"/>
          <w:szCs w:val="22"/>
        </w:rPr>
        <w:footnoteReference w:id="4"/>
      </w:r>
      <w:r w:rsidR="00833A61" w:rsidRPr="00833A61">
        <w:rPr>
          <w:rFonts w:ascii="Arial" w:hAnsi="Arial" w:cs="Arial"/>
          <w:szCs w:val="22"/>
          <w:vertAlign w:val="superscript"/>
        </w:rPr>
        <w:t>-</w:t>
      </w:r>
      <w:r w:rsidR="00833A61" w:rsidRPr="00556F7F">
        <w:rPr>
          <w:rStyle w:val="Refdenotaalpie"/>
          <w:rFonts w:ascii="Arial" w:hAnsi="Arial"/>
          <w:szCs w:val="22"/>
          <w:lang w:val="es-ES"/>
        </w:rPr>
        <w:footnoteReference w:id="5"/>
      </w:r>
      <w:r w:rsidRPr="00556F7F">
        <w:rPr>
          <w:rFonts w:ascii="Arial" w:hAnsi="Arial" w:cs="Arial"/>
          <w:szCs w:val="22"/>
        </w:rPr>
        <w:t xml:space="preserve"> en reciente</w:t>
      </w:r>
      <w:r w:rsidR="00767F97" w:rsidRPr="00556F7F">
        <w:rPr>
          <w:rFonts w:ascii="Arial" w:hAnsi="Arial" w:cs="Arial"/>
          <w:szCs w:val="22"/>
        </w:rPr>
        <w:t xml:space="preserve"> pronunciamiento (</w:t>
      </w:r>
      <w:r w:rsidR="00833A61">
        <w:rPr>
          <w:rFonts w:ascii="Arial" w:hAnsi="Arial" w:cs="Arial"/>
          <w:szCs w:val="22"/>
        </w:rPr>
        <w:t>2016</w:t>
      </w:r>
      <w:r w:rsidR="00767F97" w:rsidRPr="00556F7F">
        <w:rPr>
          <w:rFonts w:ascii="Arial" w:hAnsi="Arial" w:cs="Arial"/>
          <w:szCs w:val="22"/>
        </w:rPr>
        <w:t>)</w:t>
      </w:r>
      <w:r w:rsidR="00833A61">
        <w:rPr>
          <w:rStyle w:val="Refdenotaalpie"/>
          <w:rFonts w:ascii="Arial" w:hAnsi="Arial"/>
          <w:szCs w:val="22"/>
        </w:rPr>
        <w:footnoteReference w:id="6"/>
      </w:r>
      <w:r w:rsidR="00767F97" w:rsidRPr="00556F7F">
        <w:rPr>
          <w:rFonts w:ascii="Arial" w:hAnsi="Arial" w:cs="Arial"/>
          <w:szCs w:val="22"/>
        </w:rPr>
        <w:t>,</w:t>
      </w:r>
      <w:r w:rsidR="00EE705E" w:rsidRPr="00556F7F">
        <w:rPr>
          <w:rFonts w:ascii="Arial" w:hAnsi="Arial" w:cs="Arial"/>
          <w:szCs w:val="22"/>
        </w:rPr>
        <w:t xml:space="preserve"> </w:t>
      </w:r>
      <w:r w:rsidR="00767F97" w:rsidRPr="00556F7F">
        <w:rPr>
          <w:rFonts w:ascii="Arial" w:hAnsi="Arial" w:cs="Arial"/>
          <w:szCs w:val="22"/>
        </w:rPr>
        <w:t>pues sostiene</w:t>
      </w:r>
      <w:r w:rsidR="00EE705E" w:rsidRPr="00556F7F">
        <w:rPr>
          <w:rFonts w:ascii="Arial" w:hAnsi="Arial" w:cs="Arial"/>
          <w:szCs w:val="22"/>
        </w:rPr>
        <w:t>:</w:t>
      </w:r>
    </w:p>
    <w:p w:rsidR="00795C9D" w:rsidRPr="00795C9D" w:rsidRDefault="00795C9D" w:rsidP="00EE705E">
      <w:pPr>
        <w:pStyle w:val="Textoindependiente"/>
        <w:tabs>
          <w:tab w:val="clear" w:pos="0"/>
          <w:tab w:val="clear" w:pos="708"/>
          <w:tab w:val="left" w:pos="709"/>
        </w:tabs>
        <w:spacing w:line="360" w:lineRule="auto"/>
        <w:rPr>
          <w:rFonts w:ascii="Arial" w:hAnsi="Arial" w:cs="Arial"/>
          <w:sz w:val="20"/>
          <w:szCs w:val="22"/>
        </w:rPr>
      </w:pPr>
    </w:p>
    <w:p w:rsidR="00D51DF3" w:rsidRPr="00556F7F" w:rsidRDefault="00556F7F" w:rsidP="00556F7F">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lastRenderedPageBreak/>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556F7F" w:rsidRPr="00556F7F" w:rsidRDefault="00556F7F" w:rsidP="00D51DF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374F1E" w:rsidRDefault="00374F1E" w:rsidP="00D51DF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 xml:space="preserve">Asimismo, es preciso señalar conforme </w:t>
      </w:r>
      <w:r w:rsidR="001E61FA">
        <w:rPr>
          <w:rFonts w:ascii="Arial" w:hAnsi="Arial" w:cs="Times New Roman"/>
          <w:spacing w:val="-3"/>
          <w:szCs w:val="20"/>
          <w:lang w:val="es-ES_tradnl"/>
        </w:rPr>
        <w:t>al criterio de la doctora Catalina Botero Marino</w:t>
      </w:r>
      <w:r w:rsidR="00530413">
        <w:rPr>
          <w:rStyle w:val="Refdenotaalpie"/>
          <w:rFonts w:ascii="Arial" w:hAnsi="Arial"/>
          <w:spacing w:val="-3"/>
          <w:szCs w:val="20"/>
          <w:lang w:val="es-ES_tradnl"/>
        </w:rPr>
        <w:footnoteReference w:id="7"/>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sidR="00060A31">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w:t>
      </w:r>
      <w:r w:rsidR="00530413">
        <w:rPr>
          <w:rFonts w:ascii="Arial" w:hAnsi="Arial" w:cs="Times New Roman"/>
          <w:spacing w:val="-3"/>
          <w:szCs w:val="20"/>
          <w:lang w:val="es-ES_tradnl"/>
        </w:rPr>
        <w:t>de manera que, por virtud de la presunción de buena fe que le cobija</w:t>
      </w:r>
      <w:r w:rsidR="00060A31">
        <w:rPr>
          <w:rFonts w:ascii="Arial" w:hAnsi="Arial" w:cs="Times New Roman"/>
          <w:spacing w:val="-3"/>
          <w:szCs w:val="20"/>
          <w:lang w:val="es-ES_tradnl"/>
        </w:rPr>
        <w:t>;</w:t>
      </w:r>
      <w:r w:rsidR="00530413">
        <w:rPr>
          <w:rFonts w:ascii="Arial" w:hAnsi="Arial" w:cs="Times New Roman"/>
          <w:spacing w:val="-3"/>
          <w:szCs w:val="20"/>
          <w:lang w:val="es-ES_tradnl"/>
        </w:rPr>
        <w:t xml:space="preserve"> </w:t>
      </w:r>
      <w:r w:rsidR="00530413" w:rsidRPr="00530413">
        <w:rPr>
          <w:rFonts w:ascii="Arial" w:hAnsi="Arial" w:cs="Times New Roman"/>
          <w:i/>
          <w:spacing w:val="-3"/>
          <w:sz w:val="22"/>
          <w:szCs w:val="20"/>
          <w:lang w:val="es-ES_tradnl"/>
        </w:rPr>
        <w:t>“</w:t>
      </w:r>
      <w:r w:rsidR="00060A31">
        <w:rPr>
          <w:rFonts w:ascii="Arial" w:hAnsi="Arial" w:cs="Times New Roman"/>
          <w:i/>
          <w:spacing w:val="-3"/>
          <w:sz w:val="22"/>
          <w:szCs w:val="20"/>
          <w:lang w:val="es-ES_tradnl"/>
        </w:rPr>
        <w:t xml:space="preserve">(…) </w:t>
      </w:r>
      <w:r w:rsidR="00530413" w:rsidRPr="00530413">
        <w:rPr>
          <w:rFonts w:ascii="Arial" w:hAnsi="Arial" w:cs="Times New Roman"/>
          <w:i/>
          <w:spacing w:val="-3"/>
          <w:sz w:val="22"/>
          <w:szCs w:val="20"/>
          <w:lang w:val="es-ES_tradnl"/>
        </w:rPr>
        <w:t>la conducta temeraria, es un hecho que debe ser probado y no presumido por el funcionario judicial”</w:t>
      </w:r>
      <w:r w:rsidR="00060A31"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w:t>
      </w:r>
      <w:r w:rsidR="00104D5D">
        <w:rPr>
          <w:rFonts w:ascii="Arial" w:hAnsi="Arial" w:cs="Times New Roman"/>
          <w:spacing w:val="-3"/>
          <w:szCs w:val="20"/>
          <w:lang w:val="es-ES_tradnl"/>
        </w:rPr>
        <w:t>Criterio expuesto en decisiones de esta Sala de la Corporación</w:t>
      </w:r>
      <w:r w:rsidR="00104D5D">
        <w:rPr>
          <w:rStyle w:val="Refdenotaalpie"/>
          <w:rFonts w:ascii="Arial" w:hAnsi="Arial"/>
          <w:spacing w:val="-3"/>
          <w:szCs w:val="20"/>
          <w:lang w:val="es-ES_tradnl"/>
        </w:rPr>
        <w:footnoteReference w:id="8"/>
      </w:r>
      <w:r w:rsidR="00104D5D">
        <w:rPr>
          <w:rFonts w:ascii="Arial" w:hAnsi="Arial" w:cs="Times New Roman"/>
          <w:spacing w:val="-3"/>
          <w:szCs w:val="20"/>
          <w:lang w:val="es-ES_tradnl"/>
        </w:rPr>
        <w:t>.</w:t>
      </w:r>
    </w:p>
    <w:p w:rsidR="00374F1E" w:rsidRDefault="00374F1E" w:rsidP="00D51DF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833A61" w:rsidRDefault="0053783F" w:rsidP="007F030F">
      <w:pPr>
        <w:spacing w:line="360" w:lineRule="auto"/>
        <w:ind w:right="51"/>
        <w:jc w:val="both"/>
        <w:rPr>
          <w:rFonts w:ascii="Arial" w:hAnsi="Arial" w:cs="Arial"/>
          <w:sz w:val="22"/>
          <w:lang w:val="es-ES_tradnl"/>
        </w:rPr>
      </w:pPr>
      <w:r>
        <w:rPr>
          <w:rFonts w:ascii="Arial" w:hAnsi="Arial" w:cs="Arial"/>
          <w:lang w:val="es-ES_tradnl"/>
        </w:rPr>
        <w:t xml:space="preserve">Por ello </w:t>
      </w:r>
      <w:r w:rsidR="00833A61" w:rsidRPr="007F030F">
        <w:rPr>
          <w:rFonts w:ascii="Arial" w:hAnsi="Arial" w:cs="Arial"/>
          <w:lang w:val="es-ES_tradnl"/>
        </w:rPr>
        <w:t xml:space="preserve">y conforme la </w:t>
      </w:r>
      <w:r w:rsidR="00A4402B">
        <w:rPr>
          <w:rFonts w:ascii="Arial" w:hAnsi="Arial" w:cs="Arial"/>
          <w:lang w:val="es-ES_tradnl"/>
        </w:rPr>
        <w:t>doctrina</w:t>
      </w:r>
      <w:r w:rsidR="00833A61" w:rsidRPr="007F030F">
        <w:rPr>
          <w:rFonts w:ascii="Arial" w:hAnsi="Arial" w:cs="Arial"/>
          <w:lang w:val="es-ES_tradnl"/>
        </w:rPr>
        <w:t xml:space="preserve"> constitucional, en presencia de varias acciones </w:t>
      </w:r>
      <w:r w:rsidR="007F030F" w:rsidRPr="007F030F">
        <w:rPr>
          <w:rFonts w:ascii="Arial" w:hAnsi="Arial" w:cs="Arial"/>
          <w:lang w:val="es-ES_tradnl"/>
        </w:rPr>
        <w:t xml:space="preserve">de tutela sucesivas </w:t>
      </w:r>
      <w:r w:rsidR="00833A61" w:rsidRPr="007F030F">
        <w:rPr>
          <w:rFonts w:ascii="Arial" w:hAnsi="Arial" w:cs="Arial"/>
          <w:lang w:val="es-ES_tradnl"/>
        </w:rPr>
        <w:t>de</w:t>
      </w:r>
      <w:r w:rsidR="007F030F" w:rsidRPr="007F030F">
        <w:rPr>
          <w:rFonts w:ascii="Arial" w:hAnsi="Arial" w:cs="Arial"/>
          <w:lang w:val="es-ES_tradnl"/>
        </w:rPr>
        <w:t>be</w:t>
      </w:r>
      <w:r w:rsidR="00833A61" w:rsidRPr="007F030F">
        <w:rPr>
          <w:rFonts w:ascii="Arial" w:hAnsi="Arial" w:cs="Arial"/>
          <w:lang w:val="es-ES_tradnl"/>
        </w:rPr>
        <w:t xml:space="preserve"> </w:t>
      </w:r>
      <w:r w:rsidR="007F030F">
        <w:rPr>
          <w:rFonts w:ascii="Arial" w:hAnsi="Arial" w:cs="Arial"/>
          <w:lang w:val="es-ES_tradnl"/>
        </w:rPr>
        <w:t xml:space="preserve">inicialmente </w:t>
      </w:r>
      <w:r w:rsidR="00833A61" w:rsidRPr="007F030F">
        <w:rPr>
          <w:rFonts w:ascii="Arial" w:hAnsi="Arial" w:cs="Arial"/>
          <w:lang w:val="es-ES_tradnl"/>
        </w:rPr>
        <w:t>estudiarse</w:t>
      </w:r>
      <w:r w:rsidR="007F030F">
        <w:rPr>
          <w:rFonts w:ascii="Arial" w:hAnsi="Arial" w:cs="Arial"/>
          <w:lang w:val="es-ES_tradnl"/>
        </w:rPr>
        <w:t xml:space="preserve"> la cosa juzgada constitucional antes que </w:t>
      </w:r>
      <w:r w:rsidR="00833A61" w:rsidRPr="007F030F">
        <w:rPr>
          <w:rFonts w:ascii="Arial" w:hAnsi="Arial" w:cs="Arial"/>
          <w:lang w:val="es-ES_tradnl"/>
        </w:rPr>
        <w:t>la temeridad</w:t>
      </w:r>
      <w:r w:rsidR="00833A61" w:rsidRPr="007F030F">
        <w:rPr>
          <w:rStyle w:val="Refdenotaalpie"/>
          <w:rFonts w:ascii="Arial" w:hAnsi="Arial" w:cs="Arial"/>
          <w:lang w:val="es-ES_tradnl"/>
        </w:rPr>
        <w:footnoteReference w:id="9"/>
      </w:r>
      <w:r w:rsidR="00833A61" w:rsidRPr="007F030F">
        <w:rPr>
          <w:rFonts w:ascii="Arial" w:hAnsi="Arial" w:cs="Arial"/>
          <w:lang w:val="es-ES_tradnl"/>
        </w:rPr>
        <w:t xml:space="preserve">. Y ese sentido </w:t>
      </w:r>
      <w:r w:rsidR="00A4402B">
        <w:rPr>
          <w:rFonts w:ascii="Arial" w:hAnsi="Arial" w:cs="Arial"/>
          <w:lang w:val="es-ES_tradnl"/>
        </w:rPr>
        <w:t xml:space="preserve">se </w:t>
      </w:r>
      <w:r w:rsidR="00833A61" w:rsidRPr="007F030F">
        <w:rPr>
          <w:rFonts w:ascii="Arial" w:hAnsi="Arial" w:cs="Arial"/>
          <w:lang w:val="es-ES_tradnl"/>
        </w:rPr>
        <w:t>advirtió</w:t>
      </w:r>
      <w:r w:rsidR="00A4402B" w:rsidRPr="007F030F">
        <w:rPr>
          <w:rStyle w:val="Refdenotaalpie"/>
          <w:rFonts w:ascii="Arial" w:hAnsi="Arial" w:cs="Arial"/>
          <w:i/>
          <w:iCs/>
          <w:color w:val="000000"/>
          <w:sz w:val="22"/>
        </w:rPr>
        <w:footnoteReference w:id="10"/>
      </w:r>
      <w:r w:rsidR="00833A61" w:rsidRPr="007F030F">
        <w:rPr>
          <w:rFonts w:ascii="Arial" w:hAnsi="Arial" w:cs="Arial"/>
          <w:lang w:val="es-ES_tradnl"/>
        </w:rPr>
        <w:t xml:space="preserve">: </w:t>
      </w:r>
      <w:r w:rsidR="00833A61"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00833A61"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00833A61" w:rsidRPr="007F030F">
        <w:rPr>
          <w:rFonts w:ascii="Arial" w:hAnsi="Arial" w:cs="Arial"/>
          <w:i/>
          <w:iCs/>
          <w:color w:val="000000"/>
          <w:sz w:val="22"/>
        </w:rPr>
        <w:t>.</w:t>
      </w:r>
      <w:r w:rsidR="007F030F" w:rsidRPr="007F030F">
        <w:rPr>
          <w:rFonts w:ascii="Arial" w:hAnsi="Arial" w:cs="Arial"/>
          <w:i/>
          <w:iCs/>
          <w:color w:val="000000"/>
          <w:sz w:val="22"/>
        </w:rPr>
        <w:t xml:space="preserve"> (…)</w:t>
      </w:r>
      <w:r w:rsidR="00833A61" w:rsidRPr="007F030F">
        <w:rPr>
          <w:rFonts w:ascii="Arial" w:hAnsi="Arial" w:cs="Arial"/>
          <w:i/>
          <w:iCs/>
          <w:color w:val="000000"/>
          <w:sz w:val="22"/>
        </w:rPr>
        <w:t>”</w:t>
      </w:r>
      <w:r w:rsidR="00A4402B">
        <w:rPr>
          <w:rFonts w:ascii="Arial" w:hAnsi="Arial" w:cs="Arial"/>
          <w:i/>
          <w:iCs/>
          <w:color w:val="000000"/>
          <w:sz w:val="22"/>
        </w:rPr>
        <w:t xml:space="preserve"> </w:t>
      </w:r>
      <w:r w:rsidRPr="0053783F">
        <w:rPr>
          <w:rFonts w:ascii="Arial" w:hAnsi="Arial" w:cs="Arial"/>
          <w:lang w:val="es-ES_tradnl"/>
        </w:rPr>
        <w:t>Subrayas de la Sala.</w:t>
      </w:r>
    </w:p>
    <w:p w:rsidR="007F030F" w:rsidRDefault="007F030F" w:rsidP="007F030F">
      <w:pPr>
        <w:spacing w:line="360" w:lineRule="auto"/>
        <w:ind w:right="51"/>
        <w:jc w:val="both"/>
        <w:rPr>
          <w:rFonts w:ascii="Arial" w:hAnsi="Arial" w:cs="Arial"/>
          <w:sz w:val="22"/>
          <w:lang w:val="es-ES_tradnl"/>
        </w:rPr>
      </w:pPr>
    </w:p>
    <w:p w:rsidR="008C531D" w:rsidRDefault="008C531D" w:rsidP="008C531D">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Refdenotaalpie"/>
          <w:rFonts w:ascii="Arial" w:hAnsi="Arial"/>
          <w:iCs/>
          <w:color w:val="000000"/>
        </w:rPr>
        <w:footnoteReference w:id="11"/>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C850A9" w:rsidRPr="00A4402B" w:rsidRDefault="00C850A9" w:rsidP="008C531D">
      <w:pPr>
        <w:spacing w:line="360" w:lineRule="auto"/>
        <w:ind w:right="51"/>
        <w:jc w:val="both"/>
        <w:rPr>
          <w:rFonts w:ascii="Arial" w:hAnsi="Arial" w:cs="Arial"/>
          <w:lang w:val="es-ES_tradnl"/>
        </w:rPr>
      </w:pPr>
    </w:p>
    <w:p w:rsidR="00A4402B" w:rsidRPr="00A4402B" w:rsidRDefault="00A4402B" w:rsidP="00A4402B">
      <w:pPr>
        <w:spacing w:line="360" w:lineRule="auto"/>
        <w:ind w:right="51"/>
        <w:jc w:val="both"/>
        <w:rPr>
          <w:rFonts w:ascii="Arial" w:hAnsi="Arial" w:cs="Arial"/>
        </w:rPr>
      </w:pPr>
      <w:r>
        <w:rPr>
          <w:rFonts w:ascii="Arial" w:hAnsi="Arial" w:cs="Arial"/>
          <w:iCs/>
          <w:color w:val="000000"/>
        </w:rPr>
        <w:lastRenderedPageBreak/>
        <w:t xml:space="preserve">En síntesis, </w:t>
      </w:r>
      <w:r w:rsidR="00D01960">
        <w:rPr>
          <w:rFonts w:ascii="Arial" w:hAnsi="Arial" w:cs="Arial"/>
          <w:iCs/>
          <w:color w:val="000000"/>
        </w:rPr>
        <w:t xml:space="preserve">la concurrencia de la triple identidad </w:t>
      </w:r>
      <w:r w:rsidR="008C531D">
        <w:rPr>
          <w:rFonts w:ascii="Arial" w:hAnsi="Arial" w:cs="Arial"/>
        </w:rPr>
        <w:t>es in</w:t>
      </w:r>
      <w:r w:rsidRPr="00A4402B">
        <w:rPr>
          <w:rFonts w:ascii="Arial" w:hAnsi="Arial" w:cs="Arial"/>
        </w:rPr>
        <w:t>suficiente para concluir que se trata de una actuación amañada o contraria al principio constitucional de buena fe</w:t>
      </w:r>
      <w:r w:rsidR="00D01960">
        <w:rPr>
          <w:rFonts w:ascii="Arial" w:hAnsi="Arial" w:cs="Arial"/>
        </w:rPr>
        <w:t xml:space="preserve">, pero sí está afectada de improcedencia por el fenómeno de la </w:t>
      </w:r>
      <w:r w:rsidR="00D01960" w:rsidRPr="00104D5D">
        <w:rPr>
          <w:rFonts w:ascii="Arial" w:hAnsi="Arial" w:cs="Arial"/>
          <w:u w:val="single"/>
        </w:rPr>
        <w:t>cosa juzgada constitucional</w:t>
      </w:r>
      <w:r w:rsidRPr="00A4402B">
        <w:rPr>
          <w:rFonts w:ascii="Arial" w:hAnsi="Arial" w:cs="Arial"/>
        </w:rPr>
        <w:t>.</w:t>
      </w:r>
    </w:p>
    <w:p w:rsidR="00A4402B" w:rsidRDefault="00A4402B" w:rsidP="008C531D">
      <w:pPr>
        <w:spacing w:line="360" w:lineRule="auto"/>
        <w:ind w:right="567"/>
        <w:jc w:val="both"/>
        <w:rPr>
          <w:rFonts w:ascii="Arial" w:hAnsi="Arial" w:cs="Arial"/>
          <w:lang w:val="es-ES_tradnl"/>
        </w:rPr>
      </w:pPr>
      <w:r w:rsidRPr="00A4402B">
        <w:rPr>
          <w:rFonts w:ascii="Arial" w:hAnsi="Arial" w:cs="Arial"/>
        </w:rPr>
        <w:t> </w:t>
      </w:r>
    </w:p>
    <w:p w:rsidR="00833A61" w:rsidRPr="00D52C98" w:rsidRDefault="00833A61" w:rsidP="008C531D">
      <w:pPr>
        <w:spacing w:line="360" w:lineRule="auto"/>
        <w:ind w:right="567"/>
        <w:jc w:val="both"/>
        <w:rPr>
          <w:rFonts w:ascii="Arial" w:hAnsi="Arial" w:cs="Arial"/>
          <w:lang w:val="es-ES_tradnl"/>
        </w:rPr>
      </w:pPr>
    </w:p>
    <w:p w:rsidR="00831A20" w:rsidRPr="00A90808" w:rsidRDefault="00831A20" w:rsidP="00A90808">
      <w:pPr>
        <w:pStyle w:val="Prrafodelista"/>
        <w:widowControl/>
        <w:numPr>
          <w:ilvl w:val="0"/>
          <w:numId w:val="18"/>
        </w:numPr>
        <w:autoSpaceDE/>
        <w:autoSpaceDN/>
        <w:adjustRightInd/>
        <w:spacing w:after="200" w:line="360" w:lineRule="auto"/>
        <w:contextualSpacing/>
        <w:jc w:val="both"/>
        <w:rPr>
          <w:rFonts w:ascii="Arial" w:hAnsi="Arial" w:cs="Arial"/>
        </w:rPr>
      </w:pPr>
      <w:r w:rsidRPr="00A90808">
        <w:rPr>
          <w:rFonts w:ascii="Arial" w:hAnsi="Arial" w:cs="Arial"/>
        </w:rPr>
        <w:t>EL CASO CONCRETO MATERIA DE ANÁLISIS</w:t>
      </w:r>
    </w:p>
    <w:p w:rsidR="00C571A4" w:rsidRPr="00976FC7" w:rsidRDefault="00C571A4" w:rsidP="00C571A4">
      <w:pPr>
        <w:pStyle w:val="Prrafodelista"/>
        <w:spacing w:line="360" w:lineRule="auto"/>
        <w:ind w:left="720"/>
        <w:jc w:val="both"/>
        <w:rPr>
          <w:rFonts w:ascii="Arial" w:hAnsi="Arial"/>
          <w:lang w:val="es-ES_tradnl"/>
        </w:rPr>
      </w:pPr>
    </w:p>
    <w:p w:rsidR="007E4C29" w:rsidRDefault="00AC78A2" w:rsidP="007E4C29">
      <w:pPr>
        <w:pStyle w:val="Textoindependiente"/>
        <w:spacing w:line="360" w:lineRule="auto"/>
        <w:rPr>
          <w:rFonts w:ascii="Arial" w:hAnsi="Arial" w:cs="Arial"/>
          <w:szCs w:val="24"/>
        </w:rPr>
      </w:pPr>
      <w:r>
        <w:rPr>
          <w:rFonts w:ascii="Arial" w:hAnsi="Arial" w:cs="Arial"/>
          <w:szCs w:val="24"/>
        </w:rPr>
        <w:t xml:space="preserve">Se duele el actor </w:t>
      </w:r>
      <w:r w:rsidR="00A13F0F">
        <w:rPr>
          <w:rFonts w:ascii="Arial" w:hAnsi="Arial" w:cs="Arial"/>
          <w:szCs w:val="24"/>
        </w:rPr>
        <w:t xml:space="preserve">de la </w:t>
      </w:r>
      <w:r w:rsidR="008C531D">
        <w:rPr>
          <w:rFonts w:ascii="Arial" w:hAnsi="Arial" w:cs="Arial"/>
          <w:szCs w:val="24"/>
        </w:rPr>
        <w:t xml:space="preserve">renuencia de la Defensoría del Pueblo Regional de Caldas en la formulación a su nombre de acciones de tutela destinadas a proteger los derechos fundamentales que considera afectados en las acciones populares por él interpuestas. </w:t>
      </w:r>
    </w:p>
    <w:p w:rsidR="007E4C29" w:rsidRDefault="007E4C29" w:rsidP="007E4C29">
      <w:pPr>
        <w:pStyle w:val="Textoindependiente"/>
        <w:spacing w:line="360" w:lineRule="auto"/>
        <w:rPr>
          <w:rFonts w:ascii="Arial" w:hAnsi="Arial" w:cs="Arial"/>
          <w:szCs w:val="24"/>
        </w:rPr>
      </w:pPr>
    </w:p>
    <w:p w:rsidR="00710053" w:rsidRDefault="00AC78A2" w:rsidP="00710053">
      <w:pPr>
        <w:pStyle w:val="Textoindependiente"/>
        <w:spacing w:line="360" w:lineRule="auto"/>
        <w:rPr>
          <w:rFonts w:ascii="Arial" w:hAnsi="Arial"/>
        </w:rPr>
      </w:pPr>
      <w:r>
        <w:rPr>
          <w:rFonts w:ascii="Arial" w:hAnsi="Arial"/>
          <w:szCs w:val="24"/>
        </w:rPr>
        <w:t>Precisa la Sala advertir que no es del caso estudiar de fondo el asunto puesto que previamente</w:t>
      </w:r>
      <w:r w:rsidR="00FF231B">
        <w:rPr>
          <w:rFonts w:ascii="Arial" w:hAnsi="Arial"/>
          <w:szCs w:val="24"/>
        </w:rPr>
        <w:t xml:space="preserve"> y en </w:t>
      </w:r>
      <w:r w:rsidR="0029693F">
        <w:rPr>
          <w:rFonts w:ascii="Arial" w:hAnsi="Arial"/>
          <w:szCs w:val="24"/>
        </w:rPr>
        <w:t xml:space="preserve">varias </w:t>
      </w:r>
      <w:r w:rsidR="00FF231B">
        <w:rPr>
          <w:rFonts w:ascii="Arial" w:hAnsi="Arial"/>
          <w:szCs w:val="24"/>
        </w:rPr>
        <w:t>acciones de tutela</w:t>
      </w:r>
      <w:r w:rsidR="00060A31">
        <w:rPr>
          <w:rFonts w:ascii="Arial" w:hAnsi="Arial"/>
          <w:szCs w:val="24"/>
        </w:rPr>
        <w:t>,</w:t>
      </w:r>
      <w:r>
        <w:rPr>
          <w:rFonts w:ascii="Arial" w:hAnsi="Arial"/>
          <w:szCs w:val="24"/>
        </w:rPr>
        <w:t xml:space="preserve"> esta Corporación </w:t>
      </w:r>
      <w:r w:rsidR="00FF231B">
        <w:rPr>
          <w:rFonts w:ascii="Arial" w:hAnsi="Arial"/>
          <w:szCs w:val="24"/>
        </w:rPr>
        <w:t xml:space="preserve">se ha pronunciado respecto de idénticas causas, pretensiones, derechos y partes, </w:t>
      </w:r>
      <w:r w:rsidR="0029693F">
        <w:rPr>
          <w:rFonts w:ascii="Arial" w:hAnsi="Arial"/>
          <w:szCs w:val="24"/>
        </w:rPr>
        <w:t>formuladas por</w:t>
      </w:r>
      <w:r>
        <w:rPr>
          <w:rFonts w:ascii="Arial" w:hAnsi="Arial"/>
          <w:szCs w:val="24"/>
        </w:rPr>
        <w:t xml:space="preserve"> el </w:t>
      </w:r>
      <w:r w:rsidR="00234977">
        <w:rPr>
          <w:rFonts w:ascii="Arial" w:hAnsi="Arial"/>
          <w:szCs w:val="24"/>
        </w:rPr>
        <w:t>accionante</w:t>
      </w:r>
      <w:r>
        <w:rPr>
          <w:rFonts w:ascii="Arial" w:hAnsi="Arial"/>
          <w:szCs w:val="24"/>
        </w:rPr>
        <w:t xml:space="preserve">. </w:t>
      </w:r>
      <w:r w:rsidR="00FF231B">
        <w:rPr>
          <w:rFonts w:ascii="Arial" w:hAnsi="Arial"/>
          <w:szCs w:val="24"/>
        </w:rPr>
        <w:t xml:space="preserve">Entre ellas </w:t>
      </w:r>
      <w:r w:rsidR="003136DB">
        <w:rPr>
          <w:rFonts w:ascii="Arial" w:hAnsi="Arial"/>
          <w:szCs w:val="24"/>
        </w:rPr>
        <w:t xml:space="preserve">la radicada </w:t>
      </w:r>
      <w:r w:rsidR="007E4C29">
        <w:rPr>
          <w:rFonts w:ascii="Arial" w:hAnsi="Arial"/>
          <w:szCs w:val="24"/>
        </w:rPr>
        <w:t>2016-00526-00</w:t>
      </w:r>
      <w:r w:rsidR="003136DB">
        <w:rPr>
          <w:rFonts w:ascii="Arial" w:hAnsi="Arial"/>
          <w:szCs w:val="24"/>
        </w:rPr>
        <w:t xml:space="preserve"> con sentencia de primera instancia del </w:t>
      </w:r>
      <w:r w:rsidR="007E4C29">
        <w:rPr>
          <w:rFonts w:ascii="Arial" w:hAnsi="Arial"/>
          <w:szCs w:val="24"/>
        </w:rPr>
        <w:t>11-05-2016</w:t>
      </w:r>
      <w:r w:rsidR="0029693F">
        <w:rPr>
          <w:rFonts w:ascii="Arial" w:hAnsi="Arial"/>
          <w:szCs w:val="24"/>
        </w:rPr>
        <w:t xml:space="preserve">, confirmada </w:t>
      </w:r>
      <w:r w:rsidR="00DA3441">
        <w:rPr>
          <w:rFonts w:ascii="Arial" w:hAnsi="Arial"/>
          <w:szCs w:val="24"/>
        </w:rPr>
        <w:t xml:space="preserve">por la CSJ </w:t>
      </w:r>
      <w:r w:rsidR="0029693F">
        <w:rPr>
          <w:rFonts w:ascii="Arial" w:hAnsi="Arial"/>
          <w:szCs w:val="24"/>
        </w:rPr>
        <w:t xml:space="preserve">con la decisión </w:t>
      </w:r>
      <w:r w:rsidR="007E4C29" w:rsidRPr="007E4C29">
        <w:rPr>
          <w:rFonts w:ascii="Arial" w:hAnsi="Arial"/>
        </w:rPr>
        <w:t>STC7545-2016.</w:t>
      </w:r>
    </w:p>
    <w:p w:rsidR="00710053" w:rsidRDefault="00710053" w:rsidP="00710053">
      <w:pPr>
        <w:pStyle w:val="Textoindependiente"/>
        <w:spacing w:line="360" w:lineRule="auto"/>
        <w:rPr>
          <w:rFonts w:ascii="Arial" w:hAnsi="Arial"/>
        </w:rPr>
      </w:pPr>
    </w:p>
    <w:p w:rsidR="0029693F" w:rsidRPr="00F2155F" w:rsidRDefault="00AC78A2" w:rsidP="00710053">
      <w:pPr>
        <w:pStyle w:val="Textoindependiente"/>
        <w:spacing w:line="360" w:lineRule="auto"/>
        <w:rPr>
          <w:rFonts w:ascii="Arial" w:hAnsi="Arial"/>
          <w:iCs/>
          <w:szCs w:val="24"/>
        </w:rPr>
      </w:pPr>
      <w:r>
        <w:rPr>
          <w:rFonts w:ascii="Arial" w:hAnsi="Arial"/>
          <w:szCs w:val="24"/>
        </w:rPr>
        <w:t>En efecto, confrontado</w:t>
      </w:r>
      <w:r w:rsidR="00CB7D80">
        <w:rPr>
          <w:rFonts w:ascii="Arial" w:hAnsi="Arial"/>
          <w:szCs w:val="24"/>
        </w:rPr>
        <w:t>s</w:t>
      </w:r>
      <w:r>
        <w:rPr>
          <w:rFonts w:ascii="Arial" w:hAnsi="Arial"/>
          <w:szCs w:val="24"/>
        </w:rPr>
        <w:t xml:space="preserve"> </w:t>
      </w:r>
      <w:r w:rsidR="007E4C29">
        <w:rPr>
          <w:rFonts w:ascii="Arial" w:hAnsi="Arial"/>
          <w:szCs w:val="24"/>
        </w:rPr>
        <w:t xml:space="preserve">los </w:t>
      </w:r>
      <w:r>
        <w:rPr>
          <w:rFonts w:ascii="Arial" w:hAnsi="Arial"/>
          <w:szCs w:val="24"/>
        </w:rPr>
        <w:t>escrito</w:t>
      </w:r>
      <w:r w:rsidR="007E4C29">
        <w:rPr>
          <w:rFonts w:ascii="Arial" w:hAnsi="Arial"/>
          <w:szCs w:val="24"/>
        </w:rPr>
        <w:t>s</w:t>
      </w:r>
      <w:r>
        <w:rPr>
          <w:rFonts w:ascii="Arial" w:hAnsi="Arial"/>
          <w:szCs w:val="24"/>
        </w:rPr>
        <w:t xml:space="preserve"> petitorio</w:t>
      </w:r>
      <w:r w:rsidR="007E4C29">
        <w:rPr>
          <w:rFonts w:ascii="Arial" w:hAnsi="Arial"/>
          <w:szCs w:val="24"/>
        </w:rPr>
        <w:t>s</w:t>
      </w:r>
      <w:r>
        <w:rPr>
          <w:rFonts w:ascii="Arial" w:hAnsi="Arial"/>
          <w:szCs w:val="24"/>
        </w:rPr>
        <w:t xml:space="preserve"> </w:t>
      </w:r>
      <w:r w:rsidR="00CB7D80">
        <w:rPr>
          <w:rFonts w:ascii="Arial" w:hAnsi="Arial"/>
          <w:szCs w:val="24"/>
        </w:rPr>
        <w:t xml:space="preserve">(Folios </w:t>
      </w:r>
      <w:r w:rsidR="007E4C29">
        <w:rPr>
          <w:rFonts w:ascii="Arial" w:hAnsi="Arial"/>
          <w:szCs w:val="24"/>
        </w:rPr>
        <w:t>6 a 17</w:t>
      </w:r>
      <w:r w:rsidR="00CB7D80">
        <w:rPr>
          <w:rFonts w:ascii="Arial" w:hAnsi="Arial"/>
          <w:szCs w:val="24"/>
        </w:rPr>
        <w:t>, ib.)</w:t>
      </w:r>
      <w:r w:rsidR="0029693F">
        <w:rPr>
          <w:rFonts w:ascii="Arial" w:hAnsi="Arial"/>
          <w:szCs w:val="24"/>
        </w:rPr>
        <w:t xml:space="preserve"> y</w:t>
      </w:r>
      <w:r w:rsidR="00CB7D80">
        <w:rPr>
          <w:rFonts w:ascii="Arial" w:hAnsi="Arial"/>
          <w:szCs w:val="24"/>
        </w:rPr>
        <w:t xml:space="preserve"> </w:t>
      </w:r>
      <w:r>
        <w:rPr>
          <w:rFonts w:ascii="Arial" w:hAnsi="Arial"/>
          <w:szCs w:val="24"/>
        </w:rPr>
        <w:t>la</w:t>
      </w:r>
      <w:r w:rsidR="007E4C29">
        <w:rPr>
          <w:rFonts w:ascii="Arial" w:hAnsi="Arial"/>
          <w:szCs w:val="24"/>
        </w:rPr>
        <w:t>s</w:t>
      </w:r>
      <w:r>
        <w:rPr>
          <w:rFonts w:ascii="Arial" w:hAnsi="Arial"/>
          <w:szCs w:val="24"/>
        </w:rPr>
        <w:t xml:space="preserve"> </w:t>
      </w:r>
      <w:r w:rsidR="007E4C29">
        <w:rPr>
          <w:rFonts w:ascii="Arial" w:hAnsi="Arial"/>
          <w:szCs w:val="24"/>
        </w:rPr>
        <w:t>referidas providencias</w:t>
      </w:r>
      <w:r w:rsidR="00A13F0F">
        <w:rPr>
          <w:rFonts w:ascii="Arial" w:hAnsi="Arial"/>
          <w:szCs w:val="24"/>
        </w:rPr>
        <w:t>,</w:t>
      </w:r>
      <w:r w:rsidR="00234977">
        <w:rPr>
          <w:rFonts w:ascii="Arial" w:hAnsi="Arial"/>
          <w:szCs w:val="24"/>
        </w:rPr>
        <w:t xml:space="preserve"> mediante la</w:t>
      </w:r>
      <w:r w:rsidR="0029693F">
        <w:rPr>
          <w:rFonts w:ascii="Arial" w:hAnsi="Arial"/>
          <w:szCs w:val="24"/>
        </w:rPr>
        <w:t>s</w:t>
      </w:r>
      <w:r w:rsidR="00234977">
        <w:rPr>
          <w:rFonts w:ascii="Arial" w:hAnsi="Arial"/>
          <w:szCs w:val="24"/>
        </w:rPr>
        <w:t xml:space="preserve"> cual</w:t>
      </w:r>
      <w:r w:rsidR="0029693F">
        <w:rPr>
          <w:rFonts w:ascii="Arial" w:hAnsi="Arial"/>
          <w:szCs w:val="24"/>
        </w:rPr>
        <w:t>es</w:t>
      </w:r>
      <w:r w:rsidR="00234977">
        <w:rPr>
          <w:rFonts w:ascii="Arial" w:hAnsi="Arial"/>
          <w:szCs w:val="24"/>
        </w:rPr>
        <w:t xml:space="preserve"> se negó el amparo</w:t>
      </w:r>
      <w:r w:rsidR="00976FC7">
        <w:rPr>
          <w:rFonts w:ascii="Arial" w:hAnsi="Arial"/>
          <w:szCs w:val="24"/>
        </w:rPr>
        <w:t xml:space="preserve"> </w:t>
      </w:r>
      <w:r w:rsidR="007E4C29">
        <w:rPr>
          <w:rFonts w:ascii="Arial" w:hAnsi="Arial"/>
          <w:szCs w:val="24"/>
        </w:rPr>
        <w:t xml:space="preserve">porque </w:t>
      </w:r>
      <w:r w:rsidR="007E4C29" w:rsidRPr="0029693F">
        <w:rPr>
          <w:rFonts w:ascii="Arial" w:hAnsi="Arial"/>
          <w:i/>
          <w:sz w:val="22"/>
          <w:szCs w:val="24"/>
        </w:rPr>
        <w:t xml:space="preserve">“(…) </w:t>
      </w:r>
      <w:r w:rsidR="007E4C29" w:rsidRPr="0029693F">
        <w:rPr>
          <w:rFonts w:ascii="Arial" w:hAnsi="Arial" w:cs="Arial"/>
          <w:i/>
          <w:iCs/>
          <w:color w:val="000000"/>
          <w:sz w:val="22"/>
          <w:szCs w:val="24"/>
          <w:lang w:eastAsia="es-CO"/>
        </w:rPr>
        <w:t>se carece de prueba sobre la renuencia para formular acciones de tutela a favor del actor (…)”</w:t>
      </w:r>
      <w:r>
        <w:rPr>
          <w:rFonts w:ascii="Arial" w:hAnsi="Arial"/>
          <w:szCs w:val="24"/>
        </w:rPr>
        <w:t xml:space="preserve">, se advierte </w:t>
      </w:r>
      <w:r w:rsidR="00234977">
        <w:rPr>
          <w:rFonts w:ascii="Arial" w:hAnsi="Arial"/>
          <w:szCs w:val="24"/>
        </w:rPr>
        <w:t xml:space="preserve">que ya había procurado la declaratoria </w:t>
      </w:r>
      <w:r w:rsidR="0029693F">
        <w:rPr>
          <w:rFonts w:ascii="Arial" w:hAnsi="Arial"/>
          <w:szCs w:val="24"/>
        </w:rPr>
        <w:t xml:space="preserve">de la vulneración de sus derechos fundamentales </w:t>
      </w:r>
      <w:r w:rsidR="00710053">
        <w:rPr>
          <w:rFonts w:ascii="Arial" w:hAnsi="Arial"/>
          <w:szCs w:val="24"/>
        </w:rPr>
        <w:t xml:space="preserve">con base en que </w:t>
      </w:r>
      <w:r w:rsidR="0029693F">
        <w:rPr>
          <w:rFonts w:ascii="Arial" w:hAnsi="Arial"/>
          <w:szCs w:val="24"/>
        </w:rPr>
        <w:t xml:space="preserve">la Defensoría accionada </w:t>
      </w:r>
      <w:r w:rsidR="0029693F" w:rsidRPr="0029693F">
        <w:rPr>
          <w:rFonts w:ascii="Arial" w:hAnsi="Arial"/>
          <w:iCs/>
        </w:rPr>
        <w:t>se negó a formular demandas constitucionales</w:t>
      </w:r>
      <w:r w:rsidR="0029693F">
        <w:rPr>
          <w:rFonts w:ascii="Arial" w:hAnsi="Arial"/>
          <w:iCs/>
        </w:rPr>
        <w:t xml:space="preserve">, </w:t>
      </w:r>
      <w:r w:rsidR="00710053">
        <w:rPr>
          <w:rFonts w:ascii="Arial" w:hAnsi="Arial"/>
          <w:iCs/>
        </w:rPr>
        <w:t xml:space="preserve">situación </w:t>
      </w:r>
      <w:r w:rsidR="0029693F">
        <w:rPr>
          <w:rFonts w:ascii="Arial" w:hAnsi="Arial"/>
          <w:iCs/>
        </w:rPr>
        <w:t xml:space="preserve">que no ha </w:t>
      </w:r>
      <w:r w:rsidR="0029693F" w:rsidRPr="00F2155F">
        <w:rPr>
          <w:rFonts w:ascii="Arial" w:hAnsi="Arial"/>
          <w:iCs/>
          <w:szCs w:val="24"/>
        </w:rPr>
        <w:t xml:space="preserve">variado </w:t>
      </w:r>
      <w:r w:rsidR="00710053" w:rsidRPr="00F2155F">
        <w:rPr>
          <w:rFonts w:ascii="Arial" w:hAnsi="Arial"/>
          <w:iCs/>
          <w:szCs w:val="24"/>
        </w:rPr>
        <w:t xml:space="preserve">pues, tal cual se advirtió en aquellas providencias, </w:t>
      </w:r>
      <w:r w:rsidR="00DA3441" w:rsidRPr="00F2155F">
        <w:rPr>
          <w:rFonts w:ascii="Arial" w:hAnsi="Arial"/>
          <w:iCs/>
          <w:szCs w:val="24"/>
        </w:rPr>
        <w:t xml:space="preserve">en el presente caso </w:t>
      </w:r>
      <w:r w:rsidR="00710053" w:rsidRPr="00F2155F">
        <w:rPr>
          <w:rFonts w:ascii="Arial" w:hAnsi="Arial"/>
          <w:iCs/>
          <w:szCs w:val="24"/>
        </w:rPr>
        <w:t xml:space="preserve">se desconoce si hizo alguna petición, </w:t>
      </w:r>
      <w:r w:rsidR="00DA3441" w:rsidRPr="00F2155F">
        <w:rPr>
          <w:rFonts w:ascii="Arial" w:hAnsi="Arial"/>
          <w:iCs/>
          <w:szCs w:val="24"/>
        </w:rPr>
        <w:t xml:space="preserve">lo </w:t>
      </w:r>
      <w:r w:rsidR="00710053" w:rsidRPr="00F2155F">
        <w:rPr>
          <w:rFonts w:ascii="Arial" w:hAnsi="Arial"/>
          <w:iCs/>
          <w:szCs w:val="24"/>
        </w:rPr>
        <w:t>que modificaría las causas de la tutela</w:t>
      </w:r>
      <w:r w:rsidR="0029693F" w:rsidRPr="00F2155F">
        <w:rPr>
          <w:rFonts w:ascii="Arial" w:hAnsi="Arial"/>
          <w:iCs/>
          <w:szCs w:val="24"/>
        </w:rPr>
        <w:t>.</w:t>
      </w:r>
    </w:p>
    <w:p w:rsidR="00234977" w:rsidRPr="00F2155F" w:rsidRDefault="00234977" w:rsidP="00976FC7">
      <w:pPr>
        <w:pStyle w:val="Textoindependiente"/>
        <w:spacing w:line="360" w:lineRule="auto"/>
        <w:rPr>
          <w:rFonts w:ascii="Arial" w:hAnsi="Arial"/>
          <w:szCs w:val="24"/>
        </w:rPr>
      </w:pPr>
    </w:p>
    <w:p w:rsidR="00F2155F" w:rsidRPr="00F2155F" w:rsidRDefault="00F2155F" w:rsidP="00F2155F">
      <w:pPr>
        <w:spacing w:line="360" w:lineRule="auto"/>
        <w:jc w:val="both"/>
        <w:rPr>
          <w:rFonts w:ascii="Arial" w:hAnsi="Arial"/>
        </w:rPr>
      </w:pPr>
      <w:r w:rsidRPr="00F2155F">
        <w:rPr>
          <w:rFonts w:ascii="Arial" w:hAnsi="Arial"/>
        </w:rPr>
        <w:t>Pero el análisis para declarar la existencia de la temeridad, impone que se verifique la ausencia de las siguientes situaciones, ya previstas por la Corte Constitucional</w:t>
      </w:r>
      <w:r w:rsidRPr="00F2155F">
        <w:rPr>
          <w:rStyle w:val="Refdenotaalpie"/>
          <w:rFonts w:ascii="Arial" w:hAnsi="Arial"/>
        </w:rPr>
        <w:footnoteReference w:id="12"/>
      </w:r>
      <w:r w:rsidRPr="00F2155F">
        <w:rPr>
          <w:rFonts w:ascii="Arial" w:hAnsi="Arial"/>
        </w:rPr>
        <w:t xml:space="preserve"> reiterada recientemente (2016)</w:t>
      </w:r>
      <w:r w:rsidRPr="00F2155F">
        <w:rPr>
          <w:rStyle w:val="Refdenotaalpie"/>
          <w:rFonts w:ascii="Arial" w:hAnsi="Arial"/>
        </w:rPr>
        <w:footnoteReference w:id="13"/>
      </w:r>
      <w:r w:rsidRPr="00F2155F">
        <w:rPr>
          <w:rFonts w:ascii="Arial" w:hAnsi="Arial"/>
        </w:rPr>
        <w:t>, así:</w:t>
      </w:r>
    </w:p>
    <w:p w:rsidR="00F2155F" w:rsidRPr="00F2155F" w:rsidRDefault="00F2155F" w:rsidP="00F2155F">
      <w:pPr>
        <w:ind w:left="567" w:right="567"/>
        <w:jc w:val="both"/>
        <w:rPr>
          <w:rFonts w:ascii="Arial" w:hAnsi="Arial" w:cs="Arial"/>
          <w:b/>
          <w:bCs/>
          <w:sz w:val="22"/>
          <w:szCs w:val="22"/>
        </w:rPr>
      </w:pPr>
    </w:p>
    <w:p w:rsidR="00F2155F" w:rsidRPr="00F2155F" w:rsidRDefault="00F2155F" w:rsidP="00F2155F">
      <w:pPr>
        <w:ind w:left="567" w:right="567"/>
        <w:jc w:val="both"/>
        <w:rPr>
          <w:rFonts w:ascii="Arial" w:hAnsi="Arial" w:cs="Arial"/>
          <w:b/>
          <w:bCs/>
          <w:sz w:val="22"/>
          <w:szCs w:val="22"/>
        </w:rPr>
      </w:pPr>
    </w:p>
    <w:p w:rsidR="00F2155F" w:rsidRPr="00F2155F" w:rsidRDefault="00F2155F" w:rsidP="00F2155F">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Refdenotaalpie"/>
          <w:rFonts w:ascii="Arial" w:hAnsi="Arial" w:cs="Arial"/>
        </w:rPr>
        <w:footnoteReference w:id="14"/>
      </w:r>
      <w:r w:rsidRPr="00F2155F">
        <w:rPr>
          <w:rFonts w:ascii="Arial" w:hAnsi="Arial" w:cs="Arial"/>
        </w:rPr>
        <w:t>-,  para sancionar pecuniariamente a los responsables</w:t>
      </w:r>
      <w:r w:rsidRPr="00F2155F">
        <w:rPr>
          <w:rStyle w:val="Refdenotaalpie"/>
          <w:rFonts w:ascii="Arial" w:hAnsi="Arial" w:cs="Arial"/>
        </w:rPr>
        <w:footnoteReference w:id="15"/>
      </w:r>
      <w:r w:rsidRPr="00F2155F">
        <w:rPr>
          <w:rFonts w:ascii="Arial" w:hAnsi="Arial" w:cs="Arial"/>
        </w:rPr>
        <w:t xml:space="preserve">, </w:t>
      </w:r>
      <w:r w:rsidRPr="00F2155F">
        <w:rPr>
          <w:rFonts w:ascii="Arial" w:hAnsi="Arial" w:cs="Arial"/>
          <w:u w:val="single"/>
        </w:rPr>
        <w:t xml:space="preserve">siempre que la presentación de más de una acción de amparo constitucional entre las mismas partes, por </w:t>
      </w:r>
      <w:r w:rsidRPr="00F2155F">
        <w:rPr>
          <w:rFonts w:ascii="Arial" w:hAnsi="Arial" w:cs="Arial"/>
          <w:u w:val="single"/>
        </w:rPr>
        <w:lastRenderedPageBreak/>
        <w:t>los mismos hechos y con el mismo objeto</w:t>
      </w:r>
      <w:r w:rsidRPr="00F2155F">
        <w:rPr>
          <w:rFonts w:ascii="Arial" w:hAnsi="Arial" w:cs="Arial"/>
        </w:rPr>
        <w:t xml:space="preserve"> </w:t>
      </w:r>
      <w:r w:rsidRPr="00F2155F">
        <w:rPr>
          <w:rFonts w:ascii="Arial" w:hAnsi="Arial" w:cs="Arial"/>
          <w:u w:val="single"/>
        </w:rPr>
        <w:t>(i) envuelva una actuación amañada, reservando para cada acción aquellos argumentos o pruebas que convaliden sus pretensiones</w:t>
      </w:r>
      <w:r w:rsidRPr="00F2155F">
        <w:rPr>
          <w:rStyle w:val="Refdenotaalpie"/>
          <w:rFonts w:ascii="Arial" w:hAnsi="Arial" w:cs="Arial"/>
          <w:u w:val="single"/>
        </w:rPr>
        <w:footnoteReference w:id="16"/>
      </w:r>
      <w:r w:rsidRPr="00F2155F">
        <w:rPr>
          <w:rFonts w:ascii="Arial" w:hAnsi="Arial" w:cs="Arial"/>
          <w:u w:val="single"/>
        </w:rPr>
        <w:t xml:space="preserve">; (ii)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Refdenotaalpie"/>
          <w:rFonts w:ascii="Arial" w:hAnsi="Arial" w:cs="Arial"/>
          <w:u w:val="single"/>
        </w:rPr>
        <w:footnoteReference w:id="17"/>
      </w:r>
      <w:r w:rsidRPr="00F2155F">
        <w:rPr>
          <w:rFonts w:ascii="Arial" w:hAnsi="Arial" w:cs="Arial"/>
          <w:u w:val="single"/>
        </w:rPr>
        <w:t xml:space="preserve">; (iii) deje al descubierto el </w:t>
      </w:r>
      <w:r w:rsidRPr="00F2155F">
        <w:rPr>
          <w:rFonts w:ascii="Arial" w:hAnsi="Arial" w:cs="Arial"/>
          <w:i/>
          <w:iCs/>
          <w:u w:val="single"/>
        </w:rPr>
        <w:t>"abuso del derecho porque deliberadamente y sin tener razón, de mala fe se instaura la acción”</w:t>
      </w:r>
      <w:r w:rsidRPr="00F2155F">
        <w:rPr>
          <w:rStyle w:val="Refdenotaalpie"/>
          <w:rFonts w:ascii="Arial" w:hAnsi="Arial" w:cs="Arial"/>
          <w:u w:val="single"/>
        </w:rPr>
        <w:footnoteReference w:id="18"/>
      </w:r>
      <w:r w:rsidRPr="00F2155F">
        <w:rPr>
          <w:rFonts w:ascii="Arial" w:hAnsi="Arial" w:cs="Arial"/>
          <w:u w:val="single"/>
        </w:rPr>
        <w:t xml:space="preserve">; o finalmente (iv) se pretenda a través de personas inescrupulosas asaltar la </w:t>
      </w:r>
      <w:r w:rsidRPr="00F2155F">
        <w:rPr>
          <w:rFonts w:ascii="Arial" w:hAnsi="Arial" w:cs="Arial"/>
          <w:i/>
          <w:iCs/>
          <w:u w:val="single"/>
        </w:rPr>
        <w:t>“buena fe de los administradores de justicia</w:t>
      </w:r>
      <w:r w:rsidRPr="00F2155F">
        <w:rPr>
          <w:rFonts w:ascii="Arial" w:hAnsi="Arial" w:cs="Arial"/>
          <w:i/>
          <w:iCs/>
        </w:rPr>
        <w:t>”</w:t>
      </w:r>
      <w:r w:rsidRPr="00F2155F">
        <w:rPr>
          <w:rStyle w:val="Refdenotaalpie"/>
          <w:rFonts w:ascii="Arial" w:hAnsi="Arial" w:cs="Arial"/>
        </w:rPr>
        <w:footnoteReference w:id="19"/>
      </w:r>
      <w:r w:rsidRPr="00F2155F">
        <w:rPr>
          <w:rFonts w:ascii="Arial" w:hAnsi="Arial" w:cs="Arial"/>
          <w:i/>
          <w:iCs/>
        </w:rPr>
        <w:t>.</w:t>
      </w:r>
      <w:r w:rsidRPr="00F2155F">
        <w:rPr>
          <w:rFonts w:ascii="Arial" w:hAnsi="Arial" w:cs="Arial"/>
          <w:iCs/>
        </w:rPr>
        <w:t xml:space="preserve">  El resaltado es propio de esta Colegiatura.</w:t>
      </w:r>
    </w:p>
    <w:p w:rsidR="00F2155F" w:rsidRPr="00F2155F" w:rsidRDefault="00F2155F" w:rsidP="00F2155F">
      <w:pPr>
        <w:ind w:left="567"/>
        <w:jc w:val="both"/>
        <w:rPr>
          <w:rFonts w:ascii="Arial" w:hAnsi="Arial"/>
          <w:sz w:val="22"/>
        </w:rPr>
      </w:pPr>
    </w:p>
    <w:p w:rsidR="00F2155F" w:rsidRPr="00F2155F" w:rsidRDefault="00F2155F" w:rsidP="00F2155F">
      <w:pPr>
        <w:ind w:left="567"/>
        <w:jc w:val="both"/>
        <w:rPr>
          <w:rFonts w:ascii="Arial" w:hAnsi="Arial"/>
          <w:sz w:val="22"/>
        </w:rPr>
      </w:pPr>
    </w:p>
    <w:p w:rsidR="00F2155F" w:rsidRPr="00F2155F" w:rsidRDefault="00F2155F" w:rsidP="00F2155F">
      <w:pPr>
        <w:spacing w:line="360" w:lineRule="auto"/>
        <w:ind w:right="51"/>
        <w:jc w:val="both"/>
        <w:rPr>
          <w:rFonts w:ascii="Arial" w:hAnsi="Arial"/>
        </w:rPr>
      </w:pPr>
      <w:r w:rsidRPr="00F2155F">
        <w:rPr>
          <w:rFonts w:ascii="Arial" w:hAnsi="Arial"/>
        </w:rPr>
        <w:t xml:space="preserve">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artículo 38 del Decreto 2591 de 1991.  </w:t>
      </w:r>
    </w:p>
    <w:p w:rsidR="00F2155F" w:rsidRDefault="00F2155F" w:rsidP="00976FC7">
      <w:pPr>
        <w:pStyle w:val="Textoindependiente"/>
        <w:spacing w:line="360" w:lineRule="auto"/>
        <w:rPr>
          <w:rFonts w:ascii="Arial" w:hAnsi="Arial" w:cs="Arial"/>
          <w:szCs w:val="24"/>
        </w:rPr>
      </w:pPr>
    </w:p>
    <w:p w:rsidR="00104D5D" w:rsidRPr="00104D5D" w:rsidRDefault="00F2155F" w:rsidP="00104D5D">
      <w:pPr>
        <w:spacing w:line="360" w:lineRule="auto"/>
        <w:ind w:right="51"/>
        <w:jc w:val="both"/>
        <w:rPr>
          <w:rFonts w:ascii="Arial" w:hAnsi="Arial" w:cs="Arial"/>
        </w:rPr>
      </w:pPr>
      <w:r w:rsidRPr="00F2155F">
        <w:rPr>
          <w:rFonts w:ascii="Arial" w:hAnsi="Arial"/>
        </w:rPr>
        <w:t>Sobre el punto tiene dicho el máximo órgano de cierre en asuntos constitucionales</w:t>
      </w:r>
      <w:r w:rsidRPr="00F2155F">
        <w:rPr>
          <w:rStyle w:val="Refdenotaalpie"/>
          <w:rFonts w:ascii="Arial" w:hAnsi="Arial"/>
        </w:rPr>
        <w:footnoteReference w:id="20"/>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acciones de 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w:t>
      </w:r>
      <w:proofErr w:type="spellStart"/>
      <w:r w:rsidRPr="00F2155F">
        <w:rPr>
          <w:rFonts w:ascii="Arial" w:hAnsi="Arial" w:cs="Arial"/>
          <w:i/>
          <w:sz w:val="22"/>
        </w:rPr>
        <w:t>tutelante</w:t>
      </w:r>
      <w:proofErr w:type="spellEnd"/>
      <w:r>
        <w:rPr>
          <w:rFonts w:ascii="Arial" w:hAnsi="Arial" w:cs="Arial"/>
          <w:i/>
          <w:sz w:val="22"/>
        </w:rPr>
        <w:t xml:space="preserve"> (…)</w:t>
      </w:r>
      <w:r w:rsidRPr="00F2155F">
        <w:rPr>
          <w:rFonts w:ascii="Arial" w:hAnsi="Arial" w:cs="Arial"/>
          <w:sz w:val="22"/>
        </w:rPr>
        <w:t>”</w:t>
      </w:r>
      <w:r w:rsidRPr="00F2155F">
        <w:rPr>
          <w:rFonts w:ascii="Arial" w:hAnsi="Arial" w:cs="Arial"/>
        </w:rPr>
        <w:t>.</w:t>
      </w:r>
      <w:r w:rsidR="00104D5D">
        <w:rPr>
          <w:rFonts w:ascii="Arial" w:hAnsi="Arial" w:cs="Arial"/>
        </w:rPr>
        <w:t xml:space="preserve"> Criterio que la CSJ</w:t>
      </w:r>
      <w:r w:rsidR="00104D5D">
        <w:rPr>
          <w:rStyle w:val="Refdenotaalpie"/>
          <w:rFonts w:ascii="Arial" w:hAnsi="Arial"/>
        </w:rPr>
        <w:footnoteReference w:id="21"/>
      </w:r>
      <w:r w:rsidR="00104D5D">
        <w:rPr>
          <w:rFonts w:ascii="Arial" w:hAnsi="Arial" w:cs="Arial"/>
        </w:rPr>
        <w:t xml:space="preserve"> comparte en su jurisprudencia. </w:t>
      </w:r>
    </w:p>
    <w:p w:rsidR="00DA3441" w:rsidRDefault="00DA3441" w:rsidP="00976FC7">
      <w:pPr>
        <w:pStyle w:val="Textoindependiente"/>
        <w:spacing w:line="360" w:lineRule="auto"/>
        <w:rPr>
          <w:rFonts w:ascii="Arial" w:hAnsi="Arial" w:cs="Arial"/>
          <w:szCs w:val="24"/>
        </w:rPr>
      </w:pPr>
    </w:p>
    <w:p w:rsidR="00795C9D" w:rsidRPr="00C55990" w:rsidRDefault="00795C9D" w:rsidP="00976FC7">
      <w:pPr>
        <w:pStyle w:val="Textoindependiente"/>
        <w:spacing w:line="360" w:lineRule="auto"/>
        <w:rPr>
          <w:rFonts w:ascii="Arial" w:hAnsi="Arial" w:cs="Arial"/>
          <w:szCs w:val="24"/>
        </w:rPr>
      </w:pPr>
    </w:p>
    <w:p w:rsidR="006E3281" w:rsidRDefault="006E3281" w:rsidP="00A90808">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BB12E8">
        <w:rPr>
          <w:rFonts w:ascii="Arial" w:hAnsi="Arial" w:cs="Arial"/>
          <w:szCs w:val="24"/>
        </w:rPr>
        <w:t xml:space="preserve">LAS CONCLUSIONES </w:t>
      </w:r>
    </w:p>
    <w:p w:rsidR="00164C26" w:rsidRPr="004D1154" w:rsidRDefault="00164C26" w:rsidP="00164C26">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390"/>
        <w:textAlignment w:val="auto"/>
        <w:rPr>
          <w:rFonts w:ascii="Arial" w:hAnsi="Arial" w:cs="Arial"/>
          <w:sz w:val="18"/>
          <w:szCs w:val="24"/>
        </w:rPr>
      </w:pPr>
    </w:p>
    <w:p w:rsidR="004C0794" w:rsidRPr="00104D5D" w:rsidRDefault="004C0794" w:rsidP="004C0794">
      <w:pPr>
        <w:pStyle w:val="Textoindependiente"/>
        <w:tabs>
          <w:tab w:val="clear" w:pos="708"/>
        </w:tabs>
        <w:spacing w:line="360" w:lineRule="auto"/>
        <w:rPr>
          <w:rFonts w:ascii="Arial" w:hAnsi="Arial" w:cs="Arial"/>
          <w:szCs w:val="24"/>
          <w:lang w:val="es-ES"/>
        </w:rPr>
      </w:pPr>
      <w:r w:rsidRPr="00104D5D">
        <w:rPr>
          <w:rFonts w:ascii="Arial" w:hAnsi="Arial" w:cs="Arial"/>
          <w:szCs w:val="24"/>
          <w:lang w:val="es-ES"/>
        </w:rPr>
        <w:t>Con fundamento en las consideraciones expuestas</w:t>
      </w:r>
      <w:r w:rsidR="00C55990" w:rsidRPr="00104D5D">
        <w:rPr>
          <w:rFonts w:ascii="Arial" w:hAnsi="Arial" w:cs="Arial"/>
          <w:szCs w:val="24"/>
          <w:lang w:val="es-ES"/>
        </w:rPr>
        <w:t xml:space="preserve"> se </w:t>
      </w:r>
      <w:r w:rsidR="00082482" w:rsidRPr="00104D5D">
        <w:rPr>
          <w:rFonts w:ascii="Arial" w:hAnsi="Arial" w:cs="Arial"/>
          <w:szCs w:val="24"/>
        </w:rPr>
        <w:t>declarará improcedente el</w:t>
      </w:r>
      <w:r w:rsidR="00F2155F" w:rsidRPr="00104D5D">
        <w:rPr>
          <w:rFonts w:ascii="Arial" w:hAnsi="Arial" w:cs="Arial"/>
          <w:szCs w:val="24"/>
        </w:rPr>
        <w:t xml:space="preserve"> amparo</w:t>
      </w:r>
      <w:proofErr w:type="gramStart"/>
      <w:r w:rsidR="00F2155F" w:rsidRPr="00104D5D">
        <w:rPr>
          <w:rFonts w:ascii="Arial" w:hAnsi="Arial" w:cs="Arial"/>
          <w:szCs w:val="24"/>
        </w:rPr>
        <w:t xml:space="preserve">, </w:t>
      </w:r>
      <w:r w:rsidR="00F2155F" w:rsidRPr="00104D5D">
        <w:rPr>
          <w:rFonts w:ascii="Arial" w:hAnsi="Arial"/>
          <w:szCs w:val="24"/>
        </w:rPr>
        <w:t>,</w:t>
      </w:r>
      <w:proofErr w:type="gramEnd"/>
      <w:r w:rsidR="00F2155F" w:rsidRPr="00104D5D">
        <w:rPr>
          <w:rFonts w:ascii="Arial" w:hAnsi="Arial"/>
          <w:szCs w:val="24"/>
        </w:rPr>
        <w:t xml:space="preserve"> por haberse verificado la duplicidad de la acciones de tutela</w:t>
      </w:r>
      <w:r w:rsidR="00104D5D" w:rsidRPr="00104D5D">
        <w:rPr>
          <w:rFonts w:ascii="Arial" w:hAnsi="Arial"/>
          <w:szCs w:val="24"/>
        </w:rPr>
        <w:t>, sin que haya lugar a imponer multa, según se anotó</w:t>
      </w:r>
      <w:r w:rsidRPr="00104D5D">
        <w:rPr>
          <w:rFonts w:ascii="Arial" w:hAnsi="Arial"/>
          <w:szCs w:val="24"/>
        </w:rPr>
        <w:t>.</w:t>
      </w:r>
    </w:p>
    <w:p w:rsidR="004C0794" w:rsidRPr="004D1154" w:rsidRDefault="004C0794" w:rsidP="004C0794">
      <w:pPr>
        <w:pStyle w:val="Textoindependiente"/>
        <w:spacing w:line="360" w:lineRule="auto"/>
        <w:rPr>
          <w:rFonts w:ascii="Arial" w:hAnsi="Arial" w:cs="Arial"/>
          <w:sz w:val="18"/>
          <w:szCs w:val="24"/>
          <w:lang w:val="es-CO"/>
        </w:rPr>
      </w:pPr>
    </w:p>
    <w:p w:rsidR="004C0794" w:rsidRDefault="004C0794" w:rsidP="004C0794">
      <w:pPr>
        <w:tabs>
          <w:tab w:val="left" w:pos="-720"/>
        </w:tabs>
        <w:suppressAutoHyphens/>
        <w:spacing w:line="360" w:lineRule="auto"/>
        <w:jc w:val="both"/>
        <w:rPr>
          <w:rFonts w:ascii="Arial" w:hAnsi="Arial" w:cs="Arial"/>
        </w:rPr>
      </w:pPr>
      <w:r w:rsidRPr="00D91662">
        <w:rPr>
          <w:rFonts w:ascii="Arial" w:hAnsi="Arial" w:cs="Arial"/>
        </w:rPr>
        <w:t xml:space="preserve">En mérito de lo expuesto, el </w:t>
      </w:r>
      <w:r w:rsidRPr="00D91662">
        <w:rPr>
          <w:rFonts w:ascii="Arial" w:hAnsi="Arial" w:cs="Arial"/>
          <w:bCs/>
          <w:smallCaps/>
        </w:rPr>
        <w:t>Tribunal Superior del Distrito Judicial de Pereira, Risaralda, Sala de Decisión Civil - Familia</w:t>
      </w:r>
      <w:r w:rsidRPr="00D91662">
        <w:rPr>
          <w:rFonts w:ascii="Arial" w:hAnsi="Arial" w:cs="Arial"/>
        </w:rPr>
        <w:t>, administrando Justicia, en nombre de la República y por autoridad de la Ley,</w:t>
      </w:r>
    </w:p>
    <w:p w:rsidR="004C0794" w:rsidRPr="00795C9D" w:rsidRDefault="004C0794" w:rsidP="004C0794">
      <w:pPr>
        <w:tabs>
          <w:tab w:val="left" w:pos="-720"/>
        </w:tabs>
        <w:suppressAutoHyphens/>
        <w:spacing w:line="360" w:lineRule="auto"/>
        <w:jc w:val="both"/>
        <w:rPr>
          <w:rFonts w:ascii="Arial" w:hAnsi="Arial" w:cs="Arial"/>
          <w:sz w:val="2"/>
        </w:rPr>
      </w:pPr>
    </w:p>
    <w:p w:rsidR="004C0794" w:rsidRPr="00D91662" w:rsidRDefault="004C0794" w:rsidP="004C0794">
      <w:pPr>
        <w:pStyle w:val="Textoindependiente"/>
        <w:spacing w:line="360" w:lineRule="auto"/>
        <w:jc w:val="center"/>
        <w:rPr>
          <w:rFonts w:ascii="Arial" w:hAnsi="Arial" w:cs="Arial"/>
          <w:bCs/>
          <w:smallCaps/>
          <w:szCs w:val="24"/>
        </w:rPr>
      </w:pPr>
      <w:r w:rsidRPr="00D91662">
        <w:rPr>
          <w:rFonts w:ascii="Arial" w:hAnsi="Arial" w:cs="Arial"/>
          <w:bCs/>
          <w:smallCaps/>
          <w:szCs w:val="24"/>
        </w:rPr>
        <w:t xml:space="preserve">F A L </w:t>
      </w:r>
      <w:proofErr w:type="spellStart"/>
      <w:r w:rsidRPr="00D91662">
        <w:rPr>
          <w:rFonts w:ascii="Arial" w:hAnsi="Arial" w:cs="Arial"/>
          <w:bCs/>
          <w:smallCaps/>
          <w:szCs w:val="24"/>
        </w:rPr>
        <w:t>L</w:t>
      </w:r>
      <w:proofErr w:type="spellEnd"/>
      <w:r w:rsidRPr="00D91662">
        <w:rPr>
          <w:rFonts w:ascii="Arial" w:hAnsi="Arial" w:cs="Arial"/>
          <w:bCs/>
          <w:smallCaps/>
          <w:szCs w:val="24"/>
        </w:rPr>
        <w:t xml:space="preserve"> A,</w:t>
      </w:r>
    </w:p>
    <w:p w:rsidR="004C0794" w:rsidRPr="004D1154" w:rsidRDefault="004C0794" w:rsidP="004C0794">
      <w:pPr>
        <w:pStyle w:val="Textoindependiente"/>
        <w:spacing w:line="360" w:lineRule="auto"/>
        <w:jc w:val="center"/>
        <w:rPr>
          <w:rFonts w:ascii="Arial" w:hAnsi="Arial" w:cs="Arial"/>
          <w:bCs/>
          <w:smallCaps/>
          <w:sz w:val="18"/>
          <w:szCs w:val="24"/>
        </w:rPr>
      </w:pPr>
    </w:p>
    <w:p w:rsidR="004C0794" w:rsidRPr="00104D5D" w:rsidRDefault="005B6B06" w:rsidP="00B521A9">
      <w:pPr>
        <w:pStyle w:val="Textoindependiente"/>
        <w:numPr>
          <w:ilvl w:val="0"/>
          <w:numId w:val="21"/>
        </w:numPr>
        <w:tabs>
          <w:tab w:val="clear" w:pos="708"/>
        </w:tabs>
        <w:spacing w:line="360" w:lineRule="auto"/>
        <w:rPr>
          <w:rFonts w:ascii="Arial" w:hAnsi="Arial"/>
          <w:szCs w:val="24"/>
        </w:rPr>
      </w:pPr>
      <w:r w:rsidRPr="005B6B06">
        <w:rPr>
          <w:rFonts w:ascii="Arial" w:hAnsi="Arial"/>
          <w:szCs w:val="24"/>
        </w:rPr>
        <w:t>DECLARAR</w:t>
      </w:r>
      <w:r w:rsidRPr="005B6B06">
        <w:rPr>
          <w:rFonts w:ascii="Arial" w:hAnsi="Arial" w:cs="Arial"/>
          <w:szCs w:val="24"/>
        </w:rPr>
        <w:t xml:space="preserve"> improcedente la tutela propuesta </w:t>
      </w:r>
      <w:r w:rsidR="00C55990">
        <w:rPr>
          <w:rFonts w:ascii="Arial" w:hAnsi="Arial" w:cs="Arial"/>
          <w:szCs w:val="24"/>
        </w:rPr>
        <w:t xml:space="preserve">por </w:t>
      </w:r>
      <w:r w:rsidR="00104D5D">
        <w:rPr>
          <w:rFonts w:ascii="Arial" w:hAnsi="Arial" w:cs="Arial"/>
          <w:szCs w:val="24"/>
        </w:rPr>
        <w:t xml:space="preserve">el señor </w:t>
      </w:r>
      <w:r w:rsidR="00C55990">
        <w:rPr>
          <w:rFonts w:ascii="Arial" w:hAnsi="Arial" w:cs="Arial"/>
          <w:szCs w:val="24"/>
        </w:rPr>
        <w:t xml:space="preserve">Javier Elías Arias </w:t>
      </w:r>
      <w:proofErr w:type="spellStart"/>
      <w:r w:rsidR="00C55990">
        <w:rPr>
          <w:rFonts w:ascii="Arial" w:hAnsi="Arial" w:cs="Arial"/>
          <w:szCs w:val="24"/>
        </w:rPr>
        <w:t>Idárraga</w:t>
      </w:r>
      <w:proofErr w:type="spellEnd"/>
      <w:r w:rsidR="00C55990">
        <w:rPr>
          <w:rFonts w:ascii="Arial" w:hAnsi="Arial" w:cs="Arial"/>
          <w:szCs w:val="24"/>
        </w:rPr>
        <w:t xml:space="preserve"> contra la Defensoría del Pueblo Regional de Caldas</w:t>
      </w:r>
      <w:r w:rsidR="00104D5D">
        <w:rPr>
          <w:rFonts w:ascii="Arial" w:hAnsi="Arial" w:cs="Arial"/>
          <w:szCs w:val="24"/>
        </w:rPr>
        <w:t xml:space="preserve">, </w:t>
      </w:r>
      <w:r w:rsidR="00104D5D" w:rsidRPr="00104D5D">
        <w:rPr>
          <w:rFonts w:ascii="Arial" w:hAnsi="Arial" w:cs="Arial"/>
          <w:szCs w:val="24"/>
          <w:lang w:val="es-ES"/>
        </w:rPr>
        <w:t>según lo discurrido en esta sentencia</w:t>
      </w:r>
      <w:r w:rsidRPr="005B6B06">
        <w:rPr>
          <w:rFonts w:ascii="Arial" w:hAnsi="Arial" w:cs="Arial"/>
          <w:szCs w:val="24"/>
        </w:rPr>
        <w:t>.</w:t>
      </w:r>
    </w:p>
    <w:p w:rsidR="00104D5D" w:rsidRDefault="00104D5D" w:rsidP="00104D5D">
      <w:pPr>
        <w:pStyle w:val="Textoindependiente"/>
        <w:tabs>
          <w:tab w:val="clear" w:pos="708"/>
        </w:tabs>
        <w:spacing w:line="360" w:lineRule="auto"/>
        <w:ind w:left="360"/>
        <w:rPr>
          <w:rFonts w:ascii="Arial" w:hAnsi="Arial"/>
          <w:sz w:val="22"/>
        </w:rPr>
      </w:pPr>
    </w:p>
    <w:p w:rsidR="00104D5D" w:rsidRDefault="00104D5D" w:rsidP="00104D5D">
      <w:pPr>
        <w:pStyle w:val="Textoindependiente"/>
        <w:numPr>
          <w:ilvl w:val="0"/>
          <w:numId w:val="21"/>
        </w:numPr>
        <w:tabs>
          <w:tab w:val="clear" w:pos="708"/>
        </w:tabs>
        <w:spacing w:line="360" w:lineRule="auto"/>
        <w:rPr>
          <w:rFonts w:ascii="Arial" w:hAnsi="Arial"/>
          <w:szCs w:val="24"/>
        </w:rPr>
      </w:pPr>
      <w:r w:rsidRPr="00104D5D">
        <w:rPr>
          <w:rFonts w:ascii="Arial" w:hAnsi="Arial"/>
          <w:szCs w:val="24"/>
        </w:rPr>
        <w:lastRenderedPageBreak/>
        <w:t xml:space="preserve">NO IMPONER multa alguna </w:t>
      </w:r>
      <w:r>
        <w:rPr>
          <w:rFonts w:ascii="Arial" w:hAnsi="Arial"/>
          <w:szCs w:val="24"/>
        </w:rPr>
        <w:t xml:space="preserve">al señor </w:t>
      </w:r>
      <w:r>
        <w:rPr>
          <w:rFonts w:ascii="Arial" w:hAnsi="Arial" w:cs="Arial"/>
          <w:szCs w:val="24"/>
        </w:rPr>
        <w:t xml:space="preserve">Javier Elías Arias </w:t>
      </w:r>
      <w:proofErr w:type="spellStart"/>
      <w:r>
        <w:rPr>
          <w:rFonts w:ascii="Arial" w:hAnsi="Arial" w:cs="Arial"/>
          <w:szCs w:val="24"/>
        </w:rPr>
        <w:t>Idárraga</w:t>
      </w:r>
      <w:proofErr w:type="spellEnd"/>
      <w:r w:rsidRPr="00104D5D">
        <w:rPr>
          <w:rFonts w:ascii="Arial" w:hAnsi="Arial"/>
          <w:szCs w:val="24"/>
        </w:rPr>
        <w:t>, tal como se sustentara en esta decisión judicial.</w:t>
      </w:r>
    </w:p>
    <w:p w:rsidR="00C850A9" w:rsidRPr="00104D5D" w:rsidRDefault="00C850A9" w:rsidP="00C850A9">
      <w:pPr>
        <w:pStyle w:val="Textoindependiente"/>
        <w:tabs>
          <w:tab w:val="clear" w:pos="708"/>
        </w:tabs>
        <w:spacing w:line="360" w:lineRule="auto"/>
        <w:rPr>
          <w:rFonts w:ascii="Arial" w:hAnsi="Arial"/>
          <w:szCs w:val="24"/>
        </w:rPr>
      </w:pPr>
    </w:p>
    <w:p w:rsidR="004C0794" w:rsidRPr="005B6B06" w:rsidRDefault="004C0794" w:rsidP="004C0794">
      <w:pPr>
        <w:pStyle w:val="Textoindependiente"/>
        <w:numPr>
          <w:ilvl w:val="0"/>
          <w:numId w:val="21"/>
        </w:numPr>
        <w:tabs>
          <w:tab w:val="clear" w:pos="708"/>
        </w:tabs>
        <w:spacing w:line="360" w:lineRule="auto"/>
        <w:rPr>
          <w:rFonts w:ascii="Arial" w:hAnsi="Arial"/>
          <w:szCs w:val="24"/>
        </w:rPr>
      </w:pPr>
      <w:r w:rsidRPr="005B6B06">
        <w:rPr>
          <w:rFonts w:ascii="Arial" w:hAnsi="Arial"/>
          <w:szCs w:val="24"/>
        </w:rPr>
        <w:t>NOTIFICAR esta decisión a todas las partes, por el medio más expedito y eficaz.</w:t>
      </w:r>
    </w:p>
    <w:p w:rsidR="004C0794" w:rsidRPr="005B6B06" w:rsidRDefault="004C0794" w:rsidP="004C0794">
      <w:pPr>
        <w:pStyle w:val="Prrafodelista"/>
        <w:spacing w:line="360" w:lineRule="auto"/>
        <w:ind w:left="360"/>
        <w:rPr>
          <w:rFonts w:ascii="Arial" w:hAnsi="Arial" w:cs="Arial"/>
        </w:rPr>
      </w:pPr>
    </w:p>
    <w:p w:rsidR="004C0794" w:rsidRPr="005B6B06" w:rsidRDefault="004C0794" w:rsidP="004C0794">
      <w:pPr>
        <w:pStyle w:val="Textoindependiente"/>
        <w:numPr>
          <w:ilvl w:val="0"/>
          <w:numId w:val="21"/>
        </w:numPr>
        <w:tabs>
          <w:tab w:val="clear" w:pos="708"/>
        </w:tabs>
        <w:spacing w:line="360" w:lineRule="auto"/>
        <w:rPr>
          <w:rFonts w:ascii="Arial" w:hAnsi="Arial"/>
          <w:szCs w:val="24"/>
        </w:rPr>
      </w:pPr>
      <w:r w:rsidRPr="005B6B06">
        <w:rPr>
          <w:rFonts w:ascii="Arial" w:hAnsi="Arial" w:cs="Arial"/>
          <w:szCs w:val="24"/>
        </w:rPr>
        <w:t>REMITIR este expediente, de no ser impugnado este fallo, a la Corte Constitucional para su eventual revisión.</w:t>
      </w:r>
    </w:p>
    <w:p w:rsidR="004C0794" w:rsidRPr="005B6B06" w:rsidRDefault="004C0794" w:rsidP="004C0794">
      <w:pPr>
        <w:pStyle w:val="Prrafodelista"/>
        <w:rPr>
          <w:rFonts w:ascii="Arial" w:hAnsi="Arial"/>
        </w:rPr>
      </w:pPr>
    </w:p>
    <w:p w:rsidR="00942D9A" w:rsidRPr="005B6B06" w:rsidRDefault="004C0794" w:rsidP="004C0794">
      <w:pPr>
        <w:pStyle w:val="Textoindependiente"/>
        <w:numPr>
          <w:ilvl w:val="0"/>
          <w:numId w:val="21"/>
        </w:numPr>
        <w:tabs>
          <w:tab w:val="clear" w:pos="708"/>
        </w:tabs>
        <w:spacing w:line="360" w:lineRule="auto"/>
        <w:rPr>
          <w:rFonts w:ascii="Arial" w:hAnsi="Arial" w:cs="Arial"/>
          <w:szCs w:val="24"/>
        </w:rPr>
      </w:pPr>
      <w:r w:rsidRPr="005B6B06">
        <w:rPr>
          <w:rFonts w:ascii="Arial" w:hAnsi="Arial" w:cs="Arial"/>
          <w:bCs/>
          <w:smallCaps/>
          <w:szCs w:val="24"/>
        </w:rPr>
        <w:t xml:space="preserve">ARCHIVAR </w:t>
      </w:r>
      <w:r w:rsidRPr="005B6B06">
        <w:rPr>
          <w:rFonts w:ascii="Arial" w:hAnsi="Arial" w:cs="Arial"/>
          <w:szCs w:val="24"/>
        </w:rPr>
        <w:t xml:space="preserve">el expediente, previa anotaciones en los libros </w:t>
      </w:r>
      <w:proofErr w:type="spellStart"/>
      <w:r w:rsidRPr="005B6B06">
        <w:rPr>
          <w:rFonts w:ascii="Arial" w:hAnsi="Arial" w:cs="Arial"/>
          <w:szCs w:val="24"/>
        </w:rPr>
        <w:t>radicadores</w:t>
      </w:r>
      <w:proofErr w:type="spellEnd"/>
      <w:r w:rsidRPr="005B6B06">
        <w:rPr>
          <w:rFonts w:ascii="Arial" w:hAnsi="Arial" w:cs="Arial"/>
          <w:szCs w:val="24"/>
        </w:rPr>
        <w:t>, una vez agotado el trámite ante la Corte Constitucional.</w:t>
      </w:r>
    </w:p>
    <w:p w:rsidR="001626E5" w:rsidRDefault="001626E5" w:rsidP="00126266">
      <w:pPr>
        <w:pStyle w:val="Textoindependiente"/>
        <w:spacing w:line="360" w:lineRule="auto"/>
        <w:jc w:val="center"/>
        <w:rPr>
          <w:rFonts w:ascii="Arial" w:hAnsi="Arial"/>
          <w:smallCaps/>
          <w:szCs w:val="24"/>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5900E8" w:rsidRPr="004E4D7B" w:rsidRDefault="005900E8" w:rsidP="00C641FE">
      <w:pPr>
        <w:pStyle w:val="Textoindependiente"/>
        <w:spacing w:line="360" w:lineRule="auto"/>
        <w:jc w:val="center"/>
        <w:rPr>
          <w:rFonts w:ascii="Arial" w:hAnsi="Arial"/>
        </w:rPr>
      </w:pPr>
    </w:p>
    <w:p w:rsidR="000848A3" w:rsidRDefault="000848A3" w:rsidP="00C641FE">
      <w:pPr>
        <w:pStyle w:val="Textoindependiente"/>
        <w:spacing w:line="360" w:lineRule="auto"/>
        <w:jc w:val="center"/>
        <w:rPr>
          <w:rFonts w:ascii="Arial" w:hAnsi="Arial"/>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0848A3"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s-ES_tradnl"/>
        </w:rPr>
      </w:pPr>
    </w:p>
    <w:p w:rsidR="004E4D7B" w:rsidRDefault="004E4D7B"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s-ES_tradnl"/>
        </w:rPr>
      </w:pPr>
    </w:p>
    <w:p w:rsidR="001626E5" w:rsidRPr="004E4D7B" w:rsidRDefault="001626E5"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s-ES_tradnl"/>
        </w:rPr>
      </w:pPr>
    </w:p>
    <w:p w:rsidR="00951517" w:rsidRPr="00025CC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proofErr w:type="spellStart"/>
      <w:r w:rsidRPr="00025CC3">
        <w:rPr>
          <w:rFonts w:ascii="Arial" w:hAnsi="Arial"/>
          <w:i/>
          <w:w w:val="150"/>
          <w:sz w:val="28"/>
          <w:szCs w:val="18"/>
          <w:lang w:val="es-ES_tradnl"/>
        </w:rPr>
        <w:t>E</w:t>
      </w:r>
      <w:r w:rsidRPr="00025CC3">
        <w:rPr>
          <w:rFonts w:ascii="Arial" w:hAnsi="Arial"/>
          <w:i/>
          <w:w w:val="150"/>
          <w:sz w:val="18"/>
          <w:szCs w:val="18"/>
          <w:lang w:val="es-ES_tradnl"/>
        </w:rPr>
        <w:t>DDER</w:t>
      </w:r>
      <w:proofErr w:type="spellEnd"/>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4E4D7B" w:rsidRPr="00513453" w:rsidRDefault="004E4D7B" w:rsidP="00513453">
      <w:pPr>
        <w:pStyle w:val="Textoindependiente"/>
        <w:spacing w:line="360" w:lineRule="auto"/>
        <w:jc w:val="right"/>
        <w:rPr>
          <w:rFonts w:ascii="Arial" w:hAnsi="Arial"/>
          <w:w w:val="150"/>
          <w:sz w:val="8"/>
          <w:szCs w:val="10"/>
          <w:lang w:val="en-US"/>
        </w:rPr>
      </w:pPr>
      <w:proofErr w:type="spellStart"/>
      <w:r w:rsidRPr="00984EE4">
        <w:rPr>
          <w:rFonts w:ascii="Arial" w:hAnsi="Arial"/>
          <w:w w:val="150"/>
          <w:sz w:val="8"/>
          <w:szCs w:val="10"/>
          <w:lang w:val="en-US"/>
        </w:rPr>
        <w:t>DGH</w:t>
      </w:r>
      <w:proofErr w:type="spellEnd"/>
      <w:r w:rsidRPr="00984EE4">
        <w:rPr>
          <w:rFonts w:ascii="Arial" w:hAnsi="Arial"/>
          <w:w w:val="150"/>
          <w:sz w:val="8"/>
          <w:szCs w:val="10"/>
          <w:lang w:val="en-US"/>
        </w:rPr>
        <w:t>/</w:t>
      </w:r>
      <w:proofErr w:type="spellStart"/>
      <w:r w:rsidR="00060A31">
        <w:rPr>
          <w:rFonts w:ascii="Arial" w:hAnsi="Arial"/>
          <w:w w:val="150"/>
          <w:sz w:val="8"/>
          <w:szCs w:val="10"/>
          <w:lang w:val="en-US"/>
        </w:rPr>
        <w:t>ODCD</w:t>
      </w:r>
      <w:proofErr w:type="spellEnd"/>
      <w:r w:rsidR="00513453">
        <w:rPr>
          <w:rFonts w:ascii="Arial" w:hAnsi="Arial"/>
          <w:w w:val="150"/>
          <w:sz w:val="8"/>
          <w:szCs w:val="10"/>
          <w:lang w:val="en-US"/>
        </w:rPr>
        <w:t>/2016</w:t>
      </w:r>
    </w:p>
    <w:sectPr w:rsidR="004E4D7B" w:rsidRPr="00513453" w:rsidSect="00C5255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778" w:rsidRDefault="00C62778" w:rsidP="0099045D">
      <w:r>
        <w:separator/>
      </w:r>
    </w:p>
  </w:endnote>
  <w:endnote w:type="continuationSeparator" w:id="0">
    <w:p w:rsidR="00C62778" w:rsidRDefault="00C6277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778" w:rsidRDefault="00C62778" w:rsidP="0099045D">
      <w:r>
        <w:separator/>
      </w:r>
    </w:p>
  </w:footnote>
  <w:footnote w:type="continuationSeparator" w:id="0">
    <w:p w:rsidR="00C62778" w:rsidRDefault="00C62778" w:rsidP="0099045D">
      <w:r>
        <w:continuationSeparator/>
      </w:r>
    </w:p>
  </w:footnote>
  <w:footnote w:id="1">
    <w:p w:rsidR="00F2155F" w:rsidRPr="002C59AC" w:rsidRDefault="00F2155F" w:rsidP="00F2155F">
      <w:pPr>
        <w:pStyle w:val="Textonotapie"/>
        <w:jc w:val="both"/>
        <w:rPr>
          <w:rFonts w:ascii="Calibri" w:hAnsi="Calibri"/>
          <w:lang w:val="es-CO"/>
        </w:rPr>
      </w:pPr>
      <w:r w:rsidRPr="002C59AC">
        <w:rPr>
          <w:rStyle w:val="Refdenotaalpie"/>
          <w:rFonts w:ascii="Calibri" w:hAnsi="Calibri"/>
        </w:rPr>
        <w:footnoteRef/>
      </w:r>
      <w:r w:rsidRPr="002C59AC">
        <w:rPr>
          <w:rFonts w:ascii="Calibri" w:hAnsi="Calibri"/>
        </w:rPr>
        <w:t xml:space="preserve"> </w:t>
      </w:r>
      <w:r w:rsidRPr="002C59AC">
        <w:rPr>
          <w:rFonts w:ascii="Calibri" w:hAnsi="Calibri"/>
          <w:lang w:val="es-CO"/>
        </w:rPr>
        <w:t>CORTE SUPREMA DE JUSTICIA, Sala de Casación Civil. Auto ATC3192 de 2016</w:t>
      </w:r>
      <w:r>
        <w:rPr>
          <w:rFonts w:ascii="Calibri" w:hAnsi="Calibri"/>
          <w:lang w:val="es-CO"/>
        </w:rPr>
        <w:t>.</w:t>
      </w:r>
    </w:p>
  </w:footnote>
  <w:footnote w:id="2">
    <w:p w:rsidR="002C59AC" w:rsidRPr="002C59AC" w:rsidRDefault="002C59AC" w:rsidP="002C59AC">
      <w:pPr>
        <w:pStyle w:val="Textonotapie"/>
        <w:jc w:val="both"/>
        <w:rPr>
          <w:rFonts w:ascii="Calibri" w:hAnsi="Calibri"/>
          <w:lang w:val="es-CO"/>
        </w:rPr>
      </w:pPr>
      <w:r w:rsidRPr="002C59AC">
        <w:rPr>
          <w:rStyle w:val="Refdenotaalpie"/>
          <w:rFonts w:ascii="Calibri" w:hAnsi="Calibri"/>
        </w:rPr>
        <w:footnoteRef/>
      </w:r>
      <w:r w:rsidRPr="002C59AC">
        <w:rPr>
          <w:rFonts w:ascii="Calibri" w:hAnsi="Calibri"/>
        </w:rPr>
        <w:t xml:space="preserve"> </w:t>
      </w:r>
      <w:r w:rsidRPr="002C59AC">
        <w:rPr>
          <w:rFonts w:ascii="Calibri" w:hAnsi="Calibri"/>
          <w:lang w:val="es-CO"/>
        </w:rPr>
        <w:t>CORTE SUPREMA DE JUSTICIA, Sala de Casación Civil. Auto ATC3192 de 2016</w:t>
      </w:r>
      <w:r>
        <w:rPr>
          <w:rFonts w:ascii="Calibri" w:hAnsi="Calibri"/>
          <w:lang w:val="es-CO"/>
        </w:rPr>
        <w:t>.</w:t>
      </w:r>
    </w:p>
  </w:footnote>
  <w:footnote w:id="3">
    <w:p w:rsidR="00EE705E" w:rsidRDefault="00EE705E" w:rsidP="00EE705E">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w:t>
      </w:r>
      <w:r w:rsidRPr="00623B4F">
        <w:rPr>
          <w:rFonts w:asciiTheme="minorHAnsi" w:hAnsiTheme="minorHAnsi" w:cs="Calibri"/>
          <w:lang w:val="es-CO"/>
        </w:rPr>
        <w:t xml:space="preserve">T-193 </w:t>
      </w:r>
      <w:r w:rsidR="00833A61">
        <w:rPr>
          <w:rFonts w:asciiTheme="minorHAnsi" w:hAnsiTheme="minorHAnsi" w:cs="Calibri"/>
          <w:lang w:val="es-CO"/>
        </w:rPr>
        <w:t xml:space="preserve">de </w:t>
      </w:r>
      <w:r w:rsidRPr="00623B4F">
        <w:rPr>
          <w:rFonts w:asciiTheme="minorHAnsi" w:hAnsiTheme="minorHAnsi" w:cs="Calibri"/>
          <w:lang w:val="es-CO"/>
        </w:rPr>
        <w:t>2008.</w:t>
      </w:r>
    </w:p>
  </w:footnote>
  <w:footnote w:id="4">
    <w:p w:rsidR="00833A61" w:rsidRPr="00833A61" w:rsidRDefault="00833A61">
      <w:pPr>
        <w:pStyle w:val="Textonotapie"/>
        <w:rPr>
          <w:lang w:val="es-CO"/>
        </w:rPr>
      </w:pPr>
      <w:r>
        <w:rPr>
          <w:rStyle w:val="Refdenotaalpie"/>
        </w:rPr>
        <w:footnoteRef/>
      </w:r>
      <w:r>
        <w:t xml:space="preserve"> </w:t>
      </w:r>
      <w:r w:rsidRPr="00623B4F">
        <w:rPr>
          <w:rFonts w:asciiTheme="minorHAnsi" w:hAnsiTheme="minorHAnsi" w:cs="Calibri"/>
        </w:rPr>
        <w:t xml:space="preserve">CORTE CONSTITUCIONAL.  Sentencia </w:t>
      </w:r>
      <w:r w:rsidRPr="00623B4F">
        <w:rPr>
          <w:rFonts w:asciiTheme="minorHAnsi" w:hAnsiTheme="minorHAnsi" w:cs="Calibri"/>
          <w:lang w:val="es-CO"/>
        </w:rPr>
        <w:t>T-</w:t>
      </w:r>
      <w:r>
        <w:rPr>
          <w:rFonts w:asciiTheme="minorHAnsi" w:hAnsiTheme="minorHAnsi" w:cs="Calibri"/>
          <w:lang w:val="es-CO"/>
        </w:rPr>
        <w:t>185</w:t>
      </w:r>
      <w:r w:rsidRPr="00623B4F">
        <w:rPr>
          <w:rFonts w:asciiTheme="minorHAnsi" w:hAnsiTheme="minorHAnsi" w:cs="Calibri"/>
          <w:lang w:val="es-CO"/>
        </w:rPr>
        <w:t xml:space="preserve"> </w:t>
      </w:r>
      <w:r>
        <w:rPr>
          <w:rFonts w:asciiTheme="minorHAnsi" w:hAnsiTheme="minorHAnsi" w:cs="Calibri"/>
          <w:lang w:val="es-CO"/>
        </w:rPr>
        <w:t>de 2013.</w:t>
      </w:r>
    </w:p>
  </w:footnote>
  <w:footnote w:id="5">
    <w:p w:rsidR="00833A61" w:rsidRPr="007B0994" w:rsidRDefault="00833A61" w:rsidP="00833A61">
      <w:pPr>
        <w:pStyle w:val="Textonotapie"/>
        <w:rPr>
          <w:lang w:val="es-CO"/>
        </w:rPr>
      </w:pPr>
      <w:r>
        <w:rPr>
          <w:rStyle w:val="Refdenotaalpie"/>
        </w:rPr>
        <w:footnoteRef/>
      </w:r>
      <w:r>
        <w:t xml:space="preserve"> </w:t>
      </w:r>
      <w:r w:rsidRPr="00CA12C8">
        <w:rPr>
          <w:rFonts w:asciiTheme="minorHAnsi" w:hAnsiTheme="minorHAnsi"/>
        </w:rPr>
        <w:t xml:space="preserve">CORTE CONSTITUCIONAL.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6">
    <w:p w:rsidR="00833A61" w:rsidRPr="00833A61" w:rsidRDefault="00833A61">
      <w:pPr>
        <w:pStyle w:val="Textonotapie"/>
        <w:rPr>
          <w:lang w:val="es-CO"/>
        </w:rPr>
      </w:pPr>
      <w:r>
        <w:rPr>
          <w:rStyle w:val="Refdenotaalpie"/>
        </w:rPr>
        <w:footnoteRef/>
      </w:r>
      <w:r>
        <w:t xml:space="preserve"> </w:t>
      </w:r>
      <w:r w:rsidRPr="00CA12C8">
        <w:rPr>
          <w:rFonts w:asciiTheme="minorHAnsi" w:hAnsiTheme="minorHAnsi"/>
        </w:rPr>
        <w:t xml:space="preserve">CORTE CONSTITUCIONAL.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7">
    <w:p w:rsidR="00530413" w:rsidRPr="00104D5D" w:rsidRDefault="00530413" w:rsidP="00104D5D">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w:t>
      </w:r>
      <w:r w:rsidR="001E61FA" w:rsidRPr="00104D5D">
        <w:rPr>
          <w:rFonts w:ascii="Calibri" w:hAnsi="Calibri" w:cs="Calibri"/>
        </w:rPr>
        <w:t>0</w:t>
      </w:r>
      <w:r w:rsidRPr="00104D5D">
        <w:rPr>
          <w:rFonts w:ascii="Calibri" w:hAnsi="Calibri" w:cs="Calibri"/>
        </w:rPr>
        <w:t>6, p</w:t>
      </w:r>
      <w:r w:rsidR="00060A31" w:rsidRPr="00104D5D">
        <w:rPr>
          <w:rFonts w:ascii="Calibri" w:hAnsi="Calibri" w:cs="Calibri"/>
        </w:rPr>
        <w:t>.</w:t>
      </w:r>
      <w:r w:rsidRPr="00104D5D">
        <w:rPr>
          <w:rFonts w:ascii="Calibri" w:hAnsi="Calibri" w:cs="Calibri"/>
        </w:rPr>
        <w:t>120.</w:t>
      </w:r>
    </w:p>
  </w:footnote>
  <w:footnote w:id="8">
    <w:p w:rsidR="00104D5D" w:rsidRPr="00104D5D" w:rsidRDefault="00104D5D" w:rsidP="00104D5D">
      <w:pPr>
        <w:pStyle w:val="Textonotapie"/>
        <w:jc w:val="both"/>
        <w:rPr>
          <w:lang w:val="es-CO"/>
        </w:rPr>
      </w:pPr>
      <w:r w:rsidRPr="00104D5D">
        <w:rPr>
          <w:rStyle w:val="Refdenotaalpie"/>
          <w:rFonts w:ascii="Calibri" w:hAnsi="Calibri"/>
        </w:rPr>
        <w:footnoteRef/>
      </w:r>
      <w:r w:rsidRPr="00104D5D">
        <w:rPr>
          <w:rFonts w:ascii="Calibri" w:hAnsi="Calibri"/>
        </w:rPr>
        <w:t xml:space="preserve"> </w:t>
      </w:r>
      <w:r w:rsidRPr="00104D5D">
        <w:rPr>
          <w:rFonts w:ascii="Calibri" w:hAnsi="Calibri"/>
          <w:lang w:val="es-CO"/>
        </w:rPr>
        <w:t xml:space="preserve">TRIBUNAL SUPERIOR DE PEREIRA,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Herrera, expediente No.</w:t>
      </w:r>
      <w:r w:rsidRPr="00104D5D">
        <w:rPr>
          <w:rFonts w:ascii="Calibri" w:hAnsi="Calibri"/>
        </w:rPr>
        <w:t xml:space="preserve"> </w:t>
      </w:r>
      <w:r w:rsidRPr="00104D5D">
        <w:rPr>
          <w:rFonts w:ascii="Calibri" w:hAnsi="Calibri"/>
          <w:lang w:val="es-CO"/>
        </w:rPr>
        <w:t>2016-00289-00</w:t>
      </w:r>
      <w:r>
        <w:rPr>
          <w:rFonts w:ascii="Calibri" w:hAnsi="Calibri"/>
          <w:lang w:val="es-CO"/>
        </w:rPr>
        <w:t>.</w:t>
      </w:r>
    </w:p>
  </w:footnote>
  <w:footnote w:id="9">
    <w:p w:rsidR="007F030F" w:rsidRPr="008C531D" w:rsidRDefault="00833A61" w:rsidP="008C531D">
      <w:pPr>
        <w:pStyle w:val="Textonotapie"/>
        <w:jc w:val="both"/>
        <w:rPr>
          <w:rFonts w:ascii="Calibri" w:hAnsi="Calibri"/>
        </w:rPr>
      </w:pPr>
      <w:r w:rsidRPr="008C531D">
        <w:rPr>
          <w:rStyle w:val="Refdenotaalpie"/>
          <w:rFonts w:ascii="Calibri" w:hAnsi="Calibri"/>
        </w:rPr>
        <w:footnoteRef/>
      </w:r>
      <w:r w:rsidRPr="008C531D">
        <w:rPr>
          <w:rFonts w:ascii="Calibri" w:hAnsi="Calibri"/>
        </w:rPr>
        <w:t xml:space="preserve"> </w:t>
      </w:r>
      <w:r w:rsidR="008C531D" w:rsidRPr="008C531D">
        <w:rPr>
          <w:rFonts w:ascii="Calibri" w:hAnsi="Calibri"/>
        </w:rPr>
        <w:t xml:space="preserve">CORTE CONSTITUCIONAL. Sentencia </w:t>
      </w:r>
      <w:r w:rsidRPr="008C531D">
        <w:rPr>
          <w:rFonts w:ascii="Calibri" w:hAnsi="Calibri"/>
        </w:rPr>
        <w:t>T-057 de 2016</w:t>
      </w:r>
      <w:r w:rsidR="008C531D" w:rsidRPr="008C531D">
        <w:rPr>
          <w:rFonts w:ascii="Calibri" w:hAnsi="Calibri"/>
        </w:rPr>
        <w:t>.</w:t>
      </w:r>
    </w:p>
  </w:footnote>
  <w:footnote w:id="10">
    <w:p w:rsidR="00A4402B" w:rsidRPr="008C531D" w:rsidRDefault="00A4402B" w:rsidP="008C531D">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sidR="008C531D" w:rsidRPr="008C531D">
        <w:rPr>
          <w:rFonts w:ascii="Calibri" w:hAnsi="Calibri"/>
        </w:rPr>
        <w:t>CORTE CONSTITUCIONAL. Sentencia</w:t>
      </w:r>
      <w:r w:rsidR="008C531D" w:rsidRPr="008C531D">
        <w:rPr>
          <w:rFonts w:ascii="Calibri" w:hAnsi="Calibri"/>
          <w:lang w:val="es-CO"/>
        </w:rPr>
        <w:t xml:space="preserve"> </w:t>
      </w:r>
      <w:r w:rsidRPr="008C531D">
        <w:rPr>
          <w:rFonts w:ascii="Calibri" w:hAnsi="Calibri"/>
          <w:lang w:val="es-CO"/>
        </w:rPr>
        <w:t>T-095 de 2015</w:t>
      </w:r>
      <w:r w:rsidR="008C531D" w:rsidRPr="008C531D">
        <w:rPr>
          <w:rFonts w:ascii="Calibri" w:hAnsi="Calibri"/>
          <w:lang w:val="es-CO"/>
        </w:rPr>
        <w:t>.</w:t>
      </w:r>
    </w:p>
  </w:footnote>
  <w:footnote w:id="11">
    <w:p w:rsidR="008C531D" w:rsidRPr="00A4402B" w:rsidRDefault="008C531D" w:rsidP="008C531D">
      <w:pPr>
        <w:pStyle w:val="Textonotapie"/>
        <w:jc w:val="both"/>
        <w:rPr>
          <w:lang w:val="es-CO"/>
        </w:rPr>
      </w:pPr>
      <w:r w:rsidRPr="008C531D">
        <w:rPr>
          <w:rStyle w:val="Refdenotaalpie"/>
          <w:rFonts w:ascii="Calibri" w:hAnsi="Calibri"/>
        </w:rPr>
        <w:footnoteRef/>
      </w:r>
      <w:r w:rsidRPr="008C531D">
        <w:rPr>
          <w:rFonts w:ascii="Calibri" w:hAnsi="Calibri"/>
        </w:rPr>
        <w:t xml:space="preserve"> CORTE CONSTITUCIONAL. Sentencia</w:t>
      </w:r>
      <w:r w:rsidRPr="008C531D">
        <w:rPr>
          <w:rFonts w:ascii="Calibri" w:hAnsi="Calibri"/>
          <w:lang w:val="es-CO"/>
        </w:rPr>
        <w:t xml:space="preserve"> T-560 de 2009, reiterada en las sentencias T-185 de 2013 y T-001 de 2016, entre otras.</w:t>
      </w:r>
    </w:p>
  </w:footnote>
  <w:footnote w:id="12">
    <w:p w:rsidR="00F2155F" w:rsidRDefault="00F2155F" w:rsidP="00F2155F">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w:t>
      </w:r>
      <w:r w:rsidRPr="00623B4F">
        <w:rPr>
          <w:rFonts w:asciiTheme="minorHAnsi" w:hAnsiTheme="minorHAnsi" w:cs="Calibri"/>
          <w:lang w:val="es-CO"/>
        </w:rPr>
        <w:t xml:space="preserve">T-184 </w:t>
      </w:r>
      <w:r>
        <w:rPr>
          <w:rFonts w:asciiTheme="minorHAnsi" w:hAnsiTheme="minorHAnsi" w:cs="Calibri"/>
          <w:lang w:val="es-CO"/>
        </w:rPr>
        <w:t>de 2</w:t>
      </w:r>
      <w:r w:rsidRPr="00623B4F">
        <w:rPr>
          <w:rFonts w:asciiTheme="minorHAnsi" w:hAnsiTheme="minorHAnsi" w:cs="Calibri"/>
          <w:lang w:val="es-CO"/>
        </w:rPr>
        <w:t>005</w:t>
      </w:r>
      <w:r>
        <w:rPr>
          <w:rFonts w:asciiTheme="minorHAnsi" w:hAnsiTheme="minorHAnsi" w:cs="Calibri"/>
          <w:lang w:val="es-CO"/>
        </w:rPr>
        <w:t>.</w:t>
      </w:r>
    </w:p>
  </w:footnote>
  <w:footnote w:id="13">
    <w:p w:rsidR="00F2155F" w:rsidRPr="00F2155F" w:rsidRDefault="00F2155F">
      <w:pPr>
        <w:pStyle w:val="Textonotapie"/>
        <w:rPr>
          <w:lang w:val="es-CO"/>
        </w:rPr>
      </w:pPr>
      <w:r>
        <w:rPr>
          <w:rStyle w:val="Refdenotaalpie"/>
        </w:rPr>
        <w:footnoteRef/>
      </w:r>
      <w:r>
        <w:t xml:space="preserve"> </w:t>
      </w:r>
      <w:r w:rsidRPr="00623B4F">
        <w:rPr>
          <w:rFonts w:asciiTheme="minorHAnsi" w:hAnsiTheme="minorHAnsi" w:cs="Calibri"/>
        </w:rPr>
        <w:t>CORTE CONSTITUCIONAL.</w:t>
      </w:r>
      <w:r>
        <w:rPr>
          <w:rFonts w:asciiTheme="minorHAnsi" w:hAnsiTheme="minorHAnsi" w:cs="Calibri"/>
        </w:rPr>
        <w:t xml:space="preserve"> Sentencia T-001 de 2016</w:t>
      </w:r>
      <w:r w:rsidRPr="00F2155F">
        <w:rPr>
          <w:rFonts w:ascii="Verdana" w:hAnsi="Verdana"/>
          <w:bCs/>
          <w:color w:val="000000"/>
          <w:sz w:val="22"/>
          <w:szCs w:val="22"/>
        </w:rPr>
        <w:t>.</w:t>
      </w:r>
    </w:p>
  </w:footnote>
  <w:footnote w:id="14">
    <w:p w:rsidR="00F2155F" w:rsidRDefault="00F2155F" w:rsidP="00F2155F">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15">
    <w:p w:rsidR="00F2155F" w:rsidRDefault="00F2155F" w:rsidP="00F2155F">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T-443 de 1995</w:t>
      </w:r>
      <w:r w:rsidR="00104D5D">
        <w:rPr>
          <w:rFonts w:asciiTheme="minorHAnsi" w:hAnsiTheme="minorHAnsi" w:cs="Calibri"/>
        </w:rPr>
        <w:t>.</w:t>
      </w:r>
    </w:p>
  </w:footnote>
  <w:footnote w:id="16">
    <w:p w:rsidR="00F2155F" w:rsidRDefault="00F2155F" w:rsidP="00F2155F">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T-149 de 1995</w:t>
      </w:r>
      <w:r>
        <w:rPr>
          <w:rFonts w:asciiTheme="minorHAnsi" w:hAnsiTheme="minorHAnsi" w:cs="Calibri"/>
        </w:rPr>
        <w:t>.</w:t>
      </w:r>
    </w:p>
  </w:footnote>
  <w:footnote w:id="17">
    <w:p w:rsidR="00F2155F" w:rsidRDefault="00F2155F" w:rsidP="00F2155F">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T-308 de 1995</w:t>
      </w:r>
      <w:r>
        <w:rPr>
          <w:rFonts w:asciiTheme="minorHAnsi" w:hAnsiTheme="minorHAnsi" w:cs="Calibri"/>
        </w:rPr>
        <w:t>.</w:t>
      </w:r>
    </w:p>
  </w:footnote>
  <w:footnote w:id="18">
    <w:p w:rsidR="00F2155F" w:rsidRDefault="00F2155F" w:rsidP="00F2155F">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T-443 de 1995</w:t>
      </w:r>
      <w:r>
        <w:rPr>
          <w:rFonts w:asciiTheme="minorHAnsi" w:hAnsiTheme="minorHAnsi" w:cs="Calibri"/>
        </w:rPr>
        <w:t>.</w:t>
      </w:r>
    </w:p>
  </w:footnote>
  <w:footnote w:id="19">
    <w:p w:rsidR="00F2155F" w:rsidRDefault="00F2155F" w:rsidP="00F2155F">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T-001 de 1997</w:t>
      </w:r>
      <w:r>
        <w:rPr>
          <w:rFonts w:asciiTheme="minorHAnsi" w:hAnsiTheme="minorHAnsi" w:cs="Calibri"/>
        </w:rPr>
        <w:t>.</w:t>
      </w:r>
    </w:p>
  </w:footnote>
  <w:footnote w:id="20">
    <w:p w:rsidR="00F2155F" w:rsidRDefault="00F2155F" w:rsidP="00F2155F">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w:t>
      </w:r>
      <w:r w:rsidRPr="00623B4F">
        <w:rPr>
          <w:rFonts w:asciiTheme="minorHAnsi" w:hAnsiTheme="minorHAnsi" w:cs="Calibri"/>
          <w:lang w:val="es-CO"/>
        </w:rPr>
        <w:t xml:space="preserve">T-184 </w:t>
      </w:r>
      <w:r>
        <w:rPr>
          <w:rFonts w:asciiTheme="minorHAnsi" w:hAnsiTheme="minorHAnsi" w:cs="Calibri"/>
          <w:lang w:val="es-CO"/>
        </w:rPr>
        <w:t xml:space="preserve">de </w:t>
      </w:r>
      <w:r w:rsidRPr="00623B4F">
        <w:rPr>
          <w:rFonts w:asciiTheme="minorHAnsi" w:hAnsiTheme="minorHAnsi" w:cs="Calibri"/>
          <w:lang w:val="es-CO"/>
        </w:rPr>
        <w:t>2005</w:t>
      </w:r>
      <w:r>
        <w:rPr>
          <w:rFonts w:asciiTheme="minorHAnsi" w:hAnsiTheme="minorHAnsi" w:cs="Calibri"/>
          <w:lang w:val="es-CO"/>
        </w:rPr>
        <w:t>.</w:t>
      </w:r>
    </w:p>
  </w:footnote>
  <w:footnote w:id="21">
    <w:p w:rsidR="00104D5D" w:rsidRPr="00104D5D" w:rsidRDefault="00104D5D">
      <w:pPr>
        <w:pStyle w:val="Textonotapie"/>
        <w:rPr>
          <w:lang w:val="es-CO"/>
        </w:rPr>
      </w:pPr>
      <w:r>
        <w:rPr>
          <w:rStyle w:val="Refdenotaalpie"/>
        </w:rPr>
        <w:footnoteRef/>
      </w:r>
      <w:r>
        <w:t xml:space="preserve"> </w:t>
      </w:r>
      <w:r w:rsidRPr="00104D5D">
        <w:rPr>
          <w:rFonts w:ascii="Calibri" w:hAnsi="Calibri"/>
          <w:lang w:val="es-CO"/>
        </w:rPr>
        <w:t>CORTE SUPREMA DE JUSTICIA, Sala de Casación Civil. Sentencia STC7600-2016.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795C9D">
      <w:rPr>
        <w:rFonts w:ascii="Calibri" w:hAnsi="Calibri" w:cs="Calibri"/>
        <w:i/>
        <w:noProof/>
        <w:sz w:val="20"/>
      </w:rPr>
      <w:t>7</w:t>
    </w:r>
    <w:r w:rsidRPr="006414F7">
      <w:rPr>
        <w:rFonts w:ascii="Calibri" w:hAnsi="Calibri" w:cs="Calibri"/>
        <w:i/>
        <w:sz w:val="20"/>
      </w:rPr>
      <w:fldChar w:fldCharType="end"/>
    </w:r>
  </w:p>
  <w:p w:rsidR="00CC51AE" w:rsidRPr="006414F7" w:rsidRDefault="00CC51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C82018">
      <w:rPr>
        <w:rFonts w:ascii="Calibri" w:hAnsi="Calibri" w:cs="Calibri"/>
        <w:i/>
        <w:sz w:val="20"/>
        <w:szCs w:val="22"/>
      </w:rPr>
      <w:t>2016-</w:t>
    </w:r>
    <w:r w:rsidR="005A0697">
      <w:rPr>
        <w:rFonts w:ascii="Calibri" w:hAnsi="Calibri" w:cs="Calibri"/>
        <w:i/>
        <w:sz w:val="20"/>
        <w:szCs w:val="22"/>
      </w:rPr>
      <w:t>00554</w:t>
    </w:r>
    <w:r w:rsidR="00C82018">
      <w:rPr>
        <w:rFonts w:ascii="Calibri" w:hAnsi="Calibri" w:cs="Calibri"/>
        <w:i/>
        <w:sz w:val="20"/>
        <w:szCs w:val="22"/>
      </w:rPr>
      <w:t>-</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033AF"/>
    <w:multiLevelType w:val="multilevel"/>
    <w:tmpl w:val="E24C2AD0"/>
    <w:lvl w:ilvl="0">
      <w:start w:val="7"/>
      <w:numFmt w:val="decimal"/>
      <w:lvlText w:val="%1"/>
      <w:lvlJc w:val="left"/>
      <w:pPr>
        <w:ind w:left="525" w:hanging="525"/>
      </w:pPr>
      <w:rPr>
        <w:rFonts w:cs="Times New Roman" w:hint="default"/>
        <w:sz w:val="24"/>
      </w:rPr>
    </w:lvl>
    <w:lvl w:ilvl="1">
      <w:start w:val="3"/>
      <w:numFmt w:val="decimal"/>
      <w:lvlText w:val="%1.%2"/>
      <w:lvlJc w:val="left"/>
      <w:pPr>
        <w:ind w:left="525" w:hanging="525"/>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CFBA87D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EA433E"/>
    <w:multiLevelType w:val="multilevel"/>
    <w:tmpl w:val="0E26153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EE72DEA"/>
    <w:multiLevelType w:val="multilevel"/>
    <w:tmpl w:val="342AB464"/>
    <w:lvl w:ilvl="0">
      <w:start w:val="7"/>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4"/>
  </w:num>
  <w:num w:numId="3">
    <w:abstractNumId w:val="13"/>
  </w:num>
  <w:num w:numId="4">
    <w:abstractNumId w:val="3"/>
  </w:num>
  <w:num w:numId="5">
    <w:abstractNumId w:val="26"/>
  </w:num>
  <w:num w:numId="6">
    <w:abstractNumId w:val="1"/>
  </w:num>
  <w:num w:numId="7">
    <w:abstractNumId w:val="19"/>
  </w:num>
  <w:num w:numId="8">
    <w:abstractNumId w:val="2"/>
  </w:num>
  <w:num w:numId="9">
    <w:abstractNumId w:val="27"/>
  </w:num>
  <w:num w:numId="10">
    <w:abstractNumId w:val="20"/>
  </w:num>
  <w:num w:numId="11">
    <w:abstractNumId w:val="17"/>
  </w:num>
  <w:num w:numId="12">
    <w:abstractNumId w:val="25"/>
  </w:num>
  <w:num w:numId="13">
    <w:abstractNumId w:val="9"/>
  </w:num>
  <w:num w:numId="14">
    <w:abstractNumId w:val="10"/>
  </w:num>
  <w:num w:numId="15">
    <w:abstractNumId w:val="15"/>
  </w:num>
  <w:num w:numId="16">
    <w:abstractNumId w:val="5"/>
  </w:num>
  <w:num w:numId="17">
    <w:abstractNumId w:val="16"/>
  </w:num>
  <w:num w:numId="18">
    <w:abstractNumId w:val="8"/>
  </w:num>
  <w:num w:numId="19">
    <w:abstractNumId w:val="6"/>
  </w:num>
  <w:num w:numId="20">
    <w:abstractNumId w:val="11"/>
  </w:num>
  <w:num w:numId="21">
    <w:abstractNumId w:val="18"/>
  </w:num>
  <w:num w:numId="22">
    <w:abstractNumId w:val="24"/>
  </w:num>
  <w:num w:numId="23">
    <w:abstractNumId w:val="7"/>
  </w:num>
  <w:num w:numId="24">
    <w:abstractNumId w:val="21"/>
  </w:num>
  <w:num w:numId="25">
    <w:abstractNumId w:val="4"/>
  </w:num>
  <w:num w:numId="26">
    <w:abstractNumId w:val="12"/>
  </w:num>
  <w:num w:numId="27">
    <w:abstractNumId w:val="23"/>
  </w:num>
  <w:num w:numId="28">
    <w:abstractNumId w:val="22"/>
  </w:num>
  <w:num w:numId="29">
    <w:abstractNumId w:val="28"/>
  </w:num>
  <w:num w:numId="30">
    <w:abstractNumId w:val="3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69D9"/>
    <w:rsid w:val="000174DA"/>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996"/>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25"/>
    <w:rsid w:val="00057150"/>
    <w:rsid w:val="00060303"/>
    <w:rsid w:val="000605AB"/>
    <w:rsid w:val="00060A31"/>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C6"/>
    <w:rsid w:val="000769E5"/>
    <w:rsid w:val="000774AE"/>
    <w:rsid w:val="000803A5"/>
    <w:rsid w:val="00080DED"/>
    <w:rsid w:val="00081F32"/>
    <w:rsid w:val="0008248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D52"/>
    <w:rsid w:val="000B329C"/>
    <w:rsid w:val="000B4029"/>
    <w:rsid w:val="000B415F"/>
    <w:rsid w:val="000B52B9"/>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4D5D"/>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6E5"/>
    <w:rsid w:val="00162F1A"/>
    <w:rsid w:val="00162FB1"/>
    <w:rsid w:val="00163299"/>
    <w:rsid w:val="00163385"/>
    <w:rsid w:val="001638EF"/>
    <w:rsid w:val="00163B5A"/>
    <w:rsid w:val="00163C03"/>
    <w:rsid w:val="00163E7B"/>
    <w:rsid w:val="0016466E"/>
    <w:rsid w:val="00164C26"/>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66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1D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1FA"/>
    <w:rsid w:val="001E66AE"/>
    <w:rsid w:val="001E672D"/>
    <w:rsid w:val="001E6E16"/>
    <w:rsid w:val="001E72A0"/>
    <w:rsid w:val="001E7412"/>
    <w:rsid w:val="001E7670"/>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88"/>
    <w:rsid w:val="001F4AEC"/>
    <w:rsid w:val="001F4C1B"/>
    <w:rsid w:val="001F4D67"/>
    <w:rsid w:val="001F5FAD"/>
    <w:rsid w:val="001F657C"/>
    <w:rsid w:val="001F6A2A"/>
    <w:rsid w:val="001F6B69"/>
    <w:rsid w:val="001F7109"/>
    <w:rsid w:val="001F71B3"/>
    <w:rsid w:val="001F7452"/>
    <w:rsid w:val="00200243"/>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51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AA"/>
    <w:rsid w:val="002274FF"/>
    <w:rsid w:val="00227A72"/>
    <w:rsid w:val="00227FC9"/>
    <w:rsid w:val="00230B9A"/>
    <w:rsid w:val="0023112E"/>
    <w:rsid w:val="002318E5"/>
    <w:rsid w:val="002324DF"/>
    <w:rsid w:val="00232D47"/>
    <w:rsid w:val="00232F91"/>
    <w:rsid w:val="0023348A"/>
    <w:rsid w:val="002337AB"/>
    <w:rsid w:val="0023398A"/>
    <w:rsid w:val="00233F38"/>
    <w:rsid w:val="00234977"/>
    <w:rsid w:val="002359A1"/>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1D1"/>
    <w:rsid w:val="0029693F"/>
    <w:rsid w:val="002972E0"/>
    <w:rsid w:val="00297686"/>
    <w:rsid w:val="00297747"/>
    <w:rsid w:val="00297C65"/>
    <w:rsid w:val="00297D4F"/>
    <w:rsid w:val="002A04ED"/>
    <w:rsid w:val="002A1105"/>
    <w:rsid w:val="002A15C7"/>
    <w:rsid w:val="002A23F3"/>
    <w:rsid w:val="002A26CA"/>
    <w:rsid w:val="002A283C"/>
    <w:rsid w:val="002A2E1A"/>
    <w:rsid w:val="002A35D0"/>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139B"/>
    <w:rsid w:val="002C2622"/>
    <w:rsid w:val="002C3B48"/>
    <w:rsid w:val="002C3E10"/>
    <w:rsid w:val="002C4684"/>
    <w:rsid w:val="002C4983"/>
    <w:rsid w:val="002C4AC0"/>
    <w:rsid w:val="002C4C30"/>
    <w:rsid w:val="002C5039"/>
    <w:rsid w:val="002C50BB"/>
    <w:rsid w:val="002C5523"/>
    <w:rsid w:val="002C59AC"/>
    <w:rsid w:val="002C5B41"/>
    <w:rsid w:val="002C5C9D"/>
    <w:rsid w:val="002C710C"/>
    <w:rsid w:val="002C771C"/>
    <w:rsid w:val="002C79F1"/>
    <w:rsid w:val="002D061F"/>
    <w:rsid w:val="002D08EB"/>
    <w:rsid w:val="002D1B84"/>
    <w:rsid w:val="002D31B2"/>
    <w:rsid w:val="002D37CB"/>
    <w:rsid w:val="002D3DFE"/>
    <w:rsid w:val="002D4132"/>
    <w:rsid w:val="002D4A2E"/>
    <w:rsid w:val="002D62CE"/>
    <w:rsid w:val="002D68BD"/>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F90"/>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13B"/>
    <w:rsid w:val="003136DB"/>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70D1D"/>
    <w:rsid w:val="0037217E"/>
    <w:rsid w:val="003722A2"/>
    <w:rsid w:val="00372BC7"/>
    <w:rsid w:val="003733E2"/>
    <w:rsid w:val="0037348A"/>
    <w:rsid w:val="003739B4"/>
    <w:rsid w:val="00374B7E"/>
    <w:rsid w:val="00374F1E"/>
    <w:rsid w:val="0037599F"/>
    <w:rsid w:val="00375AAF"/>
    <w:rsid w:val="00375F7E"/>
    <w:rsid w:val="003764EE"/>
    <w:rsid w:val="003767EE"/>
    <w:rsid w:val="00376E1F"/>
    <w:rsid w:val="00376F2B"/>
    <w:rsid w:val="00376F61"/>
    <w:rsid w:val="00377743"/>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A678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630"/>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2EB"/>
    <w:rsid w:val="00425AE6"/>
    <w:rsid w:val="00425EE4"/>
    <w:rsid w:val="004276F6"/>
    <w:rsid w:val="00430174"/>
    <w:rsid w:val="004302F8"/>
    <w:rsid w:val="0043043A"/>
    <w:rsid w:val="00431AF7"/>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5E3"/>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2BCD"/>
    <w:rsid w:val="004B36EB"/>
    <w:rsid w:val="004B3732"/>
    <w:rsid w:val="004B3F03"/>
    <w:rsid w:val="004B3F1F"/>
    <w:rsid w:val="004B45E4"/>
    <w:rsid w:val="004B4FA9"/>
    <w:rsid w:val="004B7439"/>
    <w:rsid w:val="004C0794"/>
    <w:rsid w:val="004C0EA4"/>
    <w:rsid w:val="004C1276"/>
    <w:rsid w:val="004C1BA7"/>
    <w:rsid w:val="004C23DA"/>
    <w:rsid w:val="004C247F"/>
    <w:rsid w:val="004C260D"/>
    <w:rsid w:val="004C3734"/>
    <w:rsid w:val="004C4062"/>
    <w:rsid w:val="004C449D"/>
    <w:rsid w:val="004C4D15"/>
    <w:rsid w:val="004C5E38"/>
    <w:rsid w:val="004C5FBD"/>
    <w:rsid w:val="004C630D"/>
    <w:rsid w:val="004C6535"/>
    <w:rsid w:val="004C66CC"/>
    <w:rsid w:val="004C6B7B"/>
    <w:rsid w:val="004C6D4E"/>
    <w:rsid w:val="004C6E9F"/>
    <w:rsid w:val="004C72C8"/>
    <w:rsid w:val="004C7364"/>
    <w:rsid w:val="004C7804"/>
    <w:rsid w:val="004D009E"/>
    <w:rsid w:val="004D07D1"/>
    <w:rsid w:val="004D0D02"/>
    <w:rsid w:val="004D0F71"/>
    <w:rsid w:val="004D1154"/>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02F"/>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3453"/>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11A"/>
    <w:rsid w:val="00530413"/>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3783F"/>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887"/>
    <w:rsid w:val="00550E2F"/>
    <w:rsid w:val="00551BFA"/>
    <w:rsid w:val="00551FBB"/>
    <w:rsid w:val="0055282B"/>
    <w:rsid w:val="00553562"/>
    <w:rsid w:val="0055380E"/>
    <w:rsid w:val="00553F9C"/>
    <w:rsid w:val="0055407B"/>
    <w:rsid w:val="00554FD1"/>
    <w:rsid w:val="00555B74"/>
    <w:rsid w:val="00555BC2"/>
    <w:rsid w:val="005561DB"/>
    <w:rsid w:val="00556508"/>
    <w:rsid w:val="00556F7F"/>
    <w:rsid w:val="0055788B"/>
    <w:rsid w:val="0055798C"/>
    <w:rsid w:val="00557A1B"/>
    <w:rsid w:val="00557CDA"/>
    <w:rsid w:val="0056065A"/>
    <w:rsid w:val="005606A5"/>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328"/>
    <w:rsid w:val="00591A2D"/>
    <w:rsid w:val="00594584"/>
    <w:rsid w:val="00594F7E"/>
    <w:rsid w:val="00594FDC"/>
    <w:rsid w:val="0059514B"/>
    <w:rsid w:val="00595487"/>
    <w:rsid w:val="005955FF"/>
    <w:rsid w:val="00596A3B"/>
    <w:rsid w:val="00596DB4"/>
    <w:rsid w:val="0059791D"/>
    <w:rsid w:val="005979AE"/>
    <w:rsid w:val="005A0697"/>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BCE"/>
    <w:rsid w:val="005B0C3F"/>
    <w:rsid w:val="005B0F48"/>
    <w:rsid w:val="005B117C"/>
    <w:rsid w:val="005B147B"/>
    <w:rsid w:val="005B14A2"/>
    <w:rsid w:val="005B161F"/>
    <w:rsid w:val="005B17A4"/>
    <w:rsid w:val="005B22C2"/>
    <w:rsid w:val="005B2951"/>
    <w:rsid w:val="005B2BC6"/>
    <w:rsid w:val="005B38CC"/>
    <w:rsid w:val="005B3C2E"/>
    <w:rsid w:val="005B3E44"/>
    <w:rsid w:val="005B3EFB"/>
    <w:rsid w:val="005B41D2"/>
    <w:rsid w:val="005B599C"/>
    <w:rsid w:val="005B6B06"/>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BAE"/>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326"/>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351"/>
    <w:rsid w:val="006365A4"/>
    <w:rsid w:val="006369B3"/>
    <w:rsid w:val="006372C3"/>
    <w:rsid w:val="006372ED"/>
    <w:rsid w:val="00637FA1"/>
    <w:rsid w:val="0064084F"/>
    <w:rsid w:val="006413D0"/>
    <w:rsid w:val="006414F7"/>
    <w:rsid w:val="00641577"/>
    <w:rsid w:val="00641BBB"/>
    <w:rsid w:val="006425C8"/>
    <w:rsid w:val="006426DA"/>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479CB"/>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355B"/>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B0"/>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A22"/>
    <w:rsid w:val="006D5C87"/>
    <w:rsid w:val="006D6594"/>
    <w:rsid w:val="006D748A"/>
    <w:rsid w:val="006D76E6"/>
    <w:rsid w:val="006D7AF8"/>
    <w:rsid w:val="006D7BA2"/>
    <w:rsid w:val="006D7EC3"/>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053"/>
    <w:rsid w:val="007106FD"/>
    <w:rsid w:val="00710A01"/>
    <w:rsid w:val="0071180F"/>
    <w:rsid w:val="00711881"/>
    <w:rsid w:val="007118F0"/>
    <w:rsid w:val="0071194E"/>
    <w:rsid w:val="00711C9A"/>
    <w:rsid w:val="00712527"/>
    <w:rsid w:val="00713A83"/>
    <w:rsid w:val="007149F4"/>
    <w:rsid w:val="0071543E"/>
    <w:rsid w:val="007154A5"/>
    <w:rsid w:val="007154F9"/>
    <w:rsid w:val="007161AC"/>
    <w:rsid w:val="00717574"/>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7BD"/>
    <w:rsid w:val="00742DAD"/>
    <w:rsid w:val="00742E38"/>
    <w:rsid w:val="00744FF6"/>
    <w:rsid w:val="007451C1"/>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6077"/>
    <w:rsid w:val="007669B9"/>
    <w:rsid w:val="00767C23"/>
    <w:rsid w:val="00767F97"/>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5C9D"/>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0994"/>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271"/>
    <w:rsid w:val="007E0930"/>
    <w:rsid w:val="007E12C5"/>
    <w:rsid w:val="007E138F"/>
    <w:rsid w:val="007E1A57"/>
    <w:rsid w:val="007E1A99"/>
    <w:rsid w:val="007E1F07"/>
    <w:rsid w:val="007E247C"/>
    <w:rsid w:val="007E25A8"/>
    <w:rsid w:val="007E25BB"/>
    <w:rsid w:val="007E2877"/>
    <w:rsid w:val="007E293D"/>
    <w:rsid w:val="007E2E20"/>
    <w:rsid w:val="007E3668"/>
    <w:rsid w:val="007E45CF"/>
    <w:rsid w:val="007E4C29"/>
    <w:rsid w:val="007E611C"/>
    <w:rsid w:val="007E614B"/>
    <w:rsid w:val="007E61FB"/>
    <w:rsid w:val="007E63C7"/>
    <w:rsid w:val="007E7055"/>
    <w:rsid w:val="007E7CE6"/>
    <w:rsid w:val="007E7D23"/>
    <w:rsid w:val="007F030F"/>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0D5"/>
    <w:rsid w:val="00804242"/>
    <w:rsid w:val="00804404"/>
    <w:rsid w:val="00804C9F"/>
    <w:rsid w:val="00804F27"/>
    <w:rsid w:val="008052E8"/>
    <w:rsid w:val="00805E45"/>
    <w:rsid w:val="00806547"/>
    <w:rsid w:val="00806C68"/>
    <w:rsid w:val="00807080"/>
    <w:rsid w:val="008073AB"/>
    <w:rsid w:val="008075EB"/>
    <w:rsid w:val="00807BA9"/>
    <w:rsid w:val="00810DE7"/>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BB9"/>
    <w:rsid w:val="00830EC6"/>
    <w:rsid w:val="00831A20"/>
    <w:rsid w:val="008335F7"/>
    <w:rsid w:val="0083382D"/>
    <w:rsid w:val="008338A8"/>
    <w:rsid w:val="00833A49"/>
    <w:rsid w:val="00833A61"/>
    <w:rsid w:val="00834BB8"/>
    <w:rsid w:val="00836314"/>
    <w:rsid w:val="00836EE1"/>
    <w:rsid w:val="008375BC"/>
    <w:rsid w:val="00837C04"/>
    <w:rsid w:val="00837DF1"/>
    <w:rsid w:val="00840115"/>
    <w:rsid w:val="00840E09"/>
    <w:rsid w:val="00841BFC"/>
    <w:rsid w:val="00841F94"/>
    <w:rsid w:val="008420D6"/>
    <w:rsid w:val="00843758"/>
    <w:rsid w:val="00843A8E"/>
    <w:rsid w:val="00843F4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2F1"/>
    <w:rsid w:val="008634F9"/>
    <w:rsid w:val="00863716"/>
    <w:rsid w:val="00863926"/>
    <w:rsid w:val="00864595"/>
    <w:rsid w:val="00864B50"/>
    <w:rsid w:val="00865235"/>
    <w:rsid w:val="00865709"/>
    <w:rsid w:val="00865BF9"/>
    <w:rsid w:val="00866190"/>
    <w:rsid w:val="00866E35"/>
    <w:rsid w:val="008672A9"/>
    <w:rsid w:val="00870351"/>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31D"/>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2F8"/>
    <w:rsid w:val="008D43B4"/>
    <w:rsid w:val="008D49E9"/>
    <w:rsid w:val="008D53F1"/>
    <w:rsid w:val="008D603B"/>
    <w:rsid w:val="008E20DE"/>
    <w:rsid w:val="008E2633"/>
    <w:rsid w:val="008E2790"/>
    <w:rsid w:val="008E36DB"/>
    <w:rsid w:val="008E412D"/>
    <w:rsid w:val="008E5334"/>
    <w:rsid w:val="008E5427"/>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A7B"/>
    <w:rsid w:val="008F4157"/>
    <w:rsid w:val="008F42D9"/>
    <w:rsid w:val="008F59AB"/>
    <w:rsid w:val="008F5D8D"/>
    <w:rsid w:val="008F60E9"/>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9A"/>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E97"/>
    <w:rsid w:val="00976FC7"/>
    <w:rsid w:val="00980A11"/>
    <w:rsid w:val="00980AC5"/>
    <w:rsid w:val="0098136D"/>
    <w:rsid w:val="00982323"/>
    <w:rsid w:val="00982332"/>
    <w:rsid w:val="009824FF"/>
    <w:rsid w:val="0098258C"/>
    <w:rsid w:val="009831A6"/>
    <w:rsid w:val="0098327D"/>
    <w:rsid w:val="0098336F"/>
    <w:rsid w:val="00983578"/>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C2E"/>
    <w:rsid w:val="009943CD"/>
    <w:rsid w:val="00994BD5"/>
    <w:rsid w:val="00994C90"/>
    <w:rsid w:val="00994FFA"/>
    <w:rsid w:val="00995237"/>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2BA"/>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7F9"/>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8E9"/>
    <w:rsid w:val="00A02AE5"/>
    <w:rsid w:val="00A039B2"/>
    <w:rsid w:val="00A03A22"/>
    <w:rsid w:val="00A03FD8"/>
    <w:rsid w:val="00A042BA"/>
    <w:rsid w:val="00A04E12"/>
    <w:rsid w:val="00A054D8"/>
    <w:rsid w:val="00A05AF6"/>
    <w:rsid w:val="00A06239"/>
    <w:rsid w:val="00A06890"/>
    <w:rsid w:val="00A06EB8"/>
    <w:rsid w:val="00A07CF3"/>
    <w:rsid w:val="00A1129E"/>
    <w:rsid w:val="00A11845"/>
    <w:rsid w:val="00A12D3F"/>
    <w:rsid w:val="00A131C0"/>
    <w:rsid w:val="00A1320F"/>
    <w:rsid w:val="00A132ED"/>
    <w:rsid w:val="00A13483"/>
    <w:rsid w:val="00A13E15"/>
    <w:rsid w:val="00A13F0F"/>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02B"/>
    <w:rsid w:val="00A44325"/>
    <w:rsid w:val="00A44328"/>
    <w:rsid w:val="00A445E9"/>
    <w:rsid w:val="00A44B2A"/>
    <w:rsid w:val="00A44D8E"/>
    <w:rsid w:val="00A44E3C"/>
    <w:rsid w:val="00A459D4"/>
    <w:rsid w:val="00A45FD3"/>
    <w:rsid w:val="00A46497"/>
    <w:rsid w:val="00A4674F"/>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0DC5"/>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0808"/>
    <w:rsid w:val="00A913FC"/>
    <w:rsid w:val="00A91BAB"/>
    <w:rsid w:val="00A91CA9"/>
    <w:rsid w:val="00A92AB1"/>
    <w:rsid w:val="00A934BC"/>
    <w:rsid w:val="00A93951"/>
    <w:rsid w:val="00A93CD3"/>
    <w:rsid w:val="00A95191"/>
    <w:rsid w:val="00A955B1"/>
    <w:rsid w:val="00A95CC6"/>
    <w:rsid w:val="00A96603"/>
    <w:rsid w:val="00A9698C"/>
    <w:rsid w:val="00A969C1"/>
    <w:rsid w:val="00A97B18"/>
    <w:rsid w:val="00A97C13"/>
    <w:rsid w:val="00AA08BE"/>
    <w:rsid w:val="00AA0CBE"/>
    <w:rsid w:val="00AA0E3C"/>
    <w:rsid w:val="00AA18A0"/>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1B79"/>
    <w:rsid w:val="00AC26D1"/>
    <w:rsid w:val="00AC44B5"/>
    <w:rsid w:val="00AC45E5"/>
    <w:rsid w:val="00AC4804"/>
    <w:rsid w:val="00AC5408"/>
    <w:rsid w:val="00AC54E3"/>
    <w:rsid w:val="00AC6430"/>
    <w:rsid w:val="00AC6F09"/>
    <w:rsid w:val="00AC78A2"/>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7DD"/>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AF0"/>
    <w:rsid w:val="00AF5DA2"/>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D5D"/>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3E4"/>
    <w:rsid w:val="00B74A2D"/>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12F"/>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DD2"/>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39"/>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5990"/>
    <w:rsid w:val="00C56710"/>
    <w:rsid w:val="00C571A4"/>
    <w:rsid w:val="00C576F9"/>
    <w:rsid w:val="00C57783"/>
    <w:rsid w:val="00C600AE"/>
    <w:rsid w:val="00C600C1"/>
    <w:rsid w:val="00C610ED"/>
    <w:rsid w:val="00C612C6"/>
    <w:rsid w:val="00C61529"/>
    <w:rsid w:val="00C62778"/>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18"/>
    <w:rsid w:val="00C8268C"/>
    <w:rsid w:val="00C82900"/>
    <w:rsid w:val="00C82923"/>
    <w:rsid w:val="00C8311A"/>
    <w:rsid w:val="00C83DDE"/>
    <w:rsid w:val="00C83E87"/>
    <w:rsid w:val="00C84138"/>
    <w:rsid w:val="00C850A9"/>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2C8"/>
    <w:rsid w:val="00CA14C5"/>
    <w:rsid w:val="00CA17C2"/>
    <w:rsid w:val="00CA25E4"/>
    <w:rsid w:val="00CA27F5"/>
    <w:rsid w:val="00CA35DB"/>
    <w:rsid w:val="00CA425A"/>
    <w:rsid w:val="00CA4280"/>
    <w:rsid w:val="00CA5882"/>
    <w:rsid w:val="00CA5A96"/>
    <w:rsid w:val="00CA5ECF"/>
    <w:rsid w:val="00CA6027"/>
    <w:rsid w:val="00CA6269"/>
    <w:rsid w:val="00CA6847"/>
    <w:rsid w:val="00CA7D7D"/>
    <w:rsid w:val="00CB0834"/>
    <w:rsid w:val="00CB08B8"/>
    <w:rsid w:val="00CB0EBD"/>
    <w:rsid w:val="00CB16FB"/>
    <w:rsid w:val="00CB27AD"/>
    <w:rsid w:val="00CB291D"/>
    <w:rsid w:val="00CB2FD7"/>
    <w:rsid w:val="00CB3126"/>
    <w:rsid w:val="00CB37FA"/>
    <w:rsid w:val="00CB3B98"/>
    <w:rsid w:val="00CB4807"/>
    <w:rsid w:val="00CB5BE1"/>
    <w:rsid w:val="00CB6B86"/>
    <w:rsid w:val="00CB6B9D"/>
    <w:rsid w:val="00CB7B5E"/>
    <w:rsid w:val="00CB7D80"/>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960"/>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06D"/>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054"/>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469"/>
    <w:rsid w:val="00D518EE"/>
    <w:rsid w:val="00D51DF3"/>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854"/>
    <w:rsid w:val="00D67902"/>
    <w:rsid w:val="00D67B7B"/>
    <w:rsid w:val="00D7070D"/>
    <w:rsid w:val="00D7080B"/>
    <w:rsid w:val="00D70A1B"/>
    <w:rsid w:val="00D7123A"/>
    <w:rsid w:val="00D72758"/>
    <w:rsid w:val="00D72761"/>
    <w:rsid w:val="00D72808"/>
    <w:rsid w:val="00D72920"/>
    <w:rsid w:val="00D730BC"/>
    <w:rsid w:val="00D738ED"/>
    <w:rsid w:val="00D73C0D"/>
    <w:rsid w:val="00D742BF"/>
    <w:rsid w:val="00D75BB2"/>
    <w:rsid w:val="00D75BEF"/>
    <w:rsid w:val="00D75ED4"/>
    <w:rsid w:val="00D768B0"/>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5EA"/>
    <w:rsid w:val="00D866D1"/>
    <w:rsid w:val="00D86842"/>
    <w:rsid w:val="00D90100"/>
    <w:rsid w:val="00D9225F"/>
    <w:rsid w:val="00D93283"/>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441"/>
    <w:rsid w:val="00DA37F5"/>
    <w:rsid w:val="00DA3DFC"/>
    <w:rsid w:val="00DA4AEC"/>
    <w:rsid w:val="00DA59FF"/>
    <w:rsid w:val="00DA5B56"/>
    <w:rsid w:val="00DA6B15"/>
    <w:rsid w:val="00DA6FAB"/>
    <w:rsid w:val="00DA7AF6"/>
    <w:rsid w:val="00DA7FE8"/>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765"/>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0086"/>
    <w:rsid w:val="00E01E3C"/>
    <w:rsid w:val="00E020CA"/>
    <w:rsid w:val="00E02570"/>
    <w:rsid w:val="00E02F52"/>
    <w:rsid w:val="00E03332"/>
    <w:rsid w:val="00E03F76"/>
    <w:rsid w:val="00E04707"/>
    <w:rsid w:val="00E0484C"/>
    <w:rsid w:val="00E04A56"/>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2FE"/>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6883"/>
    <w:rsid w:val="00E471E5"/>
    <w:rsid w:val="00E47C1A"/>
    <w:rsid w:val="00E503E2"/>
    <w:rsid w:val="00E507B5"/>
    <w:rsid w:val="00E50CCF"/>
    <w:rsid w:val="00E50EE6"/>
    <w:rsid w:val="00E51070"/>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282"/>
    <w:rsid w:val="00E75CCB"/>
    <w:rsid w:val="00E75D20"/>
    <w:rsid w:val="00E76198"/>
    <w:rsid w:val="00E765C8"/>
    <w:rsid w:val="00E77445"/>
    <w:rsid w:val="00E77F0C"/>
    <w:rsid w:val="00E80233"/>
    <w:rsid w:val="00E80633"/>
    <w:rsid w:val="00E80D40"/>
    <w:rsid w:val="00E80F8C"/>
    <w:rsid w:val="00E81132"/>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5E"/>
    <w:rsid w:val="00EE7CA4"/>
    <w:rsid w:val="00EF0DB1"/>
    <w:rsid w:val="00EF2B37"/>
    <w:rsid w:val="00EF2BE2"/>
    <w:rsid w:val="00EF2C94"/>
    <w:rsid w:val="00EF389B"/>
    <w:rsid w:val="00EF4A28"/>
    <w:rsid w:val="00EF519D"/>
    <w:rsid w:val="00EF51AA"/>
    <w:rsid w:val="00EF535D"/>
    <w:rsid w:val="00EF5562"/>
    <w:rsid w:val="00EF5892"/>
    <w:rsid w:val="00EF5F6A"/>
    <w:rsid w:val="00EF742E"/>
    <w:rsid w:val="00EF7B4C"/>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5F"/>
    <w:rsid w:val="00F215F7"/>
    <w:rsid w:val="00F21887"/>
    <w:rsid w:val="00F22E83"/>
    <w:rsid w:val="00F23840"/>
    <w:rsid w:val="00F2395B"/>
    <w:rsid w:val="00F244B0"/>
    <w:rsid w:val="00F24C5F"/>
    <w:rsid w:val="00F24CEA"/>
    <w:rsid w:val="00F25348"/>
    <w:rsid w:val="00F25DB6"/>
    <w:rsid w:val="00F260BC"/>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57BA8"/>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664"/>
    <w:rsid w:val="00F738CC"/>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A5E"/>
    <w:rsid w:val="00FD58B1"/>
    <w:rsid w:val="00FD60F7"/>
    <w:rsid w:val="00FD6A91"/>
    <w:rsid w:val="00FE043F"/>
    <w:rsid w:val="00FE0B3C"/>
    <w:rsid w:val="00FE0BA2"/>
    <w:rsid w:val="00FE0F1A"/>
    <w:rsid w:val="00FE2304"/>
    <w:rsid w:val="00FE2747"/>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21E8"/>
    <w:rsid w:val="00FF231B"/>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Sinespaciado3">
    <w:name w:val="Sin espaciado3"/>
    <w:rsid w:val="008D42F8"/>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703">
      <w:bodyDiv w:val="1"/>
      <w:marLeft w:val="0"/>
      <w:marRight w:val="0"/>
      <w:marTop w:val="0"/>
      <w:marBottom w:val="0"/>
      <w:divBdr>
        <w:top w:val="none" w:sz="0" w:space="0" w:color="auto"/>
        <w:left w:val="none" w:sz="0" w:space="0" w:color="auto"/>
        <w:bottom w:val="none" w:sz="0" w:space="0" w:color="auto"/>
        <w:right w:val="none" w:sz="0" w:space="0" w:color="auto"/>
      </w:divBdr>
    </w:div>
    <w:div w:id="481897199">
      <w:bodyDiv w:val="1"/>
      <w:marLeft w:val="0"/>
      <w:marRight w:val="0"/>
      <w:marTop w:val="0"/>
      <w:marBottom w:val="0"/>
      <w:divBdr>
        <w:top w:val="none" w:sz="0" w:space="0" w:color="auto"/>
        <w:left w:val="none" w:sz="0" w:space="0" w:color="auto"/>
        <w:bottom w:val="none" w:sz="0" w:space="0" w:color="auto"/>
        <w:right w:val="none" w:sz="0" w:space="0" w:color="auto"/>
      </w:divBdr>
    </w:div>
    <w:div w:id="523253451">
      <w:bodyDiv w:val="1"/>
      <w:marLeft w:val="0"/>
      <w:marRight w:val="0"/>
      <w:marTop w:val="0"/>
      <w:marBottom w:val="0"/>
      <w:divBdr>
        <w:top w:val="none" w:sz="0" w:space="0" w:color="auto"/>
        <w:left w:val="none" w:sz="0" w:space="0" w:color="auto"/>
        <w:bottom w:val="none" w:sz="0" w:space="0" w:color="auto"/>
        <w:right w:val="none" w:sz="0" w:space="0" w:color="auto"/>
      </w:divBdr>
    </w:div>
    <w:div w:id="706562405">
      <w:bodyDiv w:val="1"/>
      <w:marLeft w:val="0"/>
      <w:marRight w:val="0"/>
      <w:marTop w:val="0"/>
      <w:marBottom w:val="0"/>
      <w:divBdr>
        <w:top w:val="none" w:sz="0" w:space="0" w:color="auto"/>
        <w:left w:val="none" w:sz="0" w:space="0" w:color="auto"/>
        <w:bottom w:val="none" w:sz="0" w:space="0" w:color="auto"/>
        <w:right w:val="none" w:sz="0" w:space="0" w:color="auto"/>
      </w:divBdr>
    </w:div>
    <w:div w:id="975334080">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14925551">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81126144">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5A33E-440F-40B9-9FDB-0856929A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Pages>
  <Words>1937</Words>
  <Characters>10658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12</cp:revision>
  <cp:lastPrinted>2016-06-30T20:27:00Z</cp:lastPrinted>
  <dcterms:created xsi:type="dcterms:W3CDTF">2016-06-30T12:12:00Z</dcterms:created>
  <dcterms:modified xsi:type="dcterms:W3CDTF">2016-07-01T15:42:00Z</dcterms:modified>
</cp:coreProperties>
</file>