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F96877">
        <w:rPr>
          <w:rFonts w:ascii="Arial" w:hAnsi="Arial" w:cs="Arial"/>
          <w:sz w:val="22"/>
        </w:rPr>
        <w:t>Ana Cecilia Urrea de Muñoz</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Dirección de Sanidad de Policía Nacional Seccional Rda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Vinculado (a) </w:t>
      </w:r>
      <w:r w:rsidRPr="007A46CE">
        <w:rPr>
          <w:rFonts w:ascii="Arial" w:hAnsi="Arial" w:cs="Arial"/>
          <w:sz w:val="22"/>
        </w:rPr>
        <w:tab/>
      </w:r>
      <w:r w:rsidRPr="007A46CE">
        <w:rPr>
          <w:rFonts w:ascii="Arial" w:hAnsi="Arial" w:cs="Arial"/>
          <w:sz w:val="22"/>
        </w:rPr>
        <w:tab/>
        <w:t>: Dirección General de Sanidad de la Policía Nacional</w:t>
      </w:r>
      <w:r w:rsidR="004A0A44">
        <w:rPr>
          <w:rFonts w:ascii="Arial" w:hAnsi="Arial" w:cs="Arial"/>
          <w:sz w:val="22"/>
        </w:rPr>
        <w:t xml:space="preserve"> y otra</w:t>
      </w:r>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2016-</w:t>
      </w:r>
      <w:r w:rsidR="00F96877">
        <w:rPr>
          <w:rFonts w:ascii="Arial" w:hAnsi="Arial" w:cs="Arial"/>
          <w:sz w:val="22"/>
        </w:rPr>
        <w:t>00612</w:t>
      </w:r>
      <w:r w:rsidR="004A0A44">
        <w:rPr>
          <w:rFonts w:ascii="Arial" w:hAnsi="Arial" w:cs="Arial"/>
          <w:sz w:val="22"/>
        </w:rPr>
        <w:t xml:space="preserve">-00 </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F96877">
        <w:rPr>
          <w:rFonts w:ascii="Arial" w:hAnsi="Arial" w:cs="Arial"/>
          <w:sz w:val="20"/>
          <w:szCs w:val="22"/>
        </w:rPr>
        <w:t>Inexistencia de vulneración - C</w:t>
      </w:r>
      <w:r w:rsidR="00F96877" w:rsidRPr="00F96877">
        <w:rPr>
          <w:rFonts w:ascii="Arial" w:hAnsi="Arial" w:cs="Arial"/>
          <w:sz w:val="20"/>
          <w:szCs w:val="22"/>
        </w:rPr>
        <w:t xml:space="preserve">ontinuidad </w:t>
      </w:r>
      <w:r w:rsidR="00F96877" w:rsidRPr="00F96877">
        <w:rPr>
          <w:rFonts w:ascii="Arial" w:hAnsi="Arial" w:cs="Arial"/>
          <w:sz w:val="20"/>
          <w:szCs w:val="22"/>
          <w:lang w:val="es-CO"/>
        </w:rPr>
        <w:t>en el servicio de salud</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C2107C">
        <w:rPr>
          <w:rFonts w:ascii="Arial" w:hAnsi="Arial"/>
          <w:sz w:val="22"/>
          <w:szCs w:val="22"/>
        </w:rPr>
        <w:t>276 de 14-06-2016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4A0A44">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C2107C">
        <w:rPr>
          <w:rFonts w:ascii="Arial" w:hAnsi="Arial" w:cs="Arial"/>
          <w:iCs/>
          <w:smallCaps/>
          <w:szCs w:val="28"/>
          <w:lang w:val="es-CO"/>
        </w:rPr>
        <w:t>catorce</w:t>
      </w:r>
      <w:r w:rsidR="00F96877">
        <w:rPr>
          <w:rFonts w:ascii="Arial" w:hAnsi="Arial" w:cs="Arial"/>
          <w:iCs/>
          <w:smallCaps/>
          <w:szCs w:val="28"/>
          <w:lang w:val="es-CO"/>
        </w:rPr>
        <w:t xml:space="preserve"> </w:t>
      </w:r>
      <w:r w:rsidR="005319C2">
        <w:rPr>
          <w:rFonts w:ascii="Arial" w:hAnsi="Arial" w:cs="Arial"/>
          <w:iCs/>
          <w:smallCaps/>
          <w:szCs w:val="28"/>
          <w:lang w:val="es-CO"/>
        </w:rPr>
        <w:t>(</w:t>
      </w:r>
      <w:r w:rsidR="00C2107C">
        <w:rPr>
          <w:rFonts w:ascii="Arial" w:hAnsi="Arial" w:cs="Arial"/>
          <w:iCs/>
          <w:smallCaps/>
          <w:szCs w:val="28"/>
          <w:lang w:val="es-CO"/>
        </w:rPr>
        <w:t>14</w:t>
      </w:r>
      <w:r w:rsidR="00122B6C">
        <w:rPr>
          <w:rFonts w:ascii="Arial" w:hAnsi="Arial" w:cs="Arial"/>
          <w:iCs/>
          <w:smallCaps/>
          <w:szCs w:val="28"/>
          <w:lang w:val="es-CO"/>
        </w:rPr>
        <w:t xml:space="preserve">) de </w:t>
      </w:r>
      <w:r w:rsidR="00F96877">
        <w:rPr>
          <w:rFonts w:ascii="Arial" w:hAnsi="Arial" w:cs="Arial"/>
          <w:iCs/>
          <w:smallCaps/>
          <w:szCs w:val="28"/>
          <w:lang w:val="es-CO"/>
        </w:rPr>
        <w:t xml:space="preserve">junio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4A0A44">
        <w:rPr>
          <w:rFonts w:ascii="Arial" w:hAnsi="Arial" w:cs="Arial"/>
          <w:iCs/>
          <w:smallCaps/>
          <w:szCs w:val="28"/>
          <w:lang w:val="es-CO"/>
        </w:rPr>
        <w:t xml:space="preserve">dieciséis </w:t>
      </w:r>
      <w:r w:rsidRPr="000B1B68">
        <w:rPr>
          <w:rFonts w:ascii="Arial" w:hAnsi="Arial" w:cs="Arial"/>
          <w:iCs/>
          <w:smallCaps/>
          <w:szCs w:val="28"/>
          <w:lang w:val="es-CO"/>
        </w:rPr>
        <w:t>(</w:t>
      </w:r>
      <w:r w:rsidR="004A0A4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F96877" w:rsidRDefault="00F96877" w:rsidP="00AF753A">
      <w:pPr>
        <w:spacing w:line="360" w:lineRule="auto"/>
        <w:jc w:val="both"/>
        <w:rPr>
          <w:rFonts w:ascii="Arial" w:hAnsi="Arial" w:cs="Arial"/>
        </w:rPr>
      </w:pPr>
      <w:r>
        <w:rPr>
          <w:rFonts w:ascii="Arial" w:hAnsi="Arial" w:cs="Arial"/>
        </w:rPr>
        <w:t xml:space="preserve">Aduce la actora que recibía atención en salud en la entidad accionada como beneficiaria </w:t>
      </w:r>
      <w:r w:rsidR="00663779">
        <w:rPr>
          <w:rFonts w:ascii="Arial" w:hAnsi="Arial" w:cs="Arial"/>
        </w:rPr>
        <w:t>de su esposo</w:t>
      </w:r>
      <w:r w:rsidR="00E1218D">
        <w:rPr>
          <w:rFonts w:ascii="Arial" w:hAnsi="Arial" w:cs="Arial"/>
        </w:rPr>
        <w:t xml:space="preserve"> y le fue suspendida </w:t>
      </w:r>
      <w:r w:rsidR="00663779">
        <w:rPr>
          <w:rFonts w:ascii="Arial" w:hAnsi="Arial" w:cs="Arial"/>
        </w:rPr>
        <w:t>desde la fecha de su fallecimiento</w:t>
      </w:r>
      <w:r>
        <w:rPr>
          <w:rFonts w:ascii="Arial" w:hAnsi="Arial" w:cs="Arial"/>
        </w:rPr>
        <w:t xml:space="preserve"> (25-02-</w:t>
      </w:r>
      <w:r w:rsidR="004A2E41">
        <w:rPr>
          <w:rFonts w:ascii="Arial" w:hAnsi="Arial" w:cs="Arial"/>
        </w:rPr>
        <w:t>2015</w:t>
      </w:r>
      <w:r>
        <w:rPr>
          <w:rFonts w:ascii="Arial" w:hAnsi="Arial" w:cs="Arial"/>
        </w:rPr>
        <w:t>);</w:t>
      </w:r>
      <w:r w:rsidR="00E1218D">
        <w:rPr>
          <w:rFonts w:ascii="Arial" w:hAnsi="Arial" w:cs="Arial"/>
        </w:rPr>
        <w:t xml:space="preserve"> dijo que</w:t>
      </w:r>
      <w:r>
        <w:rPr>
          <w:rFonts w:ascii="Arial" w:hAnsi="Arial" w:cs="Arial"/>
        </w:rPr>
        <w:t xml:space="preserve"> solicitó la pensión de sobreviviente pero </w:t>
      </w:r>
      <w:r w:rsidR="00E1218D">
        <w:rPr>
          <w:rFonts w:ascii="Arial" w:hAnsi="Arial" w:cs="Arial"/>
        </w:rPr>
        <w:t xml:space="preserve">no le ha sido reconocida </w:t>
      </w:r>
      <w:r>
        <w:rPr>
          <w:rFonts w:ascii="Arial" w:hAnsi="Arial" w:cs="Arial"/>
        </w:rPr>
        <w:t xml:space="preserve">por controversia con </w:t>
      </w:r>
      <w:r w:rsidR="00663779">
        <w:rPr>
          <w:rFonts w:ascii="Arial" w:hAnsi="Arial" w:cs="Arial"/>
        </w:rPr>
        <w:t>la compañera permanente del causante. C</w:t>
      </w:r>
      <w:r w:rsidR="00AE620D">
        <w:rPr>
          <w:rFonts w:ascii="Arial" w:hAnsi="Arial" w:cs="Arial"/>
        </w:rPr>
        <w:t xml:space="preserve">omentó </w:t>
      </w:r>
      <w:r w:rsidR="00663779">
        <w:rPr>
          <w:rFonts w:ascii="Arial" w:hAnsi="Arial" w:cs="Arial"/>
        </w:rPr>
        <w:t>además</w:t>
      </w:r>
      <w:r w:rsidR="00E1218D">
        <w:rPr>
          <w:rFonts w:ascii="Arial" w:hAnsi="Arial" w:cs="Arial"/>
        </w:rPr>
        <w:t>,</w:t>
      </w:r>
      <w:r w:rsidR="00663779">
        <w:rPr>
          <w:rFonts w:ascii="Arial" w:hAnsi="Arial" w:cs="Arial"/>
        </w:rPr>
        <w:t xml:space="preserve"> </w:t>
      </w:r>
      <w:r w:rsidR="00AE620D">
        <w:rPr>
          <w:rFonts w:ascii="Arial" w:hAnsi="Arial" w:cs="Arial"/>
        </w:rPr>
        <w:t xml:space="preserve">que </w:t>
      </w:r>
      <w:r w:rsidR="007A46CE">
        <w:rPr>
          <w:rFonts w:ascii="Arial" w:hAnsi="Arial" w:cs="Arial"/>
        </w:rPr>
        <w:t xml:space="preserve">tiene </w:t>
      </w:r>
      <w:r>
        <w:rPr>
          <w:rFonts w:ascii="Arial" w:hAnsi="Arial" w:cs="Arial"/>
        </w:rPr>
        <w:t xml:space="preserve">79 </w:t>
      </w:r>
      <w:r w:rsidR="004A0A44">
        <w:rPr>
          <w:rFonts w:ascii="Arial" w:hAnsi="Arial" w:cs="Arial"/>
        </w:rPr>
        <w:t>años de edad</w:t>
      </w:r>
      <w:r>
        <w:rPr>
          <w:rFonts w:ascii="Arial" w:hAnsi="Arial" w:cs="Arial"/>
        </w:rPr>
        <w:t xml:space="preserve">, </w:t>
      </w:r>
      <w:r w:rsidR="007A46CE">
        <w:rPr>
          <w:rFonts w:ascii="Arial" w:hAnsi="Arial" w:cs="Arial"/>
        </w:rPr>
        <w:t>padece varias enfermedades</w:t>
      </w:r>
      <w:r>
        <w:rPr>
          <w:rFonts w:ascii="Arial" w:hAnsi="Arial" w:cs="Arial"/>
        </w:rPr>
        <w:t>, no cuenta con recursos económicos y ha sido sometida a diferentes tratamientos que fueron interrumpidos desde el momento en que suspendió el servicio en salud</w:t>
      </w:r>
      <w:r w:rsidR="00663779">
        <w:rPr>
          <w:rFonts w:ascii="Arial" w:hAnsi="Arial" w:cs="Arial"/>
        </w:rPr>
        <w:t xml:space="preserve"> (Folio 1, este cuaderno)</w:t>
      </w:r>
      <w:r>
        <w:rPr>
          <w:rFonts w:ascii="Arial" w:hAnsi="Arial" w:cs="Arial"/>
        </w:rPr>
        <w:t>.</w:t>
      </w:r>
    </w:p>
    <w:p w:rsidR="0028494C" w:rsidRDefault="0028494C" w:rsidP="00AF753A">
      <w:pPr>
        <w:spacing w:line="360" w:lineRule="auto"/>
        <w:jc w:val="both"/>
        <w:rPr>
          <w:rFonts w:ascii="Arial" w:hAnsi="Arial" w:cs="Arial"/>
        </w:rPr>
      </w:pPr>
    </w:p>
    <w:p w:rsidR="00663779" w:rsidRPr="000E6B0D" w:rsidRDefault="00663779"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663779">
        <w:rPr>
          <w:rFonts w:ascii="Arial" w:hAnsi="Arial" w:cs="Arial"/>
          <w:spacing w:val="-3"/>
          <w:lang w:val="es-ES_tradnl"/>
        </w:rPr>
        <w:t xml:space="preserve">, </w:t>
      </w:r>
      <w:r w:rsidR="005A2DB1">
        <w:rPr>
          <w:rFonts w:ascii="Arial" w:hAnsi="Arial" w:cs="Arial"/>
          <w:spacing w:val="-3"/>
          <w:lang w:val="es-ES_tradnl"/>
        </w:rPr>
        <w:t xml:space="preserve">a </w:t>
      </w:r>
      <w:r w:rsidR="007A46CE">
        <w:rPr>
          <w:rFonts w:ascii="Arial" w:hAnsi="Arial" w:cs="Arial"/>
          <w:spacing w:val="-3"/>
          <w:lang w:val="es-ES_tradnl"/>
        </w:rPr>
        <w:t>la vida</w:t>
      </w:r>
      <w:r w:rsidR="005A2DB1">
        <w:rPr>
          <w:rFonts w:ascii="Arial" w:hAnsi="Arial" w:cs="Arial"/>
          <w:spacing w:val="-3"/>
          <w:lang w:val="es-ES_tradnl"/>
        </w:rPr>
        <w:t xml:space="preserve"> </w:t>
      </w:r>
      <w:r w:rsidR="00663779">
        <w:rPr>
          <w:rFonts w:ascii="Arial" w:hAnsi="Arial" w:cs="Arial"/>
          <w:spacing w:val="-3"/>
          <w:lang w:val="es-ES_tradnl"/>
        </w:rPr>
        <w:t xml:space="preserve">y a la calidad de vida </w:t>
      </w:r>
      <w:r>
        <w:rPr>
          <w:rFonts w:ascii="Arial" w:hAnsi="Arial" w:cs="Arial"/>
        </w:rPr>
        <w:t>(Folio</w:t>
      </w:r>
      <w:r w:rsidR="00663779">
        <w:rPr>
          <w:rFonts w:ascii="Arial" w:hAnsi="Arial" w:cs="Arial"/>
        </w:rPr>
        <w:t>s</w:t>
      </w:r>
      <w:r>
        <w:rPr>
          <w:rFonts w:ascii="Arial" w:hAnsi="Arial" w:cs="Arial"/>
        </w:rPr>
        <w:t xml:space="preserve"> </w:t>
      </w:r>
      <w:r w:rsidR="007A46CE">
        <w:rPr>
          <w:rFonts w:ascii="Arial" w:hAnsi="Arial" w:cs="Arial"/>
        </w:rPr>
        <w:t>1</w:t>
      </w:r>
      <w:r w:rsidR="00663779">
        <w:rPr>
          <w:rFonts w:ascii="Arial" w:hAnsi="Arial" w:cs="Arial"/>
        </w:rPr>
        <w:t xml:space="preserve"> y 2</w:t>
      </w:r>
      <w:r>
        <w:rPr>
          <w:rFonts w:ascii="Arial" w:hAnsi="Arial" w:cs="Arial"/>
        </w:rPr>
        <w:t xml:space="preserve">, </w:t>
      </w:r>
      <w:r w:rsidR="00663779">
        <w:rPr>
          <w:rFonts w:ascii="Arial" w:hAnsi="Arial" w:cs="Arial"/>
        </w:rPr>
        <w:t xml:space="preserve">este </w:t>
      </w:r>
      <w:r w:rsidR="00663779">
        <w:rPr>
          <w:rFonts w:ascii="Arial" w:hAnsi="Arial" w:cs="Arial"/>
        </w:rPr>
        <w:lastRenderedPageBreak/>
        <w:t>cuaderno</w:t>
      </w:r>
      <w:r>
        <w:rPr>
          <w:rFonts w:ascii="Arial" w:hAnsi="Arial" w:cs="Arial"/>
        </w:rPr>
        <w:t>)</w:t>
      </w:r>
      <w:r>
        <w:rPr>
          <w:rFonts w:ascii="Arial" w:hAnsi="Arial" w:cs="Arial"/>
          <w:spacing w:val="-3"/>
          <w:lang w:val="es-ES_tradnl"/>
        </w:rPr>
        <w:t>.</w:t>
      </w:r>
    </w:p>
    <w:p w:rsidR="00FE5A22" w:rsidRDefault="00FE5A22"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E5A22" w:rsidRDefault="00FE5A22"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C37681" w:rsidRDefault="00C00FC8" w:rsidP="00C00FC8">
      <w:pPr>
        <w:pStyle w:val="Textoindependiente"/>
        <w:spacing w:line="360" w:lineRule="auto"/>
        <w:ind w:left="360"/>
        <w:rPr>
          <w:rFonts w:ascii="Arial" w:hAnsi="Arial"/>
          <w:szCs w:val="24"/>
        </w:rPr>
      </w:pPr>
    </w:p>
    <w:p w:rsidR="008154F0" w:rsidRPr="00B5411C" w:rsidRDefault="00663779" w:rsidP="000145EA">
      <w:pPr>
        <w:pStyle w:val="Sinespaciado"/>
        <w:spacing w:line="360" w:lineRule="auto"/>
        <w:jc w:val="both"/>
        <w:rPr>
          <w:rFonts w:ascii="Arial" w:hAnsi="Arial" w:cs="Arial"/>
          <w:szCs w:val="24"/>
        </w:rPr>
      </w:pPr>
      <w:r>
        <w:rPr>
          <w:rFonts w:ascii="Arial" w:hAnsi="Arial" w:cs="Arial"/>
          <w:szCs w:val="24"/>
        </w:rPr>
        <w:t xml:space="preserve">Se ordene a la accionada prestar los servicios médicos integrales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2</w:t>
      </w:r>
      <w:r w:rsidR="00A76268">
        <w:rPr>
          <w:rFonts w:ascii="Arial" w:hAnsi="Arial" w:cs="Arial"/>
          <w:szCs w:val="24"/>
        </w:rPr>
        <w:t xml:space="preserve">, </w:t>
      </w:r>
      <w:r>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D7375" w:rsidRDefault="004821B4" w:rsidP="003F6CF1">
      <w:pPr>
        <w:pStyle w:val="Sinespaciado"/>
        <w:spacing w:line="360" w:lineRule="auto"/>
        <w:jc w:val="both"/>
        <w:rPr>
          <w:rFonts w:ascii="Arial" w:hAnsi="Arial" w:cs="Arial"/>
          <w:szCs w:val="22"/>
        </w:rPr>
      </w:pPr>
    </w:p>
    <w:p w:rsidR="00261943" w:rsidRPr="005D7375"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663779">
        <w:rPr>
          <w:rFonts w:ascii="Arial" w:hAnsi="Arial" w:cs="Arial"/>
        </w:rPr>
        <w:t>02-06</w:t>
      </w:r>
      <w:r w:rsidR="00FE5A22">
        <w:rPr>
          <w:rFonts w:ascii="Arial" w:hAnsi="Arial" w:cs="Arial"/>
        </w:rPr>
        <w:t>-2016</w:t>
      </w:r>
      <w:r w:rsidR="00834D1D" w:rsidRPr="00834D1D">
        <w:rPr>
          <w:rFonts w:ascii="Arial" w:hAnsi="Arial" w:cs="Arial"/>
        </w:rPr>
        <w:t xml:space="preserve">, con providencia </w:t>
      </w:r>
      <w:r w:rsidR="00663779">
        <w:rPr>
          <w:rFonts w:ascii="Arial" w:hAnsi="Arial" w:cs="Arial"/>
        </w:rPr>
        <w:t xml:space="preserve">del 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a la Dirección General de Sanidad </w:t>
      </w:r>
      <w:r w:rsidR="002F079F">
        <w:rPr>
          <w:rFonts w:ascii="Arial" w:hAnsi="Arial" w:cs="Arial"/>
        </w:rPr>
        <w:t xml:space="preserve">de la </w:t>
      </w:r>
      <w:r w:rsidR="00834D1D" w:rsidRPr="00834D1D">
        <w:rPr>
          <w:rFonts w:ascii="Arial" w:hAnsi="Arial" w:cs="Arial"/>
        </w:rPr>
        <w:t>Policía Nacional</w:t>
      </w:r>
      <w:r w:rsidR="00FE5A22">
        <w:rPr>
          <w:rFonts w:ascii="Arial" w:hAnsi="Arial" w:cs="Arial"/>
        </w:rPr>
        <w:t xml:space="preserve"> y a </w:t>
      </w:r>
      <w:r w:rsidR="00663779">
        <w:rPr>
          <w:rFonts w:ascii="Arial" w:hAnsi="Arial" w:cs="Arial"/>
        </w:rPr>
        <w:t>la Caja de Sueldos del Retiro de la Policía Nacional -CASUR-</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663779">
        <w:rPr>
          <w:rFonts w:ascii="Arial" w:hAnsi="Arial"/>
        </w:rPr>
        <w:t>9</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663779">
        <w:rPr>
          <w:rFonts w:ascii="Arial" w:hAnsi="Arial"/>
        </w:rPr>
        <w:t xml:space="preserve">10 a 12, </w:t>
      </w:r>
      <w:r w:rsidR="00834D1D">
        <w:rPr>
          <w:rFonts w:ascii="Arial" w:hAnsi="Arial"/>
        </w:rPr>
        <w:t>ídem</w:t>
      </w:r>
      <w:r w:rsidR="00EE29B8" w:rsidRPr="00834D1D">
        <w:rPr>
          <w:rFonts w:ascii="Arial" w:hAnsi="Arial"/>
        </w:rPr>
        <w:t>)</w:t>
      </w:r>
      <w:r w:rsidR="00A83C8C" w:rsidRPr="00834D1D">
        <w:rPr>
          <w:rFonts w:ascii="Arial" w:hAnsi="Arial"/>
        </w:rPr>
        <w:t xml:space="preserve">. </w:t>
      </w:r>
      <w:r w:rsidR="00663779">
        <w:rPr>
          <w:rFonts w:ascii="Arial" w:hAnsi="Arial"/>
        </w:rPr>
        <w:t xml:space="preserve">Contestó </w:t>
      </w:r>
      <w:r w:rsidR="00325B5C">
        <w:rPr>
          <w:rFonts w:ascii="Arial" w:hAnsi="Arial"/>
        </w:rPr>
        <w:t>l</w:t>
      </w:r>
      <w:r w:rsidR="00A337EE" w:rsidRPr="00834D1D">
        <w:rPr>
          <w:rFonts w:ascii="Arial" w:hAnsi="Arial"/>
        </w:rPr>
        <w:t xml:space="preserve">a </w:t>
      </w:r>
      <w:r w:rsidR="00A83C8C" w:rsidRPr="00834D1D">
        <w:rPr>
          <w:rFonts w:ascii="Arial" w:hAnsi="Arial"/>
        </w:rPr>
        <w:t xml:space="preserve">Dirección </w:t>
      </w:r>
      <w:r w:rsidR="00834D1D">
        <w:rPr>
          <w:rFonts w:ascii="Arial" w:hAnsi="Arial"/>
        </w:rPr>
        <w:t>de Sanidad</w:t>
      </w:r>
      <w:r w:rsidR="002F079F">
        <w:rPr>
          <w:rFonts w:ascii="Arial" w:hAnsi="Arial"/>
        </w:rPr>
        <w:t xml:space="preserve"> de la Policía Nacional</w:t>
      </w:r>
      <w:r w:rsidR="00A337EE">
        <w:rPr>
          <w:rFonts w:ascii="Arial" w:hAnsi="Arial"/>
        </w:rPr>
        <w:t xml:space="preserve"> </w:t>
      </w:r>
      <w:r w:rsidR="00FE5A22">
        <w:rPr>
          <w:rFonts w:ascii="Arial" w:hAnsi="Arial"/>
        </w:rPr>
        <w:t xml:space="preserve">- Seccional de Risaralda </w:t>
      </w:r>
      <w:r w:rsidR="00C830C7" w:rsidRPr="00834D1D">
        <w:rPr>
          <w:rFonts w:ascii="Arial" w:hAnsi="Arial"/>
        </w:rPr>
        <w:t>(Folio</w:t>
      </w:r>
      <w:r w:rsidR="00FE5A22">
        <w:rPr>
          <w:rFonts w:ascii="Arial" w:hAnsi="Arial"/>
        </w:rPr>
        <w:t>s</w:t>
      </w:r>
      <w:r w:rsidR="00C830C7" w:rsidRPr="00834D1D">
        <w:rPr>
          <w:rFonts w:ascii="Arial" w:hAnsi="Arial"/>
        </w:rPr>
        <w:t xml:space="preserve"> </w:t>
      </w:r>
      <w:r w:rsidR="00663779">
        <w:rPr>
          <w:rFonts w:ascii="Arial" w:hAnsi="Arial"/>
        </w:rPr>
        <w:t>13 a 14</w:t>
      </w:r>
      <w:r w:rsidR="00A83C8C" w:rsidRPr="00834D1D">
        <w:rPr>
          <w:rFonts w:ascii="Arial" w:hAnsi="Arial"/>
        </w:rPr>
        <w:t xml:space="preserve">, </w:t>
      </w:r>
      <w:r w:rsidR="00663779">
        <w:rPr>
          <w:rFonts w:ascii="Arial" w:hAnsi="Arial"/>
        </w:rPr>
        <w:t>ídem</w:t>
      </w:r>
      <w:r w:rsidR="00C830C7" w:rsidRPr="00834D1D">
        <w:rPr>
          <w:rFonts w:ascii="Arial" w:hAnsi="Arial"/>
        </w:rPr>
        <w:t>)</w:t>
      </w:r>
      <w:r w:rsidR="00834D1D" w:rsidRPr="000A518B">
        <w:rPr>
          <w:rFonts w:ascii="Arial" w:hAnsi="Arial"/>
        </w:rPr>
        <w:t>.</w:t>
      </w:r>
    </w:p>
    <w:p w:rsidR="00B41B34" w:rsidRPr="005D7375" w:rsidRDefault="00B41B34" w:rsidP="00B50331">
      <w:pPr>
        <w:spacing w:line="360" w:lineRule="auto"/>
        <w:jc w:val="both"/>
        <w:rPr>
          <w:rFonts w:ascii="Arial" w:hAnsi="Arial"/>
        </w:rPr>
      </w:pPr>
    </w:p>
    <w:p w:rsidR="00B41B34" w:rsidRPr="005D737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663779">
        <w:rPr>
          <w:rFonts w:ascii="Arial" w:hAnsi="Arial"/>
        </w:rPr>
        <w:t xml:space="preserve"> </w:t>
      </w:r>
      <w:r>
        <w:rPr>
          <w:rFonts w:ascii="Arial" w:hAnsi="Arial"/>
        </w:rPr>
        <w:t>RESPUESTA</w:t>
      </w:r>
    </w:p>
    <w:p w:rsidR="00C830C7" w:rsidRPr="000E6B0D" w:rsidRDefault="00C830C7" w:rsidP="00C830C7">
      <w:pPr>
        <w:spacing w:line="360" w:lineRule="auto"/>
        <w:jc w:val="both"/>
        <w:rPr>
          <w:rFonts w:ascii="Arial" w:hAnsi="Arial"/>
        </w:rPr>
      </w:pPr>
    </w:p>
    <w:p w:rsidR="00CF429F" w:rsidRDefault="00A83C8C" w:rsidP="000057F9">
      <w:pPr>
        <w:spacing w:line="360" w:lineRule="auto"/>
        <w:jc w:val="both"/>
        <w:rPr>
          <w:rFonts w:ascii="Arial" w:hAnsi="Arial"/>
        </w:rPr>
      </w:pPr>
      <w:r w:rsidRPr="00663779">
        <w:rPr>
          <w:rFonts w:ascii="Arial" w:hAnsi="Arial"/>
        </w:rPr>
        <w:t xml:space="preserve">La Dirección </w:t>
      </w:r>
      <w:r w:rsidR="00834D1D" w:rsidRPr="00663779">
        <w:rPr>
          <w:rFonts w:ascii="Arial" w:hAnsi="Arial"/>
        </w:rPr>
        <w:t>de Sanidad</w:t>
      </w:r>
      <w:r w:rsidR="002F079F" w:rsidRPr="00663779">
        <w:rPr>
          <w:rFonts w:ascii="Arial" w:hAnsi="Arial"/>
        </w:rPr>
        <w:t xml:space="preserve"> </w:t>
      </w:r>
      <w:r w:rsidR="00663779" w:rsidRPr="00663779">
        <w:rPr>
          <w:rFonts w:ascii="Arial" w:hAnsi="Arial"/>
        </w:rPr>
        <w:t xml:space="preserve">Seccional </w:t>
      </w:r>
      <w:r w:rsidR="00663779">
        <w:rPr>
          <w:rFonts w:ascii="Arial" w:hAnsi="Arial"/>
        </w:rPr>
        <w:t xml:space="preserve">Risaralda </w:t>
      </w:r>
      <w:r w:rsidR="002F079F" w:rsidRPr="00663779">
        <w:rPr>
          <w:rFonts w:ascii="Arial" w:hAnsi="Arial"/>
        </w:rPr>
        <w:t>de la Policía Nacional</w:t>
      </w:r>
      <w:r w:rsidR="00663779">
        <w:rPr>
          <w:rFonts w:ascii="Arial" w:hAnsi="Arial"/>
        </w:rPr>
        <w:t xml:space="preserve"> refirió la normativa que regula el sistema </w:t>
      </w:r>
      <w:r w:rsidR="00606640">
        <w:rPr>
          <w:rFonts w:ascii="Arial" w:hAnsi="Arial"/>
        </w:rPr>
        <w:t xml:space="preserve">de salud </w:t>
      </w:r>
      <w:r w:rsidR="00663779">
        <w:rPr>
          <w:rFonts w:ascii="Arial" w:hAnsi="Arial"/>
        </w:rPr>
        <w:t xml:space="preserve">de las fuerzas militares y de la policía nacional, </w:t>
      </w:r>
      <w:r w:rsidR="00606640">
        <w:rPr>
          <w:rFonts w:ascii="Arial" w:hAnsi="Arial"/>
        </w:rPr>
        <w:t xml:space="preserve">específicamente la atinente a las calidades que deben reunir los </w:t>
      </w:r>
      <w:r w:rsidR="00663779">
        <w:rPr>
          <w:rFonts w:ascii="Arial" w:hAnsi="Arial"/>
        </w:rPr>
        <w:t>afiliados y beneficiarios del sistema</w:t>
      </w:r>
      <w:r w:rsidR="00606640">
        <w:rPr>
          <w:rFonts w:ascii="Arial" w:hAnsi="Arial"/>
        </w:rPr>
        <w:t>;</w:t>
      </w:r>
      <w:r w:rsidR="00663779">
        <w:rPr>
          <w:rFonts w:ascii="Arial" w:hAnsi="Arial"/>
        </w:rPr>
        <w:t xml:space="preserve"> </w:t>
      </w:r>
      <w:r w:rsidR="00606640">
        <w:rPr>
          <w:rFonts w:ascii="Arial" w:hAnsi="Arial"/>
        </w:rPr>
        <w:t xml:space="preserve">agregó que el servicio de salud es accesorio al reconocimiento pensional, que es competencia de </w:t>
      </w:r>
      <w:r w:rsidR="00606640" w:rsidRPr="00606640">
        <w:rPr>
          <w:rFonts w:ascii="Arial" w:hAnsi="Arial"/>
          <w:sz w:val="22"/>
        </w:rPr>
        <w:t>CASUR</w:t>
      </w:r>
      <w:r w:rsidR="00606640">
        <w:rPr>
          <w:rFonts w:ascii="Arial" w:hAnsi="Arial"/>
          <w:sz w:val="22"/>
        </w:rPr>
        <w:t xml:space="preserve">, </w:t>
      </w:r>
      <w:r w:rsidR="00606640" w:rsidRPr="00606640">
        <w:rPr>
          <w:rFonts w:ascii="Arial" w:hAnsi="Arial"/>
        </w:rPr>
        <w:t>encargada de expedir la certificación provisional que acredite a la accionante como beneficiaria provisional, necesaria para que se brinde la atención deprecada</w:t>
      </w:r>
      <w:r w:rsidR="00606640">
        <w:rPr>
          <w:rFonts w:ascii="Arial" w:hAnsi="Arial"/>
          <w:sz w:val="22"/>
        </w:rPr>
        <w:t xml:space="preserve">. </w:t>
      </w:r>
      <w:r w:rsidR="00606640">
        <w:rPr>
          <w:rFonts w:ascii="Arial" w:hAnsi="Arial"/>
        </w:rPr>
        <w:t>Afirmó</w:t>
      </w:r>
      <w:r w:rsidR="00606640" w:rsidRPr="00606640">
        <w:rPr>
          <w:rFonts w:ascii="Arial" w:hAnsi="Arial"/>
        </w:rPr>
        <w:t xml:space="preserve"> que no ha atentado contra los derechos fundam</w:t>
      </w:r>
      <w:r w:rsidR="00606640">
        <w:rPr>
          <w:rFonts w:ascii="Arial" w:hAnsi="Arial"/>
        </w:rPr>
        <w:t>entales de la accionante, pues</w:t>
      </w:r>
      <w:r w:rsidR="00606640" w:rsidRPr="00606640">
        <w:rPr>
          <w:rFonts w:ascii="Arial" w:hAnsi="Arial"/>
        </w:rPr>
        <w:t xml:space="preserve"> su actuación </w:t>
      </w:r>
      <w:r w:rsidR="00E6616C">
        <w:rPr>
          <w:rFonts w:ascii="Arial" w:hAnsi="Arial"/>
        </w:rPr>
        <w:t xml:space="preserve">se </w:t>
      </w:r>
      <w:r w:rsidR="00606640">
        <w:rPr>
          <w:rFonts w:ascii="Arial" w:hAnsi="Arial"/>
        </w:rPr>
        <w:t xml:space="preserve">ciñó </w:t>
      </w:r>
      <w:r w:rsidR="00606640" w:rsidRPr="00606640">
        <w:rPr>
          <w:rFonts w:ascii="Arial" w:hAnsi="Arial"/>
        </w:rPr>
        <w:t xml:space="preserve">a los parámetros dispuestos en la Ley, por lo que solicitó, negar por improcedente (Sic) </w:t>
      </w:r>
      <w:r w:rsidR="00E6616C">
        <w:rPr>
          <w:rFonts w:ascii="Arial" w:hAnsi="Arial"/>
        </w:rPr>
        <w:t xml:space="preserve">el </w:t>
      </w:r>
      <w:r w:rsidR="00606640" w:rsidRPr="00606640">
        <w:rPr>
          <w:rFonts w:ascii="Arial" w:hAnsi="Arial"/>
        </w:rPr>
        <w:t>amparo constitucional</w:t>
      </w:r>
      <w:r w:rsidR="005A14B6">
        <w:rPr>
          <w:rFonts w:ascii="Arial" w:hAnsi="Arial"/>
        </w:rPr>
        <w:t xml:space="preserve"> </w:t>
      </w:r>
      <w:r w:rsidR="00CF429F" w:rsidRPr="000057F9">
        <w:rPr>
          <w:rFonts w:ascii="Arial" w:hAnsi="Arial"/>
        </w:rPr>
        <w:t>(Folio</w:t>
      </w:r>
      <w:r w:rsidR="005A14B6">
        <w:rPr>
          <w:rFonts w:ascii="Arial" w:hAnsi="Arial"/>
        </w:rPr>
        <w:t>s</w:t>
      </w:r>
      <w:r w:rsidR="00261C2F" w:rsidRPr="000057F9">
        <w:rPr>
          <w:rFonts w:ascii="Arial" w:hAnsi="Arial"/>
        </w:rPr>
        <w:t xml:space="preserve"> </w:t>
      </w:r>
      <w:r w:rsidR="00606640">
        <w:rPr>
          <w:rFonts w:ascii="Arial" w:hAnsi="Arial"/>
        </w:rPr>
        <w:t>13 y 14</w:t>
      </w:r>
      <w:r w:rsidR="00967DF9" w:rsidRPr="000057F9">
        <w:rPr>
          <w:rFonts w:ascii="Arial" w:hAnsi="Arial"/>
        </w:rPr>
        <w:t xml:space="preserve">, </w:t>
      </w:r>
      <w:r w:rsidR="005A14B6">
        <w:rPr>
          <w:rFonts w:ascii="Arial" w:hAnsi="Arial"/>
        </w:rPr>
        <w:t>íd</w:t>
      </w:r>
      <w:r w:rsidR="00085B3A" w:rsidRPr="000057F9">
        <w:rPr>
          <w:rFonts w:ascii="Arial" w:hAnsi="Arial"/>
        </w:rPr>
        <w:t>.)</w:t>
      </w:r>
      <w:r w:rsidR="00CF429F" w:rsidRPr="000057F9">
        <w:rPr>
          <w:rFonts w:ascii="Arial" w:hAnsi="Arial"/>
        </w:rPr>
        <w:t>.</w:t>
      </w:r>
    </w:p>
    <w:p w:rsidR="00606640" w:rsidRDefault="00606640" w:rsidP="000057F9">
      <w:pPr>
        <w:spacing w:line="360" w:lineRule="auto"/>
        <w:jc w:val="both"/>
        <w:rPr>
          <w:rFonts w:ascii="Arial" w:hAnsi="Arial"/>
        </w:rPr>
      </w:pPr>
    </w:p>
    <w:p w:rsidR="00606640" w:rsidRPr="000057F9" w:rsidRDefault="00606640" w:rsidP="000057F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261C2F" w:rsidRPr="000A518B" w:rsidRDefault="00261C2F" w:rsidP="00261C2F">
      <w:pPr>
        <w:pStyle w:val="Textoindependiente"/>
        <w:spacing w:line="360" w:lineRule="auto"/>
        <w:ind w:left="400"/>
        <w:rPr>
          <w:rFonts w:ascii="Arial" w:hAnsi="Arial"/>
          <w:szCs w:val="24"/>
        </w:rPr>
      </w:pPr>
    </w:p>
    <w:p w:rsidR="00A83C8C" w:rsidRPr="00875D93" w:rsidRDefault="00875D93" w:rsidP="00077247">
      <w:pPr>
        <w:pStyle w:val="Prrafodelista"/>
        <w:numPr>
          <w:ilvl w:val="1"/>
          <w:numId w:val="18"/>
        </w:numPr>
        <w:spacing w:line="360" w:lineRule="auto"/>
        <w:jc w:val="both"/>
        <w:rPr>
          <w:rFonts w:ascii="Arial" w:hAnsi="Arial"/>
        </w:rPr>
      </w:pPr>
      <w:r w:rsidRPr="00875D93">
        <w:rPr>
          <w:rFonts w:ascii="Arial" w:hAnsi="Arial"/>
        </w:rPr>
        <w:t xml:space="preserve">La </w:t>
      </w:r>
      <w:r w:rsidR="00A83C8C" w:rsidRPr="00875D93">
        <w:rPr>
          <w:rFonts w:ascii="Arial" w:hAnsi="Arial"/>
        </w:rPr>
        <w:t>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w:t>
      </w:r>
      <w:r w:rsidR="00606640">
        <w:rPr>
          <w:rFonts w:ascii="Arial" w:hAnsi="Arial" w:cs="Arial"/>
          <w:sz w:val="24"/>
          <w:szCs w:val="24"/>
        </w:rPr>
        <w:t xml:space="preserve">la </w:t>
      </w:r>
      <w:r>
        <w:rPr>
          <w:rFonts w:ascii="Arial" w:hAnsi="Arial" w:cs="Arial"/>
          <w:sz w:val="24"/>
          <w:szCs w:val="24"/>
        </w:rPr>
        <w:t xml:space="preserve">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047D92" w:rsidRDefault="00047D92" w:rsidP="00A83C8C">
      <w:pPr>
        <w:pStyle w:val="Sangra2detindependiente"/>
        <w:spacing w:after="0" w:line="360" w:lineRule="auto"/>
        <w:ind w:left="0"/>
        <w:jc w:val="both"/>
        <w:rPr>
          <w:rFonts w:ascii="Arial" w:hAnsi="Arial" w:cs="Arial"/>
          <w:sz w:val="24"/>
          <w:szCs w:val="24"/>
        </w:rPr>
      </w:pPr>
    </w:p>
    <w:p w:rsidR="00A83C8C" w:rsidRDefault="00A83C8C" w:rsidP="00875D93">
      <w:pPr>
        <w:pStyle w:val="Prrafodelista"/>
        <w:numPr>
          <w:ilvl w:val="1"/>
          <w:numId w:val="18"/>
        </w:numPr>
        <w:spacing w:line="360" w:lineRule="auto"/>
        <w:jc w:val="both"/>
        <w:rPr>
          <w:rFonts w:ascii="Arial" w:hAnsi="Arial"/>
        </w:rPr>
      </w:pPr>
      <w:r w:rsidRPr="003E2B88">
        <w:rPr>
          <w:rFonts w:ascii="Arial" w:hAnsi="Arial"/>
        </w:rPr>
        <w:t>La legitimación en la causa</w:t>
      </w:r>
    </w:p>
    <w:p w:rsidR="00A4000B" w:rsidRDefault="00A4000B" w:rsidP="00A4000B">
      <w:pPr>
        <w:pStyle w:val="Textoindependiente"/>
        <w:tabs>
          <w:tab w:val="clear" w:pos="0"/>
          <w:tab w:val="clear" w:pos="708"/>
          <w:tab w:val="clear" w:pos="1416"/>
          <w:tab w:val="left" w:pos="709"/>
        </w:tabs>
        <w:spacing w:line="360" w:lineRule="auto"/>
        <w:ind w:left="720"/>
        <w:rPr>
          <w:rFonts w:ascii="Arial" w:hAnsi="Arial"/>
          <w:szCs w:val="24"/>
        </w:rPr>
      </w:pPr>
    </w:p>
    <w:p w:rsidR="00B816D1" w:rsidRDefault="00B816D1" w:rsidP="00B816D1">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sidR="00606640">
        <w:rPr>
          <w:rFonts w:ascii="Arial" w:hAnsi="Arial" w:cs="Arial"/>
          <w:szCs w:val="24"/>
        </w:rPr>
        <w:t xml:space="preserve">la </w:t>
      </w:r>
      <w:r w:rsidR="005A14B6">
        <w:rPr>
          <w:rFonts w:ascii="Arial" w:hAnsi="Arial" w:cs="Arial"/>
          <w:szCs w:val="24"/>
        </w:rPr>
        <w:t>señor</w:t>
      </w:r>
      <w:r w:rsidR="00606640">
        <w:rPr>
          <w:rFonts w:ascii="Arial" w:hAnsi="Arial" w:cs="Arial"/>
          <w:szCs w:val="24"/>
        </w:rPr>
        <w:t>a</w:t>
      </w:r>
      <w:r w:rsidR="005A14B6">
        <w:rPr>
          <w:rFonts w:ascii="Arial" w:hAnsi="Arial" w:cs="Arial"/>
          <w:szCs w:val="24"/>
        </w:rPr>
        <w:t xml:space="preserve"> </w:t>
      </w:r>
      <w:r w:rsidR="00BC1D36">
        <w:rPr>
          <w:rFonts w:ascii="Arial" w:hAnsi="Arial" w:cs="Arial"/>
          <w:szCs w:val="24"/>
        </w:rPr>
        <w:t xml:space="preserve">Ana Cecilia Urrea de Muñoz fue beneficiaria del servicio en salud de su esposo fallecido en </w:t>
      </w:r>
      <w:r w:rsidRPr="009A1F36">
        <w:rPr>
          <w:rFonts w:ascii="Arial" w:hAnsi="Arial" w:cs="Arial"/>
          <w:szCs w:val="24"/>
        </w:rPr>
        <w:t xml:space="preserve">la Dirección de Sanidad </w:t>
      </w:r>
      <w:r>
        <w:rPr>
          <w:rFonts w:ascii="Arial" w:hAnsi="Arial" w:cs="Arial"/>
          <w:szCs w:val="24"/>
        </w:rPr>
        <w:t>de la Policía Nacional</w:t>
      </w:r>
      <w:r w:rsidR="00BC1D36">
        <w:rPr>
          <w:rFonts w:ascii="Arial" w:hAnsi="Arial" w:cs="Arial"/>
          <w:szCs w:val="24"/>
        </w:rPr>
        <w:t>, afirmación indefinida que no refutó la accionada</w:t>
      </w:r>
      <w:r w:rsidRPr="009A1F36">
        <w:rPr>
          <w:rFonts w:ascii="Arial" w:hAnsi="Arial" w:cs="Arial"/>
          <w:szCs w:val="24"/>
        </w:rPr>
        <w:t xml:space="preserve"> (Artículo 86, CP, y 10º, Decreto 2591 de 1991)</w:t>
      </w:r>
      <w:r w:rsidRPr="00311FCA">
        <w:rPr>
          <w:rFonts w:ascii="Arial" w:hAnsi="Arial" w:cs="Arial"/>
          <w:szCs w:val="24"/>
        </w:rPr>
        <w:t xml:space="preserve">.  </w:t>
      </w:r>
    </w:p>
    <w:p w:rsidR="00B816D1" w:rsidRDefault="00B816D1" w:rsidP="00A4000B">
      <w:pPr>
        <w:pStyle w:val="Textoindependiente"/>
        <w:tabs>
          <w:tab w:val="clear" w:pos="0"/>
          <w:tab w:val="clear" w:pos="708"/>
          <w:tab w:val="clear" w:pos="1416"/>
          <w:tab w:val="left" w:pos="709"/>
        </w:tabs>
        <w:spacing w:line="360" w:lineRule="auto"/>
        <w:ind w:left="720"/>
        <w:rPr>
          <w:rFonts w:ascii="Arial" w:hAnsi="Arial"/>
          <w:szCs w:val="24"/>
        </w:rPr>
      </w:pPr>
    </w:p>
    <w:p w:rsidR="0076400A" w:rsidRDefault="000C5FB3" w:rsidP="0076400A">
      <w:pPr>
        <w:pStyle w:val="Textoindependiente"/>
        <w:spacing w:line="360" w:lineRule="auto"/>
        <w:rPr>
          <w:rFonts w:ascii="Arial" w:hAnsi="Arial" w:cs="Arial"/>
          <w:szCs w:val="24"/>
        </w:rPr>
      </w:pPr>
      <w:r w:rsidRPr="009A1F36">
        <w:rPr>
          <w:rFonts w:ascii="Arial" w:hAnsi="Arial" w:cs="Arial"/>
          <w:szCs w:val="24"/>
        </w:rPr>
        <w:t xml:space="preserve">Por </w:t>
      </w:r>
      <w:r w:rsidR="00A83C8C" w:rsidRPr="009A1F36">
        <w:rPr>
          <w:rFonts w:ascii="Arial" w:hAnsi="Arial" w:cs="Arial"/>
          <w:szCs w:val="24"/>
        </w:rPr>
        <w:t xml:space="preserve">pasiva, </w:t>
      </w:r>
      <w:r w:rsidR="0029516F">
        <w:rPr>
          <w:rFonts w:ascii="Arial" w:hAnsi="Arial" w:cs="Arial"/>
          <w:szCs w:val="24"/>
        </w:rPr>
        <w:t xml:space="preserve">la </w:t>
      </w:r>
      <w:r w:rsidR="002F079F" w:rsidRPr="00834D1D">
        <w:rPr>
          <w:rFonts w:ascii="Arial" w:hAnsi="Arial"/>
          <w:szCs w:val="24"/>
        </w:rPr>
        <w:t xml:space="preserve">Dirección </w:t>
      </w:r>
      <w:r w:rsidR="002F079F">
        <w:rPr>
          <w:rFonts w:ascii="Arial" w:hAnsi="Arial"/>
        </w:rPr>
        <w:t>de Sanidad de la Policía Nacional</w:t>
      </w:r>
      <w:r w:rsidR="005A14B6">
        <w:rPr>
          <w:rFonts w:ascii="Arial" w:hAnsi="Arial"/>
        </w:rPr>
        <w:t xml:space="preserve"> Seccional Risaralda</w:t>
      </w:r>
      <w:r w:rsidR="001B3651">
        <w:rPr>
          <w:rFonts w:ascii="Arial" w:hAnsi="Arial"/>
        </w:rPr>
        <w:t xml:space="preserve">, </w:t>
      </w:r>
      <w:r w:rsidR="00EB77B2">
        <w:rPr>
          <w:rFonts w:ascii="Arial" w:hAnsi="Arial" w:cs="Arial"/>
          <w:szCs w:val="24"/>
        </w:rPr>
        <w:t>pues a ella</w:t>
      </w:r>
      <w:r w:rsidR="001B3651">
        <w:rPr>
          <w:rFonts w:ascii="Arial" w:hAnsi="Arial" w:cs="Arial"/>
          <w:szCs w:val="24"/>
        </w:rPr>
        <w:t xml:space="preserve"> se endilga la presunta conducta violatoria de los derechos fundamentales</w:t>
      </w:r>
      <w:r w:rsidR="0029002C">
        <w:rPr>
          <w:rFonts w:ascii="Arial" w:hAnsi="Arial" w:cs="Arial"/>
          <w:szCs w:val="24"/>
        </w:rPr>
        <w:t xml:space="preserve"> y tiene competencia pa</w:t>
      </w:r>
      <w:r w:rsidR="005A14B6">
        <w:rPr>
          <w:rFonts w:ascii="Arial" w:hAnsi="Arial" w:cs="Arial"/>
          <w:szCs w:val="24"/>
        </w:rPr>
        <w:t xml:space="preserve">ra atender los requerimientos </w:t>
      </w:r>
      <w:r w:rsidR="00BC1D36">
        <w:rPr>
          <w:rFonts w:ascii="Arial" w:hAnsi="Arial" w:cs="Arial"/>
          <w:szCs w:val="24"/>
        </w:rPr>
        <w:t>en salud de la actora</w:t>
      </w:r>
      <w:r w:rsidR="0076400A">
        <w:rPr>
          <w:rFonts w:ascii="Arial" w:hAnsi="Arial" w:cs="Arial"/>
          <w:szCs w:val="24"/>
        </w:rPr>
        <w:t>.</w:t>
      </w:r>
    </w:p>
    <w:p w:rsidR="0076400A" w:rsidRDefault="0076400A" w:rsidP="000C5FB3">
      <w:pPr>
        <w:pStyle w:val="Textoindependiente"/>
        <w:spacing w:line="360" w:lineRule="auto"/>
        <w:rPr>
          <w:rFonts w:ascii="Arial" w:hAnsi="Arial" w:cs="Arial"/>
          <w:szCs w:val="24"/>
        </w:rPr>
      </w:pPr>
    </w:p>
    <w:p w:rsidR="001B3651" w:rsidRPr="002B5E03" w:rsidRDefault="00A83C8C" w:rsidP="000C5FB3">
      <w:pPr>
        <w:pStyle w:val="Textoindependiente"/>
        <w:spacing w:line="360" w:lineRule="auto"/>
        <w:rPr>
          <w:rFonts w:ascii="Arial" w:hAnsi="Arial" w:cs="Arial"/>
          <w:szCs w:val="24"/>
        </w:rPr>
      </w:pPr>
      <w:r w:rsidRPr="002B5E03">
        <w:rPr>
          <w:rFonts w:ascii="Arial" w:hAnsi="Arial" w:cs="Arial"/>
          <w:szCs w:val="24"/>
        </w:rPr>
        <w:t xml:space="preserve">Se </w:t>
      </w:r>
      <w:r w:rsidR="002B5E03" w:rsidRPr="002B5E03">
        <w:rPr>
          <w:rFonts w:ascii="Arial" w:hAnsi="Arial" w:cs="Arial"/>
          <w:szCs w:val="24"/>
        </w:rPr>
        <w:t xml:space="preserve">negará el amparo frente </w:t>
      </w:r>
      <w:r w:rsidRPr="002B5E03">
        <w:rPr>
          <w:rFonts w:ascii="Arial" w:hAnsi="Arial" w:cs="Arial"/>
          <w:szCs w:val="24"/>
        </w:rPr>
        <w:t xml:space="preserve">a </w:t>
      </w:r>
      <w:r w:rsidR="001B3651" w:rsidRPr="002B5E03">
        <w:rPr>
          <w:rFonts w:ascii="Arial" w:hAnsi="Arial" w:cs="Arial"/>
          <w:szCs w:val="24"/>
        </w:rPr>
        <w:t>la</w:t>
      </w:r>
      <w:r w:rsidR="00EB77B2" w:rsidRPr="002B5E03">
        <w:rPr>
          <w:rFonts w:ascii="Arial" w:hAnsi="Arial" w:cs="Arial"/>
          <w:szCs w:val="24"/>
        </w:rPr>
        <w:t xml:space="preserve"> </w:t>
      </w:r>
      <w:r w:rsidR="001B3651" w:rsidRPr="002B5E03">
        <w:rPr>
          <w:rFonts w:ascii="Arial" w:hAnsi="Arial" w:cs="Arial"/>
          <w:szCs w:val="24"/>
        </w:rPr>
        <w:t xml:space="preserve">Dirección General de Sanidad de la Policía Nacional </w:t>
      </w:r>
      <w:r w:rsidR="006C2DD7" w:rsidRPr="002B5E03">
        <w:rPr>
          <w:rFonts w:ascii="Arial" w:hAnsi="Arial" w:cs="Arial"/>
          <w:szCs w:val="24"/>
        </w:rPr>
        <w:t xml:space="preserve">y a la </w:t>
      </w:r>
      <w:r w:rsidR="00BC1D36">
        <w:rPr>
          <w:rFonts w:ascii="Arial" w:hAnsi="Arial" w:cs="Arial"/>
        </w:rPr>
        <w:t xml:space="preserve">Caja de Sueldos del Retiro de la Policía Nacional -CASUR- </w:t>
      </w:r>
      <w:r w:rsidR="001B3651" w:rsidRPr="002B5E03">
        <w:rPr>
          <w:rFonts w:ascii="Arial" w:hAnsi="Arial" w:cs="Arial"/>
          <w:szCs w:val="24"/>
        </w:rPr>
        <w:t xml:space="preserve">porque </w:t>
      </w:r>
      <w:r w:rsidR="00BC1D36">
        <w:rPr>
          <w:rFonts w:ascii="Arial" w:hAnsi="Arial" w:cs="Arial"/>
          <w:szCs w:val="24"/>
        </w:rPr>
        <w:t xml:space="preserve">es inexistente </w:t>
      </w:r>
      <w:r w:rsidR="001B3651" w:rsidRPr="002B5E03">
        <w:rPr>
          <w:rFonts w:ascii="Arial" w:hAnsi="Arial" w:cs="Arial"/>
          <w:szCs w:val="24"/>
        </w:rPr>
        <w:t>acción u omisión que implique violación o amenaza de derechos fundamentales</w:t>
      </w:r>
      <w:r w:rsidR="002B5E03">
        <w:rPr>
          <w:rFonts w:ascii="Arial" w:hAnsi="Arial" w:cs="Arial"/>
          <w:szCs w:val="24"/>
        </w:rPr>
        <w:t xml:space="preserve"> invocados</w:t>
      </w:r>
      <w:r w:rsidR="001B3651" w:rsidRPr="002B5E03">
        <w:rPr>
          <w:rFonts w:ascii="Arial" w:hAnsi="Arial" w:cs="Arial"/>
          <w:szCs w:val="24"/>
        </w:rPr>
        <w:t xml:space="preserve">. </w:t>
      </w:r>
    </w:p>
    <w:p w:rsidR="001B3651" w:rsidRDefault="001B3651" w:rsidP="00A83C8C">
      <w:pPr>
        <w:pStyle w:val="Textoindependiente"/>
        <w:spacing w:line="360" w:lineRule="auto"/>
        <w:rPr>
          <w:rFonts w:ascii="Arial" w:hAnsi="Arial" w:cs="Arial"/>
          <w:szCs w:val="24"/>
        </w:rPr>
      </w:pPr>
    </w:p>
    <w:p w:rsidR="00A83C8C" w:rsidRPr="003E2B88" w:rsidRDefault="00A83C8C" w:rsidP="004A2E41">
      <w:pPr>
        <w:pStyle w:val="Textoindependiente"/>
        <w:numPr>
          <w:ilvl w:val="1"/>
          <w:numId w:val="18"/>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szCs w:val="24"/>
        </w:rPr>
      </w:pPr>
    </w:p>
    <w:p w:rsidR="00A83C8C"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29516F" w:rsidRPr="00834D1D">
        <w:rPr>
          <w:rFonts w:ascii="Arial" w:hAnsi="Arial"/>
          <w:szCs w:val="24"/>
        </w:rPr>
        <w:t xml:space="preserve">Dirección </w:t>
      </w:r>
      <w:r w:rsidR="0029516F">
        <w:rPr>
          <w:rFonts w:ascii="Arial" w:hAnsi="Arial"/>
        </w:rPr>
        <w:t>de Sanidad de la Policía Nacional</w:t>
      </w:r>
      <w:r w:rsidR="006C2DD7">
        <w:rPr>
          <w:rFonts w:ascii="Arial" w:hAnsi="Arial"/>
        </w:rPr>
        <w:t xml:space="preserve"> Seccional Risaralda</w:t>
      </w:r>
      <w:r w:rsidRPr="00213843">
        <w:rPr>
          <w:rFonts w:ascii="Arial" w:hAnsi="Arial"/>
          <w:szCs w:val="24"/>
        </w:rPr>
        <w:t xml:space="preserve">, viola o amenaza los derechos fundamentales alegados por </w:t>
      </w:r>
      <w:r w:rsidR="00BC1D36">
        <w:rPr>
          <w:rFonts w:ascii="Arial" w:hAnsi="Arial"/>
          <w:szCs w:val="24"/>
        </w:rPr>
        <w:t xml:space="preserve">la </w:t>
      </w:r>
      <w:r w:rsidRPr="00213843">
        <w:rPr>
          <w:rFonts w:ascii="Arial" w:hAnsi="Arial"/>
          <w:szCs w:val="24"/>
        </w:rPr>
        <w:t>accionante, según los hechos expuestos en la petición de tutela</w:t>
      </w:r>
      <w:r w:rsidRPr="00213843">
        <w:rPr>
          <w:rFonts w:ascii="Arial" w:hAnsi="Arial" w:cs="Arial"/>
          <w:szCs w:val="24"/>
        </w:rPr>
        <w:t>?</w:t>
      </w:r>
    </w:p>
    <w:p w:rsidR="00BC1D36" w:rsidRPr="00213843" w:rsidRDefault="00BC1D36" w:rsidP="00A83C8C">
      <w:pPr>
        <w:pStyle w:val="Textoindependiente"/>
        <w:tabs>
          <w:tab w:val="clear" w:pos="708"/>
          <w:tab w:val="clear" w:pos="1416"/>
          <w:tab w:val="left" w:pos="709"/>
          <w:tab w:val="left" w:pos="1418"/>
        </w:tabs>
        <w:spacing w:line="360" w:lineRule="auto"/>
        <w:rPr>
          <w:rFonts w:ascii="Arial" w:hAnsi="Arial" w:cs="Arial"/>
          <w:szCs w:val="24"/>
        </w:rPr>
      </w:pPr>
    </w:p>
    <w:p w:rsidR="00A83C8C" w:rsidRPr="003E2B88" w:rsidRDefault="00A83C8C" w:rsidP="004A2E41">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A52515" w:rsidRDefault="00A83C8C" w:rsidP="00A83C8C">
      <w:pPr>
        <w:pStyle w:val="Textoindependiente"/>
        <w:tabs>
          <w:tab w:val="clear" w:pos="708"/>
          <w:tab w:val="clear" w:pos="1416"/>
          <w:tab w:val="left" w:pos="709"/>
          <w:tab w:val="left" w:pos="1418"/>
        </w:tabs>
        <w:spacing w:line="360" w:lineRule="auto"/>
        <w:rPr>
          <w:rFonts w:ascii="Arial" w:hAnsi="Arial"/>
          <w:sz w:val="22"/>
          <w:szCs w:val="24"/>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4A2E4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76400A" w:rsidRDefault="0076400A" w:rsidP="0076400A">
      <w:pPr>
        <w:pStyle w:val="Textoindependiente"/>
        <w:tabs>
          <w:tab w:val="clear" w:pos="708"/>
          <w:tab w:val="clear" w:pos="1416"/>
          <w:tab w:val="left" w:pos="709"/>
          <w:tab w:val="left" w:pos="1418"/>
        </w:tabs>
        <w:spacing w:line="360" w:lineRule="auto"/>
        <w:ind w:left="720"/>
        <w:rPr>
          <w:rFonts w:ascii="Arial" w:hAnsi="Arial"/>
          <w:szCs w:val="24"/>
        </w:rPr>
      </w:pPr>
    </w:p>
    <w:p w:rsidR="006C2DD7" w:rsidRDefault="00971A2A" w:rsidP="006C2DD7">
      <w:pPr>
        <w:pStyle w:val="Sinespaciado"/>
        <w:spacing w:line="360" w:lineRule="auto"/>
        <w:jc w:val="both"/>
        <w:rPr>
          <w:rFonts w:ascii="Arial" w:hAnsi="Arial" w:cs="Arial"/>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6C2DD7" w:rsidRDefault="006C2DD7" w:rsidP="006C2DD7">
      <w:pPr>
        <w:pStyle w:val="Sinespaciado"/>
        <w:spacing w:line="360" w:lineRule="auto"/>
        <w:jc w:val="both"/>
        <w:rPr>
          <w:rFonts w:ascii="Arial" w:hAnsi="Arial" w:cs="Arial"/>
        </w:rPr>
      </w:pPr>
    </w:p>
    <w:p w:rsidR="00251A54" w:rsidRPr="006C2DD7" w:rsidRDefault="00971A2A" w:rsidP="006C2DD7">
      <w:pPr>
        <w:pStyle w:val="Sinespaciado"/>
        <w:spacing w:line="360" w:lineRule="auto"/>
        <w:jc w:val="both"/>
        <w:rPr>
          <w:rFonts w:ascii="Arial" w:hAnsi="Arial" w:cs="Arial"/>
          <w:i/>
          <w:szCs w:val="24"/>
          <w:lang w:val="es-CO"/>
        </w:rPr>
      </w:pPr>
      <w:r w:rsidRPr="006C2DD7">
        <w:rPr>
          <w:rFonts w:ascii="Arial" w:hAnsi="Arial" w:cs="Arial"/>
          <w:lang w:val="es-CO"/>
        </w:rPr>
        <w:t xml:space="preserve">Del mismo modo, </w:t>
      </w:r>
      <w:r w:rsidR="007B2953" w:rsidRPr="006C2DD7">
        <w:rPr>
          <w:rFonts w:ascii="Arial" w:hAnsi="Arial" w:cs="Arial"/>
          <w:lang w:val="es-CO"/>
        </w:rPr>
        <w:t xml:space="preserve">la inmediatez, </w:t>
      </w:r>
      <w:r w:rsidR="00BC1D36">
        <w:rPr>
          <w:rFonts w:ascii="Arial" w:hAnsi="Arial" w:cs="Arial"/>
          <w:lang w:val="es-CO"/>
        </w:rPr>
        <w:t xml:space="preserve">si bien </w:t>
      </w:r>
      <w:r w:rsidR="00A86F0D">
        <w:rPr>
          <w:rFonts w:ascii="Arial" w:hAnsi="Arial" w:cs="Arial"/>
        </w:rPr>
        <w:t>su interposición (02-06-2016) desborda el plazo de los seis (6) meses fijado por la jurisprudencia tanto constitucional</w:t>
      </w:r>
      <w:r w:rsidR="00A86F0D" w:rsidRPr="0098589D">
        <w:rPr>
          <w:rStyle w:val="Refdenotaalpie"/>
          <w:rFonts w:ascii="Calibri" w:hAnsi="Calibri" w:cs="Calibri"/>
        </w:rPr>
        <w:footnoteReference w:id="2"/>
      </w:r>
      <w:r w:rsidR="00A86F0D">
        <w:rPr>
          <w:rFonts w:ascii="Arial" w:hAnsi="Arial" w:cs="Arial"/>
        </w:rPr>
        <w:t xml:space="preserve"> como ordinaria</w:t>
      </w:r>
      <w:r w:rsidR="00A86F0D">
        <w:rPr>
          <w:rStyle w:val="Refdenotaalpie"/>
          <w:rFonts w:ascii="Arial" w:hAnsi="Arial"/>
        </w:rPr>
        <w:footnoteReference w:id="3"/>
      </w:r>
      <w:r w:rsidR="00A86F0D">
        <w:rPr>
          <w:rFonts w:ascii="Arial" w:hAnsi="Arial" w:cs="Arial"/>
        </w:rPr>
        <w:t xml:space="preserve">; como tiempo razonable, ya que transcurrió un (1) año y cuatro (4) meses desde la fecha aproximada de suspensión del servicio en salud (25-02-2016), debe hacerse un juicio más flexible del requisito de procedibilidad, </w:t>
      </w:r>
      <w:r w:rsidR="00BC1D36">
        <w:rPr>
          <w:rFonts w:ascii="Arial" w:hAnsi="Arial" w:cs="Arial"/>
          <w:lang w:val="es-CO"/>
        </w:rPr>
        <w:t>por tratarse de una persona de especial protección constitucional</w:t>
      </w:r>
      <w:r w:rsidR="00876DD8">
        <w:rPr>
          <w:rStyle w:val="Refdenotaalpie"/>
          <w:rFonts w:ascii="Arial" w:hAnsi="Arial"/>
          <w:lang w:val="es-CO"/>
        </w:rPr>
        <w:footnoteReference w:id="4"/>
      </w:r>
      <w:r w:rsidR="00876DD8">
        <w:rPr>
          <w:rFonts w:ascii="Arial" w:hAnsi="Arial" w:cs="Arial"/>
          <w:lang w:val="es-CO"/>
        </w:rPr>
        <w:t>,</w:t>
      </w:r>
      <w:r w:rsidR="00BC1D36">
        <w:rPr>
          <w:rFonts w:ascii="Arial" w:hAnsi="Arial" w:cs="Arial"/>
          <w:lang w:val="es-CO"/>
        </w:rPr>
        <w:t xml:space="preserve"> en razón de su edad </w:t>
      </w:r>
      <w:r w:rsidR="006D245E">
        <w:rPr>
          <w:rFonts w:ascii="Arial" w:hAnsi="Arial" w:cs="Arial"/>
          <w:lang w:val="es-CO"/>
        </w:rPr>
        <w:t>79 años</w:t>
      </w:r>
      <w:r w:rsidR="00913785">
        <w:rPr>
          <w:rFonts w:ascii="Arial" w:hAnsi="Arial" w:cs="Arial"/>
          <w:lang w:val="es-CO"/>
        </w:rPr>
        <w:t xml:space="preserve"> (Adulo mayor o de la</w:t>
      </w:r>
      <w:r w:rsidR="006D245E">
        <w:rPr>
          <w:rFonts w:ascii="Arial" w:hAnsi="Arial" w:cs="Arial"/>
          <w:lang w:val="es-CO"/>
        </w:rPr>
        <w:t xml:space="preserve"> tercera edad</w:t>
      </w:r>
      <w:r w:rsidR="00BC1D36">
        <w:rPr>
          <w:rFonts w:ascii="Arial" w:hAnsi="Arial" w:cs="Arial"/>
          <w:lang w:val="es-CO"/>
        </w:rPr>
        <w:t>)</w:t>
      </w:r>
      <w:r w:rsidR="00A86F0D">
        <w:rPr>
          <w:rStyle w:val="Refdenotaalpie"/>
          <w:rFonts w:ascii="Arial" w:hAnsi="Arial"/>
          <w:lang w:val="es-CO"/>
        </w:rPr>
        <w:footnoteReference w:id="5"/>
      </w:r>
      <w:r w:rsidR="00BC1D36">
        <w:rPr>
          <w:rFonts w:ascii="Arial" w:hAnsi="Arial" w:cs="Arial"/>
          <w:lang w:val="es-CO"/>
        </w:rPr>
        <w:t>, padecer de enfermedades y carecer de recursos económicos</w:t>
      </w:r>
      <w:r w:rsidR="00876DD8">
        <w:rPr>
          <w:rFonts w:ascii="Arial" w:hAnsi="Arial" w:cs="Arial"/>
          <w:lang w:val="es-CO"/>
        </w:rPr>
        <w:t>.</w:t>
      </w:r>
      <w:r w:rsidR="00251A54" w:rsidRPr="006C2DD7">
        <w:rPr>
          <w:rFonts w:ascii="Arial" w:hAnsi="Arial" w:cs="Arial"/>
          <w:noProof/>
          <w:szCs w:val="22"/>
          <w:lang w:val="es-CO"/>
        </w:rPr>
        <w:t xml:space="preserve"> </w:t>
      </w:r>
    </w:p>
    <w:p w:rsidR="000A518B" w:rsidRPr="00A60E20" w:rsidRDefault="000A518B" w:rsidP="000A518B">
      <w:pPr>
        <w:spacing w:line="360" w:lineRule="auto"/>
        <w:jc w:val="both"/>
        <w:rPr>
          <w:rFonts w:ascii="Arial" w:hAnsi="Arial" w:cs="Arial"/>
          <w:noProof/>
          <w:szCs w:val="22"/>
          <w:lang w:val="es-CO"/>
        </w:rPr>
      </w:pPr>
    </w:p>
    <w:p w:rsidR="007B2953" w:rsidRPr="00C3390C" w:rsidRDefault="007B2953" w:rsidP="004A2E41">
      <w:pPr>
        <w:pStyle w:val="Textoindependiente"/>
        <w:numPr>
          <w:ilvl w:val="2"/>
          <w:numId w:val="18"/>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C3390C" w:rsidRDefault="007B2953" w:rsidP="007B2953">
      <w:pPr>
        <w:pStyle w:val="Textoindependiente"/>
        <w:spacing w:line="360" w:lineRule="auto"/>
        <w:rPr>
          <w:rFonts w:ascii="Arial" w:hAnsi="Arial" w:cs="Arial"/>
          <w:szCs w:val="24"/>
        </w:rPr>
      </w:pPr>
    </w:p>
    <w:p w:rsidR="007B2953" w:rsidRPr="00C3390C" w:rsidRDefault="00D725B6" w:rsidP="007B2953">
      <w:pPr>
        <w:spacing w:line="360" w:lineRule="auto"/>
        <w:jc w:val="both"/>
        <w:rPr>
          <w:rFonts w:ascii="Arial" w:hAnsi="Arial" w:cs="Arial"/>
        </w:rPr>
      </w:pPr>
      <w:r w:rsidRPr="00C3390C">
        <w:rPr>
          <w:rFonts w:ascii="Arial" w:hAnsi="Arial" w:cs="Arial"/>
          <w:lang w:val="es-CO"/>
        </w:rPr>
        <w:t xml:space="preserve">La </w:t>
      </w:r>
      <w:r w:rsidR="007B2953" w:rsidRPr="00C3390C">
        <w:rPr>
          <w:rFonts w:ascii="Arial" w:hAnsi="Arial" w:cs="Arial"/>
          <w:lang w:val="es-CO"/>
        </w:rPr>
        <w:t>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007B2953" w:rsidRPr="00C3390C">
        <w:rPr>
          <w:rFonts w:ascii="Arial" w:hAnsi="Arial" w:cs="Arial"/>
          <w:lang w:val="es-CO"/>
        </w:rPr>
        <w:t xml:space="preserve">el Estado tiene la obligación de garantizar a todas las personas </w:t>
      </w:r>
      <w:r w:rsidR="007B2953" w:rsidRPr="00C3390C">
        <w:rPr>
          <w:rFonts w:ascii="Arial" w:hAnsi="Arial" w:cs="Arial"/>
          <w:i/>
          <w:lang w:val="es-CO"/>
        </w:rPr>
        <w:t>“el acceso a los servicios de promoción, protección y recuperación de la salud (...)”.</w:t>
      </w:r>
      <w:r w:rsidR="007B2953" w:rsidRPr="00C3390C">
        <w:rPr>
          <w:rFonts w:ascii="Arial" w:hAnsi="Arial" w:cs="Arial"/>
          <w:lang w:val="es-CO"/>
        </w:rPr>
        <w:t xml:space="preserve"> </w:t>
      </w:r>
      <w:r w:rsidR="007B2953" w:rsidRPr="00C3390C">
        <w:rPr>
          <w:rFonts w:ascii="Arial" w:hAnsi="Arial" w:cs="Arial"/>
        </w:rPr>
        <w:t xml:space="preserve">La Corte Constitucional </w:t>
      </w:r>
      <w:r w:rsidR="00C869FA">
        <w:rPr>
          <w:rFonts w:ascii="Arial" w:hAnsi="Arial" w:cs="Arial"/>
        </w:rPr>
        <w:t xml:space="preserve">en su jurisprudencia </w:t>
      </w:r>
      <w:r w:rsidR="007B2953" w:rsidRPr="00C3390C">
        <w:rPr>
          <w:rFonts w:ascii="Arial" w:hAnsi="Arial" w:cs="Arial"/>
        </w:rPr>
        <w:t>reconoci</w:t>
      </w:r>
      <w:r w:rsidR="00C869FA">
        <w:rPr>
          <w:rFonts w:ascii="Arial" w:hAnsi="Arial" w:cs="Arial"/>
        </w:rPr>
        <w:t xml:space="preserve">ó </w:t>
      </w:r>
      <w:r w:rsidR="007B2953" w:rsidRPr="00C3390C">
        <w:rPr>
          <w:rFonts w:ascii="Arial" w:hAnsi="Arial" w:cs="Arial"/>
        </w:rPr>
        <w:t>el carácter fundamental del derecho a la salud, en el que señala que</w:t>
      </w:r>
      <w:r w:rsidR="007B2953">
        <w:rPr>
          <w:rFonts w:ascii="Arial" w:hAnsi="Arial" w:cs="Arial"/>
        </w:rPr>
        <w:t xml:space="preserve"> </w:t>
      </w:r>
      <w:r w:rsidR="00C869FA">
        <w:rPr>
          <w:rFonts w:ascii="Arial" w:hAnsi="Arial" w:cs="Arial"/>
        </w:rPr>
        <w:t xml:space="preserve">toda </w:t>
      </w:r>
      <w:r w:rsidR="007B2953"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007B2953" w:rsidRPr="00C3390C">
        <w:rPr>
          <w:rFonts w:ascii="Arial" w:hAnsi="Arial" w:cs="Arial"/>
          <w:vertAlign w:val="superscript"/>
          <w:lang w:val="es-CO"/>
        </w:rPr>
        <w:footnoteReference w:id="6"/>
      </w:r>
      <w:r w:rsidR="007B2953" w:rsidRPr="00C3390C">
        <w:rPr>
          <w:rFonts w:ascii="Arial" w:hAnsi="Arial" w:cs="Arial"/>
          <w:lang w:val="es-CO"/>
        </w:rPr>
        <w:t xml:space="preserve">. </w:t>
      </w:r>
    </w:p>
    <w:p w:rsidR="007B2953" w:rsidRDefault="007B2953" w:rsidP="007B2953">
      <w:pPr>
        <w:spacing w:line="360" w:lineRule="auto"/>
        <w:jc w:val="both"/>
        <w:rPr>
          <w:rFonts w:ascii="Arial" w:hAnsi="Arial" w:cs="Arial"/>
        </w:rPr>
      </w:pPr>
    </w:p>
    <w:p w:rsidR="007B2953" w:rsidRDefault="00C869FA" w:rsidP="007B2953">
      <w:pPr>
        <w:spacing w:line="360" w:lineRule="auto"/>
        <w:jc w:val="both"/>
        <w:rPr>
          <w:rFonts w:ascii="Arial" w:hAnsi="Arial" w:cs="Arial"/>
        </w:rPr>
      </w:pPr>
      <w:r>
        <w:rPr>
          <w:rFonts w:ascii="Arial" w:hAnsi="Arial" w:cs="Arial"/>
        </w:rPr>
        <w:t>Así también lo entendió el legislador, al expedir la Ley 1751 que regula el derecho fundamental a la salud y lo estableció como un derecho autónomo e irrenunciable</w:t>
      </w:r>
      <w:r w:rsidR="00FB18F6">
        <w:rPr>
          <w:rFonts w:ascii="Arial" w:hAnsi="Arial" w:cs="Arial"/>
        </w:rPr>
        <w:t xml:space="preserve">, que enmarca entre otros los principios de universalidad, equidad, </w:t>
      </w:r>
      <w:r w:rsidR="00FB18F6" w:rsidRPr="00245222">
        <w:rPr>
          <w:rFonts w:ascii="Arial" w:hAnsi="Arial" w:cs="Arial"/>
          <w:u w:val="single"/>
        </w:rPr>
        <w:t>eficiencia</w:t>
      </w:r>
      <w:r w:rsidR="00FB18F6">
        <w:rPr>
          <w:rFonts w:ascii="Arial" w:hAnsi="Arial" w:cs="Arial"/>
        </w:rPr>
        <w:t xml:space="preserve">. </w:t>
      </w:r>
      <w:r w:rsidR="00FB18F6" w:rsidRPr="00C3390C">
        <w:rPr>
          <w:rFonts w:ascii="Arial" w:hAnsi="Arial" w:cs="Arial"/>
        </w:rPr>
        <w:t xml:space="preserve">Por </w:t>
      </w:r>
      <w:r w:rsidR="007B2953" w:rsidRPr="00C3390C">
        <w:rPr>
          <w:rFonts w:ascii="Arial" w:hAnsi="Arial" w:cs="Arial"/>
        </w:rPr>
        <w:t xml:space="preserve">ende, la acción de tutela </w:t>
      </w:r>
      <w:r w:rsidR="00FB18F6">
        <w:rPr>
          <w:rFonts w:ascii="Arial" w:hAnsi="Arial" w:cs="Arial"/>
        </w:rPr>
        <w:t>continúa</w:t>
      </w:r>
      <w:r>
        <w:rPr>
          <w:rFonts w:ascii="Arial" w:hAnsi="Arial" w:cs="Arial"/>
        </w:rPr>
        <w:t xml:space="preserve"> siendo un</w:t>
      </w:r>
      <w:r w:rsidR="007B2953" w:rsidRPr="00C3390C">
        <w:rPr>
          <w:rFonts w:ascii="Arial" w:hAnsi="Arial" w:cs="Arial"/>
        </w:rPr>
        <w:t xml:space="preserve"> medio judicial idóneo para defender</w:t>
      </w:r>
      <w:r>
        <w:rPr>
          <w:rFonts w:ascii="Arial" w:hAnsi="Arial" w:cs="Arial"/>
        </w:rPr>
        <w:t>lo</w:t>
      </w:r>
      <w:r w:rsidR="007B2953" w:rsidRPr="00C3390C">
        <w:rPr>
          <w:rFonts w:ascii="Arial" w:hAnsi="Arial" w:cs="Arial"/>
        </w:rPr>
        <w:t>.</w:t>
      </w:r>
    </w:p>
    <w:p w:rsidR="00E15537" w:rsidRDefault="00E15537" w:rsidP="007B2953">
      <w:pPr>
        <w:spacing w:line="360" w:lineRule="auto"/>
        <w:jc w:val="both"/>
        <w:rPr>
          <w:rFonts w:ascii="Arial" w:hAnsi="Arial" w:cs="Arial"/>
        </w:rPr>
      </w:pPr>
    </w:p>
    <w:p w:rsidR="0037747B" w:rsidRDefault="0037747B" w:rsidP="007B2953">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xml:space="preserve">, esto es, las exclusiones son solo aquellas expresamente mencionadas en el artículo </w:t>
      </w:r>
      <w:r w:rsidR="001112EE">
        <w:rPr>
          <w:rFonts w:ascii="Arial" w:hAnsi="Arial" w:cs="Arial"/>
          <w:color w:val="000000"/>
          <w:shd w:val="clear" w:color="auto" w:fill="FFFFFF"/>
        </w:rPr>
        <w:t>15</w:t>
      </w:r>
      <w:r>
        <w:rPr>
          <w:rFonts w:ascii="Arial" w:hAnsi="Arial" w:cs="Arial"/>
          <w:color w:val="000000"/>
          <w:shd w:val="clear" w:color="auto" w:fill="FFFFFF"/>
        </w:rPr>
        <w:t xml:space="preserve">, </w:t>
      </w:r>
      <w:r w:rsidR="001112EE">
        <w:rPr>
          <w:rFonts w:ascii="Arial" w:hAnsi="Arial" w:cs="Arial"/>
          <w:color w:val="000000"/>
          <w:shd w:val="clear" w:color="auto" w:fill="FFFFFF"/>
        </w:rPr>
        <w:t xml:space="preserve">además el 3º de la misma Ley, </w:t>
      </w:r>
      <w:r>
        <w:rPr>
          <w:rFonts w:ascii="Arial" w:hAnsi="Arial" w:cs="Arial"/>
          <w:color w:val="000000"/>
          <w:shd w:val="clear" w:color="auto" w:fill="FFFFFF"/>
        </w:rPr>
        <w:t>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37747B" w:rsidRDefault="0037747B" w:rsidP="007B2953">
      <w:pPr>
        <w:spacing w:line="360" w:lineRule="auto"/>
        <w:jc w:val="both"/>
        <w:rPr>
          <w:rFonts w:ascii="Arial" w:hAnsi="Arial" w:cs="Arial"/>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7"/>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0E08E4" w:rsidRPr="00E15537" w:rsidRDefault="000E08E4" w:rsidP="007B2953">
      <w:pPr>
        <w:spacing w:line="360" w:lineRule="auto"/>
        <w:jc w:val="both"/>
        <w:rPr>
          <w:rFonts w:ascii="Arial" w:hAnsi="Arial" w:cs="Arial"/>
          <w:color w:val="000000"/>
          <w:shd w:val="clear" w:color="auto" w:fill="FFFFFF"/>
        </w:rPr>
      </w:pPr>
    </w:p>
    <w:p w:rsidR="007E59A9" w:rsidRDefault="00876DD8" w:rsidP="004A2E41">
      <w:pPr>
        <w:numPr>
          <w:ilvl w:val="2"/>
          <w:numId w:val="18"/>
        </w:numPr>
        <w:spacing w:line="360" w:lineRule="auto"/>
        <w:jc w:val="both"/>
        <w:rPr>
          <w:rFonts w:ascii="Arial" w:hAnsi="Arial" w:cs="Arial"/>
          <w:lang w:val="es-ES_tradnl"/>
        </w:rPr>
      </w:pPr>
      <w:r>
        <w:rPr>
          <w:rFonts w:ascii="Arial" w:hAnsi="Arial" w:cs="Arial"/>
          <w:bCs/>
          <w:lang w:val="es-ES_tradnl"/>
        </w:rPr>
        <w:t>L</w:t>
      </w:r>
      <w:r w:rsidRPr="00876DD8">
        <w:rPr>
          <w:rFonts w:ascii="Arial" w:hAnsi="Arial" w:cs="Arial"/>
          <w:bCs/>
          <w:lang w:val="es-ES_tradnl"/>
        </w:rPr>
        <w:t>a continuidad en el servicio de salud</w:t>
      </w:r>
    </w:p>
    <w:p w:rsidR="007E59A9" w:rsidRDefault="007E59A9" w:rsidP="007E59A9">
      <w:pPr>
        <w:spacing w:line="360" w:lineRule="auto"/>
        <w:jc w:val="both"/>
        <w:rPr>
          <w:rFonts w:ascii="Arial" w:hAnsi="Arial" w:cs="Arial"/>
          <w:lang w:val="es-ES_tradnl"/>
        </w:rPr>
      </w:pPr>
    </w:p>
    <w:p w:rsidR="002A4BD3" w:rsidRDefault="002A4BD3" w:rsidP="00394231">
      <w:pPr>
        <w:spacing w:line="360" w:lineRule="auto"/>
        <w:jc w:val="both"/>
        <w:rPr>
          <w:rFonts w:ascii="Arial" w:hAnsi="Arial" w:cs="Arial"/>
          <w:szCs w:val="28"/>
        </w:rPr>
      </w:pPr>
      <w:r>
        <w:rPr>
          <w:rFonts w:ascii="Arial" w:hAnsi="Arial" w:cs="Arial"/>
          <w:szCs w:val="28"/>
        </w:rPr>
        <w:t>Conforme la doctrina jurisprudencial</w:t>
      </w:r>
      <w:r w:rsidR="00EE31B8">
        <w:rPr>
          <w:rStyle w:val="Refdenotaalpie"/>
          <w:rFonts w:ascii="Arial" w:hAnsi="Arial"/>
          <w:szCs w:val="28"/>
        </w:rPr>
        <w:footnoteReference w:id="8"/>
      </w:r>
      <w:r>
        <w:rPr>
          <w:rFonts w:ascii="Arial" w:hAnsi="Arial" w:cs="Arial"/>
          <w:szCs w:val="28"/>
        </w:rPr>
        <w:t xml:space="preserve"> la prestación del servicio en salud se rige por los principios de</w:t>
      </w:r>
      <w:r w:rsidRPr="002A4BD3">
        <w:rPr>
          <w:rFonts w:ascii="Arial" w:hAnsi="Arial" w:cs="Arial"/>
          <w:szCs w:val="28"/>
        </w:rPr>
        <w:t xml:space="preserve"> universalidad, eficiencia y solidaridad.</w:t>
      </w:r>
      <w:r>
        <w:rPr>
          <w:rFonts w:ascii="Arial" w:hAnsi="Arial" w:cs="Arial"/>
          <w:szCs w:val="28"/>
        </w:rPr>
        <w:t xml:space="preserve"> En tratándose de la eficiencia ha sido enfática en señalar que se concibe como el deber que tiene las entidades prestadoras de salud de garantizar la continuidad de la prestación del servicio a sus afiliados de forma continua e ininterrumpida hasta que el paciente se recupere o estabilice. </w:t>
      </w:r>
    </w:p>
    <w:p w:rsidR="002A4BD3" w:rsidRDefault="002A4BD3" w:rsidP="00394231">
      <w:pPr>
        <w:spacing w:line="360" w:lineRule="auto"/>
        <w:jc w:val="both"/>
        <w:rPr>
          <w:rFonts w:ascii="Arial" w:hAnsi="Arial" w:cs="Arial"/>
          <w:szCs w:val="28"/>
        </w:rPr>
      </w:pPr>
    </w:p>
    <w:p w:rsidR="002A4BD3" w:rsidRPr="006D245E" w:rsidRDefault="002A4BD3" w:rsidP="00394231">
      <w:pPr>
        <w:spacing w:line="360" w:lineRule="auto"/>
        <w:jc w:val="both"/>
        <w:rPr>
          <w:rFonts w:ascii="Arial" w:hAnsi="Arial" w:cs="Arial"/>
          <w:i/>
          <w:color w:val="000000" w:themeColor="text1"/>
          <w:sz w:val="22"/>
          <w:szCs w:val="22"/>
        </w:rPr>
      </w:pPr>
      <w:r w:rsidRPr="006D245E">
        <w:rPr>
          <w:rFonts w:ascii="Arial" w:hAnsi="Arial" w:cs="Arial"/>
          <w:color w:val="000000" w:themeColor="text1"/>
          <w:szCs w:val="28"/>
        </w:rPr>
        <w:t>En torno al principio de continuidad refirió la Corte Constitucional</w:t>
      </w:r>
      <w:r w:rsidR="00EE31B8" w:rsidRPr="006D245E">
        <w:rPr>
          <w:rStyle w:val="Refdenotaalpie"/>
          <w:rFonts w:ascii="Arial" w:hAnsi="Arial"/>
          <w:color w:val="000000" w:themeColor="text1"/>
          <w:szCs w:val="28"/>
        </w:rPr>
        <w:footnoteReference w:id="9"/>
      </w:r>
      <w:r w:rsidRPr="006D245E">
        <w:rPr>
          <w:rFonts w:ascii="Arial" w:hAnsi="Arial" w:cs="Arial"/>
          <w:color w:val="000000" w:themeColor="text1"/>
          <w:szCs w:val="28"/>
        </w:rPr>
        <w:t xml:space="preserve"> que: </w:t>
      </w:r>
      <w:r w:rsidRPr="006D245E">
        <w:rPr>
          <w:rFonts w:ascii="Arial" w:hAnsi="Arial" w:cs="Arial"/>
          <w:i/>
          <w:color w:val="000000" w:themeColor="text1"/>
          <w:sz w:val="22"/>
          <w:szCs w:val="28"/>
        </w:rPr>
        <w:t>“(…) las personas que se encuentran afiliadas a una EPS, ya sea del régimen subsidiado o contributivo, no pueden ser víctimas de interrupciones injustificadas en la prestación de los servicios de salud. (…)”</w:t>
      </w:r>
      <w:r w:rsidRPr="006D245E">
        <w:rPr>
          <w:rFonts w:ascii="Arial" w:hAnsi="Arial" w:cs="Arial"/>
          <w:color w:val="000000" w:themeColor="text1"/>
          <w:sz w:val="22"/>
          <w:szCs w:val="28"/>
        </w:rPr>
        <w:t>.</w:t>
      </w:r>
      <w:r w:rsidRPr="006D245E">
        <w:rPr>
          <w:rFonts w:ascii="Arial" w:hAnsi="Arial" w:cs="Arial"/>
          <w:color w:val="000000" w:themeColor="text1"/>
          <w:szCs w:val="28"/>
        </w:rPr>
        <w:t xml:space="preserve"> No obstante, advirtió que </w:t>
      </w:r>
      <w:r w:rsidRPr="006D245E">
        <w:rPr>
          <w:rFonts w:ascii="Arial" w:hAnsi="Arial" w:cs="Arial"/>
          <w:i/>
          <w:color w:val="000000" w:themeColor="text1"/>
          <w:sz w:val="22"/>
          <w:szCs w:val="22"/>
        </w:rPr>
        <w:t xml:space="preserve">“(…) </w:t>
      </w:r>
      <w:r w:rsidRPr="006D245E">
        <w:rPr>
          <w:rFonts w:ascii="Arial" w:hAnsi="Arial" w:cs="Arial"/>
          <w:i/>
          <w:color w:val="000000" w:themeColor="text1"/>
          <w:sz w:val="22"/>
          <w:szCs w:val="22"/>
          <w:shd w:val="clear" w:color="auto" w:fill="FFFFFF"/>
        </w:rPr>
        <w:t>el principio de continuidad puede ser objeto de limitaciones razonables, siempre que se atienda a un criterio de necesidad respecto los servicios médicos que requiere el paciente para lograr una efectiva recuperación de la enfermedad que presente</w:t>
      </w:r>
      <w:r w:rsidR="00480000" w:rsidRPr="006D245E">
        <w:rPr>
          <w:rFonts w:ascii="Arial" w:hAnsi="Arial" w:cs="Arial"/>
          <w:i/>
          <w:color w:val="000000" w:themeColor="text1"/>
          <w:sz w:val="22"/>
          <w:szCs w:val="22"/>
          <w:shd w:val="clear" w:color="auto" w:fill="FFFFFF"/>
        </w:rPr>
        <w:t xml:space="preserve"> </w:t>
      </w:r>
      <w:r w:rsidRPr="006D245E">
        <w:rPr>
          <w:rFonts w:ascii="Arial" w:hAnsi="Arial" w:cs="Arial"/>
          <w:i/>
          <w:color w:val="000000" w:themeColor="text1"/>
          <w:sz w:val="22"/>
          <w:szCs w:val="22"/>
          <w:shd w:val="clear" w:color="auto" w:fill="FFFFFF"/>
        </w:rPr>
        <w:t>(…)”.</w:t>
      </w:r>
    </w:p>
    <w:p w:rsidR="002A4BD3" w:rsidRDefault="002A4BD3" w:rsidP="00394231">
      <w:pPr>
        <w:spacing w:line="360" w:lineRule="auto"/>
        <w:jc w:val="both"/>
        <w:rPr>
          <w:rFonts w:ascii="Arial" w:hAnsi="Arial" w:cs="Arial"/>
          <w:szCs w:val="28"/>
        </w:rPr>
      </w:pPr>
    </w:p>
    <w:p w:rsidR="009E3B99" w:rsidRDefault="00480000" w:rsidP="00394231">
      <w:pPr>
        <w:spacing w:line="360" w:lineRule="auto"/>
        <w:jc w:val="both"/>
        <w:rPr>
          <w:rFonts w:ascii="Arial" w:hAnsi="Arial" w:cs="Arial"/>
          <w:i/>
          <w:sz w:val="22"/>
          <w:szCs w:val="22"/>
        </w:rPr>
      </w:pPr>
      <w:r>
        <w:rPr>
          <w:rFonts w:ascii="Arial" w:hAnsi="Arial" w:cs="Arial"/>
          <w:szCs w:val="28"/>
        </w:rPr>
        <w:t>Se rompe entonces el principio de continuidad cuando abruptamente y por circunstancias ajenas a criterios médicos o científicos se interrumpe un tratamiento ordenado, indispensable para que el paciente se recupere. Tal es el caso de la s</w:t>
      </w:r>
      <w:r w:rsidRPr="00480000">
        <w:rPr>
          <w:rFonts w:ascii="Arial" w:hAnsi="Arial" w:cs="Arial"/>
          <w:szCs w:val="28"/>
        </w:rPr>
        <w:t xml:space="preserve">uspensión </w:t>
      </w:r>
      <w:r w:rsidR="009E3B99">
        <w:rPr>
          <w:rFonts w:ascii="Arial" w:hAnsi="Arial" w:cs="Arial"/>
          <w:szCs w:val="28"/>
        </w:rPr>
        <w:t>del servicio</w:t>
      </w:r>
      <w:r w:rsidRPr="00480000">
        <w:rPr>
          <w:rFonts w:ascii="Arial" w:hAnsi="Arial" w:cs="Arial"/>
          <w:szCs w:val="28"/>
        </w:rPr>
        <w:t xml:space="preserve"> </w:t>
      </w:r>
      <w:r w:rsidR="009E3B99">
        <w:rPr>
          <w:rFonts w:ascii="Arial" w:hAnsi="Arial" w:cs="Arial"/>
          <w:szCs w:val="28"/>
        </w:rPr>
        <w:t xml:space="preserve">a los </w:t>
      </w:r>
      <w:r w:rsidRPr="00480000">
        <w:rPr>
          <w:rFonts w:ascii="Arial" w:hAnsi="Arial" w:cs="Arial"/>
          <w:szCs w:val="28"/>
        </w:rPr>
        <w:t>afiliados que registran mora, porque sus empleadores no han efectuado el aporte mensual</w:t>
      </w:r>
      <w:r w:rsidR="009E3B99">
        <w:rPr>
          <w:rFonts w:ascii="Arial" w:hAnsi="Arial" w:cs="Arial"/>
          <w:szCs w:val="28"/>
        </w:rPr>
        <w:t xml:space="preserve">, evento en cual compete a la entidad prestadora de salud, para evitar la allanarse a la mora, hacer el requerimiento contemplado en el artículo 24 de la Ley, pues </w:t>
      </w:r>
      <w:r w:rsidR="009E3B99" w:rsidRPr="009E3B99">
        <w:rPr>
          <w:rFonts w:ascii="Arial" w:hAnsi="Arial" w:cs="Arial"/>
          <w:i/>
          <w:sz w:val="22"/>
          <w:szCs w:val="28"/>
        </w:rPr>
        <w:t>“</w:t>
      </w:r>
      <w:r w:rsidR="009E3B99">
        <w:rPr>
          <w:rFonts w:ascii="Arial" w:hAnsi="Arial" w:cs="Arial"/>
          <w:i/>
          <w:sz w:val="22"/>
          <w:szCs w:val="28"/>
        </w:rPr>
        <w:t xml:space="preserve"> </w:t>
      </w:r>
      <w:r w:rsidR="009E3B99" w:rsidRPr="00D31BC0">
        <w:rPr>
          <w:rFonts w:ascii="Arial" w:hAnsi="Arial" w:cs="Arial"/>
          <w:i/>
          <w:color w:val="000000" w:themeColor="text1"/>
          <w:sz w:val="22"/>
          <w:szCs w:val="28"/>
        </w:rPr>
        <w:t>(…) la falta de la diligencia de la entidad responsable en cobrarlos, no puede afectar los derechos del trabajador, a quien mensualmente se le han descontado las sumas legales para cubrir sus cotizaciones (…)”</w:t>
      </w:r>
      <w:r w:rsidR="00D31BC0">
        <w:rPr>
          <w:rStyle w:val="Refdenotaalpie"/>
          <w:rFonts w:ascii="Arial" w:hAnsi="Arial"/>
          <w:i/>
          <w:color w:val="000000" w:themeColor="text1"/>
          <w:sz w:val="22"/>
          <w:szCs w:val="28"/>
        </w:rPr>
        <w:footnoteReference w:id="10"/>
      </w:r>
      <w:r w:rsidR="009E3B99" w:rsidRPr="00D31BC0">
        <w:rPr>
          <w:rFonts w:ascii="Arial" w:hAnsi="Arial" w:cs="Arial"/>
          <w:color w:val="000000" w:themeColor="text1"/>
          <w:szCs w:val="28"/>
        </w:rPr>
        <w:t xml:space="preserve">, o, cuando hay mora en aportes de trabajadores independientes, “(…) </w:t>
      </w:r>
      <w:r w:rsidR="009E3B99" w:rsidRPr="00D31BC0">
        <w:rPr>
          <w:rFonts w:ascii="Arial" w:hAnsi="Arial" w:cs="Arial"/>
          <w:i/>
          <w:color w:val="000000" w:themeColor="text1"/>
          <w:sz w:val="22"/>
          <w:szCs w:val="22"/>
          <w:shd w:val="clear" w:color="auto" w:fill="FFFFFF"/>
        </w:rPr>
        <w:t>no habiendo cabida el allanamiento en la mora, su derecho a la salud se protege a través del acceso continúo a los servicios que requieran, es decir, sin que hayan interrupciones justificadas</w:t>
      </w:r>
      <w:r w:rsidR="009E3B99" w:rsidRPr="00D31BC0">
        <w:rPr>
          <w:rFonts w:ascii="Arial" w:hAnsi="Arial" w:cs="Arial"/>
          <w:i/>
          <w:color w:val="000000" w:themeColor="text1"/>
          <w:sz w:val="22"/>
          <w:szCs w:val="22"/>
        </w:rPr>
        <w:t xml:space="preserve"> (…)”</w:t>
      </w:r>
      <w:r w:rsidR="00D31BC0">
        <w:rPr>
          <w:rStyle w:val="Refdenotaalpie"/>
          <w:rFonts w:ascii="Arial" w:hAnsi="Arial"/>
          <w:i/>
          <w:color w:val="000000" w:themeColor="text1"/>
          <w:sz w:val="22"/>
          <w:szCs w:val="22"/>
        </w:rPr>
        <w:footnoteReference w:id="11"/>
      </w:r>
      <w:r w:rsidR="009E3B99" w:rsidRPr="00D31BC0">
        <w:rPr>
          <w:rFonts w:ascii="Arial" w:hAnsi="Arial" w:cs="Arial"/>
          <w:i/>
          <w:color w:val="000000" w:themeColor="text1"/>
          <w:sz w:val="22"/>
          <w:szCs w:val="22"/>
        </w:rPr>
        <w:t>.</w:t>
      </w:r>
    </w:p>
    <w:p w:rsidR="00D31BC0" w:rsidRDefault="00D31BC0" w:rsidP="00394231">
      <w:pPr>
        <w:spacing w:line="360" w:lineRule="auto"/>
        <w:jc w:val="both"/>
        <w:rPr>
          <w:rFonts w:ascii="Arial" w:hAnsi="Arial" w:cs="Arial"/>
          <w:szCs w:val="28"/>
        </w:rPr>
      </w:pPr>
    </w:p>
    <w:p w:rsidR="00480000" w:rsidRDefault="006D245E" w:rsidP="006D245E">
      <w:pPr>
        <w:widowControl/>
        <w:autoSpaceDE/>
        <w:autoSpaceDN/>
        <w:adjustRightInd/>
        <w:spacing w:line="360" w:lineRule="auto"/>
        <w:jc w:val="both"/>
        <w:rPr>
          <w:rFonts w:ascii="Arial" w:hAnsi="Arial" w:cs="Arial"/>
          <w:szCs w:val="28"/>
        </w:rPr>
      </w:pPr>
      <w:r>
        <w:rPr>
          <w:rFonts w:ascii="Arial" w:hAnsi="Arial" w:cs="Arial"/>
          <w:szCs w:val="28"/>
        </w:rPr>
        <w:t xml:space="preserve">En todo caso, el deber de continuidad depende de la preexistencia de una enfermedad que esté siendo tratada para el momento en que se incurrió en mora en el pago de las cotizaciones en salud y que de interrumpirse </w:t>
      </w:r>
      <w:r w:rsidRPr="006D245E">
        <w:rPr>
          <w:rFonts w:ascii="Arial" w:hAnsi="Arial" w:cs="Arial"/>
        </w:rPr>
        <w:t>amenace de manera seria y grave la vida, la salud, la integridad y la dignidad del paciente</w:t>
      </w:r>
      <w:r>
        <w:rPr>
          <w:rFonts w:ascii="Arial" w:hAnsi="Arial" w:cs="Arial"/>
        </w:rPr>
        <w:t xml:space="preserve">. </w:t>
      </w:r>
      <w:r>
        <w:rPr>
          <w:rFonts w:ascii="Arial" w:hAnsi="Arial" w:cs="Arial"/>
          <w:szCs w:val="28"/>
        </w:rPr>
        <w:t xml:space="preserve">Si </w:t>
      </w:r>
      <w:r w:rsidR="00BE0809">
        <w:rPr>
          <w:rFonts w:ascii="Arial" w:hAnsi="Arial" w:cs="Arial"/>
          <w:szCs w:val="28"/>
        </w:rPr>
        <w:t>bien recae en el usuario la obligación de efectuar las cotizaciones debidas, aquello no</w:t>
      </w:r>
      <w:r w:rsidR="004A2E41">
        <w:rPr>
          <w:rFonts w:ascii="Arial" w:hAnsi="Arial" w:cs="Arial"/>
          <w:szCs w:val="28"/>
        </w:rPr>
        <w:t xml:space="preserve"> e</w:t>
      </w:r>
      <w:r w:rsidR="00BE0809">
        <w:rPr>
          <w:rFonts w:ascii="Arial" w:hAnsi="Arial" w:cs="Arial"/>
          <w:szCs w:val="28"/>
        </w:rPr>
        <w:t>s óbice para que se siga prestando la atención en salud, máxime cuando de ello dependa</w:t>
      </w:r>
      <w:r w:rsidR="001C78B6">
        <w:rPr>
          <w:rFonts w:ascii="Arial" w:hAnsi="Arial" w:cs="Arial"/>
          <w:szCs w:val="28"/>
        </w:rPr>
        <w:t xml:space="preserve"> la recuperación de una enfermedad diagnosticada para esa época</w:t>
      </w:r>
      <w:r w:rsidR="00BE0809">
        <w:rPr>
          <w:rFonts w:ascii="Arial" w:hAnsi="Arial" w:cs="Arial"/>
          <w:szCs w:val="28"/>
        </w:rPr>
        <w:t xml:space="preserve">. </w:t>
      </w:r>
    </w:p>
    <w:p w:rsidR="002B19F3" w:rsidRDefault="002B19F3" w:rsidP="007E59A9">
      <w:pPr>
        <w:spacing w:line="360" w:lineRule="auto"/>
        <w:jc w:val="both"/>
        <w:rPr>
          <w:rFonts w:ascii="Arial" w:hAnsi="Arial" w:cs="Arial"/>
          <w:lang w:val="es-ES_tradnl"/>
        </w:rPr>
      </w:pPr>
    </w:p>
    <w:p w:rsidR="00BE0809" w:rsidRDefault="00BE0809" w:rsidP="007E59A9">
      <w:pPr>
        <w:spacing w:line="360" w:lineRule="auto"/>
        <w:jc w:val="both"/>
        <w:rPr>
          <w:rFonts w:ascii="Arial" w:hAnsi="Arial" w:cs="Arial"/>
          <w:lang w:val="es-ES_tradnl"/>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7D0231" w:rsidRDefault="00B51760" w:rsidP="00B51760">
      <w:pPr>
        <w:pStyle w:val="Textoindependiente"/>
        <w:spacing w:line="360" w:lineRule="auto"/>
        <w:ind w:left="400"/>
        <w:rPr>
          <w:rFonts w:ascii="Arial" w:hAnsi="Arial"/>
          <w:szCs w:val="24"/>
        </w:rPr>
      </w:pPr>
    </w:p>
    <w:p w:rsidR="00BE0809" w:rsidRDefault="00D31BC0"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 fundamento en los criterios jurisprudenciales anotados, de entrada </w:t>
      </w:r>
      <w:r w:rsidR="00BE0809">
        <w:rPr>
          <w:rFonts w:ascii="Arial" w:hAnsi="Arial" w:cs="Arial"/>
          <w:lang w:val="es-CO" w:eastAsia="es-CO"/>
        </w:rPr>
        <w:t>advierte la Sala que el presente amparo constitucional debe negarse</w:t>
      </w:r>
      <w:r>
        <w:rPr>
          <w:rFonts w:ascii="Arial" w:hAnsi="Arial" w:cs="Arial"/>
          <w:lang w:val="es-CO" w:eastAsia="es-CO"/>
        </w:rPr>
        <w:t>,</w:t>
      </w:r>
      <w:r w:rsidR="00BE0809">
        <w:rPr>
          <w:rFonts w:ascii="Arial" w:hAnsi="Arial" w:cs="Arial"/>
          <w:lang w:val="es-CO" w:eastAsia="es-CO"/>
        </w:rPr>
        <w:t xml:space="preserve"> </w:t>
      </w:r>
      <w:r>
        <w:rPr>
          <w:rFonts w:ascii="Arial" w:hAnsi="Arial" w:cs="Arial"/>
          <w:lang w:val="es-CO" w:eastAsia="es-CO"/>
        </w:rPr>
        <w:t xml:space="preserve">pues </w:t>
      </w:r>
      <w:r w:rsidR="00BE0809">
        <w:rPr>
          <w:rFonts w:ascii="Arial" w:hAnsi="Arial" w:cs="Arial"/>
          <w:lang w:val="es-CO" w:eastAsia="es-CO"/>
        </w:rPr>
        <w:t xml:space="preserve">es inexistente la vulneración de los derechos fundamentales invocados frente a la </w:t>
      </w:r>
      <w:r w:rsidR="001C78B6">
        <w:rPr>
          <w:rFonts w:ascii="Arial" w:hAnsi="Arial" w:cs="Arial"/>
          <w:lang w:val="es-CO" w:eastAsia="es-CO"/>
        </w:rPr>
        <w:t>Dirección</w:t>
      </w:r>
      <w:r w:rsidR="00BE0809">
        <w:rPr>
          <w:rFonts w:ascii="Arial" w:hAnsi="Arial" w:cs="Arial"/>
          <w:lang w:val="es-CO" w:eastAsia="es-CO"/>
        </w:rPr>
        <w:t xml:space="preserve"> de Sanidad de la </w:t>
      </w:r>
      <w:r w:rsidR="00C2107C">
        <w:rPr>
          <w:rFonts w:ascii="Arial" w:hAnsi="Arial" w:cs="Arial"/>
          <w:lang w:val="es-CO" w:eastAsia="es-CO"/>
        </w:rPr>
        <w:t>Policía</w:t>
      </w:r>
      <w:r w:rsidR="00BE0809">
        <w:rPr>
          <w:rFonts w:ascii="Arial" w:hAnsi="Arial" w:cs="Arial"/>
          <w:lang w:val="es-CO" w:eastAsia="es-CO"/>
        </w:rPr>
        <w:t xml:space="preserve"> Nacional </w:t>
      </w:r>
      <w:r w:rsidR="001C78B6">
        <w:rPr>
          <w:rFonts w:ascii="Arial" w:hAnsi="Arial" w:cs="Arial"/>
          <w:lang w:val="es-CO" w:eastAsia="es-CO"/>
        </w:rPr>
        <w:t>Seccional</w:t>
      </w:r>
      <w:r w:rsidR="00BE0809">
        <w:rPr>
          <w:rFonts w:ascii="Arial" w:hAnsi="Arial" w:cs="Arial"/>
          <w:lang w:val="es-CO" w:eastAsia="es-CO"/>
        </w:rPr>
        <w:t xml:space="preserve"> Risaralda.</w:t>
      </w:r>
    </w:p>
    <w:p w:rsidR="00BE0809" w:rsidRDefault="00BE0809"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4A2E41" w:rsidRDefault="00BE0809"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el </w:t>
      </w:r>
      <w:r w:rsidR="009C404A">
        <w:rPr>
          <w:rFonts w:ascii="Arial" w:hAnsi="Arial" w:cs="Arial"/>
          <w:lang w:val="es-CO" w:eastAsia="es-CO"/>
        </w:rPr>
        <w:t>acervo probatorio</w:t>
      </w:r>
      <w:r>
        <w:rPr>
          <w:rFonts w:ascii="Arial" w:hAnsi="Arial" w:cs="Arial"/>
          <w:lang w:val="es-CO" w:eastAsia="es-CO"/>
        </w:rPr>
        <w:t xml:space="preserve"> y las afirmaciones de la actora</w:t>
      </w:r>
      <w:r w:rsidR="009C404A">
        <w:rPr>
          <w:rFonts w:ascii="Arial" w:hAnsi="Arial" w:cs="Arial"/>
          <w:lang w:val="es-CO" w:eastAsia="es-CO"/>
        </w:rPr>
        <w:t xml:space="preserve">, </w:t>
      </w:r>
      <w:r w:rsidR="00954FEB">
        <w:rPr>
          <w:rFonts w:ascii="Arial" w:hAnsi="Arial" w:cs="Arial"/>
          <w:lang w:val="es-CO" w:eastAsia="es-CO"/>
        </w:rPr>
        <w:t xml:space="preserve">desde el día </w:t>
      </w:r>
      <w:r>
        <w:rPr>
          <w:rFonts w:ascii="Arial" w:hAnsi="Arial" w:cs="Arial"/>
          <w:lang w:val="es-CO" w:eastAsia="es-CO"/>
        </w:rPr>
        <w:t>25-02-2015 la accionada suspendió la atención del servicio en salud</w:t>
      </w:r>
      <w:r w:rsidR="00913785">
        <w:rPr>
          <w:rFonts w:ascii="Arial" w:hAnsi="Arial" w:cs="Arial"/>
          <w:lang w:val="es-CO" w:eastAsia="es-CO"/>
        </w:rPr>
        <w:t>,</w:t>
      </w:r>
      <w:r>
        <w:rPr>
          <w:rFonts w:ascii="Arial" w:hAnsi="Arial" w:cs="Arial"/>
          <w:lang w:val="es-CO" w:eastAsia="es-CO"/>
        </w:rPr>
        <w:t xml:space="preserve"> debido a </w:t>
      </w:r>
      <w:r w:rsidR="00913785">
        <w:rPr>
          <w:rFonts w:ascii="Arial" w:hAnsi="Arial" w:cs="Arial"/>
          <w:lang w:val="es-CO" w:eastAsia="es-CO"/>
        </w:rPr>
        <w:t xml:space="preserve">la falta de </w:t>
      </w:r>
      <w:r>
        <w:rPr>
          <w:rFonts w:ascii="Arial" w:hAnsi="Arial" w:cs="Arial"/>
          <w:lang w:val="es-CO" w:eastAsia="es-CO"/>
        </w:rPr>
        <w:t xml:space="preserve">pago de las cotizaciones en salud con posterioridad al fallecimiento </w:t>
      </w:r>
      <w:r w:rsidR="00D31BC0">
        <w:rPr>
          <w:rFonts w:ascii="Arial" w:hAnsi="Arial" w:cs="Arial"/>
          <w:lang w:val="es-CO" w:eastAsia="es-CO"/>
        </w:rPr>
        <w:t xml:space="preserve">de su </w:t>
      </w:r>
      <w:r>
        <w:rPr>
          <w:rFonts w:ascii="Arial" w:hAnsi="Arial" w:cs="Arial"/>
          <w:lang w:val="es-CO" w:eastAsia="es-CO"/>
        </w:rPr>
        <w:t xml:space="preserve">esposo; el </w:t>
      </w:r>
      <w:r w:rsidR="001C78B6">
        <w:rPr>
          <w:rFonts w:ascii="Arial" w:hAnsi="Arial" w:cs="Arial"/>
          <w:lang w:val="es-CO" w:eastAsia="es-CO"/>
        </w:rPr>
        <w:t>día</w:t>
      </w:r>
      <w:r>
        <w:rPr>
          <w:rFonts w:ascii="Arial" w:hAnsi="Arial" w:cs="Arial"/>
          <w:lang w:val="es-CO" w:eastAsia="es-CO"/>
        </w:rPr>
        <w:t xml:space="preserve"> </w:t>
      </w:r>
      <w:r w:rsidR="001C78B6">
        <w:rPr>
          <w:rFonts w:ascii="Arial" w:hAnsi="Arial" w:cs="Arial"/>
          <w:lang w:val="es-CO" w:eastAsia="es-CO"/>
        </w:rPr>
        <w:t>01-04-2016 la parte actora solicitó la afiliación al sistema de salud SISBEN</w:t>
      </w:r>
      <w:r w:rsidR="00EE31B8">
        <w:rPr>
          <w:rFonts w:ascii="Arial" w:hAnsi="Arial" w:cs="Arial"/>
          <w:lang w:val="es-CO" w:eastAsia="es-CO"/>
        </w:rPr>
        <w:t xml:space="preserve"> y </w:t>
      </w:r>
      <w:r w:rsidR="001C78B6">
        <w:rPr>
          <w:rFonts w:ascii="Arial" w:hAnsi="Arial" w:cs="Arial"/>
          <w:lang w:val="es-CO" w:eastAsia="es-CO"/>
        </w:rPr>
        <w:t>fue atendida el 03-05-2016 en la ESE Hospital de Santa Mónica de Dosquebradas</w:t>
      </w:r>
      <w:r w:rsidR="00EE31B8">
        <w:rPr>
          <w:rFonts w:ascii="Arial" w:hAnsi="Arial" w:cs="Arial"/>
          <w:lang w:val="es-CO" w:eastAsia="es-CO"/>
        </w:rPr>
        <w:t xml:space="preserve">, donde le </w:t>
      </w:r>
      <w:r w:rsidR="001C78B6">
        <w:rPr>
          <w:rFonts w:ascii="Arial" w:hAnsi="Arial" w:cs="Arial"/>
          <w:lang w:val="es-CO" w:eastAsia="es-CO"/>
        </w:rPr>
        <w:t xml:space="preserve">prescribieron </w:t>
      </w:r>
      <w:r w:rsidR="00913785">
        <w:rPr>
          <w:rFonts w:ascii="Arial" w:hAnsi="Arial" w:cs="Arial"/>
          <w:lang w:val="es-CO" w:eastAsia="es-CO"/>
        </w:rPr>
        <w:t>ó</w:t>
      </w:r>
      <w:r w:rsidR="001C78B6">
        <w:rPr>
          <w:rFonts w:ascii="Arial" w:hAnsi="Arial" w:cs="Arial"/>
          <w:lang w:val="es-CO" w:eastAsia="es-CO"/>
        </w:rPr>
        <w:t xml:space="preserve">rdenes diagnósticas y medicamentos para el tratamiento de la hipertensión </w:t>
      </w:r>
      <w:r w:rsidR="00D31BC0">
        <w:rPr>
          <w:rFonts w:ascii="Arial" w:hAnsi="Arial" w:cs="Arial"/>
          <w:lang w:val="es-CO" w:eastAsia="es-CO"/>
        </w:rPr>
        <w:t>e</w:t>
      </w:r>
      <w:r w:rsidR="001C78B6">
        <w:rPr>
          <w:rFonts w:ascii="Arial" w:hAnsi="Arial" w:cs="Arial"/>
          <w:lang w:val="es-CO" w:eastAsia="es-CO"/>
        </w:rPr>
        <w:t>sencial que padece</w:t>
      </w:r>
      <w:r w:rsidR="006A51D4">
        <w:rPr>
          <w:rFonts w:ascii="Arial" w:hAnsi="Arial" w:cs="Arial"/>
          <w:lang w:val="es-CO" w:eastAsia="es-CO"/>
        </w:rPr>
        <w:t xml:space="preserve"> (Folios 17 a 20, id.)</w:t>
      </w:r>
      <w:r w:rsidR="001C78B6">
        <w:rPr>
          <w:rFonts w:ascii="Arial" w:hAnsi="Arial" w:cs="Arial"/>
          <w:lang w:val="es-CO" w:eastAsia="es-CO"/>
        </w:rPr>
        <w:t xml:space="preserve">, </w:t>
      </w:r>
      <w:r w:rsidR="004A2E41">
        <w:rPr>
          <w:rFonts w:ascii="Arial" w:hAnsi="Arial" w:cs="Arial"/>
          <w:lang w:val="es-CO" w:eastAsia="es-CO"/>
        </w:rPr>
        <w:t>evidentemente, es inexistente la vulneración deprecada pues ha recibido atención</w:t>
      </w:r>
      <w:r w:rsidR="00D160DF">
        <w:rPr>
          <w:rFonts w:ascii="Arial" w:hAnsi="Arial" w:cs="Arial"/>
          <w:lang w:val="es-CO" w:eastAsia="es-CO"/>
        </w:rPr>
        <w:t xml:space="preserve"> en salud</w:t>
      </w:r>
      <w:r w:rsidR="004A2E41">
        <w:rPr>
          <w:rFonts w:ascii="Arial" w:hAnsi="Arial" w:cs="Arial"/>
          <w:lang w:val="es-CO" w:eastAsia="es-CO"/>
        </w:rPr>
        <w:t xml:space="preserve"> en </w:t>
      </w:r>
      <w:r w:rsidR="00D160DF">
        <w:rPr>
          <w:rFonts w:ascii="Arial" w:hAnsi="Arial" w:cs="Arial"/>
          <w:lang w:val="es-CO" w:eastAsia="es-CO"/>
        </w:rPr>
        <w:t xml:space="preserve">el </w:t>
      </w:r>
      <w:r w:rsidR="004A2E41">
        <w:rPr>
          <w:rFonts w:ascii="Arial" w:hAnsi="Arial" w:cs="Arial"/>
          <w:lang w:val="es-CO" w:eastAsia="es-CO"/>
        </w:rPr>
        <w:t>SISBEN.</w:t>
      </w:r>
    </w:p>
    <w:p w:rsidR="004A2E41" w:rsidRDefault="004A2E41"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4A2E41" w:rsidRDefault="00913785" w:rsidP="004A2E41">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Aunque </w:t>
      </w:r>
      <w:r w:rsidR="004A2E41">
        <w:rPr>
          <w:rFonts w:ascii="Arial" w:hAnsi="Arial" w:cs="Arial"/>
          <w:lang w:val="es-CO" w:eastAsia="es-CO"/>
        </w:rPr>
        <w:t>lo anterior sea suficiente para el fracaso del amparo, encuentra la Sala que la accionante no reúne los requisitos de la jurisprudencia referida en torno a que para la época en que fue suspendido el servicio en salud se encontrara recibiendo tratamiento alguno</w:t>
      </w:r>
      <w:r>
        <w:rPr>
          <w:rFonts w:ascii="Arial" w:hAnsi="Arial" w:cs="Arial"/>
          <w:lang w:val="es-CO" w:eastAsia="es-CO"/>
        </w:rPr>
        <w:t>,</w:t>
      </w:r>
      <w:r w:rsidR="004A2E41">
        <w:rPr>
          <w:rFonts w:ascii="Arial" w:hAnsi="Arial" w:cs="Arial"/>
          <w:lang w:val="es-CO" w:eastAsia="es-CO"/>
        </w:rPr>
        <w:t xml:space="preserve"> que </w:t>
      </w:r>
      <w:r>
        <w:rPr>
          <w:rFonts w:ascii="Arial" w:hAnsi="Arial" w:cs="Arial"/>
          <w:lang w:val="es-CO" w:eastAsia="es-CO"/>
        </w:rPr>
        <w:t xml:space="preserve">haya </w:t>
      </w:r>
      <w:r w:rsidR="004A2E41">
        <w:rPr>
          <w:rFonts w:ascii="Arial" w:hAnsi="Arial" w:cs="Arial"/>
          <w:lang w:val="es-CO" w:eastAsia="es-CO"/>
        </w:rPr>
        <w:t xml:space="preserve">interrumpido y </w:t>
      </w:r>
      <w:r>
        <w:rPr>
          <w:rFonts w:ascii="Arial" w:hAnsi="Arial" w:cs="Arial"/>
          <w:lang w:val="es-CO" w:eastAsia="es-CO"/>
        </w:rPr>
        <w:t xml:space="preserve">pusiera </w:t>
      </w:r>
      <w:r w:rsidR="004A2E41">
        <w:rPr>
          <w:rFonts w:ascii="Arial" w:hAnsi="Arial" w:cs="Arial"/>
          <w:lang w:val="es-CO" w:eastAsia="es-CO"/>
        </w:rPr>
        <w:t>en riesgo su vida</w:t>
      </w:r>
      <w:r>
        <w:rPr>
          <w:rFonts w:ascii="Arial" w:hAnsi="Arial" w:cs="Arial"/>
          <w:lang w:val="es-CO" w:eastAsia="es-CO"/>
        </w:rPr>
        <w:t>; lo</w:t>
      </w:r>
      <w:r w:rsidR="004A2E41">
        <w:rPr>
          <w:rFonts w:ascii="Arial" w:hAnsi="Arial" w:cs="Arial"/>
          <w:lang w:val="es-CO" w:eastAsia="es-CO"/>
        </w:rPr>
        <w:t xml:space="preserve"> que además </w:t>
      </w:r>
      <w:r>
        <w:rPr>
          <w:rFonts w:ascii="Arial" w:hAnsi="Arial" w:cs="Arial"/>
          <w:lang w:val="es-CO" w:eastAsia="es-CO"/>
        </w:rPr>
        <w:t xml:space="preserve">se </w:t>
      </w:r>
      <w:r w:rsidR="004A2E41">
        <w:rPr>
          <w:rFonts w:ascii="Arial" w:hAnsi="Arial" w:cs="Arial"/>
          <w:lang w:val="es-CO" w:eastAsia="es-CO"/>
        </w:rPr>
        <w:t xml:space="preserve">refuerza </w:t>
      </w:r>
      <w:r>
        <w:rPr>
          <w:rFonts w:ascii="Arial" w:hAnsi="Arial" w:cs="Arial"/>
          <w:lang w:val="es-CO" w:eastAsia="es-CO"/>
        </w:rPr>
        <w:t xml:space="preserve">por </w:t>
      </w:r>
      <w:r w:rsidR="004A2E41">
        <w:rPr>
          <w:rFonts w:ascii="Arial" w:hAnsi="Arial" w:cs="Arial"/>
          <w:lang w:val="es-CO" w:eastAsia="es-CO"/>
        </w:rPr>
        <w:t xml:space="preserve">el hecho de que </w:t>
      </w:r>
      <w:r>
        <w:rPr>
          <w:rFonts w:ascii="Arial" w:hAnsi="Arial" w:cs="Arial"/>
          <w:lang w:val="es-CO" w:eastAsia="es-CO"/>
        </w:rPr>
        <w:t xml:space="preserve">se </w:t>
      </w:r>
      <w:r w:rsidR="004A2E41">
        <w:rPr>
          <w:rFonts w:ascii="Arial" w:hAnsi="Arial" w:cs="Arial"/>
          <w:lang w:val="es-CO" w:eastAsia="es-CO"/>
        </w:rPr>
        <w:t>demorara más de un año para interponer el presente amparo.</w:t>
      </w:r>
    </w:p>
    <w:p w:rsidR="004A2E41" w:rsidRDefault="004A2E41" w:rsidP="004A2E41">
      <w:pPr>
        <w:pStyle w:val="Textoindependiente"/>
        <w:tabs>
          <w:tab w:val="clear" w:pos="708"/>
          <w:tab w:val="clear" w:pos="1416"/>
          <w:tab w:val="left" w:pos="709"/>
          <w:tab w:val="left" w:pos="1418"/>
        </w:tabs>
        <w:spacing w:line="360" w:lineRule="auto"/>
        <w:rPr>
          <w:rFonts w:ascii="Arial" w:hAnsi="Arial" w:cs="Arial"/>
          <w:lang w:val="es-CO" w:eastAsia="es-CO"/>
        </w:rPr>
      </w:pPr>
    </w:p>
    <w:p w:rsidR="008027EE" w:rsidRDefault="008027EE" w:rsidP="008027EE">
      <w:pPr>
        <w:pStyle w:val="Textoindependiente"/>
        <w:spacing w:line="360" w:lineRule="auto"/>
        <w:rPr>
          <w:rFonts w:ascii="Arial" w:hAnsi="Arial" w:cs="Arial"/>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143805" w:rsidRDefault="00143805" w:rsidP="007B2953">
      <w:pPr>
        <w:spacing w:line="360" w:lineRule="auto"/>
        <w:ind w:right="51"/>
        <w:jc w:val="both"/>
        <w:rPr>
          <w:rFonts w:ascii="Arial" w:hAnsi="Arial" w:cs="Arial"/>
        </w:rPr>
      </w:pPr>
    </w:p>
    <w:p w:rsidR="007B2953" w:rsidRDefault="007B2953" w:rsidP="007B2953">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sidR="001C78B6">
        <w:rPr>
          <w:rFonts w:ascii="Arial" w:hAnsi="Arial" w:cs="Arial"/>
        </w:rPr>
        <w:t xml:space="preserve"> se negará la tutela por inexistencia de vulneración de los derechos fundamentales </w:t>
      </w:r>
      <w:r w:rsidR="002079A7">
        <w:rPr>
          <w:rFonts w:ascii="Arial" w:hAnsi="Arial" w:cs="Arial"/>
          <w:lang w:val="es-ES_tradnl"/>
        </w:rPr>
        <w:t>invocados</w:t>
      </w:r>
      <w:r w:rsidRPr="001930E1">
        <w:rPr>
          <w:rFonts w:ascii="Arial" w:hAnsi="Arial" w:cs="Arial"/>
          <w:color w:val="000000"/>
          <w:shd w:val="clear" w:color="auto" w:fill="FFFFFF"/>
        </w:rPr>
        <w:t>.</w:t>
      </w:r>
    </w:p>
    <w:p w:rsidR="00854C23" w:rsidRPr="001930E1" w:rsidRDefault="00854C23" w:rsidP="007B2953">
      <w:pPr>
        <w:spacing w:line="360" w:lineRule="auto"/>
        <w:ind w:right="51"/>
        <w:jc w:val="both"/>
        <w:rPr>
          <w:rFonts w:ascii="Arial" w:hAnsi="Arial" w:cs="Arial"/>
        </w:rPr>
      </w:pPr>
    </w:p>
    <w:p w:rsidR="007B2953"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E6616C" w:rsidRDefault="00E6616C" w:rsidP="007B2953">
      <w:pPr>
        <w:pStyle w:val="Textoindependiente"/>
        <w:spacing w:line="360" w:lineRule="auto"/>
        <w:jc w:val="center"/>
        <w:rPr>
          <w:rFonts w:ascii="Arial" w:hAnsi="Arial" w:cs="Arial"/>
          <w:bCs/>
          <w:smallCaps/>
          <w:sz w:val="28"/>
          <w:szCs w:val="24"/>
        </w:rPr>
      </w:pPr>
    </w:p>
    <w:p w:rsidR="007B2953" w:rsidRPr="00C3390C" w:rsidRDefault="007B2953" w:rsidP="007B2953">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A L L A</w:t>
      </w:r>
      <w:r w:rsidRPr="00C3390C">
        <w:rPr>
          <w:rFonts w:ascii="Arial" w:hAnsi="Arial" w:cs="Arial"/>
          <w:bCs/>
          <w:smallCaps/>
          <w:szCs w:val="24"/>
        </w:rPr>
        <w:t>,</w:t>
      </w:r>
    </w:p>
    <w:p w:rsidR="007B2953" w:rsidRPr="00DF6624" w:rsidRDefault="007B2953" w:rsidP="00DF6624">
      <w:pPr>
        <w:pStyle w:val="Textoindependiente"/>
        <w:tabs>
          <w:tab w:val="clear" w:pos="708"/>
        </w:tabs>
        <w:spacing w:line="360" w:lineRule="auto"/>
        <w:rPr>
          <w:rFonts w:ascii="Arial" w:hAnsi="Arial"/>
          <w:sz w:val="16"/>
          <w:szCs w:val="16"/>
        </w:rPr>
      </w:pPr>
    </w:p>
    <w:p w:rsidR="007B2953" w:rsidRPr="002B19F3" w:rsidRDefault="001C78B6" w:rsidP="002B19F3">
      <w:pPr>
        <w:pStyle w:val="Textoindependiente"/>
        <w:numPr>
          <w:ilvl w:val="0"/>
          <w:numId w:val="6"/>
        </w:numPr>
        <w:tabs>
          <w:tab w:val="clear" w:pos="720"/>
          <w:tab w:val="num" w:pos="360"/>
        </w:tabs>
        <w:spacing w:line="360" w:lineRule="auto"/>
        <w:ind w:left="360"/>
        <w:rPr>
          <w:rFonts w:ascii="Arial" w:hAnsi="Arial"/>
          <w:szCs w:val="24"/>
        </w:rPr>
      </w:pPr>
      <w:r>
        <w:rPr>
          <w:rFonts w:ascii="Arial" w:hAnsi="Arial" w:cs="Arial"/>
          <w:szCs w:val="24"/>
        </w:rPr>
        <w:t xml:space="preserve">NEGAR </w:t>
      </w:r>
      <w:r w:rsidR="00EE31B8">
        <w:rPr>
          <w:rFonts w:ascii="Arial" w:hAnsi="Arial" w:cs="Arial"/>
          <w:szCs w:val="24"/>
        </w:rPr>
        <w:t xml:space="preserve">la tutela incoada por la señora Ana Cecilia Urrea de Muñoz </w:t>
      </w:r>
      <w:r w:rsidR="00EE31B8">
        <w:rPr>
          <w:rFonts w:ascii="Arial" w:hAnsi="Arial" w:cs="Arial"/>
          <w:szCs w:val="24"/>
          <w:lang w:val="es-ES"/>
        </w:rPr>
        <w:t xml:space="preserve">frente a la Dirección de Sanidad de la Policía Nacional Seccional Risaralda, a la </w:t>
      </w:r>
      <w:r w:rsidR="00EE31B8" w:rsidRPr="00834D1D">
        <w:rPr>
          <w:rFonts w:ascii="Arial" w:hAnsi="Arial" w:cs="Arial"/>
        </w:rPr>
        <w:t xml:space="preserve">Dirección General de Sanidad </w:t>
      </w:r>
      <w:r w:rsidR="00EE31B8">
        <w:rPr>
          <w:rFonts w:ascii="Arial" w:hAnsi="Arial" w:cs="Arial"/>
        </w:rPr>
        <w:t xml:space="preserve">de la </w:t>
      </w:r>
      <w:r w:rsidR="00EE31B8" w:rsidRPr="00834D1D">
        <w:rPr>
          <w:rFonts w:ascii="Arial" w:hAnsi="Arial" w:cs="Arial"/>
        </w:rPr>
        <w:t>Policía Nacional</w:t>
      </w:r>
      <w:r w:rsidR="00EE31B8">
        <w:rPr>
          <w:rFonts w:ascii="Arial" w:hAnsi="Arial" w:cs="Arial"/>
        </w:rPr>
        <w:t xml:space="preserve"> y a la Caja de Sueldos del Retiro de la Policía Nacional -CASUR-</w:t>
      </w:r>
      <w:r w:rsidR="00EE31B8">
        <w:rPr>
          <w:rFonts w:ascii="Arial" w:hAnsi="Arial" w:cs="Arial"/>
          <w:szCs w:val="24"/>
          <w:lang w:val="es-ES"/>
        </w:rPr>
        <w:t xml:space="preserve"> por inexistencia de vulneración a los derechos fundamentales</w:t>
      </w:r>
      <w:r w:rsidR="007B2953" w:rsidRPr="002B19F3">
        <w:rPr>
          <w:rFonts w:ascii="Arial" w:hAnsi="Arial" w:cs="Arial"/>
          <w:szCs w:val="24"/>
          <w:lang w:val="es-ES"/>
        </w:rPr>
        <w:t>.</w:t>
      </w:r>
    </w:p>
    <w:p w:rsidR="007B2953" w:rsidRPr="002B19F3" w:rsidRDefault="007B2953" w:rsidP="002B19F3">
      <w:pPr>
        <w:pStyle w:val="Textoindependiente"/>
        <w:tabs>
          <w:tab w:val="clear" w:pos="708"/>
        </w:tabs>
        <w:spacing w:line="360" w:lineRule="auto"/>
        <w:rPr>
          <w:rFonts w:ascii="Arial" w:hAnsi="Arial"/>
          <w:szCs w:val="24"/>
        </w:rPr>
      </w:pPr>
    </w:p>
    <w:p w:rsidR="007B295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8027EE" w:rsidRPr="002B19F3" w:rsidRDefault="008027EE" w:rsidP="008027EE">
      <w:pPr>
        <w:pStyle w:val="Textoindependiente"/>
        <w:tabs>
          <w:tab w:val="clear" w:pos="708"/>
        </w:tabs>
        <w:spacing w:line="360" w:lineRule="auto"/>
        <w:rPr>
          <w:rFonts w:ascii="Arial" w:hAnsi="Arial" w:cs="Arial"/>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7B2953" w:rsidRPr="002B19F3" w:rsidRDefault="007B2953" w:rsidP="00654C5F">
      <w:pPr>
        <w:pStyle w:val="Textoindependiente"/>
        <w:tabs>
          <w:tab w:val="clear" w:pos="708"/>
        </w:tabs>
        <w:spacing w:line="360" w:lineRule="auto"/>
        <w:ind w:left="360"/>
        <w:rPr>
          <w:rFonts w:ascii="Arial" w:hAnsi="Arial" w:cs="Arial"/>
          <w:szCs w:val="24"/>
        </w:rPr>
      </w:pPr>
    </w:p>
    <w:p w:rsidR="007B2953" w:rsidRPr="002B19F3" w:rsidRDefault="007B2953" w:rsidP="00654C5F">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radicadores, una vez agotado el trámite ante la Corte Constitucional. </w:t>
      </w:r>
    </w:p>
    <w:p w:rsidR="00A83C8C" w:rsidRPr="00DF6624" w:rsidRDefault="00A83C8C" w:rsidP="00654C5F">
      <w:pPr>
        <w:pStyle w:val="Textoindependiente"/>
        <w:tabs>
          <w:tab w:val="clear" w:pos="708"/>
        </w:tabs>
        <w:spacing w:line="360" w:lineRule="auto"/>
        <w:ind w:left="360"/>
        <w:rPr>
          <w:rFonts w:ascii="Arial" w:hAnsi="Arial" w:cs="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16385B" w:rsidRDefault="0016385B" w:rsidP="00C641FE">
      <w:pPr>
        <w:pStyle w:val="Textoindependiente"/>
        <w:spacing w:line="360" w:lineRule="auto"/>
        <w:jc w:val="center"/>
        <w:rPr>
          <w:rFonts w:ascii="Arial" w:hAnsi="Arial"/>
          <w:sz w:val="22"/>
        </w:rPr>
      </w:pPr>
    </w:p>
    <w:p w:rsidR="0016385B" w:rsidRDefault="0016385B"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16385B" w:rsidRPr="0043492B" w:rsidRDefault="0016385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Pr="009C5C12" w:rsidRDefault="009C5C12" w:rsidP="009C5C12">
      <w:pPr>
        <w:pStyle w:val="Textoindependiente"/>
        <w:spacing w:line="360" w:lineRule="auto"/>
        <w:rPr>
          <w:rFonts w:ascii="Arial" w:hAnsi="Arial"/>
          <w:w w:val="150"/>
          <w:sz w:val="10"/>
          <w:szCs w:val="10"/>
          <w:lang w:val="es-AR"/>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p>
    <w:p w:rsidR="009C5C12" w:rsidRDefault="009C5C12" w:rsidP="00151241">
      <w:pPr>
        <w:pStyle w:val="Textoindependiente"/>
        <w:spacing w:line="360" w:lineRule="auto"/>
        <w:jc w:val="right"/>
        <w:rPr>
          <w:rFonts w:ascii="Arial" w:hAnsi="Arial"/>
          <w:w w:val="150"/>
          <w:sz w:val="10"/>
          <w:szCs w:val="10"/>
          <w:lang w:val="en-US"/>
        </w:rPr>
      </w:pPr>
    </w:p>
    <w:p w:rsidR="009C5C12" w:rsidRDefault="009C5C12" w:rsidP="00151241">
      <w:pPr>
        <w:pStyle w:val="Textoindependiente"/>
        <w:spacing w:line="360" w:lineRule="auto"/>
        <w:jc w:val="right"/>
        <w:rPr>
          <w:rFonts w:ascii="Arial" w:hAnsi="Arial"/>
          <w:w w:val="150"/>
          <w:sz w:val="10"/>
          <w:szCs w:val="10"/>
          <w:lang w:val="en-US"/>
        </w:rPr>
      </w:pPr>
    </w:p>
    <w:p w:rsidR="006D245E" w:rsidRDefault="00575A7C" w:rsidP="00151241">
      <w:pPr>
        <w:pStyle w:val="Textoindependiente"/>
        <w:spacing w:line="360" w:lineRule="auto"/>
        <w:jc w:val="right"/>
        <w:rPr>
          <w:rFonts w:ascii="Arial" w:hAnsi="Arial"/>
          <w:w w:val="150"/>
          <w:sz w:val="10"/>
          <w:szCs w:val="10"/>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8027EE">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8027EE">
        <w:rPr>
          <w:rFonts w:ascii="Arial" w:hAnsi="Arial"/>
          <w:w w:val="150"/>
          <w:sz w:val="10"/>
          <w:szCs w:val="10"/>
          <w:lang w:val="en-US"/>
        </w:rPr>
        <w:t>2016</w:t>
      </w:r>
    </w:p>
    <w:p w:rsidR="00575A7C" w:rsidRDefault="00575A7C" w:rsidP="00151241">
      <w:pPr>
        <w:pStyle w:val="Textoindependiente"/>
        <w:spacing w:line="360" w:lineRule="auto"/>
        <w:jc w:val="right"/>
        <w:rPr>
          <w:rFonts w:ascii="Arial" w:hAnsi="Arial"/>
          <w:w w:val="150"/>
          <w:sz w:val="16"/>
          <w:lang w:val="en-US"/>
        </w:rPr>
      </w:pPr>
      <w:bookmarkStart w:id="0" w:name="_GoBack"/>
      <w:bookmarkEnd w:id="0"/>
    </w:p>
    <w:sectPr w:rsidR="00575A7C" w:rsidSect="00954FE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98" w:rsidRDefault="00321998" w:rsidP="0099045D">
      <w:r>
        <w:separator/>
      </w:r>
    </w:p>
  </w:endnote>
  <w:endnote w:type="continuationSeparator" w:id="0">
    <w:p w:rsidR="00321998" w:rsidRDefault="0032199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98" w:rsidRDefault="00321998" w:rsidP="0099045D">
      <w:r>
        <w:separator/>
      </w:r>
    </w:p>
  </w:footnote>
  <w:footnote w:type="continuationSeparator" w:id="0">
    <w:p w:rsidR="00321998" w:rsidRDefault="00321998" w:rsidP="0099045D">
      <w:r>
        <w:continuationSeparator/>
      </w:r>
    </w:p>
  </w:footnote>
  <w:footnote w:id="1">
    <w:p w:rsidR="007B2953" w:rsidRPr="00855D9F" w:rsidRDefault="007B2953"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w:t>
      </w:r>
      <w:r w:rsidR="008361A3" w:rsidRPr="00855D9F">
        <w:rPr>
          <w:rFonts w:asciiTheme="minorHAnsi" w:hAnsiTheme="minorHAnsi" w:cs="Calibri"/>
          <w:lang w:val="es-CO"/>
        </w:rPr>
        <w:t xml:space="preserve"> </w:t>
      </w:r>
      <w:r w:rsidRPr="00855D9F">
        <w:rPr>
          <w:rFonts w:asciiTheme="minorHAnsi" w:hAnsiTheme="minorHAnsi" w:cs="Calibri"/>
          <w:lang w:val="es-CO"/>
        </w:rPr>
        <w:t>1993.</w:t>
      </w:r>
    </w:p>
  </w:footnote>
  <w:footnote w:id="2">
    <w:p w:rsidR="00A86F0D" w:rsidRPr="009C4841" w:rsidRDefault="00A86F0D" w:rsidP="00A86F0D">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3">
    <w:p w:rsidR="00A86F0D" w:rsidRPr="00F229E3" w:rsidRDefault="00A86F0D" w:rsidP="00A86F0D">
      <w:pPr>
        <w:pStyle w:val="Textonotapie"/>
        <w:jc w:val="both"/>
        <w:rPr>
          <w:rFonts w:ascii="Calibri" w:hAnsi="Calibri"/>
          <w:b/>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Pr="00BE7936">
        <w:rPr>
          <w:rFonts w:ascii="Calibri" w:hAnsi="Calibri"/>
          <w:lang w:val="es-CO"/>
        </w:rPr>
        <w:t xml:space="preserve">CORTE SUPREMA DE JUSTICIA, Sala de Casación Civil, sentencia </w:t>
      </w:r>
      <w:r w:rsidRPr="00BE7936">
        <w:rPr>
          <w:rFonts w:ascii="Calibri" w:hAnsi="Calibri"/>
          <w:iCs/>
        </w:rPr>
        <w:t xml:space="preserve">STC4837-2015, reiterada en las sentencias STC2154-2016 y </w:t>
      </w:r>
      <w:r w:rsidRPr="00BE7936">
        <w:rPr>
          <w:rFonts w:ascii="Calibri" w:hAnsi="Calibri"/>
          <w:iCs/>
          <w:lang w:val="es-CO"/>
        </w:rPr>
        <w:t>STC3930-2016</w:t>
      </w:r>
      <w:r w:rsidRPr="00422741">
        <w:rPr>
          <w:rFonts w:ascii="Calibri" w:hAnsi="Calibri"/>
          <w:iCs/>
        </w:rPr>
        <w:t>.</w:t>
      </w:r>
    </w:p>
  </w:footnote>
  <w:footnote w:id="4">
    <w:p w:rsidR="00876DD8" w:rsidRPr="00876DD8" w:rsidRDefault="00876DD8">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5">
    <w:p w:rsidR="00A86F0D" w:rsidRPr="00A86F0D" w:rsidRDefault="00A86F0D">
      <w:pPr>
        <w:pStyle w:val="Textonotapie"/>
        <w:rPr>
          <w:lang w:val="es-CO"/>
        </w:rPr>
      </w:pPr>
      <w:r>
        <w:rPr>
          <w:rStyle w:val="Refdenotaalpie"/>
        </w:rPr>
        <w:footnoteRef/>
      </w:r>
      <w:r>
        <w:t xml:space="preserve"> </w:t>
      </w:r>
      <w:r w:rsidRPr="00855D9F">
        <w:rPr>
          <w:rFonts w:asciiTheme="minorHAnsi" w:hAnsiTheme="minorHAnsi"/>
          <w:lang w:val="es-MX"/>
        </w:rPr>
        <w:t>CORTE CONSTITUCIONAL. Sentencia T-004 de 2015.</w:t>
      </w:r>
    </w:p>
  </w:footnote>
  <w:footnote w:id="6">
    <w:p w:rsidR="007B2953" w:rsidRPr="00855D9F" w:rsidRDefault="007B2953" w:rsidP="007B2953">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w:t>
      </w:r>
      <w:r w:rsidR="00C869FA" w:rsidRPr="00855D9F">
        <w:rPr>
          <w:rFonts w:asciiTheme="minorHAnsi" w:hAnsiTheme="minorHAnsi" w:cs="Arial"/>
        </w:rPr>
        <w:t>.</w:t>
      </w:r>
      <w:r w:rsidRPr="00855D9F">
        <w:rPr>
          <w:rFonts w:asciiTheme="minorHAnsi" w:hAnsiTheme="minorHAnsi" w:cs="Arial"/>
        </w:rPr>
        <w:t xml:space="preserve"> </w:t>
      </w:r>
    </w:p>
  </w:footnote>
  <w:footnote w:id="7">
    <w:p w:rsidR="00855D9F" w:rsidRPr="00855D9F" w:rsidRDefault="00855D9F">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8">
    <w:p w:rsidR="00EE31B8" w:rsidRPr="00EE31B8" w:rsidRDefault="00EE31B8">
      <w:pPr>
        <w:pStyle w:val="Textonotapie"/>
        <w:rPr>
          <w:lang w:val="es-CO"/>
        </w:rPr>
      </w:pPr>
      <w:r>
        <w:rPr>
          <w:rStyle w:val="Refdenotaalpie"/>
        </w:rPr>
        <w:footnoteRef/>
      </w:r>
      <w:r>
        <w:t xml:space="preserve"> </w:t>
      </w:r>
      <w:r w:rsidRPr="00EE31B8">
        <w:rPr>
          <w:rFonts w:ascii="Calibri" w:hAnsi="Calibri" w:cs="Arial"/>
          <w:lang w:val="es-CO"/>
        </w:rPr>
        <w:t>CORTE CONSTITUCIONAL. Sentencia T 517 de 2015.</w:t>
      </w:r>
    </w:p>
  </w:footnote>
  <w:footnote w:id="9">
    <w:p w:rsidR="00EE31B8" w:rsidRPr="00D31BC0" w:rsidRDefault="00EE31B8">
      <w:pPr>
        <w:pStyle w:val="Textonotapie"/>
        <w:rPr>
          <w:rFonts w:ascii="Calibri" w:hAnsi="Calibri"/>
          <w:lang w:val="es-CO"/>
        </w:rPr>
      </w:pPr>
      <w:r w:rsidRPr="00D31BC0">
        <w:rPr>
          <w:rStyle w:val="Refdenotaalpie"/>
          <w:rFonts w:ascii="Calibri" w:hAnsi="Calibri"/>
        </w:rPr>
        <w:footnoteRef/>
      </w:r>
      <w:r w:rsidRPr="00D31BC0">
        <w:rPr>
          <w:rFonts w:ascii="Calibri" w:hAnsi="Calibri"/>
        </w:rPr>
        <w:t xml:space="preserve"> </w:t>
      </w:r>
      <w:r w:rsidR="00D31BC0" w:rsidRPr="00D31BC0">
        <w:rPr>
          <w:rFonts w:ascii="Calibri" w:hAnsi="Calibri" w:cs="Arial"/>
          <w:lang w:val="es-CO"/>
        </w:rPr>
        <w:t>CORTE CONSTITUCIONAL. Ob. cit.</w:t>
      </w:r>
    </w:p>
  </w:footnote>
  <w:footnote w:id="10">
    <w:p w:rsidR="00D31BC0" w:rsidRPr="00D31BC0" w:rsidRDefault="00D31BC0">
      <w:pPr>
        <w:pStyle w:val="Textonotapie"/>
        <w:rPr>
          <w:lang w:val="es-CO"/>
        </w:rPr>
      </w:pPr>
      <w:r>
        <w:rPr>
          <w:rStyle w:val="Refdenotaalpie"/>
        </w:rPr>
        <w:footnoteRef/>
      </w:r>
      <w:r>
        <w:t xml:space="preserve"> </w:t>
      </w:r>
      <w:r w:rsidRPr="00D31BC0">
        <w:rPr>
          <w:rFonts w:ascii="Calibri" w:hAnsi="Calibri" w:cs="Arial"/>
          <w:lang w:val="es-CO"/>
        </w:rPr>
        <w:t>CORTE CONSTITUCIONAL. Sentencia T 724 de 2014.</w:t>
      </w:r>
    </w:p>
  </w:footnote>
  <w:footnote w:id="11">
    <w:p w:rsidR="00D31BC0" w:rsidRPr="00D31BC0" w:rsidRDefault="00D31BC0">
      <w:pPr>
        <w:pStyle w:val="Textonotapie"/>
        <w:rPr>
          <w:rFonts w:ascii="Calibri" w:hAnsi="Calibri"/>
          <w:lang w:val="es-CO"/>
        </w:rPr>
      </w:pPr>
      <w:r>
        <w:rPr>
          <w:rStyle w:val="Refdenotaalpie"/>
        </w:rPr>
        <w:footnoteRef/>
      </w:r>
      <w:r>
        <w:t xml:space="preserve"> </w:t>
      </w:r>
      <w:r w:rsidRPr="00D31BC0">
        <w:rPr>
          <w:rFonts w:ascii="Calibri" w:hAnsi="Calibri" w:cs="Arial"/>
          <w:lang w:val="es-CO"/>
        </w:rPr>
        <w:t>CORTE CONSTITUCIONAL.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21998">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A0A44">
      <w:rPr>
        <w:rFonts w:ascii="Calibri" w:hAnsi="Calibri" w:cs="Calibri"/>
        <w:i/>
        <w:sz w:val="20"/>
        <w:szCs w:val="22"/>
      </w:rPr>
      <w:t>2016-</w:t>
    </w:r>
    <w:r w:rsidR="00F96877">
      <w:rPr>
        <w:rFonts w:ascii="Calibri" w:hAnsi="Calibri" w:cs="Calibri"/>
        <w:i/>
        <w:sz w:val="20"/>
        <w:szCs w:val="22"/>
      </w:rPr>
      <w:t>00612</w:t>
    </w:r>
    <w:r w:rsidR="004A0A4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3"/>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8"/>
  </w:num>
  <w:num w:numId="14">
    <w:abstractNumId w:val="9"/>
  </w:num>
  <w:num w:numId="15">
    <w:abstractNumId w:val="13"/>
  </w:num>
  <w:num w:numId="16">
    <w:abstractNumId w:val="4"/>
  </w:num>
  <w:num w:numId="17">
    <w:abstractNumId w:val="14"/>
  </w:num>
  <w:num w:numId="18">
    <w:abstractNumId w:val="7"/>
  </w:num>
  <w:num w:numId="19">
    <w:abstractNumId w:val="5"/>
  </w:num>
  <w:num w:numId="20">
    <w:abstractNumId w:val="10"/>
  </w:num>
  <w:num w:numId="21">
    <w:abstractNumId w:val="6"/>
  </w:num>
  <w:num w:numId="22">
    <w:abstractNumId w:val="23"/>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7F9"/>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D92"/>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573EB"/>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CA1"/>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3CAC"/>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7B"/>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8B6"/>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BD3"/>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E0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3B2"/>
    <w:rsid w:val="002F1A51"/>
    <w:rsid w:val="002F24C2"/>
    <w:rsid w:val="002F37F9"/>
    <w:rsid w:val="002F3875"/>
    <w:rsid w:val="002F3E1D"/>
    <w:rsid w:val="002F413A"/>
    <w:rsid w:val="002F4C69"/>
    <w:rsid w:val="002F55D1"/>
    <w:rsid w:val="002F5CFC"/>
    <w:rsid w:val="002F6CFE"/>
    <w:rsid w:val="002F7163"/>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998"/>
    <w:rsid w:val="003222EF"/>
    <w:rsid w:val="0032256F"/>
    <w:rsid w:val="003232B0"/>
    <w:rsid w:val="00323F7B"/>
    <w:rsid w:val="003249F4"/>
    <w:rsid w:val="00325212"/>
    <w:rsid w:val="00325B5C"/>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A08"/>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000"/>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A44"/>
    <w:rsid w:val="004A0C1E"/>
    <w:rsid w:val="004A0D37"/>
    <w:rsid w:val="004A0D74"/>
    <w:rsid w:val="004A0EE2"/>
    <w:rsid w:val="004A113B"/>
    <w:rsid w:val="004A20A1"/>
    <w:rsid w:val="004A2CBD"/>
    <w:rsid w:val="004A2E41"/>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5E0C"/>
    <w:rsid w:val="005561DB"/>
    <w:rsid w:val="00556508"/>
    <w:rsid w:val="0055684E"/>
    <w:rsid w:val="005568D1"/>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C1C"/>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640"/>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779"/>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1D4"/>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45E"/>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3584"/>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00A"/>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F6C"/>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6DD8"/>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3785"/>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C"/>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371"/>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6DF"/>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04A"/>
    <w:rsid w:val="009C4A9B"/>
    <w:rsid w:val="009C56B0"/>
    <w:rsid w:val="009C5C12"/>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B99"/>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48B3"/>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6F0D"/>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5FD"/>
    <w:rsid w:val="00AF6EF9"/>
    <w:rsid w:val="00AF753A"/>
    <w:rsid w:val="00AF78AE"/>
    <w:rsid w:val="00AF7F62"/>
    <w:rsid w:val="00B00555"/>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3EC"/>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D36"/>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809"/>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02DA"/>
    <w:rsid w:val="00C2107C"/>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45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0DF"/>
    <w:rsid w:val="00D16471"/>
    <w:rsid w:val="00D169CC"/>
    <w:rsid w:val="00D16AA3"/>
    <w:rsid w:val="00D17485"/>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1BC0"/>
    <w:rsid w:val="00D32190"/>
    <w:rsid w:val="00D322BB"/>
    <w:rsid w:val="00D325D8"/>
    <w:rsid w:val="00D33BA7"/>
    <w:rsid w:val="00D33C09"/>
    <w:rsid w:val="00D33E7B"/>
    <w:rsid w:val="00D34C8C"/>
    <w:rsid w:val="00D3531C"/>
    <w:rsid w:val="00D3677E"/>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EB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18D"/>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98"/>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16C"/>
    <w:rsid w:val="00E6647B"/>
    <w:rsid w:val="00E6739C"/>
    <w:rsid w:val="00E67583"/>
    <w:rsid w:val="00E67640"/>
    <w:rsid w:val="00E67922"/>
    <w:rsid w:val="00E67F45"/>
    <w:rsid w:val="00E706C8"/>
    <w:rsid w:val="00E714B2"/>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5E0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42F"/>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77"/>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Footnote reference Car"/>
    <w:uiPriority w:val="99"/>
    <w:locked/>
    <w:rsid w:val="00D725B6"/>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301542122">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72467350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3EE4-37A4-4537-A2C8-42EF4697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2022</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10</cp:revision>
  <cp:lastPrinted>2016-06-15T12:08:00Z</cp:lastPrinted>
  <dcterms:created xsi:type="dcterms:W3CDTF">2016-06-14T18:05:00Z</dcterms:created>
  <dcterms:modified xsi:type="dcterms:W3CDTF">2016-09-19T19:21:00Z</dcterms:modified>
</cp:coreProperties>
</file>