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DC" w:rsidRPr="00523475" w:rsidRDefault="00D365DC" w:rsidP="00D365DC">
      <w:pPr>
        <w:widowControl w:val="0"/>
        <w:jc w:val="both"/>
        <w:rPr>
          <w:rFonts w:ascii="Arial" w:hAnsi="Arial" w:cs="Arial"/>
          <w:spacing w:val="-3"/>
          <w:sz w:val="18"/>
          <w:szCs w:val="18"/>
          <w:lang w:val="es-CO"/>
        </w:rPr>
      </w:pPr>
      <w:r w:rsidRPr="00523475">
        <w:rPr>
          <w:rFonts w:ascii="Arial" w:hAnsi="Arial" w:cs="Arial"/>
          <w:spacing w:val="-3"/>
          <w:sz w:val="18"/>
          <w:szCs w:val="18"/>
          <w:lang w:val="es-CO"/>
        </w:rPr>
        <w:t>INCIDENTE DE DESACATO/ Imposibilidad de imponer sanción si el fallo de tutela no se dirige a todos los funcionarios competentes de c</w:t>
      </w:r>
      <w:r>
        <w:rPr>
          <w:rFonts w:ascii="Arial" w:hAnsi="Arial" w:cs="Arial"/>
          <w:spacing w:val="-3"/>
          <w:sz w:val="18"/>
          <w:szCs w:val="18"/>
          <w:lang w:val="es-CO"/>
        </w:rPr>
        <w:t>umplirlo</w:t>
      </w:r>
      <w:r w:rsidRPr="00523475">
        <w:rPr>
          <w:rFonts w:ascii="Arial" w:hAnsi="Arial" w:cs="Arial"/>
          <w:spacing w:val="-3"/>
          <w:sz w:val="18"/>
          <w:szCs w:val="18"/>
          <w:lang w:val="es-CO"/>
        </w:rPr>
        <w:t>/ Deber de ajustar la orden librada en la sentencia dentro del trámite incidental</w:t>
      </w:r>
    </w:p>
    <w:p w:rsidR="00D365DC" w:rsidRPr="00523475" w:rsidRDefault="00D365DC" w:rsidP="00D365DC">
      <w:pPr>
        <w:widowControl w:val="0"/>
        <w:jc w:val="both"/>
        <w:rPr>
          <w:rFonts w:ascii="Arial" w:hAnsi="Arial" w:cs="Arial"/>
          <w:spacing w:val="-3"/>
          <w:sz w:val="18"/>
          <w:szCs w:val="18"/>
          <w:lang w:val="es-CO"/>
        </w:rPr>
      </w:pPr>
    </w:p>
    <w:p w:rsidR="00AD6C1B" w:rsidRPr="00AD6C1B" w:rsidRDefault="00D365DC" w:rsidP="00AD6C1B">
      <w:pPr>
        <w:pStyle w:val="Sinespaciado"/>
        <w:tabs>
          <w:tab w:val="left" w:pos="720"/>
        </w:tabs>
        <w:jc w:val="both"/>
        <w:rPr>
          <w:rFonts w:ascii="Arial" w:hAnsi="Arial" w:cs="Arial"/>
          <w:spacing w:val="-3"/>
          <w:sz w:val="18"/>
          <w:szCs w:val="18"/>
          <w:lang w:val="es-CO"/>
        </w:rPr>
      </w:pPr>
      <w:r w:rsidRPr="00523475">
        <w:rPr>
          <w:rFonts w:ascii="Arial" w:hAnsi="Arial" w:cs="Arial"/>
          <w:spacing w:val="-3"/>
          <w:sz w:val="18"/>
          <w:szCs w:val="18"/>
          <w:lang w:val="es-CO"/>
        </w:rPr>
        <w:t>“</w:t>
      </w:r>
      <w:r w:rsidR="00AD6C1B" w:rsidRPr="00AD6C1B">
        <w:rPr>
          <w:rFonts w:ascii="Arial" w:hAnsi="Arial" w:cs="Arial"/>
          <w:spacing w:val="-3"/>
          <w:sz w:val="18"/>
          <w:szCs w:val="18"/>
          <w:lang w:val="es-CO"/>
        </w:rPr>
        <w:t>Sucede que el fallo ordenó (i) Al Director de Gestión Social y Humanitaria, a la Directora de Reparaciones y al Director de la UARIV</w:t>
      </w:r>
      <w:r w:rsidR="00AD6C1B">
        <w:rPr>
          <w:rFonts w:ascii="Arial" w:hAnsi="Arial" w:cs="Arial"/>
          <w:spacing w:val="-3"/>
          <w:sz w:val="18"/>
          <w:szCs w:val="18"/>
          <w:lang w:val="es-CO"/>
        </w:rPr>
        <w:t xml:space="preserve"> (…</w:t>
      </w:r>
      <w:r w:rsidR="00AD6C1B" w:rsidRPr="00AD6C1B">
        <w:rPr>
          <w:rFonts w:ascii="Arial" w:hAnsi="Arial" w:cs="Arial"/>
          <w:spacing w:val="-3"/>
          <w:sz w:val="18"/>
          <w:szCs w:val="18"/>
          <w:lang w:val="es-CO"/>
        </w:rPr>
        <w:t>) respondieran la solicitud hecha por la accionante (</w:t>
      </w:r>
      <w:r w:rsidR="00AD6C1B">
        <w:rPr>
          <w:rFonts w:ascii="Arial" w:hAnsi="Arial" w:cs="Arial"/>
          <w:spacing w:val="-3"/>
          <w:sz w:val="18"/>
          <w:szCs w:val="18"/>
          <w:lang w:val="es-CO"/>
        </w:rPr>
        <w:t>…)</w:t>
      </w:r>
      <w:r w:rsidR="00AD6C1B" w:rsidRPr="00AD6C1B">
        <w:rPr>
          <w:rFonts w:ascii="Arial" w:hAnsi="Arial" w:cs="Arial"/>
          <w:spacing w:val="-3"/>
          <w:sz w:val="18"/>
          <w:szCs w:val="18"/>
          <w:lang w:val="es-CO"/>
        </w:rPr>
        <w:t xml:space="preserve"> funcionarios responsables de atender peticiones relacionadas con las ayudas humanitarias y la indemnización administrativa que la UARIV otorga a las personas víctimas del conflicto armado, no obstante careció de orden frente al jefe de la Oficina Asesora Jurídica de la UARIV, encargado de adelantar las actuaciones correspondientes para atender oportunamente las acciones de tutela, cumplimiento, populares, derechos de petición y demás asuntos administrativos de la Unidad (Artículo 8º-5º del Decreto 4802 de 2011 y Resolución 00185 del 17-03-2015).</w:t>
      </w:r>
      <w:r w:rsidR="00AD6C1B">
        <w:rPr>
          <w:rFonts w:ascii="Arial" w:hAnsi="Arial" w:cs="Arial"/>
          <w:spacing w:val="-3"/>
          <w:sz w:val="18"/>
          <w:szCs w:val="18"/>
          <w:lang w:val="es-CO"/>
        </w:rPr>
        <w:t>”</w:t>
      </w:r>
      <w:r w:rsidR="00AD6C1B" w:rsidRPr="00AD6C1B">
        <w:rPr>
          <w:rFonts w:ascii="Arial" w:hAnsi="Arial" w:cs="Arial"/>
          <w:spacing w:val="-3"/>
          <w:sz w:val="18"/>
          <w:szCs w:val="18"/>
          <w:lang w:val="es-CO"/>
        </w:rPr>
        <w:t xml:space="preserve"> </w:t>
      </w:r>
    </w:p>
    <w:p w:rsidR="00AD6C1B" w:rsidRPr="00AD6C1B" w:rsidRDefault="00AD6C1B" w:rsidP="00AD6C1B">
      <w:pPr>
        <w:pStyle w:val="Sinespaciado"/>
        <w:tabs>
          <w:tab w:val="left" w:pos="720"/>
        </w:tabs>
        <w:jc w:val="both"/>
        <w:rPr>
          <w:rFonts w:ascii="Arial" w:hAnsi="Arial" w:cs="Arial"/>
          <w:spacing w:val="-3"/>
          <w:sz w:val="18"/>
          <w:szCs w:val="18"/>
          <w:lang w:val="es-CO"/>
        </w:rPr>
      </w:pPr>
    </w:p>
    <w:p w:rsidR="00D365DC" w:rsidRPr="00523475" w:rsidRDefault="00AD6C1B" w:rsidP="00AD6C1B">
      <w:pPr>
        <w:pStyle w:val="Sinespaciado"/>
        <w:widowControl/>
        <w:tabs>
          <w:tab w:val="left" w:pos="720"/>
        </w:tabs>
        <w:autoSpaceDE/>
        <w:autoSpaceDN/>
        <w:adjustRightInd/>
        <w:jc w:val="both"/>
        <w:rPr>
          <w:rFonts w:ascii="Arial" w:hAnsi="Arial" w:cs="Arial"/>
          <w:spacing w:val="-3"/>
          <w:sz w:val="18"/>
          <w:szCs w:val="18"/>
          <w:lang w:val="es-CO"/>
        </w:rPr>
      </w:pPr>
      <w:r>
        <w:rPr>
          <w:rFonts w:ascii="Arial" w:hAnsi="Arial" w:cs="Arial"/>
          <w:spacing w:val="-3"/>
          <w:sz w:val="18"/>
          <w:szCs w:val="18"/>
          <w:lang w:val="es-CO"/>
        </w:rPr>
        <w:t>“</w:t>
      </w:r>
      <w:r w:rsidRPr="00AD6C1B">
        <w:rPr>
          <w:rFonts w:ascii="Arial" w:hAnsi="Arial" w:cs="Arial"/>
          <w:spacing w:val="-3"/>
          <w:sz w:val="18"/>
          <w:szCs w:val="18"/>
          <w:lang w:val="es-CO"/>
        </w:rPr>
        <w:t>Consecuente con lo transcrito, ha debido el juez ajustar la orden de la sentencia en garantía de los derechos protegidos con la acción de tutela, para procurar la efectividad del amparo prodigado.</w:t>
      </w:r>
      <w:r w:rsidR="00D365DC" w:rsidRPr="00523475">
        <w:rPr>
          <w:rFonts w:ascii="Arial" w:hAnsi="Arial" w:cs="Arial"/>
          <w:spacing w:val="-3"/>
          <w:sz w:val="18"/>
          <w:szCs w:val="18"/>
          <w:lang w:val="es-CO"/>
        </w:rPr>
        <w:t>”</w:t>
      </w:r>
    </w:p>
    <w:p w:rsidR="00D365DC" w:rsidRPr="00523475" w:rsidRDefault="00D365DC" w:rsidP="00D365DC">
      <w:pPr>
        <w:pStyle w:val="Puesto"/>
        <w:jc w:val="both"/>
        <w:rPr>
          <w:b w:val="0"/>
          <w:bCs w:val="0"/>
          <w:i w:val="0"/>
          <w:iCs w:val="0"/>
          <w:spacing w:val="-3"/>
          <w:sz w:val="18"/>
          <w:szCs w:val="18"/>
          <w:lang w:val="es-ES_tradnl"/>
        </w:rPr>
      </w:pPr>
    </w:p>
    <w:p w:rsidR="00D365DC" w:rsidRPr="00AD6C1B" w:rsidRDefault="00D365DC" w:rsidP="00AD6C1B">
      <w:pPr>
        <w:pStyle w:val="Sangradetextonormal"/>
        <w:spacing w:after="0"/>
        <w:ind w:left="0" w:rightChars="25" w:right="50"/>
        <w:jc w:val="both"/>
        <w:rPr>
          <w:spacing w:val="-3"/>
          <w:sz w:val="16"/>
          <w:szCs w:val="18"/>
          <w:lang w:val="es-CO"/>
        </w:rPr>
      </w:pPr>
      <w:r w:rsidRPr="00523475">
        <w:rPr>
          <w:spacing w:val="-3"/>
          <w:sz w:val="16"/>
          <w:szCs w:val="18"/>
          <w:lang w:val="es-CO"/>
        </w:rPr>
        <w:t>Citas: Corte Constitucional</w:t>
      </w:r>
      <w:r>
        <w:rPr>
          <w:spacing w:val="-3"/>
          <w:sz w:val="16"/>
          <w:szCs w:val="18"/>
          <w:lang w:val="es-CO"/>
        </w:rPr>
        <w:t>, a</w:t>
      </w:r>
      <w:r w:rsidRPr="00523475">
        <w:rPr>
          <w:sz w:val="16"/>
          <w:szCs w:val="18"/>
          <w:lang w:val="es-CO"/>
        </w:rPr>
        <w:t>uto 181 de 2015</w:t>
      </w:r>
      <w:r>
        <w:rPr>
          <w:sz w:val="16"/>
          <w:szCs w:val="18"/>
          <w:lang w:val="es-CO"/>
        </w:rPr>
        <w:t xml:space="preserve"> y s</w:t>
      </w:r>
      <w:r w:rsidRPr="00523475">
        <w:rPr>
          <w:sz w:val="16"/>
          <w:szCs w:val="18"/>
          <w:lang w:val="es-CO"/>
        </w:rPr>
        <w:t>entencia</w:t>
      </w:r>
      <w:r>
        <w:rPr>
          <w:sz w:val="16"/>
          <w:szCs w:val="18"/>
          <w:lang w:val="es-CO"/>
        </w:rPr>
        <w:t>s</w:t>
      </w:r>
      <w:r w:rsidR="00AD6C1B">
        <w:rPr>
          <w:sz w:val="16"/>
          <w:szCs w:val="18"/>
          <w:lang w:val="es-CO"/>
        </w:rPr>
        <w:t xml:space="preserve"> T-421 de</w:t>
      </w:r>
      <w:r w:rsidR="00AD6C1B" w:rsidRPr="00AD6C1B">
        <w:rPr>
          <w:sz w:val="16"/>
          <w:szCs w:val="18"/>
          <w:lang w:val="es-CO"/>
        </w:rPr>
        <w:t xml:space="preserve"> 2003</w:t>
      </w:r>
      <w:r w:rsidR="00AD6C1B">
        <w:rPr>
          <w:sz w:val="16"/>
          <w:szCs w:val="18"/>
          <w:lang w:val="es-CO"/>
        </w:rPr>
        <w:t>,</w:t>
      </w:r>
      <w:r w:rsidRPr="00523475">
        <w:rPr>
          <w:sz w:val="16"/>
          <w:szCs w:val="18"/>
          <w:lang w:val="es-CO"/>
        </w:rPr>
        <w:t xml:space="preserve"> T-939 de 2005</w:t>
      </w:r>
      <w:r>
        <w:rPr>
          <w:sz w:val="16"/>
          <w:szCs w:val="18"/>
          <w:lang w:val="es-CO"/>
        </w:rPr>
        <w:t xml:space="preserve">, </w:t>
      </w:r>
      <w:r w:rsidRPr="00523475">
        <w:rPr>
          <w:sz w:val="16"/>
          <w:szCs w:val="18"/>
          <w:lang w:val="es-CO"/>
        </w:rPr>
        <w:t xml:space="preserve">T-343 </w:t>
      </w:r>
      <w:r>
        <w:rPr>
          <w:sz w:val="16"/>
          <w:szCs w:val="18"/>
          <w:lang w:val="es-CO"/>
        </w:rPr>
        <w:t xml:space="preserve">de </w:t>
      </w:r>
      <w:r w:rsidRPr="00523475">
        <w:rPr>
          <w:sz w:val="16"/>
          <w:szCs w:val="18"/>
          <w:lang w:val="es-CO"/>
        </w:rPr>
        <w:t>2011</w:t>
      </w:r>
      <w:r>
        <w:rPr>
          <w:sz w:val="16"/>
          <w:szCs w:val="18"/>
          <w:lang w:val="es-CO"/>
        </w:rPr>
        <w:t>, T-218 de</w:t>
      </w:r>
      <w:r w:rsidRPr="00523475">
        <w:rPr>
          <w:sz w:val="16"/>
          <w:szCs w:val="18"/>
          <w:lang w:val="es-CO"/>
        </w:rPr>
        <w:t xml:space="preserve"> 2012</w:t>
      </w:r>
      <w:r w:rsidRPr="00523475">
        <w:rPr>
          <w:spacing w:val="-3"/>
          <w:sz w:val="16"/>
          <w:szCs w:val="18"/>
          <w:lang w:val="es-CO"/>
        </w:rPr>
        <w:t xml:space="preserve"> </w:t>
      </w:r>
      <w:r>
        <w:rPr>
          <w:sz w:val="16"/>
          <w:szCs w:val="18"/>
          <w:lang w:val="es-CO"/>
        </w:rPr>
        <w:t>y</w:t>
      </w:r>
      <w:r w:rsidRPr="00523475">
        <w:rPr>
          <w:sz w:val="16"/>
          <w:szCs w:val="18"/>
          <w:lang w:val="es-CO"/>
        </w:rPr>
        <w:t xml:space="preserve"> C-367 de 2014</w:t>
      </w:r>
      <w:r>
        <w:rPr>
          <w:sz w:val="16"/>
          <w:szCs w:val="18"/>
          <w:lang w:val="es-CO"/>
        </w:rPr>
        <w:t xml:space="preserve">. Doctrina: </w:t>
      </w:r>
      <w:r w:rsidRPr="00523475">
        <w:rPr>
          <w:sz w:val="16"/>
          <w:szCs w:val="18"/>
          <w:lang w:val="es-CO"/>
        </w:rPr>
        <w:t xml:space="preserve">BOTERO MARINO, Catalina. </w:t>
      </w:r>
      <w:r>
        <w:rPr>
          <w:sz w:val="16"/>
          <w:szCs w:val="18"/>
          <w:lang w:val="es-CO"/>
        </w:rPr>
        <w:t>“</w:t>
      </w:r>
      <w:r w:rsidRPr="00523475">
        <w:rPr>
          <w:sz w:val="16"/>
          <w:szCs w:val="18"/>
          <w:lang w:val="es-CO"/>
        </w:rPr>
        <w:t>La acción de tutela en el ordenamiento constitucional colombiano</w:t>
      </w:r>
      <w:r>
        <w:rPr>
          <w:sz w:val="16"/>
          <w:szCs w:val="18"/>
          <w:lang w:val="es-CO"/>
        </w:rPr>
        <w:t>”.</w:t>
      </w:r>
      <w:r w:rsidRPr="00523475">
        <w:rPr>
          <w:sz w:val="16"/>
          <w:szCs w:val="18"/>
          <w:lang w:val="es-CO"/>
        </w:rPr>
        <w:t xml:space="preserve"> Escuela Judicial Rodrigo Lara Bonilla y Consejo Superior de la Judicatura, Bogotá D</w:t>
      </w:r>
      <w:r>
        <w:rPr>
          <w:sz w:val="16"/>
          <w:szCs w:val="18"/>
          <w:lang w:val="es-CO"/>
        </w:rPr>
        <w:t>.</w:t>
      </w:r>
      <w:r w:rsidRPr="00523475">
        <w:rPr>
          <w:sz w:val="16"/>
          <w:szCs w:val="18"/>
          <w:lang w:val="es-CO"/>
        </w:rPr>
        <w:t>C</w:t>
      </w:r>
      <w:r>
        <w:rPr>
          <w:sz w:val="16"/>
          <w:szCs w:val="18"/>
          <w:lang w:val="es-CO"/>
        </w:rPr>
        <w:t>.</w:t>
      </w:r>
      <w:r w:rsidRPr="00523475">
        <w:rPr>
          <w:sz w:val="16"/>
          <w:szCs w:val="18"/>
          <w:lang w:val="es-CO"/>
        </w:rPr>
        <w:t>, 2006</w:t>
      </w:r>
      <w:r>
        <w:rPr>
          <w:sz w:val="16"/>
          <w:szCs w:val="18"/>
          <w:lang w:val="es-CO"/>
        </w:rPr>
        <w:t>.</w:t>
      </w:r>
    </w:p>
    <w:p w:rsidR="00D365DC" w:rsidRDefault="00D365DC" w:rsidP="00297A63">
      <w:pPr>
        <w:pStyle w:val="Sinespaciado"/>
        <w:spacing w:line="360" w:lineRule="auto"/>
        <w:jc w:val="center"/>
        <w:rPr>
          <w:rFonts w:ascii="Arial" w:hAnsi="Arial" w:cs="Arial"/>
          <w:w w:val="140"/>
        </w:rPr>
      </w:pPr>
    </w:p>
    <w:p w:rsidR="00297A63" w:rsidRPr="007860C0" w:rsidRDefault="00297A63" w:rsidP="00297A63">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435ED0F8" wp14:editId="2783A159">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bookmarkStart w:id="0" w:name="_GoBack"/>
      <w:bookmarkEnd w:id="0"/>
    </w:p>
    <w:p w:rsidR="00297A63" w:rsidRPr="007860C0" w:rsidRDefault="00297A63" w:rsidP="00297A63">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297A63" w:rsidRPr="007860C0" w:rsidRDefault="00297A63" w:rsidP="00297A63">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297A63" w:rsidRPr="007860C0" w:rsidRDefault="00297A63" w:rsidP="00297A63">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297A63" w:rsidRPr="00121680" w:rsidRDefault="00297A63" w:rsidP="00297A63">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Pr="00DF61F7">
        <w:rPr>
          <w:rFonts w:ascii="Arial" w:hAnsi="Arial" w:cs="Arial"/>
          <w:w w:val="140"/>
          <w:sz w:val="18"/>
          <w:szCs w:val="14"/>
        </w:rPr>
        <w:t>U</w:t>
      </w:r>
      <w:r>
        <w:rPr>
          <w:rFonts w:ascii="Arial" w:hAnsi="Arial" w:cs="Arial"/>
          <w:w w:val="140"/>
          <w:sz w:val="16"/>
          <w:szCs w:val="14"/>
        </w:rPr>
        <w:t xml:space="preserve">NITARIA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297A63" w:rsidRPr="00505ACE" w:rsidRDefault="00297A63" w:rsidP="00297A63">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Textoindependiente"/>
        <w:tabs>
          <w:tab w:val="clear" w:pos="3540"/>
          <w:tab w:val="clear" w:pos="4248"/>
          <w:tab w:val="left" w:pos="3600"/>
        </w:tabs>
        <w:spacing w:line="360" w:lineRule="auto"/>
        <w:jc w:val="center"/>
        <w:rPr>
          <w:rFonts w:ascii="Arial" w:hAnsi="Arial" w:cs="Arial"/>
          <w:sz w:val="14"/>
          <w:szCs w:val="22"/>
        </w:rPr>
      </w:pPr>
    </w:p>
    <w:p w:rsidR="0005223F" w:rsidRPr="003274BF" w:rsidRDefault="00771048" w:rsidP="002F4F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2F4F28">
        <w:rPr>
          <w:rFonts w:ascii="Arial" w:hAnsi="Arial" w:cs="Arial"/>
          <w:sz w:val="22"/>
          <w:szCs w:val="22"/>
        </w:rPr>
        <w:t>Asunto</w:t>
      </w:r>
      <w:r w:rsidR="002F4F28">
        <w:rPr>
          <w:rFonts w:ascii="Arial" w:hAnsi="Arial" w:cs="Arial"/>
          <w:sz w:val="22"/>
          <w:szCs w:val="22"/>
        </w:rPr>
        <w:tab/>
      </w:r>
      <w:r w:rsidR="002F4F28">
        <w:rPr>
          <w:rFonts w:ascii="Arial" w:hAnsi="Arial" w:cs="Arial"/>
          <w:sz w:val="22"/>
          <w:szCs w:val="22"/>
        </w:rPr>
        <w:tab/>
      </w:r>
      <w:r w:rsidR="002F4F28">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97F75" w:rsidRPr="003274BF" w:rsidRDefault="002F4F28" w:rsidP="002F4F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firstLine="708"/>
        <w:rPr>
          <w:rFonts w:ascii="Arial" w:hAnsi="Arial" w:cs="Arial"/>
          <w:sz w:val="22"/>
          <w:szCs w:val="22"/>
        </w:rPr>
      </w:pPr>
      <w:proofErr w:type="spellStart"/>
      <w:r>
        <w:rPr>
          <w:rFonts w:ascii="Arial" w:hAnsi="Arial" w:cs="Arial"/>
          <w:sz w:val="22"/>
          <w:szCs w:val="22"/>
        </w:rPr>
        <w:t>Incidentante</w:t>
      </w:r>
      <w:proofErr w:type="spellEnd"/>
      <w:r>
        <w:rPr>
          <w:rFonts w:ascii="Arial" w:hAnsi="Arial" w:cs="Arial"/>
          <w:sz w:val="22"/>
          <w:szCs w:val="22"/>
        </w:rPr>
        <w:tab/>
      </w:r>
      <w:r>
        <w:rPr>
          <w:rFonts w:ascii="Arial" w:hAnsi="Arial" w:cs="Arial"/>
          <w:sz w:val="22"/>
          <w:szCs w:val="22"/>
        </w:rPr>
        <w:tab/>
      </w:r>
      <w:r w:rsidR="00C97F75" w:rsidRPr="003274BF">
        <w:rPr>
          <w:rFonts w:ascii="Arial" w:hAnsi="Arial" w:cs="Arial"/>
          <w:sz w:val="22"/>
          <w:szCs w:val="22"/>
        </w:rPr>
        <w:t>:</w:t>
      </w:r>
      <w:r w:rsidR="00C97F75">
        <w:rPr>
          <w:rFonts w:ascii="Arial" w:hAnsi="Arial" w:cs="Arial"/>
          <w:sz w:val="22"/>
          <w:szCs w:val="22"/>
        </w:rPr>
        <w:t xml:space="preserve"> </w:t>
      </w:r>
      <w:r w:rsidR="003B397D">
        <w:rPr>
          <w:rFonts w:ascii="Arial" w:hAnsi="Arial" w:cs="Arial"/>
          <w:sz w:val="22"/>
          <w:szCs w:val="22"/>
        </w:rPr>
        <w:t>María del Rosario Rincón García</w:t>
      </w:r>
    </w:p>
    <w:p w:rsidR="00C97F75" w:rsidRPr="003274BF" w:rsidRDefault="00C97F75" w:rsidP="002F4F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540" w:hanging="2124"/>
        <w:rPr>
          <w:rFonts w:ascii="Arial" w:hAnsi="Arial" w:cs="Arial"/>
          <w:sz w:val="22"/>
          <w:szCs w:val="22"/>
        </w:rPr>
      </w:pPr>
      <w:proofErr w:type="spellStart"/>
      <w:r>
        <w:rPr>
          <w:rFonts w:ascii="Arial" w:hAnsi="Arial" w:cs="Arial"/>
          <w:sz w:val="22"/>
          <w:szCs w:val="22"/>
        </w:rPr>
        <w:t>Incidentada</w:t>
      </w:r>
      <w:proofErr w:type="spellEnd"/>
      <w:r>
        <w:rPr>
          <w:rFonts w:ascii="Arial" w:hAnsi="Arial" w:cs="Arial"/>
          <w:sz w:val="22"/>
          <w:szCs w:val="22"/>
        </w:rPr>
        <w:t xml:space="preserve"> (s)</w:t>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Director de la UARIV y otros</w:t>
      </w:r>
    </w:p>
    <w:p w:rsidR="00C97F75" w:rsidRDefault="00C97F75" w:rsidP="002F4F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Procedencia</w:t>
      </w:r>
      <w:r w:rsidRPr="003274BF">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Pr>
          <w:rFonts w:ascii="Arial" w:hAnsi="Arial" w:cs="Arial"/>
          <w:sz w:val="22"/>
          <w:szCs w:val="22"/>
        </w:rPr>
        <w:t>Cuarto Civil del Circuito de Pereira</w:t>
      </w:r>
    </w:p>
    <w:p w:rsidR="00C97F75" w:rsidRPr="00AD5E2D" w:rsidRDefault="00C97F75" w:rsidP="002F4F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lang w:val="es-CO"/>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2015-</w:t>
      </w:r>
      <w:r w:rsidR="00EB681D">
        <w:rPr>
          <w:rFonts w:ascii="Arial" w:hAnsi="Arial" w:cs="Arial"/>
          <w:sz w:val="22"/>
          <w:szCs w:val="22"/>
        </w:rPr>
        <w:t>01120</w:t>
      </w:r>
      <w:r>
        <w:rPr>
          <w:rFonts w:ascii="Arial" w:hAnsi="Arial" w:cs="Arial"/>
          <w:sz w:val="22"/>
          <w:szCs w:val="22"/>
        </w:rPr>
        <w:t>-01</w:t>
      </w:r>
    </w:p>
    <w:p w:rsidR="00EA3092" w:rsidRPr="003274BF" w:rsidRDefault="00EA3092" w:rsidP="002F4F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sidR="00AB4A60">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sidR="00AB4A60" w:rsidRPr="00D6126C">
        <w:rPr>
          <w:rFonts w:ascii="Arial" w:hAnsi="Arial" w:cs="Arial"/>
          <w:sz w:val="22"/>
          <w:szCs w:val="22"/>
        </w:rPr>
        <w:t>Subreglas</w:t>
      </w:r>
      <w:proofErr w:type="spellEnd"/>
      <w:r w:rsidR="00AB4A60" w:rsidRPr="00D6126C">
        <w:rPr>
          <w:rFonts w:ascii="Arial" w:hAnsi="Arial" w:cs="Arial"/>
          <w:sz w:val="22"/>
          <w:szCs w:val="22"/>
        </w:rPr>
        <w:t xml:space="preserve"> desacato – </w:t>
      </w:r>
      <w:proofErr w:type="spellStart"/>
      <w:r w:rsidR="008769C7">
        <w:rPr>
          <w:rFonts w:ascii="Arial" w:hAnsi="Arial" w:cs="Arial"/>
          <w:sz w:val="22"/>
          <w:szCs w:val="22"/>
        </w:rPr>
        <w:t>Ejecutabilidad</w:t>
      </w:r>
      <w:proofErr w:type="spellEnd"/>
      <w:r w:rsidR="008769C7">
        <w:rPr>
          <w:rFonts w:ascii="Arial" w:hAnsi="Arial" w:cs="Arial"/>
          <w:sz w:val="22"/>
          <w:szCs w:val="22"/>
        </w:rPr>
        <w:t xml:space="preserve"> del </w:t>
      </w:r>
      <w:r w:rsidR="00727F9A" w:rsidRPr="00D6126C">
        <w:rPr>
          <w:rFonts w:ascii="Arial" w:hAnsi="Arial" w:cs="Arial"/>
          <w:sz w:val="22"/>
          <w:szCs w:val="22"/>
        </w:rPr>
        <w:t>fallo</w:t>
      </w:r>
      <w:r w:rsidR="00727F9A">
        <w:rPr>
          <w:rFonts w:ascii="Arial" w:hAnsi="Arial" w:cs="Arial"/>
          <w:sz w:val="22"/>
          <w:szCs w:val="22"/>
        </w:rPr>
        <w:t xml:space="preserve"> </w:t>
      </w:r>
    </w:p>
    <w:p w:rsidR="00233E73" w:rsidRPr="003274BF" w:rsidRDefault="005A3336" w:rsidP="002F4F2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Pr="00923F64" w:rsidRDefault="00771048" w:rsidP="00771048">
      <w:pPr>
        <w:pBdr>
          <w:bottom w:val="single" w:sz="12" w:space="0" w:color="auto"/>
        </w:pBdr>
        <w:spacing w:line="360" w:lineRule="auto"/>
        <w:ind w:left="708" w:firstLine="708"/>
        <w:rPr>
          <w:rFonts w:ascii="Arial" w:hAnsi="Arial" w:cs="Arial"/>
          <w:sz w:val="14"/>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672668">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EB681D">
        <w:rPr>
          <w:rFonts w:ascii="Arial" w:hAnsi="Arial" w:cs="Arial"/>
          <w:smallCaps/>
          <w:sz w:val="28"/>
          <w:szCs w:val="28"/>
          <w:lang w:val="es-CO"/>
        </w:rPr>
        <w:t xml:space="preserve">Veinticuatro </w:t>
      </w:r>
      <w:r w:rsidR="0005223F" w:rsidRPr="00E42F66">
        <w:rPr>
          <w:rFonts w:ascii="Arial" w:hAnsi="Arial" w:cs="Arial"/>
          <w:smallCaps/>
          <w:sz w:val="28"/>
          <w:szCs w:val="28"/>
          <w:lang w:val="es-CO"/>
        </w:rPr>
        <w:t>(</w:t>
      </w:r>
      <w:r w:rsidR="00EB681D">
        <w:rPr>
          <w:rFonts w:ascii="Arial" w:hAnsi="Arial" w:cs="Arial"/>
          <w:smallCaps/>
          <w:sz w:val="28"/>
          <w:szCs w:val="28"/>
          <w:lang w:val="es-CO"/>
        </w:rPr>
        <w:t>24</w:t>
      </w:r>
      <w:r w:rsidR="0005223F" w:rsidRPr="00E42F66">
        <w:rPr>
          <w:rFonts w:ascii="Arial" w:hAnsi="Arial" w:cs="Arial"/>
          <w:smallCaps/>
          <w:sz w:val="28"/>
          <w:szCs w:val="28"/>
          <w:lang w:val="es-CO"/>
        </w:rPr>
        <w:t xml:space="preserve">) de </w:t>
      </w:r>
      <w:r w:rsidR="00C97F75">
        <w:rPr>
          <w:rFonts w:ascii="Arial" w:hAnsi="Arial" w:cs="Arial"/>
          <w:smallCaps/>
          <w:sz w:val="28"/>
          <w:szCs w:val="28"/>
          <w:lang w:val="es-CO"/>
        </w:rPr>
        <w:t xml:space="preserve">agosto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672668">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672668">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C475FD" w:rsidRDefault="00C475FD"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923F64" w:rsidRDefault="0005223F" w:rsidP="0005223F">
      <w:pPr>
        <w:pStyle w:val="Puesto"/>
        <w:spacing w:line="360" w:lineRule="auto"/>
        <w:jc w:val="left"/>
        <w:rPr>
          <w:b w:val="0"/>
          <w:bCs w:val="0"/>
          <w:i w:val="0"/>
          <w:iCs w:val="0"/>
          <w:spacing w:val="-3"/>
          <w:sz w:val="20"/>
          <w:szCs w:val="22"/>
          <w:lang w:val="es-ES_tradnl"/>
        </w:rPr>
      </w:pPr>
    </w:p>
    <w:p w:rsidR="00C97F75" w:rsidRPr="00771AD1" w:rsidRDefault="00C97F75" w:rsidP="00C97F75">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C97F75" w:rsidRPr="00771AD1" w:rsidRDefault="00C97F75" w:rsidP="00C97F75">
      <w:pPr>
        <w:pStyle w:val="Puesto"/>
        <w:spacing w:line="360" w:lineRule="auto"/>
        <w:jc w:val="left"/>
        <w:rPr>
          <w:b w:val="0"/>
          <w:bCs w:val="0"/>
          <w:i w:val="0"/>
          <w:iCs w:val="0"/>
          <w:spacing w:val="-3"/>
          <w:lang w:val="es-ES_tradnl"/>
        </w:rPr>
      </w:pPr>
    </w:p>
    <w:p w:rsidR="00C97F75" w:rsidRPr="00510074" w:rsidRDefault="00C97F75" w:rsidP="00C97F75">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C97F75" w:rsidRPr="00AB2DAE" w:rsidRDefault="00C97F75" w:rsidP="00C97F75">
      <w:pPr>
        <w:pStyle w:val="Puesto"/>
        <w:spacing w:line="360" w:lineRule="auto"/>
        <w:jc w:val="left"/>
        <w:rPr>
          <w:b w:val="0"/>
          <w:bCs w:val="0"/>
          <w:i w:val="0"/>
          <w:iCs w:val="0"/>
          <w:spacing w:val="-3"/>
          <w:szCs w:val="22"/>
          <w:lang w:val="es-ES_tradnl"/>
        </w:rPr>
      </w:pPr>
    </w:p>
    <w:p w:rsidR="00C97F75" w:rsidRDefault="00C97F75" w:rsidP="00C97F75">
      <w:pPr>
        <w:pStyle w:val="Textoindependiente"/>
        <w:spacing w:line="360" w:lineRule="auto"/>
        <w:rPr>
          <w:rFonts w:ascii="Arial" w:hAnsi="Arial" w:cs="Arial"/>
          <w:lang w:val="es-CO"/>
        </w:rPr>
      </w:pPr>
      <w:r>
        <w:rPr>
          <w:rFonts w:ascii="Arial" w:hAnsi="Arial" w:cs="Arial"/>
          <w:lang w:val="es-CO"/>
        </w:rPr>
        <w:t xml:space="preserve">Se </w:t>
      </w:r>
      <w:r w:rsidRPr="00771AD1">
        <w:rPr>
          <w:rFonts w:ascii="Arial" w:hAnsi="Arial" w:cs="Arial"/>
          <w:lang w:val="es-CO"/>
        </w:rPr>
        <w:t xml:space="preserve">reclamó </w:t>
      </w:r>
      <w:r>
        <w:rPr>
          <w:rFonts w:ascii="Arial" w:hAnsi="Arial" w:cs="Arial"/>
          <w:lang w:val="es-CO"/>
        </w:rPr>
        <w:t xml:space="preserve">en el día </w:t>
      </w:r>
      <w:r w:rsidR="00EB681D">
        <w:rPr>
          <w:rFonts w:ascii="Arial" w:hAnsi="Arial" w:cs="Arial"/>
          <w:lang w:val="es-CO"/>
        </w:rPr>
        <w:t>17</w:t>
      </w:r>
      <w:r>
        <w:rPr>
          <w:rFonts w:ascii="Arial" w:hAnsi="Arial" w:cs="Arial"/>
          <w:lang w:val="es-CO"/>
        </w:rPr>
        <w:t>-</w:t>
      </w:r>
      <w:r w:rsidR="00EB681D">
        <w:rPr>
          <w:rFonts w:ascii="Arial" w:hAnsi="Arial" w:cs="Arial"/>
          <w:lang w:val="es-CO"/>
        </w:rPr>
        <w:t>04</w:t>
      </w:r>
      <w:r>
        <w:rPr>
          <w:rFonts w:ascii="Arial" w:hAnsi="Arial" w:cs="Arial"/>
          <w:lang w:val="es-CO"/>
        </w:rPr>
        <w:t xml:space="preserve">-2016 ante el </w:t>
      </w:r>
      <w:r>
        <w:rPr>
          <w:rFonts w:ascii="Arial" w:hAnsi="Arial" w:cs="Arial"/>
          <w:i/>
          <w:lang w:val="es-CO"/>
        </w:rPr>
        <w:t>a quo</w:t>
      </w:r>
      <w:r>
        <w:rPr>
          <w:rFonts w:ascii="Arial" w:hAnsi="Arial" w:cs="Arial"/>
          <w:lang w:val="es-CO"/>
        </w:rPr>
        <w:t>,</w:t>
      </w:r>
      <w:r w:rsidRPr="00771AD1">
        <w:rPr>
          <w:rFonts w:ascii="Arial" w:hAnsi="Arial" w:cs="Arial"/>
          <w:lang w:val="es-CO"/>
        </w:rPr>
        <w:t xml:space="preserve"> iniciar incidente de desacato</w:t>
      </w:r>
      <w:r>
        <w:rPr>
          <w:rFonts w:ascii="Arial" w:hAnsi="Arial" w:cs="Arial"/>
          <w:lang w:val="es-CO"/>
        </w:rPr>
        <w:t xml:space="preserve"> </w:t>
      </w:r>
      <w:r>
        <w:rPr>
          <w:rFonts w:ascii="Arial" w:hAnsi="Arial" w:cs="Arial"/>
        </w:rPr>
        <w:t>(Folios 1 a 4, cuaderno incidente No.1). El</w:t>
      </w:r>
      <w:r>
        <w:rPr>
          <w:rFonts w:ascii="Arial" w:hAnsi="Arial" w:cs="Arial"/>
          <w:lang w:val="es-CO"/>
        </w:rPr>
        <w:t xml:space="preserve"> Despacho con proveído del </w:t>
      </w:r>
      <w:r w:rsidR="00EB681D">
        <w:rPr>
          <w:rFonts w:ascii="Arial" w:hAnsi="Arial" w:cs="Arial"/>
          <w:lang w:val="es-CO"/>
        </w:rPr>
        <w:t>18</w:t>
      </w:r>
      <w:r>
        <w:rPr>
          <w:rFonts w:ascii="Arial" w:hAnsi="Arial" w:cs="Arial"/>
          <w:lang w:val="es-CO"/>
        </w:rPr>
        <w:t>-</w:t>
      </w:r>
      <w:r w:rsidR="00EB681D">
        <w:rPr>
          <w:rFonts w:ascii="Arial" w:hAnsi="Arial" w:cs="Arial"/>
          <w:lang w:val="es-CO"/>
        </w:rPr>
        <w:t>04</w:t>
      </w:r>
      <w:r>
        <w:rPr>
          <w:rFonts w:ascii="Arial" w:hAnsi="Arial" w:cs="Arial"/>
          <w:lang w:val="es-CO"/>
        </w:rPr>
        <w:t xml:space="preserve">-2016 </w:t>
      </w:r>
      <w:r>
        <w:rPr>
          <w:rFonts w:ascii="Arial" w:hAnsi="Arial" w:cs="Arial"/>
        </w:rPr>
        <w:t xml:space="preserve">requirió al Director de Gestión Social y Humanitaria, a la Gerenta de Reparaciones y a la Directora de la UARIV (Folio </w:t>
      </w:r>
      <w:r w:rsidR="00EB681D">
        <w:rPr>
          <w:rFonts w:ascii="Arial" w:hAnsi="Arial" w:cs="Arial"/>
        </w:rPr>
        <w:t>6</w:t>
      </w:r>
      <w:r>
        <w:rPr>
          <w:rFonts w:ascii="Arial" w:hAnsi="Arial" w:cs="Arial"/>
        </w:rPr>
        <w:t>, cuaderno incidente No.1);</w:t>
      </w:r>
      <w:r>
        <w:rPr>
          <w:rFonts w:ascii="Arial" w:hAnsi="Arial" w:cs="Arial"/>
          <w:lang w:val="es-CO"/>
        </w:rPr>
        <w:t xml:space="preserve"> </w:t>
      </w:r>
      <w:r w:rsidR="00EB681D">
        <w:rPr>
          <w:rFonts w:ascii="Arial" w:hAnsi="Arial" w:cs="Arial"/>
          <w:lang w:val="es-CO"/>
        </w:rPr>
        <w:t xml:space="preserve">seguidamente, mediante proveído del 02-05-2016 dio apertura al incidente de desacato en contra de dichos funcionarios (Folios 11 y 12, cuaderno incidente No.1); </w:t>
      </w:r>
      <w:r>
        <w:rPr>
          <w:rFonts w:ascii="Arial" w:hAnsi="Arial" w:cs="Arial"/>
          <w:lang w:val="es-CO"/>
        </w:rPr>
        <w:t xml:space="preserve">posteriormente, con auto del </w:t>
      </w:r>
      <w:r w:rsidR="00EB681D">
        <w:rPr>
          <w:rFonts w:ascii="Arial" w:hAnsi="Arial" w:cs="Arial"/>
          <w:lang w:val="es-CO"/>
        </w:rPr>
        <w:t>13-06-2016</w:t>
      </w:r>
      <w:r>
        <w:rPr>
          <w:rFonts w:ascii="Arial" w:hAnsi="Arial" w:cs="Arial"/>
          <w:lang w:val="es-CO"/>
        </w:rPr>
        <w:t xml:space="preserve"> ajustó el fallo en cuanto a la </w:t>
      </w:r>
      <w:r>
        <w:rPr>
          <w:rFonts w:ascii="Arial" w:hAnsi="Arial" w:cs="Arial"/>
          <w:lang w:val="es-CO"/>
        </w:rPr>
        <w:lastRenderedPageBreak/>
        <w:t xml:space="preserve">persona que desempeña el cargo de Director de la UARIV (Folio </w:t>
      </w:r>
      <w:r w:rsidR="00EB681D">
        <w:rPr>
          <w:rFonts w:ascii="Arial" w:hAnsi="Arial" w:cs="Arial"/>
          <w:lang w:val="es-CO"/>
        </w:rPr>
        <w:t>18</w:t>
      </w:r>
      <w:r>
        <w:rPr>
          <w:rFonts w:ascii="Arial" w:hAnsi="Arial" w:cs="Arial"/>
          <w:lang w:val="es-CO"/>
        </w:rPr>
        <w:t xml:space="preserve">, </w:t>
      </w:r>
      <w:r w:rsidR="00EB681D">
        <w:rPr>
          <w:rFonts w:ascii="Arial" w:hAnsi="Arial" w:cs="Arial"/>
          <w:lang w:val="es-CO"/>
        </w:rPr>
        <w:t>ibídem</w:t>
      </w:r>
      <w:r>
        <w:rPr>
          <w:rFonts w:ascii="Arial" w:hAnsi="Arial" w:cs="Arial"/>
          <w:lang w:val="es-CO"/>
        </w:rPr>
        <w:t xml:space="preserve">); </w:t>
      </w:r>
      <w:r w:rsidR="00EB681D">
        <w:rPr>
          <w:rFonts w:ascii="Arial" w:hAnsi="Arial" w:cs="Arial"/>
          <w:lang w:val="es-CO"/>
        </w:rPr>
        <w:t>luego</w:t>
      </w:r>
      <w:r>
        <w:rPr>
          <w:rFonts w:ascii="Arial" w:hAnsi="Arial" w:cs="Arial"/>
          <w:lang w:val="es-CO"/>
        </w:rPr>
        <w:t xml:space="preserve">, </w:t>
      </w:r>
      <w:r w:rsidR="00EB681D">
        <w:rPr>
          <w:rFonts w:ascii="Arial" w:hAnsi="Arial" w:cs="Arial"/>
          <w:lang w:val="es-CO"/>
        </w:rPr>
        <w:t xml:space="preserve">con sendos proveídos del 08-07-2016 y 11-07-2016 nuevamente </w:t>
      </w:r>
      <w:r>
        <w:rPr>
          <w:rFonts w:ascii="Arial" w:hAnsi="Arial" w:cs="Arial"/>
          <w:lang w:val="es-CO"/>
        </w:rPr>
        <w:t xml:space="preserve">dio apertura al incidente de desacato (Folios </w:t>
      </w:r>
      <w:r w:rsidR="00EB681D">
        <w:rPr>
          <w:rFonts w:ascii="Arial" w:hAnsi="Arial" w:cs="Arial"/>
          <w:lang w:val="es-CO"/>
        </w:rPr>
        <w:t>20 a 21 y 26 a 27</w:t>
      </w:r>
      <w:r>
        <w:rPr>
          <w:rFonts w:ascii="Arial" w:hAnsi="Arial" w:cs="Arial"/>
          <w:lang w:val="es-CO"/>
        </w:rPr>
        <w:t xml:space="preserve">, ibídem) . Y finalmente, con auto del </w:t>
      </w:r>
      <w:r w:rsidR="00EB681D">
        <w:rPr>
          <w:rFonts w:ascii="Arial" w:hAnsi="Arial" w:cs="Arial"/>
          <w:lang w:val="es-CO"/>
        </w:rPr>
        <w:t>27</w:t>
      </w:r>
      <w:r>
        <w:rPr>
          <w:rFonts w:ascii="Arial" w:hAnsi="Arial" w:cs="Arial"/>
          <w:lang w:val="es-CO"/>
        </w:rPr>
        <w:t xml:space="preserve">-07-2016 los sancionó </w:t>
      </w:r>
      <w:r w:rsidRPr="00771AD1">
        <w:rPr>
          <w:rFonts w:ascii="Arial" w:hAnsi="Arial" w:cs="Arial"/>
          <w:lang w:val="es-CO"/>
        </w:rPr>
        <w:t>con multa y arresto</w:t>
      </w:r>
      <w:r>
        <w:rPr>
          <w:rFonts w:ascii="Arial" w:hAnsi="Arial" w:cs="Arial"/>
          <w:lang w:val="es-CO"/>
        </w:rPr>
        <w:t xml:space="preserve"> </w:t>
      </w:r>
      <w:r w:rsidRPr="00771AD1">
        <w:rPr>
          <w:rFonts w:ascii="Arial" w:hAnsi="Arial" w:cs="Arial"/>
          <w:lang w:val="es-CO"/>
        </w:rPr>
        <w:t>(Folio</w:t>
      </w:r>
      <w:r>
        <w:rPr>
          <w:rFonts w:ascii="Arial" w:hAnsi="Arial" w:cs="Arial"/>
          <w:lang w:val="es-CO"/>
        </w:rPr>
        <w:t xml:space="preserve">s 33 a </w:t>
      </w:r>
      <w:r w:rsidR="00A0418E">
        <w:rPr>
          <w:rFonts w:ascii="Arial" w:hAnsi="Arial" w:cs="Arial"/>
          <w:lang w:val="es-CO"/>
        </w:rPr>
        <w:t>35</w:t>
      </w:r>
      <w:r>
        <w:rPr>
          <w:rFonts w:ascii="Arial" w:hAnsi="Arial" w:cs="Arial"/>
          <w:lang w:val="es-CO"/>
        </w:rPr>
        <w:t>,</w:t>
      </w:r>
      <w:r w:rsidRPr="00771AD1">
        <w:rPr>
          <w:rFonts w:ascii="Arial" w:hAnsi="Arial" w:cs="Arial"/>
          <w:lang w:val="es-CO"/>
        </w:rPr>
        <w:t xml:space="preserve"> </w:t>
      </w:r>
      <w:r>
        <w:rPr>
          <w:rFonts w:ascii="Arial" w:hAnsi="Arial" w:cs="Arial"/>
        </w:rPr>
        <w:t>ibídem</w:t>
      </w:r>
      <w:r w:rsidRPr="00771AD1">
        <w:rPr>
          <w:rFonts w:ascii="Arial" w:hAnsi="Arial" w:cs="Arial"/>
          <w:lang w:val="es-CO"/>
        </w:rPr>
        <w:t>).</w:t>
      </w:r>
    </w:p>
    <w:p w:rsidR="00130590" w:rsidRDefault="00130590" w:rsidP="00130590">
      <w:pPr>
        <w:pStyle w:val="Prrafodelista"/>
        <w:spacing w:line="360" w:lineRule="auto"/>
        <w:ind w:left="360"/>
        <w:jc w:val="both"/>
        <w:rPr>
          <w:rFonts w:ascii="Arial" w:hAnsi="Arial" w:cs="Arial"/>
          <w:sz w:val="24"/>
          <w:szCs w:val="24"/>
          <w:lang w:val="es-MX"/>
        </w:rPr>
      </w:pPr>
    </w:p>
    <w:p w:rsidR="00C97F75" w:rsidRPr="00771AD1" w:rsidRDefault="00C97F75" w:rsidP="00C97F75">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C97F75" w:rsidRPr="00A8135B" w:rsidRDefault="00C97F75" w:rsidP="00C97F75">
      <w:pPr>
        <w:pStyle w:val="Puesto"/>
        <w:spacing w:line="360" w:lineRule="auto"/>
        <w:jc w:val="left"/>
        <w:rPr>
          <w:b w:val="0"/>
          <w:bCs w:val="0"/>
          <w:i w:val="0"/>
          <w:iCs w:val="0"/>
          <w:spacing w:val="-3"/>
          <w:lang w:val="es-ES_tradnl"/>
        </w:rPr>
      </w:pPr>
    </w:p>
    <w:p w:rsidR="00C97F75" w:rsidRDefault="00C97F75" w:rsidP="00C97F75">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La competencia funcional</w:t>
      </w:r>
    </w:p>
    <w:p w:rsidR="00297A63" w:rsidRDefault="00297A63" w:rsidP="00C97F75">
      <w:pPr>
        <w:spacing w:line="360" w:lineRule="auto"/>
        <w:jc w:val="both"/>
        <w:rPr>
          <w:rFonts w:ascii="Arial" w:hAnsi="Arial" w:cs="Arial"/>
          <w:sz w:val="24"/>
          <w:szCs w:val="24"/>
          <w:lang w:val="es-MX"/>
        </w:rPr>
      </w:pPr>
    </w:p>
    <w:p w:rsidR="00297A63" w:rsidRDefault="00C97F75" w:rsidP="00C97F75">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Pr>
          <w:rFonts w:ascii="Arial" w:hAnsi="Arial" w:cs="Arial"/>
          <w:sz w:val="24"/>
          <w:szCs w:val="24"/>
          <w:lang w:val="es-MX"/>
        </w:rPr>
        <w:t xml:space="preserve">Sala especializada </w:t>
      </w:r>
      <w:r w:rsidRPr="00771AD1">
        <w:rPr>
          <w:rFonts w:ascii="Arial" w:hAnsi="Arial" w:cs="Arial"/>
          <w:sz w:val="24"/>
          <w:szCs w:val="24"/>
          <w:lang w:val="es-MX"/>
        </w:rPr>
        <w:t xml:space="preserve">está facultada para revisar la decisión sancionatoria tomada por </w:t>
      </w:r>
    </w:p>
    <w:p w:rsidR="00C97F75" w:rsidRDefault="00C97F75" w:rsidP="00C97F75">
      <w:pPr>
        <w:spacing w:line="360" w:lineRule="auto"/>
        <w:jc w:val="both"/>
        <w:rPr>
          <w:rFonts w:ascii="Arial" w:hAnsi="Arial" w:cs="Arial"/>
          <w:sz w:val="24"/>
          <w:szCs w:val="24"/>
          <w:lang w:val="es-MX"/>
        </w:rPr>
      </w:pPr>
      <w:proofErr w:type="gramStart"/>
      <w:r w:rsidRPr="00771AD1">
        <w:rPr>
          <w:rFonts w:ascii="Arial" w:hAnsi="Arial" w:cs="Arial"/>
          <w:sz w:val="24"/>
          <w:szCs w:val="24"/>
          <w:lang w:val="es-MX"/>
        </w:rPr>
        <w:t>el</w:t>
      </w:r>
      <w:proofErr w:type="gramEnd"/>
      <w:r w:rsidRPr="00771AD1">
        <w:rPr>
          <w:rFonts w:ascii="Arial" w:hAnsi="Arial" w:cs="Arial"/>
          <w:sz w:val="24"/>
          <w:szCs w:val="24"/>
          <w:lang w:val="es-MX"/>
        </w:rPr>
        <w:t xml:space="preserve"> Juzgado</w:t>
      </w:r>
      <w:r>
        <w:rPr>
          <w:rFonts w:ascii="Arial" w:hAnsi="Arial" w:cs="Arial"/>
          <w:sz w:val="24"/>
          <w:szCs w:val="24"/>
          <w:lang w:val="es-MX"/>
        </w:rPr>
        <w:t xml:space="preserve"> Cuarto Civil del Circuito de Pereira,</w:t>
      </w:r>
      <w:r w:rsidRPr="00771AD1">
        <w:rPr>
          <w:rFonts w:ascii="Arial" w:hAnsi="Arial" w:cs="Arial"/>
          <w:sz w:val="24"/>
          <w:szCs w:val="24"/>
          <w:lang w:val="es-MX"/>
        </w:rPr>
        <w:t xml:space="preserve"> al tener la condición de superior</w:t>
      </w:r>
      <w:r>
        <w:rPr>
          <w:rFonts w:ascii="Arial" w:hAnsi="Arial" w:cs="Arial"/>
          <w:sz w:val="24"/>
          <w:szCs w:val="24"/>
          <w:lang w:val="es-MX"/>
        </w:rPr>
        <w:t>a jerárquica de tal Despacho (A</w:t>
      </w:r>
      <w:r w:rsidRPr="00771AD1">
        <w:rPr>
          <w:rFonts w:ascii="Arial" w:hAnsi="Arial" w:cs="Arial"/>
          <w:sz w:val="24"/>
          <w:szCs w:val="24"/>
          <w:lang w:val="es-MX"/>
        </w:rPr>
        <w:t>rtículo 52</w:t>
      </w:r>
      <w:r>
        <w:rPr>
          <w:rFonts w:ascii="Arial" w:hAnsi="Arial" w:cs="Arial"/>
          <w:sz w:val="24"/>
          <w:szCs w:val="24"/>
          <w:lang w:val="es-MX"/>
        </w:rPr>
        <w:t>,</w:t>
      </w:r>
      <w:r w:rsidRPr="00771AD1">
        <w:rPr>
          <w:rFonts w:ascii="Arial" w:hAnsi="Arial" w:cs="Arial"/>
          <w:sz w:val="24"/>
          <w:szCs w:val="24"/>
          <w:lang w:val="es-MX"/>
        </w:rPr>
        <w:t xml:space="preserve"> Decreto 2591 de 1991</w:t>
      </w:r>
      <w:r>
        <w:rPr>
          <w:rFonts w:ascii="Arial" w:hAnsi="Arial" w:cs="Arial"/>
          <w:sz w:val="24"/>
          <w:szCs w:val="24"/>
          <w:lang w:val="es-MX"/>
        </w:rPr>
        <w:t xml:space="preserve">); no obstante lo anterior, se precisa advertir, conforme lo reglado en el inciso 1º del artículo 35 del CGP, que la consulta se realizará en Sala Unitaria de la Corporación, puesto que la aludida providencia no se halla dentro de los proveídos que taxativamente identifica la norma como los que deben desatarse en Sala de Decisión. </w:t>
      </w:r>
    </w:p>
    <w:p w:rsidR="00C97F75" w:rsidRDefault="00C97F75" w:rsidP="00C97F75">
      <w:pPr>
        <w:spacing w:line="360" w:lineRule="auto"/>
        <w:jc w:val="both"/>
        <w:rPr>
          <w:rFonts w:ascii="Arial" w:hAnsi="Arial" w:cs="Arial"/>
          <w:sz w:val="24"/>
          <w:szCs w:val="24"/>
          <w:lang w:val="es-MX"/>
        </w:rPr>
      </w:pPr>
    </w:p>
    <w:p w:rsidR="00C97F75" w:rsidRDefault="00C97F75" w:rsidP="00C97F75">
      <w:pPr>
        <w:spacing w:line="360" w:lineRule="auto"/>
        <w:jc w:val="both"/>
        <w:rPr>
          <w:rFonts w:ascii="Arial" w:hAnsi="Arial" w:cs="Arial"/>
          <w:sz w:val="24"/>
          <w:szCs w:val="24"/>
          <w:lang w:val="es-MX"/>
        </w:rPr>
      </w:pPr>
      <w:r>
        <w:rPr>
          <w:rFonts w:ascii="Arial" w:hAnsi="Arial" w:cs="Arial"/>
          <w:sz w:val="24"/>
          <w:szCs w:val="24"/>
          <w:lang w:val="es-MX"/>
        </w:rPr>
        <w:t>Así entonces, se cambia el criterio sostenido en los distintos autos proferidos en sede de consulta, especialmente por la Sala que preside esta magistratura.</w:t>
      </w:r>
    </w:p>
    <w:p w:rsidR="00C97F75" w:rsidRPr="005C0F90" w:rsidRDefault="00C97F75" w:rsidP="00C97F75">
      <w:pPr>
        <w:spacing w:line="360" w:lineRule="auto"/>
        <w:jc w:val="both"/>
        <w:rPr>
          <w:rFonts w:ascii="Arial" w:hAnsi="Arial" w:cs="Arial"/>
          <w:smallCaps/>
          <w:lang w:val="es-CO"/>
        </w:rPr>
      </w:pPr>
      <w:r>
        <w:rPr>
          <w:rFonts w:ascii="Arial" w:hAnsi="Arial" w:cs="Arial"/>
          <w:sz w:val="24"/>
          <w:szCs w:val="24"/>
          <w:lang w:val="es-MX"/>
        </w:rPr>
        <w:t xml:space="preserve"> </w:t>
      </w:r>
    </w:p>
    <w:p w:rsidR="00C97F75" w:rsidRPr="005B1F83" w:rsidRDefault="00C97F75" w:rsidP="00C97F75">
      <w:pPr>
        <w:pStyle w:val="Prrafodelista"/>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C97F75" w:rsidRPr="00A8135B" w:rsidRDefault="00C97F75" w:rsidP="00C97F75">
      <w:pPr>
        <w:pStyle w:val="Puesto"/>
        <w:spacing w:line="360" w:lineRule="auto"/>
        <w:jc w:val="left"/>
        <w:rPr>
          <w:b w:val="0"/>
          <w:bCs w:val="0"/>
          <w:i w:val="0"/>
          <w:iCs w:val="0"/>
          <w:spacing w:val="-3"/>
          <w:lang w:val="es-ES_tradnl"/>
        </w:rPr>
      </w:pPr>
    </w:p>
    <w:p w:rsidR="00C97F75" w:rsidRPr="00771AD1" w:rsidRDefault="00C97F75" w:rsidP="00C97F75">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A0418E">
        <w:rPr>
          <w:rFonts w:ascii="Arial" w:hAnsi="Arial" w:cs="Arial"/>
        </w:rPr>
        <w:t>27</w:t>
      </w:r>
      <w:r>
        <w:rPr>
          <w:rFonts w:ascii="Arial" w:hAnsi="Arial" w:cs="Arial"/>
        </w:rPr>
        <w:t xml:space="preserve">-07-2016 </w:t>
      </w:r>
      <w:r w:rsidRPr="00B53D5F">
        <w:rPr>
          <w:rFonts w:ascii="Arial" w:hAnsi="Arial" w:cs="Arial"/>
        </w:rPr>
        <w:t>mediante la cual se impuso</w:t>
      </w:r>
      <w:r>
        <w:rPr>
          <w:rFonts w:ascii="Arial" w:hAnsi="Arial" w:cs="Arial"/>
        </w:rPr>
        <w:t xml:space="preserve"> sanción de arresto y multa a los doctores Ramón Alberto Rodríguez Andrade, </w:t>
      </w:r>
      <w:r w:rsidR="00A0418E">
        <w:rPr>
          <w:rFonts w:ascii="Arial" w:hAnsi="Arial" w:cs="Arial"/>
        </w:rPr>
        <w:t>María</w:t>
      </w:r>
      <w:r>
        <w:rPr>
          <w:rFonts w:ascii="Arial" w:hAnsi="Arial" w:cs="Arial"/>
        </w:rPr>
        <w:t xml:space="preserve"> Eugenia Morales Castro y Alan </w:t>
      </w:r>
      <w:r w:rsidR="00A0418E">
        <w:rPr>
          <w:rFonts w:ascii="Arial" w:hAnsi="Arial" w:cs="Arial"/>
        </w:rPr>
        <w:t>Jesús</w:t>
      </w:r>
      <w:r>
        <w:rPr>
          <w:rFonts w:ascii="Arial" w:hAnsi="Arial" w:cs="Arial"/>
        </w:rPr>
        <w:t xml:space="preserve"> Edmundo Jara </w:t>
      </w:r>
      <w:proofErr w:type="spellStart"/>
      <w:r>
        <w:rPr>
          <w:rFonts w:ascii="Arial" w:hAnsi="Arial" w:cs="Arial"/>
        </w:rPr>
        <w:t>Urzola</w:t>
      </w:r>
      <w:proofErr w:type="spellEnd"/>
      <w:r w:rsidRPr="00B53D5F">
        <w:rPr>
          <w:rFonts w:ascii="Arial" w:hAnsi="Arial" w:cs="Arial"/>
          <w:lang w:val="es-CO"/>
        </w:rPr>
        <w:t>, en su</w:t>
      </w:r>
      <w:r>
        <w:rPr>
          <w:rFonts w:ascii="Arial" w:hAnsi="Arial" w:cs="Arial"/>
          <w:lang w:val="es-CO"/>
        </w:rPr>
        <w:t>s</w:t>
      </w:r>
      <w:r w:rsidRPr="00B53D5F">
        <w:rPr>
          <w:rFonts w:ascii="Arial" w:hAnsi="Arial" w:cs="Arial"/>
          <w:lang w:val="es-CO"/>
        </w:rPr>
        <w:t xml:space="preserve"> calidad</w:t>
      </w:r>
      <w:r>
        <w:rPr>
          <w:rFonts w:ascii="Arial" w:hAnsi="Arial" w:cs="Arial"/>
          <w:lang w:val="es-CO"/>
        </w:rPr>
        <w:t>es</w:t>
      </w:r>
      <w:r w:rsidRPr="00B53D5F">
        <w:rPr>
          <w:rFonts w:ascii="Arial" w:hAnsi="Arial" w:cs="Arial"/>
          <w:lang w:val="es-CO"/>
        </w:rPr>
        <w:t xml:space="preserve"> de </w:t>
      </w:r>
      <w:r>
        <w:rPr>
          <w:rFonts w:ascii="Arial" w:hAnsi="Arial" w:cs="Arial"/>
          <w:lang w:val="es-CO"/>
        </w:rPr>
        <w:t>Director de Gestión Social y Humanitaria, Directora de Reparación, y, Director de la UARIV</w:t>
      </w:r>
      <w:r w:rsidRPr="00B53D5F">
        <w:rPr>
          <w:rFonts w:ascii="Arial" w:hAnsi="Arial" w:cs="Arial"/>
          <w:lang w:val="es-CO"/>
        </w:rPr>
        <w:t xml:space="preserve">, </w:t>
      </w:r>
      <w:r>
        <w:rPr>
          <w:rFonts w:ascii="Arial" w:hAnsi="Arial" w:cs="Arial"/>
          <w:lang w:val="es-CO"/>
        </w:rPr>
        <w:t xml:space="preserve">respectivamente, </w:t>
      </w:r>
      <w:r w:rsidRPr="00B53D5F">
        <w:rPr>
          <w:rFonts w:ascii="Arial" w:hAnsi="Arial" w:cs="Arial"/>
          <w:lang w:val="es-CO"/>
        </w:rPr>
        <w:t>con ocasión d</w:t>
      </w:r>
      <w:r w:rsidRPr="00B53D5F">
        <w:rPr>
          <w:rFonts w:ascii="Arial" w:hAnsi="Arial" w:cs="Arial"/>
        </w:rPr>
        <w:t xml:space="preserve">el trámite de desacato adelantado ante el Juzgado </w:t>
      </w:r>
      <w:r>
        <w:rPr>
          <w:rFonts w:ascii="Arial" w:hAnsi="Arial" w:cs="Arial"/>
        </w:rPr>
        <w:t>de conocimiento</w:t>
      </w:r>
      <w:r w:rsidRPr="00B53D5F">
        <w:rPr>
          <w:rFonts w:ascii="Arial" w:hAnsi="Arial" w:cs="Arial"/>
        </w:rPr>
        <w:t>?</w:t>
      </w:r>
    </w:p>
    <w:p w:rsidR="00C97F75" w:rsidRPr="00F15FB6" w:rsidRDefault="00C97F75" w:rsidP="00C97F75">
      <w:pPr>
        <w:spacing w:line="360" w:lineRule="auto"/>
        <w:jc w:val="both"/>
        <w:rPr>
          <w:rFonts w:ascii="Arial" w:hAnsi="Arial" w:cs="Arial"/>
          <w:sz w:val="24"/>
          <w:szCs w:val="24"/>
          <w:lang w:val="es-CO"/>
        </w:rPr>
      </w:pPr>
    </w:p>
    <w:p w:rsidR="00C97F75" w:rsidRPr="00B3550C" w:rsidRDefault="00C97F75" w:rsidP="00C97F75">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6A1FE4" w:rsidRPr="00A431E6" w:rsidRDefault="006A1FE4" w:rsidP="005B0851">
      <w:pPr>
        <w:pStyle w:val="Puesto"/>
        <w:spacing w:line="360" w:lineRule="auto"/>
        <w:jc w:val="left"/>
        <w:rPr>
          <w:b w:val="0"/>
          <w:bCs w:val="0"/>
          <w:i w:val="0"/>
          <w:iCs w:val="0"/>
          <w:spacing w:val="-3"/>
          <w:szCs w:val="22"/>
          <w:lang w:val="es-ES_tradnl"/>
        </w:rPr>
      </w:pPr>
    </w:p>
    <w:p w:rsidR="00C97F75" w:rsidRPr="00B3550C" w:rsidRDefault="00C97F75" w:rsidP="00C97F75">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C97F75" w:rsidRPr="00C76709" w:rsidRDefault="00C97F75" w:rsidP="00C97F75">
      <w:pPr>
        <w:pStyle w:val="Puesto"/>
        <w:spacing w:line="360" w:lineRule="auto"/>
        <w:jc w:val="left"/>
        <w:rPr>
          <w:b w:val="0"/>
          <w:bCs w:val="0"/>
          <w:i w:val="0"/>
          <w:iCs w:val="0"/>
          <w:spacing w:val="-3"/>
          <w:lang w:val="es-ES_tradnl"/>
        </w:rPr>
      </w:pPr>
    </w:p>
    <w:p w:rsidR="00C97F75" w:rsidRPr="00B3550C" w:rsidRDefault="00C97F75" w:rsidP="00C97F75">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C97F75" w:rsidRPr="00144369" w:rsidRDefault="00C97F75" w:rsidP="00C97F75">
      <w:pPr>
        <w:spacing w:line="360" w:lineRule="auto"/>
        <w:ind w:left="567"/>
        <w:jc w:val="both"/>
        <w:rPr>
          <w:rFonts w:ascii="Arial" w:hAnsi="Arial" w:cs="Arial"/>
          <w:sz w:val="24"/>
          <w:szCs w:val="22"/>
          <w:lang w:val="es-CO"/>
        </w:rPr>
      </w:pPr>
    </w:p>
    <w:p w:rsidR="00C97F75" w:rsidRPr="00B3550C" w:rsidRDefault="00C97F75" w:rsidP="00C97F75">
      <w:pPr>
        <w:ind w:left="567" w:right="567"/>
        <w:jc w:val="both"/>
        <w:rPr>
          <w:rFonts w:ascii="Arial" w:hAnsi="Arial" w:cs="Arial"/>
          <w:sz w:val="24"/>
          <w:szCs w:val="24"/>
          <w:lang w:val="es-CO"/>
        </w:rPr>
      </w:pPr>
      <w:r w:rsidRPr="00B3550C">
        <w:rPr>
          <w:rFonts w:ascii="Arial" w:hAnsi="Arial" w:cs="Arial"/>
          <w:sz w:val="24"/>
          <w:szCs w:val="24"/>
          <w:lang w:val="es-CO"/>
        </w:rPr>
        <w:lastRenderedPageBreak/>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C97F75" w:rsidRPr="00C26D2E" w:rsidRDefault="00C97F75" w:rsidP="00C97F75">
      <w:pPr>
        <w:spacing w:line="360" w:lineRule="auto"/>
        <w:ind w:left="567"/>
        <w:jc w:val="both"/>
        <w:rPr>
          <w:rFonts w:ascii="Arial" w:hAnsi="Arial" w:cs="Arial"/>
          <w:sz w:val="24"/>
          <w:szCs w:val="22"/>
          <w:lang w:val="es-CO"/>
        </w:rPr>
      </w:pPr>
    </w:p>
    <w:p w:rsidR="00C97F75" w:rsidRPr="00B3550C" w:rsidRDefault="00C97F75" w:rsidP="00C97F75">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C97F75" w:rsidRPr="00021D4B" w:rsidRDefault="00C97F75" w:rsidP="00C97F75">
      <w:pPr>
        <w:tabs>
          <w:tab w:val="left" w:pos="-720"/>
        </w:tabs>
        <w:suppressAutoHyphens/>
        <w:spacing w:line="360" w:lineRule="auto"/>
        <w:jc w:val="both"/>
        <w:rPr>
          <w:rFonts w:ascii="Arial" w:hAnsi="Arial" w:cs="Arial"/>
          <w:spacing w:val="-3"/>
          <w:sz w:val="22"/>
          <w:szCs w:val="24"/>
          <w:lang w:val="es-CO"/>
        </w:rPr>
      </w:pPr>
    </w:p>
    <w:p w:rsidR="00C97F75" w:rsidRDefault="00C97F75" w:rsidP="00C97F75">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C97F75" w:rsidRPr="00B3550C" w:rsidRDefault="00C97F75" w:rsidP="00C97F75">
      <w:pPr>
        <w:tabs>
          <w:tab w:val="left" w:pos="-720"/>
        </w:tabs>
        <w:suppressAutoHyphens/>
        <w:spacing w:line="360" w:lineRule="auto"/>
        <w:jc w:val="both"/>
        <w:rPr>
          <w:rFonts w:ascii="Arial" w:hAnsi="Arial" w:cs="Arial"/>
          <w:spacing w:val="-3"/>
          <w:sz w:val="24"/>
          <w:szCs w:val="24"/>
          <w:lang w:val="es-CO"/>
        </w:rPr>
      </w:pPr>
    </w:p>
    <w:p w:rsidR="00C97F75" w:rsidRPr="00B3550C" w:rsidRDefault="00C97F75" w:rsidP="00C97F75">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C97F75" w:rsidRPr="00021D4B" w:rsidRDefault="00C97F75" w:rsidP="00C97F75">
      <w:pPr>
        <w:ind w:left="567" w:right="567"/>
        <w:jc w:val="both"/>
        <w:rPr>
          <w:rFonts w:ascii="Arial" w:hAnsi="Arial" w:cs="Arial"/>
          <w:szCs w:val="22"/>
          <w:lang w:val="es-CO"/>
        </w:rPr>
      </w:pPr>
    </w:p>
    <w:p w:rsidR="00C97F75" w:rsidRPr="00B3550C" w:rsidRDefault="00C97F75" w:rsidP="00C97F75">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C97F75" w:rsidRPr="00021D4B" w:rsidRDefault="00C97F75" w:rsidP="00C97F75">
      <w:pPr>
        <w:ind w:left="567" w:right="567"/>
        <w:jc w:val="both"/>
        <w:rPr>
          <w:rFonts w:ascii="Arial" w:hAnsi="Arial" w:cs="Arial"/>
          <w:szCs w:val="24"/>
          <w:lang w:val="es-CO"/>
        </w:rPr>
      </w:pPr>
    </w:p>
    <w:p w:rsidR="00C97F75" w:rsidRPr="00B3550C" w:rsidRDefault="00C97F75" w:rsidP="00C97F75">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C97F75" w:rsidRPr="00021D4B" w:rsidRDefault="00C97F75" w:rsidP="00C97F75">
      <w:pPr>
        <w:ind w:left="567" w:right="567"/>
        <w:jc w:val="both"/>
        <w:rPr>
          <w:rFonts w:ascii="Arial" w:hAnsi="Arial" w:cs="Arial"/>
          <w:szCs w:val="22"/>
          <w:lang w:val="es-CO"/>
        </w:rPr>
      </w:pPr>
    </w:p>
    <w:p w:rsidR="00C97F75" w:rsidRPr="00B3550C" w:rsidRDefault="00C97F75" w:rsidP="00C97F75">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 xml:space="preserve">la existencia o la iniciación del incidente de desacato no excusa al juez de tutela de su obligación primordial del juez constitucional cual es la de hacer cumplir integralmente la orden judicial </w:t>
      </w:r>
      <w:r w:rsidRPr="00B3550C">
        <w:rPr>
          <w:rFonts w:ascii="Arial" w:hAnsi="Arial" w:cs="Arial"/>
          <w:smallCaps/>
          <w:sz w:val="24"/>
          <w:szCs w:val="24"/>
          <w:lang w:val="es-CO"/>
        </w:rPr>
        <w:lastRenderedPageBreak/>
        <w:t>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C97F75" w:rsidRPr="00021D4B" w:rsidRDefault="00C97F75" w:rsidP="00C97F75">
      <w:pPr>
        <w:tabs>
          <w:tab w:val="left" w:pos="426"/>
        </w:tabs>
        <w:ind w:left="567" w:right="567"/>
        <w:jc w:val="both"/>
        <w:rPr>
          <w:rFonts w:ascii="Arial" w:hAnsi="Arial" w:cs="Arial"/>
          <w:szCs w:val="22"/>
          <w:lang w:val="es-CO"/>
        </w:rPr>
      </w:pPr>
    </w:p>
    <w:p w:rsidR="00C97F75" w:rsidRPr="00B3550C" w:rsidRDefault="00C97F75" w:rsidP="00C97F75">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A0418E" w:rsidRDefault="00A0418E" w:rsidP="00C97F75">
      <w:pPr>
        <w:pStyle w:val="Sangradetextonormal"/>
        <w:spacing w:after="0" w:line="360" w:lineRule="auto"/>
        <w:ind w:left="0"/>
        <w:jc w:val="both"/>
        <w:rPr>
          <w:spacing w:val="-3"/>
          <w:lang w:val="es-CO"/>
        </w:rPr>
      </w:pPr>
    </w:p>
    <w:p w:rsidR="00A0418E" w:rsidRDefault="00C97F75" w:rsidP="00C97F75">
      <w:pPr>
        <w:pStyle w:val="Sangradetextonormal"/>
        <w:spacing w:after="0" w:line="360" w:lineRule="auto"/>
        <w:ind w:left="0"/>
        <w:jc w:val="both"/>
        <w:rPr>
          <w:spacing w:val="-3"/>
          <w:lang w:val="es-CO"/>
        </w:rPr>
      </w:pPr>
      <w:r w:rsidRPr="00B03DCB">
        <w:rPr>
          <w:spacing w:val="-3"/>
          <w:lang w:val="es-CO"/>
        </w:rPr>
        <w:t xml:space="preserve">La jurisprudencia </w:t>
      </w:r>
      <w:r w:rsidR="00A0418E">
        <w:rPr>
          <w:spacing w:val="-3"/>
          <w:lang w:val="es-CO"/>
        </w:rPr>
        <w:t xml:space="preserve"> </w:t>
      </w:r>
      <w:r w:rsidRPr="00B03DCB">
        <w:rPr>
          <w:spacing w:val="-3"/>
          <w:lang w:val="es-CO"/>
        </w:rPr>
        <w:t>de la</w:t>
      </w:r>
      <w:r w:rsidR="00A0418E">
        <w:rPr>
          <w:spacing w:val="-3"/>
          <w:lang w:val="es-CO"/>
        </w:rPr>
        <w:t xml:space="preserve"> </w:t>
      </w:r>
      <w:r w:rsidRPr="00B03DCB">
        <w:rPr>
          <w:spacing w:val="-3"/>
          <w:lang w:val="es-CO"/>
        </w:rPr>
        <w:t xml:space="preserve"> Corte Suprema de Justicia</w:t>
      </w:r>
      <w:r w:rsidRPr="00B03DCB">
        <w:rPr>
          <w:rStyle w:val="Refdenotaalpie"/>
          <w:rFonts w:cs="Arial"/>
          <w:spacing w:val="-3"/>
          <w:lang w:val="es-CO"/>
        </w:rPr>
        <w:footnoteReference w:id="11"/>
      </w:r>
      <w:r w:rsidRPr="00B03DCB">
        <w:rPr>
          <w:spacing w:val="-3"/>
          <w:lang w:val="es-CO"/>
        </w:rPr>
        <w:t xml:space="preserve">, Sala </w:t>
      </w:r>
      <w:r w:rsidR="00A0418E">
        <w:rPr>
          <w:spacing w:val="-3"/>
          <w:lang w:val="es-CO"/>
        </w:rPr>
        <w:t xml:space="preserve"> </w:t>
      </w:r>
      <w:r w:rsidRPr="00B03DCB">
        <w:rPr>
          <w:spacing w:val="-3"/>
          <w:lang w:val="es-CO"/>
        </w:rPr>
        <w:t xml:space="preserve">de </w:t>
      </w:r>
      <w:r w:rsidR="00A0418E">
        <w:rPr>
          <w:spacing w:val="-3"/>
          <w:lang w:val="es-CO"/>
        </w:rPr>
        <w:t xml:space="preserve"> </w:t>
      </w:r>
      <w:r w:rsidRPr="00B03DCB">
        <w:rPr>
          <w:spacing w:val="-3"/>
          <w:lang w:val="es-CO"/>
        </w:rPr>
        <w:t xml:space="preserve">Casación Civil, en reiteradas </w:t>
      </w:r>
    </w:p>
    <w:p w:rsidR="00C97F75" w:rsidRPr="00B03DCB" w:rsidRDefault="00C97F75" w:rsidP="00C97F75">
      <w:pPr>
        <w:pStyle w:val="Sangradetextonormal"/>
        <w:spacing w:after="0" w:line="360" w:lineRule="auto"/>
        <w:ind w:left="0"/>
        <w:jc w:val="both"/>
        <w:rPr>
          <w:iCs/>
          <w:lang w:val="es-MX"/>
        </w:rPr>
      </w:pPr>
      <w:r w:rsidRPr="00B03DCB">
        <w:rPr>
          <w:spacing w:val="-3"/>
          <w:lang w:val="es-CO"/>
        </w:rPr>
        <w:t xml:space="preserve">y recientes (2016) decisiones que acogen el criterio de la Corte Constitucional,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C97F75" w:rsidRDefault="00C97F75" w:rsidP="00C97F75">
      <w:pPr>
        <w:pStyle w:val="Sangradetextonormal"/>
        <w:spacing w:after="0" w:line="360" w:lineRule="auto"/>
        <w:ind w:left="0"/>
        <w:jc w:val="both"/>
        <w:rPr>
          <w:sz w:val="20"/>
          <w:lang w:val="es-CO"/>
        </w:rPr>
      </w:pPr>
    </w:p>
    <w:p w:rsidR="00C97F75" w:rsidRDefault="00C97F75" w:rsidP="00C97F75">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3"/>
      </w:r>
      <w:r>
        <w:rPr>
          <w:iCs/>
          <w:lang w:val="es-CO"/>
        </w:rPr>
        <w:t xml:space="preserve">, el término para resolver un trámite incidental por desacato a fallo de tutela,  no debe superar los diez días,  contados desde su apertura; </w:t>
      </w:r>
    </w:p>
    <w:p w:rsidR="00C97F75" w:rsidRDefault="00C97F75" w:rsidP="00C97F75">
      <w:pPr>
        <w:pStyle w:val="Sangradetextonormal"/>
        <w:spacing w:after="0" w:line="360" w:lineRule="auto"/>
        <w:ind w:left="0"/>
        <w:jc w:val="both"/>
        <w:rPr>
          <w:iCs/>
          <w:lang w:val="es-CO"/>
        </w:rPr>
      </w:pPr>
      <w:proofErr w:type="gramStart"/>
      <w:r>
        <w:rPr>
          <w:iCs/>
          <w:lang w:val="es-CO"/>
        </w:rPr>
        <w:t>sin</w:t>
      </w:r>
      <w:proofErr w:type="gramEnd"/>
      <w:r>
        <w:rPr>
          <w:iCs/>
          <w:lang w:val="es-CO"/>
        </w:rPr>
        <w:t xml:space="preserve"> embargo, existen situaciones excepcionalísimas, que permiten desbordar aquel plazo: </w:t>
      </w:r>
    </w:p>
    <w:p w:rsidR="00C97F75" w:rsidRPr="002C59BC" w:rsidRDefault="00C97F75" w:rsidP="00C97F75">
      <w:pPr>
        <w:pStyle w:val="Sangradetextonormal"/>
        <w:spacing w:after="0" w:line="360" w:lineRule="auto"/>
        <w:ind w:left="0"/>
        <w:jc w:val="both"/>
        <w:rPr>
          <w:iCs/>
          <w:sz w:val="20"/>
          <w:lang w:val="es-CO"/>
        </w:rPr>
      </w:pPr>
    </w:p>
    <w:p w:rsidR="00C97F75" w:rsidRDefault="00C97F75" w:rsidP="00C97F75">
      <w:pPr>
        <w:pStyle w:val="Sangradetextonormal"/>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C97F75" w:rsidRPr="009F4AEF" w:rsidRDefault="00C97F75" w:rsidP="00C97F75">
      <w:pPr>
        <w:pStyle w:val="Sangradetextonormal"/>
        <w:spacing w:after="0"/>
        <w:ind w:left="567" w:rightChars="567" w:right="1134"/>
        <w:jc w:val="both"/>
        <w:rPr>
          <w:bCs/>
          <w:sz w:val="20"/>
        </w:rPr>
      </w:pPr>
    </w:p>
    <w:p w:rsidR="00C97F75" w:rsidRPr="002C59BC" w:rsidRDefault="00C97F75" w:rsidP="00C97F75">
      <w:pPr>
        <w:pStyle w:val="Sangradetextonormal"/>
        <w:spacing w:after="0"/>
        <w:ind w:left="0" w:rightChars="567" w:right="1134"/>
        <w:jc w:val="both"/>
        <w:rPr>
          <w:sz w:val="20"/>
          <w:lang w:val="es-CO"/>
        </w:rPr>
      </w:pPr>
    </w:p>
    <w:p w:rsidR="00C97F75" w:rsidRDefault="00C97F75" w:rsidP="00C97F75">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C97F75" w:rsidRDefault="00C97F75" w:rsidP="00C97F75">
      <w:pPr>
        <w:pStyle w:val="Sangradetextonormal"/>
        <w:spacing w:after="0" w:line="360" w:lineRule="auto"/>
        <w:ind w:left="0"/>
        <w:jc w:val="both"/>
        <w:rPr>
          <w:lang w:val="es-CO"/>
        </w:rPr>
      </w:pPr>
    </w:p>
    <w:p w:rsidR="00616B14" w:rsidRDefault="00D47725" w:rsidP="00616B14">
      <w:pPr>
        <w:pStyle w:val="Textoindependiente"/>
        <w:numPr>
          <w:ilvl w:val="1"/>
          <w:numId w:val="1"/>
        </w:numPr>
        <w:spacing w:line="360" w:lineRule="auto"/>
        <w:ind w:left="709" w:hanging="709"/>
        <w:rPr>
          <w:rFonts w:ascii="Arial" w:hAnsi="Arial" w:cs="Arial"/>
          <w:smallCaps/>
        </w:rPr>
      </w:pPr>
      <w:r>
        <w:rPr>
          <w:rFonts w:ascii="Arial" w:hAnsi="Arial" w:cs="Arial"/>
          <w:smallCaps/>
        </w:rPr>
        <w:t xml:space="preserve">El caso concreto </w:t>
      </w:r>
    </w:p>
    <w:p w:rsidR="009D53C1" w:rsidRPr="00036C75" w:rsidRDefault="009D53C1" w:rsidP="009D53C1">
      <w:pPr>
        <w:spacing w:line="360" w:lineRule="auto"/>
        <w:jc w:val="both"/>
        <w:rPr>
          <w:rFonts w:ascii="Arial" w:hAnsi="Arial" w:cs="Arial"/>
          <w:sz w:val="22"/>
          <w:szCs w:val="24"/>
          <w:lang w:val="es-CO"/>
        </w:rPr>
      </w:pPr>
    </w:p>
    <w:p w:rsidR="00C97F75" w:rsidRPr="00883240" w:rsidRDefault="00C97F75" w:rsidP="00C97F75">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Conforme los razonamientos jurídicos precitados, cotejado su cumplimiento en el asunto, se infiere que en la sentencia de tutela se incurrió en una falencia, pues la orden que se emitió para</w:t>
      </w:r>
      <w:r w:rsidRPr="00883240">
        <w:rPr>
          <w:rFonts w:ascii="Arial" w:hAnsi="Arial" w:cs="Arial"/>
          <w:spacing w:val="-3"/>
          <w:sz w:val="24"/>
          <w:szCs w:val="24"/>
          <w:lang w:val="es-CO"/>
        </w:rPr>
        <w:t xml:space="preserve"> proteger el derecho invocado, </w:t>
      </w:r>
      <w:r>
        <w:rPr>
          <w:rFonts w:ascii="Arial" w:hAnsi="Arial" w:cs="Arial"/>
          <w:spacing w:val="-3"/>
          <w:sz w:val="24"/>
          <w:szCs w:val="24"/>
          <w:lang w:val="es-CO"/>
        </w:rPr>
        <w:t>pretermitió integrar plenamente el grupo de personas encargadas de cumplirla</w:t>
      </w:r>
      <w:r w:rsidRPr="00883240">
        <w:rPr>
          <w:rFonts w:ascii="Arial" w:hAnsi="Arial" w:cs="Arial"/>
          <w:spacing w:val="-3"/>
          <w:sz w:val="24"/>
          <w:szCs w:val="24"/>
          <w:lang w:val="es-CO"/>
        </w:rPr>
        <w:t>, conforme el Decreto 4802 del 20-12-2011</w:t>
      </w:r>
      <w:r w:rsidRPr="00883240">
        <w:rPr>
          <w:rFonts w:ascii="Arial" w:hAnsi="Arial" w:cs="Arial"/>
          <w:sz w:val="24"/>
          <w:szCs w:val="24"/>
          <w:lang w:val="es-CO"/>
        </w:rPr>
        <w:t xml:space="preserve"> (Que empezó a regir</w:t>
      </w:r>
      <w:r w:rsidRPr="00883240">
        <w:rPr>
          <w:rFonts w:ascii="Arial" w:hAnsi="Arial" w:cs="Arial"/>
          <w:spacing w:val="-3"/>
          <w:sz w:val="24"/>
          <w:szCs w:val="24"/>
          <w:lang w:val="es-CO"/>
        </w:rPr>
        <w:t xml:space="preserve"> en la misma fecha)</w:t>
      </w:r>
      <w:r>
        <w:rPr>
          <w:rFonts w:ascii="Arial" w:hAnsi="Arial" w:cs="Arial"/>
          <w:spacing w:val="-3"/>
          <w:sz w:val="24"/>
          <w:szCs w:val="24"/>
          <w:lang w:val="es-CO"/>
        </w:rPr>
        <w:t xml:space="preserve"> y la Resolución 00185 de 17-03-2015</w:t>
      </w:r>
      <w:r w:rsidRPr="00883240">
        <w:rPr>
          <w:rFonts w:ascii="Arial" w:hAnsi="Arial" w:cs="Arial"/>
          <w:spacing w:val="-3"/>
          <w:sz w:val="24"/>
          <w:szCs w:val="24"/>
          <w:lang w:val="es-CO"/>
        </w:rPr>
        <w:t xml:space="preserve">. </w:t>
      </w:r>
      <w:r>
        <w:rPr>
          <w:rFonts w:ascii="Arial" w:hAnsi="Arial" w:cs="Arial"/>
          <w:spacing w:val="-3"/>
          <w:sz w:val="24"/>
          <w:szCs w:val="24"/>
          <w:lang w:val="es-CO"/>
        </w:rPr>
        <w:t>Tal como se recordara en la Circular No.003 de esta Sala Especializada.</w:t>
      </w:r>
    </w:p>
    <w:p w:rsidR="00C97F75" w:rsidRPr="00BD7126" w:rsidRDefault="00C97F75" w:rsidP="00C97F75">
      <w:pPr>
        <w:widowControl w:val="0"/>
        <w:spacing w:line="360" w:lineRule="auto"/>
        <w:jc w:val="both"/>
        <w:rPr>
          <w:rFonts w:ascii="Arial" w:hAnsi="Arial" w:cs="Arial"/>
          <w:spacing w:val="-3"/>
          <w:sz w:val="24"/>
          <w:szCs w:val="24"/>
          <w:lang w:val="es-CO"/>
        </w:rPr>
      </w:pPr>
    </w:p>
    <w:p w:rsidR="00C97F75" w:rsidRPr="00D34405" w:rsidRDefault="00C97F75" w:rsidP="00C97F7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lang w:val="es-CO"/>
        </w:rPr>
        <w:t>Sucede qu</w:t>
      </w:r>
      <w:r w:rsidRPr="00883240">
        <w:rPr>
          <w:rFonts w:ascii="Arial" w:hAnsi="Arial" w:cs="Arial"/>
          <w:spacing w:val="-3"/>
          <w:lang w:val="es-CO"/>
        </w:rPr>
        <w:t xml:space="preserve">e </w:t>
      </w:r>
      <w:r>
        <w:rPr>
          <w:rFonts w:ascii="Arial" w:hAnsi="Arial" w:cs="Arial"/>
          <w:spacing w:val="-3"/>
          <w:lang w:val="es-CO"/>
        </w:rPr>
        <w:t xml:space="preserve">el fallo </w:t>
      </w:r>
      <w:r>
        <w:rPr>
          <w:rFonts w:ascii="Arial" w:hAnsi="Arial" w:cs="Arial"/>
          <w:spacing w:val="-3"/>
          <w:szCs w:val="28"/>
          <w:lang w:val="es-CO"/>
        </w:rPr>
        <w:t>ordenó (i) Al Director de Gestión Social y Humanitaria, a la Directora de Reparaciones y al Director de la UARIV</w:t>
      </w:r>
      <w:r w:rsidRPr="00BD175A">
        <w:rPr>
          <w:rFonts w:ascii="Arial" w:hAnsi="Arial" w:cs="Arial"/>
          <w:spacing w:val="-3"/>
          <w:lang w:val="es-CO"/>
        </w:rPr>
        <w:t xml:space="preserve">, </w:t>
      </w:r>
      <w:r>
        <w:rPr>
          <w:rFonts w:ascii="Arial" w:hAnsi="Arial" w:cs="Arial"/>
          <w:spacing w:val="-3"/>
          <w:lang w:val="es-CO"/>
        </w:rPr>
        <w:t>(ii) Q</w:t>
      </w:r>
      <w:r w:rsidRPr="00BD175A">
        <w:rPr>
          <w:rFonts w:ascii="Arial" w:hAnsi="Arial" w:cs="Arial"/>
          <w:spacing w:val="-3"/>
          <w:lang w:val="es-CO"/>
        </w:rPr>
        <w:t xml:space="preserve">ue en el término de </w:t>
      </w:r>
      <w:r>
        <w:rPr>
          <w:rFonts w:ascii="Arial" w:hAnsi="Arial" w:cs="Arial"/>
          <w:spacing w:val="-3"/>
          <w:lang w:val="es-CO"/>
        </w:rPr>
        <w:t>10 días</w:t>
      </w:r>
      <w:r w:rsidRPr="00BD175A">
        <w:rPr>
          <w:rFonts w:ascii="Arial" w:hAnsi="Arial" w:cs="Arial"/>
          <w:spacing w:val="-3"/>
          <w:lang w:val="es-CO"/>
        </w:rPr>
        <w:t xml:space="preserve">, </w:t>
      </w:r>
      <w:r>
        <w:rPr>
          <w:rFonts w:ascii="Arial" w:hAnsi="Arial" w:cs="Arial"/>
          <w:spacing w:val="-3"/>
          <w:lang w:val="es-CO"/>
        </w:rPr>
        <w:t xml:space="preserve">(iii) </w:t>
      </w:r>
      <w:r w:rsidRPr="00BD175A">
        <w:rPr>
          <w:rFonts w:ascii="Arial" w:hAnsi="Arial" w:cs="Arial"/>
          <w:spacing w:val="-3"/>
          <w:lang w:val="es-CO"/>
        </w:rPr>
        <w:t>respondiera</w:t>
      </w:r>
      <w:r>
        <w:rPr>
          <w:rFonts w:ascii="Arial" w:hAnsi="Arial" w:cs="Arial"/>
          <w:spacing w:val="-3"/>
          <w:lang w:val="es-CO"/>
        </w:rPr>
        <w:t xml:space="preserve">n </w:t>
      </w:r>
      <w:r w:rsidR="00A0418E">
        <w:rPr>
          <w:rFonts w:ascii="Arial" w:hAnsi="Arial" w:cs="Arial"/>
          <w:spacing w:val="-3"/>
          <w:lang w:val="es-CO"/>
        </w:rPr>
        <w:t>la solicitud hecha por la accionante</w:t>
      </w:r>
      <w:r>
        <w:rPr>
          <w:rFonts w:ascii="Arial" w:hAnsi="Arial" w:cs="Arial"/>
          <w:spacing w:val="-3"/>
          <w:lang w:val="es-CO"/>
        </w:rPr>
        <w:t xml:space="preserve"> </w:t>
      </w:r>
      <w:r>
        <w:rPr>
          <w:rFonts w:ascii="Arial" w:hAnsi="Arial" w:cs="Arial"/>
          <w:spacing w:val="-3"/>
          <w:szCs w:val="28"/>
          <w:lang w:val="es-CO"/>
        </w:rPr>
        <w:t xml:space="preserve">(Folio </w:t>
      </w:r>
      <w:r w:rsidR="00A0418E">
        <w:rPr>
          <w:rFonts w:ascii="Arial" w:hAnsi="Arial" w:cs="Arial"/>
          <w:spacing w:val="-3"/>
          <w:szCs w:val="28"/>
          <w:lang w:val="es-CO"/>
        </w:rPr>
        <w:t>4</w:t>
      </w:r>
      <w:r>
        <w:rPr>
          <w:rFonts w:ascii="Arial" w:hAnsi="Arial" w:cs="Arial"/>
          <w:spacing w:val="-3"/>
          <w:szCs w:val="28"/>
          <w:lang w:val="es-CO"/>
        </w:rPr>
        <w:t xml:space="preserve">. cuaderno </w:t>
      </w:r>
      <w:r w:rsidR="00A0418E">
        <w:rPr>
          <w:rFonts w:ascii="Arial" w:hAnsi="Arial" w:cs="Arial"/>
          <w:spacing w:val="-3"/>
          <w:szCs w:val="28"/>
          <w:lang w:val="es-CO"/>
        </w:rPr>
        <w:t>del incidente</w:t>
      </w:r>
      <w:r>
        <w:rPr>
          <w:rFonts w:ascii="Arial" w:hAnsi="Arial" w:cs="Arial"/>
          <w:spacing w:val="-3"/>
          <w:szCs w:val="28"/>
          <w:lang w:val="es-CO"/>
        </w:rPr>
        <w:t>)</w:t>
      </w:r>
      <w:r w:rsidR="00A0418E">
        <w:rPr>
          <w:rFonts w:ascii="Arial" w:hAnsi="Arial" w:cs="Arial"/>
          <w:spacing w:val="-3"/>
          <w:lang w:val="es-CO"/>
        </w:rPr>
        <w:t xml:space="preserve">; </w:t>
      </w:r>
      <w:r>
        <w:rPr>
          <w:rFonts w:ascii="Arial" w:hAnsi="Arial" w:cs="Arial"/>
          <w:spacing w:val="-3"/>
          <w:lang w:val="es-CO"/>
        </w:rPr>
        <w:t>funcionarios responsables de atender peticiones relacionadas con las ayudas humanitarias y la indemnización administrativa que la UARIV otorga a las personas víctimas</w:t>
      </w:r>
      <w:r w:rsidR="00A0418E">
        <w:rPr>
          <w:rFonts w:ascii="Arial" w:hAnsi="Arial" w:cs="Arial"/>
          <w:spacing w:val="-3"/>
          <w:lang w:val="es-CO"/>
        </w:rPr>
        <w:t xml:space="preserve"> del</w:t>
      </w:r>
      <w:r>
        <w:rPr>
          <w:rFonts w:ascii="Arial" w:hAnsi="Arial" w:cs="Arial"/>
          <w:spacing w:val="-3"/>
          <w:lang w:val="es-CO"/>
        </w:rPr>
        <w:t xml:space="preserve"> conflicto armado, no obstante </w:t>
      </w:r>
      <w:r w:rsidRPr="00D34405">
        <w:rPr>
          <w:rFonts w:ascii="Arial" w:hAnsi="Arial" w:cs="Arial"/>
          <w:spacing w:val="-3"/>
          <w:lang w:val="es-CO"/>
        </w:rPr>
        <w:t xml:space="preserve">careció de orden frente </w:t>
      </w:r>
      <w:r w:rsidR="00D34405" w:rsidRPr="00D34405">
        <w:rPr>
          <w:rFonts w:ascii="Arial" w:hAnsi="Arial" w:cs="Arial"/>
          <w:spacing w:val="-3"/>
          <w:lang w:val="es-CO"/>
        </w:rPr>
        <w:t xml:space="preserve">al jefe de la Oficina Asesora Jurídica de la UARIV, encargado de adelantar las actuaciones correspondientes para atender oportunamente las acciones de tutela, cumplimiento, populares, derechos de petición y demás asuntos administrativos de la Unidad </w:t>
      </w:r>
      <w:r w:rsidRPr="00D34405">
        <w:rPr>
          <w:rFonts w:ascii="Arial" w:hAnsi="Arial" w:cs="Arial"/>
          <w:spacing w:val="-3"/>
          <w:lang w:val="es-CO"/>
        </w:rPr>
        <w:t>(Artículo</w:t>
      </w:r>
      <w:r w:rsidR="00D34405" w:rsidRPr="00D34405">
        <w:rPr>
          <w:rFonts w:ascii="Arial" w:hAnsi="Arial" w:cs="Arial"/>
          <w:spacing w:val="-3"/>
          <w:lang w:val="es-CO"/>
        </w:rPr>
        <w:t xml:space="preserve"> 8</w:t>
      </w:r>
      <w:r w:rsidR="00E9554A">
        <w:rPr>
          <w:rFonts w:ascii="Arial" w:hAnsi="Arial" w:cs="Arial"/>
          <w:spacing w:val="-3"/>
          <w:lang w:val="es-CO"/>
        </w:rPr>
        <w:t>º-</w:t>
      </w:r>
      <w:r w:rsidR="00D34405" w:rsidRPr="00D34405">
        <w:rPr>
          <w:rFonts w:ascii="Arial" w:hAnsi="Arial" w:cs="Arial"/>
          <w:spacing w:val="-3"/>
          <w:lang w:val="es-CO"/>
        </w:rPr>
        <w:t>5</w:t>
      </w:r>
      <w:r w:rsidRPr="00D34405">
        <w:rPr>
          <w:rFonts w:ascii="Arial" w:hAnsi="Arial" w:cs="Arial"/>
          <w:spacing w:val="-3"/>
          <w:lang w:val="es-CO"/>
        </w:rPr>
        <w:t xml:space="preserve">º del Decreto 4802 de 2011 y </w:t>
      </w:r>
      <w:r w:rsidR="00D34405" w:rsidRPr="00D34405">
        <w:rPr>
          <w:rFonts w:ascii="Arial" w:hAnsi="Arial" w:cs="Arial"/>
          <w:spacing w:val="-3"/>
          <w:lang w:val="es-CO"/>
        </w:rPr>
        <w:t>Resolución 00185 de</w:t>
      </w:r>
      <w:r w:rsidR="00E9554A">
        <w:rPr>
          <w:rFonts w:ascii="Arial" w:hAnsi="Arial" w:cs="Arial"/>
          <w:spacing w:val="-3"/>
          <w:lang w:val="es-CO"/>
        </w:rPr>
        <w:t>l</w:t>
      </w:r>
      <w:r w:rsidR="00D34405" w:rsidRPr="00D34405">
        <w:rPr>
          <w:rFonts w:ascii="Arial" w:hAnsi="Arial" w:cs="Arial"/>
          <w:spacing w:val="-3"/>
          <w:lang w:val="es-CO"/>
        </w:rPr>
        <w:t xml:space="preserve"> 17-03-2015</w:t>
      </w:r>
      <w:r w:rsidRPr="00D34405">
        <w:rPr>
          <w:rFonts w:ascii="Arial" w:hAnsi="Arial" w:cs="Arial"/>
          <w:spacing w:val="-3"/>
          <w:lang w:val="es-CO"/>
        </w:rPr>
        <w:t xml:space="preserve">). </w:t>
      </w:r>
    </w:p>
    <w:p w:rsidR="00C97F75" w:rsidRPr="00D34405" w:rsidRDefault="00C97F75" w:rsidP="00883240">
      <w:pPr>
        <w:widowControl w:val="0"/>
        <w:spacing w:line="360" w:lineRule="auto"/>
        <w:jc w:val="both"/>
        <w:rPr>
          <w:rFonts w:ascii="Arial" w:hAnsi="Arial" w:cs="Arial"/>
          <w:spacing w:val="-3"/>
          <w:sz w:val="24"/>
          <w:szCs w:val="24"/>
          <w:lang w:val="es-CO"/>
        </w:rPr>
      </w:pPr>
    </w:p>
    <w:p w:rsidR="00D34405" w:rsidRPr="00883240" w:rsidRDefault="00D34405" w:rsidP="00D34405">
      <w:pPr>
        <w:widowControl w:val="0"/>
        <w:spacing w:line="360" w:lineRule="auto"/>
        <w:jc w:val="both"/>
        <w:rPr>
          <w:rFonts w:ascii="Arial" w:hAnsi="Arial" w:cs="Arial"/>
          <w:spacing w:val="-3"/>
          <w:sz w:val="24"/>
          <w:szCs w:val="24"/>
          <w:lang w:val="es-CO"/>
        </w:rPr>
      </w:pPr>
      <w:r w:rsidRPr="00883240">
        <w:rPr>
          <w:rFonts w:ascii="Arial" w:hAnsi="Arial" w:cs="Arial"/>
          <w:spacing w:val="-3"/>
          <w:sz w:val="24"/>
          <w:szCs w:val="24"/>
          <w:lang w:val="es-CO"/>
        </w:rPr>
        <w:t>Así las cosas y no obstante que las sentencias están arropadas por la intangibilidad de la cosa juzgada, tiene dicho la Corte Constitucional que excepcionalmente es posible modificarlas en tres (3) casos, a efectos de dotarlas de efectividad en el amparo de los derechos fundamentales.  Explica la citada Colegiatura</w:t>
      </w:r>
      <w:r w:rsidRPr="00883240">
        <w:rPr>
          <w:rStyle w:val="Refdenotaalpie"/>
          <w:rFonts w:ascii="Arial" w:hAnsi="Arial" w:cs="Arial"/>
          <w:spacing w:val="-3"/>
          <w:sz w:val="24"/>
          <w:szCs w:val="24"/>
          <w:lang w:val="es-CO"/>
        </w:rPr>
        <w:footnoteReference w:id="16"/>
      </w:r>
      <w:r w:rsidRPr="00883240">
        <w:rPr>
          <w:rFonts w:ascii="Arial" w:hAnsi="Arial" w:cs="Arial"/>
          <w:spacing w:val="-3"/>
          <w:sz w:val="24"/>
          <w:szCs w:val="24"/>
          <w:lang w:val="es-CO"/>
        </w:rPr>
        <w:t>, en criterio acogido por esta Sala</w:t>
      </w:r>
      <w:r w:rsidRPr="00883240">
        <w:rPr>
          <w:rStyle w:val="Refdenotaalpie"/>
          <w:rFonts w:ascii="Arial" w:hAnsi="Arial"/>
          <w:spacing w:val="-3"/>
          <w:sz w:val="24"/>
          <w:szCs w:val="24"/>
          <w:lang w:val="es-CO"/>
        </w:rPr>
        <w:footnoteReference w:id="17"/>
      </w:r>
      <w:r w:rsidRPr="00883240">
        <w:rPr>
          <w:rFonts w:ascii="Arial" w:hAnsi="Arial" w:cs="Arial"/>
          <w:spacing w:val="-3"/>
          <w:sz w:val="24"/>
          <w:szCs w:val="24"/>
          <w:vertAlign w:val="superscript"/>
          <w:lang w:val="es-CO"/>
        </w:rPr>
        <w:t>-</w:t>
      </w:r>
      <w:r w:rsidRPr="00883240">
        <w:rPr>
          <w:rStyle w:val="Refdenotaalpie"/>
          <w:rFonts w:ascii="Arial" w:hAnsi="Arial" w:cs="Arial"/>
          <w:spacing w:val="-3"/>
          <w:sz w:val="24"/>
          <w:szCs w:val="24"/>
          <w:lang w:val="es-CO"/>
        </w:rPr>
        <w:footnoteReference w:id="18"/>
      </w:r>
      <w:r w:rsidRPr="00883240">
        <w:rPr>
          <w:rFonts w:ascii="Arial" w:hAnsi="Arial" w:cs="Arial"/>
          <w:spacing w:val="-3"/>
          <w:sz w:val="24"/>
          <w:szCs w:val="24"/>
          <w:lang w:val="es-CO"/>
        </w:rPr>
        <w:t>:</w:t>
      </w:r>
    </w:p>
    <w:p w:rsidR="00D34405" w:rsidRPr="00B3550C" w:rsidRDefault="00D34405" w:rsidP="00D34405">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D34405" w:rsidRPr="00745E42" w:rsidRDefault="00D34405" w:rsidP="00D34405">
      <w:pPr>
        <w:widowControl w:val="0"/>
        <w:spacing w:line="360" w:lineRule="auto"/>
        <w:jc w:val="both"/>
        <w:rPr>
          <w:rFonts w:ascii="Arial" w:hAnsi="Arial" w:cs="Arial"/>
          <w:spacing w:val="-3"/>
          <w:szCs w:val="24"/>
          <w:lang w:val="es-CO"/>
        </w:rPr>
      </w:pPr>
    </w:p>
    <w:p w:rsidR="00D34405" w:rsidRPr="00BD7126" w:rsidRDefault="00D34405" w:rsidP="00D34405">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 xml:space="preserve">Consecuente </w:t>
      </w:r>
      <w:r w:rsidR="00E9554A">
        <w:rPr>
          <w:rFonts w:ascii="Arial" w:hAnsi="Arial" w:cs="Arial"/>
          <w:spacing w:val="-3"/>
          <w:sz w:val="24"/>
          <w:szCs w:val="24"/>
          <w:lang w:val="es-CO"/>
        </w:rPr>
        <w:t>con</w:t>
      </w:r>
      <w:r w:rsidRPr="00BD7126">
        <w:rPr>
          <w:rFonts w:ascii="Arial" w:hAnsi="Arial" w:cs="Arial"/>
          <w:spacing w:val="-3"/>
          <w:sz w:val="24"/>
          <w:szCs w:val="24"/>
          <w:lang w:val="es-CO"/>
        </w:rPr>
        <w:t xml:space="preserve"> lo transcrito, ha debido el juez ajustar la orden de la sentencia en garantía de los derechos protegidos con la acción de tutela, para procurar la efectividad del amparo prodigado.</w:t>
      </w:r>
    </w:p>
    <w:p w:rsidR="00D34405" w:rsidRPr="000D4D37" w:rsidRDefault="00D34405" w:rsidP="00D34405">
      <w:pPr>
        <w:pStyle w:val="Puesto"/>
        <w:spacing w:line="360" w:lineRule="auto"/>
        <w:jc w:val="left"/>
        <w:rPr>
          <w:b w:val="0"/>
          <w:bCs w:val="0"/>
          <w:i w:val="0"/>
          <w:iCs w:val="0"/>
          <w:spacing w:val="-3"/>
          <w:sz w:val="20"/>
          <w:szCs w:val="22"/>
          <w:lang w:val="es-ES_tradnl"/>
        </w:rPr>
      </w:pPr>
    </w:p>
    <w:p w:rsidR="00D34405" w:rsidRDefault="00D34405" w:rsidP="00D34405">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Sin embargo, halla la Sala necesario recordar la obligación de acatar el Acuerdo No.PSAA10-6979 de 2010 de la Sala Administrativa del CSJ; por cuanto en el proveído sancionatorio se omitió </w:t>
      </w:r>
      <w:r w:rsidR="00297A63">
        <w:rPr>
          <w:rFonts w:ascii="Arial" w:hAnsi="Arial" w:cs="Arial"/>
          <w:spacing w:val="-3"/>
          <w:sz w:val="24"/>
          <w:szCs w:val="24"/>
          <w:lang w:val="es-CO"/>
        </w:rPr>
        <w:t xml:space="preserve">mencionar la cuenta en la que se deben consignar los dineros de la multa, fijar el término para ello y </w:t>
      </w:r>
      <w:r w:rsidR="00297A63" w:rsidRPr="001F02C2">
        <w:rPr>
          <w:rFonts w:ascii="Arial" w:hAnsi="Arial" w:cs="Arial"/>
          <w:spacing w:val="-3"/>
          <w:sz w:val="24"/>
          <w:szCs w:val="24"/>
          <w:lang w:val="es-CO"/>
        </w:rPr>
        <w:t xml:space="preserve">advertir </w:t>
      </w:r>
      <w:r>
        <w:rPr>
          <w:rFonts w:ascii="Arial" w:hAnsi="Arial" w:cs="Arial"/>
          <w:spacing w:val="-3"/>
          <w:sz w:val="24"/>
          <w:szCs w:val="24"/>
          <w:lang w:val="es-CO"/>
        </w:rPr>
        <w:t>que en caso de no pagar en el plazo concedido, se remitirá copia de la providencia con sus respectivas constancias a la Dirección Ejecutiva de Administración Judicial local, con el fin de que se inicie el proceso de cobro coactivo.</w:t>
      </w:r>
    </w:p>
    <w:p w:rsidR="00D365DC" w:rsidRDefault="00D365DC" w:rsidP="00D34405">
      <w:pPr>
        <w:tabs>
          <w:tab w:val="left" w:pos="-720"/>
        </w:tabs>
        <w:suppressAutoHyphens/>
        <w:spacing w:line="360" w:lineRule="auto"/>
        <w:jc w:val="both"/>
        <w:rPr>
          <w:rFonts w:ascii="Arial" w:hAnsi="Arial" w:cs="Arial"/>
          <w:spacing w:val="-3"/>
          <w:sz w:val="24"/>
          <w:szCs w:val="24"/>
          <w:lang w:val="es-CO"/>
        </w:rPr>
      </w:pPr>
    </w:p>
    <w:p w:rsidR="00883240" w:rsidRPr="00B3550C" w:rsidRDefault="00883240" w:rsidP="00883240">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883240" w:rsidRPr="00923F64" w:rsidRDefault="00883240" w:rsidP="00883240">
      <w:pPr>
        <w:pStyle w:val="Puesto"/>
        <w:spacing w:line="360" w:lineRule="auto"/>
        <w:jc w:val="left"/>
        <w:rPr>
          <w:b w:val="0"/>
          <w:bCs w:val="0"/>
          <w:i w:val="0"/>
          <w:iCs w:val="0"/>
          <w:spacing w:val="-3"/>
          <w:sz w:val="20"/>
          <w:szCs w:val="22"/>
          <w:lang w:val="es-ES_tradnl"/>
        </w:rPr>
      </w:pPr>
    </w:p>
    <w:p w:rsidR="00883240" w:rsidRDefault="00883240" w:rsidP="00883240">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En armonía con lo expuesto en líneas atrás, s</w:t>
      </w:r>
      <w:r w:rsidRPr="00B3550C">
        <w:rPr>
          <w:rFonts w:ascii="Arial" w:hAnsi="Arial" w:cs="Arial"/>
          <w:lang w:val="es-CO"/>
        </w:rPr>
        <w:t xml:space="preserve">e </w:t>
      </w:r>
      <w:r>
        <w:rPr>
          <w:rFonts w:ascii="Arial" w:hAnsi="Arial" w:cs="Arial"/>
          <w:lang w:val="es-CO"/>
        </w:rPr>
        <w:t>r</w:t>
      </w:r>
      <w:r>
        <w:rPr>
          <w:rFonts w:ascii="Arial" w:hAnsi="Arial" w:cs="Arial"/>
          <w:szCs w:val="22"/>
          <w:lang w:val="es-CO"/>
        </w:rPr>
        <w:t>evocará</w:t>
      </w:r>
      <w:r w:rsidR="00D01FA2">
        <w:rPr>
          <w:rFonts w:ascii="Arial" w:hAnsi="Arial" w:cs="Arial"/>
          <w:szCs w:val="22"/>
          <w:lang w:val="es-CO"/>
        </w:rPr>
        <w:t>n</w:t>
      </w:r>
      <w:r>
        <w:rPr>
          <w:rFonts w:ascii="Arial" w:hAnsi="Arial" w:cs="Arial"/>
          <w:szCs w:val="22"/>
          <w:lang w:val="es-CO"/>
        </w:rPr>
        <w:t xml:space="preserve"> </w:t>
      </w:r>
      <w:r w:rsidRPr="00B3550C">
        <w:rPr>
          <w:rFonts w:ascii="Arial" w:hAnsi="Arial" w:cs="Arial"/>
          <w:lang w:val="es-CO"/>
        </w:rPr>
        <w:t>la</w:t>
      </w:r>
      <w:r w:rsidR="00D01FA2">
        <w:rPr>
          <w:rFonts w:ascii="Arial" w:hAnsi="Arial" w:cs="Arial"/>
          <w:lang w:val="es-CO"/>
        </w:rPr>
        <w:t>s</w:t>
      </w:r>
      <w:r w:rsidRPr="00B3550C">
        <w:rPr>
          <w:rFonts w:ascii="Arial" w:hAnsi="Arial" w:cs="Arial"/>
          <w:lang w:val="es-CO"/>
        </w:rPr>
        <w:t xml:space="preserve"> </w:t>
      </w:r>
      <w:r w:rsidR="00D01FA2">
        <w:rPr>
          <w:rFonts w:ascii="Arial" w:hAnsi="Arial" w:cs="Arial"/>
          <w:lang w:val="es-CO"/>
        </w:rPr>
        <w:t>sanciones impuestas.</w:t>
      </w:r>
    </w:p>
    <w:p w:rsidR="00883240" w:rsidRPr="00E42F66" w:rsidRDefault="00883240" w:rsidP="00883240">
      <w:pPr>
        <w:widowControl w:val="0"/>
        <w:spacing w:line="360" w:lineRule="auto"/>
        <w:jc w:val="both"/>
        <w:rPr>
          <w:rFonts w:ascii="Arial" w:hAnsi="Arial" w:cs="Arial"/>
          <w:spacing w:val="-3"/>
          <w:sz w:val="24"/>
          <w:szCs w:val="24"/>
          <w:lang w:val="es-CO"/>
        </w:rPr>
      </w:pPr>
    </w:p>
    <w:p w:rsidR="00297A63" w:rsidRPr="00C01A16" w:rsidRDefault="00297A63" w:rsidP="00297A63">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883240" w:rsidRPr="000B45F2" w:rsidRDefault="00883240" w:rsidP="00883240">
      <w:pPr>
        <w:widowControl w:val="0"/>
        <w:spacing w:line="360" w:lineRule="auto"/>
        <w:jc w:val="both"/>
        <w:rPr>
          <w:rFonts w:ascii="Arial" w:hAnsi="Arial" w:cs="Arial"/>
          <w:spacing w:val="-3"/>
          <w:sz w:val="10"/>
          <w:szCs w:val="24"/>
          <w:lang w:val="es-CO"/>
        </w:rPr>
      </w:pPr>
    </w:p>
    <w:p w:rsidR="00883240" w:rsidRPr="00B3550C" w:rsidRDefault="00883240" w:rsidP="00883240">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883240" w:rsidRPr="00D8697F" w:rsidRDefault="00883240" w:rsidP="00883240">
      <w:pPr>
        <w:widowControl w:val="0"/>
        <w:spacing w:line="360" w:lineRule="auto"/>
        <w:jc w:val="both"/>
        <w:rPr>
          <w:rFonts w:ascii="Arial" w:hAnsi="Arial" w:cs="Arial"/>
          <w:spacing w:val="-3"/>
          <w:sz w:val="16"/>
          <w:szCs w:val="24"/>
          <w:lang w:val="es-CO"/>
        </w:rPr>
      </w:pPr>
    </w:p>
    <w:p w:rsidR="00883240" w:rsidRPr="002F4F28" w:rsidRDefault="00883240" w:rsidP="00883240">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sidR="00A0418E">
        <w:rPr>
          <w:rFonts w:ascii="Arial" w:hAnsi="Arial" w:cs="Arial"/>
          <w:sz w:val="24"/>
          <w:szCs w:val="24"/>
          <w:lang w:val="es-CO"/>
        </w:rPr>
        <w:t>27</w:t>
      </w:r>
      <w:r w:rsidR="00297A63">
        <w:rPr>
          <w:rFonts w:ascii="Arial" w:hAnsi="Arial" w:cs="Arial"/>
          <w:sz w:val="24"/>
          <w:szCs w:val="24"/>
          <w:lang w:val="es-CO"/>
        </w:rPr>
        <w:t>-07</w:t>
      </w:r>
      <w:r w:rsidR="00D27BF4">
        <w:rPr>
          <w:rFonts w:ascii="Arial" w:hAnsi="Arial" w:cs="Arial"/>
          <w:sz w:val="24"/>
          <w:szCs w:val="24"/>
          <w:lang w:val="es-CO"/>
        </w:rPr>
        <w:t>-</w:t>
      </w:r>
      <w:r w:rsidR="005424FE">
        <w:rPr>
          <w:rFonts w:ascii="Arial" w:hAnsi="Arial" w:cs="Arial"/>
          <w:sz w:val="24"/>
          <w:szCs w:val="24"/>
          <w:lang w:val="es-CO"/>
        </w:rPr>
        <w:t>2016</w:t>
      </w:r>
      <w:r w:rsidRPr="00B3550C">
        <w:rPr>
          <w:rFonts w:ascii="Arial" w:hAnsi="Arial" w:cs="Arial"/>
          <w:sz w:val="24"/>
          <w:szCs w:val="24"/>
          <w:lang w:val="es-CO"/>
        </w:rPr>
        <w:t xml:space="preserve"> del </w:t>
      </w:r>
      <w:r w:rsidR="00297A63">
        <w:rPr>
          <w:rFonts w:ascii="Arial" w:hAnsi="Arial" w:cs="Arial"/>
          <w:sz w:val="24"/>
          <w:szCs w:val="24"/>
          <w:lang w:val="es-CO"/>
        </w:rPr>
        <w:t>emitido</w:t>
      </w:r>
      <w:r w:rsidR="00297A63" w:rsidRPr="005E034C">
        <w:rPr>
          <w:rFonts w:ascii="Arial" w:hAnsi="Arial" w:cs="Arial"/>
          <w:sz w:val="24"/>
          <w:szCs w:val="24"/>
          <w:lang w:val="es-CO"/>
        </w:rPr>
        <w:t xml:space="preserve"> por el Juzgado </w:t>
      </w:r>
      <w:r w:rsidR="00297A63">
        <w:rPr>
          <w:rFonts w:ascii="Arial" w:hAnsi="Arial" w:cs="Arial"/>
          <w:sz w:val="24"/>
          <w:szCs w:val="24"/>
          <w:lang w:val="es-CO"/>
        </w:rPr>
        <w:t>Cuarto Civil del Circuito de Pereira</w:t>
      </w:r>
      <w:r w:rsidRPr="00312CAF">
        <w:rPr>
          <w:rFonts w:ascii="Arial" w:hAnsi="Arial" w:cs="Arial"/>
          <w:sz w:val="24"/>
          <w:szCs w:val="24"/>
          <w:lang w:val="es-CO"/>
        </w:rPr>
        <w:t>.</w:t>
      </w:r>
    </w:p>
    <w:p w:rsidR="002F4F28" w:rsidRPr="002F4F28" w:rsidRDefault="002F4F28" w:rsidP="002F4F28">
      <w:pPr>
        <w:pStyle w:val="Prrafodelista"/>
        <w:widowControl w:val="0"/>
        <w:spacing w:line="360" w:lineRule="auto"/>
        <w:ind w:left="360"/>
        <w:jc w:val="both"/>
        <w:rPr>
          <w:rFonts w:ascii="Arial" w:hAnsi="Arial" w:cs="Arial"/>
          <w:sz w:val="24"/>
          <w:szCs w:val="22"/>
          <w:lang w:val="es-CO"/>
        </w:rPr>
      </w:pPr>
    </w:p>
    <w:p w:rsidR="002F4F28" w:rsidRPr="002F4F28" w:rsidRDefault="002F4F28" w:rsidP="002F4F28">
      <w:pPr>
        <w:pStyle w:val="Prrafodelista"/>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Pr>
          <w:rFonts w:ascii="Arial" w:hAnsi="Arial" w:cs="Arial"/>
          <w:sz w:val="24"/>
          <w:szCs w:val="24"/>
          <w:lang w:val="es-CO"/>
        </w:rPr>
        <w:t xml:space="preserve">a la </w:t>
      </w:r>
      <w:r w:rsidRPr="0063543E">
        <w:rPr>
          <w:rFonts w:ascii="Arial" w:hAnsi="Arial" w:cs="Arial"/>
          <w:spacing w:val="-3"/>
          <w:sz w:val="24"/>
          <w:szCs w:val="24"/>
          <w:lang w:val="es-CO"/>
        </w:rPr>
        <w:t>juez</w:t>
      </w:r>
      <w:r>
        <w:rPr>
          <w:rFonts w:ascii="Arial" w:hAnsi="Arial" w:cs="Arial"/>
          <w:spacing w:val="-3"/>
          <w:sz w:val="24"/>
          <w:szCs w:val="24"/>
          <w:lang w:val="es-CO"/>
        </w:rPr>
        <w:t>a</w:t>
      </w:r>
      <w:r w:rsidRPr="0063543E">
        <w:rPr>
          <w:rFonts w:ascii="Arial" w:hAnsi="Arial" w:cs="Arial"/>
          <w:spacing w:val="-3"/>
          <w:sz w:val="24"/>
          <w:szCs w:val="24"/>
          <w:lang w:val="es-CO"/>
        </w:rPr>
        <w:t xml:space="preserve"> </w:t>
      </w:r>
      <w:r w:rsidRPr="0063543E">
        <w:rPr>
          <w:rFonts w:ascii="Arial" w:hAnsi="Arial" w:cs="Arial"/>
          <w:sz w:val="24"/>
          <w:szCs w:val="24"/>
          <w:lang w:val="es-CO"/>
        </w:rPr>
        <w:t xml:space="preserve">de primer </w:t>
      </w:r>
      <w:r>
        <w:rPr>
          <w:rFonts w:ascii="Arial" w:hAnsi="Arial" w:cs="Arial"/>
          <w:sz w:val="24"/>
          <w:szCs w:val="24"/>
          <w:lang w:val="es-CO"/>
        </w:rPr>
        <w:t>grado</w:t>
      </w:r>
      <w:r w:rsidRPr="0063543E">
        <w:rPr>
          <w:rFonts w:ascii="Arial" w:hAnsi="Arial" w:cs="Arial"/>
          <w:sz w:val="24"/>
          <w:szCs w:val="24"/>
          <w:lang w:val="es-CO"/>
        </w:rPr>
        <w:t xml:space="preserve"> que modifique la sentencia de tutela del </w:t>
      </w:r>
      <w:r w:rsidR="00A0418E">
        <w:rPr>
          <w:rFonts w:ascii="Arial" w:hAnsi="Arial" w:cs="Arial"/>
          <w:sz w:val="24"/>
          <w:szCs w:val="24"/>
          <w:lang w:val="es-CO"/>
        </w:rPr>
        <w:t>02-12</w:t>
      </w:r>
      <w:r>
        <w:rPr>
          <w:rFonts w:ascii="Arial" w:hAnsi="Arial" w:cs="Arial"/>
          <w:sz w:val="24"/>
          <w:szCs w:val="24"/>
          <w:lang w:val="es-CO"/>
        </w:rPr>
        <w:t>-2015</w:t>
      </w:r>
      <w:r w:rsidRPr="0063543E">
        <w:rPr>
          <w:rFonts w:ascii="Arial" w:hAnsi="Arial" w:cs="Arial"/>
          <w:sz w:val="24"/>
          <w:szCs w:val="24"/>
          <w:lang w:val="es-CO"/>
        </w:rPr>
        <w:t xml:space="preserve">, debiendo emitir </w:t>
      </w:r>
      <w:r w:rsidRPr="0063543E">
        <w:rPr>
          <w:rFonts w:ascii="Arial" w:hAnsi="Arial" w:cs="Arial"/>
          <w:spacing w:val="-3"/>
          <w:sz w:val="24"/>
          <w:szCs w:val="24"/>
          <w:lang w:val="es-CO"/>
        </w:rPr>
        <w:t xml:space="preserve">la correspondiente orden, con indicación de quién debe cumplirla, según el </w:t>
      </w:r>
      <w:r>
        <w:rPr>
          <w:rFonts w:ascii="Arial" w:hAnsi="Arial" w:cs="Arial"/>
          <w:spacing w:val="-3"/>
          <w:sz w:val="24"/>
          <w:szCs w:val="24"/>
          <w:lang w:val="es-CO"/>
        </w:rPr>
        <w:t>Decreto 4802 de 2011 y la Resolución 00185 de 17-03-2015</w:t>
      </w:r>
      <w:r w:rsidRPr="0063543E">
        <w:rPr>
          <w:rFonts w:ascii="Arial" w:hAnsi="Arial" w:cs="Arial"/>
          <w:spacing w:val="-3"/>
          <w:sz w:val="24"/>
          <w:szCs w:val="24"/>
          <w:lang w:val="es-CO"/>
        </w:rPr>
        <w:t xml:space="preserve">. </w:t>
      </w:r>
    </w:p>
    <w:p w:rsidR="00883240" w:rsidRPr="0063543E" w:rsidRDefault="00883240" w:rsidP="00883240">
      <w:pPr>
        <w:pStyle w:val="Prrafodelista"/>
        <w:rPr>
          <w:rFonts w:ascii="Arial" w:hAnsi="Arial" w:cs="Arial"/>
          <w:szCs w:val="24"/>
          <w:lang w:val="es-CO"/>
        </w:rPr>
      </w:pPr>
    </w:p>
    <w:p w:rsidR="00883240" w:rsidRDefault="00883240" w:rsidP="00883240">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0B45F2" w:rsidRPr="000B45F2" w:rsidRDefault="000B45F2" w:rsidP="000B45F2">
      <w:pPr>
        <w:spacing w:line="360" w:lineRule="auto"/>
        <w:jc w:val="both"/>
        <w:rPr>
          <w:rFonts w:ascii="Arial" w:hAnsi="Arial" w:cs="Arial"/>
          <w:sz w:val="24"/>
          <w:szCs w:val="24"/>
          <w:lang w:val="es-CO"/>
        </w:rPr>
      </w:pPr>
    </w:p>
    <w:p w:rsidR="00003AFC" w:rsidRPr="00153B26" w:rsidRDefault="00883240" w:rsidP="00883240">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ADVERTIR que contra esta providencia es improcedente recurso alguno.</w:t>
      </w:r>
    </w:p>
    <w:p w:rsidR="002E5B5B" w:rsidRPr="005424FE" w:rsidRDefault="002E5B5B" w:rsidP="00003AFC">
      <w:pPr>
        <w:pStyle w:val="Prrafodelista"/>
        <w:spacing w:line="360" w:lineRule="auto"/>
        <w:ind w:left="360"/>
        <w:jc w:val="both"/>
        <w:rPr>
          <w:rFonts w:ascii="Arial" w:hAnsi="Arial" w:cs="Arial"/>
          <w:sz w:val="6"/>
          <w:szCs w:val="24"/>
          <w:lang w:val="es-CO"/>
        </w:rPr>
      </w:pPr>
    </w:p>
    <w:p w:rsidR="002C220C" w:rsidRPr="00897B11"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D27BF4" w:rsidRDefault="00D27BF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AA531B" w:rsidRDefault="00AA531B"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5424FE" w:rsidRDefault="005424FE"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D27BF4" w:rsidRDefault="00D27BF4"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5424FE" w:rsidRDefault="005424FE" w:rsidP="005424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r>
        <w:rPr>
          <w:rFonts w:ascii="Arial" w:hAnsi="Arial" w:cs="Arial"/>
          <w:i/>
          <w:iCs/>
          <w:sz w:val="14"/>
          <w:szCs w:val="16"/>
          <w:lang w:val="en-US"/>
        </w:rPr>
        <w:lastRenderedPageBreak/>
        <w:t>DGH / ODCD / 2016</w:t>
      </w:r>
    </w:p>
    <w:sectPr w:rsidR="005424FE" w:rsidSect="005A0CA3">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26" w:rsidRDefault="00842E26" w:rsidP="0005223F">
      <w:r>
        <w:separator/>
      </w:r>
    </w:p>
  </w:endnote>
  <w:endnote w:type="continuationSeparator" w:id="0">
    <w:p w:rsidR="00842E26" w:rsidRDefault="00842E26"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Default="000F08DD"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0F08DD" w:rsidRDefault="000F08DD" w:rsidP="003E18D8">
    <w:pPr>
      <w:pStyle w:val="Piedepgina"/>
      <w:spacing w:line="360" w:lineRule="auto"/>
      <w:jc w:val="right"/>
      <w:rPr>
        <w:rFonts w:ascii="Arial" w:hAnsi="Arial" w:cs="Arial"/>
        <w:spacing w:val="20"/>
        <w:w w:val="200"/>
        <w:sz w:val="14"/>
        <w:szCs w:val="14"/>
        <w:lang w:val="es-CO"/>
      </w:rPr>
    </w:pPr>
  </w:p>
  <w:p w:rsidR="000F08DD" w:rsidRPr="003E18D8" w:rsidRDefault="000F08DD"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Pr>
        <w:rFonts w:ascii="Arial" w:hAnsi="Arial" w:cs="Arial"/>
        <w:spacing w:val="20"/>
        <w:w w:val="200"/>
        <w:sz w:val="10"/>
        <w:szCs w:val="10"/>
        <w:lang w:val="es-CO"/>
      </w:rPr>
      <w:t xml:space="preserve">DE </w:t>
    </w:r>
    <w:r>
      <w:rPr>
        <w:rFonts w:ascii="Arial" w:hAnsi="Arial" w:cs="Arial"/>
        <w:spacing w:val="20"/>
        <w:w w:val="200"/>
        <w:sz w:val="14"/>
        <w:szCs w:val="14"/>
        <w:lang w:val="es-CO"/>
      </w:rPr>
      <w:t>P</w:t>
    </w:r>
    <w:r>
      <w:rPr>
        <w:rFonts w:ascii="Arial" w:hAnsi="Arial" w:cs="Arial"/>
        <w:spacing w:val="20"/>
        <w:w w:val="200"/>
        <w:sz w:val="10"/>
        <w:szCs w:val="10"/>
        <w:lang w:val="es-CO"/>
      </w:rPr>
      <w:t>EREIRA</w:t>
    </w:r>
  </w:p>
  <w:p w:rsidR="000F08DD" w:rsidRPr="00A92EE2" w:rsidRDefault="000F08DD"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26" w:rsidRDefault="00842E26" w:rsidP="0005223F">
      <w:r>
        <w:separator/>
      </w:r>
    </w:p>
  </w:footnote>
  <w:footnote w:type="continuationSeparator" w:id="0">
    <w:p w:rsidR="00842E26" w:rsidRDefault="00842E26" w:rsidP="0005223F">
      <w:r>
        <w:continuationSeparator/>
      </w:r>
    </w:p>
  </w:footnote>
  <w:footnote w:id="1">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w:t>
      </w:r>
      <w:r w:rsidR="00E9554A">
        <w:rPr>
          <w:rFonts w:ascii="Calibri" w:hAnsi="Calibri" w:cs="Calibri"/>
          <w:lang w:val="es-CO"/>
        </w:rPr>
        <w:t xml:space="preserve">de </w:t>
      </w:r>
      <w:r w:rsidRPr="008B1B0C">
        <w:rPr>
          <w:rFonts w:ascii="Calibri" w:hAnsi="Calibri" w:cs="Calibri"/>
          <w:lang w:val="es-CO"/>
        </w:rPr>
        <w:t>2011.</w:t>
      </w:r>
    </w:p>
  </w:footnote>
  <w:footnote w:id="2">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C97F75" w:rsidRDefault="00C97F75" w:rsidP="00C97F75">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w:t>
      </w:r>
      <w:r w:rsidR="00E9554A">
        <w:rPr>
          <w:rFonts w:ascii="Calibri" w:hAnsi="Calibri" w:cs="Calibri"/>
          <w:lang w:val="es-CO"/>
        </w:rPr>
        <w:t>STITUCIONAL. Sentencia T-606 de</w:t>
      </w:r>
      <w:r w:rsidRPr="008B1B0C">
        <w:rPr>
          <w:rFonts w:ascii="Calibri" w:hAnsi="Calibri" w:cs="Calibri"/>
          <w:lang w:val="es-CO"/>
        </w:rPr>
        <w:t xml:space="preserve"> 2011.</w:t>
      </w:r>
    </w:p>
  </w:footnote>
  <w:footnote w:id="6">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C97F75" w:rsidRPr="00087130" w:rsidRDefault="00C97F75" w:rsidP="00C97F75">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SUPREMA DE JUSTICIA, Sala de Casación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Pr>
          <w:rFonts w:asciiTheme="minorHAnsi" w:hAnsiTheme="minorHAnsi" w:cs="Calibri"/>
          <w:lang w:val="es-CO"/>
        </w:rPr>
        <w:t>, entre otros</w:t>
      </w:r>
      <w:r w:rsidRPr="00087130">
        <w:rPr>
          <w:rFonts w:asciiTheme="minorHAnsi" w:hAnsiTheme="minorHAnsi" w:cs="Calibri"/>
          <w:lang w:val="es-CO"/>
        </w:rPr>
        <w:t>.</w:t>
      </w:r>
    </w:p>
  </w:footnote>
  <w:footnote w:id="12">
    <w:p w:rsidR="00C97F75" w:rsidRPr="00087130" w:rsidRDefault="00C97F75" w:rsidP="00C97F75">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T-421 del 2003.</w:t>
      </w:r>
    </w:p>
  </w:footnote>
  <w:footnote w:id="13">
    <w:p w:rsidR="00C97F75" w:rsidRPr="00563881" w:rsidRDefault="00C97F75" w:rsidP="00C97F75">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4">
    <w:p w:rsidR="00C97F75" w:rsidRPr="002F1294" w:rsidRDefault="00C97F75" w:rsidP="00C97F75">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5">
    <w:p w:rsidR="00C97F75" w:rsidRPr="00D75D25" w:rsidRDefault="00C97F75" w:rsidP="00C97F75">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6">
    <w:p w:rsidR="00D34405" w:rsidRPr="0063543E" w:rsidRDefault="00D34405" w:rsidP="00D34405">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del 2012.  Reitera la sentencia T-086 de 2003.</w:t>
      </w:r>
    </w:p>
  </w:footnote>
  <w:footnote w:id="17">
    <w:p w:rsidR="00D34405" w:rsidRPr="0063543E" w:rsidRDefault="00D34405" w:rsidP="00D34405">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MP: Claudia Ma. Arcila R., expediente No.2011-00608-01.</w:t>
      </w:r>
    </w:p>
  </w:footnote>
  <w:footnote w:id="18">
    <w:p w:rsidR="00D34405" w:rsidRPr="0063543E" w:rsidRDefault="00D34405" w:rsidP="00D34405">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Pr>
          <w:rFonts w:asciiTheme="minorHAnsi" w:hAnsiTheme="minorHAnsi" w:cs="Calibri"/>
          <w:lang w:val="es-ES"/>
        </w:rPr>
        <w:t>27-05</w:t>
      </w:r>
      <w:r w:rsidRPr="0063543E">
        <w:rPr>
          <w:rFonts w:asciiTheme="minorHAnsi" w:hAnsiTheme="minorHAnsi" w:cs="Calibri"/>
          <w:lang w:val="es-ES"/>
        </w:rPr>
        <w:t xml:space="preserve">-2015; MP: </w:t>
      </w:r>
      <w:proofErr w:type="spellStart"/>
      <w:r w:rsidRPr="0063543E">
        <w:rPr>
          <w:rFonts w:asciiTheme="minorHAnsi" w:hAnsiTheme="minorHAnsi" w:cs="Calibri"/>
          <w:lang w:val="es-ES"/>
        </w:rPr>
        <w:t>Duberney</w:t>
      </w:r>
      <w:proofErr w:type="spellEnd"/>
      <w:r w:rsidRPr="0063543E">
        <w:rPr>
          <w:rFonts w:asciiTheme="minorHAnsi" w:hAnsiTheme="minorHAnsi" w:cs="Calibri"/>
          <w:lang w:val="es-ES"/>
        </w:rPr>
        <w:t xml:space="preserve"> Grisales Herrera, expediente No.201</w:t>
      </w:r>
      <w:r>
        <w:rPr>
          <w:rFonts w:asciiTheme="minorHAnsi" w:hAnsiTheme="minorHAnsi" w:cs="Calibri"/>
          <w:lang w:val="es-ES"/>
        </w:rPr>
        <w:t>4</w:t>
      </w:r>
      <w:r w:rsidRPr="0063543E">
        <w:rPr>
          <w:rFonts w:asciiTheme="minorHAnsi" w:hAnsiTheme="minorHAnsi" w:cs="Calibri"/>
          <w:lang w:val="es-ES"/>
        </w:rPr>
        <w:t>-00</w:t>
      </w:r>
      <w:r>
        <w:rPr>
          <w:rFonts w:asciiTheme="minorHAnsi" w:hAnsiTheme="minorHAnsi" w:cs="Calibri"/>
          <w:lang w:val="es-ES"/>
        </w:rPr>
        <w:t>202</w:t>
      </w:r>
      <w:r w:rsidRPr="0063543E">
        <w:rPr>
          <w:rFonts w:asciiTheme="minorHAnsi" w:hAnsiTheme="minorHAnsi" w:cs="Calibri"/>
          <w:lang w:val="es-ES"/>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Pr="00B6233A" w:rsidRDefault="000F08DD">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AD6C1B" w:rsidRPr="00AD6C1B">
      <w:rPr>
        <w:rFonts w:ascii="Cambria" w:hAnsi="Cambria" w:cs="Cambria"/>
        <w:i/>
        <w:iCs/>
        <w:noProof/>
        <w:sz w:val="22"/>
        <w:szCs w:val="22"/>
        <w:lang w:val="es-ES"/>
      </w:rPr>
      <w:t>1</w:t>
    </w:r>
    <w:r w:rsidRPr="00B6233A">
      <w:rPr>
        <w:rFonts w:ascii="Cambria" w:hAnsi="Cambria" w:cs="Cambria"/>
        <w:i/>
        <w:iCs/>
        <w:sz w:val="22"/>
        <w:szCs w:val="22"/>
      </w:rPr>
      <w:fldChar w:fldCharType="end"/>
    </w:r>
  </w:p>
  <w:p w:rsidR="000F08DD" w:rsidRPr="00B6233A" w:rsidRDefault="000F08DD">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C97F75">
      <w:rPr>
        <w:rFonts w:ascii="Calibri" w:hAnsi="Calibri" w:cs="Calibri"/>
        <w:i/>
        <w:iCs/>
        <w:lang w:val="es-CO"/>
      </w:rPr>
      <w:t>2015-</w:t>
    </w:r>
    <w:r w:rsidR="00EB681D">
      <w:rPr>
        <w:rFonts w:ascii="Calibri" w:hAnsi="Calibri" w:cs="Calibri"/>
        <w:i/>
        <w:iCs/>
        <w:lang w:val="es-CO"/>
      </w:rPr>
      <w:t>01120</w:t>
    </w:r>
    <w:r w:rsidR="00112C0D">
      <w:rPr>
        <w:rFonts w:ascii="Calibri" w:hAnsi="Calibri" w:cs="Calibri"/>
        <w:i/>
        <w:iCs/>
        <w:lang w:val="es-CO"/>
      </w:rPr>
      <w:t xml:space="preserve">-01 </w:t>
    </w:r>
    <w:r>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57"/>
    <w:rsid w:val="00065C2B"/>
    <w:rsid w:val="00066C6D"/>
    <w:rsid w:val="0007047D"/>
    <w:rsid w:val="00070879"/>
    <w:rsid w:val="00070C36"/>
    <w:rsid w:val="00070D53"/>
    <w:rsid w:val="00072BCF"/>
    <w:rsid w:val="00072C87"/>
    <w:rsid w:val="0007325C"/>
    <w:rsid w:val="000733DC"/>
    <w:rsid w:val="000748EA"/>
    <w:rsid w:val="00074AE7"/>
    <w:rsid w:val="00074E21"/>
    <w:rsid w:val="000762A1"/>
    <w:rsid w:val="000768F1"/>
    <w:rsid w:val="000823FA"/>
    <w:rsid w:val="000864A3"/>
    <w:rsid w:val="00087130"/>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5F2"/>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A1F"/>
    <w:rsid w:val="000D7DC3"/>
    <w:rsid w:val="000D7EA6"/>
    <w:rsid w:val="000E2364"/>
    <w:rsid w:val="000E236A"/>
    <w:rsid w:val="000E3316"/>
    <w:rsid w:val="000E40BC"/>
    <w:rsid w:val="000E5B05"/>
    <w:rsid w:val="000E66DF"/>
    <w:rsid w:val="000E74A0"/>
    <w:rsid w:val="000F08DD"/>
    <w:rsid w:val="000F13EE"/>
    <w:rsid w:val="000F1623"/>
    <w:rsid w:val="000F1F84"/>
    <w:rsid w:val="000F3177"/>
    <w:rsid w:val="000F6A15"/>
    <w:rsid w:val="000F6C4C"/>
    <w:rsid w:val="000F72BD"/>
    <w:rsid w:val="000F7C89"/>
    <w:rsid w:val="00101127"/>
    <w:rsid w:val="00101191"/>
    <w:rsid w:val="0010216D"/>
    <w:rsid w:val="00103FC9"/>
    <w:rsid w:val="00104171"/>
    <w:rsid w:val="001059E9"/>
    <w:rsid w:val="00105E86"/>
    <w:rsid w:val="0010648E"/>
    <w:rsid w:val="0011095F"/>
    <w:rsid w:val="001113F5"/>
    <w:rsid w:val="00111782"/>
    <w:rsid w:val="00111D58"/>
    <w:rsid w:val="001124BA"/>
    <w:rsid w:val="00112C0D"/>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F8C"/>
    <w:rsid w:val="001C79D2"/>
    <w:rsid w:val="001C7EBD"/>
    <w:rsid w:val="001D056A"/>
    <w:rsid w:val="001D29E8"/>
    <w:rsid w:val="001D3725"/>
    <w:rsid w:val="001D4582"/>
    <w:rsid w:val="001D4709"/>
    <w:rsid w:val="001D4BE9"/>
    <w:rsid w:val="001D63E6"/>
    <w:rsid w:val="001D6922"/>
    <w:rsid w:val="001D7D28"/>
    <w:rsid w:val="001E1BCA"/>
    <w:rsid w:val="001E4977"/>
    <w:rsid w:val="001E6103"/>
    <w:rsid w:val="001E65BF"/>
    <w:rsid w:val="001E72FA"/>
    <w:rsid w:val="001E79C1"/>
    <w:rsid w:val="001F29CE"/>
    <w:rsid w:val="001F406E"/>
    <w:rsid w:val="001F4A0F"/>
    <w:rsid w:val="001F52CC"/>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07DE"/>
    <w:rsid w:val="002415F9"/>
    <w:rsid w:val="002416BA"/>
    <w:rsid w:val="00243366"/>
    <w:rsid w:val="00243885"/>
    <w:rsid w:val="002449D6"/>
    <w:rsid w:val="00244BCB"/>
    <w:rsid w:val="00247A02"/>
    <w:rsid w:val="00247C3A"/>
    <w:rsid w:val="0025198A"/>
    <w:rsid w:val="00251C2B"/>
    <w:rsid w:val="00251F50"/>
    <w:rsid w:val="0025424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BA2"/>
    <w:rsid w:val="00280E92"/>
    <w:rsid w:val="0028134A"/>
    <w:rsid w:val="00281A3D"/>
    <w:rsid w:val="00281DEE"/>
    <w:rsid w:val="00283248"/>
    <w:rsid w:val="0028337C"/>
    <w:rsid w:val="00283B9B"/>
    <w:rsid w:val="00286CCF"/>
    <w:rsid w:val="00290652"/>
    <w:rsid w:val="00291107"/>
    <w:rsid w:val="00292903"/>
    <w:rsid w:val="00292DC3"/>
    <w:rsid w:val="00293C84"/>
    <w:rsid w:val="00295B0D"/>
    <w:rsid w:val="00295BAB"/>
    <w:rsid w:val="0029643C"/>
    <w:rsid w:val="00297A63"/>
    <w:rsid w:val="00297EE1"/>
    <w:rsid w:val="002A4D42"/>
    <w:rsid w:val="002A531B"/>
    <w:rsid w:val="002A540B"/>
    <w:rsid w:val="002A5EC4"/>
    <w:rsid w:val="002A6678"/>
    <w:rsid w:val="002A703F"/>
    <w:rsid w:val="002A76DD"/>
    <w:rsid w:val="002A7B5F"/>
    <w:rsid w:val="002B07C9"/>
    <w:rsid w:val="002B3C7D"/>
    <w:rsid w:val="002B6A80"/>
    <w:rsid w:val="002C1BD2"/>
    <w:rsid w:val="002C1FC2"/>
    <w:rsid w:val="002C220C"/>
    <w:rsid w:val="002C3D75"/>
    <w:rsid w:val="002C3F71"/>
    <w:rsid w:val="002C5E67"/>
    <w:rsid w:val="002C607A"/>
    <w:rsid w:val="002C688F"/>
    <w:rsid w:val="002D0798"/>
    <w:rsid w:val="002D07C8"/>
    <w:rsid w:val="002D1E98"/>
    <w:rsid w:val="002D62B3"/>
    <w:rsid w:val="002D774D"/>
    <w:rsid w:val="002E0743"/>
    <w:rsid w:val="002E115F"/>
    <w:rsid w:val="002E2AB7"/>
    <w:rsid w:val="002E3672"/>
    <w:rsid w:val="002E5B5B"/>
    <w:rsid w:val="002E6134"/>
    <w:rsid w:val="002F047F"/>
    <w:rsid w:val="002F07FD"/>
    <w:rsid w:val="002F29AD"/>
    <w:rsid w:val="002F4134"/>
    <w:rsid w:val="002F4F28"/>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4A98"/>
    <w:rsid w:val="00376755"/>
    <w:rsid w:val="00382B33"/>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2FD1"/>
    <w:rsid w:val="003A5963"/>
    <w:rsid w:val="003A6F60"/>
    <w:rsid w:val="003A755A"/>
    <w:rsid w:val="003B0484"/>
    <w:rsid w:val="003B2ADA"/>
    <w:rsid w:val="003B2BB7"/>
    <w:rsid w:val="003B397D"/>
    <w:rsid w:val="003B3E8B"/>
    <w:rsid w:val="003B474A"/>
    <w:rsid w:val="003B64BE"/>
    <w:rsid w:val="003B6B9A"/>
    <w:rsid w:val="003C35F7"/>
    <w:rsid w:val="003C4588"/>
    <w:rsid w:val="003C5067"/>
    <w:rsid w:val="003C538D"/>
    <w:rsid w:val="003C6162"/>
    <w:rsid w:val="003C674B"/>
    <w:rsid w:val="003C6FCF"/>
    <w:rsid w:val="003C7820"/>
    <w:rsid w:val="003D27EE"/>
    <w:rsid w:val="003D280A"/>
    <w:rsid w:val="003D4532"/>
    <w:rsid w:val="003D5033"/>
    <w:rsid w:val="003D7433"/>
    <w:rsid w:val="003E02D3"/>
    <w:rsid w:val="003E18D8"/>
    <w:rsid w:val="003E3044"/>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421"/>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2B86"/>
    <w:rsid w:val="00523944"/>
    <w:rsid w:val="00523D5A"/>
    <w:rsid w:val="0052468E"/>
    <w:rsid w:val="005249F3"/>
    <w:rsid w:val="0052662A"/>
    <w:rsid w:val="005325D0"/>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0CA3"/>
    <w:rsid w:val="005A146E"/>
    <w:rsid w:val="005A24C4"/>
    <w:rsid w:val="005A3336"/>
    <w:rsid w:val="005A5C2D"/>
    <w:rsid w:val="005A5E17"/>
    <w:rsid w:val="005A7483"/>
    <w:rsid w:val="005B042C"/>
    <w:rsid w:val="005B0851"/>
    <w:rsid w:val="005B30A2"/>
    <w:rsid w:val="005B4ED9"/>
    <w:rsid w:val="005B68BD"/>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23E8B"/>
    <w:rsid w:val="0063036E"/>
    <w:rsid w:val="006304DB"/>
    <w:rsid w:val="00631805"/>
    <w:rsid w:val="00631B82"/>
    <w:rsid w:val="00631EA0"/>
    <w:rsid w:val="006327AA"/>
    <w:rsid w:val="00633E08"/>
    <w:rsid w:val="006344D5"/>
    <w:rsid w:val="0063543E"/>
    <w:rsid w:val="00635E15"/>
    <w:rsid w:val="006361DB"/>
    <w:rsid w:val="006408D7"/>
    <w:rsid w:val="006427D3"/>
    <w:rsid w:val="00643BFB"/>
    <w:rsid w:val="0064664E"/>
    <w:rsid w:val="00651980"/>
    <w:rsid w:val="006521BC"/>
    <w:rsid w:val="00652F17"/>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84E6B"/>
    <w:rsid w:val="006905DB"/>
    <w:rsid w:val="00690F20"/>
    <w:rsid w:val="00691F94"/>
    <w:rsid w:val="006943BF"/>
    <w:rsid w:val="006A1FE4"/>
    <w:rsid w:val="006A3221"/>
    <w:rsid w:val="006A3315"/>
    <w:rsid w:val="006A350F"/>
    <w:rsid w:val="006A64FA"/>
    <w:rsid w:val="006B0AF3"/>
    <w:rsid w:val="006B39D9"/>
    <w:rsid w:val="006B3C7C"/>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E78"/>
    <w:rsid w:val="006E719E"/>
    <w:rsid w:val="006E7C14"/>
    <w:rsid w:val="006F0C52"/>
    <w:rsid w:val="006F1BC1"/>
    <w:rsid w:val="006F2820"/>
    <w:rsid w:val="006F46C6"/>
    <w:rsid w:val="006F4EB8"/>
    <w:rsid w:val="006F5731"/>
    <w:rsid w:val="006F5825"/>
    <w:rsid w:val="006F61BB"/>
    <w:rsid w:val="00700D68"/>
    <w:rsid w:val="0070536C"/>
    <w:rsid w:val="007073F8"/>
    <w:rsid w:val="00710851"/>
    <w:rsid w:val="00710DE1"/>
    <w:rsid w:val="007125F0"/>
    <w:rsid w:val="00713855"/>
    <w:rsid w:val="0071418C"/>
    <w:rsid w:val="00714814"/>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D52"/>
    <w:rsid w:val="00756DCA"/>
    <w:rsid w:val="007604AC"/>
    <w:rsid w:val="00760920"/>
    <w:rsid w:val="0076259F"/>
    <w:rsid w:val="00763E3F"/>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97F"/>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0FB"/>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049"/>
    <w:rsid w:val="007F660E"/>
    <w:rsid w:val="007F66AE"/>
    <w:rsid w:val="007F756B"/>
    <w:rsid w:val="007F7CF6"/>
    <w:rsid w:val="007F7F3D"/>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7761"/>
    <w:rsid w:val="00837D02"/>
    <w:rsid w:val="00840D96"/>
    <w:rsid w:val="00840E5E"/>
    <w:rsid w:val="00842665"/>
    <w:rsid w:val="00842E26"/>
    <w:rsid w:val="0084544F"/>
    <w:rsid w:val="0084727C"/>
    <w:rsid w:val="00847877"/>
    <w:rsid w:val="008516E2"/>
    <w:rsid w:val="008538E3"/>
    <w:rsid w:val="008575CC"/>
    <w:rsid w:val="008603F3"/>
    <w:rsid w:val="00860B6C"/>
    <w:rsid w:val="00860C76"/>
    <w:rsid w:val="00860E1A"/>
    <w:rsid w:val="008613DC"/>
    <w:rsid w:val="0086235A"/>
    <w:rsid w:val="00866DE1"/>
    <w:rsid w:val="00867467"/>
    <w:rsid w:val="00870D83"/>
    <w:rsid w:val="008726F7"/>
    <w:rsid w:val="00872BEA"/>
    <w:rsid w:val="00875A32"/>
    <w:rsid w:val="0087607B"/>
    <w:rsid w:val="0087627D"/>
    <w:rsid w:val="008769C7"/>
    <w:rsid w:val="00876D77"/>
    <w:rsid w:val="0088012A"/>
    <w:rsid w:val="0088020B"/>
    <w:rsid w:val="00880ACC"/>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8DA"/>
    <w:rsid w:val="008C5EA9"/>
    <w:rsid w:val="008C6E63"/>
    <w:rsid w:val="008C7107"/>
    <w:rsid w:val="008D05A3"/>
    <w:rsid w:val="008D0EB7"/>
    <w:rsid w:val="008D14CE"/>
    <w:rsid w:val="008D49C2"/>
    <w:rsid w:val="008D4EA0"/>
    <w:rsid w:val="008D5D13"/>
    <w:rsid w:val="008D64BC"/>
    <w:rsid w:val="008D76D7"/>
    <w:rsid w:val="008E3383"/>
    <w:rsid w:val="008E33E9"/>
    <w:rsid w:val="008E369F"/>
    <w:rsid w:val="008E373F"/>
    <w:rsid w:val="008E4080"/>
    <w:rsid w:val="008E45B2"/>
    <w:rsid w:val="008E77E9"/>
    <w:rsid w:val="008E7A15"/>
    <w:rsid w:val="008E7DAA"/>
    <w:rsid w:val="008F136C"/>
    <w:rsid w:val="008F3B06"/>
    <w:rsid w:val="008F529B"/>
    <w:rsid w:val="008F5735"/>
    <w:rsid w:val="00900F4E"/>
    <w:rsid w:val="00903132"/>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30C"/>
    <w:rsid w:val="009265D4"/>
    <w:rsid w:val="0093020F"/>
    <w:rsid w:val="0093030A"/>
    <w:rsid w:val="009320E8"/>
    <w:rsid w:val="00933195"/>
    <w:rsid w:val="00933E91"/>
    <w:rsid w:val="00934C8F"/>
    <w:rsid w:val="00936A54"/>
    <w:rsid w:val="009370DE"/>
    <w:rsid w:val="009377B9"/>
    <w:rsid w:val="00942323"/>
    <w:rsid w:val="00943559"/>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69B5"/>
    <w:rsid w:val="00967200"/>
    <w:rsid w:val="00970B58"/>
    <w:rsid w:val="00970D06"/>
    <w:rsid w:val="00971A47"/>
    <w:rsid w:val="0097439E"/>
    <w:rsid w:val="00974A2F"/>
    <w:rsid w:val="0097511C"/>
    <w:rsid w:val="00975E7E"/>
    <w:rsid w:val="009767BF"/>
    <w:rsid w:val="009778CA"/>
    <w:rsid w:val="00980D72"/>
    <w:rsid w:val="00981113"/>
    <w:rsid w:val="00981B2C"/>
    <w:rsid w:val="009834AE"/>
    <w:rsid w:val="00984094"/>
    <w:rsid w:val="00985BC7"/>
    <w:rsid w:val="00986C0B"/>
    <w:rsid w:val="00990365"/>
    <w:rsid w:val="0099147E"/>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4443"/>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2A20"/>
    <w:rsid w:val="009F30A4"/>
    <w:rsid w:val="009F3497"/>
    <w:rsid w:val="009F3D10"/>
    <w:rsid w:val="009F4334"/>
    <w:rsid w:val="009F52A8"/>
    <w:rsid w:val="00A00363"/>
    <w:rsid w:val="00A0418E"/>
    <w:rsid w:val="00A04FD5"/>
    <w:rsid w:val="00A053CE"/>
    <w:rsid w:val="00A1208D"/>
    <w:rsid w:val="00A13FA0"/>
    <w:rsid w:val="00A16BCD"/>
    <w:rsid w:val="00A171B7"/>
    <w:rsid w:val="00A17BEE"/>
    <w:rsid w:val="00A21DB0"/>
    <w:rsid w:val="00A23565"/>
    <w:rsid w:val="00A24679"/>
    <w:rsid w:val="00A2513F"/>
    <w:rsid w:val="00A30698"/>
    <w:rsid w:val="00A330D4"/>
    <w:rsid w:val="00A3628D"/>
    <w:rsid w:val="00A36BAA"/>
    <w:rsid w:val="00A36D79"/>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1643"/>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1EA2"/>
    <w:rsid w:val="00A92529"/>
    <w:rsid w:val="00A92EE2"/>
    <w:rsid w:val="00A93ADC"/>
    <w:rsid w:val="00A93CE0"/>
    <w:rsid w:val="00A95623"/>
    <w:rsid w:val="00AA064B"/>
    <w:rsid w:val="00AA1EED"/>
    <w:rsid w:val="00AA4F4D"/>
    <w:rsid w:val="00AA531B"/>
    <w:rsid w:val="00AA57FB"/>
    <w:rsid w:val="00AA63E0"/>
    <w:rsid w:val="00AA66CA"/>
    <w:rsid w:val="00AA76F4"/>
    <w:rsid w:val="00AB0F75"/>
    <w:rsid w:val="00AB14B0"/>
    <w:rsid w:val="00AB3644"/>
    <w:rsid w:val="00AB4A60"/>
    <w:rsid w:val="00AC1257"/>
    <w:rsid w:val="00AC2038"/>
    <w:rsid w:val="00AC35F9"/>
    <w:rsid w:val="00AC4C50"/>
    <w:rsid w:val="00AC4D4F"/>
    <w:rsid w:val="00AD18CA"/>
    <w:rsid w:val="00AD1A47"/>
    <w:rsid w:val="00AD24A1"/>
    <w:rsid w:val="00AD2B3F"/>
    <w:rsid w:val="00AD2FF8"/>
    <w:rsid w:val="00AD367D"/>
    <w:rsid w:val="00AD683B"/>
    <w:rsid w:val="00AD6C1B"/>
    <w:rsid w:val="00AD7CA7"/>
    <w:rsid w:val="00AE3D18"/>
    <w:rsid w:val="00AE453C"/>
    <w:rsid w:val="00AE4907"/>
    <w:rsid w:val="00AE5B03"/>
    <w:rsid w:val="00AE749D"/>
    <w:rsid w:val="00AF09E9"/>
    <w:rsid w:val="00AF32D2"/>
    <w:rsid w:val="00AF35A3"/>
    <w:rsid w:val="00AF3E74"/>
    <w:rsid w:val="00AF4557"/>
    <w:rsid w:val="00AF501E"/>
    <w:rsid w:val="00AF5539"/>
    <w:rsid w:val="00AF6C6C"/>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FF1"/>
    <w:rsid w:val="00B260DF"/>
    <w:rsid w:val="00B26EE6"/>
    <w:rsid w:val="00B270D4"/>
    <w:rsid w:val="00B31674"/>
    <w:rsid w:val="00B323F0"/>
    <w:rsid w:val="00B327BB"/>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8A1"/>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577F"/>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5842"/>
    <w:rsid w:val="00BC64CA"/>
    <w:rsid w:val="00BC674B"/>
    <w:rsid w:val="00BC6BC8"/>
    <w:rsid w:val="00BC70BA"/>
    <w:rsid w:val="00BC7493"/>
    <w:rsid w:val="00BD4A0F"/>
    <w:rsid w:val="00BD59C5"/>
    <w:rsid w:val="00BD6522"/>
    <w:rsid w:val="00BD6B9F"/>
    <w:rsid w:val="00BD6BDC"/>
    <w:rsid w:val="00BD7787"/>
    <w:rsid w:val="00BD7FE5"/>
    <w:rsid w:val="00BE0EB7"/>
    <w:rsid w:val="00BE152C"/>
    <w:rsid w:val="00BE346F"/>
    <w:rsid w:val="00BE4614"/>
    <w:rsid w:val="00BE5142"/>
    <w:rsid w:val="00BE69F8"/>
    <w:rsid w:val="00BE71A7"/>
    <w:rsid w:val="00BE7319"/>
    <w:rsid w:val="00BE7B6A"/>
    <w:rsid w:val="00BF01C1"/>
    <w:rsid w:val="00BF097B"/>
    <w:rsid w:val="00BF1908"/>
    <w:rsid w:val="00BF1BE4"/>
    <w:rsid w:val="00BF2B51"/>
    <w:rsid w:val="00BF48EB"/>
    <w:rsid w:val="00BF4F28"/>
    <w:rsid w:val="00C00C19"/>
    <w:rsid w:val="00C01599"/>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601E5"/>
    <w:rsid w:val="00C608DE"/>
    <w:rsid w:val="00C60C5F"/>
    <w:rsid w:val="00C60C97"/>
    <w:rsid w:val="00C61C5C"/>
    <w:rsid w:val="00C623E3"/>
    <w:rsid w:val="00C62E40"/>
    <w:rsid w:val="00C6340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97F75"/>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105"/>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1FA2"/>
    <w:rsid w:val="00D02460"/>
    <w:rsid w:val="00D0352B"/>
    <w:rsid w:val="00D04837"/>
    <w:rsid w:val="00D04B48"/>
    <w:rsid w:val="00D04DB1"/>
    <w:rsid w:val="00D05F66"/>
    <w:rsid w:val="00D06D86"/>
    <w:rsid w:val="00D10FE1"/>
    <w:rsid w:val="00D126D6"/>
    <w:rsid w:val="00D136EC"/>
    <w:rsid w:val="00D14813"/>
    <w:rsid w:val="00D16348"/>
    <w:rsid w:val="00D16989"/>
    <w:rsid w:val="00D17C03"/>
    <w:rsid w:val="00D21D58"/>
    <w:rsid w:val="00D2251D"/>
    <w:rsid w:val="00D22B6B"/>
    <w:rsid w:val="00D2406E"/>
    <w:rsid w:val="00D24615"/>
    <w:rsid w:val="00D27BF4"/>
    <w:rsid w:val="00D306B2"/>
    <w:rsid w:val="00D30941"/>
    <w:rsid w:val="00D342D1"/>
    <w:rsid w:val="00D34405"/>
    <w:rsid w:val="00D345CC"/>
    <w:rsid w:val="00D365DC"/>
    <w:rsid w:val="00D36A67"/>
    <w:rsid w:val="00D37F49"/>
    <w:rsid w:val="00D40B4D"/>
    <w:rsid w:val="00D4190F"/>
    <w:rsid w:val="00D424CA"/>
    <w:rsid w:val="00D42560"/>
    <w:rsid w:val="00D42BD5"/>
    <w:rsid w:val="00D439A9"/>
    <w:rsid w:val="00D43C6F"/>
    <w:rsid w:val="00D46FC2"/>
    <w:rsid w:val="00D47725"/>
    <w:rsid w:val="00D50FB3"/>
    <w:rsid w:val="00D53EF3"/>
    <w:rsid w:val="00D56FF6"/>
    <w:rsid w:val="00D57F0D"/>
    <w:rsid w:val="00D6126C"/>
    <w:rsid w:val="00D61377"/>
    <w:rsid w:val="00D631F0"/>
    <w:rsid w:val="00D642D7"/>
    <w:rsid w:val="00D70276"/>
    <w:rsid w:val="00D73315"/>
    <w:rsid w:val="00D734A7"/>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0DC7"/>
    <w:rsid w:val="00D95940"/>
    <w:rsid w:val="00D96108"/>
    <w:rsid w:val="00DA11E2"/>
    <w:rsid w:val="00DA2A74"/>
    <w:rsid w:val="00DA41BA"/>
    <w:rsid w:val="00DA4744"/>
    <w:rsid w:val="00DA5224"/>
    <w:rsid w:val="00DA619B"/>
    <w:rsid w:val="00DB05BF"/>
    <w:rsid w:val="00DB25AD"/>
    <w:rsid w:val="00DB270E"/>
    <w:rsid w:val="00DB2D3D"/>
    <w:rsid w:val="00DB5A01"/>
    <w:rsid w:val="00DB701C"/>
    <w:rsid w:val="00DB789E"/>
    <w:rsid w:val="00DC0A07"/>
    <w:rsid w:val="00DC14C9"/>
    <w:rsid w:val="00DC1D9B"/>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2A0"/>
    <w:rsid w:val="00E06AEA"/>
    <w:rsid w:val="00E117C6"/>
    <w:rsid w:val="00E12173"/>
    <w:rsid w:val="00E13873"/>
    <w:rsid w:val="00E1431F"/>
    <w:rsid w:val="00E14C38"/>
    <w:rsid w:val="00E14DDD"/>
    <w:rsid w:val="00E15EC6"/>
    <w:rsid w:val="00E16C00"/>
    <w:rsid w:val="00E1738C"/>
    <w:rsid w:val="00E201E6"/>
    <w:rsid w:val="00E20583"/>
    <w:rsid w:val="00E2066C"/>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9554A"/>
    <w:rsid w:val="00E967BF"/>
    <w:rsid w:val="00EA178F"/>
    <w:rsid w:val="00EA307D"/>
    <w:rsid w:val="00EA3092"/>
    <w:rsid w:val="00EA6E2A"/>
    <w:rsid w:val="00EA7019"/>
    <w:rsid w:val="00EA7FA6"/>
    <w:rsid w:val="00EB0F28"/>
    <w:rsid w:val="00EB1D8D"/>
    <w:rsid w:val="00EB2BBA"/>
    <w:rsid w:val="00EB4193"/>
    <w:rsid w:val="00EB5A13"/>
    <w:rsid w:val="00EB5EA0"/>
    <w:rsid w:val="00EB6175"/>
    <w:rsid w:val="00EB681D"/>
    <w:rsid w:val="00EC314A"/>
    <w:rsid w:val="00EC5195"/>
    <w:rsid w:val="00EC6188"/>
    <w:rsid w:val="00EC658B"/>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556C"/>
    <w:rsid w:val="00F35A43"/>
    <w:rsid w:val="00F41442"/>
    <w:rsid w:val="00F41B48"/>
    <w:rsid w:val="00F45232"/>
    <w:rsid w:val="00F470AE"/>
    <w:rsid w:val="00F47D04"/>
    <w:rsid w:val="00F51255"/>
    <w:rsid w:val="00F51686"/>
    <w:rsid w:val="00F556EF"/>
    <w:rsid w:val="00F55AA8"/>
    <w:rsid w:val="00F55DE5"/>
    <w:rsid w:val="00F624F4"/>
    <w:rsid w:val="00F64762"/>
    <w:rsid w:val="00F64D05"/>
    <w:rsid w:val="00F653FA"/>
    <w:rsid w:val="00F6555E"/>
    <w:rsid w:val="00F65963"/>
    <w:rsid w:val="00F73BAA"/>
    <w:rsid w:val="00F73E2B"/>
    <w:rsid w:val="00F74CAD"/>
    <w:rsid w:val="00F75A95"/>
    <w:rsid w:val="00F8120B"/>
    <w:rsid w:val="00F8312D"/>
    <w:rsid w:val="00F8321A"/>
    <w:rsid w:val="00F83D02"/>
    <w:rsid w:val="00F84838"/>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DDB537C-C04D-467C-A0C3-139A49D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EA92-EBCC-4BB3-95DD-025C2A65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2188</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8</cp:revision>
  <cp:lastPrinted>2016-08-24T19:33:00Z</cp:lastPrinted>
  <dcterms:created xsi:type="dcterms:W3CDTF">2016-08-24T12:08:00Z</dcterms:created>
  <dcterms:modified xsi:type="dcterms:W3CDTF">2016-10-14T13:33:00Z</dcterms:modified>
</cp:coreProperties>
</file>