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3B4" w:rsidRPr="004134C0" w:rsidRDefault="00C473B4" w:rsidP="00C473B4">
      <w:pPr>
        <w:jc w:val="both"/>
        <w:rPr>
          <w:rFonts w:ascii="Arial" w:hAnsi="Arial" w:cs="Arial"/>
          <w:bCs/>
          <w:spacing w:val="-6"/>
          <w:sz w:val="18"/>
          <w:szCs w:val="18"/>
          <w:lang w:val="es-CO"/>
        </w:rPr>
      </w:pPr>
      <w:r>
        <w:rPr>
          <w:rFonts w:ascii="Arial" w:hAnsi="Arial" w:cs="Arial"/>
          <w:bCs/>
          <w:spacing w:val="-6"/>
          <w:sz w:val="18"/>
          <w:szCs w:val="18"/>
          <w:lang w:val="es-CO"/>
        </w:rPr>
        <w:t>DEFECTO SUSTANTIVO</w:t>
      </w:r>
      <w:r w:rsidRPr="004134C0">
        <w:rPr>
          <w:rFonts w:ascii="Arial" w:hAnsi="Arial" w:cs="Arial"/>
          <w:bCs/>
          <w:spacing w:val="-6"/>
          <w:sz w:val="18"/>
          <w:szCs w:val="18"/>
          <w:lang w:val="es-CO"/>
        </w:rPr>
        <w:t xml:space="preserve">/ </w:t>
      </w:r>
      <w:proofErr w:type="spellStart"/>
      <w:r>
        <w:rPr>
          <w:rFonts w:ascii="Arial" w:hAnsi="Arial" w:cs="Arial"/>
          <w:bCs/>
          <w:spacing w:val="-6"/>
          <w:sz w:val="18"/>
          <w:szCs w:val="18"/>
          <w:lang w:val="es-CO"/>
        </w:rPr>
        <w:t>Improsperidad</w:t>
      </w:r>
      <w:proofErr w:type="spellEnd"/>
      <w:r>
        <w:rPr>
          <w:rFonts w:ascii="Arial" w:hAnsi="Arial" w:cs="Arial"/>
          <w:bCs/>
          <w:spacing w:val="-6"/>
          <w:sz w:val="18"/>
          <w:szCs w:val="18"/>
          <w:lang w:val="es-CO"/>
        </w:rPr>
        <w:t xml:space="preserve"> de la tutela al no tratarse de una providencia judicial caprichosa o antojadiza </w:t>
      </w:r>
    </w:p>
    <w:p w:rsidR="00C473B4" w:rsidRPr="004134C0" w:rsidRDefault="00C473B4" w:rsidP="00C473B4">
      <w:pPr>
        <w:jc w:val="both"/>
        <w:rPr>
          <w:rFonts w:ascii="Arial" w:hAnsi="Arial" w:cs="Arial"/>
          <w:bCs/>
          <w:spacing w:val="-6"/>
          <w:sz w:val="18"/>
          <w:szCs w:val="18"/>
          <w:lang w:val="es-CO"/>
        </w:rPr>
      </w:pPr>
    </w:p>
    <w:p w:rsidR="00C473B4" w:rsidRPr="004134C0" w:rsidRDefault="00C473B4" w:rsidP="00C473B4">
      <w:pPr>
        <w:jc w:val="both"/>
        <w:rPr>
          <w:rFonts w:ascii="Arial" w:hAnsi="Arial" w:cs="Arial"/>
          <w:bCs/>
          <w:spacing w:val="-6"/>
          <w:sz w:val="18"/>
          <w:szCs w:val="18"/>
          <w:lang w:val="es-CO"/>
        </w:rPr>
      </w:pPr>
      <w:r w:rsidRPr="004134C0">
        <w:rPr>
          <w:rFonts w:ascii="Arial" w:hAnsi="Arial" w:cs="Arial"/>
          <w:bCs/>
          <w:spacing w:val="-6"/>
          <w:sz w:val="18"/>
          <w:szCs w:val="18"/>
          <w:lang w:val="es-CO"/>
        </w:rPr>
        <w:t>“</w:t>
      </w:r>
      <w:r w:rsidRPr="00C473B4">
        <w:rPr>
          <w:rFonts w:ascii="Arial" w:hAnsi="Arial" w:cs="Arial"/>
          <w:bCs/>
          <w:spacing w:val="-6"/>
          <w:sz w:val="18"/>
          <w:szCs w:val="18"/>
          <w:lang w:val="es-CO"/>
        </w:rPr>
        <w:t xml:space="preserve">A partir de lo dicho, se considera que es inexistente la vulneración o amenaza a los derechos invocados por el </w:t>
      </w:r>
      <w:proofErr w:type="spellStart"/>
      <w:r w:rsidRPr="00C473B4">
        <w:rPr>
          <w:rFonts w:ascii="Arial" w:hAnsi="Arial" w:cs="Arial"/>
          <w:bCs/>
          <w:spacing w:val="-6"/>
          <w:sz w:val="18"/>
          <w:szCs w:val="18"/>
          <w:lang w:val="es-CO"/>
        </w:rPr>
        <w:t>tutelante</w:t>
      </w:r>
      <w:proofErr w:type="spellEnd"/>
      <w:r w:rsidRPr="00C473B4">
        <w:rPr>
          <w:rFonts w:ascii="Arial" w:hAnsi="Arial" w:cs="Arial"/>
          <w:bCs/>
          <w:spacing w:val="-6"/>
          <w:sz w:val="18"/>
          <w:szCs w:val="18"/>
          <w:lang w:val="es-CO"/>
        </w:rPr>
        <w:t>, puesto que no se advierte arbitraria ni antojadiza la decisión controvertida. Comparta o no la Sala la posición de la jueza accionada, es evidente que se sostiene en un fundamento jurídico claro, es decir, en normas vigentes aplicables a las acciones populares (Artículo 44 de la Ley 472). Tampoco se refleja una acción tendiente a esquivar el impulso oficioso, por el contrario el requerimiento que se hizo con base en el artículo 317 del CGP, refiere un interés en la jueza de conocimiento de agotar el trámite de la acción popular con celeridad y eficacia, que nunca pudo lograr producto de la renuencia del actor en asumir con diligencia la mínima carga procesal impuesta. Téngase presente que como no existe caducidad o figura semejante, nada obsta para que la promueva nuevamente.</w:t>
      </w:r>
      <w:r w:rsidRPr="004134C0">
        <w:rPr>
          <w:rFonts w:ascii="Arial" w:hAnsi="Arial" w:cs="Arial"/>
          <w:bCs/>
          <w:spacing w:val="-6"/>
          <w:sz w:val="18"/>
          <w:szCs w:val="18"/>
          <w:lang w:val="es-CO"/>
        </w:rPr>
        <w:t>”</w:t>
      </w:r>
    </w:p>
    <w:p w:rsidR="00C473B4" w:rsidRPr="004134C0" w:rsidRDefault="00C473B4" w:rsidP="00C473B4">
      <w:pPr>
        <w:jc w:val="both"/>
        <w:rPr>
          <w:rFonts w:ascii="Arial" w:hAnsi="Arial" w:cs="Arial"/>
          <w:bCs/>
          <w:spacing w:val="-6"/>
          <w:sz w:val="18"/>
          <w:szCs w:val="18"/>
          <w:lang w:val="es-CO"/>
        </w:rPr>
      </w:pPr>
      <w:bookmarkStart w:id="0" w:name="_GoBack"/>
      <w:bookmarkEnd w:id="0"/>
    </w:p>
    <w:p w:rsidR="00C473B4" w:rsidRPr="004134C0" w:rsidRDefault="00C473B4" w:rsidP="00C473B4">
      <w:pPr>
        <w:jc w:val="both"/>
        <w:rPr>
          <w:rFonts w:ascii="Arial" w:hAnsi="Arial" w:cs="Arial"/>
          <w:spacing w:val="-6"/>
          <w:sz w:val="18"/>
          <w:szCs w:val="18"/>
        </w:rPr>
      </w:pPr>
      <w:r w:rsidRPr="004134C0">
        <w:rPr>
          <w:rFonts w:ascii="Arial" w:hAnsi="Arial" w:cs="Arial"/>
          <w:spacing w:val="-6"/>
          <w:sz w:val="18"/>
          <w:szCs w:val="18"/>
        </w:rPr>
        <w:t xml:space="preserve">COSA JUZGADA/ </w:t>
      </w:r>
      <w:proofErr w:type="spellStart"/>
      <w:r w:rsidRPr="004134C0">
        <w:rPr>
          <w:rFonts w:ascii="Arial" w:hAnsi="Arial" w:cs="Arial"/>
          <w:spacing w:val="-6"/>
          <w:sz w:val="18"/>
          <w:szCs w:val="18"/>
        </w:rPr>
        <w:t>Improsperidad</w:t>
      </w:r>
      <w:proofErr w:type="spellEnd"/>
      <w:r w:rsidRPr="004134C0">
        <w:rPr>
          <w:rFonts w:ascii="Arial" w:hAnsi="Arial" w:cs="Arial"/>
          <w:spacing w:val="-6"/>
          <w:sz w:val="18"/>
          <w:szCs w:val="18"/>
        </w:rPr>
        <w:t xml:space="preserve"> de la acción de tutela que tiene identidad de partes, pretensiones y hechos con una anterior/ Buena fe como causal </w:t>
      </w:r>
      <w:proofErr w:type="spellStart"/>
      <w:r w:rsidRPr="004134C0">
        <w:rPr>
          <w:rFonts w:ascii="Arial" w:hAnsi="Arial" w:cs="Arial"/>
          <w:spacing w:val="-6"/>
          <w:sz w:val="18"/>
          <w:szCs w:val="18"/>
        </w:rPr>
        <w:t>exonerativa</w:t>
      </w:r>
      <w:proofErr w:type="spellEnd"/>
      <w:r w:rsidRPr="004134C0">
        <w:rPr>
          <w:rFonts w:ascii="Arial" w:hAnsi="Arial" w:cs="Arial"/>
          <w:spacing w:val="-6"/>
          <w:sz w:val="18"/>
          <w:szCs w:val="18"/>
        </w:rPr>
        <w:t xml:space="preserve"> de temeridad </w:t>
      </w:r>
    </w:p>
    <w:p w:rsidR="00C473B4" w:rsidRPr="004134C0" w:rsidRDefault="00C473B4" w:rsidP="00C473B4">
      <w:pPr>
        <w:jc w:val="both"/>
        <w:rPr>
          <w:rFonts w:ascii="Arial" w:hAnsi="Arial" w:cs="Arial"/>
          <w:spacing w:val="-6"/>
          <w:sz w:val="18"/>
          <w:szCs w:val="18"/>
        </w:rPr>
      </w:pPr>
    </w:p>
    <w:p w:rsidR="00C473B4" w:rsidRPr="004134C0" w:rsidRDefault="00C473B4" w:rsidP="00C473B4">
      <w:pPr>
        <w:pStyle w:val="Textoindependiente22"/>
        <w:autoSpaceDE/>
        <w:adjustRightInd/>
        <w:rPr>
          <w:rFonts w:ascii="Arial" w:hAnsi="Arial" w:cs="Arial"/>
          <w:spacing w:val="-6"/>
          <w:sz w:val="18"/>
          <w:szCs w:val="18"/>
        </w:rPr>
      </w:pPr>
      <w:r w:rsidRPr="004134C0">
        <w:rPr>
          <w:rFonts w:ascii="Arial" w:hAnsi="Arial" w:cs="Arial"/>
          <w:spacing w:val="-6"/>
          <w:sz w:val="18"/>
          <w:szCs w:val="18"/>
        </w:rPr>
        <w:t>“</w:t>
      </w:r>
      <w:r w:rsidR="005353B2" w:rsidRPr="005353B2">
        <w:rPr>
          <w:rFonts w:ascii="Arial" w:hAnsi="Arial" w:cs="Arial"/>
          <w:spacing w:val="-6"/>
          <w:sz w:val="18"/>
          <w:szCs w:val="18"/>
        </w:rPr>
        <w:t>Confrontados el escrito petitorio (</w:t>
      </w:r>
      <w:r w:rsidR="005353B2">
        <w:rPr>
          <w:rFonts w:ascii="Arial" w:hAnsi="Arial" w:cs="Arial"/>
          <w:spacing w:val="-6"/>
          <w:sz w:val="18"/>
          <w:szCs w:val="18"/>
        </w:rPr>
        <w:t>…)</w:t>
      </w:r>
      <w:r w:rsidR="005353B2" w:rsidRPr="005353B2">
        <w:rPr>
          <w:rFonts w:ascii="Arial" w:hAnsi="Arial" w:cs="Arial"/>
          <w:spacing w:val="-6"/>
          <w:sz w:val="18"/>
          <w:szCs w:val="18"/>
        </w:rPr>
        <w:t xml:space="preserve"> y las referidas providencias, mediante las c</w:t>
      </w:r>
      <w:r w:rsidR="005353B2">
        <w:rPr>
          <w:rFonts w:ascii="Arial" w:hAnsi="Arial" w:cs="Arial"/>
          <w:spacing w:val="-6"/>
          <w:sz w:val="18"/>
          <w:szCs w:val="18"/>
        </w:rPr>
        <w:t>uales se negó el amparo porque `</w:t>
      </w:r>
      <w:r w:rsidR="005353B2" w:rsidRPr="005353B2">
        <w:rPr>
          <w:rFonts w:ascii="Arial" w:hAnsi="Arial" w:cs="Arial"/>
          <w:spacing w:val="-6"/>
          <w:sz w:val="18"/>
          <w:szCs w:val="18"/>
        </w:rPr>
        <w:t xml:space="preserve">(…) se carece de prueba sobre la renuencia para formular acciones </w:t>
      </w:r>
      <w:r w:rsidR="005353B2">
        <w:rPr>
          <w:rFonts w:ascii="Arial" w:hAnsi="Arial" w:cs="Arial"/>
          <w:spacing w:val="-6"/>
          <w:sz w:val="18"/>
          <w:szCs w:val="18"/>
        </w:rPr>
        <w:t>de tutela a favor del actor (…)´</w:t>
      </w:r>
      <w:r w:rsidR="005353B2" w:rsidRPr="005353B2">
        <w:rPr>
          <w:rFonts w:ascii="Arial" w:hAnsi="Arial" w:cs="Arial"/>
          <w:spacing w:val="-6"/>
          <w:sz w:val="18"/>
          <w:szCs w:val="18"/>
        </w:rPr>
        <w:t>, se advierte que ya había procurado la declaratoria de la vulneración de sus derechos fundamentales con base en que la Defensoría accionada se negó a formular demandas constitucionales, situación que no ha variado pues, tal cual se advirtió en aquellas providencias, en el presente caso se desconoce si hizo alguna petición, lo que modificaría las causas de la tutela.</w:t>
      </w:r>
    </w:p>
    <w:p w:rsidR="00C473B4" w:rsidRPr="004134C0" w:rsidRDefault="00C473B4" w:rsidP="00C473B4">
      <w:pPr>
        <w:pStyle w:val="Textoindependiente22"/>
        <w:autoSpaceDE/>
        <w:adjustRightInd/>
        <w:rPr>
          <w:rFonts w:ascii="Arial" w:hAnsi="Arial" w:cs="Arial"/>
          <w:spacing w:val="-6"/>
          <w:sz w:val="18"/>
          <w:szCs w:val="18"/>
        </w:rPr>
      </w:pPr>
    </w:p>
    <w:p w:rsidR="00C473B4" w:rsidRPr="001B454A" w:rsidRDefault="005064D8" w:rsidP="00C473B4">
      <w:pPr>
        <w:pStyle w:val="Textoindependiente22"/>
        <w:suppressAutoHyphens w:val="0"/>
        <w:overflowPunct/>
        <w:autoSpaceDE/>
        <w:adjustRightInd/>
        <w:rPr>
          <w:rFonts w:ascii="Arial" w:hAnsi="Arial" w:cs="Arial"/>
          <w:spacing w:val="-6"/>
          <w:sz w:val="18"/>
          <w:szCs w:val="18"/>
        </w:rPr>
      </w:pPr>
      <w:r w:rsidRPr="005064D8">
        <w:rPr>
          <w:rFonts w:ascii="Arial" w:hAnsi="Arial" w:cs="Arial"/>
          <w:spacing w:val="-6"/>
          <w:sz w:val="18"/>
          <w:szCs w:val="18"/>
        </w:rPr>
        <w:t>En el caso que se ventila, no se aprecia la concurrencia de alguna de las circunstancias transcritas, y más bien se nota una falta de conocimiento, por ende habrá de declararse la improcedencia de la acción, pero sin la imposición de las sanciones dinerarias referidas por el artícul</w:t>
      </w:r>
      <w:r>
        <w:rPr>
          <w:rFonts w:ascii="Arial" w:hAnsi="Arial" w:cs="Arial"/>
          <w:spacing w:val="-6"/>
          <w:sz w:val="18"/>
          <w:szCs w:val="18"/>
        </w:rPr>
        <w:t>o 38 del Decreto 2591 de 1991.</w:t>
      </w:r>
      <w:r w:rsidR="00C473B4">
        <w:rPr>
          <w:rFonts w:ascii="Arial" w:hAnsi="Arial" w:cs="Arial"/>
          <w:spacing w:val="-6"/>
          <w:sz w:val="18"/>
          <w:szCs w:val="18"/>
        </w:rPr>
        <w:t>”</w:t>
      </w:r>
    </w:p>
    <w:p w:rsidR="00C473B4" w:rsidRDefault="00C473B4" w:rsidP="00C473B4">
      <w:pPr>
        <w:ind w:right="51"/>
        <w:jc w:val="both"/>
        <w:rPr>
          <w:rFonts w:ascii="Arial" w:hAnsi="Arial"/>
          <w:spacing w:val="-6"/>
          <w:sz w:val="17"/>
          <w:szCs w:val="17"/>
        </w:rPr>
      </w:pPr>
    </w:p>
    <w:p w:rsidR="00C473B4" w:rsidRPr="005064D8" w:rsidRDefault="00C473B4" w:rsidP="005064D8">
      <w:pPr>
        <w:ind w:right="51"/>
        <w:jc w:val="both"/>
        <w:rPr>
          <w:rFonts w:ascii="Arial" w:hAnsi="Arial" w:cs="Arial"/>
          <w:w w:val="140"/>
          <w:sz w:val="12"/>
        </w:rPr>
      </w:pPr>
      <w:r w:rsidRPr="001B454A">
        <w:rPr>
          <w:rFonts w:ascii="Arial" w:hAnsi="Arial"/>
          <w:spacing w:val="-6"/>
          <w:sz w:val="16"/>
          <w:szCs w:val="17"/>
        </w:rPr>
        <w:t>Citas:</w:t>
      </w:r>
      <w:r w:rsidRPr="001B454A">
        <w:rPr>
          <w:spacing w:val="-6"/>
          <w:sz w:val="16"/>
          <w:szCs w:val="17"/>
        </w:rPr>
        <w:t xml:space="preserve"> </w:t>
      </w:r>
      <w:r w:rsidRPr="001B454A">
        <w:rPr>
          <w:rFonts w:ascii="Arial" w:hAnsi="Arial"/>
          <w:spacing w:val="-6"/>
          <w:sz w:val="16"/>
          <w:szCs w:val="17"/>
        </w:rPr>
        <w:t>Corte Constitucional, sentencias T-001 de 1997, T-567 de 1998, T-184 de 2005, T-193 de 2008, T-103</w:t>
      </w:r>
      <w:r w:rsidR="005064D8">
        <w:rPr>
          <w:rFonts w:ascii="Arial" w:hAnsi="Arial"/>
          <w:spacing w:val="-6"/>
          <w:sz w:val="16"/>
          <w:szCs w:val="17"/>
        </w:rPr>
        <w:t xml:space="preserve"> y </w:t>
      </w:r>
      <w:r w:rsidR="005064D8" w:rsidRPr="005064D8">
        <w:rPr>
          <w:rFonts w:ascii="Arial" w:hAnsi="Arial"/>
          <w:spacing w:val="-6"/>
          <w:sz w:val="16"/>
          <w:szCs w:val="17"/>
        </w:rPr>
        <w:t xml:space="preserve">SU-949 </w:t>
      </w:r>
      <w:r w:rsidRPr="001B454A">
        <w:rPr>
          <w:rFonts w:ascii="Arial" w:hAnsi="Arial"/>
          <w:spacing w:val="-6"/>
          <w:sz w:val="16"/>
          <w:szCs w:val="17"/>
        </w:rPr>
        <w:t xml:space="preserve"> de 2014, T-095</w:t>
      </w:r>
      <w:r w:rsidR="005064D8">
        <w:rPr>
          <w:rFonts w:ascii="Arial" w:hAnsi="Arial"/>
          <w:spacing w:val="-6"/>
          <w:sz w:val="16"/>
          <w:szCs w:val="17"/>
        </w:rPr>
        <w:t xml:space="preserve"> y T-192</w:t>
      </w:r>
      <w:r w:rsidRPr="001B454A">
        <w:rPr>
          <w:rFonts w:ascii="Arial" w:hAnsi="Arial"/>
          <w:spacing w:val="-6"/>
          <w:sz w:val="16"/>
          <w:szCs w:val="17"/>
        </w:rPr>
        <w:t xml:space="preserve"> de 2015 y T-001 de 2016</w:t>
      </w:r>
      <w:r>
        <w:rPr>
          <w:rFonts w:ascii="Arial" w:hAnsi="Arial"/>
          <w:spacing w:val="-6"/>
          <w:sz w:val="16"/>
          <w:szCs w:val="17"/>
        </w:rPr>
        <w:t xml:space="preserve">; </w:t>
      </w:r>
      <w:r w:rsidR="005353B2">
        <w:rPr>
          <w:rFonts w:ascii="Arial" w:hAnsi="Arial"/>
          <w:spacing w:val="-6"/>
          <w:sz w:val="16"/>
          <w:szCs w:val="17"/>
        </w:rPr>
        <w:t>Corte Suprema de J</w:t>
      </w:r>
      <w:r w:rsidRPr="00C473B4">
        <w:rPr>
          <w:rFonts w:ascii="Arial" w:hAnsi="Arial"/>
          <w:spacing w:val="-6"/>
          <w:sz w:val="16"/>
          <w:szCs w:val="17"/>
        </w:rPr>
        <w:t>usticia</w:t>
      </w:r>
      <w:r w:rsidR="005353B2">
        <w:rPr>
          <w:rFonts w:ascii="Arial" w:hAnsi="Arial"/>
          <w:spacing w:val="-6"/>
          <w:sz w:val="16"/>
          <w:szCs w:val="17"/>
        </w:rPr>
        <w:t>, Sala Civil, s</w:t>
      </w:r>
      <w:r w:rsidRPr="00C473B4">
        <w:rPr>
          <w:rFonts w:ascii="Arial" w:hAnsi="Arial"/>
          <w:spacing w:val="-6"/>
          <w:sz w:val="16"/>
          <w:szCs w:val="17"/>
        </w:rPr>
        <w:t>entencia STC6596-2016</w:t>
      </w:r>
      <w:r>
        <w:rPr>
          <w:sz w:val="22"/>
        </w:rPr>
        <w:t xml:space="preserve"> </w:t>
      </w:r>
      <w:r w:rsidRPr="001B454A">
        <w:rPr>
          <w:rFonts w:ascii="Arial" w:hAnsi="Arial"/>
          <w:spacing w:val="-6"/>
          <w:sz w:val="16"/>
          <w:szCs w:val="17"/>
        </w:rPr>
        <w:t>Tribunal Superior de Pereira, Sala Civil-Familia, sentencia de 28 de mar</w:t>
      </w:r>
      <w:r w:rsidR="005064D8">
        <w:rPr>
          <w:rFonts w:ascii="Arial" w:hAnsi="Arial"/>
          <w:spacing w:val="-6"/>
          <w:sz w:val="16"/>
          <w:szCs w:val="17"/>
        </w:rPr>
        <w:t xml:space="preserve">zo de 2016 -rad. 2016-00289-00-. Doctrina: </w:t>
      </w:r>
      <w:r w:rsidR="005064D8" w:rsidRPr="005064D8">
        <w:rPr>
          <w:rFonts w:ascii="Arial" w:hAnsi="Arial"/>
          <w:spacing w:val="-6"/>
          <w:sz w:val="16"/>
          <w:szCs w:val="17"/>
        </w:rPr>
        <w:t xml:space="preserve">BOTERO MARINO, Catalina. </w:t>
      </w:r>
      <w:r w:rsidR="005064D8">
        <w:rPr>
          <w:rFonts w:ascii="Arial" w:hAnsi="Arial"/>
          <w:spacing w:val="-6"/>
          <w:sz w:val="16"/>
          <w:szCs w:val="17"/>
        </w:rPr>
        <w:t>“</w:t>
      </w:r>
      <w:r w:rsidR="005064D8" w:rsidRPr="005064D8">
        <w:rPr>
          <w:rFonts w:ascii="Arial" w:hAnsi="Arial"/>
          <w:spacing w:val="-6"/>
          <w:sz w:val="16"/>
          <w:szCs w:val="17"/>
        </w:rPr>
        <w:t>La acción de tutela en el ordenamiento constitucional colombiano</w:t>
      </w:r>
      <w:r w:rsidR="005064D8">
        <w:rPr>
          <w:rFonts w:ascii="Arial" w:hAnsi="Arial"/>
          <w:spacing w:val="-6"/>
          <w:sz w:val="16"/>
          <w:szCs w:val="17"/>
        </w:rPr>
        <w:t>”</w:t>
      </w:r>
      <w:r w:rsidR="005064D8" w:rsidRPr="005064D8">
        <w:rPr>
          <w:rFonts w:ascii="Arial" w:hAnsi="Arial"/>
          <w:spacing w:val="-6"/>
          <w:sz w:val="16"/>
          <w:szCs w:val="17"/>
        </w:rPr>
        <w:t xml:space="preserve"> </w:t>
      </w:r>
      <w:proofErr w:type="spellStart"/>
      <w:r w:rsidR="005064D8" w:rsidRPr="005064D8">
        <w:rPr>
          <w:rFonts w:ascii="Arial" w:hAnsi="Arial"/>
          <w:spacing w:val="-6"/>
          <w:sz w:val="16"/>
          <w:szCs w:val="17"/>
        </w:rPr>
        <w:t>Ediprime</w:t>
      </w:r>
      <w:proofErr w:type="spellEnd"/>
      <w:r w:rsidR="005064D8" w:rsidRPr="005064D8">
        <w:rPr>
          <w:rFonts w:ascii="Arial" w:hAnsi="Arial"/>
          <w:spacing w:val="-6"/>
          <w:sz w:val="16"/>
          <w:szCs w:val="17"/>
        </w:rPr>
        <w:t xml:space="preserve"> </w:t>
      </w:r>
      <w:proofErr w:type="spellStart"/>
      <w:r w:rsidR="005064D8" w:rsidRPr="005064D8">
        <w:rPr>
          <w:rFonts w:ascii="Arial" w:hAnsi="Arial"/>
          <w:spacing w:val="-6"/>
          <w:sz w:val="16"/>
          <w:szCs w:val="17"/>
        </w:rPr>
        <w:t>Ltda</w:t>
      </w:r>
      <w:proofErr w:type="spellEnd"/>
      <w:r w:rsidR="005064D8" w:rsidRPr="005064D8">
        <w:rPr>
          <w:rFonts w:ascii="Arial" w:hAnsi="Arial"/>
          <w:spacing w:val="-6"/>
          <w:sz w:val="16"/>
          <w:szCs w:val="17"/>
        </w:rPr>
        <w:t>, Bogotá, 2006.</w:t>
      </w:r>
    </w:p>
    <w:p w:rsidR="00C473B4" w:rsidRDefault="00C473B4"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 xml:space="preserve">Javier Elías Arias </w:t>
      </w:r>
      <w:proofErr w:type="spellStart"/>
      <w:r w:rsidR="00152300">
        <w:rPr>
          <w:rFonts w:ascii="Arial" w:hAnsi="Arial" w:cs="Arial"/>
          <w:sz w:val="22"/>
        </w:rPr>
        <w:t>Idárraga</w:t>
      </w:r>
      <w:proofErr w:type="spellEnd"/>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5118AB">
        <w:rPr>
          <w:rFonts w:ascii="Arial" w:hAnsi="Arial" w:cs="Arial"/>
          <w:sz w:val="22"/>
        </w:rPr>
        <w:t xml:space="preserve">Cuarto </w:t>
      </w:r>
      <w:r w:rsidR="00152300">
        <w:rPr>
          <w:rFonts w:ascii="Arial" w:hAnsi="Arial" w:cs="Arial"/>
          <w:sz w:val="22"/>
        </w:rPr>
        <w:t>Civil del Circuito de Pereira</w:t>
      </w:r>
      <w:r w:rsidR="005118AB">
        <w:rPr>
          <w:rFonts w:ascii="Arial" w:hAnsi="Arial" w:cs="Arial"/>
          <w:sz w:val="22"/>
        </w:rPr>
        <w:t xml:space="preserve"> y otra</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5118AB">
        <w:rPr>
          <w:rFonts w:ascii="Arial" w:hAnsi="Arial" w:cs="Arial"/>
          <w:sz w:val="22"/>
          <w:szCs w:val="22"/>
        </w:rPr>
        <w:t>Augusto Becerra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5118AB">
        <w:rPr>
          <w:rFonts w:ascii="Arial" w:hAnsi="Arial" w:cs="Arial"/>
          <w:sz w:val="22"/>
        </w:rPr>
        <w:t>2016-00794-00</w:t>
      </w:r>
      <w:r w:rsidR="007949D4">
        <w:rPr>
          <w:rFonts w:ascii="Arial" w:hAnsi="Arial" w:cs="Arial"/>
          <w:sz w:val="22"/>
        </w:rPr>
        <w:t xml:space="preserve"> </w:t>
      </w:r>
      <w:r w:rsidRPr="00A00766">
        <w:rPr>
          <w:rFonts w:ascii="Arial" w:hAnsi="Arial" w:cs="Arial"/>
          <w:sz w:val="22"/>
        </w:rPr>
        <w:t>(Interno No.</w:t>
      </w:r>
      <w:r w:rsidR="005118AB">
        <w:rPr>
          <w:rFonts w:ascii="Arial" w:hAnsi="Arial" w:cs="Arial"/>
          <w:sz w:val="22"/>
        </w:rPr>
        <w:t>794)</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5118AB">
        <w:rPr>
          <w:rFonts w:ascii="Arial" w:hAnsi="Arial" w:cs="Arial"/>
          <w:sz w:val="22"/>
          <w:szCs w:val="22"/>
        </w:rPr>
        <w:t>Defecto sustantivo o material</w:t>
      </w:r>
      <w:r w:rsidR="00907AF0">
        <w:rPr>
          <w:rFonts w:ascii="Arial" w:hAnsi="Arial" w:cs="Arial"/>
          <w:sz w:val="22"/>
          <w:szCs w:val="22"/>
        </w:rPr>
        <w:t xml:space="preserve"> – Cosa juzgada constitucional</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1E5C81" w:rsidRPr="002060F5" w:rsidRDefault="007E004A" w:rsidP="001E5C81">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1E5C81">
        <w:rPr>
          <w:rFonts w:ascii="Arial" w:hAnsi="Arial"/>
          <w:sz w:val="22"/>
          <w:szCs w:val="22"/>
        </w:rPr>
        <w:t>403 de 23-08-2016</w:t>
      </w:r>
    </w:p>
    <w:p w:rsidR="001E5C81" w:rsidRDefault="001E5C81" w:rsidP="001E5C81">
      <w:pPr>
        <w:pBdr>
          <w:bottom w:val="double" w:sz="6" w:space="1" w:color="auto"/>
        </w:pBdr>
        <w:spacing w:line="360" w:lineRule="auto"/>
        <w:jc w:val="center"/>
        <w:rPr>
          <w:rFonts w:ascii="Arial" w:hAnsi="Arial" w:cs="Arial"/>
          <w:b/>
          <w:bCs/>
          <w:sz w:val="22"/>
          <w:szCs w:val="22"/>
        </w:rPr>
      </w:pPr>
    </w:p>
    <w:p w:rsidR="001E5C81" w:rsidRDefault="001E5C81" w:rsidP="001E5C81">
      <w:pPr>
        <w:spacing w:line="360" w:lineRule="auto"/>
        <w:jc w:val="center"/>
        <w:rPr>
          <w:rFonts w:ascii="Arial" w:hAnsi="Arial" w:cs="Arial"/>
          <w:b/>
          <w:bCs/>
          <w:sz w:val="22"/>
          <w:szCs w:val="22"/>
        </w:rPr>
      </w:pPr>
    </w:p>
    <w:p w:rsidR="001E5C81" w:rsidRPr="00BC082A" w:rsidRDefault="001E5C81" w:rsidP="001E5C81">
      <w:pPr>
        <w:spacing w:line="360" w:lineRule="auto"/>
        <w:jc w:val="center"/>
        <w:rPr>
          <w:rFonts w:ascii="Arial" w:hAnsi="Arial" w:cs="Arial"/>
          <w:iCs/>
          <w:sz w:val="28"/>
          <w:szCs w:val="28"/>
          <w:lang w:val="es-CO"/>
        </w:rPr>
      </w:pPr>
      <w:r w:rsidRPr="00BC082A">
        <w:rPr>
          <w:rFonts w:ascii="Arial" w:hAnsi="Arial" w:cs="Arial"/>
          <w:iCs/>
          <w:smallCaps/>
          <w:sz w:val="28"/>
          <w:szCs w:val="28"/>
          <w:lang w:val="es-CO"/>
        </w:rPr>
        <w:t xml:space="preserve">Pereira, R., </w:t>
      </w:r>
      <w:r>
        <w:rPr>
          <w:rFonts w:ascii="Arial" w:hAnsi="Arial" w:cs="Arial"/>
          <w:iCs/>
          <w:smallCaps/>
          <w:sz w:val="28"/>
          <w:szCs w:val="28"/>
          <w:lang w:val="es-CO"/>
        </w:rPr>
        <w:t xml:space="preserve">veintitrés </w:t>
      </w:r>
      <w:r w:rsidRPr="00BC082A">
        <w:rPr>
          <w:rFonts w:ascii="Arial" w:hAnsi="Arial" w:cs="Arial"/>
          <w:iCs/>
          <w:smallCaps/>
          <w:sz w:val="28"/>
          <w:szCs w:val="28"/>
          <w:lang w:val="es-CO"/>
        </w:rPr>
        <w:t>(</w:t>
      </w:r>
      <w:r>
        <w:rPr>
          <w:rFonts w:ascii="Arial" w:hAnsi="Arial" w:cs="Arial"/>
          <w:iCs/>
          <w:smallCaps/>
          <w:sz w:val="28"/>
          <w:szCs w:val="28"/>
          <w:lang w:val="es-CO"/>
        </w:rPr>
        <w:t>23</w:t>
      </w:r>
      <w:r w:rsidRPr="00BC082A">
        <w:rPr>
          <w:rFonts w:ascii="Arial" w:hAnsi="Arial" w:cs="Arial"/>
          <w:iCs/>
          <w:smallCaps/>
          <w:sz w:val="28"/>
          <w:szCs w:val="28"/>
          <w:lang w:val="es-CO"/>
        </w:rPr>
        <w:t xml:space="preserve">) de </w:t>
      </w:r>
      <w:r>
        <w:rPr>
          <w:rFonts w:ascii="Arial" w:hAnsi="Arial" w:cs="Arial"/>
          <w:iCs/>
          <w:smallCaps/>
          <w:sz w:val="28"/>
          <w:szCs w:val="28"/>
          <w:lang w:val="es-CO"/>
        </w:rPr>
        <w:t xml:space="preserve">agosto </w:t>
      </w:r>
      <w:r w:rsidRPr="00BC082A">
        <w:rPr>
          <w:rFonts w:ascii="Arial" w:hAnsi="Arial" w:cs="Arial"/>
          <w:iCs/>
          <w:smallCaps/>
          <w:sz w:val="28"/>
          <w:szCs w:val="28"/>
          <w:lang w:val="es-CO"/>
        </w:rPr>
        <w:t>de dos mil dieciséis (2016)</w:t>
      </w:r>
      <w:r w:rsidRPr="00BC082A">
        <w:rPr>
          <w:rFonts w:ascii="Arial" w:hAnsi="Arial" w:cs="Arial"/>
          <w:iCs/>
          <w:sz w:val="28"/>
          <w:szCs w:val="28"/>
          <w:lang w:val="es-CO"/>
        </w:rPr>
        <w:t>.</w:t>
      </w:r>
    </w:p>
    <w:p w:rsidR="000147A2" w:rsidRPr="00984EE4" w:rsidRDefault="000147A2" w:rsidP="001E5C81">
      <w:pPr>
        <w:spacing w:line="360" w:lineRule="auto"/>
        <w:ind w:left="708" w:firstLine="708"/>
        <w:rPr>
          <w:rFonts w:ascii="Arial" w:hAnsi="Arial" w:cs="Arial"/>
          <w:b/>
          <w:bCs/>
          <w:sz w:val="22"/>
          <w:lang w:val="es-CO"/>
        </w:rPr>
      </w:pPr>
    </w:p>
    <w:p w:rsidR="00152300" w:rsidRPr="00F9418E" w:rsidRDefault="00152300" w:rsidP="00152300">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152300" w:rsidRPr="00F9418E" w:rsidRDefault="00152300" w:rsidP="00152300">
      <w:pPr>
        <w:pStyle w:val="Textoindependiente"/>
        <w:spacing w:line="360" w:lineRule="auto"/>
        <w:rPr>
          <w:rFonts w:ascii="Arial" w:hAnsi="Arial"/>
          <w:szCs w:val="24"/>
        </w:rPr>
      </w:pPr>
    </w:p>
    <w:p w:rsidR="00571B10" w:rsidRDefault="005118AB" w:rsidP="00571B10">
      <w:pPr>
        <w:pStyle w:val="Textoindependiente"/>
        <w:spacing w:line="360" w:lineRule="auto"/>
        <w:rPr>
          <w:rFonts w:ascii="Arial" w:hAnsi="Arial"/>
          <w:szCs w:val="24"/>
        </w:rPr>
      </w:pPr>
      <w:r>
        <w:rPr>
          <w:rFonts w:ascii="Arial" w:hAnsi="Arial"/>
          <w:szCs w:val="24"/>
        </w:rPr>
        <w:t>La acción constitucional de la referencia</w:t>
      </w:r>
      <w:r w:rsidR="00571B10">
        <w:rPr>
          <w:rFonts w:ascii="Arial" w:hAnsi="Arial"/>
          <w:szCs w:val="24"/>
        </w:rPr>
        <w:t>, adelantadas las debidas actuaciones con el trámite preferente y sumario, sin que se eviden</w:t>
      </w:r>
      <w:r>
        <w:rPr>
          <w:rFonts w:ascii="Arial" w:hAnsi="Arial"/>
          <w:szCs w:val="24"/>
        </w:rPr>
        <w:t>cien causales de nulidad que la invaliden</w:t>
      </w:r>
      <w:r w:rsidR="00571B10">
        <w:rPr>
          <w:rFonts w:ascii="Arial" w:hAnsi="Arial"/>
          <w:szCs w:val="24"/>
        </w:rPr>
        <w:t>.</w:t>
      </w:r>
    </w:p>
    <w:p w:rsidR="00571B10" w:rsidRDefault="00571B10" w:rsidP="00152300">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Default="0099045D" w:rsidP="0099045D">
      <w:pPr>
        <w:pStyle w:val="Textoindependiente"/>
        <w:spacing w:line="360" w:lineRule="auto"/>
        <w:rPr>
          <w:rFonts w:ascii="Arial" w:hAnsi="Arial" w:cs="Arial"/>
          <w:szCs w:val="24"/>
        </w:rPr>
      </w:pPr>
    </w:p>
    <w:p w:rsidR="00571B10" w:rsidRDefault="00571B10" w:rsidP="00571B10">
      <w:pPr>
        <w:spacing w:line="360" w:lineRule="auto"/>
        <w:jc w:val="both"/>
        <w:rPr>
          <w:rFonts w:ascii="Arial" w:hAnsi="Arial" w:cs="Arial"/>
        </w:rPr>
      </w:pPr>
      <w:r>
        <w:rPr>
          <w:rFonts w:ascii="Arial" w:hAnsi="Arial" w:cs="Arial"/>
        </w:rPr>
        <w:lastRenderedPageBreak/>
        <w:t xml:space="preserve">Informó el actor que adelanta en el Juzgado accionado, </w:t>
      </w:r>
      <w:r w:rsidR="00BC760D">
        <w:rPr>
          <w:rFonts w:ascii="Arial" w:hAnsi="Arial" w:cs="Arial"/>
        </w:rPr>
        <w:t>la acción popular No</w:t>
      </w:r>
      <w:r>
        <w:rPr>
          <w:rFonts w:ascii="Arial" w:hAnsi="Arial" w:cs="Arial"/>
        </w:rPr>
        <w:t>.</w:t>
      </w:r>
      <w:r w:rsidR="00BC760D">
        <w:rPr>
          <w:rFonts w:ascii="Arial" w:hAnsi="Arial" w:cs="Arial"/>
        </w:rPr>
        <w:t>2015-00744-00</w:t>
      </w:r>
      <w:r>
        <w:rPr>
          <w:rFonts w:ascii="Arial" w:hAnsi="Arial" w:cs="Arial"/>
        </w:rPr>
        <w:t xml:space="preserve">, </w:t>
      </w:r>
      <w:r w:rsidR="00BC760D">
        <w:rPr>
          <w:rFonts w:ascii="Arial" w:hAnsi="Arial" w:cs="Arial"/>
        </w:rPr>
        <w:t xml:space="preserve">que </w:t>
      </w:r>
      <w:r>
        <w:rPr>
          <w:rFonts w:ascii="Arial" w:hAnsi="Arial" w:cs="Arial"/>
        </w:rPr>
        <w:t xml:space="preserve">se declaró </w:t>
      </w:r>
      <w:r w:rsidR="00BC760D">
        <w:rPr>
          <w:rFonts w:ascii="Arial" w:hAnsi="Arial" w:cs="Arial"/>
        </w:rPr>
        <w:t xml:space="preserve">terminada por </w:t>
      </w:r>
      <w:r>
        <w:rPr>
          <w:rFonts w:ascii="Arial" w:hAnsi="Arial" w:cs="Arial"/>
        </w:rPr>
        <w:t xml:space="preserve">desistimiento tácito, a pesar de </w:t>
      </w:r>
      <w:r w:rsidR="00401990">
        <w:rPr>
          <w:rFonts w:ascii="Arial" w:hAnsi="Arial" w:cs="Arial"/>
        </w:rPr>
        <w:t>que la Ley 472 no lo contempla</w:t>
      </w:r>
      <w:r>
        <w:rPr>
          <w:rFonts w:ascii="Arial" w:hAnsi="Arial" w:cs="Arial"/>
        </w:rPr>
        <w:t xml:space="preserve">. Refirió que ese actuar del juzgado vulneró el debido proceso pues </w:t>
      </w:r>
      <w:r w:rsidR="00BC760D">
        <w:rPr>
          <w:rFonts w:ascii="Arial" w:hAnsi="Arial" w:cs="Arial"/>
        </w:rPr>
        <w:t xml:space="preserve">se </w:t>
      </w:r>
      <w:r>
        <w:rPr>
          <w:rFonts w:ascii="Arial" w:hAnsi="Arial" w:cs="Arial"/>
        </w:rPr>
        <w:t>aplic</w:t>
      </w:r>
      <w:r w:rsidR="00BC760D">
        <w:rPr>
          <w:rFonts w:ascii="Arial" w:hAnsi="Arial" w:cs="Arial"/>
        </w:rPr>
        <w:t>ó una figura inexistente (Folio</w:t>
      </w:r>
      <w:r>
        <w:rPr>
          <w:rFonts w:ascii="Arial" w:hAnsi="Arial" w:cs="Arial"/>
        </w:rPr>
        <w:t xml:space="preserve"> 1, de este cuaderno). </w:t>
      </w:r>
    </w:p>
    <w:p w:rsidR="00CD73B4" w:rsidRDefault="00CD73B4" w:rsidP="00152300">
      <w:pPr>
        <w:spacing w:line="360" w:lineRule="auto"/>
        <w:jc w:val="both"/>
        <w:rPr>
          <w:rFonts w:ascii="Arial" w:hAnsi="Arial" w:cs="Arial"/>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7396E">
        <w:rPr>
          <w:rFonts w:ascii="Arial" w:hAnsi="Arial" w:cs="Arial"/>
          <w:spacing w:val="-3"/>
          <w:lang w:val="es-ES_tradnl"/>
        </w:rPr>
        <w:t>, igualdad</w:t>
      </w:r>
      <w:r w:rsidR="002F2C09">
        <w:rPr>
          <w:rFonts w:ascii="Arial" w:hAnsi="Arial" w:cs="Arial"/>
          <w:spacing w:val="-3"/>
          <w:lang w:val="es-ES_tradnl"/>
        </w:rPr>
        <w:t xml:space="preserve"> y debida administración de justicia</w:t>
      </w:r>
      <w:r w:rsidR="004A4E9F">
        <w:rPr>
          <w:rFonts w:ascii="Arial" w:hAnsi="Arial" w:cs="Arial"/>
          <w:spacing w:val="-3"/>
          <w:lang w:val="es-ES_tradnl"/>
        </w:rPr>
        <w:t xml:space="preserve"> (Folio 1, </w:t>
      </w:r>
      <w:r w:rsidR="00CD73B4">
        <w:rPr>
          <w:rFonts w:ascii="Arial" w:hAnsi="Arial" w:cs="Arial"/>
          <w:spacing w:val="-3"/>
          <w:lang w:val="es-ES_tradnl"/>
        </w:rPr>
        <w:t xml:space="preserve">de </w:t>
      </w:r>
      <w:r w:rsidR="004A4E9F">
        <w:rPr>
          <w:rFonts w:ascii="Arial" w:hAnsi="Arial" w:cs="Arial"/>
          <w:spacing w:val="-3"/>
          <w:lang w:val="es-ES_tradnl"/>
        </w:rPr>
        <w:t>este cuaderno)</w:t>
      </w:r>
      <w:r w:rsidR="002F2C09">
        <w:rPr>
          <w:rFonts w:ascii="Arial" w:hAnsi="Arial" w:cs="Arial"/>
          <w:spacing w:val="-3"/>
          <w:lang w:val="es-ES_tradnl"/>
        </w:rPr>
        <w:t xml:space="preserve">. </w:t>
      </w:r>
    </w:p>
    <w:p w:rsidR="003705F3"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CD73B4" w:rsidRDefault="00CD73B4" w:rsidP="00CD73B4">
      <w:pPr>
        <w:pStyle w:val="Textoindependiente"/>
        <w:spacing w:line="360" w:lineRule="auto"/>
        <w:ind w:left="360"/>
        <w:rPr>
          <w:rFonts w:ascii="Arial" w:hAnsi="Arial"/>
          <w:szCs w:val="24"/>
        </w:rPr>
      </w:pP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Se ordene al accionado</w:t>
      </w:r>
      <w:r w:rsidR="00AE09B6">
        <w:rPr>
          <w:rFonts w:ascii="Arial" w:hAnsi="Arial" w:cs="Arial"/>
          <w:szCs w:val="24"/>
        </w:rPr>
        <w:t xml:space="preserve"> </w:t>
      </w:r>
      <w:r w:rsidR="00571B10">
        <w:rPr>
          <w:rFonts w:ascii="Arial" w:hAnsi="Arial" w:cs="Arial"/>
          <w:szCs w:val="24"/>
        </w:rPr>
        <w:t xml:space="preserve">continuar con el trámite de </w:t>
      </w:r>
      <w:r w:rsidR="00BC760D">
        <w:rPr>
          <w:rFonts w:ascii="Arial" w:hAnsi="Arial" w:cs="Arial"/>
          <w:szCs w:val="24"/>
        </w:rPr>
        <w:t>la acción popular</w:t>
      </w:r>
      <w:r w:rsidR="00AD2BA8" w:rsidRPr="005C4C0F">
        <w:rPr>
          <w:rFonts w:ascii="Arial" w:hAnsi="Arial" w:cs="Arial"/>
          <w:szCs w:val="24"/>
        </w:rPr>
        <w:t>; (</w:t>
      </w:r>
      <w:r w:rsidR="00CD73B4">
        <w:rPr>
          <w:rFonts w:ascii="Arial" w:hAnsi="Arial" w:cs="Arial"/>
          <w:szCs w:val="24"/>
        </w:rPr>
        <w:t>iii</w:t>
      </w:r>
      <w:r w:rsidR="00AD2BA8" w:rsidRPr="005C4C0F">
        <w:rPr>
          <w:rFonts w:ascii="Arial" w:hAnsi="Arial" w:cs="Arial"/>
          <w:szCs w:val="24"/>
        </w:rPr>
        <w:t xml:space="preserve">) </w:t>
      </w:r>
      <w:r w:rsidRPr="005C4C0F">
        <w:rPr>
          <w:rFonts w:ascii="Arial" w:hAnsi="Arial" w:cs="Arial"/>
          <w:szCs w:val="24"/>
        </w:rPr>
        <w:t xml:space="preserve">Se envíe copia escaneada de esta acción </w:t>
      </w:r>
      <w:r w:rsidR="00B1245A">
        <w:rPr>
          <w:rFonts w:ascii="Arial" w:hAnsi="Arial" w:cs="Arial"/>
          <w:szCs w:val="24"/>
        </w:rPr>
        <w:t xml:space="preserve">a su </w:t>
      </w:r>
      <w:r w:rsidRPr="005C4C0F">
        <w:rPr>
          <w:rFonts w:ascii="Arial" w:hAnsi="Arial" w:cs="Arial"/>
          <w:szCs w:val="24"/>
        </w:rPr>
        <w:t>correo electrónico</w:t>
      </w:r>
      <w:r w:rsidR="00CD73B4">
        <w:rPr>
          <w:rFonts w:ascii="Arial" w:hAnsi="Arial" w:cs="Arial"/>
          <w:szCs w:val="24"/>
        </w:rPr>
        <w:t xml:space="preserve"> y se le haga entrega de copia física; y, (iv) Se tramite </w:t>
      </w:r>
      <w:r w:rsidR="008E6CF4">
        <w:rPr>
          <w:rFonts w:ascii="Arial" w:hAnsi="Arial" w:cs="Arial"/>
          <w:szCs w:val="24"/>
        </w:rPr>
        <w:t xml:space="preserve">simultáneamente </w:t>
      </w:r>
      <w:r w:rsidR="00CD73B4">
        <w:rPr>
          <w:rFonts w:ascii="Arial" w:hAnsi="Arial" w:cs="Arial"/>
          <w:szCs w:val="24"/>
        </w:rPr>
        <w:t xml:space="preserve">tutela contra la </w:t>
      </w:r>
      <w:r w:rsidR="008E6CF4">
        <w:rPr>
          <w:rFonts w:ascii="Arial" w:hAnsi="Arial" w:cs="Arial"/>
          <w:szCs w:val="24"/>
        </w:rPr>
        <w:t>Defensoría</w:t>
      </w:r>
      <w:r w:rsidR="00CD73B4">
        <w:rPr>
          <w:rFonts w:ascii="Arial" w:hAnsi="Arial" w:cs="Arial"/>
          <w:szCs w:val="24"/>
        </w:rPr>
        <w:t xml:space="preserve"> del Pueblo </w:t>
      </w:r>
      <w:r w:rsidR="008E6CF4">
        <w:rPr>
          <w:rFonts w:ascii="Arial" w:hAnsi="Arial" w:cs="Arial"/>
          <w:szCs w:val="24"/>
        </w:rPr>
        <w:t>de Caldas</w:t>
      </w:r>
      <w:r w:rsidR="00800EF6" w:rsidRPr="005C4C0F">
        <w:rPr>
          <w:rFonts w:ascii="Arial" w:hAnsi="Arial" w:cs="Arial"/>
          <w:szCs w:val="24"/>
        </w:rPr>
        <w:t>.</w:t>
      </w:r>
      <w:r w:rsidR="00FD0032" w:rsidRPr="004B019A">
        <w:rPr>
          <w:rFonts w:ascii="Arial" w:hAnsi="Arial" w:cs="Arial"/>
          <w:szCs w:val="24"/>
        </w:rPr>
        <w:t xml:space="preserve"> </w:t>
      </w:r>
      <w:r w:rsidR="00B1245A">
        <w:rPr>
          <w:rFonts w:ascii="Arial" w:hAnsi="Arial" w:cs="Arial"/>
          <w:szCs w:val="24"/>
        </w:rPr>
        <w:t xml:space="preserve">(Folio 1, </w:t>
      </w:r>
      <w:r w:rsidR="008E6CF4">
        <w:rPr>
          <w:rFonts w:ascii="Arial" w:hAnsi="Arial" w:cs="Arial"/>
          <w:szCs w:val="24"/>
        </w:rPr>
        <w:t xml:space="preserve">de </w:t>
      </w:r>
      <w:r w:rsidR="00B1245A">
        <w:rPr>
          <w:rFonts w:ascii="Arial" w:hAnsi="Arial" w:cs="Arial"/>
          <w:szCs w:val="24"/>
        </w:rPr>
        <w:t>este cuaderno)</w:t>
      </w:r>
      <w:r w:rsidR="00AE09B6">
        <w:rPr>
          <w:rFonts w:ascii="Arial" w:hAnsi="Arial" w:cs="Arial"/>
          <w:szCs w:val="24"/>
        </w:rPr>
        <w:t>.</w:t>
      </w:r>
    </w:p>
    <w:p w:rsidR="00CE71D8"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8E6CF4" w:rsidRDefault="00BC760D" w:rsidP="008E6CF4">
      <w:pPr>
        <w:spacing w:line="360" w:lineRule="auto"/>
        <w:jc w:val="both"/>
        <w:rPr>
          <w:rFonts w:ascii="Arial" w:hAnsi="Arial"/>
        </w:rPr>
      </w:pPr>
      <w:r>
        <w:rPr>
          <w:rFonts w:ascii="Arial" w:hAnsi="Arial"/>
        </w:rPr>
        <w:t xml:space="preserve">Por reparto ordinario se asignó el conocimiento a este Despacho el día 10-08-2016, </w:t>
      </w:r>
      <w:r w:rsidR="008E6CF4" w:rsidRPr="00B74361">
        <w:rPr>
          <w:rFonts w:ascii="Arial" w:hAnsi="Arial"/>
        </w:rPr>
        <w:t>con providencia</w:t>
      </w:r>
      <w:r w:rsidR="008E6CF4" w:rsidRPr="008E5A62">
        <w:rPr>
          <w:rFonts w:ascii="Arial" w:hAnsi="Arial"/>
        </w:rPr>
        <w:t xml:space="preserve"> de</w:t>
      </w:r>
      <w:r w:rsidR="008E6CF4">
        <w:rPr>
          <w:rFonts w:ascii="Arial" w:hAnsi="Arial"/>
        </w:rPr>
        <w:t>l día</w:t>
      </w:r>
      <w:r>
        <w:rPr>
          <w:rFonts w:ascii="Arial" w:hAnsi="Arial"/>
        </w:rPr>
        <w:t xml:space="preserve"> hábil siguiente</w:t>
      </w:r>
      <w:r w:rsidR="008E6CF4" w:rsidRPr="008E5A62">
        <w:rPr>
          <w:rFonts w:ascii="Arial" w:hAnsi="Arial"/>
        </w:rPr>
        <w:t xml:space="preserve">, se </w:t>
      </w:r>
      <w:r>
        <w:rPr>
          <w:rFonts w:ascii="Arial" w:hAnsi="Arial"/>
        </w:rPr>
        <w:t>admitió</w:t>
      </w:r>
      <w:r w:rsidR="008E6CF4" w:rsidRPr="008E5A62">
        <w:rPr>
          <w:rFonts w:ascii="Arial" w:hAnsi="Arial"/>
        </w:rPr>
        <w:t xml:space="preserve">, se vinculó a </w:t>
      </w:r>
      <w:r w:rsidR="008E6CF4">
        <w:rPr>
          <w:rFonts w:ascii="Arial" w:hAnsi="Arial"/>
        </w:rPr>
        <w:t>quienes se estimó conveniente</w:t>
      </w:r>
      <w:r w:rsidR="008E6CF4" w:rsidRPr="008E5A62">
        <w:rPr>
          <w:rFonts w:ascii="Arial" w:hAnsi="Arial"/>
        </w:rPr>
        <w:t xml:space="preserve"> y, se dispuso notificar a la partes, entre otros ordenamientos </w:t>
      </w:r>
      <w:r w:rsidR="008E50E4">
        <w:rPr>
          <w:rFonts w:ascii="Arial" w:hAnsi="Arial"/>
        </w:rPr>
        <w:t xml:space="preserve">(Folios </w:t>
      </w:r>
      <w:r>
        <w:rPr>
          <w:rFonts w:ascii="Arial" w:hAnsi="Arial"/>
        </w:rPr>
        <w:t>4 y 5</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w:t>
      </w:r>
      <w:r w:rsidR="008E6CF4" w:rsidRPr="008E5A62">
        <w:rPr>
          <w:rFonts w:ascii="Arial" w:hAnsi="Arial"/>
        </w:rPr>
        <w:t xml:space="preserve">Fueron debidamente </w:t>
      </w:r>
      <w:r w:rsidR="008E6CF4">
        <w:rPr>
          <w:rFonts w:ascii="Arial" w:hAnsi="Arial"/>
        </w:rPr>
        <w:t xml:space="preserve">enterados </w:t>
      </w:r>
      <w:r w:rsidR="008E6CF4" w:rsidRPr="008E5A62">
        <w:rPr>
          <w:rFonts w:ascii="Arial" w:hAnsi="Arial"/>
        </w:rPr>
        <w:t xml:space="preserve">los extremos de la acción (Folios </w:t>
      </w:r>
      <w:r>
        <w:rPr>
          <w:rFonts w:ascii="Arial" w:hAnsi="Arial"/>
        </w:rPr>
        <w:t>6 a 8</w:t>
      </w:r>
      <w:r w:rsidR="008E6CF4">
        <w:rPr>
          <w:rFonts w:ascii="Arial" w:hAnsi="Arial"/>
        </w:rPr>
        <w:t>, ibídem</w:t>
      </w:r>
      <w:r w:rsidR="008E6CF4" w:rsidRPr="008E5A62">
        <w:rPr>
          <w:rFonts w:ascii="Arial" w:hAnsi="Arial"/>
        </w:rPr>
        <w:t xml:space="preserve">). </w:t>
      </w:r>
      <w:r w:rsidR="008E6CF4" w:rsidRPr="003B7741">
        <w:rPr>
          <w:rFonts w:ascii="Arial" w:hAnsi="Arial"/>
        </w:rPr>
        <w:t>Contestaron</w:t>
      </w:r>
      <w:r w:rsidR="008E6CF4">
        <w:rPr>
          <w:rFonts w:ascii="Arial" w:hAnsi="Arial"/>
        </w:rPr>
        <w:t xml:space="preserve"> la</w:t>
      </w:r>
      <w:r w:rsidR="008E6CF4" w:rsidRPr="003B7741">
        <w:rPr>
          <w:rFonts w:ascii="Arial" w:hAnsi="Arial"/>
        </w:rPr>
        <w:t xml:space="preserve"> </w:t>
      </w:r>
      <w:r w:rsidR="008E6CF4" w:rsidRPr="003B7741">
        <w:rPr>
          <w:rFonts w:ascii="Arial" w:hAnsi="Arial" w:cs="Arial"/>
        </w:rPr>
        <w:t>Procuraduría General de la Nación</w:t>
      </w:r>
      <w:r>
        <w:rPr>
          <w:rFonts w:ascii="Arial" w:hAnsi="Arial" w:cs="Arial"/>
        </w:rPr>
        <w:t>,</w:t>
      </w:r>
      <w:r w:rsidR="008E6CF4" w:rsidRPr="003B7741">
        <w:rPr>
          <w:rFonts w:ascii="Arial" w:hAnsi="Arial" w:cs="Arial"/>
        </w:rPr>
        <w:t xml:space="preserve"> Regional Risaralda</w:t>
      </w:r>
      <w:r w:rsidR="00571B10">
        <w:rPr>
          <w:rFonts w:ascii="Arial" w:hAnsi="Arial" w:cs="Arial"/>
        </w:rPr>
        <w:t xml:space="preserve"> (Folio </w:t>
      </w:r>
      <w:r>
        <w:rPr>
          <w:rFonts w:ascii="Arial" w:hAnsi="Arial" w:cs="Arial"/>
        </w:rPr>
        <w:t>39</w:t>
      </w:r>
      <w:r w:rsidR="00A2178F">
        <w:rPr>
          <w:rFonts w:ascii="Arial" w:hAnsi="Arial" w:cs="Arial"/>
        </w:rPr>
        <w:t>, ibídem)</w:t>
      </w:r>
      <w:r w:rsidR="008E6CF4">
        <w:rPr>
          <w:rFonts w:ascii="Arial" w:hAnsi="Arial" w:cs="Arial"/>
        </w:rPr>
        <w:t>,</w:t>
      </w:r>
      <w:r w:rsidR="008E6CF4" w:rsidRPr="003B7741">
        <w:rPr>
          <w:rFonts w:ascii="Arial" w:hAnsi="Arial"/>
        </w:rPr>
        <w:t xml:space="preserve"> </w:t>
      </w:r>
      <w:r>
        <w:rPr>
          <w:rFonts w:ascii="Arial" w:hAnsi="Arial"/>
        </w:rPr>
        <w:t xml:space="preserve">la Personería de Pereira </w:t>
      </w:r>
      <w:r w:rsidR="00A2178F">
        <w:rPr>
          <w:rFonts w:ascii="Arial" w:hAnsi="Arial"/>
        </w:rPr>
        <w:t xml:space="preserve">(Folios </w:t>
      </w:r>
      <w:r>
        <w:rPr>
          <w:rFonts w:ascii="Arial" w:hAnsi="Arial"/>
        </w:rPr>
        <w:t>42 a 44</w:t>
      </w:r>
      <w:r w:rsidR="00A2178F">
        <w:rPr>
          <w:rFonts w:ascii="Arial" w:hAnsi="Arial"/>
        </w:rPr>
        <w:t>, ib.),</w:t>
      </w:r>
      <w:r w:rsidR="008E6CF4">
        <w:rPr>
          <w:rFonts w:ascii="Arial" w:hAnsi="Arial"/>
        </w:rPr>
        <w:t xml:space="preserve"> la </w:t>
      </w:r>
      <w:r w:rsidR="008E6CF4" w:rsidRPr="003B7741">
        <w:rPr>
          <w:rFonts w:ascii="Arial" w:hAnsi="Arial"/>
        </w:rPr>
        <w:t>Alcaldía de Pereira</w:t>
      </w:r>
      <w:r w:rsidR="008E6CF4">
        <w:rPr>
          <w:rFonts w:ascii="Arial" w:hAnsi="Arial"/>
        </w:rPr>
        <w:t xml:space="preserve"> </w:t>
      </w:r>
      <w:r w:rsidR="008E6CF4" w:rsidRPr="003B6DD2">
        <w:rPr>
          <w:rFonts w:ascii="Arial" w:hAnsi="Arial"/>
        </w:rPr>
        <w:t xml:space="preserve">(Folios </w:t>
      </w:r>
      <w:r>
        <w:rPr>
          <w:rFonts w:ascii="Arial" w:hAnsi="Arial"/>
        </w:rPr>
        <w:t>46 a 49</w:t>
      </w:r>
      <w:r w:rsidR="00A2178F">
        <w:rPr>
          <w:rFonts w:ascii="Arial" w:hAnsi="Arial"/>
        </w:rPr>
        <w:t>, ib.)</w:t>
      </w:r>
      <w:r w:rsidR="001123F4">
        <w:rPr>
          <w:rFonts w:ascii="Arial" w:hAnsi="Arial"/>
        </w:rPr>
        <w:t xml:space="preserve"> </w:t>
      </w:r>
      <w:r w:rsidR="00FE52BE">
        <w:rPr>
          <w:rFonts w:ascii="Arial" w:hAnsi="Arial"/>
        </w:rPr>
        <w:t>y la Defensoría del Pueblo</w:t>
      </w:r>
      <w:r>
        <w:rPr>
          <w:rFonts w:ascii="Arial" w:hAnsi="Arial"/>
        </w:rPr>
        <w:t>,</w:t>
      </w:r>
      <w:r w:rsidR="00FE52BE">
        <w:rPr>
          <w:rFonts w:ascii="Arial" w:hAnsi="Arial"/>
        </w:rPr>
        <w:t xml:space="preserve"> Regional Caldas </w:t>
      </w:r>
      <w:r w:rsidR="001123F4">
        <w:rPr>
          <w:rFonts w:ascii="Arial" w:hAnsi="Arial"/>
        </w:rPr>
        <w:t xml:space="preserve">(Folios </w:t>
      </w:r>
      <w:r>
        <w:rPr>
          <w:rFonts w:ascii="Arial" w:hAnsi="Arial"/>
        </w:rPr>
        <w:t>62 a 73</w:t>
      </w:r>
      <w:r w:rsidR="001123F4">
        <w:rPr>
          <w:rFonts w:ascii="Arial" w:hAnsi="Arial"/>
        </w:rPr>
        <w:t>, ib.)</w:t>
      </w:r>
      <w:r w:rsidR="008E6CF4" w:rsidRPr="003B6DD2">
        <w:rPr>
          <w:rFonts w:ascii="Arial" w:hAnsi="Arial"/>
        </w:rPr>
        <w:t>.</w:t>
      </w:r>
      <w:r>
        <w:rPr>
          <w:rFonts w:ascii="Arial" w:hAnsi="Arial"/>
        </w:rPr>
        <w:t xml:space="preserve"> El accionado arrimó las copias requeridas (Folios 11 a 37, ib.)</w:t>
      </w:r>
    </w:p>
    <w:p w:rsidR="00687FAC" w:rsidRPr="00704D44" w:rsidRDefault="00687FAC" w:rsidP="00687FAC">
      <w:pPr>
        <w:pStyle w:val="Sinespaciado"/>
        <w:tabs>
          <w:tab w:val="left" w:pos="1200"/>
        </w:tabs>
        <w:spacing w:line="360" w:lineRule="auto"/>
        <w:jc w:val="both"/>
        <w:rPr>
          <w:rFonts w:ascii="Arial" w:hAnsi="Arial"/>
          <w:szCs w:val="24"/>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Default="006F4450" w:rsidP="006F4450">
      <w:pPr>
        <w:spacing w:line="360" w:lineRule="auto"/>
        <w:jc w:val="both"/>
        <w:rPr>
          <w:rFonts w:ascii="Arial" w:hAnsi="Arial"/>
        </w:rPr>
      </w:pPr>
    </w:p>
    <w:p w:rsidR="00FE52BE" w:rsidRDefault="00FE52BE" w:rsidP="00FE52BE">
      <w:pPr>
        <w:pStyle w:val="Prrafodelista"/>
        <w:numPr>
          <w:ilvl w:val="1"/>
          <w:numId w:val="25"/>
        </w:numPr>
        <w:spacing w:line="360" w:lineRule="auto"/>
        <w:jc w:val="both"/>
        <w:rPr>
          <w:rFonts w:ascii="Arial" w:hAnsi="Arial"/>
        </w:rPr>
      </w:pPr>
      <w:r>
        <w:rPr>
          <w:rFonts w:ascii="Arial" w:hAnsi="Arial"/>
        </w:rPr>
        <w:t xml:space="preserve">La </w:t>
      </w:r>
      <w:r>
        <w:rPr>
          <w:rFonts w:ascii="Arial" w:hAnsi="Arial" w:cs="Arial"/>
        </w:rPr>
        <w:t>Procuraduría General de la Nación Regional Risaralda</w:t>
      </w:r>
    </w:p>
    <w:p w:rsidR="00FE52BE" w:rsidRDefault="00FE52BE" w:rsidP="00FE52BE">
      <w:pPr>
        <w:spacing w:line="360" w:lineRule="auto"/>
        <w:jc w:val="both"/>
        <w:rPr>
          <w:rFonts w:ascii="Arial" w:hAnsi="Arial"/>
        </w:rPr>
      </w:pPr>
    </w:p>
    <w:p w:rsidR="00FE52BE" w:rsidRDefault="00FE52BE" w:rsidP="00FE52BE">
      <w:pPr>
        <w:spacing w:line="360" w:lineRule="auto"/>
        <w:jc w:val="both"/>
        <w:rPr>
          <w:rFonts w:ascii="Arial" w:hAnsi="Arial"/>
        </w:rPr>
      </w:pPr>
      <w:r>
        <w:rPr>
          <w:rFonts w:ascii="Arial" w:hAnsi="Arial"/>
        </w:rPr>
        <w:t xml:space="preserve">Refirió su papel en las acciones populares; adujo que la situación alegada, es ajena a su función, por lo que solicitó su desvinculación </w:t>
      </w:r>
      <w:r>
        <w:rPr>
          <w:rFonts w:ascii="Arial" w:hAnsi="Arial" w:cs="Arial"/>
          <w:spacing w:val="3"/>
        </w:rPr>
        <w:t xml:space="preserve">(Folio </w:t>
      </w:r>
      <w:r w:rsidR="00BC760D">
        <w:rPr>
          <w:rFonts w:ascii="Arial" w:hAnsi="Arial" w:cs="Arial"/>
          <w:spacing w:val="3"/>
        </w:rPr>
        <w:t>39</w:t>
      </w:r>
      <w:r>
        <w:rPr>
          <w:rFonts w:ascii="Arial" w:hAnsi="Arial" w:cs="Arial"/>
          <w:spacing w:val="3"/>
        </w:rPr>
        <w:t>, ib.)</w:t>
      </w:r>
      <w:r>
        <w:rPr>
          <w:rFonts w:ascii="Arial" w:hAnsi="Arial"/>
        </w:rPr>
        <w:t xml:space="preserve">. </w:t>
      </w:r>
    </w:p>
    <w:p w:rsidR="00FE52BE" w:rsidRDefault="00FE52BE" w:rsidP="006F4450">
      <w:pPr>
        <w:spacing w:line="360" w:lineRule="auto"/>
        <w:jc w:val="both"/>
        <w:rPr>
          <w:rFonts w:ascii="Arial" w:hAnsi="Arial"/>
        </w:rPr>
      </w:pPr>
    </w:p>
    <w:p w:rsidR="00A538AF" w:rsidRDefault="00A538AF" w:rsidP="00A538AF">
      <w:pPr>
        <w:pStyle w:val="Prrafodelista"/>
        <w:numPr>
          <w:ilvl w:val="1"/>
          <w:numId w:val="25"/>
        </w:numPr>
        <w:spacing w:line="360" w:lineRule="auto"/>
        <w:jc w:val="both"/>
        <w:rPr>
          <w:rFonts w:ascii="Arial" w:hAnsi="Arial"/>
        </w:rPr>
      </w:pPr>
      <w:r>
        <w:rPr>
          <w:rFonts w:ascii="Arial" w:hAnsi="Arial"/>
        </w:rPr>
        <w:t>La Personería Municipal de Pereira</w:t>
      </w:r>
    </w:p>
    <w:p w:rsidR="00A538AF" w:rsidRDefault="00A538AF" w:rsidP="00A538AF">
      <w:pPr>
        <w:pStyle w:val="Prrafodelista"/>
        <w:spacing w:line="360" w:lineRule="auto"/>
        <w:ind w:left="720"/>
        <w:jc w:val="both"/>
        <w:rPr>
          <w:rFonts w:ascii="Arial" w:hAnsi="Arial"/>
          <w:sz w:val="22"/>
        </w:rPr>
      </w:pPr>
    </w:p>
    <w:p w:rsidR="00A538AF" w:rsidRDefault="00A538AF" w:rsidP="00A538AF">
      <w:pPr>
        <w:spacing w:line="360" w:lineRule="auto"/>
        <w:jc w:val="both"/>
        <w:rPr>
          <w:rFonts w:ascii="Arial" w:hAnsi="Arial"/>
        </w:rPr>
      </w:pPr>
      <w:r>
        <w:rPr>
          <w:rFonts w:ascii="Arial" w:hAnsi="Arial"/>
        </w:rPr>
        <w:lastRenderedPageBreak/>
        <w:t xml:space="preserve">Anotó que es el aparato judicial el competente para tramitar las acciones populares, y por tanto, no se le puede imputar responsabilidad alguna en la vulneración de los derechos invocados (Folios </w:t>
      </w:r>
      <w:r>
        <w:rPr>
          <w:rFonts w:ascii="Arial" w:hAnsi="Arial"/>
          <w:lang w:val="es-CO"/>
        </w:rPr>
        <w:t>42 a 44</w:t>
      </w:r>
      <w:r>
        <w:rPr>
          <w:rFonts w:ascii="Arial" w:hAnsi="Arial"/>
        </w:rPr>
        <w:t>, ib.).</w:t>
      </w:r>
    </w:p>
    <w:p w:rsidR="00A538AF" w:rsidRDefault="00A538AF" w:rsidP="006F4450">
      <w:pPr>
        <w:spacing w:line="360" w:lineRule="auto"/>
        <w:jc w:val="both"/>
        <w:rPr>
          <w:rFonts w:ascii="Arial" w:hAnsi="Arial"/>
        </w:rPr>
      </w:pPr>
    </w:p>
    <w:p w:rsidR="00EE2E34" w:rsidRDefault="00EE2E34" w:rsidP="00EE2E34">
      <w:pPr>
        <w:pStyle w:val="Prrafodelista"/>
        <w:numPr>
          <w:ilvl w:val="1"/>
          <w:numId w:val="18"/>
        </w:numPr>
        <w:spacing w:line="360" w:lineRule="auto"/>
        <w:jc w:val="both"/>
        <w:rPr>
          <w:rFonts w:ascii="Arial" w:hAnsi="Arial"/>
        </w:rPr>
      </w:pPr>
      <w:r>
        <w:rPr>
          <w:rFonts w:ascii="Arial" w:hAnsi="Arial"/>
        </w:rPr>
        <w:t>La Alcaldía de Pereira</w:t>
      </w:r>
    </w:p>
    <w:p w:rsidR="00EE2E34" w:rsidRDefault="00EE2E34" w:rsidP="00EE2E34">
      <w:pPr>
        <w:spacing w:line="360" w:lineRule="auto"/>
        <w:jc w:val="both"/>
        <w:rPr>
          <w:rFonts w:ascii="Arial" w:hAnsi="Arial"/>
        </w:rPr>
      </w:pPr>
    </w:p>
    <w:p w:rsidR="00EE2E34" w:rsidRDefault="00B81FDA" w:rsidP="00EE2E34">
      <w:pPr>
        <w:spacing w:line="360" w:lineRule="auto"/>
        <w:jc w:val="both"/>
        <w:rPr>
          <w:rFonts w:ascii="Arial" w:hAnsi="Arial"/>
        </w:rPr>
      </w:pPr>
      <w:r>
        <w:rPr>
          <w:rFonts w:ascii="Arial" w:hAnsi="Arial"/>
        </w:rPr>
        <w:t>C</w:t>
      </w:r>
      <w:r w:rsidR="00EE2E34">
        <w:rPr>
          <w:rFonts w:ascii="Arial" w:hAnsi="Arial"/>
        </w:rPr>
        <w:t>onsideró que no está legitimada en el extremo pasivo de esta acción,</w:t>
      </w:r>
      <w:r w:rsidR="00EE2E34" w:rsidRPr="00FF4929">
        <w:rPr>
          <w:rFonts w:ascii="Arial" w:hAnsi="Arial"/>
        </w:rPr>
        <w:t xml:space="preserve"> porque la presunta vulneración le es solo atribuible al accionado</w:t>
      </w:r>
      <w:r w:rsidR="00EE2E34">
        <w:rPr>
          <w:rFonts w:ascii="Arial" w:hAnsi="Arial"/>
        </w:rPr>
        <w:t>;</w:t>
      </w:r>
      <w:r w:rsidR="005A7ACC">
        <w:rPr>
          <w:rFonts w:ascii="Arial" w:hAnsi="Arial"/>
        </w:rPr>
        <w:t xml:space="preserve"> y,</w:t>
      </w:r>
      <w:r w:rsidR="00EE2E34">
        <w:rPr>
          <w:rFonts w:ascii="Arial" w:hAnsi="Arial"/>
        </w:rPr>
        <w:t xml:space="preserve"> en esas condiciones </w:t>
      </w:r>
      <w:r w:rsidR="00BC760D">
        <w:rPr>
          <w:rFonts w:ascii="Arial" w:hAnsi="Arial"/>
        </w:rPr>
        <w:t xml:space="preserve">pidió su desvinculación </w:t>
      </w:r>
      <w:r w:rsidR="00EE2E34">
        <w:rPr>
          <w:rFonts w:ascii="Arial" w:hAnsi="Arial"/>
        </w:rPr>
        <w:t xml:space="preserve">(Folios </w:t>
      </w:r>
      <w:r w:rsidR="00BC760D">
        <w:rPr>
          <w:rFonts w:ascii="Arial" w:hAnsi="Arial"/>
        </w:rPr>
        <w:t>46 a 49</w:t>
      </w:r>
      <w:r w:rsidR="00EE2E34">
        <w:rPr>
          <w:rFonts w:ascii="Arial" w:hAnsi="Arial"/>
        </w:rPr>
        <w:t>, ib.)</w:t>
      </w:r>
      <w:r w:rsidR="00A538AF">
        <w:rPr>
          <w:rFonts w:ascii="Arial" w:hAnsi="Arial"/>
        </w:rPr>
        <w:t>.</w:t>
      </w:r>
    </w:p>
    <w:p w:rsidR="00EE2E34" w:rsidRDefault="00EE2E34" w:rsidP="006F4450">
      <w:pPr>
        <w:spacing w:line="360" w:lineRule="auto"/>
        <w:jc w:val="both"/>
        <w:rPr>
          <w:rFonts w:ascii="Arial" w:hAnsi="Arial"/>
        </w:rPr>
      </w:pPr>
    </w:p>
    <w:p w:rsidR="00B81FDA" w:rsidRDefault="00B81FDA" w:rsidP="00B81FDA">
      <w:pPr>
        <w:pStyle w:val="Prrafodelista"/>
        <w:numPr>
          <w:ilvl w:val="1"/>
          <w:numId w:val="18"/>
        </w:numPr>
        <w:spacing w:line="360" w:lineRule="auto"/>
        <w:jc w:val="both"/>
        <w:rPr>
          <w:rFonts w:ascii="Arial" w:hAnsi="Arial"/>
        </w:rPr>
      </w:pPr>
      <w:r>
        <w:rPr>
          <w:rFonts w:ascii="Arial" w:hAnsi="Arial"/>
        </w:rPr>
        <w:t>La Defensoría del Pueblo Regional Caldas</w:t>
      </w:r>
    </w:p>
    <w:p w:rsidR="00B81FDA" w:rsidRDefault="00B81FDA" w:rsidP="00B81FDA">
      <w:pPr>
        <w:spacing w:line="360" w:lineRule="auto"/>
        <w:jc w:val="both"/>
        <w:rPr>
          <w:rFonts w:ascii="Arial" w:hAnsi="Arial"/>
        </w:rPr>
      </w:pPr>
    </w:p>
    <w:p w:rsidR="00B81FDA" w:rsidRPr="00B81FDA" w:rsidRDefault="00724752" w:rsidP="00B81FDA">
      <w:pPr>
        <w:spacing w:line="360" w:lineRule="auto"/>
        <w:jc w:val="both"/>
        <w:rPr>
          <w:rFonts w:ascii="Arial" w:hAnsi="Arial"/>
        </w:rPr>
      </w:pPr>
      <w:r>
        <w:rPr>
          <w:rFonts w:ascii="Arial" w:hAnsi="Arial"/>
        </w:rPr>
        <w:t xml:space="preserve">Manifestó que desde el año 2014 designó un defensor público para que </w:t>
      </w:r>
      <w:r w:rsidR="00E13B07">
        <w:rPr>
          <w:rFonts w:ascii="Arial" w:hAnsi="Arial"/>
        </w:rPr>
        <w:t>brindara asesoría al actor</w:t>
      </w:r>
      <w:r>
        <w:rPr>
          <w:rFonts w:ascii="Arial" w:hAnsi="Arial"/>
        </w:rPr>
        <w:t>, hizo un recuento de las actuaciones</w:t>
      </w:r>
      <w:r w:rsidR="00E13B07">
        <w:rPr>
          <w:rFonts w:ascii="Arial" w:hAnsi="Arial"/>
        </w:rPr>
        <w:t xml:space="preserve"> adelantadas y de las distintas solicitudes presentadas, </w:t>
      </w:r>
      <w:r>
        <w:rPr>
          <w:rFonts w:ascii="Arial" w:hAnsi="Arial"/>
        </w:rPr>
        <w:t xml:space="preserve">para concluir el abuso que </w:t>
      </w:r>
      <w:r w:rsidR="00E13B07">
        <w:rPr>
          <w:rFonts w:ascii="Arial" w:hAnsi="Arial"/>
        </w:rPr>
        <w:t xml:space="preserve">se hace de las </w:t>
      </w:r>
      <w:r>
        <w:rPr>
          <w:rFonts w:ascii="Arial" w:hAnsi="Arial"/>
        </w:rPr>
        <w:t>acciones constitucionales</w:t>
      </w:r>
      <w:r w:rsidR="00E13B07">
        <w:rPr>
          <w:rFonts w:ascii="Arial" w:hAnsi="Arial"/>
        </w:rPr>
        <w:t xml:space="preserve">. </w:t>
      </w:r>
      <w:r w:rsidR="002B48D5">
        <w:rPr>
          <w:rFonts w:ascii="Arial" w:hAnsi="Arial"/>
        </w:rPr>
        <w:t>Asimismo, c</w:t>
      </w:r>
      <w:r w:rsidR="00E13B07">
        <w:rPr>
          <w:rFonts w:ascii="Arial" w:hAnsi="Arial"/>
        </w:rPr>
        <w:t>onsideró que el accionante actúa con temeridad y mala fe porque con el amparo pretende el reconocimiento de intereses económicos (</w:t>
      </w:r>
      <w:r w:rsidR="002B48D5">
        <w:rPr>
          <w:rFonts w:ascii="Arial" w:hAnsi="Arial"/>
        </w:rPr>
        <w:t xml:space="preserve">Folios </w:t>
      </w:r>
      <w:r w:rsidR="00A538AF">
        <w:rPr>
          <w:rFonts w:ascii="Arial" w:hAnsi="Arial"/>
        </w:rPr>
        <w:t>62 a 73</w:t>
      </w:r>
      <w:r w:rsidR="002B48D5">
        <w:rPr>
          <w:rFonts w:ascii="Arial" w:hAnsi="Arial"/>
        </w:rPr>
        <w:t>, ib.).</w:t>
      </w:r>
    </w:p>
    <w:p w:rsidR="00E04790" w:rsidRDefault="00E04790" w:rsidP="00264032">
      <w:pPr>
        <w:spacing w:line="360" w:lineRule="auto"/>
        <w:jc w:val="both"/>
        <w:rPr>
          <w:rFonts w:ascii="Arial" w:hAnsi="Arial"/>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Default="00D8627D"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sidR="00A538AF">
        <w:rPr>
          <w:rFonts w:ascii="Arial" w:hAnsi="Arial" w:cs="Arial"/>
          <w:sz w:val="24"/>
          <w:szCs w:val="24"/>
        </w:rPr>
        <w:t xml:space="preserve">Cuarto </w:t>
      </w:r>
      <w:r>
        <w:rPr>
          <w:rFonts w:ascii="Arial" w:hAnsi="Arial" w:cs="Arial"/>
          <w:sz w:val="24"/>
          <w:szCs w:val="24"/>
        </w:rPr>
        <w:t xml:space="preserve">Civil del Circuito de Pereira </w:t>
      </w:r>
      <w:r w:rsidRPr="004A1A69">
        <w:rPr>
          <w:rFonts w:ascii="Arial" w:hAnsi="Arial" w:cs="Arial"/>
          <w:sz w:val="24"/>
          <w:szCs w:val="24"/>
        </w:rPr>
        <w:t xml:space="preserve">(Artículos 86 de la CP, 37 </w:t>
      </w:r>
      <w:r w:rsidRPr="00CB3FF7">
        <w:rPr>
          <w:rFonts w:ascii="Arial" w:hAnsi="Arial" w:cs="Arial"/>
          <w:sz w:val="24"/>
          <w:szCs w:val="24"/>
        </w:rPr>
        <w:t>del Decreto 2591 de 1991 y Decreto 1382 de 2000).</w:t>
      </w:r>
    </w:p>
    <w:p w:rsidR="00D8627D" w:rsidRDefault="00D8627D" w:rsidP="00CF429F">
      <w:pPr>
        <w:pStyle w:val="Sangra2detindependiente"/>
        <w:spacing w:after="0" w:line="360" w:lineRule="auto"/>
        <w:ind w:left="0"/>
        <w:jc w:val="both"/>
        <w:rPr>
          <w:rFonts w:ascii="Arial" w:hAnsi="Arial" w:cs="Arial"/>
          <w:sz w:val="24"/>
          <w:szCs w:val="24"/>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Default="00984EE4" w:rsidP="00CF429F">
      <w:pPr>
        <w:pStyle w:val="Textoindependiente"/>
        <w:tabs>
          <w:tab w:val="clear" w:pos="708"/>
          <w:tab w:val="clear" w:pos="1416"/>
          <w:tab w:val="left" w:pos="709"/>
          <w:tab w:val="left" w:pos="1418"/>
        </w:tabs>
        <w:spacing w:line="360" w:lineRule="auto"/>
        <w:rPr>
          <w:rFonts w:ascii="Arial" w:hAnsi="Arial"/>
          <w:sz w:val="22"/>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A538AF">
        <w:rPr>
          <w:rFonts w:ascii="Arial" w:hAnsi="Arial" w:cs="Arial"/>
        </w:rPr>
        <w:t xml:space="preserve">Cuarto </w:t>
      </w:r>
      <w:r w:rsidR="006B4D62">
        <w:rPr>
          <w:rFonts w:ascii="Arial" w:hAnsi="Arial" w:cs="Arial"/>
        </w:rPr>
        <w:t xml:space="preserve"> </w:t>
      </w:r>
      <w:r w:rsidR="00DE74E7">
        <w:rPr>
          <w:rFonts w:ascii="Arial" w:hAnsi="Arial" w:cs="Arial"/>
        </w:rPr>
        <w:t>Civil del Circuito de Pereira</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A538AF">
        <w:rPr>
          <w:rFonts w:ascii="Arial" w:hAnsi="Arial" w:cs="Arial"/>
          <w:spacing w:val="-3"/>
          <w:lang w:val="es-ES_tradnl"/>
        </w:rPr>
        <w:t>la</w:t>
      </w:r>
      <w:r w:rsidR="00C072A0">
        <w:rPr>
          <w:rFonts w:ascii="Arial" w:hAnsi="Arial" w:cs="Arial"/>
          <w:spacing w:val="-3"/>
          <w:lang w:val="es-ES_tradnl"/>
        </w:rPr>
        <w:t xml:space="preserve"> </w:t>
      </w:r>
      <w:r w:rsidR="00A538AF">
        <w:rPr>
          <w:rFonts w:ascii="Arial" w:hAnsi="Arial" w:cs="Arial"/>
          <w:spacing w:val="-3"/>
          <w:lang w:val="es-ES_tradnl"/>
        </w:rPr>
        <w:t>acción popular</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Pr="00765006"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765006">
        <w:rPr>
          <w:rFonts w:ascii="Arial" w:hAnsi="Arial"/>
          <w:szCs w:val="24"/>
        </w:rPr>
        <w:t>La resolución del problema jurídico</w:t>
      </w:r>
    </w:p>
    <w:p w:rsidR="008F34B8" w:rsidRPr="00765006"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A538AF" w:rsidRPr="00765006" w:rsidRDefault="00A538AF" w:rsidP="00A538AF">
      <w:pPr>
        <w:pStyle w:val="Textoindependiente"/>
        <w:numPr>
          <w:ilvl w:val="2"/>
          <w:numId w:val="18"/>
        </w:numPr>
        <w:tabs>
          <w:tab w:val="clear" w:pos="0"/>
          <w:tab w:val="clear" w:pos="708"/>
          <w:tab w:val="clear" w:pos="1416"/>
          <w:tab w:val="left" w:pos="709"/>
        </w:tabs>
        <w:spacing w:line="360" w:lineRule="auto"/>
        <w:rPr>
          <w:rFonts w:ascii="Arial" w:hAnsi="Arial"/>
          <w:szCs w:val="24"/>
        </w:rPr>
      </w:pPr>
      <w:r w:rsidRPr="00765006">
        <w:rPr>
          <w:rFonts w:ascii="Arial" w:hAnsi="Arial"/>
          <w:szCs w:val="24"/>
        </w:rPr>
        <w:t>La legitimación en la causa</w:t>
      </w:r>
    </w:p>
    <w:p w:rsidR="00A538AF" w:rsidRPr="00765006" w:rsidRDefault="00A538AF" w:rsidP="00A538AF">
      <w:pPr>
        <w:pStyle w:val="Textoindependiente"/>
        <w:spacing w:line="360" w:lineRule="auto"/>
        <w:rPr>
          <w:rFonts w:ascii="Arial" w:hAnsi="Arial" w:cs="Arial"/>
          <w:szCs w:val="24"/>
        </w:rPr>
      </w:pPr>
    </w:p>
    <w:p w:rsidR="00A538AF" w:rsidRPr="00765006" w:rsidRDefault="00A538AF" w:rsidP="00A538AF">
      <w:pPr>
        <w:pStyle w:val="Textoindependiente"/>
        <w:spacing w:line="360" w:lineRule="auto"/>
        <w:rPr>
          <w:rFonts w:ascii="Arial" w:hAnsi="Arial" w:cs="Arial"/>
          <w:szCs w:val="24"/>
        </w:rPr>
      </w:pPr>
      <w:r w:rsidRPr="00765006">
        <w:rPr>
          <w:rFonts w:ascii="Arial" w:hAnsi="Arial" w:cs="Arial"/>
          <w:szCs w:val="24"/>
        </w:rPr>
        <w:t>Se cumple la legitimación por activa dado que el actor, es coadyuvante del accionante en el amparo constitucional en el que se reprocha la falta al debido proceso (</w:t>
      </w:r>
      <w:r w:rsidR="00765006" w:rsidRPr="00765006">
        <w:rPr>
          <w:rFonts w:ascii="Arial" w:hAnsi="Arial" w:cs="Arial"/>
          <w:szCs w:val="24"/>
        </w:rPr>
        <w:t xml:space="preserve">Artículo 24, Ley </w:t>
      </w:r>
      <w:r w:rsidR="00765006" w:rsidRPr="00765006">
        <w:rPr>
          <w:rFonts w:ascii="Arial" w:hAnsi="Arial" w:cs="Arial"/>
          <w:szCs w:val="24"/>
        </w:rPr>
        <w:lastRenderedPageBreak/>
        <w:t xml:space="preserve">472 en consonancia con el </w:t>
      </w:r>
      <w:r w:rsidR="00765006" w:rsidRPr="00765006">
        <w:rPr>
          <w:rFonts w:ascii="Arial" w:hAnsi="Arial" w:cs="Arial"/>
          <w:color w:val="000000"/>
          <w:szCs w:val="27"/>
          <w:shd w:val="clear" w:color="auto" w:fill="FFFFFF"/>
        </w:rPr>
        <w:t>artículo 71 del CGP)</w:t>
      </w:r>
      <w:r w:rsidRPr="00765006">
        <w:rPr>
          <w:rFonts w:ascii="Arial" w:hAnsi="Arial" w:cs="Arial"/>
          <w:szCs w:val="24"/>
        </w:rPr>
        <w:t xml:space="preserve">. Y por pasiva, lo es el Juzgado </w:t>
      </w:r>
      <w:r w:rsidR="00765006" w:rsidRPr="00765006">
        <w:rPr>
          <w:rFonts w:ascii="Arial" w:hAnsi="Arial" w:cs="Arial"/>
          <w:szCs w:val="24"/>
        </w:rPr>
        <w:t xml:space="preserve">Cuarto </w:t>
      </w:r>
      <w:r w:rsidRPr="00765006">
        <w:rPr>
          <w:rFonts w:ascii="Arial" w:hAnsi="Arial" w:cs="Arial"/>
          <w:szCs w:val="24"/>
        </w:rPr>
        <w:t xml:space="preserve"> Civil del Circuito de Pereira, al ser la autoridad judicial que conoce de</w:t>
      </w:r>
      <w:r w:rsidR="001E5C81">
        <w:rPr>
          <w:rFonts w:ascii="Arial" w:hAnsi="Arial" w:cs="Arial"/>
          <w:szCs w:val="24"/>
        </w:rPr>
        <w:t>l</w:t>
      </w:r>
      <w:r w:rsidRPr="00765006">
        <w:rPr>
          <w:rFonts w:ascii="Arial" w:hAnsi="Arial" w:cs="Arial"/>
          <w:szCs w:val="24"/>
        </w:rPr>
        <w:t xml:space="preserve"> </w:t>
      </w:r>
      <w:r w:rsidR="001E5C81">
        <w:rPr>
          <w:rFonts w:ascii="Arial" w:hAnsi="Arial" w:cs="Arial"/>
          <w:szCs w:val="24"/>
        </w:rPr>
        <w:t>juicio</w:t>
      </w:r>
      <w:r w:rsidRPr="00765006">
        <w:rPr>
          <w:rFonts w:ascii="Arial" w:hAnsi="Arial" w:cs="Arial"/>
          <w:szCs w:val="24"/>
        </w:rPr>
        <w:t>.</w:t>
      </w:r>
    </w:p>
    <w:p w:rsidR="00A538AF" w:rsidRPr="00A538AF" w:rsidRDefault="00A538AF" w:rsidP="00A538AF">
      <w:pPr>
        <w:pStyle w:val="Textoindependiente"/>
        <w:spacing w:line="360" w:lineRule="auto"/>
        <w:rPr>
          <w:rFonts w:ascii="Arial" w:hAnsi="Arial" w:cs="Arial"/>
          <w:szCs w:val="24"/>
          <w:highlight w:val="yellow"/>
        </w:rPr>
      </w:pPr>
    </w:p>
    <w:p w:rsidR="00A538AF" w:rsidRDefault="00A538AF" w:rsidP="00A538AF">
      <w:pPr>
        <w:widowControl/>
        <w:spacing w:line="360" w:lineRule="auto"/>
        <w:jc w:val="both"/>
        <w:rPr>
          <w:rFonts w:ascii="Arial" w:hAnsi="Arial" w:cs="Arial"/>
        </w:rPr>
      </w:pPr>
      <w:r w:rsidRPr="00765006">
        <w:rPr>
          <w:rFonts w:ascii="Arial" w:hAnsi="Arial" w:cs="Arial"/>
        </w:rPr>
        <w:t>Como los litisconsortes vinculados a este trámite, eventuales afectados con la acción constitucional, no incurrieron en violación o amenaza alguna, se negará la tutela frente a ellos.</w:t>
      </w:r>
    </w:p>
    <w:p w:rsidR="00A538AF" w:rsidRPr="00326A31" w:rsidRDefault="00A538AF"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FF5B57" w:rsidRDefault="00FF5B57" w:rsidP="00FF5B5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Las sub-reglas de análisis en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6B4D62" w:rsidRDefault="006B4D62" w:rsidP="006B4D6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xml:space="preserve">, que consistió básicamente en sustituir la expresión “vías de hecho” a la de “causales genéricas de </w:t>
      </w:r>
      <w:proofErr w:type="spellStart"/>
      <w:r w:rsidRPr="006A3AB9">
        <w:rPr>
          <w:rFonts w:ascii="Arial" w:hAnsi="Arial" w:cs="Arial"/>
          <w:szCs w:val="24"/>
        </w:rPr>
        <w:t>procedibilidad</w:t>
      </w:r>
      <w:proofErr w:type="spellEnd"/>
      <w:r w:rsidRPr="006A3AB9">
        <w:rPr>
          <w:rFonts w:ascii="Arial" w:hAnsi="Arial" w:cs="Arial"/>
          <w:szCs w:val="24"/>
        </w:rPr>
        <w:t>” y ensanchar las causales, pasando de cuatro (4) a ocho (8), es decir, las “causales especiales”, que deben reunirse para adentrarse en el estudio concreto del caso.</w:t>
      </w:r>
    </w:p>
    <w:p w:rsidR="00FF5B57" w:rsidRPr="008740E9" w:rsidRDefault="00FF5B57" w:rsidP="00FF5B57">
      <w:pPr>
        <w:pStyle w:val="Textoindependiente"/>
        <w:spacing w:line="360" w:lineRule="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F5B57" w:rsidRPr="008740E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F5B57" w:rsidRPr="006A3AB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8215CB" w:rsidRDefault="008215CB" w:rsidP="00FF5B57">
      <w:pPr>
        <w:pStyle w:val="Textoindependiente"/>
        <w:spacing w:line="360" w:lineRule="auto"/>
        <w:rPr>
          <w:rFonts w:ascii="Arial" w:hAnsi="Arial" w:cs="Arial"/>
          <w:szCs w:val="24"/>
        </w:rPr>
      </w:pPr>
    </w:p>
    <w:p w:rsidR="00765006" w:rsidRPr="00DA7FE8" w:rsidRDefault="00765006" w:rsidP="00765006">
      <w:pPr>
        <w:pStyle w:val="Prrafodelista"/>
        <w:numPr>
          <w:ilvl w:val="2"/>
          <w:numId w:val="18"/>
        </w:numPr>
        <w:spacing w:line="360" w:lineRule="auto"/>
        <w:ind w:right="22"/>
        <w:jc w:val="both"/>
        <w:rPr>
          <w:rFonts w:ascii="Arial" w:hAnsi="Arial" w:cs="Arial"/>
          <w:szCs w:val="22"/>
          <w:lang w:val="es-ES_tradnl"/>
        </w:rPr>
      </w:pPr>
      <w:r w:rsidRPr="00DA7FE8">
        <w:rPr>
          <w:rFonts w:ascii="Arial" w:hAnsi="Arial" w:cs="Arial"/>
          <w:szCs w:val="22"/>
          <w:lang w:val="es-ES_tradnl"/>
        </w:rPr>
        <w:t>El defecto sustantivo o material</w:t>
      </w:r>
    </w:p>
    <w:p w:rsidR="00765006" w:rsidRDefault="00765006" w:rsidP="00765006">
      <w:pPr>
        <w:spacing w:line="360" w:lineRule="auto"/>
        <w:ind w:right="22"/>
        <w:jc w:val="both"/>
        <w:rPr>
          <w:rFonts w:ascii="Arial" w:hAnsi="Arial" w:cs="Arial"/>
          <w:szCs w:val="22"/>
          <w:lang w:val="es-ES_tradnl"/>
        </w:rPr>
      </w:pPr>
    </w:p>
    <w:p w:rsidR="00765006" w:rsidRDefault="00765006" w:rsidP="00765006">
      <w:pPr>
        <w:spacing w:line="360" w:lineRule="auto"/>
        <w:ind w:right="22"/>
        <w:jc w:val="both"/>
        <w:rPr>
          <w:rFonts w:ascii="Arial" w:hAnsi="Arial" w:cs="Arial"/>
          <w:szCs w:val="22"/>
          <w:lang w:val="es-ES_tradnl"/>
        </w:rPr>
      </w:pPr>
      <w:r>
        <w:rPr>
          <w:rFonts w:ascii="Arial" w:hAnsi="Arial" w:cs="Arial"/>
          <w:szCs w:val="22"/>
          <w:lang w:val="es-ES_tradnl"/>
        </w:rPr>
        <w:t>La doctrina constitucional, a lo largo de su evolución, ha definido aquellos eventos en los cuales se comete tal anomalía, y ha dicho que consiste en una decisión fundada en normas indiscutiblemente inaplicables</w:t>
      </w:r>
      <w:r>
        <w:rPr>
          <w:rStyle w:val="Refdenotaalpie"/>
          <w:rFonts w:ascii="Arial" w:hAnsi="Arial"/>
          <w:szCs w:val="22"/>
          <w:lang w:val="es-ES_tradnl"/>
        </w:rPr>
        <w:footnoteReference w:id="8"/>
      </w:r>
      <w:r>
        <w:rPr>
          <w:rFonts w:ascii="Arial" w:hAnsi="Arial" w:cs="Arial"/>
          <w:szCs w:val="22"/>
          <w:lang w:val="es-ES_tradnl"/>
        </w:rPr>
        <w:t>, luego en otra decisión</w:t>
      </w:r>
      <w:r>
        <w:rPr>
          <w:rStyle w:val="Refdenotaalpie"/>
          <w:rFonts w:ascii="Arial" w:hAnsi="Arial"/>
          <w:szCs w:val="22"/>
          <w:lang w:val="es-ES_tradnl"/>
        </w:rPr>
        <w:footnoteReference w:id="9"/>
      </w:r>
      <w:r>
        <w:rPr>
          <w:rFonts w:ascii="Arial" w:hAnsi="Arial" w:cs="Arial"/>
          <w:szCs w:val="22"/>
          <w:lang w:val="es-ES_tradnl"/>
        </w:rPr>
        <w:t xml:space="preserve"> añadió que surge cuando quiera que </w:t>
      </w:r>
      <w:r w:rsidRPr="00E040DE">
        <w:rPr>
          <w:rFonts w:ascii="Arial" w:hAnsi="Arial" w:cs="Arial"/>
        </w:rPr>
        <w:t xml:space="preserve">la autoridad judicial </w:t>
      </w:r>
      <w:r>
        <w:rPr>
          <w:rFonts w:ascii="Arial" w:hAnsi="Arial" w:cs="Arial"/>
        </w:rPr>
        <w:t xml:space="preserve">desatiende reglas </w:t>
      </w:r>
      <w:r w:rsidRPr="00E040DE">
        <w:rPr>
          <w:rFonts w:ascii="Arial" w:hAnsi="Arial" w:cs="Arial"/>
        </w:rPr>
        <w:t>legal</w:t>
      </w:r>
      <w:r>
        <w:rPr>
          <w:rFonts w:ascii="Arial" w:hAnsi="Arial" w:cs="Arial"/>
        </w:rPr>
        <w:t>es</w:t>
      </w:r>
      <w:r w:rsidRPr="00E040DE">
        <w:rPr>
          <w:rFonts w:ascii="Arial" w:hAnsi="Arial" w:cs="Arial"/>
        </w:rPr>
        <w:t xml:space="preserve"> o </w:t>
      </w:r>
      <w:proofErr w:type="spellStart"/>
      <w:r w:rsidRPr="00E040DE">
        <w:rPr>
          <w:rFonts w:ascii="Arial" w:hAnsi="Arial" w:cs="Arial"/>
        </w:rPr>
        <w:t>infralegal</w:t>
      </w:r>
      <w:r>
        <w:rPr>
          <w:rFonts w:ascii="Arial" w:hAnsi="Arial" w:cs="Arial"/>
        </w:rPr>
        <w:t>es</w:t>
      </w:r>
      <w:proofErr w:type="spellEnd"/>
      <w:r>
        <w:rPr>
          <w:rFonts w:ascii="Arial" w:hAnsi="Arial" w:cs="Arial"/>
        </w:rPr>
        <w:t xml:space="preserve">, que son </w:t>
      </w:r>
      <w:r w:rsidRPr="00E040DE">
        <w:rPr>
          <w:rFonts w:ascii="Arial" w:hAnsi="Arial" w:cs="Arial"/>
        </w:rPr>
        <w:t xml:space="preserve">aplicables </w:t>
      </w:r>
      <w:r>
        <w:rPr>
          <w:rFonts w:ascii="Arial" w:hAnsi="Arial" w:cs="Arial"/>
        </w:rPr>
        <w:t xml:space="preserve">para un </w:t>
      </w:r>
      <w:r w:rsidRPr="00E040DE">
        <w:rPr>
          <w:rFonts w:ascii="Arial" w:hAnsi="Arial" w:cs="Arial"/>
        </w:rPr>
        <w:t>determinado</w:t>
      </w:r>
      <w:r>
        <w:rPr>
          <w:rFonts w:ascii="Arial" w:hAnsi="Arial" w:cs="Arial"/>
        </w:rPr>
        <w:t xml:space="preserve"> caso</w:t>
      </w:r>
      <w:r>
        <w:rPr>
          <w:rFonts w:ascii="Arial" w:hAnsi="Arial" w:cs="Arial"/>
          <w:szCs w:val="22"/>
          <w:lang w:val="es-ES_tradnl"/>
        </w:rPr>
        <w:t>.  El desarrollo de esta teoría, se ha ido ampliando esa noción, para prodigar protección en varios eventos</w:t>
      </w:r>
      <w:r>
        <w:rPr>
          <w:rStyle w:val="Refdenotaalpie"/>
          <w:rFonts w:ascii="Arial" w:hAnsi="Arial"/>
          <w:szCs w:val="22"/>
          <w:lang w:val="es-ES_tradnl"/>
        </w:rPr>
        <w:footnoteReference w:id="10"/>
      </w:r>
      <w:r>
        <w:rPr>
          <w:rFonts w:ascii="Arial" w:hAnsi="Arial" w:cs="Arial"/>
          <w:szCs w:val="22"/>
          <w:lang w:val="es-ES_tradnl"/>
        </w:rPr>
        <w:t>, al efecto tiene precisadas distintas variables:</w:t>
      </w:r>
    </w:p>
    <w:p w:rsidR="00765006" w:rsidRDefault="00765006" w:rsidP="00765006">
      <w:pPr>
        <w:ind w:left="567" w:right="22"/>
        <w:jc w:val="both"/>
        <w:rPr>
          <w:rFonts w:ascii="Arial" w:hAnsi="Arial" w:cs="Arial"/>
          <w:szCs w:val="22"/>
          <w:lang w:val="es-ES_tradnl"/>
        </w:rPr>
      </w:pPr>
    </w:p>
    <w:p w:rsidR="00765006" w:rsidRPr="007C12E8" w:rsidRDefault="00765006" w:rsidP="00765006">
      <w:pPr>
        <w:ind w:left="567" w:right="567"/>
        <w:jc w:val="both"/>
        <w:rPr>
          <w:rFonts w:ascii="Arial" w:hAnsi="Arial" w:cs="Arial"/>
          <w:iCs/>
          <w:vanish/>
          <w:specVanish/>
        </w:rPr>
      </w:pPr>
      <w:r>
        <w:rPr>
          <w:rFonts w:ascii="Arial" w:hAnsi="Arial" w:cs="Arial"/>
        </w:rPr>
        <w:t>…</w:t>
      </w:r>
      <w:r w:rsidRPr="000A1B5D">
        <w:rPr>
          <w:rFonts w:ascii="Arial" w:hAnsi="Arial" w:cs="Arial"/>
        </w:rPr>
        <w:t xml:space="preserve"> una providencia judicial adolece de un defecto sustantivo (i) cuando la norma aplicable al caso es claramente inadvertida o no tenida en cuenta por el fallador</w:t>
      </w:r>
      <w:r w:rsidRPr="000A1B5D">
        <w:rPr>
          <w:rFonts w:ascii="Arial" w:hAnsi="Arial" w:cs="Arial"/>
          <w:vertAlign w:val="superscript"/>
        </w:rPr>
        <w:footnoteReference w:id="11"/>
      </w:r>
      <w:r w:rsidRPr="000A1B5D">
        <w:rPr>
          <w:rFonts w:ascii="Arial" w:hAnsi="Arial" w:cs="Arial"/>
        </w:rPr>
        <w:t>, (ii) cuando a pesar del amplio margen interpretativo que la Constitución le reconoce a las autoridades judiciales, la aplicación final de la regla es inaceptable por tratarse de una interpretación contraevidente</w:t>
      </w:r>
      <w:r w:rsidRPr="000A1B5D">
        <w:rPr>
          <w:rFonts w:ascii="Arial" w:hAnsi="Arial" w:cs="Arial"/>
          <w:vertAlign w:val="superscript"/>
        </w:rPr>
        <w:footnoteReference w:id="12"/>
      </w:r>
      <w:r w:rsidRPr="000A1B5D">
        <w:rPr>
          <w:rFonts w:ascii="Arial" w:hAnsi="Arial" w:cs="Arial"/>
        </w:rPr>
        <w:t xml:space="preserve"> (interpretación </w:t>
      </w:r>
      <w:r w:rsidRPr="000A1B5D">
        <w:rPr>
          <w:rFonts w:ascii="Arial" w:hAnsi="Arial" w:cs="Arial"/>
          <w:iCs/>
        </w:rPr>
        <w:t xml:space="preserve">contra </w:t>
      </w:r>
      <w:proofErr w:type="spellStart"/>
      <w:r w:rsidRPr="000A1B5D">
        <w:rPr>
          <w:rFonts w:ascii="Arial" w:hAnsi="Arial" w:cs="Arial"/>
          <w:i/>
          <w:iCs/>
        </w:rPr>
        <w:t>legem</w:t>
      </w:r>
      <w:proofErr w:type="spellEnd"/>
      <w:r w:rsidRPr="000A1B5D">
        <w:rPr>
          <w:rFonts w:ascii="Arial" w:hAnsi="Arial" w:cs="Arial"/>
        </w:rPr>
        <w:t>) o claramente perjudicial para los intereses legítimos de una de las partes</w:t>
      </w:r>
      <w:r w:rsidRPr="000A1B5D">
        <w:rPr>
          <w:rFonts w:ascii="Arial" w:hAnsi="Arial" w:cs="Arial"/>
          <w:vertAlign w:val="superscript"/>
        </w:rPr>
        <w:footnoteReference w:id="13"/>
      </w:r>
      <w:r w:rsidRPr="000A1B5D">
        <w:rPr>
          <w:rFonts w:ascii="Arial" w:hAnsi="Arial" w:cs="Arial"/>
        </w:rPr>
        <w:t xml:space="preserve"> (irrazonable o desproporcionada), y finalmente (iii) cuando el fallador desconoce las sentencias con efectos </w:t>
      </w:r>
      <w:r w:rsidRPr="000A1B5D">
        <w:rPr>
          <w:rFonts w:ascii="Arial" w:hAnsi="Arial" w:cs="Arial"/>
          <w:iCs/>
        </w:rPr>
        <w:t xml:space="preserve">erga omnes </w:t>
      </w:r>
      <w:r w:rsidRPr="000A1B5D">
        <w:rPr>
          <w:rFonts w:ascii="Arial" w:hAnsi="Arial" w:cs="Arial"/>
        </w:rPr>
        <w:t xml:space="preserve">tanto de la jurisdicción constitucional como de la jurisdicción de lo contencioso administrativo, cuyos precedentes se ubican en el mismo rango de la norma </w:t>
      </w:r>
      <w:r w:rsidRPr="007C12E8">
        <w:rPr>
          <w:rFonts w:ascii="Arial" w:hAnsi="Arial" w:cs="Arial"/>
        </w:rPr>
        <w:t>sobre la que pesa la cosa juzgada respectiva</w:t>
      </w:r>
    </w:p>
    <w:p w:rsidR="00765006" w:rsidRPr="000A1B5D" w:rsidRDefault="00765006" w:rsidP="00765006">
      <w:pPr>
        <w:ind w:left="567" w:right="567"/>
        <w:jc w:val="both"/>
        <w:rPr>
          <w:rFonts w:ascii="Arial" w:hAnsi="Arial" w:cs="Arial"/>
        </w:rPr>
      </w:pPr>
      <w:r w:rsidRPr="007C12E8">
        <w:rPr>
          <w:rStyle w:val="Refdenotaalpie"/>
          <w:rFonts w:ascii="Arial" w:hAnsi="Arial"/>
          <w:iCs/>
        </w:rPr>
        <w:footnoteReference w:id="14"/>
      </w:r>
      <w:r>
        <w:rPr>
          <w:rFonts w:ascii="Arial" w:hAnsi="Arial" w:cs="Arial"/>
          <w:iCs/>
          <w:vertAlign w:val="superscript"/>
        </w:rPr>
        <w:t>-</w:t>
      </w:r>
      <w:r>
        <w:rPr>
          <w:rStyle w:val="Refdenotaalpie"/>
          <w:rFonts w:ascii="Arial" w:hAnsi="Arial"/>
          <w:iCs/>
        </w:rPr>
        <w:footnoteReference w:id="15"/>
      </w:r>
      <w:r>
        <w:rPr>
          <w:rFonts w:ascii="Arial" w:hAnsi="Arial" w:cs="Arial"/>
          <w:iCs/>
          <w:vertAlign w:val="superscript"/>
        </w:rPr>
        <w:t xml:space="preserve"> </w:t>
      </w:r>
      <w:r>
        <w:rPr>
          <w:rFonts w:ascii="Arial" w:hAnsi="Arial" w:cs="Arial"/>
          <w:iCs/>
        </w:rPr>
        <w:t>(2015)</w:t>
      </w:r>
      <w:r w:rsidRPr="007C12E8">
        <w:rPr>
          <w:rFonts w:ascii="Arial" w:hAnsi="Arial" w:cs="Arial"/>
          <w:iCs/>
        </w:rPr>
        <w:t>.</w:t>
      </w:r>
    </w:p>
    <w:p w:rsidR="00765006" w:rsidRDefault="00765006" w:rsidP="00765006">
      <w:pPr>
        <w:pStyle w:val="Textoindependiente"/>
        <w:spacing w:line="360" w:lineRule="auto"/>
        <w:rPr>
          <w:rFonts w:ascii="Arial" w:hAnsi="Arial" w:cs="Arial"/>
        </w:rPr>
      </w:pPr>
    </w:p>
    <w:p w:rsidR="00765006" w:rsidRDefault="00765006" w:rsidP="00765006">
      <w:pPr>
        <w:pStyle w:val="Textoindependiente"/>
        <w:spacing w:line="360" w:lineRule="auto"/>
        <w:rPr>
          <w:rFonts w:ascii="Arial" w:hAnsi="Arial" w:cs="Arial"/>
        </w:rPr>
      </w:pPr>
      <w:r w:rsidRPr="00651F25">
        <w:rPr>
          <w:rFonts w:ascii="Arial" w:hAnsi="Arial" w:cs="Arial"/>
        </w:rPr>
        <w:t>Así mismo el alto Tribunal Constitucional</w:t>
      </w:r>
      <w:r w:rsidRPr="00651F25">
        <w:rPr>
          <w:rStyle w:val="Refdenotaalpie"/>
          <w:rFonts w:ascii="Arial" w:hAnsi="Arial"/>
        </w:rPr>
        <w:footnoteReference w:id="16"/>
      </w:r>
      <w:r w:rsidRPr="00651F25">
        <w:rPr>
          <w:rFonts w:ascii="Arial" w:hAnsi="Arial" w:cs="Arial"/>
        </w:rPr>
        <w:t>, señaló:</w:t>
      </w:r>
      <w:r>
        <w:rPr>
          <w:rFonts w:ascii="Arial" w:hAnsi="Arial" w:cs="Arial"/>
        </w:rPr>
        <w:t xml:space="preserve"> </w:t>
      </w:r>
    </w:p>
    <w:p w:rsidR="00765006" w:rsidRDefault="00765006" w:rsidP="00765006">
      <w:pPr>
        <w:ind w:left="567" w:right="567"/>
        <w:jc w:val="both"/>
        <w:rPr>
          <w:rFonts w:ascii="Arial" w:hAnsi="Arial" w:cs="Arial"/>
        </w:rPr>
      </w:pPr>
    </w:p>
    <w:p w:rsidR="00765006" w:rsidRPr="007C12E8" w:rsidRDefault="00765006" w:rsidP="00765006">
      <w:pPr>
        <w:ind w:left="567" w:right="567"/>
        <w:jc w:val="both"/>
        <w:rPr>
          <w:rFonts w:ascii="Arial" w:hAnsi="Arial" w:cs="Arial"/>
        </w:rPr>
      </w:pPr>
      <w:r w:rsidRPr="007C12E8">
        <w:rPr>
          <w:rFonts w:ascii="Arial" w:hAnsi="Arial" w:cs="Arial"/>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w:t>
      </w:r>
      <w:r w:rsidRPr="007C12E8">
        <w:rPr>
          <w:rFonts w:ascii="Arial" w:hAnsi="Arial" w:cs="Arial"/>
        </w:rPr>
        <w:lastRenderedPageBreak/>
        <w:t xml:space="preserve">inconstitucional, </w:t>
      </w:r>
      <w:r w:rsidRPr="00DA7FE8">
        <w:rPr>
          <w:rFonts w:ascii="Arial" w:hAnsi="Arial" w:cs="Arial"/>
          <w:u w:val="single"/>
        </w:rPr>
        <w:t xml:space="preserve">o </w:t>
      </w:r>
      <w:r w:rsidRPr="00DA7FE8">
        <w:rPr>
          <w:rFonts w:ascii="Arial" w:hAnsi="Arial" w:cs="Arial"/>
          <w:i/>
          <w:u w:val="single"/>
        </w:rPr>
        <w:t>interprete en forma contraevidente, irrazonable o desproporcionada la norma aplicable</w:t>
      </w:r>
      <w:r w:rsidRPr="007C12E8">
        <w:rPr>
          <w:rFonts w:ascii="Arial" w:hAnsi="Arial" w:cs="Arial"/>
          <w:i/>
        </w:rPr>
        <w:t>.</w:t>
      </w:r>
      <w:r w:rsidRPr="007C12E8">
        <w:rPr>
          <w:rFonts w:ascii="Arial" w:hAnsi="Arial" w:cs="Arial"/>
        </w:rPr>
        <w:t xml:space="preserve">  </w:t>
      </w:r>
    </w:p>
    <w:p w:rsidR="00765006" w:rsidRDefault="00765006" w:rsidP="00765006">
      <w:pPr>
        <w:pStyle w:val="Textoindependiente"/>
        <w:spacing w:line="240" w:lineRule="auto"/>
        <w:rPr>
          <w:rFonts w:ascii="Arial" w:hAnsi="Arial" w:cs="Arial"/>
        </w:rPr>
      </w:pPr>
    </w:p>
    <w:p w:rsidR="00765006" w:rsidRDefault="00765006" w:rsidP="00765006">
      <w:pPr>
        <w:pStyle w:val="Textoindependiente"/>
        <w:spacing w:line="240" w:lineRule="auto"/>
        <w:ind w:left="567" w:right="567"/>
        <w:rPr>
          <w:rFonts w:ascii="Arial" w:hAnsi="Arial" w:cs="Arial"/>
          <w:spacing w:val="0"/>
          <w:szCs w:val="24"/>
          <w:lang w:val="es-ES"/>
        </w:rPr>
      </w:pPr>
      <w:r w:rsidRPr="003F120A">
        <w:rPr>
          <w:rFonts w:ascii="Arial" w:hAnsi="Arial" w:cs="Arial"/>
          <w:spacing w:val="0"/>
          <w:szCs w:val="24"/>
          <w:lang w:val="es-ES"/>
        </w:rPr>
        <w:t xml:space="preserve">Así las cosas, constituye un defecto material o sustantivo la decisión judicial que se funda en una interpretación indebida de una disposición legal.  </w:t>
      </w:r>
      <w:r>
        <w:rPr>
          <w:rFonts w:ascii="Arial" w:hAnsi="Arial" w:cs="Arial"/>
          <w:spacing w:val="0"/>
          <w:szCs w:val="24"/>
          <w:lang w:val="es-ES"/>
        </w:rPr>
        <w:t>(</w:t>
      </w:r>
      <w:proofErr w:type="spellStart"/>
      <w:r>
        <w:rPr>
          <w:rFonts w:ascii="Arial" w:hAnsi="Arial" w:cs="Arial"/>
          <w:spacing w:val="0"/>
          <w:szCs w:val="24"/>
          <w:lang w:val="es-ES"/>
        </w:rPr>
        <w:t>Sublínea</w:t>
      </w:r>
      <w:proofErr w:type="spellEnd"/>
      <w:r>
        <w:rPr>
          <w:rFonts w:ascii="Arial" w:hAnsi="Arial" w:cs="Arial"/>
          <w:spacing w:val="0"/>
          <w:szCs w:val="24"/>
          <w:lang w:val="es-ES"/>
        </w:rPr>
        <w:t xml:space="preserve"> fuera de texto).</w:t>
      </w:r>
    </w:p>
    <w:p w:rsidR="00CB1C55" w:rsidRDefault="00CB1C55" w:rsidP="0062273B">
      <w:pPr>
        <w:spacing w:line="360" w:lineRule="auto"/>
        <w:jc w:val="both"/>
        <w:rPr>
          <w:rFonts w:ascii="Arial" w:hAnsi="Arial" w:cs="Arial"/>
          <w:lang w:val="es-ES_tradnl"/>
        </w:rPr>
      </w:pPr>
    </w:p>
    <w:p w:rsidR="00AA1E03" w:rsidRPr="000A3B02" w:rsidRDefault="00AA1E03" w:rsidP="00AA1E03">
      <w:pPr>
        <w:pStyle w:val="Textoindependiente"/>
        <w:numPr>
          <w:ilvl w:val="2"/>
          <w:numId w:val="18"/>
        </w:numPr>
        <w:tabs>
          <w:tab w:val="clear" w:pos="708"/>
          <w:tab w:val="left" w:pos="709"/>
        </w:tabs>
        <w:spacing w:line="360" w:lineRule="auto"/>
        <w:rPr>
          <w:rFonts w:ascii="Arial" w:hAnsi="Arial" w:cs="Arial"/>
          <w:szCs w:val="24"/>
        </w:rPr>
      </w:pPr>
      <w:r w:rsidRPr="000A3B02">
        <w:rPr>
          <w:rFonts w:ascii="Arial" w:hAnsi="Arial"/>
          <w:szCs w:val="24"/>
        </w:rPr>
        <w:t>Los supuestos de la acción de tutela temeraria y la cosa juzgada constitucional</w:t>
      </w:r>
    </w:p>
    <w:p w:rsidR="00AA1E03" w:rsidRPr="001971C0" w:rsidRDefault="00AA1E03" w:rsidP="00AA1E03">
      <w:pPr>
        <w:pStyle w:val="Textoindependiente"/>
        <w:tabs>
          <w:tab w:val="clear" w:pos="708"/>
          <w:tab w:val="left" w:pos="709"/>
        </w:tabs>
        <w:spacing w:line="360" w:lineRule="auto"/>
        <w:rPr>
          <w:rFonts w:ascii="Arial" w:hAnsi="Arial"/>
          <w:sz w:val="20"/>
          <w:szCs w:val="24"/>
        </w:rPr>
      </w:pPr>
    </w:p>
    <w:p w:rsidR="00AA1E03" w:rsidRDefault="00AA1E03" w:rsidP="00AA1E03">
      <w:pPr>
        <w:pStyle w:val="Textoindependiente"/>
        <w:tabs>
          <w:tab w:val="clear" w:pos="708"/>
          <w:tab w:val="left" w:pos="709"/>
        </w:tabs>
        <w:spacing w:line="360" w:lineRule="auto"/>
        <w:rPr>
          <w:rFonts w:ascii="Arial" w:hAnsi="Arial"/>
        </w:rPr>
      </w:pPr>
      <w:r w:rsidRPr="00556F7F">
        <w:rPr>
          <w:rFonts w:ascii="Arial" w:hAnsi="Arial" w:cs="Arial"/>
          <w:szCs w:val="22"/>
          <w:lang w:val="es-CO"/>
        </w:rPr>
        <w:t xml:space="preserve">Conforme el artículo 38 del Decreto 2591 de 1991 la actuación es temeraria cuando </w:t>
      </w:r>
      <w:r w:rsidRPr="00556F7F">
        <w:rPr>
          <w:rFonts w:ascii="Arial" w:hAnsi="Arial" w:cs="Arial"/>
          <w:i/>
          <w:sz w:val="22"/>
          <w:szCs w:val="22"/>
          <w:lang w:val="es-CO"/>
        </w:rPr>
        <w:t>“</w:t>
      </w:r>
      <w:r w:rsidRPr="00556F7F">
        <w:rPr>
          <w:rFonts w:ascii="Arial" w:hAnsi="Arial" w:cs="Arial"/>
          <w:i/>
          <w:iCs/>
          <w:sz w:val="22"/>
          <w:szCs w:val="22"/>
          <w:lang w:val="es-CO"/>
        </w:rPr>
        <w:t>sin motivo expresamente justificado, la misma acción de tutela sea presentada por la misma persona o su representante ante varios jueces o tribunales</w:t>
      </w:r>
      <w:r w:rsidRPr="00556F7F">
        <w:rPr>
          <w:rFonts w:ascii="Arial" w:hAnsi="Arial" w:cs="Arial"/>
          <w:sz w:val="22"/>
          <w:szCs w:val="22"/>
          <w:lang w:val="es-CO"/>
        </w:rPr>
        <w:t>”</w:t>
      </w:r>
      <w:r w:rsidRPr="00556F7F">
        <w:rPr>
          <w:rFonts w:ascii="Arial" w:hAnsi="Arial" w:cs="Arial"/>
          <w:szCs w:val="22"/>
          <w:lang w:val="es-CO"/>
        </w:rPr>
        <w:t>, y su comprobación da lugar al rechazo y a la decisión desfavorable de todas las solicitude</w:t>
      </w:r>
      <w:r w:rsidRPr="00556F7F">
        <w:rPr>
          <w:rFonts w:ascii="Arial" w:hAnsi="Arial" w:cs="Arial"/>
          <w:i/>
          <w:iCs/>
          <w:szCs w:val="22"/>
          <w:lang w:val="es-CO"/>
        </w:rPr>
        <w:t xml:space="preserve">s. </w:t>
      </w:r>
      <w:r w:rsidRPr="00556F7F">
        <w:rPr>
          <w:rFonts w:ascii="Arial" w:hAnsi="Arial" w:cs="Arial"/>
          <w:iCs/>
          <w:szCs w:val="22"/>
          <w:lang w:val="es-CO"/>
        </w:rPr>
        <w:t>Asimismo</w:t>
      </w:r>
      <w:r w:rsidRPr="00556F7F">
        <w:rPr>
          <w:rFonts w:ascii="Arial" w:hAnsi="Arial" w:cs="Arial"/>
          <w:szCs w:val="22"/>
          <w:lang w:val="es-CO"/>
        </w:rPr>
        <w:t>, el profesional del derecho que así proceda será sancionado</w:t>
      </w:r>
      <w:r w:rsidRPr="00556F7F">
        <w:rPr>
          <w:rFonts w:ascii="Arial" w:hAnsi="Arial" w:cs="Arial"/>
          <w:i/>
          <w:iCs/>
          <w:szCs w:val="22"/>
          <w:lang w:val="es-CO"/>
        </w:rPr>
        <w:t>.</w:t>
      </w:r>
      <w:r w:rsidRPr="00E051C3">
        <w:rPr>
          <w:rStyle w:val="Refdenotaalpie"/>
          <w:rFonts w:ascii="Arial" w:hAnsi="Arial"/>
        </w:rPr>
        <w:t xml:space="preserve"> </w:t>
      </w:r>
    </w:p>
    <w:p w:rsidR="00AA1E03" w:rsidRPr="001971C0" w:rsidRDefault="00AA1E03" w:rsidP="00AA1E03">
      <w:pPr>
        <w:pStyle w:val="Textoindependiente"/>
        <w:tabs>
          <w:tab w:val="clear" w:pos="708"/>
          <w:tab w:val="left" w:pos="709"/>
        </w:tabs>
        <w:spacing w:line="360" w:lineRule="auto"/>
        <w:rPr>
          <w:rFonts w:ascii="Arial" w:hAnsi="Arial"/>
          <w:sz w:val="20"/>
          <w:szCs w:val="24"/>
        </w:rPr>
      </w:pPr>
    </w:p>
    <w:p w:rsidR="00AA1E03" w:rsidRPr="00556F7F" w:rsidRDefault="00AA1E03" w:rsidP="00AA1E03">
      <w:pPr>
        <w:pStyle w:val="Textoindependiente"/>
        <w:tabs>
          <w:tab w:val="clear" w:pos="0"/>
          <w:tab w:val="clear" w:pos="708"/>
          <w:tab w:val="left" w:pos="709"/>
        </w:tabs>
        <w:spacing w:line="360" w:lineRule="auto"/>
        <w:rPr>
          <w:rFonts w:ascii="Arial" w:hAnsi="Arial" w:cs="Arial"/>
          <w:sz w:val="22"/>
          <w:szCs w:val="22"/>
        </w:rPr>
      </w:pPr>
      <w:r w:rsidRPr="00556F7F">
        <w:rPr>
          <w:rFonts w:ascii="Arial" w:hAnsi="Arial" w:cs="Arial"/>
          <w:szCs w:val="22"/>
        </w:rPr>
        <w:t>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w:t>
      </w:r>
      <w:r w:rsidRPr="00556F7F">
        <w:rPr>
          <w:rFonts w:ascii="Arial" w:hAnsi="Arial" w:cs="Arial"/>
          <w:sz w:val="22"/>
          <w:szCs w:val="22"/>
        </w:rPr>
        <w:t xml:space="preserve"> “</w:t>
      </w:r>
      <w:r w:rsidRPr="00556F7F">
        <w:rPr>
          <w:rFonts w:ascii="Arial" w:hAnsi="Arial" w:cs="Arial"/>
          <w:i/>
          <w:sz w:val="22"/>
          <w:szCs w:val="22"/>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556F7F">
        <w:rPr>
          <w:rFonts w:ascii="Arial" w:hAnsi="Arial" w:cs="Arial"/>
          <w:i/>
          <w:sz w:val="20"/>
          <w:szCs w:val="22"/>
        </w:rPr>
        <w:t xml:space="preserve">, </w:t>
      </w:r>
      <w:r w:rsidRPr="00556F7F">
        <w:rPr>
          <w:rFonts w:ascii="Arial" w:hAnsi="Arial" w:cs="Arial"/>
          <w:szCs w:val="22"/>
        </w:rPr>
        <w:t>así ha doctrinado la Corte Constitucional</w:t>
      </w:r>
      <w:r w:rsidRPr="00556F7F">
        <w:rPr>
          <w:rStyle w:val="Refdenotaalpie"/>
          <w:rFonts w:ascii="Arial" w:hAnsi="Arial"/>
          <w:szCs w:val="22"/>
        </w:rPr>
        <w:footnoteReference w:id="17"/>
      </w:r>
      <w:r w:rsidRPr="00556F7F">
        <w:rPr>
          <w:rFonts w:ascii="Arial" w:hAnsi="Arial" w:cs="Arial"/>
          <w:sz w:val="22"/>
          <w:szCs w:val="22"/>
        </w:rPr>
        <w:t>.</w:t>
      </w:r>
    </w:p>
    <w:p w:rsidR="00AA1E03" w:rsidRPr="001971C0" w:rsidRDefault="00AA1E03" w:rsidP="00AA1E03">
      <w:pPr>
        <w:pStyle w:val="Textoindependiente"/>
        <w:tabs>
          <w:tab w:val="clear" w:pos="708"/>
          <w:tab w:val="left" w:pos="709"/>
        </w:tabs>
        <w:spacing w:line="360" w:lineRule="auto"/>
        <w:rPr>
          <w:rFonts w:ascii="Arial" w:hAnsi="Arial"/>
          <w:sz w:val="20"/>
          <w:szCs w:val="24"/>
        </w:rPr>
      </w:pPr>
    </w:p>
    <w:p w:rsidR="00AA1E03" w:rsidRPr="00556F7F" w:rsidRDefault="00AA1E03" w:rsidP="00AA1E03">
      <w:pPr>
        <w:pStyle w:val="Textoindependiente"/>
        <w:tabs>
          <w:tab w:val="clear" w:pos="0"/>
          <w:tab w:val="clear" w:pos="708"/>
          <w:tab w:val="left" w:pos="709"/>
        </w:tabs>
        <w:spacing w:line="360" w:lineRule="auto"/>
        <w:rPr>
          <w:rFonts w:ascii="Arial" w:hAnsi="Arial" w:cs="Arial"/>
          <w:szCs w:val="22"/>
        </w:rPr>
      </w:pPr>
      <w:r w:rsidRPr="00556F7F">
        <w:rPr>
          <w:rFonts w:ascii="Arial" w:hAnsi="Arial" w:cs="Arial"/>
          <w:szCs w:val="22"/>
        </w:rPr>
        <w:t xml:space="preserve">No obstante lo anterior, también ha dicho la jurisprudencia constitucional que no siempre ante una duplicidad de acciones se presenta la temeridad en el ejercicio de la tutela, criterio </w:t>
      </w:r>
    </w:p>
    <w:p w:rsidR="00AA1E03" w:rsidRDefault="00AA1E03" w:rsidP="00AA1E03">
      <w:pPr>
        <w:pStyle w:val="Textoindependiente"/>
        <w:tabs>
          <w:tab w:val="clear" w:pos="0"/>
          <w:tab w:val="clear" w:pos="708"/>
          <w:tab w:val="left" w:pos="709"/>
        </w:tabs>
        <w:spacing w:line="360" w:lineRule="auto"/>
        <w:rPr>
          <w:rFonts w:ascii="Arial" w:hAnsi="Arial" w:cs="Arial"/>
          <w:szCs w:val="22"/>
        </w:rPr>
      </w:pPr>
      <w:proofErr w:type="gramStart"/>
      <w:r w:rsidRPr="00556F7F">
        <w:rPr>
          <w:rFonts w:ascii="Arial" w:hAnsi="Arial" w:cs="Arial"/>
          <w:szCs w:val="22"/>
        </w:rPr>
        <w:t>reiterado</w:t>
      </w:r>
      <w:proofErr w:type="gramEnd"/>
      <w:r>
        <w:rPr>
          <w:rStyle w:val="Refdenotaalpie"/>
          <w:rFonts w:ascii="Arial" w:hAnsi="Arial"/>
          <w:szCs w:val="22"/>
        </w:rPr>
        <w:footnoteReference w:id="18"/>
      </w:r>
      <w:r w:rsidRPr="00833A61">
        <w:rPr>
          <w:rFonts w:ascii="Arial" w:hAnsi="Arial" w:cs="Arial"/>
          <w:szCs w:val="22"/>
          <w:vertAlign w:val="superscript"/>
        </w:rPr>
        <w:t>-</w:t>
      </w:r>
      <w:r w:rsidRPr="00556F7F">
        <w:rPr>
          <w:rStyle w:val="Refdenotaalpie"/>
          <w:rFonts w:ascii="Arial" w:hAnsi="Arial"/>
          <w:szCs w:val="22"/>
          <w:lang w:val="es-ES"/>
        </w:rPr>
        <w:footnoteReference w:id="19"/>
      </w:r>
      <w:r w:rsidRPr="00556F7F">
        <w:rPr>
          <w:rFonts w:ascii="Arial" w:hAnsi="Arial" w:cs="Arial"/>
          <w:szCs w:val="22"/>
        </w:rPr>
        <w:t xml:space="preserve"> en reciente pronunciamiento (</w:t>
      </w:r>
      <w:r>
        <w:rPr>
          <w:rFonts w:ascii="Arial" w:hAnsi="Arial" w:cs="Arial"/>
          <w:szCs w:val="22"/>
        </w:rPr>
        <w:t>2016</w:t>
      </w:r>
      <w:r w:rsidRPr="00556F7F">
        <w:rPr>
          <w:rFonts w:ascii="Arial" w:hAnsi="Arial" w:cs="Arial"/>
          <w:szCs w:val="22"/>
        </w:rPr>
        <w:t>)</w:t>
      </w:r>
      <w:r>
        <w:rPr>
          <w:rStyle w:val="Refdenotaalpie"/>
          <w:rFonts w:ascii="Arial" w:hAnsi="Arial"/>
          <w:szCs w:val="22"/>
        </w:rPr>
        <w:footnoteReference w:id="20"/>
      </w:r>
      <w:r w:rsidRPr="00556F7F">
        <w:rPr>
          <w:rFonts w:ascii="Arial" w:hAnsi="Arial" w:cs="Arial"/>
          <w:szCs w:val="22"/>
        </w:rPr>
        <w:t>, pues sostiene:</w:t>
      </w:r>
    </w:p>
    <w:p w:rsidR="00AA1E03" w:rsidRPr="00E051C3" w:rsidRDefault="00AA1E03" w:rsidP="00AA1E03">
      <w:pPr>
        <w:pStyle w:val="Textoindependiente"/>
        <w:tabs>
          <w:tab w:val="clear" w:pos="0"/>
          <w:tab w:val="clear" w:pos="708"/>
          <w:tab w:val="left" w:pos="709"/>
        </w:tabs>
        <w:spacing w:line="360" w:lineRule="auto"/>
        <w:rPr>
          <w:rFonts w:ascii="Arial" w:hAnsi="Arial" w:cs="Arial"/>
          <w:sz w:val="12"/>
          <w:szCs w:val="22"/>
          <w:lang w:val="es-CO"/>
        </w:rPr>
      </w:pPr>
    </w:p>
    <w:p w:rsidR="00AA1E03" w:rsidRPr="00556F7F" w:rsidRDefault="00AA1E03" w:rsidP="00AA1E03">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Arial" w:hAnsi="Arial" w:cs="Arial"/>
          <w:color w:val="000000"/>
        </w:rPr>
      </w:pPr>
      <w:r>
        <w:rPr>
          <w:rFonts w:ascii="Arial" w:hAnsi="Arial" w:cs="Arial"/>
          <w:color w:val="000000"/>
        </w:rPr>
        <w:t xml:space="preserve">… </w:t>
      </w:r>
      <w:r w:rsidRPr="00556F7F">
        <w:rPr>
          <w:rFonts w:ascii="Arial" w:hAnsi="Arial" w:cs="Arial"/>
          <w:color w:val="000000"/>
        </w:rPr>
        <w:t>es importante señalar que no se configura la temeridad a pesar de existir identidad de las partes, identidad de pretensiones e identidad de objeto, si la actuación se funda “</w:t>
      </w:r>
      <w:r w:rsidRPr="00556F7F">
        <w:rPr>
          <w:rFonts w:ascii="Arial" w:hAnsi="Arial" w:cs="Arial"/>
          <w:i/>
          <w:iCs/>
          <w:color w:val="000000"/>
        </w:rPr>
        <w:t>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w:t>
      </w:r>
      <w:r w:rsidRPr="00556F7F">
        <w:rPr>
          <w:rFonts w:ascii="Arial" w:hAnsi="Arial" w:cs="Arial"/>
          <w:color w:val="000000"/>
        </w:rPr>
        <w:t>l.”</w:t>
      </w:r>
    </w:p>
    <w:p w:rsidR="00AA1E03" w:rsidRDefault="00AA1E03" w:rsidP="00AA1E03">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AA1E03" w:rsidRDefault="00AA1E03" w:rsidP="00AA1E03">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Asimismo, es  preciso  señalar  conforme  al  criterio  de  la  doctora  Catalina Botero Marino</w:t>
      </w:r>
      <w:r>
        <w:rPr>
          <w:rStyle w:val="Refdenotaalpie"/>
          <w:rFonts w:ascii="Arial" w:hAnsi="Arial"/>
          <w:spacing w:val="-3"/>
          <w:szCs w:val="20"/>
          <w:lang w:val="es-ES_tradnl"/>
        </w:rPr>
        <w:footnoteReference w:id="21"/>
      </w:r>
      <w:r>
        <w:rPr>
          <w:rFonts w:ascii="Arial" w:hAnsi="Arial" w:cs="Times New Roman"/>
          <w:spacing w:val="-3"/>
          <w:szCs w:val="20"/>
          <w:lang w:val="es-ES_tradnl"/>
        </w:rPr>
        <w:t xml:space="preserve"> </w:t>
      </w:r>
    </w:p>
    <w:p w:rsidR="00AA1E03" w:rsidRDefault="00AA1E03" w:rsidP="00AA1E03">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roofErr w:type="gramStart"/>
      <w:r>
        <w:rPr>
          <w:rFonts w:ascii="Arial" w:hAnsi="Arial" w:cs="Times New Roman"/>
          <w:spacing w:val="-3"/>
          <w:szCs w:val="20"/>
          <w:lang w:val="es-ES_tradnl"/>
        </w:rPr>
        <w:lastRenderedPageBreak/>
        <w:t>que</w:t>
      </w:r>
      <w:proofErr w:type="gramEnd"/>
      <w:r>
        <w:rPr>
          <w:rFonts w:ascii="Arial" w:hAnsi="Arial" w:cs="Times New Roman"/>
          <w:spacing w:val="-3"/>
          <w:szCs w:val="20"/>
          <w:lang w:val="es-ES_tradnl"/>
        </w:rPr>
        <w:t xml:space="preserve">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es fundamental tener en cuenta que la actuación temeraria, para serlo requiere de la mala fe del actor”</w:t>
      </w:r>
      <w:r>
        <w:rPr>
          <w:rFonts w:ascii="Arial" w:hAnsi="Arial" w:cs="Times New Roman"/>
          <w:spacing w:val="-3"/>
          <w:szCs w:val="20"/>
          <w:lang w:val="es-ES_tradnl"/>
        </w:rPr>
        <w:t xml:space="preserve">, de manera que, por virtud de la presunción de buena fe que le cobija;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la conducta temeraria, es un hecho que debe ser probado y no presumido por el funcionario judicial”</w:t>
      </w:r>
      <w:r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Criterio expuesto en decisiones de esta Sala de la Corporación</w:t>
      </w:r>
      <w:r>
        <w:rPr>
          <w:rStyle w:val="Refdenotaalpie"/>
          <w:rFonts w:ascii="Arial" w:hAnsi="Arial"/>
          <w:spacing w:val="-3"/>
          <w:szCs w:val="20"/>
          <w:lang w:val="es-ES_tradnl"/>
        </w:rPr>
        <w:footnoteReference w:id="22"/>
      </w:r>
      <w:r>
        <w:rPr>
          <w:rFonts w:ascii="Arial" w:hAnsi="Arial" w:cs="Times New Roman"/>
          <w:spacing w:val="-3"/>
          <w:szCs w:val="20"/>
          <w:lang w:val="es-ES_tradnl"/>
        </w:rPr>
        <w:t>.</w:t>
      </w:r>
    </w:p>
    <w:p w:rsidR="00AA1E03" w:rsidRPr="001971C0" w:rsidRDefault="00AA1E03" w:rsidP="00AA1E03">
      <w:pPr>
        <w:pStyle w:val="Textoindependiente"/>
        <w:spacing w:line="360" w:lineRule="auto"/>
        <w:rPr>
          <w:rFonts w:ascii="Arial" w:hAnsi="Arial"/>
          <w:sz w:val="20"/>
          <w:szCs w:val="24"/>
        </w:rPr>
      </w:pPr>
    </w:p>
    <w:p w:rsidR="00AA1E03" w:rsidRDefault="00AA1E03" w:rsidP="00AA1E03">
      <w:pPr>
        <w:spacing w:line="360" w:lineRule="auto"/>
        <w:ind w:right="51"/>
        <w:jc w:val="both"/>
        <w:rPr>
          <w:rFonts w:ascii="Arial" w:hAnsi="Arial" w:cs="Arial"/>
          <w:sz w:val="22"/>
          <w:lang w:val="es-ES_tradnl"/>
        </w:rPr>
      </w:pPr>
      <w:r>
        <w:rPr>
          <w:rFonts w:ascii="Arial" w:hAnsi="Arial" w:cs="Arial"/>
          <w:lang w:val="es-ES_tradnl"/>
        </w:rPr>
        <w:t xml:space="preserve">Por ello </w:t>
      </w:r>
      <w:r w:rsidRPr="007F030F">
        <w:rPr>
          <w:rFonts w:ascii="Arial" w:hAnsi="Arial" w:cs="Arial"/>
          <w:lang w:val="es-ES_tradnl"/>
        </w:rPr>
        <w:t xml:space="preserve">y conforme la </w:t>
      </w:r>
      <w:r>
        <w:rPr>
          <w:rFonts w:ascii="Arial" w:hAnsi="Arial" w:cs="Arial"/>
          <w:lang w:val="es-ES_tradnl"/>
        </w:rPr>
        <w:t>doctrina</w:t>
      </w:r>
      <w:r w:rsidRPr="007F030F">
        <w:rPr>
          <w:rFonts w:ascii="Arial" w:hAnsi="Arial" w:cs="Arial"/>
          <w:lang w:val="es-ES_tradnl"/>
        </w:rPr>
        <w:t xml:space="preserve"> constitucional, en presencia de varias acciones de tutela sucesivas debe </w:t>
      </w:r>
      <w:r>
        <w:rPr>
          <w:rFonts w:ascii="Arial" w:hAnsi="Arial" w:cs="Arial"/>
          <w:lang w:val="es-ES_tradnl"/>
        </w:rPr>
        <w:t xml:space="preserve">inicialmente </w:t>
      </w:r>
      <w:r w:rsidRPr="007F030F">
        <w:rPr>
          <w:rFonts w:ascii="Arial" w:hAnsi="Arial" w:cs="Arial"/>
          <w:lang w:val="es-ES_tradnl"/>
        </w:rPr>
        <w:t>estudiarse</w:t>
      </w:r>
      <w:r>
        <w:rPr>
          <w:rFonts w:ascii="Arial" w:hAnsi="Arial" w:cs="Arial"/>
          <w:lang w:val="es-ES_tradnl"/>
        </w:rPr>
        <w:t xml:space="preserve"> la cosa juzgada constitucional antes que </w:t>
      </w:r>
      <w:r w:rsidRPr="007F030F">
        <w:rPr>
          <w:rFonts w:ascii="Arial" w:hAnsi="Arial" w:cs="Arial"/>
          <w:lang w:val="es-ES_tradnl"/>
        </w:rPr>
        <w:t>la temeridad</w:t>
      </w:r>
      <w:r w:rsidRPr="007F030F">
        <w:rPr>
          <w:rStyle w:val="Refdenotaalpie"/>
          <w:rFonts w:ascii="Arial" w:hAnsi="Arial" w:cs="Arial"/>
          <w:lang w:val="es-ES_tradnl"/>
        </w:rPr>
        <w:footnoteReference w:id="23"/>
      </w:r>
      <w:r w:rsidRPr="007F030F">
        <w:rPr>
          <w:rFonts w:ascii="Arial" w:hAnsi="Arial" w:cs="Arial"/>
          <w:lang w:val="es-ES_tradnl"/>
        </w:rPr>
        <w:t>. Y</w:t>
      </w:r>
      <w:r>
        <w:rPr>
          <w:rFonts w:ascii="Arial" w:hAnsi="Arial" w:cs="Arial"/>
          <w:lang w:val="es-ES_tradnl"/>
        </w:rPr>
        <w:t xml:space="preserve"> en</w:t>
      </w:r>
      <w:r w:rsidRPr="007F030F">
        <w:rPr>
          <w:rFonts w:ascii="Arial" w:hAnsi="Arial" w:cs="Arial"/>
          <w:lang w:val="es-ES_tradnl"/>
        </w:rPr>
        <w:t xml:space="preserve"> ese sentido </w:t>
      </w:r>
      <w:r>
        <w:rPr>
          <w:rFonts w:ascii="Arial" w:hAnsi="Arial" w:cs="Arial"/>
          <w:lang w:val="es-ES_tradnl"/>
        </w:rPr>
        <w:t xml:space="preserve">se </w:t>
      </w:r>
      <w:r w:rsidRPr="007F030F">
        <w:rPr>
          <w:rFonts w:ascii="Arial" w:hAnsi="Arial" w:cs="Arial"/>
          <w:lang w:val="es-ES_tradnl"/>
        </w:rPr>
        <w:t>advirtió</w:t>
      </w:r>
      <w:r w:rsidRPr="007F030F">
        <w:rPr>
          <w:rStyle w:val="Refdenotaalpie"/>
          <w:rFonts w:ascii="Arial" w:hAnsi="Arial" w:cs="Arial"/>
          <w:i/>
          <w:iCs/>
          <w:color w:val="000000"/>
          <w:sz w:val="22"/>
        </w:rPr>
        <w:footnoteReference w:id="24"/>
      </w:r>
      <w:r w:rsidRPr="007F030F">
        <w:rPr>
          <w:rFonts w:ascii="Arial" w:hAnsi="Arial" w:cs="Arial"/>
          <w:lang w:val="es-ES_tradnl"/>
        </w:rPr>
        <w:t xml:space="preserve">: </w:t>
      </w:r>
      <w:r w:rsidRPr="007F030F">
        <w:rPr>
          <w:rFonts w:ascii="Arial" w:hAnsi="Arial" w:cs="Arial"/>
          <w:i/>
          <w:iCs/>
          <w:color w:val="000000"/>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53783F">
        <w:rPr>
          <w:rFonts w:ascii="Arial" w:hAnsi="Arial" w:cs="Arial"/>
          <w:i/>
          <w:iCs/>
          <w:color w:val="000000"/>
          <w:sz w:val="22"/>
          <w:u w:val="single"/>
        </w:rPr>
        <w:t>De esta manera, si se produce un nuevo pronunciamiento acerca del tema, este atentaría contra la seguridad jurídica, haciendo que cualquier demanda al respecto deba declararse improcedente</w:t>
      </w:r>
      <w:r w:rsidRPr="007F030F">
        <w:rPr>
          <w:rFonts w:ascii="Arial" w:hAnsi="Arial" w:cs="Arial"/>
          <w:i/>
          <w:iCs/>
          <w:color w:val="000000"/>
          <w:sz w:val="22"/>
        </w:rPr>
        <w:t>. (…)”</w:t>
      </w:r>
      <w:r>
        <w:rPr>
          <w:rFonts w:ascii="Arial" w:hAnsi="Arial" w:cs="Arial"/>
          <w:i/>
          <w:iCs/>
          <w:color w:val="000000"/>
          <w:sz w:val="22"/>
        </w:rPr>
        <w:t xml:space="preserve"> </w:t>
      </w:r>
      <w:r w:rsidRPr="0053783F">
        <w:rPr>
          <w:rFonts w:ascii="Arial" w:hAnsi="Arial" w:cs="Arial"/>
          <w:lang w:val="es-ES_tradnl"/>
        </w:rPr>
        <w:t>Subrayas de la Sala.</w:t>
      </w:r>
    </w:p>
    <w:p w:rsidR="00AA1E03" w:rsidRPr="001971C0" w:rsidRDefault="00AA1E03" w:rsidP="00AA1E03">
      <w:pPr>
        <w:pStyle w:val="Textoindependiente"/>
        <w:spacing w:line="360" w:lineRule="auto"/>
        <w:rPr>
          <w:rFonts w:ascii="Arial" w:hAnsi="Arial"/>
          <w:sz w:val="20"/>
          <w:szCs w:val="24"/>
        </w:rPr>
      </w:pPr>
    </w:p>
    <w:p w:rsidR="00AA1E03" w:rsidRDefault="00AA1E03" w:rsidP="00AA1E03">
      <w:pPr>
        <w:spacing w:line="360" w:lineRule="auto"/>
        <w:ind w:right="51"/>
        <w:jc w:val="both"/>
        <w:rPr>
          <w:rFonts w:ascii="Arial" w:hAnsi="Arial" w:cs="Arial"/>
          <w:iCs/>
          <w:color w:val="000000"/>
        </w:rPr>
      </w:pPr>
      <w:r w:rsidRPr="00A4402B">
        <w:rPr>
          <w:rFonts w:ascii="Arial" w:hAnsi="Arial" w:cs="Arial"/>
          <w:iCs/>
          <w:color w:val="000000"/>
        </w:rPr>
        <w:t>Así entonces existe la pos</w:t>
      </w:r>
      <w:r>
        <w:rPr>
          <w:rFonts w:ascii="Arial" w:hAnsi="Arial" w:cs="Arial"/>
          <w:iCs/>
          <w:color w:val="000000"/>
        </w:rPr>
        <w:t>ibilidad de que se presenten las siguientes situaciones</w:t>
      </w:r>
      <w:r>
        <w:rPr>
          <w:rStyle w:val="Refdenotaalpie"/>
          <w:rFonts w:ascii="Arial" w:hAnsi="Arial"/>
          <w:iCs/>
          <w:color w:val="000000"/>
        </w:rPr>
        <w:footnoteReference w:id="25"/>
      </w:r>
      <w:r>
        <w:rPr>
          <w:rFonts w:ascii="Arial" w:hAnsi="Arial" w:cs="Arial"/>
          <w:iCs/>
          <w:color w:val="000000"/>
        </w:rPr>
        <w:t xml:space="preserve">: (i) Cosa juzgada </w:t>
      </w:r>
      <w:r w:rsidRPr="00A4402B">
        <w:rPr>
          <w:rFonts w:ascii="Arial" w:hAnsi="Arial" w:cs="Arial"/>
          <w:iCs/>
          <w:color w:val="000000"/>
        </w:rPr>
        <w:t>y temeridad</w:t>
      </w:r>
      <w:r>
        <w:rPr>
          <w:rFonts w:ascii="Arial" w:hAnsi="Arial" w:cs="Arial"/>
          <w:iCs/>
          <w:color w:val="000000"/>
        </w:rPr>
        <w:t xml:space="preserve">, </w:t>
      </w:r>
      <w:r w:rsidRPr="00A4402B">
        <w:rPr>
          <w:rFonts w:ascii="Arial" w:hAnsi="Arial" w:cs="Arial"/>
          <w:iCs/>
          <w:color w:val="000000"/>
        </w:rPr>
        <w:t>cuando se presenta una tutela sobre un asunto ya decidido</w:t>
      </w:r>
      <w:r>
        <w:rPr>
          <w:rFonts w:ascii="Arial" w:hAnsi="Arial" w:cs="Arial"/>
          <w:iCs/>
          <w:color w:val="000000"/>
        </w:rPr>
        <w:t xml:space="preserve"> pero</w:t>
      </w:r>
      <w:r w:rsidRPr="00A4402B">
        <w:rPr>
          <w:rFonts w:ascii="Arial" w:hAnsi="Arial" w:cs="Arial"/>
          <w:iCs/>
          <w:color w:val="000000"/>
        </w:rPr>
        <w:t xml:space="preserve"> sin justificación para su presentación;</w:t>
      </w:r>
      <w:r>
        <w:rPr>
          <w:rFonts w:ascii="Arial" w:hAnsi="Arial" w:cs="Arial"/>
          <w:iCs/>
          <w:color w:val="000000"/>
        </w:rPr>
        <w:t xml:space="preserve"> (ii)</w:t>
      </w:r>
      <w:r w:rsidRPr="00A4402B">
        <w:rPr>
          <w:rFonts w:ascii="Arial" w:hAnsi="Arial" w:cs="Arial"/>
          <w:iCs/>
          <w:color w:val="000000"/>
        </w:rPr>
        <w:t xml:space="preserve"> </w:t>
      </w:r>
      <w:r>
        <w:rPr>
          <w:rFonts w:ascii="Arial" w:hAnsi="Arial" w:cs="Arial"/>
          <w:iCs/>
          <w:color w:val="000000"/>
        </w:rPr>
        <w:t>C</w:t>
      </w:r>
      <w:r w:rsidRPr="00A4402B">
        <w:rPr>
          <w:rFonts w:ascii="Arial" w:hAnsi="Arial" w:cs="Arial"/>
          <w:iCs/>
          <w:color w:val="000000"/>
        </w:rPr>
        <w:t xml:space="preserve">osa juzgada sin temeridad, cuando se interpone el amparo con expresa manifestación de que </w:t>
      </w:r>
      <w:r>
        <w:rPr>
          <w:rFonts w:ascii="Arial" w:hAnsi="Arial" w:cs="Arial"/>
          <w:iCs/>
          <w:color w:val="000000"/>
        </w:rPr>
        <w:t xml:space="preserve">se </w:t>
      </w:r>
      <w:r w:rsidRPr="00A4402B">
        <w:rPr>
          <w:rFonts w:ascii="Arial" w:hAnsi="Arial" w:cs="Arial"/>
          <w:iCs/>
          <w:color w:val="000000"/>
        </w:rPr>
        <w:t xml:space="preserve">hace por segunda vez y con la convicción de que no ha operado el fenómeno de la cosa juzgada; y, </w:t>
      </w:r>
      <w:r>
        <w:rPr>
          <w:rFonts w:ascii="Arial" w:hAnsi="Arial" w:cs="Arial"/>
          <w:iCs/>
          <w:color w:val="000000"/>
        </w:rPr>
        <w:t>(iii) T</w:t>
      </w:r>
      <w:r w:rsidRPr="00A4402B">
        <w:rPr>
          <w:rFonts w:ascii="Arial" w:hAnsi="Arial" w:cs="Arial"/>
          <w:iCs/>
          <w:color w:val="000000"/>
        </w:rPr>
        <w:t>emeridad sin cosa juzgada, cuando se presenta simultaneidad entre dos o más solicitudes de amparo que presentan la trip</w:t>
      </w:r>
      <w:r>
        <w:rPr>
          <w:rFonts w:ascii="Arial" w:hAnsi="Arial" w:cs="Arial"/>
          <w:iCs/>
          <w:color w:val="000000"/>
        </w:rPr>
        <w:t>l</w:t>
      </w:r>
      <w:r w:rsidRPr="00A4402B">
        <w:rPr>
          <w:rFonts w:ascii="Arial" w:hAnsi="Arial" w:cs="Arial"/>
          <w:iCs/>
          <w:color w:val="000000"/>
        </w:rPr>
        <w:t>e identidad (</w:t>
      </w:r>
      <w:r>
        <w:rPr>
          <w:rFonts w:ascii="Arial" w:hAnsi="Arial" w:cs="Arial"/>
          <w:iCs/>
          <w:color w:val="000000"/>
        </w:rPr>
        <w:t>O</w:t>
      </w:r>
      <w:r w:rsidRPr="00A4402B">
        <w:rPr>
          <w:rFonts w:ascii="Arial" w:hAnsi="Arial" w:cs="Arial"/>
          <w:iCs/>
          <w:color w:val="000000"/>
        </w:rPr>
        <w:t xml:space="preserve">bjeto, causa y partes), sin que ninguna haya hecho tránsito a cosa juzgada. </w:t>
      </w:r>
    </w:p>
    <w:p w:rsidR="00AA1E03" w:rsidRPr="001971C0" w:rsidRDefault="00AA1E03" w:rsidP="00AA1E03">
      <w:pPr>
        <w:pStyle w:val="Textoindependiente"/>
        <w:spacing w:line="360" w:lineRule="auto"/>
        <w:rPr>
          <w:rFonts w:ascii="Arial" w:hAnsi="Arial"/>
          <w:sz w:val="20"/>
          <w:szCs w:val="24"/>
        </w:rPr>
      </w:pPr>
    </w:p>
    <w:p w:rsidR="00AA1E03" w:rsidRPr="00A4402B" w:rsidRDefault="00AA1E03" w:rsidP="00AA1E03">
      <w:pPr>
        <w:spacing w:line="360" w:lineRule="auto"/>
        <w:ind w:right="51"/>
        <w:jc w:val="both"/>
        <w:rPr>
          <w:rFonts w:ascii="Arial" w:hAnsi="Arial" w:cs="Arial"/>
        </w:rPr>
      </w:pPr>
      <w:r>
        <w:rPr>
          <w:rFonts w:ascii="Arial" w:hAnsi="Arial" w:cs="Arial"/>
          <w:iCs/>
          <w:color w:val="000000"/>
        </w:rPr>
        <w:t xml:space="preserve">En síntesis, la concurrencia de la triple identidad </w:t>
      </w:r>
      <w:r>
        <w:rPr>
          <w:rFonts w:ascii="Arial" w:hAnsi="Arial" w:cs="Arial"/>
        </w:rPr>
        <w:t>es in</w:t>
      </w:r>
      <w:r w:rsidRPr="00A4402B">
        <w:rPr>
          <w:rFonts w:ascii="Arial" w:hAnsi="Arial" w:cs="Arial"/>
        </w:rPr>
        <w:t>suficiente para concluir que se trata de una actuación amañada o contraria al principio constitucional de buena fe</w:t>
      </w:r>
      <w:r>
        <w:rPr>
          <w:rFonts w:ascii="Arial" w:hAnsi="Arial" w:cs="Arial"/>
        </w:rPr>
        <w:t xml:space="preserve">, pero sí está afectada de improcedencia por el fenómeno de la </w:t>
      </w:r>
      <w:r w:rsidRPr="00104D5D">
        <w:rPr>
          <w:rFonts w:ascii="Arial" w:hAnsi="Arial" w:cs="Arial"/>
          <w:u w:val="single"/>
        </w:rPr>
        <w:t>cosa juzgada constitucional</w:t>
      </w:r>
      <w:r w:rsidRPr="00A4402B">
        <w:rPr>
          <w:rFonts w:ascii="Arial" w:hAnsi="Arial" w:cs="Arial"/>
        </w:rPr>
        <w:t>.</w:t>
      </w:r>
    </w:p>
    <w:p w:rsidR="00AA1E03" w:rsidRDefault="00AA1E03" w:rsidP="0062273B">
      <w:pPr>
        <w:spacing w:line="360" w:lineRule="auto"/>
        <w:jc w:val="both"/>
        <w:rPr>
          <w:rFonts w:ascii="Arial" w:hAnsi="Arial" w:cs="Arial"/>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EL CASO CONCRETO QUE SE ANALIZA</w:t>
      </w:r>
    </w:p>
    <w:p w:rsidR="008139F4" w:rsidRDefault="008139F4" w:rsidP="00AA1E03">
      <w:pPr>
        <w:pStyle w:val="Textoindependiente"/>
        <w:spacing w:line="360" w:lineRule="auto"/>
        <w:rPr>
          <w:rFonts w:ascii="Arial" w:hAnsi="Arial"/>
          <w:szCs w:val="24"/>
        </w:rPr>
      </w:pPr>
    </w:p>
    <w:p w:rsidR="00993BE7" w:rsidRDefault="00993BE7" w:rsidP="00F54A43">
      <w:pPr>
        <w:pStyle w:val="Textoindependiente"/>
        <w:spacing w:line="360" w:lineRule="auto"/>
        <w:rPr>
          <w:rFonts w:ascii="Arial" w:hAnsi="Arial"/>
          <w:szCs w:val="24"/>
        </w:rPr>
      </w:pPr>
      <w:r w:rsidRPr="00F54A43">
        <w:rPr>
          <w:rFonts w:ascii="Arial" w:hAnsi="Arial"/>
          <w:szCs w:val="24"/>
        </w:rPr>
        <w:t xml:space="preserve">En la metodología enseñada por la doctrina constitucional, el primer examen consiste en verificar los presupuestos generales de </w:t>
      </w:r>
      <w:proofErr w:type="spellStart"/>
      <w:r w:rsidRPr="00F54A43">
        <w:rPr>
          <w:rFonts w:ascii="Arial" w:hAnsi="Arial"/>
          <w:szCs w:val="24"/>
        </w:rPr>
        <w:t>procedibilidad</w:t>
      </w:r>
      <w:proofErr w:type="spellEnd"/>
      <w:r w:rsidRPr="00F54A43">
        <w:rPr>
          <w:rFonts w:ascii="Arial" w:hAnsi="Arial"/>
          <w:szCs w:val="24"/>
        </w:rPr>
        <w:t>, y para el caso se hallan debidamente cumplidos. El asunto es de relevancia constitucional; se agotaron</w:t>
      </w:r>
      <w:r w:rsidRPr="00F54A43">
        <w:rPr>
          <w:rFonts w:ascii="Arial" w:hAnsi="Arial"/>
          <w:szCs w:val="24"/>
          <w:lang w:val="es-CO"/>
        </w:rPr>
        <w:t xml:space="preserve"> los medios ordinarios </w:t>
      </w:r>
      <w:r w:rsidRPr="00F54A43">
        <w:rPr>
          <w:rFonts w:ascii="Arial" w:hAnsi="Arial"/>
          <w:szCs w:val="24"/>
        </w:rPr>
        <w:t xml:space="preserve">ante la </w:t>
      </w:r>
      <w:r w:rsidRPr="00F54A43">
        <w:rPr>
          <w:rFonts w:ascii="Arial" w:hAnsi="Arial"/>
          <w:i/>
          <w:szCs w:val="24"/>
        </w:rPr>
        <w:t>a quo</w:t>
      </w:r>
      <w:r w:rsidRPr="00F54A43">
        <w:rPr>
          <w:rFonts w:ascii="Arial" w:hAnsi="Arial"/>
          <w:szCs w:val="24"/>
        </w:rPr>
        <w:t xml:space="preserve"> (Artículo </w:t>
      </w:r>
      <w:r w:rsidRPr="00F54A43">
        <w:rPr>
          <w:rFonts w:ascii="Arial" w:hAnsi="Arial"/>
          <w:szCs w:val="24"/>
          <w:lang w:val="es-ES"/>
        </w:rPr>
        <w:t xml:space="preserve">36, Ley 472) </w:t>
      </w:r>
      <w:r w:rsidRPr="00F54A43">
        <w:rPr>
          <w:rFonts w:ascii="Arial" w:hAnsi="Arial"/>
          <w:szCs w:val="24"/>
        </w:rPr>
        <w:t xml:space="preserve">(Subsidiariedad); </w:t>
      </w:r>
      <w:r w:rsidR="00BA67C3" w:rsidRPr="00F54A43">
        <w:rPr>
          <w:rFonts w:ascii="Arial" w:hAnsi="Arial"/>
          <w:szCs w:val="24"/>
        </w:rPr>
        <w:t>la</w:t>
      </w:r>
      <w:r w:rsidRPr="00F54A43">
        <w:rPr>
          <w:rFonts w:ascii="Arial" w:hAnsi="Arial"/>
          <w:szCs w:val="24"/>
        </w:rPr>
        <w:t xml:space="preserve"> actuación reprochada no es de tutela; </w:t>
      </w:r>
      <w:r w:rsidRPr="00F54A43">
        <w:rPr>
          <w:rFonts w:ascii="Arial" w:hAnsi="Arial"/>
          <w:szCs w:val="24"/>
        </w:rPr>
        <w:lastRenderedPageBreak/>
        <w:t xml:space="preserve">hay inmediatez porque la </w:t>
      </w:r>
      <w:r w:rsidR="005A6EF5" w:rsidRPr="00F54A43">
        <w:rPr>
          <w:rFonts w:ascii="Arial" w:hAnsi="Arial"/>
          <w:szCs w:val="24"/>
        </w:rPr>
        <w:t>decisión</w:t>
      </w:r>
      <w:r w:rsidRPr="00F54A43">
        <w:rPr>
          <w:rFonts w:ascii="Arial" w:hAnsi="Arial"/>
          <w:szCs w:val="24"/>
        </w:rPr>
        <w:t xml:space="preserve"> que </w:t>
      </w:r>
      <w:r w:rsidR="005A6EF5" w:rsidRPr="00F54A43">
        <w:rPr>
          <w:rFonts w:ascii="Arial" w:hAnsi="Arial"/>
          <w:szCs w:val="24"/>
        </w:rPr>
        <w:t>resolvió la reposición interpuesta data</w:t>
      </w:r>
      <w:r w:rsidRPr="00F54A43">
        <w:rPr>
          <w:rFonts w:ascii="Arial" w:hAnsi="Arial"/>
          <w:szCs w:val="24"/>
        </w:rPr>
        <w:t xml:space="preserve"> del día </w:t>
      </w:r>
      <w:r w:rsidR="005A6EF5" w:rsidRPr="00F54A43">
        <w:rPr>
          <w:rFonts w:ascii="Arial" w:hAnsi="Arial"/>
          <w:szCs w:val="24"/>
        </w:rPr>
        <w:t xml:space="preserve">02-08-2016 </w:t>
      </w:r>
      <w:r w:rsidRPr="00F54A43">
        <w:rPr>
          <w:rFonts w:ascii="Arial" w:hAnsi="Arial"/>
          <w:szCs w:val="24"/>
        </w:rPr>
        <w:t xml:space="preserve">(Folio </w:t>
      </w:r>
      <w:r w:rsidR="005A6EF5" w:rsidRPr="00F54A43">
        <w:rPr>
          <w:rFonts w:ascii="Arial" w:hAnsi="Arial"/>
          <w:szCs w:val="24"/>
        </w:rPr>
        <w:t>36</w:t>
      </w:r>
      <w:r w:rsidRPr="00F54A43">
        <w:rPr>
          <w:rFonts w:ascii="Arial" w:hAnsi="Arial"/>
          <w:szCs w:val="24"/>
        </w:rPr>
        <w:t xml:space="preserve">, ib.) y la </w:t>
      </w:r>
      <w:r w:rsidR="005A6EF5" w:rsidRPr="00F54A43">
        <w:rPr>
          <w:rFonts w:ascii="Arial" w:hAnsi="Arial"/>
          <w:szCs w:val="24"/>
        </w:rPr>
        <w:t xml:space="preserve">acción fue </w:t>
      </w:r>
      <w:r w:rsidRPr="00F54A43">
        <w:rPr>
          <w:rFonts w:ascii="Arial" w:hAnsi="Arial"/>
          <w:szCs w:val="24"/>
        </w:rPr>
        <w:t xml:space="preserve">instaurada el </w:t>
      </w:r>
      <w:r w:rsidR="005A6EF5" w:rsidRPr="00F54A43">
        <w:rPr>
          <w:rFonts w:ascii="Arial" w:hAnsi="Arial"/>
          <w:szCs w:val="24"/>
        </w:rPr>
        <w:t xml:space="preserve">10-08-2016 </w:t>
      </w:r>
      <w:r w:rsidRPr="00F54A43">
        <w:rPr>
          <w:rFonts w:ascii="Arial" w:hAnsi="Arial"/>
          <w:szCs w:val="24"/>
        </w:rPr>
        <w:t>(Folio</w:t>
      </w:r>
      <w:r w:rsidR="005A6EF5" w:rsidRPr="00F54A43">
        <w:rPr>
          <w:rFonts w:ascii="Arial" w:hAnsi="Arial"/>
          <w:szCs w:val="24"/>
        </w:rPr>
        <w:t xml:space="preserve"> 2</w:t>
      </w:r>
      <w:r w:rsidRPr="00F54A43">
        <w:rPr>
          <w:rFonts w:ascii="Arial" w:hAnsi="Arial"/>
          <w:szCs w:val="24"/>
        </w:rPr>
        <w:t xml:space="preserve">, ib.); </w:t>
      </w:r>
      <w:r w:rsidR="00BA67C3" w:rsidRPr="00F54A43">
        <w:rPr>
          <w:rFonts w:ascii="Arial" w:hAnsi="Arial"/>
          <w:szCs w:val="24"/>
        </w:rPr>
        <w:t xml:space="preserve">y, </w:t>
      </w:r>
      <w:r w:rsidRPr="00F54A43">
        <w:rPr>
          <w:rFonts w:ascii="Arial" w:hAnsi="Arial"/>
          <w:szCs w:val="24"/>
        </w:rPr>
        <w:t xml:space="preserve">la irregularidad realzada por la parte, resulta ser trascendente para el desarrollo de la </w:t>
      </w:r>
      <w:proofErr w:type="spellStart"/>
      <w:r w:rsidRPr="00F54A43">
        <w:rPr>
          <w:rFonts w:ascii="Arial" w:hAnsi="Arial"/>
          <w:szCs w:val="24"/>
        </w:rPr>
        <w:t>litis</w:t>
      </w:r>
      <w:proofErr w:type="spellEnd"/>
      <w:r w:rsidRPr="00F54A43">
        <w:rPr>
          <w:rFonts w:ascii="Arial" w:hAnsi="Arial"/>
          <w:szCs w:val="24"/>
        </w:rPr>
        <w:t>.</w:t>
      </w:r>
    </w:p>
    <w:p w:rsidR="001E5C81" w:rsidRPr="00F54A43" w:rsidRDefault="001E5C81" w:rsidP="00F54A43">
      <w:pPr>
        <w:pStyle w:val="Textoindependiente"/>
        <w:spacing w:line="360" w:lineRule="auto"/>
        <w:rPr>
          <w:rFonts w:ascii="Arial" w:hAnsi="Arial"/>
          <w:szCs w:val="24"/>
        </w:rPr>
      </w:pPr>
    </w:p>
    <w:p w:rsidR="001E5C81" w:rsidRPr="00AA1E03" w:rsidRDefault="001E5C81" w:rsidP="001E5C81">
      <w:pPr>
        <w:pStyle w:val="Prrafodelista"/>
        <w:numPr>
          <w:ilvl w:val="1"/>
          <w:numId w:val="18"/>
        </w:numPr>
        <w:spacing w:line="360" w:lineRule="auto"/>
        <w:ind w:right="22"/>
        <w:jc w:val="both"/>
        <w:rPr>
          <w:rFonts w:ascii="Arial" w:hAnsi="Arial" w:cs="Arial"/>
          <w:szCs w:val="22"/>
          <w:lang w:val="es-ES_tradnl"/>
        </w:rPr>
      </w:pPr>
      <w:r w:rsidRPr="00AA1E03">
        <w:rPr>
          <w:rFonts w:ascii="Arial" w:hAnsi="Arial" w:cs="Arial"/>
          <w:szCs w:val="22"/>
          <w:lang w:val="es-ES_tradnl"/>
        </w:rPr>
        <w:t>El defecto sustantivo o material</w:t>
      </w:r>
    </w:p>
    <w:p w:rsidR="00993BE7" w:rsidRPr="00F54A43" w:rsidRDefault="00993BE7" w:rsidP="00F54A43">
      <w:pPr>
        <w:pStyle w:val="Textoindependiente"/>
        <w:spacing w:line="360" w:lineRule="auto"/>
        <w:rPr>
          <w:rFonts w:ascii="Arial" w:hAnsi="Arial"/>
          <w:szCs w:val="24"/>
        </w:rPr>
      </w:pPr>
    </w:p>
    <w:p w:rsidR="00993BE7" w:rsidRPr="00F54A43" w:rsidRDefault="00993BE7" w:rsidP="00F54A43">
      <w:pPr>
        <w:widowControl/>
        <w:spacing w:line="360" w:lineRule="auto"/>
        <w:jc w:val="both"/>
        <w:rPr>
          <w:rFonts w:ascii="Arial" w:hAnsi="Arial" w:cs="Arial"/>
          <w:color w:val="000000"/>
        </w:rPr>
      </w:pPr>
      <w:r w:rsidRPr="00F54A43">
        <w:rPr>
          <w:rFonts w:ascii="Arial" w:hAnsi="Arial" w:cs="Arial"/>
        </w:rPr>
        <w:t xml:space="preserve">Concluido el estudio de los requisitos generales, incumbe proseguir con la revisión de las causales especiales y en el caso concreto se entiende que lo expuesto por el actor, alude al defecto sustantivo, pues argumenta </w:t>
      </w:r>
      <w:r w:rsidRPr="00F54A43">
        <w:rPr>
          <w:rFonts w:ascii="Arial" w:hAnsi="Arial" w:cs="Arial"/>
          <w:color w:val="000000"/>
        </w:rPr>
        <w:t xml:space="preserve">que </w:t>
      </w:r>
      <w:r w:rsidR="005A6EF5" w:rsidRPr="00F54A43">
        <w:rPr>
          <w:rFonts w:ascii="Arial" w:hAnsi="Arial" w:cs="Arial"/>
          <w:color w:val="000000"/>
        </w:rPr>
        <w:t xml:space="preserve">la </w:t>
      </w:r>
      <w:r w:rsidR="005A6EF5" w:rsidRPr="00F54A43">
        <w:rPr>
          <w:rFonts w:ascii="Arial" w:hAnsi="Arial" w:cs="Arial"/>
          <w:i/>
          <w:color w:val="000000"/>
        </w:rPr>
        <w:t>a quo</w:t>
      </w:r>
      <w:r w:rsidR="005A6EF5" w:rsidRPr="00F54A43">
        <w:rPr>
          <w:rFonts w:ascii="Arial" w:hAnsi="Arial" w:cs="Arial"/>
          <w:color w:val="000000"/>
        </w:rPr>
        <w:t xml:space="preserve"> accionada no debió aplicar la figura del desistimiento tácito porque la Ley </w:t>
      </w:r>
      <w:r w:rsidR="00BA67C3" w:rsidRPr="00F54A43">
        <w:rPr>
          <w:rFonts w:ascii="Arial" w:hAnsi="Arial" w:cs="Arial"/>
          <w:color w:val="000000"/>
        </w:rPr>
        <w:t xml:space="preserve">especial </w:t>
      </w:r>
      <w:r w:rsidR="005A6EF5" w:rsidRPr="00F54A43">
        <w:rPr>
          <w:rFonts w:ascii="Arial" w:hAnsi="Arial" w:cs="Arial"/>
          <w:color w:val="000000"/>
        </w:rPr>
        <w:t>no la contempla, máxime cuando su impulso es oficioso</w:t>
      </w:r>
      <w:r w:rsidRPr="00F54A43">
        <w:rPr>
          <w:rFonts w:ascii="Arial" w:hAnsi="Arial" w:cs="Arial"/>
          <w:color w:val="000000"/>
        </w:rPr>
        <w:t>.</w:t>
      </w:r>
    </w:p>
    <w:p w:rsidR="00993BE7" w:rsidRPr="00F54A43" w:rsidRDefault="00993BE7" w:rsidP="00F54A43">
      <w:pPr>
        <w:widowControl/>
        <w:spacing w:line="360" w:lineRule="auto"/>
        <w:jc w:val="both"/>
        <w:rPr>
          <w:rFonts w:ascii="Arial" w:hAnsi="Arial" w:cs="Arial"/>
        </w:rPr>
      </w:pPr>
    </w:p>
    <w:p w:rsidR="003F7ED1" w:rsidRPr="00F54A43" w:rsidRDefault="00BA67C3" w:rsidP="00F54A43">
      <w:pPr>
        <w:spacing w:line="360" w:lineRule="auto"/>
        <w:jc w:val="both"/>
        <w:rPr>
          <w:rFonts w:ascii="Arial" w:hAnsi="Arial" w:cs="Arial"/>
        </w:rPr>
      </w:pPr>
      <w:r w:rsidRPr="00F54A43">
        <w:rPr>
          <w:rFonts w:ascii="Arial" w:hAnsi="Arial" w:cs="Arial"/>
          <w:bCs/>
        </w:rPr>
        <w:t xml:space="preserve">El </w:t>
      </w:r>
      <w:r w:rsidR="00B216BF" w:rsidRPr="00F54A43">
        <w:rPr>
          <w:rFonts w:ascii="Arial" w:hAnsi="Arial" w:cs="Arial"/>
          <w:color w:val="000000"/>
        </w:rPr>
        <w:t>artículo 5º-3º de la Ley 472, prescribe como obligación del juez, impulsar oficiosamente el trámite de las acciones populares; por su parte el artículo 21, consagra</w:t>
      </w:r>
      <w:r w:rsidR="00494C58" w:rsidRPr="00F54A43">
        <w:rPr>
          <w:rFonts w:ascii="Arial" w:hAnsi="Arial" w:cs="Arial"/>
          <w:color w:val="000000"/>
        </w:rPr>
        <w:t>,</w:t>
      </w:r>
      <w:r w:rsidR="00B216BF" w:rsidRPr="00F54A43">
        <w:rPr>
          <w:rFonts w:ascii="Arial" w:hAnsi="Arial" w:cs="Arial"/>
          <w:color w:val="000000"/>
        </w:rPr>
        <w:t xml:space="preserve"> entre otras</w:t>
      </w:r>
      <w:r w:rsidR="00494C58" w:rsidRPr="00F54A43">
        <w:rPr>
          <w:rFonts w:ascii="Arial" w:hAnsi="Arial" w:cs="Arial"/>
          <w:color w:val="000000"/>
        </w:rPr>
        <w:t>,</w:t>
      </w:r>
      <w:r w:rsidR="00B216BF" w:rsidRPr="00F54A43">
        <w:rPr>
          <w:rFonts w:ascii="Arial" w:hAnsi="Arial" w:cs="Arial"/>
          <w:color w:val="000000"/>
        </w:rPr>
        <w:t xml:space="preserve"> la obligación de informar sobre la existencia del amparo a los miembros de la comunidad por intermedio de medios masivos de comunicación o cualquier otro eficaz</w:t>
      </w:r>
      <w:r w:rsidR="00ED7146" w:rsidRPr="00F54A43">
        <w:rPr>
          <w:rFonts w:ascii="Arial" w:hAnsi="Arial" w:cs="Arial"/>
          <w:color w:val="000000"/>
        </w:rPr>
        <w:t>;</w:t>
      </w:r>
      <w:r w:rsidRPr="00F54A43">
        <w:rPr>
          <w:rFonts w:ascii="Arial" w:hAnsi="Arial" w:cs="Arial"/>
        </w:rPr>
        <w:t xml:space="preserve"> mientras </w:t>
      </w:r>
      <w:r w:rsidRPr="00F54A43">
        <w:rPr>
          <w:rFonts w:ascii="Arial" w:hAnsi="Arial" w:cs="Arial"/>
          <w:lang w:val="es-CO"/>
        </w:rPr>
        <w:t xml:space="preserve">que </w:t>
      </w:r>
      <w:r w:rsidR="00B216BF" w:rsidRPr="00F54A43">
        <w:rPr>
          <w:rFonts w:ascii="Arial" w:hAnsi="Arial" w:cs="Arial"/>
          <w:lang w:val="es-CO"/>
        </w:rPr>
        <w:t xml:space="preserve">el artículo 44 ídem </w:t>
      </w:r>
      <w:r w:rsidRPr="00F54A43">
        <w:rPr>
          <w:rFonts w:ascii="Arial" w:hAnsi="Arial" w:cs="Arial"/>
          <w:lang w:val="es-CO"/>
        </w:rPr>
        <w:t xml:space="preserve">establece que en estos asuntos </w:t>
      </w:r>
      <w:r w:rsidR="00B216BF" w:rsidRPr="00F54A43">
        <w:rPr>
          <w:rFonts w:ascii="Arial" w:hAnsi="Arial" w:cs="Arial"/>
        </w:rPr>
        <w:t xml:space="preserve">se aplicarán las disposiciones del CPC </w:t>
      </w:r>
      <w:r w:rsidR="00B216BF" w:rsidRPr="00F54A43">
        <w:rPr>
          <w:rFonts w:ascii="Arial" w:hAnsi="Arial" w:cs="Arial"/>
          <w:lang w:val="es-CO"/>
        </w:rPr>
        <w:t>(Hoy CGP)</w:t>
      </w:r>
      <w:r w:rsidR="00B216BF" w:rsidRPr="00F54A43">
        <w:rPr>
          <w:rFonts w:ascii="Arial" w:hAnsi="Arial" w:cs="Arial"/>
        </w:rPr>
        <w:t>, en los aspectos no regulados en la Ley</w:t>
      </w:r>
      <w:r w:rsidRPr="00F54A43">
        <w:rPr>
          <w:rFonts w:ascii="Arial" w:hAnsi="Arial" w:cs="Arial"/>
        </w:rPr>
        <w:t>.</w:t>
      </w:r>
    </w:p>
    <w:p w:rsidR="00B216BF" w:rsidRPr="00F54A43" w:rsidRDefault="00B216BF" w:rsidP="00F54A43">
      <w:pPr>
        <w:spacing w:line="360" w:lineRule="auto"/>
        <w:jc w:val="both"/>
        <w:rPr>
          <w:rFonts w:ascii="Arial" w:hAnsi="Arial" w:cs="Arial"/>
        </w:rPr>
      </w:pPr>
    </w:p>
    <w:p w:rsidR="00ED7146" w:rsidRPr="00F54A43" w:rsidRDefault="00ED7146" w:rsidP="00F54A43">
      <w:pPr>
        <w:spacing w:line="360" w:lineRule="auto"/>
        <w:jc w:val="both"/>
        <w:rPr>
          <w:rFonts w:ascii="Arial" w:hAnsi="Arial" w:cs="Arial"/>
          <w:lang w:val="es-CO"/>
        </w:rPr>
      </w:pPr>
      <w:r w:rsidRPr="00F54A43">
        <w:rPr>
          <w:rFonts w:ascii="Arial" w:hAnsi="Arial" w:cs="Arial"/>
          <w:lang w:val="es-CO"/>
        </w:rPr>
        <w:t xml:space="preserve">En la acción popular la </w:t>
      </w:r>
      <w:r w:rsidRPr="00F54A43">
        <w:rPr>
          <w:rFonts w:ascii="Arial" w:hAnsi="Arial" w:cs="Arial"/>
          <w:i/>
          <w:lang w:val="es-CO"/>
        </w:rPr>
        <w:t xml:space="preserve">a quo </w:t>
      </w:r>
      <w:r w:rsidRPr="00F54A43">
        <w:rPr>
          <w:rFonts w:ascii="Arial" w:hAnsi="Arial" w:cs="Arial"/>
          <w:lang w:val="es-CO"/>
        </w:rPr>
        <w:t>accionada con proveído del 18-05-2016 (Folio 28, ib.) y con fundamento en el artículo 317 del CGP, requirió al actor para que efectuara la publicación del aviso a la comunidad, seguidamente y como quiera que dejó vencer el plazo concedido sin atender la orden</w:t>
      </w:r>
      <w:r w:rsidR="002E2B16" w:rsidRPr="00F54A43">
        <w:rPr>
          <w:rFonts w:ascii="Arial" w:hAnsi="Arial" w:cs="Arial"/>
          <w:lang w:val="es-CO"/>
        </w:rPr>
        <w:t>,</w:t>
      </w:r>
      <w:r w:rsidRPr="00F54A43">
        <w:rPr>
          <w:rFonts w:ascii="Arial" w:hAnsi="Arial" w:cs="Arial"/>
          <w:lang w:val="es-CO"/>
        </w:rPr>
        <w:t xml:space="preserve"> mediante providencia del 11-07-2016</w:t>
      </w:r>
      <w:r w:rsidR="002E2B16" w:rsidRPr="00F54A43">
        <w:rPr>
          <w:rFonts w:ascii="Arial" w:hAnsi="Arial" w:cs="Arial"/>
          <w:lang w:val="es-CO"/>
        </w:rPr>
        <w:t>,</w:t>
      </w:r>
      <w:r w:rsidRPr="00F54A43">
        <w:rPr>
          <w:rFonts w:ascii="Arial" w:hAnsi="Arial" w:cs="Arial"/>
          <w:lang w:val="es-CO"/>
        </w:rPr>
        <w:t xml:space="preserve"> declaró terminado el amparo por desistimiento tácito (Folio 33, ib.); finalmente, con auto del 02-08-2016, desató la reposición formulada y con suma claridad expuso al recurrente que su decisión devino de la aplicación conjunta y concordante del artículo 44 de la Ley 472 y el CGP (Folio 36, ib.).</w:t>
      </w:r>
    </w:p>
    <w:p w:rsidR="00ED7146" w:rsidRPr="00F54A43" w:rsidRDefault="00ED7146" w:rsidP="00F54A43">
      <w:pPr>
        <w:spacing w:line="360" w:lineRule="auto"/>
        <w:jc w:val="both"/>
        <w:rPr>
          <w:rFonts w:ascii="Arial" w:hAnsi="Arial" w:cs="Arial"/>
        </w:rPr>
      </w:pPr>
    </w:p>
    <w:p w:rsidR="00F54A43" w:rsidRPr="00F54A43" w:rsidRDefault="003F7ED1" w:rsidP="00F54A43">
      <w:pPr>
        <w:pStyle w:val="Sangradetextonormal"/>
        <w:spacing w:after="0" w:line="360" w:lineRule="auto"/>
        <w:ind w:left="0"/>
        <w:jc w:val="both"/>
        <w:rPr>
          <w:rFonts w:ascii="Arial" w:hAnsi="Arial" w:cs="Arial"/>
        </w:rPr>
      </w:pPr>
      <w:r w:rsidRPr="00F54A43">
        <w:rPr>
          <w:rFonts w:ascii="Arial" w:hAnsi="Arial" w:cs="Arial"/>
          <w:color w:val="000000"/>
        </w:rPr>
        <w:t xml:space="preserve">A partir de lo dicho, </w:t>
      </w:r>
      <w:r w:rsidR="00ED7146" w:rsidRPr="00F54A43">
        <w:rPr>
          <w:rFonts w:ascii="Arial" w:hAnsi="Arial" w:cs="Arial"/>
          <w:lang w:val="es-CO"/>
        </w:rPr>
        <w:t>se considera que es inexistente la</w:t>
      </w:r>
      <w:r w:rsidR="00ED7146" w:rsidRPr="00F54A43">
        <w:rPr>
          <w:rFonts w:ascii="Arial" w:hAnsi="Arial"/>
        </w:rPr>
        <w:t xml:space="preserve"> vulneración o amenaza a los derechos invocados por el </w:t>
      </w:r>
      <w:proofErr w:type="spellStart"/>
      <w:r w:rsidR="00ED7146" w:rsidRPr="00F54A43">
        <w:rPr>
          <w:rFonts w:ascii="Arial" w:hAnsi="Arial"/>
        </w:rPr>
        <w:t>tutelante</w:t>
      </w:r>
      <w:proofErr w:type="spellEnd"/>
      <w:r w:rsidR="00ED7146" w:rsidRPr="00F54A43">
        <w:rPr>
          <w:rFonts w:ascii="Arial" w:hAnsi="Arial"/>
        </w:rPr>
        <w:t>, puesto que no se advierte arbitraria ni antojadiza la decisión controvertida</w:t>
      </w:r>
      <w:r w:rsidR="002E2B16" w:rsidRPr="00F54A43">
        <w:rPr>
          <w:rFonts w:ascii="Arial" w:hAnsi="Arial"/>
        </w:rPr>
        <w:t>.</w:t>
      </w:r>
      <w:r w:rsidR="00ED7146" w:rsidRPr="00F54A43">
        <w:rPr>
          <w:rFonts w:ascii="Arial" w:hAnsi="Arial"/>
        </w:rPr>
        <w:t xml:space="preserve"> </w:t>
      </w:r>
      <w:r w:rsidR="002E2B16" w:rsidRPr="00F54A43">
        <w:rPr>
          <w:rFonts w:ascii="Arial" w:hAnsi="Arial"/>
        </w:rPr>
        <w:t>C</w:t>
      </w:r>
      <w:r w:rsidR="00ED7146" w:rsidRPr="00F54A43">
        <w:rPr>
          <w:rFonts w:ascii="Arial" w:hAnsi="Arial"/>
        </w:rPr>
        <w:t xml:space="preserve">omparta o no la Sala la posición de la jueza accionada, </w:t>
      </w:r>
      <w:r w:rsidR="001E5C81">
        <w:rPr>
          <w:rFonts w:ascii="Arial" w:hAnsi="Arial"/>
        </w:rPr>
        <w:t>es evidente</w:t>
      </w:r>
      <w:r w:rsidR="00ED7146" w:rsidRPr="00F54A43">
        <w:rPr>
          <w:rFonts w:ascii="Arial" w:hAnsi="Arial"/>
        </w:rPr>
        <w:t xml:space="preserve"> </w:t>
      </w:r>
      <w:r w:rsidR="002E2B16" w:rsidRPr="00F54A43">
        <w:rPr>
          <w:rFonts w:ascii="Arial" w:hAnsi="Arial"/>
        </w:rPr>
        <w:t xml:space="preserve">que </w:t>
      </w:r>
      <w:r w:rsidR="00ED7146" w:rsidRPr="00F54A43">
        <w:rPr>
          <w:rFonts w:ascii="Arial" w:hAnsi="Arial"/>
        </w:rPr>
        <w:t xml:space="preserve">se sostiene </w:t>
      </w:r>
      <w:r w:rsidR="00494C58" w:rsidRPr="00F54A43">
        <w:rPr>
          <w:rFonts w:ascii="Arial" w:hAnsi="Arial"/>
        </w:rPr>
        <w:t xml:space="preserve">en </w:t>
      </w:r>
      <w:r w:rsidR="00ED7146" w:rsidRPr="00F54A43">
        <w:rPr>
          <w:rFonts w:ascii="Arial" w:hAnsi="Arial"/>
        </w:rPr>
        <w:t>un fundamento jurídico claro</w:t>
      </w:r>
      <w:r w:rsidR="00494C58" w:rsidRPr="00F54A43">
        <w:rPr>
          <w:rFonts w:ascii="Arial" w:hAnsi="Arial"/>
        </w:rPr>
        <w:t xml:space="preserve">, es decir, en </w:t>
      </w:r>
      <w:r w:rsidR="00ED7146" w:rsidRPr="00F54A43">
        <w:rPr>
          <w:rFonts w:ascii="Arial" w:hAnsi="Arial"/>
        </w:rPr>
        <w:t>normas vigentes aplicable</w:t>
      </w:r>
      <w:r w:rsidR="00190359" w:rsidRPr="00F54A43">
        <w:rPr>
          <w:rFonts w:ascii="Arial" w:hAnsi="Arial"/>
        </w:rPr>
        <w:t>s a las acciones populares (</w:t>
      </w:r>
      <w:r w:rsidR="00494C58" w:rsidRPr="00F54A43">
        <w:rPr>
          <w:rFonts w:ascii="Arial" w:hAnsi="Arial"/>
        </w:rPr>
        <w:t>Artículo</w:t>
      </w:r>
      <w:r w:rsidR="00190359" w:rsidRPr="00F54A43">
        <w:rPr>
          <w:rFonts w:ascii="Arial" w:hAnsi="Arial"/>
        </w:rPr>
        <w:t xml:space="preserve"> 44 de la Ley 472). </w:t>
      </w:r>
      <w:r w:rsidR="00F54A43" w:rsidRPr="00F54A43">
        <w:rPr>
          <w:rFonts w:ascii="Arial" w:hAnsi="Arial" w:cs="Arial"/>
          <w:color w:val="000000"/>
        </w:rPr>
        <w:t>Tampoco se refleja una acción tendiente a e</w:t>
      </w:r>
      <w:r w:rsidR="00F54A43" w:rsidRPr="00F54A43">
        <w:rPr>
          <w:rFonts w:ascii="Arial" w:hAnsi="Arial" w:cs="Arial"/>
        </w:rPr>
        <w:t xml:space="preserve">squivar el impulso oficioso, por el contrario el requerimiento que se hizo con base en el artículo 317 del CGP, refiere un </w:t>
      </w:r>
      <w:r w:rsidR="00AA1E03" w:rsidRPr="00F54A43">
        <w:rPr>
          <w:rFonts w:ascii="Arial" w:hAnsi="Arial" w:cs="Arial"/>
        </w:rPr>
        <w:t>interés</w:t>
      </w:r>
      <w:r w:rsidR="00F54A43" w:rsidRPr="00F54A43">
        <w:rPr>
          <w:rFonts w:ascii="Arial" w:hAnsi="Arial" w:cs="Arial"/>
        </w:rPr>
        <w:t xml:space="preserve"> en la jueza de conocimiento de agotar el trámite de la acción popular con celeridad y eficacia, que </w:t>
      </w:r>
      <w:r w:rsidR="001E5C81">
        <w:rPr>
          <w:rFonts w:ascii="Arial" w:hAnsi="Arial" w:cs="Arial"/>
        </w:rPr>
        <w:t xml:space="preserve">nunca </w:t>
      </w:r>
      <w:r w:rsidR="00F54A43" w:rsidRPr="00F54A43">
        <w:rPr>
          <w:rFonts w:ascii="Arial" w:hAnsi="Arial" w:cs="Arial"/>
        </w:rPr>
        <w:t xml:space="preserve">pudo lograr producto de la renuencia del actor en asumir con diligencia la mínima carga procesal impuesta. </w:t>
      </w:r>
      <w:r w:rsidR="001E5C81">
        <w:rPr>
          <w:rFonts w:ascii="Arial" w:hAnsi="Arial" w:cs="Arial"/>
        </w:rPr>
        <w:t xml:space="preserve">Téngase presente que como no existe caducidad o figura semejante, nada </w:t>
      </w:r>
      <w:r w:rsidR="001E5C81">
        <w:rPr>
          <w:rFonts w:ascii="Arial" w:hAnsi="Arial" w:cs="Arial"/>
        </w:rPr>
        <w:lastRenderedPageBreak/>
        <w:t>obsta para que la promueva nuevamente.</w:t>
      </w:r>
    </w:p>
    <w:p w:rsidR="00F54A43" w:rsidRPr="00F54A43" w:rsidRDefault="00F54A43" w:rsidP="00F54A43">
      <w:pPr>
        <w:pStyle w:val="Sangradetextonormal"/>
        <w:spacing w:after="0" w:line="360" w:lineRule="auto"/>
        <w:ind w:left="0"/>
        <w:jc w:val="both"/>
        <w:rPr>
          <w:rFonts w:ascii="Arial" w:hAnsi="Arial" w:cs="Arial"/>
        </w:rPr>
      </w:pPr>
    </w:p>
    <w:p w:rsidR="00993BE7" w:rsidRPr="001E5C81" w:rsidRDefault="00993BE7" w:rsidP="00F54A43">
      <w:pPr>
        <w:pStyle w:val="Sangradetextonormal"/>
        <w:spacing w:after="0" w:line="360" w:lineRule="auto"/>
        <w:ind w:left="0"/>
        <w:jc w:val="both"/>
        <w:rPr>
          <w:rFonts w:ascii="Arial" w:hAnsi="Arial" w:cs="Arial"/>
          <w:color w:val="000000"/>
        </w:rPr>
      </w:pPr>
      <w:r w:rsidRPr="00F54A43">
        <w:rPr>
          <w:rFonts w:ascii="Arial" w:hAnsi="Arial" w:cs="Arial"/>
          <w:color w:val="000000"/>
        </w:rPr>
        <w:t xml:space="preserve">Esta interpretación acoge el pensamiento de la </w:t>
      </w:r>
      <w:r w:rsidR="001E5C81">
        <w:rPr>
          <w:rFonts w:ascii="Arial" w:hAnsi="Arial" w:cs="Arial"/>
          <w:color w:val="000000"/>
        </w:rPr>
        <w:t>CSJ</w:t>
      </w:r>
      <w:r w:rsidRPr="00F54A43">
        <w:rPr>
          <w:rFonts w:ascii="Arial" w:hAnsi="Arial" w:cs="Arial"/>
          <w:color w:val="000000"/>
        </w:rPr>
        <w:t>, Sala de Casación Civil</w:t>
      </w:r>
      <w:r w:rsidRPr="00F54A43">
        <w:rPr>
          <w:rStyle w:val="Refdenotaalpie"/>
          <w:rFonts w:ascii="Arial" w:hAnsi="Arial"/>
          <w:color w:val="000000"/>
        </w:rPr>
        <w:footnoteReference w:id="26"/>
      </w:r>
      <w:r w:rsidRPr="00F54A43">
        <w:rPr>
          <w:rFonts w:ascii="Arial" w:hAnsi="Arial" w:cs="Arial"/>
          <w:color w:val="000000"/>
        </w:rPr>
        <w:t xml:space="preserve">, al resolver una acción de tutela con </w:t>
      </w:r>
      <w:r w:rsidRPr="00F54A43">
        <w:rPr>
          <w:rFonts w:ascii="Arial" w:hAnsi="Arial"/>
        </w:rPr>
        <w:t>parámetros fácticos similares a los que dieron origen al</w:t>
      </w:r>
      <w:r>
        <w:rPr>
          <w:rFonts w:ascii="Arial" w:hAnsi="Arial"/>
        </w:rPr>
        <w:t xml:space="preserve"> </w:t>
      </w:r>
      <w:r w:rsidRPr="00A47664">
        <w:rPr>
          <w:rFonts w:ascii="Arial" w:hAnsi="Arial"/>
          <w:i/>
          <w:sz w:val="22"/>
        </w:rPr>
        <w:t xml:space="preserve">sub </w:t>
      </w:r>
      <w:r w:rsidRPr="00F56335">
        <w:rPr>
          <w:rFonts w:ascii="Arial" w:hAnsi="Arial"/>
          <w:i/>
          <w:sz w:val="22"/>
        </w:rPr>
        <w:t>examine</w:t>
      </w:r>
      <w:r>
        <w:rPr>
          <w:rFonts w:ascii="Arial" w:hAnsi="Arial"/>
          <w:i/>
        </w:rPr>
        <w:t xml:space="preserve">, </w:t>
      </w:r>
      <w:r>
        <w:rPr>
          <w:rFonts w:ascii="Arial" w:hAnsi="Arial" w:cs="Arial"/>
          <w:color w:val="000000"/>
          <w:szCs w:val="23"/>
        </w:rPr>
        <w:t>precisó:</w:t>
      </w:r>
    </w:p>
    <w:p w:rsidR="00993BE7" w:rsidRPr="003C7774" w:rsidRDefault="00993BE7" w:rsidP="00993BE7">
      <w:pPr>
        <w:widowControl/>
        <w:spacing w:line="360" w:lineRule="auto"/>
        <w:jc w:val="both"/>
        <w:rPr>
          <w:rFonts w:ascii="Arial" w:hAnsi="Arial" w:cs="Arial"/>
          <w:color w:val="000000"/>
        </w:rPr>
      </w:pPr>
    </w:p>
    <w:p w:rsidR="003C7774" w:rsidRPr="003C7774" w:rsidRDefault="003C7774" w:rsidP="00993BE7">
      <w:pPr>
        <w:pStyle w:val="Textoindependiente21"/>
        <w:tabs>
          <w:tab w:val="left" w:pos="900"/>
        </w:tabs>
        <w:spacing w:line="240" w:lineRule="auto"/>
        <w:ind w:left="567" w:right="567"/>
        <w:rPr>
          <w:rFonts w:cs="Arial"/>
          <w:sz w:val="24"/>
          <w:szCs w:val="24"/>
        </w:rPr>
      </w:pPr>
      <w:r w:rsidRPr="003C7774">
        <w:rPr>
          <w:rFonts w:cs="Arial"/>
          <w:sz w:val="24"/>
          <w:szCs w:val="24"/>
        </w:rPr>
        <w:t xml:space="preserve">… el auto cuestionado por el que se dispuso la terminación de la acción popular no constituye una vía de hecho, ya que lejos de ser arbitrario o abusivo, </w:t>
      </w:r>
      <w:r w:rsidRPr="003C7774">
        <w:rPr>
          <w:rFonts w:cs="Arial"/>
          <w:sz w:val="24"/>
          <w:szCs w:val="24"/>
          <w:u w:val="single"/>
        </w:rPr>
        <w:t>se fundamentó en la negligencia del actor en impulsarla</w:t>
      </w:r>
      <w:r w:rsidRPr="003C7774">
        <w:rPr>
          <w:rFonts w:cs="Arial"/>
          <w:sz w:val="24"/>
          <w:szCs w:val="24"/>
        </w:rPr>
        <w:t>, citándose el artículo 317 del Código General del Proceso que dispone</w:t>
      </w:r>
      <w:r>
        <w:rPr>
          <w:rFonts w:cs="Arial"/>
          <w:sz w:val="24"/>
          <w:szCs w:val="24"/>
        </w:rPr>
        <w:t>…</w:t>
      </w:r>
    </w:p>
    <w:p w:rsidR="003C7774" w:rsidRPr="003C7774" w:rsidRDefault="003C7774" w:rsidP="00993BE7">
      <w:pPr>
        <w:pStyle w:val="Textoindependiente21"/>
        <w:tabs>
          <w:tab w:val="left" w:pos="900"/>
        </w:tabs>
        <w:spacing w:line="240" w:lineRule="auto"/>
        <w:ind w:left="567" w:right="567"/>
        <w:rPr>
          <w:rFonts w:cs="Arial"/>
          <w:sz w:val="24"/>
          <w:szCs w:val="24"/>
        </w:rPr>
      </w:pPr>
    </w:p>
    <w:p w:rsidR="003C7774" w:rsidRPr="003C7774" w:rsidRDefault="003C7774" w:rsidP="00993BE7">
      <w:pPr>
        <w:pStyle w:val="Textoindependiente21"/>
        <w:tabs>
          <w:tab w:val="left" w:pos="900"/>
        </w:tabs>
        <w:spacing w:line="240" w:lineRule="auto"/>
        <w:ind w:left="567" w:right="567"/>
        <w:rPr>
          <w:rFonts w:cs="Arial"/>
          <w:sz w:val="24"/>
          <w:szCs w:val="24"/>
        </w:rPr>
      </w:pPr>
      <w:r w:rsidRPr="003C7774">
        <w:rPr>
          <w:rFonts w:cs="Arial"/>
          <w:sz w:val="24"/>
          <w:szCs w:val="24"/>
        </w:rPr>
        <w:t>(…)</w:t>
      </w:r>
    </w:p>
    <w:p w:rsidR="003C7774" w:rsidRPr="003C7774" w:rsidRDefault="003C7774" w:rsidP="00993BE7">
      <w:pPr>
        <w:pStyle w:val="Textoindependiente21"/>
        <w:tabs>
          <w:tab w:val="left" w:pos="900"/>
        </w:tabs>
        <w:spacing w:line="240" w:lineRule="auto"/>
        <w:ind w:left="567" w:right="567"/>
        <w:rPr>
          <w:rFonts w:cs="Arial"/>
          <w:sz w:val="24"/>
          <w:szCs w:val="24"/>
          <w:lang w:val="es-ES"/>
        </w:rPr>
      </w:pPr>
    </w:p>
    <w:p w:rsidR="003C7774" w:rsidRDefault="003C7774" w:rsidP="003C7774">
      <w:pPr>
        <w:pStyle w:val="Textoindependiente21"/>
        <w:tabs>
          <w:tab w:val="left" w:pos="900"/>
        </w:tabs>
        <w:spacing w:line="240" w:lineRule="auto"/>
        <w:ind w:left="567" w:right="567"/>
        <w:rPr>
          <w:rFonts w:cs="Arial"/>
          <w:sz w:val="24"/>
          <w:szCs w:val="24"/>
          <w:lang w:val="es-MX"/>
        </w:rPr>
      </w:pPr>
      <w:r w:rsidRPr="003C7774">
        <w:rPr>
          <w:rFonts w:cs="Arial"/>
          <w:sz w:val="24"/>
          <w:szCs w:val="24"/>
          <w:lang w:val="es-MX"/>
        </w:rPr>
        <w:t xml:space="preserve">Tal y como lo ha sostenido de tiempo atrás </w:t>
      </w:r>
      <w:r w:rsidRPr="003C7774">
        <w:rPr>
          <w:rFonts w:cs="Arial"/>
          <w:sz w:val="24"/>
          <w:szCs w:val="24"/>
        </w:rPr>
        <w:t>esta Corporación</w:t>
      </w:r>
      <w:r w:rsidRPr="003C7774">
        <w:rPr>
          <w:rFonts w:cs="Arial"/>
          <w:sz w:val="24"/>
          <w:szCs w:val="24"/>
          <w:lang w:val="es-MX"/>
        </w:rPr>
        <w:t>, a</w:t>
      </w:r>
      <w:r w:rsidRPr="003C7774">
        <w:rPr>
          <w:rFonts w:cs="Arial"/>
          <w:sz w:val="24"/>
          <w:szCs w:val="24"/>
        </w:rPr>
        <w:t xml:space="preserve"> la aplicación de esa consecuencia jurídica en esta clase de contiendas </w:t>
      </w:r>
      <w:r w:rsidRPr="003C7774">
        <w:rPr>
          <w:rFonts w:cs="Arial"/>
          <w:sz w:val="24"/>
          <w:szCs w:val="24"/>
          <w:lang w:val="es-MX"/>
        </w:rPr>
        <w:t>no se les puede atribuir defecto alguno, toda vez que son fruto de una valoración respetable. (Subrayas de esta providencia)</w:t>
      </w:r>
    </w:p>
    <w:p w:rsidR="001E5C81" w:rsidRPr="001E5C81" w:rsidRDefault="001E5C81" w:rsidP="003C7774">
      <w:pPr>
        <w:pStyle w:val="Textoindependiente21"/>
        <w:tabs>
          <w:tab w:val="left" w:pos="900"/>
        </w:tabs>
        <w:spacing w:line="240" w:lineRule="auto"/>
        <w:ind w:left="567" w:right="567"/>
        <w:rPr>
          <w:rFonts w:cs="Arial"/>
          <w:szCs w:val="24"/>
          <w:lang w:val="es-MX"/>
        </w:rPr>
      </w:pPr>
    </w:p>
    <w:p w:rsidR="00993BE7" w:rsidRPr="00027582" w:rsidRDefault="00993BE7" w:rsidP="00993BE7">
      <w:pPr>
        <w:pStyle w:val="Textopredeterminado"/>
        <w:spacing w:line="360" w:lineRule="auto"/>
        <w:jc w:val="both"/>
        <w:rPr>
          <w:rFonts w:ascii="Arial" w:hAnsi="Arial" w:cs="Arial"/>
          <w:spacing w:val="-3"/>
          <w:szCs w:val="24"/>
        </w:rPr>
      </w:pPr>
      <w:r>
        <w:rPr>
          <w:rFonts w:ascii="Arial" w:hAnsi="Arial"/>
          <w:szCs w:val="24"/>
        </w:rPr>
        <w:t xml:space="preserve">En suma, luce evidente que es inexistente vulneración o amenaza a los derechos invocados por el </w:t>
      </w:r>
      <w:proofErr w:type="spellStart"/>
      <w:r>
        <w:rPr>
          <w:rFonts w:ascii="Arial" w:hAnsi="Arial"/>
          <w:szCs w:val="24"/>
        </w:rPr>
        <w:t>tutelante</w:t>
      </w:r>
      <w:proofErr w:type="spellEnd"/>
      <w:r>
        <w:rPr>
          <w:rFonts w:ascii="Arial" w:hAnsi="Arial"/>
          <w:szCs w:val="24"/>
        </w:rPr>
        <w:t xml:space="preserve"> y así será declarado</w:t>
      </w:r>
      <w:r w:rsidR="00AA1E03">
        <w:rPr>
          <w:rFonts w:ascii="Arial" w:hAnsi="Arial"/>
          <w:szCs w:val="24"/>
        </w:rPr>
        <w:t>. No sobra acotar que este criterio ya ha sido expuesto recientemente por esta Corporación</w:t>
      </w:r>
      <w:r w:rsidRPr="003A2B28">
        <w:rPr>
          <w:rStyle w:val="Refdenotaalpie"/>
          <w:rFonts w:ascii="Arial" w:eastAsia="Yu Gothic Light" w:hAnsi="Arial"/>
          <w:szCs w:val="24"/>
        </w:rPr>
        <w:footnoteReference w:id="27"/>
      </w:r>
      <w:r w:rsidRPr="0026679E">
        <w:rPr>
          <w:rFonts w:ascii="Arial" w:hAnsi="Arial" w:cs="Arial"/>
          <w:spacing w:val="3"/>
        </w:rPr>
        <w:t>.</w:t>
      </w:r>
    </w:p>
    <w:p w:rsidR="003E032C" w:rsidRDefault="003E032C" w:rsidP="003E032C">
      <w:pPr>
        <w:pStyle w:val="Textoindependiente"/>
        <w:spacing w:line="360" w:lineRule="auto"/>
        <w:rPr>
          <w:rFonts w:ascii="Arial" w:hAnsi="Arial" w:cs="Arial"/>
          <w:spacing w:val="3"/>
        </w:rPr>
      </w:pPr>
    </w:p>
    <w:p w:rsidR="00AA1E03" w:rsidRPr="002128C2" w:rsidRDefault="00AA1E03" w:rsidP="00AA1E03">
      <w:pPr>
        <w:pStyle w:val="Textoindependiente"/>
        <w:spacing w:line="360" w:lineRule="auto"/>
        <w:rPr>
          <w:rFonts w:ascii="Arial" w:hAnsi="Arial" w:cs="Arial"/>
          <w:szCs w:val="24"/>
        </w:rPr>
      </w:pPr>
      <w:r>
        <w:rPr>
          <w:rFonts w:ascii="Arial" w:hAnsi="Arial" w:cs="Arial"/>
          <w:szCs w:val="24"/>
        </w:rPr>
        <w:t>8.2 .</w:t>
      </w:r>
      <w:r w:rsidRPr="002128C2">
        <w:rPr>
          <w:rFonts w:ascii="Arial" w:hAnsi="Arial" w:cs="Arial"/>
          <w:szCs w:val="24"/>
        </w:rPr>
        <w:t>La temeridad y la cosa juzgada constitucional</w:t>
      </w:r>
    </w:p>
    <w:p w:rsidR="00AA1E03" w:rsidRPr="00D54497" w:rsidRDefault="00AA1E03" w:rsidP="00AA1E03">
      <w:pPr>
        <w:pStyle w:val="Textoindependiente"/>
        <w:spacing w:line="360" w:lineRule="auto"/>
        <w:rPr>
          <w:rFonts w:ascii="Arial" w:hAnsi="Arial" w:cs="Arial"/>
          <w:sz w:val="20"/>
          <w:szCs w:val="24"/>
        </w:rPr>
      </w:pPr>
    </w:p>
    <w:p w:rsidR="00AA1E03" w:rsidRPr="002128C2" w:rsidRDefault="00AA1E03" w:rsidP="00AA1E03">
      <w:pPr>
        <w:pStyle w:val="Textoindependiente"/>
        <w:spacing w:line="360" w:lineRule="auto"/>
        <w:rPr>
          <w:rFonts w:ascii="Arial" w:hAnsi="Arial" w:cs="Arial"/>
          <w:szCs w:val="24"/>
        </w:rPr>
      </w:pPr>
      <w:r w:rsidRPr="002128C2">
        <w:rPr>
          <w:rFonts w:ascii="Arial" w:hAnsi="Arial" w:cs="Arial"/>
          <w:szCs w:val="24"/>
        </w:rPr>
        <w:t xml:space="preserve">De otro lado, se duele el actor de la renuencia de la Defensoría del Pueblo, Regional de Caldas en la formulación a su nombre de acciones de tutela destinadas a proteger los derechos fundamentales que considera afectados en las acciones populares por él interpuestas. </w:t>
      </w:r>
    </w:p>
    <w:p w:rsidR="00AA1E03" w:rsidRPr="00D54497" w:rsidRDefault="00AA1E03" w:rsidP="00AA1E03">
      <w:pPr>
        <w:pStyle w:val="Textoindependiente"/>
        <w:spacing w:line="360" w:lineRule="auto"/>
        <w:rPr>
          <w:rFonts w:ascii="Arial" w:hAnsi="Arial" w:cs="Arial"/>
          <w:sz w:val="18"/>
          <w:szCs w:val="24"/>
        </w:rPr>
      </w:pPr>
    </w:p>
    <w:p w:rsidR="00AA1E03" w:rsidRPr="002128C2" w:rsidRDefault="00AA1E03" w:rsidP="00AA1E03">
      <w:pPr>
        <w:pStyle w:val="Textoindependiente"/>
        <w:spacing w:line="360" w:lineRule="auto"/>
        <w:rPr>
          <w:rFonts w:ascii="Arial" w:hAnsi="Arial"/>
          <w:szCs w:val="24"/>
        </w:rPr>
      </w:pPr>
      <w:r w:rsidRPr="002128C2">
        <w:rPr>
          <w:rFonts w:ascii="Arial" w:hAnsi="Arial"/>
          <w:szCs w:val="24"/>
        </w:rPr>
        <w:t>Necesario es advertir que no es del caso estudiar de fondo el asunto puesto que previamente y en varias acciones de tutela, esta Corporación se ha pronunciado respecto de idénticas causas, pretensiones, derechos y partes, formuladas por el accionante. Entre ellas la radicada 2016-00526-00 con sentencia de primera instancia del 11-05-2016, confirmada por la CSJ con la decisión STC7545-2016.</w:t>
      </w:r>
    </w:p>
    <w:p w:rsidR="00AA1E03" w:rsidRPr="00D54497" w:rsidRDefault="00AA1E03" w:rsidP="00AA1E03">
      <w:pPr>
        <w:pStyle w:val="Textoindependiente"/>
        <w:spacing w:line="360" w:lineRule="auto"/>
        <w:rPr>
          <w:rFonts w:ascii="Arial" w:hAnsi="Arial"/>
          <w:sz w:val="18"/>
          <w:szCs w:val="24"/>
        </w:rPr>
      </w:pPr>
    </w:p>
    <w:p w:rsidR="00AA1E03" w:rsidRDefault="00AA1E03" w:rsidP="00AA1E03">
      <w:pPr>
        <w:pStyle w:val="Textoindependiente"/>
        <w:spacing w:line="360" w:lineRule="auto"/>
        <w:rPr>
          <w:rFonts w:ascii="Arial" w:hAnsi="Arial"/>
          <w:iCs/>
          <w:szCs w:val="24"/>
        </w:rPr>
      </w:pPr>
      <w:r>
        <w:rPr>
          <w:rFonts w:ascii="Arial" w:hAnsi="Arial"/>
          <w:szCs w:val="24"/>
        </w:rPr>
        <w:t xml:space="preserve">Confrontados el escrito petitorio (Folio 1, ib.) y las referidas providencias, mediante las cuales se negó el amparo porque </w:t>
      </w:r>
      <w:r w:rsidRPr="0029693F">
        <w:rPr>
          <w:rFonts w:ascii="Arial" w:hAnsi="Arial"/>
          <w:i/>
          <w:sz w:val="22"/>
          <w:szCs w:val="24"/>
        </w:rPr>
        <w:t xml:space="preserve">“(…) </w:t>
      </w:r>
      <w:r w:rsidRPr="0029693F">
        <w:rPr>
          <w:rFonts w:ascii="Arial" w:hAnsi="Arial" w:cs="Arial"/>
          <w:i/>
          <w:iCs/>
          <w:color w:val="000000"/>
          <w:sz w:val="22"/>
          <w:szCs w:val="24"/>
          <w:lang w:eastAsia="es-CO"/>
        </w:rPr>
        <w:t>se carece de prueba sobre la renuencia para formular acciones de tutela a favor del actor (…)”</w:t>
      </w:r>
      <w:r>
        <w:rPr>
          <w:rFonts w:ascii="Arial" w:hAnsi="Arial"/>
          <w:szCs w:val="24"/>
        </w:rPr>
        <w:t xml:space="preserve">, se advierte que ya había procurado la declaratoria de la vulneración de sus derechos fundamentales con base en que la Defensoría accionada </w:t>
      </w:r>
      <w:r w:rsidRPr="0029693F">
        <w:rPr>
          <w:rFonts w:ascii="Arial" w:hAnsi="Arial"/>
          <w:iCs/>
        </w:rPr>
        <w:t>se negó a formular demandas constitucionales</w:t>
      </w:r>
      <w:r>
        <w:rPr>
          <w:rFonts w:ascii="Arial" w:hAnsi="Arial"/>
          <w:iCs/>
        </w:rPr>
        <w:t xml:space="preserve">, situación que no ha </w:t>
      </w:r>
      <w:r w:rsidRPr="00F2155F">
        <w:rPr>
          <w:rFonts w:ascii="Arial" w:hAnsi="Arial"/>
          <w:iCs/>
          <w:szCs w:val="24"/>
        </w:rPr>
        <w:t xml:space="preserve">variado pues, tal cual se </w:t>
      </w:r>
      <w:r w:rsidRPr="00F2155F">
        <w:rPr>
          <w:rFonts w:ascii="Arial" w:hAnsi="Arial"/>
          <w:iCs/>
          <w:szCs w:val="24"/>
        </w:rPr>
        <w:lastRenderedPageBreak/>
        <w:t>advirtió en aquellas providencias, en el presente caso se desconoce si hizo alguna petición, lo que modificaría las causas de la tutela.</w:t>
      </w:r>
      <w:r w:rsidR="00D75C31">
        <w:rPr>
          <w:rFonts w:ascii="Arial" w:hAnsi="Arial"/>
          <w:iCs/>
          <w:szCs w:val="24"/>
        </w:rPr>
        <w:t xml:space="preserve"> </w:t>
      </w:r>
    </w:p>
    <w:p w:rsidR="00D75C31" w:rsidRPr="00D54497" w:rsidRDefault="00D75C31" w:rsidP="00AA1E03">
      <w:pPr>
        <w:pStyle w:val="Textoindependiente"/>
        <w:spacing w:line="360" w:lineRule="auto"/>
        <w:rPr>
          <w:rFonts w:ascii="Arial" w:hAnsi="Arial"/>
          <w:sz w:val="18"/>
          <w:szCs w:val="24"/>
        </w:rPr>
      </w:pPr>
    </w:p>
    <w:p w:rsidR="00AA1E03" w:rsidRPr="00F2155F" w:rsidRDefault="00AA1E03" w:rsidP="00AA1E03">
      <w:pPr>
        <w:spacing w:line="360" w:lineRule="auto"/>
        <w:jc w:val="both"/>
        <w:rPr>
          <w:rFonts w:ascii="Arial" w:hAnsi="Arial"/>
        </w:rPr>
      </w:pPr>
      <w:r w:rsidRPr="00F2155F">
        <w:rPr>
          <w:rFonts w:ascii="Arial" w:hAnsi="Arial"/>
        </w:rPr>
        <w:t>Pero el análisis para declarar la existencia de la temeridad, impone que se verifique la ausencia de las siguientes situaciones, ya previstas por la Corte Constitucional</w:t>
      </w:r>
      <w:r w:rsidRPr="00F2155F">
        <w:rPr>
          <w:rStyle w:val="Refdenotaalpie"/>
          <w:rFonts w:ascii="Arial" w:hAnsi="Arial"/>
        </w:rPr>
        <w:footnoteReference w:id="28"/>
      </w:r>
      <w:r w:rsidRPr="00F2155F">
        <w:rPr>
          <w:rFonts w:ascii="Arial" w:hAnsi="Arial"/>
        </w:rPr>
        <w:t xml:space="preserve"> reiterada recientemente (2016)</w:t>
      </w:r>
      <w:r w:rsidRPr="00F2155F">
        <w:rPr>
          <w:rStyle w:val="Refdenotaalpie"/>
          <w:rFonts w:ascii="Arial" w:hAnsi="Arial"/>
        </w:rPr>
        <w:footnoteReference w:id="29"/>
      </w:r>
      <w:r w:rsidRPr="00F2155F">
        <w:rPr>
          <w:rFonts w:ascii="Arial" w:hAnsi="Arial"/>
        </w:rPr>
        <w:t>, así:</w:t>
      </w:r>
    </w:p>
    <w:p w:rsidR="00AA1E03" w:rsidRPr="000848B7" w:rsidRDefault="00AA1E03" w:rsidP="00AA1E03">
      <w:pPr>
        <w:ind w:left="567" w:right="567"/>
        <w:jc w:val="both"/>
        <w:rPr>
          <w:rFonts w:ascii="Arial" w:hAnsi="Arial" w:cs="Arial"/>
          <w:b/>
          <w:bCs/>
          <w:sz w:val="2"/>
          <w:szCs w:val="22"/>
        </w:rPr>
      </w:pPr>
    </w:p>
    <w:p w:rsidR="00AA1E03" w:rsidRPr="00D54497" w:rsidRDefault="00AA1E03" w:rsidP="00AA1E03">
      <w:pPr>
        <w:ind w:left="567" w:right="567"/>
        <w:jc w:val="both"/>
        <w:rPr>
          <w:rFonts w:ascii="Arial" w:hAnsi="Arial" w:cs="Arial"/>
          <w:b/>
          <w:bCs/>
          <w:sz w:val="22"/>
        </w:rPr>
      </w:pPr>
    </w:p>
    <w:p w:rsidR="00AA1E03" w:rsidRPr="00F2155F" w:rsidRDefault="00AA1E03" w:rsidP="00AA1E03">
      <w:pPr>
        <w:ind w:left="567" w:right="567"/>
        <w:jc w:val="both"/>
        <w:rPr>
          <w:rFonts w:ascii="Arial" w:hAnsi="Arial" w:cs="Arial"/>
          <w:iCs/>
        </w:rPr>
      </w:pPr>
      <w:r w:rsidRPr="00F2155F">
        <w:rPr>
          <w:rFonts w:ascii="Arial" w:hAnsi="Arial" w:cs="Arial"/>
          <w:b/>
          <w:bCs/>
        </w:rPr>
        <w:t xml:space="preserve">6. </w:t>
      </w:r>
      <w:r w:rsidRPr="00F2155F">
        <w:rPr>
          <w:rFonts w:ascii="Arial" w:hAnsi="Arial"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F2155F">
        <w:rPr>
          <w:rFonts w:ascii="Arial" w:hAnsi="Arial" w:cs="Arial"/>
          <w:i/>
          <w:iCs/>
        </w:rPr>
        <w:t>“todas las solicitudes”</w:t>
      </w:r>
      <w:r w:rsidRPr="00F2155F">
        <w:rPr>
          <w:rFonts w:ascii="Arial" w:hAnsi="Arial" w:cs="Arial"/>
        </w:rPr>
        <w:t>, le habilita -en armonía con lo previsto en los artículos 72 y 73 del Código de Procedimiento Civil</w:t>
      </w:r>
      <w:r w:rsidRPr="00F2155F">
        <w:rPr>
          <w:rStyle w:val="Refdenotaalpie"/>
          <w:rFonts w:ascii="Arial" w:hAnsi="Arial" w:cs="Arial"/>
        </w:rPr>
        <w:footnoteReference w:id="30"/>
      </w:r>
      <w:r w:rsidRPr="00F2155F">
        <w:rPr>
          <w:rFonts w:ascii="Arial" w:hAnsi="Arial" w:cs="Arial"/>
        </w:rPr>
        <w:t>-,  para sancionar pecuniariamente a los responsables</w:t>
      </w:r>
      <w:r w:rsidRPr="00F2155F">
        <w:rPr>
          <w:rStyle w:val="Refdenotaalpie"/>
          <w:rFonts w:ascii="Arial" w:hAnsi="Arial" w:cs="Arial"/>
        </w:rPr>
        <w:footnoteReference w:id="31"/>
      </w:r>
      <w:r w:rsidRPr="00F2155F">
        <w:rPr>
          <w:rFonts w:ascii="Arial" w:hAnsi="Arial" w:cs="Arial"/>
        </w:rPr>
        <w:t xml:space="preserve">, </w:t>
      </w:r>
      <w:r w:rsidRPr="00F2155F">
        <w:rPr>
          <w:rFonts w:ascii="Arial" w:hAnsi="Arial" w:cs="Arial"/>
          <w:u w:val="single"/>
        </w:rPr>
        <w:t>siempre que la presentación de más de una acción de amparo constitucional entre las mismas partes, por los mismos hechos y con el mismo objeto</w:t>
      </w:r>
      <w:r w:rsidRPr="00F2155F">
        <w:rPr>
          <w:rFonts w:ascii="Arial" w:hAnsi="Arial" w:cs="Arial"/>
        </w:rPr>
        <w:t xml:space="preserve"> </w:t>
      </w:r>
      <w:r w:rsidRPr="00F2155F">
        <w:rPr>
          <w:rFonts w:ascii="Arial" w:hAnsi="Arial" w:cs="Arial"/>
          <w:u w:val="single"/>
        </w:rPr>
        <w:t>(i) envuelva una actuación amañada, reservando para cada acción aquellos argumentos o pruebas que convaliden sus pretensiones</w:t>
      </w:r>
      <w:r w:rsidRPr="00F2155F">
        <w:rPr>
          <w:rStyle w:val="Refdenotaalpie"/>
          <w:rFonts w:ascii="Arial" w:hAnsi="Arial" w:cs="Arial"/>
          <w:u w:val="single"/>
        </w:rPr>
        <w:footnoteReference w:id="32"/>
      </w:r>
      <w:r w:rsidRPr="00F2155F">
        <w:rPr>
          <w:rFonts w:ascii="Arial" w:hAnsi="Arial" w:cs="Arial"/>
          <w:u w:val="single"/>
        </w:rPr>
        <w:t xml:space="preserve">; (ii) denote el propósito desleal de </w:t>
      </w:r>
      <w:r w:rsidRPr="00F2155F">
        <w:rPr>
          <w:rFonts w:ascii="Arial" w:hAnsi="Arial" w:cs="Arial"/>
          <w:i/>
          <w:iCs/>
          <w:u w:val="single"/>
        </w:rPr>
        <w:t>“obtener la satisfacción del interés individual a toda costa, jugando con la eventualidad de una interpretación judicial que, entre varias, pudiera resultar favorable”</w:t>
      </w:r>
      <w:r w:rsidRPr="00F2155F">
        <w:rPr>
          <w:rStyle w:val="Refdenotaalpie"/>
          <w:rFonts w:ascii="Arial" w:hAnsi="Arial" w:cs="Arial"/>
          <w:u w:val="single"/>
        </w:rPr>
        <w:footnoteReference w:id="33"/>
      </w:r>
      <w:r w:rsidRPr="00F2155F">
        <w:rPr>
          <w:rFonts w:ascii="Arial" w:hAnsi="Arial" w:cs="Arial"/>
          <w:u w:val="single"/>
        </w:rPr>
        <w:t xml:space="preserve">; (iii) deje al descubierto el </w:t>
      </w:r>
      <w:r w:rsidRPr="00F2155F">
        <w:rPr>
          <w:rFonts w:ascii="Arial" w:hAnsi="Arial" w:cs="Arial"/>
          <w:i/>
          <w:iCs/>
          <w:u w:val="single"/>
        </w:rPr>
        <w:t>"abuso del derecho porque deliberadamente y sin tener razón, de mala fe se instaura la acción”</w:t>
      </w:r>
      <w:r w:rsidRPr="00F2155F">
        <w:rPr>
          <w:rStyle w:val="Refdenotaalpie"/>
          <w:rFonts w:ascii="Arial" w:hAnsi="Arial" w:cs="Arial"/>
          <w:u w:val="single"/>
        </w:rPr>
        <w:footnoteReference w:id="34"/>
      </w:r>
      <w:r w:rsidRPr="00F2155F">
        <w:rPr>
          <w:rFonts w:ascii="Arial" w:hAnsi="Arial" w:cs="Arial"/>
          <w:u w:val="single"/>
        </w:rPr>
        <w:t xml:space="preserve">; o finalmente (iv) se pretenda a través de personas inescrupulosas asaltar la </w:t>
      </w:r>
      <w:r w:rsidRPr="00F2155F">
        <w:rPr>
          <w:rFonts w:ascii="Arial" w:hAnsi="Arial" w:cs="Arial"/>
          <w:i/>
          <w:iCs/>
          <w:u w:val="single"/>
        </w:rPr>
        <w:t>“buena fe de los administradores de justicia</w:t>
      </w:r>
      <w:r w:rsidRPr="00F2155F">
        <w:rPr>
          <w:rFonts w:ascii="Arial" w:hAnsi="Arial" w:cs="Arial"/>
          <w:i/>
          <w:iCs/>
        </w:rPr>
        <w:t>”</w:t>
      </w:r>
      <w:r w:rsidRPr="00F2155F">
        <w:rPr>
          <w:rStyle w:val="Refdenotaalpie"/>
          <w:rFonts w:ascii="Arial" w:hAnsi="Arial" w:cs="Arial"/>
        </w:rPr>
        <w:footnoteReference w:id="35"/>
      </w:r>
      <w:r w:rsidRPr="00F2155F">
        <w:rPr>
          <w:rFonts w:ascii="Arial" w:hAnsi="Arial" w:cs="Arial"/>
          <w:i/>
          <w:iCs/>
        </w:rPr>
        <w:t>.</w:t>
      </w:r>
      <w:r w:rsidRPr="00F2155F">
        <w:rPr>
          <w:rFonts w:ascii="Arial" w:hAnsi="Arial" w:cs="Arial"/>
          <w:iCs/>
        </w:rPr>
        <w:t xml:space="preserve">  El resaltado es propio de esta Colegiatura.</w:t>
      </w:r>
    </w:p>
    <w:p w:rsidR="00D75C31" w:rsidRDefault="00D75C31" w:rsidP="00AA1E03">
      <w:pPr>
        <w:spacing w:line="360" w:lineRule="auto"/>
        <w:ind w:right="51"/>
        <w:jc w:val="both"/>
        <w:rPr>
          <w:rFonts w:ascii="Arial" w:hAnsi="Arial"/>
        </w:rPr>
      </w:pPr>
    </w:p>
    <w:p w:rsidR="00AA1E03" w:rsidRPr="00F2155F" w:rsidRDefault="00AA1E03" w:rsidP="00AA1E03">
      <w:pPr>
        <w:spacing w:line="360" w:lineRule="auto"/>
        <w:ind w:right="51"/>
        <w:jc w:val="both"/>
        <w:rPr>
          <w:rFonts w:ascii="Arial" w:hAnsi="Arial"/>
        </w:rPr>
      </w:pPr>
      <w:r w:rsidRPr="00F2155F">
        <w:rPr>
          <w:rFonts w:ascii="Arial" w:hAnsi="Arial"/>
        </w:rPr>
        <w:t xml:space="preserve">En el caso que se ventila, no se aprecia la concurrencia de alguna de las circunstancias transcritas, y más bien se nota una falta de conocimiento, por ende habrá de declararse la improcedencia de la acción, pero sin la imposición de las sanciones dinerarias referidas por el artículo 38 del Decreto 2591 de 1991.  </w:t>
      </w:r>
    </w:p>
    <w:p w:rsidR="00AA1E03" w:rsidRPr="00D54497" w:rsidRDefault="00AA1E03" w:rsidP="00AA1E03">
      <w:pPr>
        <w:pStyle w:val="Textoindependiente"/>
        <w:spacing w:line="360" w:lineRule="auto"/>
        <w:rPr>
          <w:rFonts w:ascii="Arial" w:hAnsi="Arial" w:cs="Arial"/>
          <w:sz w:val="18"/>
          <w:szCs w:val="24"/>
        </w:rPr>
      </w:pPr>
    </w:p>
    <w:p w:rsidR="00AA1E03" w:rsidRPr="00104D5D" w:rsidRDefault="00AA1E03" w:rsidP="00AA1E03">
      <w:pPr>
        <w:spacing w:line="360" w:lineRule="auto"/>
        <w:ind w:right="51"/>
        <w:jc w:val="both"/>
        <w:rPr>
          <w:rFonts w:ascii="Arial" w:hAnsi="Arial" w:cs="Arial"/>
        </w:rPr>
      </w:pPr>
      <w:r w:rsidRPr="00F2155F">
        <w:rPr>
          <w:rFonts w:ascii="Arial" w:hAnsi="Arial"/>
        </w:rPr>
        <w:t>Sobre el punto tiene dicho el máximo órgano de cierre en asuntos constitucionales</w:t>
      </w:r>
      <w:r w:rsidRPr="00F2155F">
        <w:rPr>
          <w:rStyle w:val="Refdenotaalpie"/>
          <w:rFonts w:ascii="Arial" w:hAnsi="Arial"/>
        </w:rPr>
        <w:footnoteReference w:id="36"/>
      </w:r>
      <w:r w:rsidRPr="00F2155F">
        <w:rPr>
          <w:rFonts w:ascii="Arial" w:hAnsi="Arial" w:cs="Arial"/>
        </w:rPr>
        <w:t>:</w:t>
      </w:r>
      <w:r w:rsidRPr="00F2155F">
        <w:rPr>
          <w:rFonts w:ascii="Arial" w:hAnsi="Arial" w:cs="Arial"/>
          <w:i/>
        </w:rPr>
        <w:t xml:space="preserve"> </w:t>
      </w:r>
      <w:r w:rsidRPr="00F2155F">
        <w:rPr>
          <w:rFonts w:ascii="Arial" w:hAnsi="Arial" w:cs="Arial"/>
          <w:i/>
          <w:sz w:val="22"/>
        </w:rPr>
        <w:t>“</w:t>
      </w:r>
      <w:r>
        <w:rPr>
          <w:rFonts w:ascii="Arial" w:hAnsi="Arial" w:cs="Arial"/>
          <w:i/>
          <w:sz w:val="22"/>
        </w:rPr>
        <w:t xml:space="preserve">(…) </w:t>
      </w:r>
      <w:r w:rsidRPr="00F2155F">
        <w:rPr>
          <w:rFonts w:ascii="Arial" w:hAnsi="Arial" w:cs="Arial"/>
          <w:i/>
          <w:sz w:val="22"/>
        </w:rPr>
        <w:t xml:space="preserve">En estos casos, si bien lo procedente es la declaratoria de </w:t>
      </w:r>
      <w:r w:rsidRPr="00F2155F">
        <w:rPr>
          <w:rFonts w:ascii="Arial" w:hAnsi="Arial" w:cs="Arial"/>
          <w:i/>
          <w:iCs/>
          <w:sz w:val="22"/>
        </w:rPr>
        <w:t>“improcedencia”</w:t>
      </w:r>
      <w:r w:rsidRPr="00F2155F">
        <w:rPr>
          <w:rFonts w:ascii="Arial" w:hAnsi="Arial" w:cs="Arial"/>
          <w:i/>
          <w:sz w:val="22"/>
        </w:rPr>
        <w:t xml:space="preserve"> de las acciones de tutela indebidamente interpuestas, la actuación no se considera </w:t>
      </w:r>
      <w:r w:rsidRPr="00F2155F">
        <w:rPr>
          <w:rFonts w:ascii="Arial" w:hAnsi="Arial" w:cs="Arial"/>
          <w:i/>
          <w:iCs/>
          <w:sz w:val="22"/>
        </w:rPr>
        <w:t>“temeraria”</w:t>
      </w:r>
      <w:r w:rsidRPr="00F2155F">
        <w:rPr>
          <w:rFonts w:ascii="Arial" w:hAnsi="Arial" w:cs="Arial"/>
          <w:i/>
          <w:sz w:val="22"/>
        </w:rPr>
        <w:t xml:space="preserve"> y, por los mismo, no conduce a la imposición de sanción alguna en contra del </w:t>
      </w:r>
      <w:proofErr w:type="spellStart"/>
      <w:r w:rsidRPr="00F2155F">
        <w:rPr>
          <w:rFonts w:ascii="Arial" w:hAnsi="Arial" w:cs="Arial"/>
          <w:i/>
          <w:sz w:val="22"/>
        </w:rPr>
        <w:t>tutelante</w:t>
      </w:r>
      <w:proofErr w:type="spellEnd"/>
      <w:r>
        <w:rPr>
          <w:rFonts w:ascii="Arial" w:hAnsi="Arial" w:cs="Arial"/>
          <w:i/>
          <w:sz w:val="22"/>
        </w:rPr>
        <w:t xml:space="preserve"> (…)</w:t>
      </w:r>
      <w:r w:rsidRPr="00F2155F">
        <w:rPr>
          <w:rFonts w:ascii="Arial" w:hAnsi="Arial" w:cs="Arial"/>
          <w:sz w:val="22"/>
        </w:rPr>
        <w:t>”</w:t>
      </w:r>
      <w:r w:rsidRPr="00F2155F">
        <w:rPr>
          <w:rFonts w:ascii="Arial" w:hAnsi="Arial" w:cs="Arial"/>
        </w:rPr>
        <w:t>.</w:t>
      </w:r>
      <w:r>
        <w:rPr>
          <w:rFonts w:ascii="Arial" w:hAnsi="Arial" w:cs="Arial"/>
        </w:rPr>
        <w:t xml:space="preserve"> Criterio que la CSJ</w:t>
      </w:r>
      <w:r>
        <w:rPr>
          <w:rStyle w:val="Refdenotaalpie"/>
          <w:rFonts w:ascii="Arial" w:hAnsi="Arial"/>
        </w:rPr>
        <w:footnoteReference w:id="37"/>
      </w:r>
      <w:r>
        <w:rPr>
          <w:rFonts w:ascii="Arial" w:hAnsi="Arial" w:cs="Arial"/>
        </w:rPr>
        <w:t xml:space="preserve"> comparte en su jurisprudencia. También precedente horizontal de esta Corporación</w:t>
      </w:r>
      <w:r>
        <w:rPr>
          <w:rStyle w:val="Refdenotaalpie"/>
          <w:rFonts w:ascii="Arial" w:hAnsi="Arial"/>
        </w:rPr>
        <w:footnoteReference w:id="38"/>
      </w:r>
      <w:r>
        <w:rPr>
          <w:rFonts w:ascii="Arial" w:hAnsi="Arial" w:cs="Arial"/>
          <w:vertAlign w:val="superscript"/>
        </w:rPr>
        <w:t>-</w:t>
      </w:r>
      <w:r>
        <w:rPr>
          <w:rStyle w:val="Refdenotaalpie"/>
          <w:rFonts w:ascii="Arial" w:hAnsi="Arial"/>
        </w:rPr>
        <w:footnoteReference w:id="39"/>
      </w:r>
      <w:r>
        <w:rPr>
          <w:rFonts w:ascii="Arial" w:hAnsi="Arial" w:cs="Arial"/>
        </w:rPr>
        <w:t xml:space="preserve">. </w:t>
      </w:r>
    </w:p>
    <w:p w:rsidR="00AA1E03" w:rsidRPr="00D54497" w:rsidRDefault="00AA1E03" w:rsidP="00AA1E03">
      <w:pPr>
        <w:pStyle w:val="Textopredeterminado"/>
        <w:spacing w:line="360" w:lineRule="auto"/>
        <w:jc w:val="both"/>
        <w:rPr>
          <w:rFonts w:ascii="Arial" w:hAnsi="Arial" w:cs="Arial"/>
          <w:color w:val="auto"/>
          <w:spacing w:val="-3"/>
          <w:sz w:val="18"/>
          <w:szCs w:val="24"/>
          <w:lang w:val="es-ES_tradnl"/>
        </w:rPr>
      </w:pPr>
    </w:p>
    <w:p w:rsidR="00AA1E03" w:rsidRDefault="00AA1E03" w:rsidP="00AA1E03">
      <w:pPr>
        <w:spacing w:line="360" w:lineRule="auto"/>
        <w:ind w:right="51"/>
        <w:jc w:val="both"/>
        <w:rPr>
          <w:rFonts w:ascii="Arial" w:hAnsi="Arial" w:cs="Arial"/>
        </w:rPr>
      </w:pPr>
      <w:r>
        <w:rPr>
          <w:rFonts w:ascii="Arial" w:hAnsi="Arial" w:cs="Arial"/>
        </w:rPr>
        <w:t xml:space="preserve">Finalmente con relación a la entrega de copia física de toda la actuación surtida, se considera que con la orden impartida en el proveído del día 01-08-2016 </w:t>
      </w:r>
      <w:r>
        <w:rPr>
          <w:rFonts w:ascii="Arial" w:hAnsi="Arial" w:cs="Arial"/>
          <w:iCs/>
          <w:color w:val="000000"/>
          <w:lang w:eastAsia="es-CO"/>
        </w:rPr>
        <w:t>(Folios 4 a 7, ib.)</w:t>
      </w:r>
      <w:r>
        <w:rPr>
          <w:rFonts w:ascii="Arial" w:hAnsi="Arial" w:cs="Arial"/>
        </w:rPr>
        <w:t xml:space="preserve">, en el sentido de escanearlas y remitirlas a su correo electrónico, se cumplió dicho pedimento. </w:t>
      </w:r>
    </w:p>
    <w:p w:rsidR="001D69AE" w:rsidRPr="008B43C6" w:rsidRDefault="001D69AE" w:rsidP="00EA7B29">
      <w:pPr>
        <w:spacing w:line="360" w:lineRule="auto"/>
        <w:ind w:right="51"/>
        <w:jc w:val="both"/>
        <w:rPr>
          <w:rFonts w:ascii="Arial" w:hAnsi="Arial"/>
        </w:rPr>
      </w:pPr>
    </w:p>
    <w:p w:rsidR="00FF5B57" w:rsidRDefault="00FF5B57" w:rsidP="00FF5B57">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6159AF" w:rsidRPr="00F36F9C" w:rsidRDefault="006159AF" w:rsidP="006159AF">
      <w:pPr>
        <w:pStyle w:val="Textoindependiente"/>
        <w:spacing w:line="360" w:lineRule="auto"/>
        <w:ind w:left="400"/>
        <w:rPr>
          <w:rFonts w:ascii="Arial" w:hAnsi="Arial"/>
          <w:szCs w:val="24"/>
        </w:rPr>
      </w:pPr>
    </w:p>
    <w:p w:rsidR="00CB3037" w:rsidRDefault="00CB3037" w:rsidP="00D75C3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E11045">
        <w:rPr>
          <w:rFonts w:ascii="Arial" w:hAnsi="Arial" w:cs="Arial"/>
        </w:rPr>
        <w:t>Con fundamento en las consideraciones expuestas</w:t>
      </w:r>
      <w:r>
        <w:rPr>
          <w:rFonts w:ascii="Arial" w:hAnsi="Arial" w:cs="Arial"/>
        </w:rPr>
        <w:t>,</w:t>
      </w:r>
      <w:r w:rsidRPr="00E11045">
        <w:rPr>
          <w:rFonts w:ascii="Arial" w:hAnsi="Arial" w:cs="Arial"/>
        </w:rPr>
        <w:t xml:space="preserve"> </w:t>
      </w:r>
      <w:r w:rsidRPr="00F00F95">
        <w:rPr>
          <w:rFonts w:ascii="Arial" w:hAnsi="Arial" w:cs="Arial"/>
        </w:rPr>
        <w:t>en los acápites anteriores</w:t>
      </w:r>
      <w:r>
        <w:rPr>
          <w:rFonts w:ascii="Arial" w:hAnsi="Arial" w:cs="Arial"/>
        </w:rPr>
        <w:t xml:space="preserve">: (i) Se </w:t>
      </w:r>
      <w:r w:rsidR="001E5C81">
        <w:rPr>
          <w:rFonts w:ascii="Arial" w:hAnsi="Arial" w:cs="Arial"/>
        </w:rPr>
        <w:t>negará</w:t>
      </w:r>
      <w:r w:rsidR="00D75C31">
        <w:rPr>
          <w:rFonts w:ascii="Arial" w:hAnsi="Arial" w:cs="Arial"/>
        </w:rPr>
        <w:t xml:space="preserve"> el amparo constitucional frente al Juzgado Cuarto Civil del Circuito de Pereira por inexistencia de vulneración o amenaza a los derechos fundamentales invocados; (ii) Se declarará improcedente respecto de la Defensoría del Pueblo, Regional Caldas </w:t>
      </w:r>
      <w:r w:rsidR="00D75C31" w:rsidRPr="002128C2">
        <w:rPr>
          <w:rFonts w:ascii="Arial" w:hAnsi="Arial"/>
        </w:rPr>
        <w:t>por haberse verificado la duplicidad de la acciones de tutela, sin que haya lugar a imponer multa, según se anotó</w:t>
      </w:r>
      <w:r w:rsidR="009102BF">
        <w:rPr>
          <w:rFonts w:ascii="Arial" w:hAnsi="Arial" w:cs="Arial"/>
        </w:rPr>
        <w:t>; (</w:t>
      </w:r>
      <w:r w:rsidR="00D75C31">
        <w:rPr>
          <w:rFonts w:ascii="Arial" w:hAnsi="Arial" w:cs="Arial"/>
        </w:rPr>
        <w:t>iii</w:t>
      </w:r>
      <w:r w:rsidR="009102BF">
        <w:rPr>
          <w:rFonts w:ascii="Arial" w:hAnsi="Arial" w:cs="Arial"/>
        </w:rPr>
        <w:t>)</w:t>
      </w:r>
      <w:r>
        <w:rPr>
          <w:rFonts w:ascii="Arial" w:hAnsi="Arial" w:cs="Arial"/>
        </w:rPr>
        <w:t xml:space="preserve"> </w:t>
      </w:r>
      <w:r w:rsidR="00D75C31" w:rsidRPr="00E538DC">
        <w:rPr>
          <w:rFonts w:ascii="Arial" w:hAnsi="Arial" w:cs="Arial"/>
        </w:rPr>
        <w:t xml:space="preserve">Se declarará improcedente con relación a la Procuraduría General de la Nación y la Defensoría del Pueblo, Regionales de </w:t>
      </w:r>
      <w:r w:rsidR="00D75C31">
        <w:rPr>
          <w:rFonts w:ascii="Arial" w:hAnsi="Arial" w:cs="Arial"/>
        </w:rPr>
        <w:t>Risaralda</w:t>
      </w:r>
      <w:r w:rsidR="00D75C31" w:rsidRPr="00E538DC">
        <w:rPr>
          <w:rFonts w:ascii="Arial" w:hAnsi="Arial" w:cs="Arial"/>
        </w:rPr>
        <w:t xml:space="preserve">, y, la Alcaldía y Personería de </w:t>
      </w:r>
      <w:r w:rsidR="00D75C31">
        <w:rPr>
          <w:rFonts w:ascii="Arial" w:hAnsi="Arial" w:cs="Arial"/>
        </w:rPr>
        <w:t xml:space="preserve">Pereira, por carecer de legitimación; y, (iv) Se negará respecto del señor Augusto Becerra y la Parroquia María Reina.  </w:t>
      </w:r>
    </w:p>
    <w:p w:rsidR="00CB3037" w:rsidRPr="005041CA"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FF5B5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A67757" w:rsidRPr="001E5C81" w:rsidRDefault="00A67757" w:rsidP="00FF5B57">
      <w:pPr>
        <w:pStyle w:val="Textoindependiente"/>
        <w:spacing w:line="360" w:lineRule="auto"/>
        <w:jc w:val="center"/>
        <w:rPr>
          <w:rFonts w:ascii="Arial" w:hAnsi="Arial" w:cs="Arial"/>
          <w:bCs/>
          <w:smallCaps/>
          <w:sz w:val="22"/>
          <w:szCs w:val="24"/>
        </w:rPr>
      </w:pPr>
    </w:p>
    <w:p w:rsidR="009102BF" w:rsidRDefault="00AA4EC8" w:rsidP="005B02FC">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 xml:space="preserve">NEGAR </w:t>
      </w:r>
      <w:r>
        <w:rPr>
          <w:rFonts w:ascii="Arial" w:hAnsi="Arial" w:cs="Arial"/>
          <w:lang w:val="es-CO"/>
        </w:rPr>
        <w:t xml:space="preserve">la tutela propuesta por el señor Javier Elías Arias </w:t>
      </w:r>
      <w:proofErr w:type="spellStart"/>
      <w:r>
        <w:rPr>
          <w:rFonts w:ascii="Arial" w:hAnsi="Arial" w:cs="Arial"/>
          <w:lang w:val="es-CO"/>
        </w:rPr>
        <w:t>Idárraga</w:t>
      </w:r>
      <w:proofErr w:type="spellEnd"/>
      <w:r>
        <w:rPr>
          <w:rFonts w:ascii="Arial" w:hAnsi="Arial" w:cs="Arial"/>
          <w:lang w:val="es-CO"/>
        </w:rPr>
        <w:t xml:space="preserve"> contra el Juzgado Cuarto Civil del Circuito de Pereira, el señor Augusto Becerra y la Parroquia María Reina -MZ.44B, Barrio El Jardín 1ª Etapa, Pereira-</w:t>
      </w:r>
      <w:r w:rsidR="00A158F6">
        <w:rPr>
          <w:rFonts w:ascii="Arial" w:hAnsi="Arial" w:cs="Arial"/>
        </w:rPr>
        <w:t>.</w:t>
      </w:r>
    </w:p>
    <w:p w:rsidR="00A158F6" w:rsidRPr="001E5C81" w:rsidRDefault="00A158F6" w:rsidP="00A158F6">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9102BF" w:rsidRDefault="00AA4EC8" w:rsidP="009102BF">
      <w:pPr>
        <w:pStyle w:val="Textoindependiente"/>
        <w:numPr>
          <w:ilvl w:val="0"/>
          <w:numId w:val="27"/>
        </w:numPr>
        <w:tabs>
          <w:tab w:val="clear" w:pos="720"/>
          <w:tab w:val="num" w:pos="360"/>
        </w:tabs>
        <w:spacing w:line="360" w:lineRule="auto"/>
        <w:ind w:left="360"/>
        <w:textAlignment w:val="auto"/>
        <w:rPr>
          <w:rFonts w:ascii="Arial" w:hAnsi="Arial" w:cs="Arial"/>
          <w:szCs w:val="24"/>
        </w:rPr>
      </w:pPr>
      <w:r>
        <w:rPr>
          <w:rFonts w:ascii="Arial" w:hAnsi="Arial" w:cs="Arial"/>
        </w:rPr>
        <w:t xml:space="preserve">DECLARAR improcedente </w:t>
      </w:r>
      <w:r>
        <w:rPr>
          <w:rFonts w:ascii="Arial" w:hAnsi="Arial" w:cs="Arial"/>
          <w:szCs w:val="24"/>
        </w:rPr>
        <w:t xml:space="preserve">el amparo constitucional </w:t>
      </w:r>
      <w:r w:rsidR="009102BF">
        <w:rPr>
          <w:rFonts w:ascii="Arial" w:hAnsi="Arial" w:cs="Arial"/>
          <w:szCs w:val="24"/>
        </w:rPr>
        <w:t xml:space="preserve">frente </w:t>
      </w:r>
      <w:r w:rsidR="00F8430A">
        <w:rPr>
          <w:rFonts w:ascii="Arial" w:hAnsi="Arial" w:cs="Arial"/>
          <w:szCs w:val="24"/>
        </w:rPr>
        <w:t xml:space="preserve">a la </w:t>
      </w:r>
      <w:r>
        <w:rPr>
          <w:rFonts w:ascii="Arial" w:hAnsi="Arial" w:cs="Arial"/>
          <w:szCs w:val="24"/>
        </w:rPr>
        <w:t xml:space="preserve">Defensoría del Pueblo, Regional Caladas; a la </w:t>
      </w:r>
      <w:r w:rsidR="00F8430A">
        <w:rPr>
          <w:rFonts w:ascii="Arial" w:hAnsi="Arial" w:cs="Arial"/>
          <w:szCs w:val="24"/>
        </w:rPr>
        <w:t xml:space="preserve">Defensoría del Pueblo y </w:t>
      </w:r>
      <w:r>
        <w:rPr>
          <w:rFonts w:ascii="Arial" w:hAnsi="Arial" w:cs="Arial"/>
          <w:szCs w:val="24"/>
        </w:rPr>
        <w:t xml:space="preserve">a </w:t>
      </w:r>
      <w:r w:rsidR="009102BF">
        <w:rPr>
          <w:rFonts w:ascii="Arial" w:hAnsi="Arial" w:cs="Arial"/>
          <w:szCs w:val="24"/>
        </w:rPr>
        <w:t>la Procuraduría General de la Nación, Regionales de Risaral</w:t>
      </w:r>
      <w:r w:rsidR="005A7ACC">
        <w:rPr>
          <w:rFonts w:ascii="Arial" w:hAnsi="Arial" w:cs="Arial"/>
          <w:szCs w:val="24"/>
        </w:rPr>
        <w:t xml:space="preserve">da; </w:t>
      </w:r>
      <w:r>
        <w:rPr>
          <w:rFonts w:ascii="Arial" w:hAnsi="Arial" w:cs="Arial"/>
          <w:szCs w:val="24"/>
        </w:rPr>
        <w:t xml:space="preserve">y, </w:t>
      </w:r>
      <w:r w:rsidR="005A7ACC">
        <w:rPr>
          <w:rFonts w:ascii="Arial" w:hAnsi="Arial" w:cs="Arial"/>
          <w:szCs w:val="24"/>
        </w:rPr>
        <w:t>la Alcaldía y Personería</w:t>
      </w:r>
      <w:r w:rsidR="009102BF">
        <w:rPr>
          <w:rFonts w:ascii="Arial" w:hAnsi="Arial" w:cs="Arial"/>
          <w:szCs w:val="24"/>
        </w:rPr>
        <w:t xml:space="preserve"> </w:t>
      </w:r>
      <w:r w:rsidR="009102BF">
        <w:rPr>
          <w:rFonts w:ascii="Arial" w:hAnsi="Arial" w:cs="Arial"/>
          <w:spacing w:val="3"/>
          <w:szCs w:val="24"/>
        </w:rPr>
        <w:t>de Pereira</w:t>
      </w:r>
      <w:r w:rsidR="009102BF">
        <w:rPr>
          <w:rFonts w:ascii="Arial" w:hAnsi="Arial" w:cs="Arial"/>
          <w:szCs w:val="24"/>
        </w:rPr>
        <w:t>.</w:t>
      </w:r>
    </w:p>
    <w:p w:rsidR="007657D5" w:rsidRPr="001E5C81" w:rsidRDefault="007657D5" w:rsidP="009102B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szCs w:val="20"/>
        </w:rPr>
      </w:pPr>
    </w:p>
    <w:p w:rsidR="00FF5B57" w:rsidRPr="00A3043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1E5C81"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1E5C81"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9102BF" w:rsidRDefault="00626C89" w:rsidP="00FF5B57">
      <w:pPr>
        <w:pStyle w:val="Prrafodelista"/>
        <w:widowControl/>
        <w:autoSpaceDE/>
        <w:autoSpaceDN/>
        <w:adjustRightInd/>
        <w:spacing w:line="360" w:lineRule="auto"/>
        <w:ind w:left="360" w:right="51"/>
        <w:contextualSpacing/>
        <w:jc w:val="both"/>
        <w:rPr>
          <w:rFonts w:ascii="Arial" w:hAnsi="Arial"/>
          <w:sz w:val="16"/>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DA569C" w:rsidRPr="00445605" w:rsidRDefault="00DA569C" w:rsidP="00417DA5">
      <w:pPr>
        <w:pStyle w:val="Textoindependiente"/>
        <w:spacing w:line="360" w:lineRule="auto"/>
        <w:jc w:val="center"/>
        <w:rPr>
          <w:rFonts w:ascii="Arial" w:hAnsi="Arial"/>
          <w:sz w:val="22"/>
          <w:szCs w:val="24"/>
        </w:rPr>
      </w:pPr>
    </w:p>
    <w:p w:rsidR="003E66CE" w:rsidRPr="00445605" w:rsidRDefault="003E66CE" w:rsidP="00417DA5">
      <w:pPr>
        <w:pStyle w:val="Textoindependiente"/>
        <w:spacing w:line="360" w:lineRule="auto"/>
        <w:jc w:val="center"/>
        <w:rPr>
          <w:rFonts w:ascii="Arial" w:hAnsi="Arial"/>
          <w:sz w:val="22"/>
          <w:szCs w:val="24"/>
        </w:rPr>
      </w:pPr>
    </w:p>
    <w:p w:rsidR="00B30152" w:rsidRPr="00445605" w:rsidRDefault="00B30152" w:rsidP="00417DA5">
      <w:pPr>
        <w:pStyle w:val="Textoindependiente"/>
        <w:spacing w:line="360" w:lineRule="auto"/>
        <w:jc w:val="center"/>
        <w:rPr>
          <w:rFonts w:ascii="Arial" w:hAnsi="Arial"/>
          <w:sz w:val="22"/>
          <w:szCs w:val="24"/>
        </w:rPr>
      </w:pP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C136DB" w:rsidRPr="00445605"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951517" w:rsidRPr="00025CC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C87D22" w:rsidRDefault="00951517" w:rsidP="001E5C8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spacing w:val="-3"/>
          <w:w w:val="150"/>
          <w:sz w:val="8"/>
          <w:szCs w:val="10"/>
          <w:lang w:val="en-US"/>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proofErr w:type="gramStart"/>
      <w:r w:rsidRPr="00025CC3">
        <w:rPr>
          <w:rFonts w:ascii="Arial" w:hAnsi="Arial" w:cs="Arial"/>
          <w:i/>
          <w:w w:val="150"/>
          <w:sz w:val="18"/>
          <w:lang w:val="en-GB"/>
        </w:rPr>
        <w:t>O</w:t>
      </w:r>
      <w:r w:rsidR="001E5C81">
        <w:rPr>
          <w:rFonts w:ascii="Arial" w:hAnsi="Arial" w:cs="Arial"/>
          <w:i/>
          <w:w w:val="150"/>
          <w:sz w:val="18"/>
          <w:lang w:val="en-GB"/>
        </w:rPr>
        <w:t xml:space="preserve">  </w:t>
      </w:r>
      <w:r w:rsidR="00445605">
        <w:rPr>
          <w:rFonts w:ascii="Arial" w:hAnsi="Arial"/>
          <w:w w:val="150"/>
          <w:sz w:val="8"/>
          <w:szCs w:val="10"/>
          <w:lang w:val="en-US"/>
        </w:rPr>
        <w:t>D</w:t>
      </w:r>
      <w:r w:rsidR="00E606C4" w:rsidRPr="00984EE4">
        <w:rPr>
          <w:rFonts w:ascii="Arial" w:hAnsi="Arial"/>
          <w:w w:val="150"/>
          <w:sz w:val="8"/>
          <w:szCs w:val="10"/>
          <w:lang w:val="en-US"/>
        </w:rPr>
        <w:t>GH</w:t>
      </w:r>
      <w:proofErr w:type="gramEnd"/>
      <w:r w:rsidR="00E606C4" w:rsidRPr="00984EE4">
        <w:rPr>
          <w:rFonts w:ascii="Arial" w:hAnsi="Arial"/>
          <w:w w:val="150"/>
          <w:sz w:val="8"/>
          <w:szCs w:val="10"/>
          <w:lang w:val="en-US"/>
        </w:rPr>
        <w:t>/</w:t>
      </w:r>
      <w:r w:rsidR="005C4C0F">
        <w:rPr>
          <w:rFonts w:ascii="Arial" w:hAnsi="Arial"/>
          <w:w w:val="150"/>
          <w:sz w:val="8"/>
          <w:szCs w:val="10"/>
          <w:lang w:val="en-US"/>
        </w:rPr>
        <w:t>ODCD/2016</w:t>
      </w:r>
    </w:p>
    <w:sectPr w:rsidR="00C87D22" w:rsidSect="00502D4B">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97E" w:rsidRDefault="00CB397E" w:rsidP="0099045D">
      <w:r>
        <w:separator/>
      </w:r>
    </w:p>
  </w:endnote>
  <w:endnote w:type="continuationSeparator" w:id="0">
    <w:p w:rsidR="00CB397E" w:rsidRDefault="00CB397E"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Default="004603C3"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4603C3" w:rsidRDefault="004603C3" w:rsidP="0013771A">
    <w:pPr>
      <w:pStyle w:val="Piedepgina"/>
      <w:spacing w:line="360" w:lineRule="auto"/>
      <w:jc w:val="right"/>
      <w:rPr>
        <w:rFonts w:ascii="Arial" w:hAnsi="Arial" w:cs="Arial"/>
        <w:spacing w:val="20"/>
        <w:w w:val="200"/>
        <w:sz w:val="14"/>
        <w:szCs w:val="10"/>
        <w:lang w:val="es-CO"/>
      </w:rPr>
    </w:pPr>
  </w:p>
  <w:p w:rsidR="004603C3" w:rsidRPr="003E18D8" w:rsidRDefault="004603C3"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603C3" w:rsidRPr="007F7D49" w:rsidRDefault="004603C3"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97E" w:rsidRDefault="00CB397E" w:rsidP="0099045D">
      <w:r>
        <w:separator/>
      </w:r>
    </w:p>
  </w:footnote>
  <w:footnote w:type="continuationSeparator" w:id="0">
    <w:p w:rsidR="00CB397E" w:rsidRDefault="00CB397E" w:rsidP="0099045D">
      <w:r>
        <w:continuationSeparator/>
      </w:r>
    </w:p>
  </w:footnote>
  <w:footnote w:id="1">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4603C3" w:rsidRPr="005D1B2D" w:rsidRDefault="004603C3" w:rsidP="00FF5B5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4603C3" w:rsidRPr="00567558" w:rsidRDefault="004603C3" w:rsidP="00FF5B5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765006" w:rsidRPr="00052412" w:rsidRDefault="00765006" w:rsidP="00765006">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lang w:val="es-MX"/>
        </w:rPr>
        <w:t xml:space="preserve"> CORTE CONSTITUCIONAL. Sentencia T-231 de 1994.</w:t>
      </w:r>
    </w:p>
  </w:footnote>
  <w:footnote w:id="9">
    <w:p w:rsidR="00765006" w:rsidRPr="00052412" w:rsidRDefault="00765006" w:rsidP="00765006">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rPr>
        <w:t xml:space="preserve"> </w:t>
      </w:r>
      <w:r w:rsidRPr="00052412">
        <w:rPr>
          <w:rFonts w:asciiTheme="minorHAnsi" w:hAnsiTheme="minorHAnsi" w:cs="Calibri"/>
          <w:lang w:val="es-MX"/>
        </w:rPr>
        <w:t>CORTE CONSTITUCIONAL. Sentencia T-831 de 2012</w:t>
      </w:r>
      <w:r w:rsidR="00993BE7">
        <w:rPr>
          <w:rFonts w:asciiTheme="minorHAnsi" w:hAnsiTheme="minorHAnsi" w:cs="Calibri"/>
          <w:lang w:val="es-MX"/>
        </w:rPr>
        <w:t>.</w:t>
      </w:r>
    </w:p>
  </w:footnote>
  <w:footnote w:id="10">
    <w:p w:rsidR="00765006" w:rsidRPr="00052412" w:rsidRDefault="00765006" w:rsidP="00765006">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rPr>
        <w:t xml:space="preserve"> QUINCHE RAMÍREZ, Manuel Fernando. La acción de tutela, el amparo en Colombia, Bogotá DC, 2011, p.268.</w:t>
      </w:r>
    </w:p>
  </w:footnote>
  <w:footnote w:id="11">
    <w:p w:rsidR="00765006" w:rsidRPr="000A1B5D" w:rsidRDefault="00765006" w:rsidP="00765006">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sidRPr="000A1B5D">
        <w:rPr>
          <w:rFonts w:asciiTheme="minorHAnsi" w:hAnsiTheme="minorHAnsi" w:cs="Calibri"/>
          <w:lang w:val="es-MX"/>
        </w:rPr>
        <w:t>CORTE CONSTITUCIONAL</w:t>
      </w:r>
      <w:r w:rsidRPr="000A1B5D">
        <w:rPr>
          <w:rFonts w:asciiTheme="minorHAnsi" w:hAnsiTheme="minorHAnsi"/>
          <w:lang w:val="es-CO"/>
        </w:rPr>
        <w:t>. Sentencia T-573 de 1997</w:t>
      </w:r>
      <w:r w:rsidR="00993BE7">
        <w:rPr>
          <w:rFonts w:asciiTheme="minorHAnsi" w:hAnsiTheme="minorHAnsi"/>
          <w:lang w:val="es-CO"/>
        </w:rPr>
        <w:t>.</w:t>
      </w:r>
    </w:p>
  </w:footnote>
  <w:footnote w:id="12">
    <w:p w:rsidR="00765006" w:rsidRPr="000A1B5D" w:rsidRDefault="00765006" w:rsidP="00765006">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sidRPr="000A1B5D">
        <w:rPr>
          <w:rFonts w:asciiTheme="minorHAnsi" w:hAnsiTheme="minorHAnsi" w:cs="Calibri"/>
          <w:lang w:val="es-MX"/>
        </w:rPr>
        <w:t>CORTE CONSTITUCIONAL</w:t>
      </w:r>
      <w:r w:rsidRPr="000A1B5D">
        <w:rPr>
          <w:rFonts w:asciiTheme="minorHAnsi" w:hAnsiTheme="minorHAnsi"/>
          <w:lang w:val="es-CO"/>
        </w:rPr>
        <w:t>. Sentencia T-567 de 1998.</w:t>
      </w:r>
    </w:p>
  </w:footnote>
  <w:footnote w:id="13">
    <w:p w:rsidR="00765006" w:rsidRPr="000A1B5D" w:rsidRDefault="00765006" w:rsidP="00765006">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sidRPr="000A1B5D">
        <w:rPr>
          <w:rFonts w:asciiTheme="minorHAnsi" w:hAnsiTheme="minorHAnsi" w:cs="Calibri"/>
          <w:lang w:val="es-MX"/>
        </w:rPr>
        <w:t>CORTE CONSTITUCIONAL</w:t>
      </w:r>
      <w:r w:rsidRPr="000A1B5D">
        <w:rPr>
          <w:rFonts w:asciiTheme="minorHAnsi" w:hAnsiTheme="minorHAnsi"/>
          <w:lang w:val="es-CO"/>
        </w:rPr>
        <w:t>. Sentencia T-001 de 1999.</w:t>
      </w:r>
    </w:p>
  </w:footnote>
  <w:footnote w:id="14">
    <w:p w:rsidR="00765006" w:rsidRPr="000A1B5D" w:rsidRDefault="00765006" w:rsidP="00765006">
      <w:pPr>
        <w:pStyle w:val="Textonotapie"/>
        <w:rPr>
          <w:rFonts w:asciiTheme="minorHAnsi" w:hAnsiTheme="minorHAnsi"/>
          <w:lang w:val="es-CO"/>
        </w:rPr>
      </w:pPr>
      <w:r w:rsidRPr="000A1B5D">
        <w:rPr>
          <w:rStyle w:val="Refdenotaalpie"/>
          <w:rFonts w:asciiTheme="minorHAnsi" w:hAnsiTheme="minorHAnsi"/>
        </w:rPr>
        <w:footnoteRef/>
      </w:r>
      <w:r w:rsidRPr="000A1B5D">
        <w:rPr>
          <w:rFonts w:asciiTheme="minorHAnsi" w:hAnsiTheme="minorHAnsi"/>
        </w:rPr>
        <w:t xml:space="preserve"> </w:t>
      </w:r>
      <w:r w:rsidRPr="000A1B5D">
        <w:rPr>
          <w:rFonts w:asciiTheme="minorHAnsi" w:hAnsiTheme="minorHAnsi" w:cs="Calibri"/>
          <w:lang w:val="es-MX"/>
        </w:rPr>
        <w:t xml:space="preserve">CORTE CONSTITUCIONAL. Sentencia SU-949 </w:t>
      </w:r>
      <w:r w:rsidR="00993BE7">
        <w:rPr>
          <w:rFonts w:asciiTheme="minorHAnsi" w:hAnsiTheme="minorHAnsi" w:cs="Calibri"/>
          <w:lang w:val="es-MX"/>
        </w:rPr>
        <w:t xml:space="preserve">de </w:t>
      </w:r>
      <w:r w:rsidRPr="000A1B5D">
        <w:rPr>
          <w:rFonts w:asciiTheme="minorHAnsi" w:hAnsiTheme="minorHAnsi" w:cs="Calibri"/>
          <w:lang w:val="es-MX"/>
        </w:rPr>
        <w:t>2014.</w:t>
      </w:r>
    </w:p>
  </w:footnote>
  <w:footnote w:id="15">
    <w:p w:rsidR="00765006" w:rsidRPr="00993BE7" w:rsidRDefault="00765006" w:rsidP="00765006">
      <w:pPr>
        <w:pStyle w:val="Textonotapie"/>
        <w:rPr>
          <w:rFonts w:asciiTheme="minorHAnsi" w:hAnsiTheme="minorHAnsi" w:cs="Calibri"/>
          <w:lang w:val="es-MX"/>
        </w:rPr>
      </w:pPr>
      <w:r>
        <w:rPr>
          <w:rStyle w:val="Refdenotaalpie"/>
        </w:rPr>
        <w:footnoteRef/>
      </w:r>
      <w:r>
        <w:t xml:space="preserve"> </w:t>
      </w:r>
      <w:r w:rsidRPr="000A1B5D">
        <w:rPr>
          <w:rFonts w:asciiTheme="minorHAnsi" w:hAnsiTheme="minorHAnsi" w:cs="Calibri"/>
          <w:lang w:val="es-MX"/>
        </w:rPr>
        <w:t xml:space="preserve">CORTE CONSTITUCIONAL. Sentencia </w:t>
      </w:r>
      <w:r>
        <w:rPr>
          <w:rFonts w:asciiTheme="minorHAnsi" w:hAnsiTheme="minorHAnsi" w:cs="Calibri"/>
          <w:lang w:val="es-MX"/>
        </w:rPr>
        <w:t>T</w:t>
      </w:r>
      <w:r w:rsidRPr="000A1B5D">
        <w:rPr>
          <w:rFonts w:asciiTheme="minorHAnsi" w:hAnsiTheme="minorHAnsi" w:cs="Calibri"/>
          <w:lang w:val="es-MX"/>
        </w:rPr>
        <w:t>-</w:t>
      </w:r>
      <w:r>
        <w:rPr>
          <w:rFonts w:asciiTheme="minorHAnsi" w:hAnsiTheme="minorHAnsi" w:cs="Calibri"/>
          <w:lang w:val="es-MX"/>
        </w:rPr>
        <w:t>192</w:t>
      </w:r>
      <w:r w:rsidRPr="000A1B5D">
        <w:rPr>
          <w:rFonts w:asciiTheme="minorHAnsi" w:hAnsiTheme="minorHAnsi" w:cs="Calibri"/>
          <w:lang w:val="es-MX"/>
        </w:rPr>
        <w:t xml:space="preserve"> de</w:t>
      </w:r>
      <w:r w:rsidR="00993BE7">
        <w:rPr>
          <w:rFonts w:asciiTheme="minorHAnsi" w:hAnsiTheme="minorHAnsi" w:cs="Calibri"/>
          <w:lang w:val="es-MX"/>
        </w:rPr>
        <w:t xml:space="preserve"> </w:t>
      </w:r>
      <w:r>
        <w:rPr>
          <w:rFonts w:asciiTheme="minorHAnsi" w:hAnsiTheme="minorHAnsi" w:cs="Calibri"/>
          <w:lang w:val="es-MX"/>
        </w:rPr>
        <w:t>2015</w:t>
      </w:r>
      <w:r w:rsidRPr="000A1B5D">
        <w:rPr>
          <w:rFonts w:asciiTheme="minorHAnsi" w:hAnsiTheme="minorHAnsi" w:cs="Calibri"/>
          <w:lang w:val="es-MX"/>
        </w:rPr>
        <w:t>.</w:t>
      </w:r>
    </w:p>
  </w:footnote>
  <w:footnote w:id="16">
    <w:p w:rsidR="00765006" w:rsidRPr="003F120A" w:rsidRDefault="00765006" w:rsidP="00765006">
      <w:pPr>
        <w:pStyle w:val="Textonotapie"/>
        <w:rPr>
          <w:rFonts w:asciiTheme="minorHAnsi" w:hAnsiTheme="minorHAnsi"/>
          <w:lang w:val="es-CO"/>
        </w:rPr>
      </w:pPr>
      <w:r w:rsidRPr="003F120A">
        <w:rPr>
          <w:rStyle w:val="Refdenotaalpie"/>
          <w:rFonts w:asciiTheme="minorHAnsi" w:hAnsiTheme="minorHAnsi"/>
        </w:rPr>
        <w:footnoteRef/>
      </w:r>
      <w:r w:rsidRPr="003F120A">
        <w:rPr>
          <w:rFonts w:asciiTheme="minorHAnsi" w:hAnsiTheme="minorHAnsi"/>
        </w:rPr>
        <w:t xml:space="preserve"> </w:t>
      </w:r>
      <w:r w:rsidRPr="000A1B5D">
        <w:rPr>
          <w:rFonts w:asciiTheme="minorHAnsi" w:hAnsiTheme="minorHAnsi" w:cs="Calibri"/>
          <w:lang w:val="es-MX"/>
        </w:rPr>
        <w:t>CORTE CONSTITUCIONAL. Sentencia SU-949 de</w:t>
      </w:r>
      <w:r w:rsidR="00993BE7">
        <w:rPr>
          <w:rFonts w:asciiTheme="minorHAnsi" w:hAnsiTheme="minorHAnsi" w:cs="Calibri"/>
          <w:lang w:val="es-MX"/>
        </w:rPr>
        <w:t xml:space="preserve"> </w:t>
      </w:r>
      <w:r w:rsidRPr="000A1B5D">
        <w:rPr>
          <w:rFonts w:asciiTheme="minorHAnsi" w:hAnsiTheme="minorHAnsi" w:cs="Calibri"/>
          <w:lang w:val="es-MX"/>
        </w:rPr>
        <w:t>2014</w:t>
      </w:r>
      <w:r w:rsidR="00993BE7">
        <w:rPr>
          <w:rFonts w:asciiTheme="minorHAnsi" w:hAnsiTheme="minorHAnsi" w:cs="Calibri"/>
          <w:lang w:val="es-MX"/>
        </w:rPr>
        <w:t>.</w:t>
      </w:r>
      <w:r w:rsidRPr="003F120A">
        <w:rPr>
          <w:rFonts w:asciiTheme="minorHAnsi" w:hAnsiTheme="minorHAnsi"/>
          <w:lang w:val="es-CO"/>
        </w:rPr>
        <w:t xml:space="preserve"> </w:t>
      </w:r>
    </w:p>
  </w:footnote>
  <w:footnote w:id="17">
    <w:p w:rsidR="00AA1E03" w:rsidRDefault="00AA1E03" w:rsidP="00AA1E03">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w:t>
      </w:r>
      <w:r w:rsidRPr="00623B4F">
        <w:rPr>
          <w:rFonts w:asciiTheme="minorHAnsi" w:hAnsiTheme="minorHAnsi" w:cs="Calibri"/>
          <w:lang w:val="es-CO"/>
        </w:rPr>
        <w:t xml:space="preserve">T-193 </w:t>
      </w:r>
      <w:r>
        <w:rPr>
          <w:rFonts w:asciiTheme="minorHAnsi" w:hAnsiTheme="minorHAnsi" w:cs="Calibri"/>
          <w:lang w:val="es-CO"/>
        </w:rPr>
        <w:t xml:space="preserve">de </w:t>
      </w:r>
      <w:r w:rsidRPr="00623B4F">
        <w:rPr>
          <w:rFonts w:asciiTheme="minorHAnsi" w:hAnsiTheme="minorHAnsi" w:cs="Calibri"/>
          <w:lang w:val="es-CO"/>
        </w:rPr>
        <w:t>2008.</w:t>
      </w:r>
    </w:p>
  </w:footnote>
  <w:footnote w:id="18">
    <w:p w:rsidR="00AA1E03" w:rsidRPr="00833A61" w:rsidRDefault="00AA1E03" w:rsidP="00AA1E03">
      <w:pPr>
        <w:pStyle w:val="Textonotapie"/>
        <w:rPr>
          <w:lang w:val="es-CO"/>
        </w:rPr>
      </w:pPr>
      <w:r>
        <w:rPr>
          <w:rStyle w:val="Refdenotaalpie"/>
        </w:rPr>
        <w:footnoteRef/>
      </w:r>
      <w:r>
        <w:t xml:space="preserve"> </w:t>
      </w:r>
      <w:r w:rsidRPr="00623B4F">
        <w:rPr>
          <w:rFonts w:asciiTheme="minorHAnsi" w:hAnsiTheme="minorHAnsi" w:cs="Calibri"/>
        </w:rPr>
        <w:t xml:space="preserve">CORTE CONSTITUCIONAL.  Sentencia </w:t>
      </w:r>
      <w:r w:rsidRPr="00623B4F">
        <w:rPr>
          <w:rFonts w:asciiTheme="minorHAnsi" w:hAnsiTheme="minorHAnsi" w:cs="Calibri"/>
          <w:lang w:val="es-CO"/>
        </w:rPr>
        <w:t>T-</w:t>
      </w:r>
      <w:r>
        <w:rPr>
          <w:rFonts w:asciiTheme="minorHAnsi" w:hAnsiTheme="minorHAnsi" w:cs="Calibri"/>
          <w:lang w:val="es-CO"/>
        </w:rPr>
        <w:t>185</w:t>
      </w:r>
      <w:r w:rsidRPr="00623B4F">
        <w:rPr>
          <w:rFonts w:asciiTheme="minorHAnsi" w:hAnsiTheme="minorHAnsi" w:cs="Calibri"/>
          <w:lang w:val="es-CO"/>
        </w:rPr>
        <w:t xml:space="preserve"> </w:t>
      </w:r>
      <w:r>
        <w:rPr>
          <w:rFonts w:asciiTheme="minorHAnsi" w:hAnsiTheme="minorHAnsi" w:cs="Calibri"/>
          <w:lang w:val="es-CO"/>
        </w:rPr>
        <w:t>de 2013.</w:t>
      </w:r>
    </w:p>
  </w:footnote>
  <w:footnote w:id="19">
    <w:p w:rsidR="00AA1E03" w:rsidRPr="007B0994" w:rsidRDefault="00AA1E03" w:rsidP="00AA1E03">
      <w:pPr>
        <w:pStyle w:val="Textonotapie"/>
        <w:rPr>
          <w:lang w:val="es-CO"/>
        </w:rPr>
      </w:pPr>
      <w:r>
        <w:rPr>
          <w:rStyle w:val="Refdenotaalpie"/>
        </w:rPr>
        <w:footnoteRef/>
      </w:r>
      <w:r>
        <w:t xml:space="preserve"> </w:t>
      </w:r>
      <w:r w:rsidRPr="00CA12C8">
        <w:rPr>
          <w:rFonts w:asciiTheme="minorHAnsi" w:hAnsiTheme="minorHAnsi"/>
        </w:rPr>
        <w:t xml:space="preserve">CORTE CONSTITUCIONAL.  </w:t>
      </w:r>
      <w:r w:rsidRPr="00CA12C8">
        <w:rPr>
          <w:rFonts w:asciiTheme="minorHAnsi" w:hAnsiTheme="minorHAnsi"/>
          <w:lang w:val="es-CO"/>
        </w:rPr>
        <w:t>Sentencia</w:t>
      </w:r>
      <w:r w:rsidRPr="007B0994">
        <w:rPr>
          <w:rFonts w:asciiTheme="minorHAnsi" w:hAnsiTheme="minorHAnsi"/>
        </w:rPr>
        <w:t xml:space="preserve"> </w:t>
      </w:r>
      <w:r w:rsidRPr="007B0994">
        <w:rPr>
          <w:rFonts w:asciiTheme="minorHAnsi" w:hAnsiTheme="minorHAnsi"/>
          <w:bCs/>
        </w:rPr>
        <w:t>SU</w:t>
      </w:r>
      <w:r>
        <w:rPr>
          <w:rFonts w:asciiTheme="minorHAnsi" w:hAnsiTheme="minorHAnsi"/>
          <w:bCs/>
        </w:rPr>
        <w:t>-</w:t>
      </w:r>
      <w:r w:rsidRPr="007B0994">
        <w:rPr>
          <w:rFonts w:asciiTheme="minorHAnsi" w:hAnsiTheme="minorHAnsi"/>
          <w:bCs/>
        </w:rPr>
        <w:t>240 de 2015</w:t>
      </w:r>
      <w:r w:rsidRPr="007B0994">
        <w:rPr>
          <w:rFonts w:asciiTheme="minorHAnsi" w:hAnsiTheme="minorHAnsi"/>
        </w:rPr>
        <w:t>.</w:t>
      </w:r>
    </w:p>
  </w:footnote>
  <w:footnote w:id="20">
    <w:p w:rsidR="00AA1E03" w:rsidRPr="00833A61" w:rsidRDefault="00AA1E03" w:rsidP="00AA1E03">
      <w:pPr>
        <w:pStyle w:val="Textonotapie"/>
        <w:rPr>
          <w:lang w:val="es-CO"/>
        </w:rPr>
      </w:pPr>
      <w:r>
        <w:rPr>
          <w:rStyle w:val="Refdenotaalpie"/>
        </w:rPr>
        <w:footnoteRef/>
      </w:r>
      <w:r>
        <w:t xml:space="preserve"> </w:t>
      </w:r>
      <w:r w:rsidRPr="00CA12C8">
        <w:rPr>
          <w:rFonts w:asciiTheme="minorHAnsi" w:hAnsiTheme="minorHAnsi"/>
        </w:rPr>
        <w:t xml:space="preserve">CORTE CONSTITUCIONAL.  </w:t>
      </w:r>
      <w:r w:rsidRPr="00CA12C8">
        <w:rPr>
          <w:rFonts w:asciiTheme="minorHAnsi" w:hAnsiTheme="minorHAnsi"/>
          <w:lang w:val="es-CO"/>
        </w:rPr>
        <w:t>Sentencia</w:t>
      </w:r>
      <w:r w:rsidRPr="007B0994">
        <w:rPr>
          <w:rFonts w:asciiTheme="minorHAnsi" w:hAnsiTheme="minorHAnsi"/>
        </w:rPr>
        <w:t xml:space="preserve"> </w:t>
      </w:r>
      <w:r>
        <w:rPr>
          <w:rFonts w:asciiTheme="minorHAnsi" w:hAnsiTheme="minorHAnsi"/>
          <w:bCs/>
        </w:rPr>
        <w:t>T-001 de 2016.</w:t>
      </w:r>
    </w:p>
  </w:footnote>
  <w:footnote w:id="21">
    <w:p w:rsidR="00AA1E03" w:rsidRPr="00104D5D" w:rsidRDefault="00AA1E03" w:rsidP="00AA1E03">
      <w:pPr>
        <w:pStyle w:val="Textonotapie"/>
        <w:jc w:val="both"/>
        <w:rPr>
          <w:rFonts w:ascii="Calibri" w:hAnsi="Calibri"/>
          <w:lang w:val="es-CO"/>
        </w:rPr>
      </w:pPr>
      <w:r w:rsidRPr="008C531D">
        <w:rPr>
          <w:rStyle w:val="Refdenotaalpie"/>
          <w:rFonts w:ascii="Calibri" w:hAnsi="Calibri"/>
        </w:rPr>
        <w:footnoteRef/>
      </w:r>
      <w:r w:rsidRPr="008C531D">
        <w:rPr>
          <w:rFonts w:ascii="Calibri" w:hAnsi="Calibri"/>
        </w:rPr>
        <w:t xml:space="preserve"> </w:t>
      </w:r>
      <w:r w:rsidRPr="008C531D">
        <w:rPr>
          <w:rFonts w:ascii="Calibri" w:hAnsi="Calibri" w:cs="Calibri"/>
        </w:rPr>
        <w:t xml:space="preserve">BOTERO MARINO, Catalina. La acción de tutela en el ordenamiento constitucional colombiano, </w:t>
      </w:r>
      <w:proofErr w:type="spellStart"/>
      <w:r w:rsidRPr="008C531D">
        <w:rPr>
          <w:rFonts w:ascii="Calibri" w:hAnsi="Calibri" w:cs="Calibri"/>
        </w:rPr>
        <w:t>Ediprime</w:t>
      </w:r>
      <w:proofErr w:type="spellEnd"/>
      <w:r w:rsidRPr="008C531D">
        <w:rPr>
          <w:rFonts w:ascii="Calibri" w:hAnsi="Calibri" w:cs="Calibri"/>
        </w:rPr>
        <w:t xml:space="preserve"> </w:t>
      </w:r>
      <w:proofErr w:type="spellStart"/>
      <w:r w:rsidRPr="008C531D">
        <w:rPr>
          <w:rFonts w:ascii="Calibri" w:hAnsi="Calibri" w:cs="Calibri"/>
        </w:rPr>
        <w:t>Ltda</w:t>
      </w:r>
      <w:proofErr w:type="spellEnd"/>
      <w:r w:rsidRPr="008C531D">
        <w:rPr>
          <w:rFonts w:ascii="Calibri" w:hAnsi="Calibri" w:cs="Calibri"/>
        </w:rPr>
        <w:t xml:space="preserve">, Bogotá, </w:t>
      </w:r>
      <w:r w:rsidRPr="00104D5D">
        <w:rPr>
          <w:rFonts w:ascii="Calibri" w:hAnsi="Calibri" w:cs="Calibri"/>
        </w:rPr>
        <w:t>2006, p.120.</w:t>
      </w:r>
    </w:p>
  </w:footnote>
  <w:footnote w:id="22">
    <w:p w:rsidR="00AA1E03" w:rsidRPr="00104D5D" w:rsidRDefault="00AA1E03" w:rsidP="00AA1E03">
      <w:pPr>
        <w:pStyle w:val="Textonotapie"/>
        <w:jc w:val="both"/>
        <w:rPr>
          <w:lang w:val="es-CO"/>
        </w:rPr>
      </w:pPr>
      <w:r w:rsidRPr="00104D5D">
        <w:rPr>
          <w:rStyle w:val="Refdenotaalpie"/>
          <w:rFonts w:ascii="Calibri" w:hAnsi="Calibri"/>
        </w:rPr>
        <w:footnoteRef/>
      </w:r>
      <w:r w:rsidRPr="00104D5D">
        <w:rPr>
          <w:rFonts w:ascii="Calibri" w:hAnsi="Calibri"/>
        </w:rPr>
        <w:t xml:space="preserve"> </w:t>
      </w:r>
      <w:r w:rsidRPr="00104D5D">
        <w:rPr>
          <w:rFonts w:ascii="Calibri" w:hAnsi="Calibri"/>
          <w:lang w:val="es-CO"/>
        </w:rPr>
        <w:t xml:space="preserve">TRIBUNAL SUPERIOR DE PEREIRA, Sala Civil-Familia. Sentencia del 28-03-2016, MP </w:t>
      </w:r>
      <w:proofErr w:type="spellStart"/>
      <w:r w:rsidRPr="00104D5D">
        <w:rPr>
          <w:rFonts w:ascii="Calibri" w:hAnsi="Calibri"/>
          <w:lang w:val="es-CO"/>
        </w:rPr>
        <w:t>Dubermey</w:t>
      </w:r>
      <w:proofErr w:type="spellEnd"/>
      <w:r w:rsidRPr="00104D5D">
        <w:rPr>
          <w:rFonts w:ascii="Calibri" w:hAnsi="Calibri"/>
          <w:lang w:val="es-CO"/>
        </w:rPr>
        <w:t xml:space="preserve"> Grisales Herrera, expediente No.</w:t>
      </w:r>
      <w:r w:rsidRPr="00104D5D">
        <w:rPr>
          <w:rFonts w:ascii="Calibri" w:hAnsi="Calibri"/>
        </w:rPr>
        <w:t xml:space="preserve"> </w:t>
      </w:r>
      <w:r w:rsidRPr="00104D5D">
        <w:rPr>
          <w:rFonts w:ascii="Calibri" w:hAnsi="Calibri"/>
          <w:lang w:val="es-CO"/>
        </w:rPr>
        <w:t>2016-00289-00</w:t>
      </w:r>
      <w:r>
        <w:rPr>
          <w:rFonts w:ascii="Calibri" w:hAnsi="Calibri"/>
          <w:lang w:val="es-CO"/>
        </w:rPr>
        <w:t>.</w:t>
      </w:r>
    </w:p>
  </w:footnote>
  <w:footnote w:id="23">
    <w:p w:rsidR="00AA1E03" w:rsidRPr="008C531D" w:rsidRDefault="00AA1E03" w:rsidP="00AA1E03">
      <w:pPr>
        <w:pStyle w:val="Textonotapie"/>
        <w:jc w:val="both"/>
        <w:rPr>
          <w:rFonts w:ascii="Calibri" w:hAnsi="Calibri"/>
        </w:rPr>
      </w:pPr>
      <w:r w:rsidRPr="008C531D">
        <w:rPr>
          <w:rStyle w:val="Refdenotaalpie"/>
          <w:rFonts w:ascii="Calibri" w:hAnsi="Calibri"/>
        </w:rPr>
        <w:footnoteRef/>
      </w:r>
      <w:r w:rsidRPr="008C531D">
        <w:rPr>
          <w:rFonts w:ascii="Calibri" w:hAnsi="Calibri"/>
        </w:rPr>
        <w:t xml:space="preserve"> CORTE CONSTITUCIONAL. Sentencia T-057 de 2016.</w:t>
      </w:r>
    </w:p>
  </w:footnote>
  <w:footnote w:id="24">
    <w:p w:rsidR="00AA1E03" w:rsidRPr="008C531D" w:rsidRDefault="00AA1E03" w:rsidP="00AA1E03">
      <w:pPr>
        <w:pStyle w:val="Textonotapie"/>
        <w:jc w:val="both"/>
        <w:rPr>
          <w:rFonts w:ascii="Calibri" w:hAnsi="Calibri"/>
          <w:lang w:val="es-CO"/>
        </w:rPr>
      </w:pPr>
      <w:r w:rsidRPr="008C531D">
        <w:rPr>
          <w:rStyle w:val="Refdenotaalpie"/>
          <w:rFonts w:ascii="Calibri" w:hAnsi="Calibri"/>
        </w:rPr>
        <w:footnoteRef/>
      </w:r>
      <w:r w:rsidRPr="008C531D">
        <w:rPr>
          <w:rFonts w:ascii="Calibri" w:hAnsi="Calibri"/>
        </w:rPr>
        <w:t xml:space="preserve"> CORTE CONSTITUCIONAL. Sentencia</w:t>
      </w:r>
      <w:r w:rsidRPr="008C531D">
        <w:rPr>
          <w:rFonts w:ascii="Calibri" w:hAnsi="Calibri"/>
          <w:lang w:val="es-CO"/>
        </w:rPr>
        <w:t xml:space="preserve"> T-095 de 2015.</w:t>
      </w:r>
    </w:p>
  </w:footnote>
  <w:footnote w:id="25">
    <w:p w:rsidR="00AA1E03" w:rsidRPr="00A4402B" w:rsidRDefault="00AA1E03" w:rsidP="00AA1E03">
      <w:pPr>
        <w:pStyle w:val="Textonotapie"/>
        <w:jc w:val="both"/>
        <w:rPr>
          <w:lang w:val="es-CO"/>
        </w:rPr>
      </w:pPr>
      <w:r w:rsidRPr="008C531D">
        <w:rPr>
          <w:rStyle w:val="Refdenotaalpie"/>
          <w:rFonts w:ascii="Calibri" w:hAnsi="Calibri"/>
        </w:rPr>
        <w:footnoteRef/>
      </w:r>
      <w:r w:rsidRPr="008C531D">
        <w:rPr>
          <w:rFonts w:ascii="Calibri" w:hAnsi="Calibri"/>
        </w:rPr>
        <w:t xml:space="preserve"> CORTE CONSTITUCIONAL. Sentencia</w:t>
      </w:r>
      <w:r w:rsidRPr="008C531D">
        <w:rPr>
          <w:rFonts w:ascii="Calibri" w:hAnsi="Calibri"/>
          <w:lang w:val="es-CO"/>
        </w:rPr>
        <w:t xml:space="preserve"> T-560 de 2009, reiterada en las sentencias T-185 de 2013 y T-001 de 2016, entre otras.</w:t>
      </w:r>
    </w:p>
  </w:footnote>
  <w:footnote w:id="26">
    <w:p w:rsidR="00993BE7" w:rsidRPr="003C7774" w:rsidRDefault="00993BE7" w:rsidP="00993BE7">
      <w:pPr>
        <w:jc w:val="both"/>
        <w:rPr>
          <w:rFonts w:asciiTheme="minorHAnsi" w:hAnsiTheme="minorHAnsi" w:cs="Arial"/>
          <w:b/>
          <w:sz w:val="20"/>
          <w:szCs w:val="20"/>
        </w:rPr>
      </w:pPr>
      <w:r w:rsidRPr="000D1189">
        <w:rPr>
          <w:rStyle w:val="Refdenotaalpie"/>
          <w:rFonts w:asciiTheme="minorHAnsi" w:hAnsiTheme="minorHAnsi" w:cs="Arial"/>
          <w:sz w:val="20"/>
          <w:szCs w:val="20"/>
        </w:rPr>
        <w:footnoteRef/>
      </w:r>
      <w:r w:rsidRPr="000D1189">
        <w:rPr>
          <w:rFonts w:asciiTheme="minorHAnsi" w:hAnsiTheme="minorHAnsi" w:cs="Arial"/>
          <w:sz w:val="20"/>
          <w:szCs w:val="20"/>
        </w:rPr>
        <w:t xml:space="preserve"> </w:t>
      </w:r>
      <w:r w:rsidRPr="000D1189">
        <w:rPr>
          <w:rFonts w:asciiTheme="minorHAnsi" w:hAnsiTheme="minorHAnsi" w:cs="Arial"/>
          <w:sz w:val="20"/>
          <w:szCs w:val="20"/>
          <w:lang w:val="es-CO"/>
        </w:rPr>
        <w:t>CORTE SUPREMA DE JUSTICIA, Sala de Casación Civil</w:t>
      </w:r>
      <w:r w:rsidR="003C7774">
        <w:rPr>
          <w:rFonts w:asciiTheme="minorHAnsi" w:hAnsiTheme="minorHAnsi" w:cs="Arial"/>
          <w:sz w:val="20"/>
          <w:szCs w:val="20"/>
          <w:lang w:val="es-CO"/>
        </w:rPr>
        <w:t>.</w:t>
      </w:r>
      <w:r w:rsidRPr="000D1189">
        <w:rPr>
          <w:rFonts w:asciiTheme="minorHAnsi" w:hAnsiTheme="minorHAnsi" w:cs="Arial"/>
          <w:sz w:val="20"/>
          <w:szCs w:val="20"/>
          <w:lang w:val="es-CO"/>
        </w:rPr>
        <w:t xml:space="preserve"> Sentencia </w:t>
      </w:r>
      <w:r w:rsidR="003C7774" w:rsidRPr="003C7774">
        <w:rPr>
          <w:rFonts w:asciiTheme="minorHAnsi" w:hAnsiTheme="minorHAnsi" w:cs="Arial"/>
          <w:sz w:val="20"/>
          <w:szCs w:val="20"/>
        </w:rPr>
        <w:t>STC6596-2016</w:t>
      </w:r>
      <w:r w:rsidRPr="000D1189">
        <w:rPr>
          <w:rFonts w:asciiTheme="minorHAnsi" w:hAnsiTheme="minorHAnsi" w:cs="Arial"/>
          <w:sz w:val="20"/>
          <w:szCs w:val="20"/>
          <w:lang w:val="es-CO"/>
        </w:rPr>
        <w:t>.</w:t>
      </w:r>
    </w:p>
  </w:footnote>
  <w:footnote w:id="27">
    <w:p w:rsidR="00993BE7" w:rsidRPr="00D75C31" w:rsidRDefault="00993BE7" w:rsidP="00993BE7">
      <w:pPr>
        <w:pStyle w:val="Textonotapie"/>
        <w:jc w:val="both"/>
        <w:rPr>
          <w:rFonts w:ascii="Calibri" w:hAnsi="Calibri" w:cs="Calibri"/>
          <w:b/>
          <w:bCs/>
        </w:rPr>
      </w:pPr>
      <w:r w:rsidRPr="00140D59">
        <w:rPr>
          <w:rStyle w:val="Refdenotaalpie"/>
          <w:rFonts w:asciiTheme="minorHAnsi" w:hAnsiTheme="minorHAnsi"/>
        </w:rPr>
        <w:footnoteRef/>
      </w:r>
      <w:r w:rsidRPr="00140D59">
        <w:rPr>
          <w:rFonts w:asciiTheme="minorHAnsi" w:hAnsiTheme="minorHAnsi"/>
        </w:rPr>
        <w:t xml:space="preserve"> </w:t>
      </w:r>
      <w:r w:rsidRPr="00D75C31">
        <w:rPr>
          <w:rFonts w:ascii="Calibri" w:hAnsi="Calibri" w:cs="Calibri"/>
          <w:lang w:val="es-CO"/>
        </w:rPr>
        <w:t xml:space="preserve">TRIBUNAL SUPERIOR DE PEREIRA, Sala Civil – Familia. </w:t>
      </w:r>
      <w:r w:rsidR="00D75C31" w:rsidRPr="00D75C31">
        <w:rPr>
          <w:rFonts w:ascii="Calibri" w:hAnsi="Calibri" w:cs="Calibri"/>
          <w:lang w:val="es-CO"/>
        </w:rPr>
        <w:t>Sentencia</w:t>
      </w:r>
      <w:r w:rsidRPr="00D75C31">
        <w:rPr>
          <w:rFonts w:ascii="Calibri" w:hAnsi="Calibri" w:cs="Calibri"/>
          <w:lang w:val="es-CO"/>
        </w:rPr>
        <w:t xml:space="preserve"> del</w:t>
      </w:r>
      <w:r w:rsidRPr="00D75C31">
        <w:rPr>
          <w:rFonts w:ascii="Calibri" w:hAnsi="Calibri" w:cs="Calibri"/>
        </w:rPr>
        <w:t xml:space="preserve"> </w:t>
      </w:r>
      <w:r w:rsidR="00AA1E03" w:rsidRPr="00D75C31">
        <w:rPr>
          <w:rFonts w:ascii="Calibri" w:hAnsi="Calibri" w:cs="Calibri"/>
        </w:rPr>
        <w:t>10-08-2016</w:t>
      </w:r>
      <w:r w:rsidRPr="00D75C31">
        <w:rPr>
          <w:rFonts w:ascii="Calibri" w:hAnsi="Calibri" w:cs="Calibri"/>
        </w:rPr>
        <w:t xml:space="preserve">; MP: </w:t>
      </w:r>
      <w:r w:rsidR="00AA1E03" w:rsidRPr="00D75C31">
        <w:rPr>
          <w:rFonts w:ascii="Calibri" w:hAnsi="Calibri" w:cs="Calibri"/>
        </w:rPr>
        <w:t>Jaime Alberto Saraza Naranjo</w:t>
      </w:r>
      <w:r w:rsidRPr="00D75C31">
        <w:rPr>
          <w:rFonts w:ascii="Calibri" w:hAnsi="Calibri" w:cs="Calibri"/>
        </w:rPr>
        <w:t>, expediente No.</w:t>
      </w:r>
      <w:r w:rsidR="00AA1E03" w:rsidRPr="00D75C31">
        <w:rPr>
          <w:rFonts w:ascii="Calibri" w:hAnsi="Calibri" w:cs="Calibri"/>
        </w:rPr>
        <w:t>2016-00730-00</w:t>
      </w:r>
      <w:r w:rsidRPr="00D75C31">
        <w:rPr>
          <w:rFonts w:ascii="Calibri" w:hAnsi="Calibri" w:cs="Calibri"/>
        </w:rPr>
        <w:t xml:space="preserve">. </w:t>
      </w:r>
    </w:p>
  </w:footnote>
  <w:footnote w:id="28">
    <w:p w:rsidR="00AA1E03" w:rsidRDefault="00AA1E03" w:rsidP="00AA1E03">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w:t>
      </w:r>
      <w:r w:rsidRPr="00623B4F">
        <w:rPr>
          <w:rFonts w:asciiTheme="minorHAnsi" w:hAnsiTheme="minorHAnsi" w:cs="Calibri"/>
          <w:lang w:val="es-CO"/>
        </w:rPr>
        <w:t xml:space="preserve">T-184 </w:t>
      </w:r>
      <w:r>
        <w:rPr>
          <w:rFonts w:asciiTheme="minorHAnsi" w:hAnsiTheme="minorHAnsi" w:cs="Calibri"/>
          <w:lang w:val="es-CO"/>
        </w:rPr>
        <w:t>de 2</w:t>
      </w:r>
      <w:r w:rsidRPr="00623B4F">
        <w:rPr>
          <w:rFonts w:asciiTheme="minorHAnsi" w:hAnsiTheme="minorHAnsi" w:cs="Calibri"/>
          <w:lang w:val="es-CO"/>
        </w:rPr>
        <w:t>005</w:t>
      </w:r>
      <w:r>
        <w:rPr>
          <w:rFonts w:asciiTheme="minorHAnsi" w:hAnsiTheme="minorHAnsi" w:cs="Calibri"/>
          <w:lang w:val="es-CO"/>
        </w:rPr>
        <w:t>.</w:t>
      </w:r>
    </w:p>
  </w:footnote>
  <w:footnote w:id="29">
    <w:p w:rsidR="00AA1E03" w:rsidRPr="00F2155F" w:rsidRDefault="00AA1E03" w:rsidP="00AA1E03">
      <w:pPr>
        <w:pStyle w:val="Textonotapie"/>
        <w:rPr>
          <w:lang w:val="es-CO"/>
        </w:rPr>
      </w:pPr>
      <w:r>
        <w:rPr>
          <w:rStyle w:val="Refdenotaalpie"/>
        </w:rPr>
        <w:footnoteRef/>
      </w:r>
      <w:r>
        <w:t xml:space="preserve"> </w:t>
      </w:r>
      <w:r w:rsidRPr="00623B4F">
        <w:rPr>
          <w:rFonts w:asciiTheme="minorHAnsi" w:hAnsiTheme="minorHAnsi" w:cs="Calibri"/>
        </w:rPr>
        <w:t>CORTE CONSTITUCIONAL.</w:t>
      </w:r>
      <w:r>
        <w:rPr>
          <w:rFonts w:asciiTheme="minorHAnsi" w:hAnsiTheme="minorHAnsi" w:cs="Calibri"/>
        </w:rPr>
        <w:t xml:space="preserve"> Sentencia T-001 de 2016</w:t>
      </w:r>
      <w:r w:rsidRPr="00F2155F">
        <w:rPr>
          <w:rFonts w:ascii="Verdana" w:hAnsi="Verdana"/>
          <w:bCs/>
          <w:color w:val="000000"/>
          <w:sz w:val="22"/>
          <w:szCs w:val="22"/>
        </w:rPr>
        <w:t>.</w:t>
      </w:r>
    </w:p>
  </w:footnote>
  <w:footnote w:id="30">
    <w:p w:rsidR="00AA1E03" w:rsidRDefault="00AA1E03" w:rsidP="00AA1E03">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Dispone el artículo 4° del Decreto 306 de 1992: </w:t>
      </w:r>
      <w:r w:rsidRPr="00623B4F">
        <w:rPr>
          <w:rFonts w:asciiTheme="minorHAnsi" w:hAnsiTheme="minorHAnsi" w:cs="Calibri"/>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31">
    <w:p w:rsidR="00AA1E03" w:rsidRDefault="00AA1E03" w:rsidP="00AA1E03">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T-443 de 1995</w:t>
      </w:r>
      <w:r>
        <w:rPr>
          <w:rFonts w:asciiTheme="minorHAnsi" w:hAnsiTheme="minorHAnsi" w:cs="Calibri"/>
        </w:rPr>
        <w:t>.</w:t>
      </w:r>
    </w:p>
  </w:footnote>
  <w:footnote w:id="32">
    <w:p w:rsidR="00AA1E03" w:rsidRDefault="00AA1E03" w:rsidP="00AA1E03">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T-149 de 1995</w:t>
      </w:r>
      <w:r>
        <w:rPr>
          <w:rFonts w:asciiTheme="minorHAnsi" w:hAnsiTheme="minorHAnsi" w:cs="Calibri"/>
        </w:rPr>
        <w:t>.</w:t>
      </w:r>
    </w:p>
  </w:footnote>
  <w:footnote w:id="33">
    <w:p w:rsidR="00AA1E03" w:rsidRDefault="00AA1E03" w:rsidP="00AA1E03">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T-308 de 1995</w:t>
      </w:r>
      <w:r>
        <w:rPr>
          <w:rFonts w:asciiTheme="minorHAnsi" w:hAnsiTheme="minorHAnsi" w:cs="Calibri"/>
        </w:rPr>
        <w:t>.</w:t>
      </w:r>
    </w:p>
  </w:footnote>
  <w:footnote w:id="34">
    <w:p w:rsidR="00AA1E03" w:rsidRDefault="00AA1E03" w:rsidP="00AA1E03">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T-443 de 1995</w:t>
      </w:r>
      <w:r>
        <w:rPr>
          <w:rFonts w:asciiTheme="minorHAnsi" w:hAnsiTheme="minorHAnsi" w:cs="Calibri"/>
        </w:rPr>
        <w:t>.</w:t>
      </w:r>
    </w:p>
  </w:footnote>
  <w:footnote w:id="35">
    <w:p w:rsidR="00AA1E03" w:rsidRDefault="00AA1E03" w:rsidP="00AA1E03">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T-001 de 1997</w:t>
      </w:r>
      <w:r>
        <w:rPr>
          <w:rFonts w:asciiTheme="minorHAnsi" w:hAnsiTheme="minorHAnsi" w:cs="Calibri"/>
        </w:rPr>
        <w:t>.</w:t>
      </w:r>
    </w:p>
  </w:footnote>
  <w:footnote w:id="36">
    <w:p w:rsidR="00AA1E03" w:rsidRPr="00D54497" w:rsidRDefault="00AA1E03" w:rsidP="00AA1E03">
      <w:pPr>
        <w:pStyle w:val="Textonotapie"/>
        <w:jc w:val="both"/>
        <w:rPr>
          <w:rFonts w:ascii="Calibri" w:hAnsi="Calibri"/>
        </w:rPr>
      </w:pPr>
      <w:r w:rsidRPr="00D54497">
        <w:rPr>
          <w:rStyle w:val="Refdenotaalpie"/>
          <w:rFonts w:ascii="Calibri" w:hAnsi="Calibri" w:cs="Calibri"/>
        </w:rPr>
        <w:footnoteRef/>
      </w:r>
      <w:r w:rsidRPr="00D54497">
        <w:rPr>
          <w:rFonts w:ascii="Calibri" w:hAnsi="Calibri" w:cs="Calibri"/>
        </w:rPr>
        <w:t xml:space="preserve"> CORTE CONSTITUCIONAL.  Sentencia </w:t>
      </w:r>
      <w:r w:rsidRPr="00D54497">
        <w:rPr>
          <w:rFonts w:ascii="Calibri" w:hAnsi="Calibri" w:cs="Calibri"/>
          <w:lang w:val="es-CO"/>
        </w:rPr>
        <w:t>T-184 de 2005.</w:t>
      </w:r>
    </w:p>
  </w:footnote>
  <w:footnote w:id="37">
    <w:p w:rsidR="00AA1E03" w:rsidRPr="00D54497" w:rsidRDefault="00AA1E03" w:rsidP="00AA1E03">
      <w:pPr>
        <w:pStyle w:val="Textonotapie"/>
        <w:jc w:val="both"/>
        <w:rPr>
          <w:rFonts w:ascii="Calibri" w:hAnsi="Calibri"/>
          <w:lang w:val="es-CO"/>
        </w:rPr>
      </w:pPr>
      <w:r w:rsidRPr="00D54497">
        <w:rPr>
          <w:rStyle w:val="Refdenotaalpie"/>
          <w:rFonts w:ascii="Calibri" w:hAnsi="Calibri"/>
        </w:rPr>
        <w:footnoteRef/>
      </w:r>
      <w:r w:rsidRPr="00D54497">
        <w:rPr>
          <w:rFonts w:ascii="Calibri" w:hAnsi="Calibri"/>
        </w:rPr>
        <w:t xml:space="preserve"> </w:t>
      </w:r>
      <w:r w:rsidRPr="00D54497">
        <w:rPr>
          <w:rFonts w:ascii="Calibri" w:hAnsi="Calibri"/>
          <w:lang w:val="es-CO"/>
        </w:rPr>
        <w:t>CORTE SUPREMA DE JUSTICIA, Sala de Casación Civil. Sentencia STC7600-2016.</w:t>
      </w:r>
    </w:p>
  </w:footnote>
  <w:footnote w:id="38">
    <w:p w:rsidR="00AA1E03" w:rsidRPr="00D54497" w:rsidRDefault="00AA1E03" w:rsidP="00AA1E03">
      <w:pPr>
        <w:pStyle w:val="Textonotapie"/>
        <w:jc w:val="both"/>
        <w:rPr>
          <w:rFonts w:ascii="Calibri" w:hAnsi="Calibri"/>
          <w:lang w:val="es-CO"/>
        </w:rPr>
      </w:pPr>
      <w:r w:rsidRPr="00D54497">
        <w:rPr>
          <w:rStyle w:val="Refdenotaalpie"/>
          <w:rFonts w:ascii="Calibri" w:hAnsi="Calibri"/>
        </w:rPr>
        <w:footnoteRef/>
      </w:r>
      <w:r w:rsidRPr="00D54497">
        <w:rPr>
          <w:rFonts w:ascii="Calibri" w:hAnsi="Calibri"/>
        </w:rPr>
        <w:t xml:space="preserve"> </w:t>
      </w:r>
      <w:r w:rsidRPr="00D54497">
        <w:rPr>
          <w:rFonts w:ascii="Calibri" w:hAnsi="Calibri"/>
          <w:lang w:val="es-CO"/>
        </w:rPr>
        <w:t xml:space="preserve">TRIBUNAL SUPERIOR, Sala Civil – Familia. Sentencia del 30-06-2016, </w:t>
      </w:r>
      <w:proofErr w:type="spellStart"/>
      <w:r w:rsidRPr="00D54497">
        <w:rPr>
          <w:rFonts w:ascii="Calibri" w:hAnsi="Calibri"/>
          <w:lang w:val="es-CO"/>
        </w:rPr>
        <w:t>exp</w:t>
      </w:r>
      <w:proofErr w:type="spellEnd"/>
      <w:r w:rsidRPr="00D54497">
        <w:rPr>
          <w:rFonts w:ascii="Calibri" w:hAnsi="Calibri"/>
          <w:lang w:val="es-CO"/>
        </w:rPr>
        <w:t>.</w:t>
      </w:r>
      <w:r w:rsidRPr="00D54497">
        <w:rPr>
          <w:rFonts w:ascii="Calibri" w:hAnsi="Calibri" w:cs="Arial"/>
          <w:sz w:val="22"/>
          <w:szCs w:val="22"/>
        </w:rPr>
        <w:t xml:space="preserve"> </w:t>
      </w:r>
      <w:r w:rsidRPr="00D54497">
        <w:rPr>
          <w:rFonts w:ascii="Calibri" w:hAnsi="Calibri"/>
        </w:rPr>
        <w:t xml:space="preserve">2016-00554-00, MP </w:t>
      </w:r>
      <w:proofErr w:type="spellStart"/>
      <w:r w:rsidRPr="00D54497">
        <w:rPr>
          <w:rFonts w:ascii="Calibri" w:hAnsi="Calibri"/>
        </w:rPr>
        <w:t>Duberney</w:t>
      </w:r>
      <w:proofErr w:type="spellEnd"/>
      <w:r w:rsidRPr="00D54497">
        <w:rPr>
          <w:rFonts w:ascii="Calibri" w:hAnsi="Calibri"/>
        </w:rPr>
        <w:t xml:space="preserve"> Grisales Herrera.</w:t>
      </w:r>
    </w:p>
  </w:footnote>
  <w:footnote w:id="39">
    <w:p w:rsidR="00AA1E03" w:rsidRPr="00D54497" w:rsidRDefault="00AA1E03" w:rsidP="00AA1E03">
      <w:pPr>
        <w:pStyle w:val="Textonotapie"/>
        <w:jc w:val="both"/>
        <w:rPr>
          <w:lang w:val="es-CO"/>
        </w:rPr>
      </w:pPr>
      <w:r w:rsidRPr="00D54497">
        <w:rPr>
          <w:rStyle w:val="Refdenotaalpie"/>
          <w:rFonts w:ascii="Calibri" w:hAnsi="Calibri"/>
        </w:rPr>
        <w:footnoteRef/>
      </w:r>
      <w:r w:rsidRPr="00D54497">
        <w:rPr>
          <w:rFonts w:ascii="Calibri" w:hAnsi="Calibri"/>
        </w:rPr>
        <w:t xml:space="preserve"> </w:t>
      </w:r>
      <w:r w:rsidRPr="00D54497">
        <w:rPr>
          <w:rFonts w:ascii="Calibri" w:hAnsi="Calibri"/>
          <w:lang w:val="es-CO"/>
        </w:rPr>
        <w:t xml:space="preserve">TRIBUNAL SUPERIOR, Sala Civil – Familia. Sentencia del 11-08-2016, </w:t>
      </w:r>
      <w:proofErr w:type="spellStart"/>
      <w:r w:rsidRPr="00D54497">
        <w:rPr>
          <w:rFonts w:ascii="Calibri" w:hAnsi="Calibri"/>
          <w:lang w:val="es-CO"/>
        </w:rPr>
        <w:t>exp</w:t>
      </w:r>
      <w:proofErr w:type="spellEnd"/>
      <w:r w:rsidRPr="00D54497">
        <w:rPr>
          <w:rFonts w:ascii="Calibri" w:hAnsi="Calibri"/>
          <w:lang w:val="es-CO"/>
        </w:rPr>
        <w:t>.</w:t>
      </w:r>
      <w:r w:rsidRPr="00D54497">
        <w:rPr>
          <w:rFonts w:ascii="Calibri" w:hAnsi="Calibri" w:cs="Arial"/>
          <w:sz w:val="22"/>
          <w:szCs w:val="22"/>
        </w:rPr>
        <w:t xml:space="preserve"> </w:t>
      </w:r>
      <w:r w:rsidRPr="00D54497">
        <w:rPr>
          <w:rFonts w:ascii="Calibri" w:hAnsi="Calibri"/>
        </w:rPr>
        <w:t xml:space="preserve">2016-00750-00, MP </w:t>
      </w:r>
      <w:proofErr w:type="spellStart"/>
      <w:r w:rsidRPr="00D54497">
        <w:rPr>
          <w:rFonts w:ascii="Calibri" w:hAnsi="Calibri"/>
        </w:rPr>
        <w:t>Duberney</w:t>
      </w:r>
      <w:proofErr w:type="spellEnd"/>
      <w:r w:rsidRPr="00D54497">
        <w:rPr>
          <w:rFonts w:ascii="Calibri" w:hAnsi="Calibri"/>
        </w:rPr>
        <w:t xml:space="preserve"> Grisales Herrera.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Pr="006414F7" w:rsidRDefault="004603C3">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5064D8">
      <w:rPr>
        <w:rFonts w:ascii="Calibri" w:hAnsi="Calibri" w:cs="Calibri"/>
        <w:i/>
        <w:noProof/>
        <w:sz w:val="20"/>
      </w:rPr>
      <w:t>12</w:t>
    </w:r>
    <w:r w:rsidRPr="006414F7">
      <w:rPr>
        <w:rFonts w:ascii="Calibri" w:hAnsi="Calibri" w:cs="Calibri"/>
        <w:i/>
        <w:sz w:val="20"/>
      </w:rPr>
      <w:fldChar w:fldCharType="end"/>
    </w:r>
  </w:p>
  <w:p w:rsidR="004603C3" w:rsidRPr="006414F7" w:rsidRDefault="004603C3"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005118AB">
      <w:rPr>
        <w:rFonts w:ascii="Calibri" w:hAnsi="Calibri" w:cs="Calibri"/>
        <w:i/>
        <w:sz w:val="20"/>
        <w:szCs w:val="22"/>
      </w:rPr>
      <w:t>00794</w:t>
    </w:r>
    <w:r w:rsidR="0028706E">
      <w:rPr>
        <w:rFonts w:ascii="Calibri" w:hAnsi="Calibri" w:cs="Calibri"/>
        <w:i/>
        <w:sz w:val="20"/>
        <w:szCs w:val="22"/>
      </w:rPr>
      <w:t>-00</w:t>
    </w:r>
    <w:r w:rsidR="005118AB">
      <w:rPr>
        <w:rFonts w:ascii="Calibri" w:hAnsi="Calibri" w:cs="Calibri"/>
        <w:i/>
        <w:sz w:val="20"/>
        <w:szCs w:val="22"/>
      </w:rPr>
      <w:t xml:space="preserve"> </w:t>
    </w:r>
    <w:r w:rsidR="0028706E">
      <w:rPr>
        <w:rFonts w:ascii="Calibri" w:hAnsi="Calibri" w:cs="Calibri"/>
        <w:i/>
        <w:sz w:val="20"/>
        <w:szCs w:val="22"/>
      </w:rPr>
      <w:t xml:space="preserve">LLRR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674318B"/>
    <w:multiLevelType w:val="multilevel"/>
    <w:tmpl w:val="A836A4F0"/>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3">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5"/>
  </w:num>
  <w:num w:numId="2">
    <w:abstractNumId w:val="13"/>
  </w:num>
  <w:num w:numId="3">
    <w:abstractNumId w:val="12"/>
  </w:num>
  <w:num w:numId="4">
    <w:abstractNumId w:val="2"/>
  </w:num>
  <w:num w:numId="5">
    <w:abstractNumId w:val="23"/>
  </w:num>
  <w:num w:numId="6">
    <w:abstractNumId w:val="0"/>
  </w:num>
  <w:num w:numId="7">
    <w:abstractNumId w:val="18"/>
  </w:num>
  <w:num w:numId="8">
    <w:abstractNumId w:val="1"/>
  </w:num>
  <w:num w:numId="9">
    <w:abstractNumId w:val="24"/>
  </w:num>
  <w:num w:numId="10">
    <w:abstractNumId w:val="19"/>
  </w:num>
  <w:num w:numId="11">
    <w:abstractNumId w:val="16"/>
  </w:num>
  <w:num w:numId="12">
    <w:abstractNumId w:val="21"/>
  </w:num>
  <w:num w:numId="13">
    <w:abstractNumId w:val="7"/>
  </w:num>
  <w:num w:numId="14">
    <w:abstractNumId w:val="9"/>
  </w:num>
  <w:num w:numId="15">
    <w:abstractNumId w:val="14"/>
  </w:num>
  <w:num w:numId="16">
    <w:abstractNumId w:val="3"/>
  </w:num>
  <w:num w:numId="17">
    <w:abstractNumId w:val="15"/>
  </w:num>
  <w:num w:numId="18">
    <w:abstractNumId w:val="6"/>
  </w:num>
  <w:num w:numId="19">
    <w:abstractNumId w:val="4"/>
  </w:num>
  <w:num w:numId="20">
    <w:abstractNumId w:val="10"/>
  </w:num>
  <w:num w:numId="21">
    <w:abstractNumId w:val="17"/>
  </w:num>
  <w:num w:numId="22">
    <w:abstractNumId w:val="20"/>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3FD"/>
    <w:rsid w:val="00092B1F"/>
    <w:rsid w:val="0009333F"/>
    <w:rsid w:val="000938B9"/>
    <w:rsid w:val="00093C3D"/>
    <w:rsid w:val="00095798"/>
    <w:rsid w:val="00095EAB"/>
    <w:rsid w:val="000964AD"/>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359"/>
    <w:rsid w:val="001919A6"/>
    <w:rsid w:val="00192144"/>
    <w:rsid w:val="001929B6"/>
    <w:rsid w:val="0019341E"/>
    <w:rsid w:val="00193995"/>
    <w:rsid w:val="00193D37"/>
    <w:rsid w:val="0019525B"/>
    <w:rsid w:val="00195D5E"/>
    <w:rsid w:val="00196361"/>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81"/>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195C"/>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06E"/>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8D5"/>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B16"/>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774"/>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3F7ED1"/>
    <w:rsid w:val="0040007F"/>
    <w:rsid w:val="004003FD"/>
    <w:rsid w:val="004009A3"/>
    <w:rsid w:val="004009CB"/>
    <w:rsid w:val="00401064"/>
    <w:rsid w:val="00401364"/>
    <w:rsid w:val="00401973"/>
    <w:rsid w:val="00401990"/>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C58"/>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273"/>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2D4B"/>
    <w:rsid w:val="005037C7"/>
    <w:rsid w:val="00505404"/>
    <w:rsid w:val="00505463"/>
    <w:rsid w:val="005062EF"/>
    <w:rsid w:val="005064D8"/>
    <w:rsid w:val="00506822"/>
    <w:rsid w:val="0050746E"/>
    <w:rsid w:val="005075CB"/>
    <w:rsid w:val="00507B34"/>
    <w:rsid w:val="0051016F"/>
    <w:rsid w:val="005109D6"/>
    <w:rsid w:val="00511336"/>
    <w:rsid w:val="005118AB"/>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3B2"/>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27AA"/>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B10"/>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6EF5"/>
    <w:rsid w:val="005A7213"/>
    <w:rsid w:val="005A774B"/>
    <w:rsid w:val="005A7ACC"/>
    <w:rsid w:val="005B02FC"/>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87FAC"/>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826"/>
    <w:rsid w:val="007161AC"/>
    <w:rsid w:val="00717574"/>
    <w:rsid w:val="00720B53"/>
    <w:rsid w:val="00720F6E"/>
    <w:rsid w:val="00722FB5"/>
    <w:rsid w:val="00723794"/>
    <w:rsid w:val="0072424E"/>
    <w:rsid w:val="0072436C"/>
    <w:rsid w:val="00724752"/>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006"/>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DE6"/>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1A8A"/>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4"/>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AF0"/>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BE7"/>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38AF"/>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E03"/>
    <w:rsid w:val="00AA4EC8"/>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BB7"/>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6B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83F"/>
    <w:rsid w:val="00B74A2D"/>
    <w:rsid w:val="00B7574C"/>
    <w:rsid w:val="00B7596F"/>
    <w:rsid w:val="00B75FBF"/>
    <w:rsid w:val="00B767F1"/>
    <w:rsid w:val="00B77970"/>
    <w:rsid w:val="00B77C71"/>
    <w:rsid w:val="00B77CD2"/>
    <w:rsid w:val="00B80992"/>
    <w:rsid w:val="00B81D32"/>
    <w:rsid w:val="00B81FDA"/>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7C3"/>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183"/>
    <w:rsid w:val="00BC16BB"/>
    <w:rsid w:val="00BC192B"/>
    <w:rsid w:val="00BC1AF9"/>
    <w:rsid w:val="00BC1F12"/>
    <w:rsid w:val="00BC2295"/>
    <w:rsid w:val="00BC264E"/>
    <w:rsid w:val="00BC2FC4"/>
    <w:rsid w:val="00BC4BF8"/>
    <w:rsid w:val="00BC4F1A"/>
    <w:rsid w:val="00BC531A"/>
    <w:rsid w:val="00BC5C6D"/>
    <w:rsid w:val="00BC5E51"/>
    <w:rsid w:val="00BC6AE1"/>
    <w:rsid w:val="00BC7273"/>
    <w:rsid w:val="00BC760D"/>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03AA"/>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3B4"/>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C72"/>
    <w:rsid w:val="00C8311A"/>
    <w:rsid w:val="00C83DDE"/>
    <w:rsid w:val="00C83E87"/>
    <w:rsid w:val="00C84138"/>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97E"/>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3B4"/>
    <w:rsid w:val="00CD79DB"/>
    <w:rsid w:val="00CE0777"/>
    <w:rsid w:val="00CE0811"/>
    <w:rsid w:val="00CE0821"/>
    <w:rsid w:val="00CE0F4E"/>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28A"/>
    <w:rsid w:val="00D0377A"/>
    <w:rsid w:val="00D04389"/>
    <w:rsid w:val="00D04422"/>
    <w:rsid w:val="00D0509A"/>
    <w:rsid w:val="00D053F8"/>
    <w:rsid w:val="00D05AB2"/>
    <w:rsid w:val="00D065AB"/>
    <w:rsid w:val="00D07152"/>
    <w:rsid w:val="00D0751B"/>
    <w:rsid w:val="00D07692"/>
    <w:rsid w:val="00D07877"/>
    <w:rsid w:val="00D10365"/>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DFD"/>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C31"/>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0F85"/>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51A8"/>
    <w:rsid w:val="00DE6847"/>
    <w:rsid w:val="00DE68FE"/>
    <w:rsid w:val="00DE74E7"/>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B07"/>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146"/>
    <w:rsid w:val="00ED73B0"/>
    <w:rsid w:val="00ED749D"/>
    <w:rsid w:val="00ED7F33"/>
    <w:rsid w:val="00EE056E"/>
    <w:rsid w:val="00EE0BFD"/>
    <w:rsid w:val="00EE1268"/>
    <w:rsid w:val="00EE1777"/>
    <w:rsid w:val="00EE1A0F"/>
    <w:rsid w:val="00EE1C51"/>
    <w:rsid w:val="00EE2420"/>
    <w:rsid w:val="00EE2673"/>
    <w:rsid w:val="00EE29B8"/>
    <w:rsid w:val="00EE2E34"/>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4A43"/>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30A"/>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2BE"/>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E1D4647-7EF5-4CD2-854F-C728C623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Textoindependiente22">
    <w:name w:val="Texto independiente 22"/>
    <w:basedOn w:val="Normal"/>
    <w:rsid w:val="00C473B4"/>
    <w:pPr>
      <w:widowControl/>
      <w:suppressAutoHyphens/>
      <w:overflowPunct w:val="0"/>
      <w:jc w:val="both"/>
    </w:pPr>
    <w:rPr>
      <w:rFonts w:ascii="Verdana" w:hAnsi="Verdana" w:cs="Times New Roman"/>
      <w:spacing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292753907">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79750707">
      <w:bodyDiv w:val="1"/>
      <w:marLeft w:val="0"/>
      <w:marRight w:val="0"/>
      <w:marTop w:val="0"/>
      <w:marBottom w:val="0"/>
      <w:divBdr>
        <w:top w:val="none" w:sz="0" w:space="0" w:color="auto"/>
        <w:left w:val="none" w:sz="0" w:space="0" w:color="auto"/>
        <w:bottom w:val="none" w:sz="0" w:space="0" w:color="auto"/>
        <w:right w:val="none" w:sz="0" w:space="0" w:color="auto"/>
      </w:divBdr>
    </w:div>
    <w:div w:id="660040547">
      <w:bodyDiv w:val="1"/>
      <w:marLeft w:val="0"/>
      <w:marRight w:val="0"/>
      <w:marTop w:val="0"/>
      <w:marBottom w:val="0"/>
      <w:divBdr>
        <w:top w:val="none" w:sz="0" w:space="0" w:color="auto"/>
        <w:left w:val="none" w:sz="0" w:space="0" w:color="auto"/>
        <w:bottom w:val="none" w:sz="0" w:space="0" w:color="auto"/>
        <w:right w:val="none" w:sz="0" w:space="0" w:color="auto"/>
      </w:divBdr>
    </w:div>
    <w:div w:id="665403198">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41248351">
      <w:bodyDiv w:val="1"/>
      <w:marLeft w:val="0"/>
      <w:marRight w:val="0"/>
      <w:marTop w:val="0"/>
      <w:marBottom w:val="0"/>
      <w:divBdr>
        <w:top w:val="none" w:sz="0" w:space="0" w:color="auto"/>
        <w:left w:val="none" w:sz="0" w:space="0" w:color="auto"/>
        <w:bottom w:val="none" w:sz="0" w:space="0" w:color="auto"/>
        <w:right w:val="none" w:sz="0" w:space="0" w:color="auto"/>
      </w:divBdr>
    </w:div>
    <w:div w:id="1063142548">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5913300">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089384056">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F0BAE-205F-430E-99EC-1070D9F6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12</Pages>
  <Words>3972</Words>
  <Characters>21848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11</cp:revision>
  <cp:lastPrinted>2016-08-22T12:28:00Z</cp:lastPrinted>
  <dcterms:created xsi:type="dcterms:W3CDTF">2016-08-19T15:49:00Z</dcterms:created>
  <dcterms:modified xsi:type="dcterms:W3CDTF">2016-10-14T20:49:00Z</dcterms:modified>
</cp:coreProperties>
</file>