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2172C">
      <w:pPr>
        <w:widowControl/>
        <w:spacing w:line="1" w:lineRule="exact"/>
        <w:rPr>
          <w:sz w:val="2"/>
          <w:szCs w:val="2"/>
        </w:rPr>
      </w:pPr>
      <w:bookmarkStart w:id="0" w:name="_GoBack"/>
      <w:bookmarkEnd w:id="0"/>
      <w:r>
        <w:rPr>
          <w:noProof/>
        </w:rPr>
        <mc:AlternateContent>
          <mc:Choice Requires="wps">
            <w:drawing>
              <wp:anchor distT="0" distB="495935" distL="6400800" distR="6400800" simplePos="0" relativeHeight="251658240" behindDoc="0" locked="0" layoutInCell="1" allowOverlap="1">
                <wp:simplePos x="0" y="0"/>
                <wp:positionH relativeFrom="margin">
                  <wp:posOffset>5079365</wp:posOffset>
                </wp:positionH>
                <wp:positionV relativeFrom="paragraph">
                  <wp:posOffset>0</wp:posOffset>
                </wp:positionV>
                <wp:extent cx="918845" cy="146050"/>
                <wp:effectExtent l="2540" t="635" r="254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03791">
                            <w:pPr>
                              <w:pStyle w:val="Style1"/>
                              <w:widowControl/>
                              <w:jc w:val="both"/>
                              <w:rPr>
                                <w:rStyle w:val="FontStyle36"/>
                                <w:spacing w:val="50"/>
                                <w:lang w:val="es-ES_tradnl" w:eastAsia="es-ES_tradnl"/>
                              </w:rPr>
                            </w:pPr>
                            <w:r>
                              <w:rPr>
                                <w:rStyle w:val="FontStyle36"/>
                                <w:lang w:val="es-ES_tradnl" w:eastAsia="es-ES_tradnl"/>
                              </w:rPr>
                              <w:t xml:space="preserve">Pagina </w:t>
                            </w:r>
                            <w:r>
                              <w:rPr>
                                <w:rStyle w:val="FontStyle36"/>
                                <w:spacing w:val="50"/>
                                <w:lang w:val="es-ES_tradnl" w:eastAsia="es-ES_tradn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95pt;margin-top:0;width:72.35pt;height:11.5pt;z-index:251658240;visibility:visible;mso-wrap-style:square;mso-width-percent:0;mso-height-percent:0;mso-wrap-distance-left:7in;mso-wrap-distance-top:0;mso-wrap-distance-right:7in;mso-wrap-distance-bottom:39.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tmsrQIAAKg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" filled="f" stroked="f">
                <v:textbox inset="0,0,0,0">
                  <w:txbxContent>
                    <w:p w:rsidR="00000000" w:rsidRDefault="00C03791">
                      <w:pPr>
                        <w:pStyle w:val="Style1"/>
                        <w:widowControl/>
                        <w:jc w:val="both"/>
                        <w:rPr>
                          <w:rStyle w:val="FontStyle36"/>
                          <w:spacing w:val="50"/>
                          <w:lang w:val="es-ES_tradnl" w:eastAsia="es-ES_tradnl"/>
                        </w:rPr>
                      </w:pPr>
                      <w:r>
                        <w:rPr>
                          <w:rStyle w:val="FontStyle36"/>
                          <w:lang w:val="es-ES_tradnl" w:eastAsia="es-ES_tradnl"/>
                        </w:rPr>
                        <w:t xml:space="preserve">Pagina </w:t>
                      </w:r>
                      <w:r>
                        <w:rPr>
                          <w:rStyle w:val="FontStyle36"/>
                          <w:spacing w:val="50"/>
                          <w:lang w:val="es-ES_tradnl" w:eastAsia="es-ES_tradnl"/>
                        </w:rPr>
                        <w:t>¡1</w:t>
                      </w:r>
                    </w:p>
                  </w:txbxContent>
                </v:textbox>
                <w10:wrap type="topAndBottom" anchorx="margin"/>
              </v:shape>
            </w:pict>
          </mc:Fallback>
        </mc:AlternateContent>
      </w:r>
      <w:r>
        <w:rPr>
          <w:noProof/>
        </w:rPr>
        <mc:AlternateContent>
          <mc:Choice Requires="wps">
            <w:drawing>
              <wp:anchor distT="27305" distB="0" distL="6400800" distR="6400800" simplePos="0" relativeHeight="251659264" behindDoc="0" locked="0" layoutInCell="1" allowOverlap="1">
                <wp:simplePos x="0" y="0"/>
                <wp:positionH relativeFrom="margin">
                  <wp:posOffset>1682750</wp:posOffset>
                </wp:positionH>
                <wp:positionV relativeFrom="paragraph">
                  <wp:posOffset>450215</wp:posOffset>
                </wp:positionV>
                <wp:extent cx="2617470" cy="191770"/>
                <wp:effectExtent l="0" t="3175"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03791">
                            <w:pPr>
                              <w:pStyle w:val="Style3"/>
                              <w:widowControl/>
                              <w:jc w:val="both"/>
                              <w:rPr>
                                <w:rStyle w:val="FontStyle18"/>
                                <w:lang w:val="es-ES_tradnl" w:eastAsia="es-ES_tradnl"/>
                              </w:rPr>
                            </w:pPr>
                            <w:r>
                              <w:rPr>
                                <w:rStyle w:val="FontStyle18"/>
                                <w:lang w:val="es-ES_tradnl" w:eastAsia="es-ES_tradnl"/>
                              </w:rPr>
                              <w:t>Salvamento de voto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2.5pt;margin-top:35.45pt;width:206.1pt;height:15.1pt;z-index:251659264;visibility:visible;mso-wrap-style:square;mso-width-percent:0;mso-height-percent:0;mso-wrap-distance-left:7in;mso-wrap-distance-top:2.15pt;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Go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" filled="f" stroked="f">
                <v:textbox inset="0,0,0,0">
                  <w:txbxContent>
                    <w:p w:rsidR="00000000" w:rsidRDefault="00C03791">
                      <w:pPr>
                        <w:pStyle w:val="Style3"/>
                        <w:widowControl/>
                        <w:jc w:val="both"/>
                        <w:rPr>
                          <w:rStyle w:val="FontStyle18"/>
                          <w:lang w:val="es-ES_tradnl" w:eastAsia="es-ES_tradnl"/>
                        </w:rPr>
                      </w:pPr>
                      <w:r>
                        <w:rPr>
                          <w:rStyle w:val="FontStyle18"/>
                          <w:lang w:val="es-ES_tradnl" w:eastAsia="es-ES_tradnl"/>
                        </w:rPr>
                        <w:t>Salvamento de voto</w:t>
                      </w:r>
                    </w:p>
                  </w:txbxContent>
                </v:textbox>
                <w10:wrap type="topAndBottom" anchorx="margin"/>
              </v:shape>
            </w:pict>
          </mc:Fallback>
        </mc:AlternateContent>
      </w:r>
    </w:p>
    <w:p w:rsidR="00000000" w:rsidRDefault="00C03791">
      <w:pPr>
        <w:sectPr w:rsidR="00000000">
          <w:headerReference w:type="default" r:id="rId6"/>
          <w:headerReference w:type="first" r:id="rId7"/>
          <w:type w:val="continuous"/>
          <w:pgSz w:w="12240" w:h="18720"/>
          <w:pgMar w:top="625" w:right="1174" w:bottom="498" w:left="1620" w:header="720" w:footer="720" w:gutter="0"/>
          <w:cols w:space="720"/>
          <w:noEndnote/>
          <w:titlePg/>
        </w:sectPr>
      </w:pPr>
    </w:p>
    <w:p w:rsidR="00000000" w:rsidRDefault="00C03791">
      <w:pPr>
        <w:widowControl/>
        <w:spacing w:before="271" w:line="240" w:lineRule="exact"/>
        <w:rPr>
          <w:sz w:val="20"/>
          <w:szCs w:val="20"/>
        </w:rPr>
      </w:pPr>
    </w:p>
    <w:p w:rsidR="00000000" w:rsidRDefault="00C03791">
      <w:pPr>
        <w:sectPr w:rsidR="00000000">
          <w:headerReference w:type="default" r:id="rId8"/>
          <w:headerReference w:type="first" r:id="rId9"/>
          <w:type w:val="continuous"/>
          <w:pgSz w:w="12240" w:h="18720"/>
          <w:pgMar w:top="625" w:right="3633" w:bottom="498" w:left="3031" w:header="720" w:footer="720" w:gutter="0"/>
          <w:cols w:space="60"/>
          <w:noEndnote/>
          <w:titlePg/>
        </w:sectPr>
      </w:pPr>
    </w:p>
    <w:p w:rsidR="00000000" w:rsidRDefault="00C03791">
      <w:pPr>
        <w:pStyle w:val="Style8"/>
        <w:widowControl/>
        <w:spacing w:before="4"/>
        <w:ind w:right="54"/>
        <w:rPr>
          <w:rStyle w:val="FontStyle28"/>
          <w:lang w:val="es-ES_tradnl" w:eastAsia="es-ES_tradnl"/>
        </w:rPr>
      </w:pPr>
      <w:r>
        <w:rPr>
          <w:rStyle w:val="FontStyle28"/>
          <w:lang w:val="es-ES_tradnl" w:eastAsia="es-ES_tradnl"/>
        </w:rPr>
        <w:lastRenderedPageBreak/>
        <w:t>Asunto</w:t>
      </w:r>
    </w:p>
    <w:p w:rsidR="00000000" w:rsidRDefault="00C03791">
      <w:pPr>
        <w:pStyle w:val="Style6"/>
        <w:widowControl/>
        <w:spacing w:line="240" w:lineRule="auto"/>
        <w:rPr>
          <w:rStyle w:val="FontStyle28"/>
          <w:lang w:val="es-ES_tradnl" w:eastAsia="es-ES_tradnl"/>
        </w:rPr>
      </w:pPr>
      <w:r>
        <w:rPr>
          <w:rStyle w:val="FontStyle28"/>
          <w:lang w:val="es-ES_tradnl" w:eastAsia="es-ES_tradnl"/>
        </w:rPr>
        <w:br w:type="column"/>
      </w:r>
      <w:r>
        <w:rPr>
          <w:rStyle w:val="FontStyle28"/>
          <w:lang w:val="es-ES_tradnl" w:eastAsia="es-ES_tradnl"/>
        </w:rPr>
        <w:lastRenderedPageBreak/>
        <w:t>Fallo de tutela en primera instancia</w:t>
      </w:r>
    </w:p>
    <w:p w:rsidR="00000000" w:rsidRDefault="00C03791">
      <w:pPr>
        <w:pStyle w:val="Style6"/>
        <w:widowControl/>
        <w:spacing w:line="240" w:lineRule="auto"/>
        <w:rPr>
          <w:rStyle w:val="FontStyle28"/>
          <w:lang w:val="es-ES_tradnl" w:eastAsia="es-ES_tradnl"/>
        </w:rPr>
        <w:sectPr w:rsidR="00000000">
          <w:type w:val="continuous"/>
          <w:pgSz w:w="12240" w:h="18720"/>
          <w:pgMar w:top="625" w:right="3633" w:bottom="498" w:left="3031" w:header="720" w:footer="720" w:gutter="0"/>
          <w:cols w:num="2" w:space="720" w:equalWidth="0">
            <w:col w:w="720" w:space="1548"/>
            <w:col w:w="3308"/>
          </w:cols>
          <w:noEndnote/>
          <w:titlePg/>
        </w:sectPr>
      </w:pPr>
    </w:p>
    <w:p w:rsidR="00000000" w:rsidRDefault="00C03791">
      <w:pPr>
        <w:pStyle w:val="Style8"/>
        <w:widowControl/>
        <w:spacing w:before="119"/>
        <w:rPr>
          <w:rStyle w:val="FontStyle28"/>
          <w:lang w:val="es-ES_tradnl" w:eastAsia="es-ES_tradnl"/>
        </w:rPr>
      </w:pPr>
      <w:r>
        <w:rPr>
          <w:rStyle w:val="FontStyle28"/>
          <w:lang w:val="es-ES_tradnl" w:eastAsia="es-ES_tradnl"/>
        </w:rPr>
        <w:lastRenderedPageBreak/>
        <w:t>Radicación</w:t>
      </w:r>
    </w:p>
    <w:p w:rsidR="00000000" w:rsidRDefault="00C03791">
      <w:pPr>
        <w:pStyle w:val="Style8"/>
        <w:widowControl/>
        <w:spacing w:before="119"/>
        <w:rPr>
          <w:rStyle w:val="FontStyle28"/>
          <w:lang w:val="es-ES_tradnl" w:eastAsia="es-ES_tradnl"/>
        </w:rPr>
      </w:pPr>
      <w:r>
        <w:rPr>
          <w:rStyle w:val="FontStyle28"/>
          <w:lang w:val="es-ES_tradnl" w:eastAsia="es-ES_tradnl"/>
        </w:rPr>
        <w:br w:type="column"/>
      </w:r>
      <w:r>
        <w:rPr>
          <w:rStyle w:val="FontStyle28"/>
          <w:lang w:val="es-ES_tradnl" w:eastAsia="es-ES_tradnl"/>
        </w:rPr>
        <w:lastRenderedPageBreak/>
        <w:t>2016-000832-00</w:t>
      </w:r>
    </w:p>
    <w:p w:rsidR="00000000" w:rsidRDefault="00C03791">
      <w:pPr>
        <w:pStyle w:val="Style8"/>
        <w:widowControl/>
        <w:spacing w:before="119"/>
        <w:rPr>
          <w:rStyle w:val="FontStyle28"/>
          <w:lang w:val="es-ES_tradnl" w:eastAsia="es-ES_tradnl"/>
        </w:rPr>
        <w:sectPr w:rsidR="00000000">
          <w:headerReference w:type="default" r:id="rId10"/>
          <w:headerReference w:type="first" r:id="rId11"/>
          <w:type w:val="continuous"/>
          <w:pgSz w:w="12240" w:h="18720"/>
          <w:pgMar w:top="625" w:right="5379" w:bottom="498" w:left="3046" w:header="720" w:footer="720" w:gutter="0"/>
          <w:cols w:num="2" w:space="720" w:equalWidth="0">
            <w:col w:w="1040" w:space="1199"/>
            <w:col w:w="1576"/>
          </w:cols>
          <w:noEndnote/>
          <w:titlePg/>
        </w:sectPr>
      </w:pPr>
    </w:p>
    <w:p w:rsidR="00000000" w:rsidRDefault="00C03791">
      <w:pPr>
        <w:pStyle w:val="Style8"/>
        <w:widowControl/>
        <w:spacing w:before="126"/>
        <w:jc w:val="left"/>
        <w:rPr>
          <w:rStyle w:val="FontStyle28"/>
          <w:lang w:val="es-ES_tradnl" w:eastAsia="es-ES_tradnl"/>
        </w:rPr>
      </w:pPr>
      <w:r>
        <w:rPr>
          <w:rStyle w:val="FontStyle28"/>
          <w:lang w:val="es-ES_tradnl" w:eastAsia="es-ES_tradnl"/>
        </w:rPr>
        <w:lastRenderedPageBreak/>
        <w:t>Tema (s)</w:t>
      </w:r>
    </w:p>
    <w:p w:rsidR="00000000" w:rsidRDefault="00C03791">
      <w:pPr>
        <w:pStyle w:val="Style9"/>
        <w:widowControl/>
        <w:spacing w:before="148"/>
        <w:jc w:val="both"/>
        <w:rPr>
          <w:rStyle w:val="FontStyle19"/>
          <w:lang w:val="es-ES_tradnl" w:eastAsia="es-ES_tradnl"/>
        </w:rPr>
      </w:pPr>
      <w:r>
        <w:rPr>
          <w:rStyle w:val="FontStyle19"/>
          <w:lang w:val="es-ES_tradnl" w:eastAsia="es-ES_tradnl"/>
        </w:rPr>
        <w:t>Magistrado Ponente</w:t>
      </w:r>
    </w:p>
    <w:p w:rsidR="00000000" w:rsidRDefault="00C03791">
      <w:pPr>
        <w:pStyle w:val="Style6"/>
        <w:widowControl/>
        <w:spacing w:before="22"/>
        <w:rPr>
          <w:rStyle w:val="FontStyle20"/>
          <w:lang w:val="es-ES_tradnl" w:eastAsia="es-ES_tradnl"/>
        </w:rPr>
      </w:pPr>
      <w:r>
        <w:rPr>
          <w:rStyle w:val="FontStyle19"/>
          <w:lang w:val="es-ES_tradnl" w:eastAsia="es-ES_tradnl"/>
        </w:rPr>
        <w:br w:type="column"/>
      </w:r>
      <w:r>
        <w:rPr>
          <w:rStyle w:val="FontStyle28"/>
          <w:lang w:val="es-ES_tradnl" w:eastAsia="es-ES_tradnl"/>
        </w:rPr>
        <w:lastRenderedPageBreak/>
        <w:t>Procedibilidad - In</w:t>
      </w:r>
      <w:r>
        <w:rPr>
          <w:rStyle w:val="FontStyle28"/>
          <w:lang w:val="es-ES_tradnl" w:eastAsia="es-ES_tradnl"/>
        </w:rPr>
        <w:t xml:space="preserve">mediatez - Razonabilidad plazo </w:t>
      </w:r>
      <w:r>
        <w:rPr>
          <w:rStyle w:val="FontStyle20"/>
          <w:lang w:val="es-ES_tradnl" w:eastAsia="es-ES_tradnl"/>
        </w:rPr>
        <w:t>Jaime Alberto Saraza Naranjo</w:t>
      </w:r>
    </w:p>
    <w:p w:rsidR="00000000" w:rsidRDefault="00C03791">
      <w:pPr>
        <w:pStyle w:val="Style6"/>
        <w:widowControl/>
        <w:spacing w:before="22"/>
        <w:rPr>
          <w:rStyle w:val="FontStyle20"/>
          <w:lang w:val="es-ES_tradnl" w:eastAsia="es-ES_tradnl"/>
        </w:rPr>
        <w:sectPr w:rsidR="00000000">
          <w:headerReference w:type="default" r:id="rId12"/>
          <w:headerReference w:type="first" r:id="rId13"/>
          <w:type w:val="continuous"/>
          <w:pgSz w:w="12240" w:h="18720"/>
          <w:pgMar w:top="625" w:right="2160" w:bottom="498" w:left="3035" w:header="720" w:footer="720" w:gutter="0"/>
          <w:cols w:num="2" w:space="720" w:equalWidth="0">
            <w:col w:w="1789" w:space="472"/>
            <w:col w:w="4784"/>
          </w:cols>
          <w:noEndnote/>
          <w:titlePg/>
        </w:sectPr>
      </w:pPr>
    </w:p>
    <w:p w:rsidR="00000000" w:rsidRDefault="00C03791">
      <w:pPr>
        <w:pStyle w:val="Style6"/>
        <w:widowControl/>
        <w:spacing w:line="240" w:lineRule="exact"/>
        <w:rPr>
          <w:sz w:val="20"/>
          <w:szCs w:val="20"/>
        </w:rPr>
      </w:pPr>
    </w:p>
    <w:p w:rsidR="00000000" w:rsidRDefault="00C03791">
      <w:pPr>
        <w:pStyle w:val="Style6"/>
        <w:widowControl/>
        <w:spacing w:before="163" w:line="414" w:lineRule="exact"/>
        <w:rPr>
          <w:rStyle w:val="FontStyle28"/>
          <w:lang w:val="es-ES_tradnl" w:eastAsia="es-ES_tradnl"/>
        </w:rPr>
      </w:pPr>
      <w:r>
        <w:rPr>
          <w:rStyle w:val="FontStyle28"/>
          <w:lang w:val="es-ES_tradnl" w:eastAsia="es-ES_tradnl"/>
        </w:rPr>
        <w:t>Como hice saber a los Magistrados de la Sala, siempre respetuoso de las disertaciones del proveí</w:t>
      </w:r>
      <w:r>
        <w:rPr>
          <w:rStyle w:val="FontStyle28"/>
          <w:lang w:val="es-ES_tradnl" w:eastAsia="es-ES_tradnl"/>
        </w:rPr>
        <w:t>do del que me aparto, estimo que ha debido declararse improcedente la acción al encontrar incumplido el presupuesto de inmediatez, según enseguida fundamento.</w:t>
      </w:r>
    </w:p>
    <w:p w:rsidR="00000000" w:rsidRDefault="00C03791">
      <w:pPr>
        <w:pStyle w:val="Style6"/>
        <w:widowControl/>
        <w:spacing w:line="240" w:lineRule="exact"/>
        <w:ind w:right="4"/>
        <w:rPr>
          <w:sz w:val="20"/>
          <w:szCs w:val="20"/>
        </w:rPr>
      </w:pPr>
    </w:p>
    <w:p w:rsidR="00000000" w:rsidRDefault="00C03791">
      <w:pPr>
        <w:pStyle w:val="Style6"/>
        <w:widowControl/>
        <w:spacing w:before="181" w:line="414" w:lineRule="exact"/>
        <w:ind w:right="4"/>
        <w:rPr>
          <w:rStyle w:val="FontStyle21"/>
          <w:u w:val="single"/>
          <w:lang w:val="es-ES_tradnl" w:eastAsia="es-ES_tradnl"/>
        </w:rPr>
      </w:pPr>
      <w:r>
        <w:rPr>
          <w:rStyle w:val="FontStyle28"/>
          <w:lang w:val="es-ES_tradnl" w:eastAsia="es-ES_tradnl"/>
        </w:rPr>
        <w:t xml:space="preserve">El último pedimento del actor fue el día 14-10-2015, según muestra la foliatura, se explicó que </w:t>
      </w:r>
      <w:r>
        <w:rPr>
          <w:rStyle w:val="FontStyle28"/>
          <w:lang w:val="es-ES_tradnl" w:eastAsia="es-ES_tradnl"/>
        </w:rPr>
        <w:t>terminó de prestar su servicio militar en octubre de 2014 y luego en marzo del mismo año, allegó documentación y requirió respuesta en abril y octubre de 2015, para luego el 26-08-2016 reclamar protección constitucional. Reliévase que desde la última fecha</w:t>
      </w:r>
      <w:r>
        <w:rPr>
          <w:rStyle w:val="FontStyle28"/>
          <w:lang w:val="es-ES_tradnl" w:eastAsia="es-ES_tradnl"/>
        </w:rPr>
        <w:t xml:space="preserve"> de octubre, </w:t>
      </w:r>
      <w:r>
        <w:rPr>
          <w:rStyle w:val="FontStyle28"/>
          <w:u w:val="single"/>
          <w:lang w:val="es-ES_tradnl" w:eastAsia="es-ES_tradnl"/>
        </w:rPr>
        <w:t xml:space="preserve">el accionante guarda silencio sobre requerimiento alguno hecho, de su parte a la accionada, como sí aconteció en la T-898 de 2007, </w:t>
      </w:r>
      <w:r>
        <w:rPr>
          <w:rStyle w:val="FontStyle31"/>
          <w:u w:val="single"/>
          <w:lang w:val="es-ES_tradnl" w:eastAsia="es-ES_tradnl"/>
        </w:rPr>
        <w:t xml:space="preserve">invocado como precedente, </w:t>
      </w:r>
      <w:r>
        <w:rPr>
          <w:rStyle w:val="FontStyle28"/>
          <w:u w:val="single"/>
          <w:lang w:val="es-ES_tradnl" w:eastAsia="es-ES_tradnl"/>
        </w:rPr>
        <w:t xml:space="preserve">donde manifiesta gue en seis (6) veces reclamó, </w:t>
      </w:r>
      <w:r>
        <w:rPr>
          <w:rStyle w:val="FontStyle21"/>
          <w:u w:val="single"/>
          <w:lang w:val="es-ES_tradnl" w:eastAsia="es-ES_tradnl"/>
        </w:rPr>
        <w:t xml:space="preserve">aquí no veo de qué forma afirmaciones </w:t>
      </w:r>
      <w:r>
        <w:rPr>
          <w:rStyle w:val="FontStyle21"/>
          <w:u w:val="single"/>
          <w:lang w:val="es-ES_tradnl" w:eastAsia="es-ES_tradnl"/>
        </w:rPr>
        <w:t>en ese</w:t>
      </w:r>
    </w:p>
    <w:p w:rsidR="00000000" w:rsidRDefault="00C03791">
      <w:pPr>
        <w:pStyle w:val="Style7"/>
        <w:widowControl/>
        <w:rPr>
          <w:rStyle w:val="FontStyle21"/>
          <w:lang w:val="es-ES_tradnl" w:eastAsia="es-ES_tradnl"/>
        </w:rPr>
      </w:pPr>
      <w:r>
        <w:rPr>
          <w:rStyle w:val="FontStyle21"/>
          <w:u w:val="single"/>
          <w:lang w:val="es-ES_tradnl" w:eastAsia="es-ES_tradnl"/>
        </w:rPr>
        <w:t>sentido para decir que la parte no las refutó, es que son inexistentes, que es bien distinto</w:t>
      </w:r>
      <w:r>
        <w:rPr>
          <w:rStyle w:val="FontStyle21"/>
          <w:lang w:val="es-ES_tradnl" w:eastAsia="es-ES_tradnl"/>
        </w:rPr>
        <w:t>.</w:t>
      </w:r>
    </w:p>
    <w:p w:rsidR="00000000" w:rsidRDefault="00C03791">
      <w:pPr>
        <w:pStyle w:val="Style6"/>
        <w:widowControl/>
        <w:spacing w:line="240" w:lineRule="exact"/>
        <w:rPr>
          <w:sz w:val="20"/>
          <w:szCs w:val="20"/>
        </w:rPr>
      </w:pPr>
    </w:p>
    <w:p w:rsidR="00000000" w:rsidRDefault="00C03791">
      <w:pPr>
        <w:pStyle w:val="Style6"/>
        <w:widowControl/>
        <w:spacing w:before="170" w:line="418" w:lineRule="exact"/>
        <w:rPr>
          <w:rStyle w:val="FontStyle28"/>
          <w:lang w:val="es-ES_tradnl" w:eastAsia="es-ES_tradnl"/>
        </w:rPr>
      </w:pPr>
      <w:r>
        <w:rPr>
          <w:rStyle w:val="FontStyle28"/>
          <w:lang w:val="es-ES_tradnl" w:eastAsia="es-ES_tradnl"/>
        </w:rPr>
        <w:t xml:space="preserve">Ninguna razón o explicación justificatoria de la inactividad se evidencia al formular el amparo, como tampoco en el trámite, no se escuchó en declaración </w:t>
      </w:r>
      <w:r>
        <w:rPr>
          <w:rStyle w:val="FontStyle28"/>
          <w:lang w:val="es-ES_tradnl" w:eastAsia="es-ES_tradnl"/>
        </w:rPr>
        <w:t>ni se requirió en tal sentido. Carece el actor de la condición de persona de especial protección constitucional, ningún hecho sirve para entender que está en situación de indefensión o debilidad manifiesta, por manera que faltan motivos para flexibilizar e</w:t>
      </w:r>
      <w:r>
        <w:rPr>
          <w:rStyle w:val="FontStyle28"/>
          <w:lang w:val="es-ES_tradnl" w:eastAsia="es-ES_tradnl"/>
        </w:rPr>
        <w:t>l análisis del supuesto de inmediatez, que claramente aquí se sobrepasó, en desmedro de la seguridad jurídica y comprometiendo el principio referido.</w:t>
      </w:r>
    </w:p>
    <w:p w:rsidR="00000000" w:rsidRDefault="00C03791">
      <w:pPr>
        <w:pStyle w:val="Style6"/>
        <w:widowControl/>
        <w:spacing w:line="240" w:lineRule="exact"/>
        <w:rPr>
          <w:sz w:val="20"/>
          <w:szCs w:val="20"/>
        </w:rPr>
      </w:pPr>
    </w:p>
    <w:p w:rsidR="00000000" w:rsidRDefault="00C03791">
      <w:pPr>
        <w:pStyle w:val="Style6"/>
        <w:widowControl/>
        <w:spacing w:before="174" w:line="421" w:lineRule="exact"/>
        <w:rPr>
          <w:rStyle w:val="FontStyle28"/>
          <w:u w:val="single"/>
          <w:lang w:val="es-ES_tradnl" w:eastAsia="es-ES_tradnl"/>
        </w:rPr>
      </w:pPr>
      <w:r>
        <w:rPr>
          <w:rStyle w:val="FontStyle28"/>
          <w:lang w:val="es-ES_tradnl" w:eastAsia="es-ES_tradnl"/>
        </w:rPr>
        <w:t>Según constante jurisprudencia de nuestro máximo Tribunal Constitucional</w:t>
      </w:r>
      <w:r>
        <w:rPr>
          <w:rStyle w:val="FontStyle28"/>
          <w:vertAlign w:val="superscript"/>
          <w:lang w:val="es-ES_tradnl" w:eastAsia="es-ES_tradnl"/>
        </w:rPr>
        <w:t>1</w:t>
      </w:r>
      <w:r>
        <w:rPr>
          <w:rStyle w:val="FontStyle28"/>
          <w:lang w:val="es-ES_tradnl" w:eastAsia="es-ES_tradnl"/>
        </w:rPr>
        <w:t>, y tambié</w:t>
      </w:r>
      <w:r>
        <w:rPr>
          <w:rStyle w:val="FontStyle28"/>
          <w:lang w:val="es-ES_tradnl" w:eastAsia="es-ES_tradnl"/>
        </w:rPr>
        <w:t>n de la Corte Suprema de Justicia</w:t>
      </w:r>
      <w:r>
        <w:rPr>
          <w:rStyle w:val="FontStyle28"/>
          <w:vertAlign w:val="superscript"/>
          <w:lang w:val="es-ES_tradnl" w:eastAsia="es-ES_tradnl"/>
        </w:rPr>
        <w:t>2</w:t>
      </w:r>
      <w:r>
        <w:rPr>
          <w:rStyle w:val="FontStyle28"/>
          <w:lang w:val="es-ES_tradnl" w:eastAsia="es-ES_tradnl"/>
        </w:rPr>
        <w:t xml:space="preserve"> (Sala de Casación Civil), la inmediatez en la protección, que implica la tutela, conlleva a entender que el remedio judicial requiere </w:t>
      </w:r>
      <w:r>
        <w:rPr>
          <w:rStyle w:val="FontStyle30"/>
          <w:lang w:val="es-ES_tradnl" w:eastAsia="es-ES_tradnl"/>
        </w:rPr>
        <w:t xml:space="preserve">aplicación urgente, </w:t>
      </w:r>
      <w:r>
        <w:rPr>
          <w:rStyle w:val="FontStyle28"/>
          <w:lang w:val="es-ES_tradnl" w:eastAsia="es-ES_tradnl"/>
        </w:rPr>
        <w:t>por lo que quien actúa en ejercicio de la tutela, debe usarla en fo</w:t>
      </w:r>
      <w:r>
        <w:rPr>
          <w:rStyle w:val="FontStyle28"/>
          <w:lang w:val="es-ES_tradnl" w:eastAsia="es-ES_tradnl"/>
        </w:rPr>
        <w:t xml:space="preserve">rma oportuna. Significa lo dicho que el juez no está obligado a atender una petición cuando el afectado injustificadamente, por desidia o desinterés, ha dejado pasar el tiempo para elevarla, la </w:t>
      </w:r>
      <w:r>
        <w:rPr>
          <w:rStyle w:val="FontStyle28"/>
          <w:u w:val="single"/>
          <w:lang w:val="es-ES_tradnl" w:eastAsia="es-ES_tradnl"/>
        </w:rPr>
        <w:t>inmediatez es consustancial a la protección gue brinda la menc</w:t>
      </w:r>
      <w:r>
        <w:rPr>
          <w:rStyle w:val="FontStyle28"/>
          <w:u w:val="single"/>
          <w:lang w:val="es-ES_tradnl" w:eastAsia="es-ES_tradnl"/>
        </w:rPr>
        <w:t>ionada acción como</w:t>
      </w:r>
    </w:p>
    <w:p w:rsidR="00000000" w:rsidRDefault="00C03791">
      <w:pPr>
        <w:pStyle w:val="Style5"/>
        <w:widowControl/>
        <w:spacing w:line="240" w:lineRule="exact"/>
        <w:jc w:val="left"/>
        <w:rPr>
          <w:sz w:val="20"/>
          <w:szCs w:val="20"/>
        </w:rPr>
      </w:pPr>
    </w:p>
    <w:p w:rsidR="00000000" w:rsidRDefault="00C03791">
      <w:pPr>
        <w:pStyle w:val="Style5"/>
        <w:widowControl/>
        <w:spacing w:line="240" w:lineRule="exact"/>
        <w:jc w:val="left"/>
        <w:rPr>
          <w:sz w:val="20"/>
          <w:szCs w:val="20"/>
        </w:rPr>
      </w:pPr>
    </w:p>
    <w:p w:rsidR="00000000" w:rsidRDefault="00C03791">
      <w:pPr>
        <w:pStyle w:val="Style5"/>
        <w:widowControl/>
        <w:spacing w:line="240" w:lineRule="exact"/>
        <w:jc w:val="left"/>
        <w:rPr>
          <w:sz w:val="20"/>
          <w:szCs w:val="20"/>
        </w:rPr>
      </w:pPr>
    </w:p>
    <w:p w:rsidR="00000000" w:rsidRDefault="00C03791">
      <w:pPr>
        <w:pStyle w:val="Style5"/>
        <w:widowControl/>
        <w:tabs>
          <w:tab w:val="left" w:pos="112"/>
        </w:tabs>
        <w:spacing w:before="4"/>
        <w:jc w:val="left"/>
        <w:rPr>
          <w:rStyle w:val="FontStyle22"/>
          <w:lang w:val="es-ES_tradnl" w:eastAsia="es-ES_tradnl"/>
        </w:rPr>
      </w:pPr>
      <w:r>
        <w:rPr>
          <w:rStyle w:val="FontStyle22"/>
          <w:vertAlign w:val="superscript"/>
          <w:lang w:val="es-ES_tradnl" w:eastAsia="es-ES_tradnl"/>
        </w:rPr>
        <w:t>1</w:t>
      </w:r>
      <w:r>
        <w:rPr>
          <w:rStyle w:val="FontStyle22"/>
          <w:lang w:val="es-ES_tradnl" w:eastAsia="es-ES_tradnl"/>
        </w:rPr>
        <w:tab/>
        <w:t>CORTE CONSTITUCIONAL. Sentencia T-890 del 02-11-2006.</w:t>
      </w:r>
    </w:p>
    <w:p w:rsidR="00000000" w:rsidRDefault="00C03791">
      <w:pPr>
        <w:pStyle w:val="Style5"/>
        <w:widowControl/>
        <w:tabs>
          <w:tab w:val="left" w:pos="112"/>
        </w:tabs>
        <w:spacing w:before="29"/>
        <w:rPr>
          <w:rStyle w:val="FontStyle22"/>
          <w:lang w:val="es-ES_tradnl" w:eastAsia="es-ES_tradnl"/>
        </w:rPr>
      </w:pPr>
      <w:r>
        <w:rPr>
          <w:rStyle w:val="FontStyle22"/>
          <w:vertAlign w:val="superscript"/>
          <w:lang w:val="es-ES_tradnl" w:eastAsia="es-ES_tradnl"/>
        </w:rPr>
        <w:t>2</w:t>
      </w:r>
      <w:r>
        <w:rPr>
          <w:rStyle w:val="FontStyle22"/>
          <w:lang w:val="es-ES_tradnl" w:eastAsia="es-ES_tradnl"/>
        </w:rPr>
        <w:tab/>
        <w:t>CORTE SUPREMA DE JUSTICIA, Sala de Casación Civil. Sentencia del 09-03-2011, MP: William Namén Vargas.</w:t>
      </w:r>
    </w:p>
    <w:p w:rsidR="00000000" w:rsidRDefault="00C03791">
      <w:pPr>
        <w:pStyle w:val="Style4"/>
        <w:widowControl/>
        <w:spacing w:line="240" w:lineRule="exact"/>
        <w:ind w:left="5198"/>
        <w:rPr>
          <w:sz w:val="20"/>
          <w:szCs w:val="20"/>
        </w:rPr>
      </w:pPr>
    </w:p>
    <w:p w:rsidR="00000000" w:rsidRDefault="00C03791">
      <w:pPr>
        <w:pStyle w:val="Style4"/>
        <w:widowControl/>
        <w:spacing w:before="235"/>
        <w:ind w:left="5198"/>
        <w:rPr>
          <w:rStyle w:val="FontStyle24"/>
          <w:lang w:val="es-ES_tradnl" w:eastAsia="es-ES_tradnl"/>
        </w:rPr>
      </w:pPr>
      <w:r>
        <w:rPr>
          <w:rStyle w:val="FontStyle23"/>
          <w:lang w:val="es-ES_tradnl" w:eastAsia="es-ES_tradnl"/>
        </w:rPr>
        <w:lastRenderedPageBreak/>
        <w:t xml:space="preserve">Tfíib una </w:t>
      </w:r>
      <w:r>
        <w:rPr>
          <w:rStyle w:val="FontStyle23"/>
          <w:spacing w:val="-10"/>
          <w:lang w:val="es-ES_tradnl" w:eastAsia="es-ES_tradnl"/>
        </w:rPr>
        <w:t>l.</w:t>
      </w:r>
      <w:r>
        <w:rPr>
          <w:rStyle w:val="FontStyle23"/>
          <w:lang w:val="es-ES_tradnl" w:eastAsia="es-ES_tradnl"/>
        </w:rPr>
        <w:t xml:space="preserve"> </w:t>
      </w:r>
      <w:r>
        <w:rPr>
          <w:rStyle w:val="FontStyle23"/>
          <w:spacing w:val="-10"/>
          <w:lang w:val="es-ES_tradnl" w:eastAsia="es-ES_tradnl"/>
        </w:rPr>
        <w:t>S</w:t>
      </w:r>
      <w:r>
        <w:rPr>
          <w:rStyle w:val="FontStyle23"/>
          <w:lang w:val="es-ES_tradnl" w:eastAsia="es-ES_tradnl"/>
        </w:rPr>
        <w:t xml:space="preserve"> </w:t>
      </w:r>
      <w:r>
        <w:rPr>
          <w:rStyle w:val="FontStyle23"/>
          <w:spacing w:val="-10"/>
          <w:lang w:val="es-ES_tradnl" w:eastAsia="es-ES_tradnl"/>
        </w:rPr>
        <w:t>ljpefri</w:t>
      </w:r>
      <w:r>
        <w:rPr>
          <w:rStyle w:val="FontStyle23"/>
          <w:lang w:val="es-ES_tradnl" w:eastAsia="es-ES_tradnl"/>
        </w:rPr>
        <w:t xml:space="preserve"> </w:t>
      </w:r>
      <w:r>
        <w:rPr>
          <w:rStyle w:val="FontStyle23"/>
          <w:spacing w:val="-10"/>
          <w:lang w:val="es-ES_tradnl" w:eastAsia="es-ES_tradnl"/>
        </w:rPr>
        <w:t>o</w:t>
      </w:r>
      <w:r>
        <w:rPr>
          <w:rStyle w:val="FontStyle23"/>
          <w:lang w:val="es-ES_tradnl" w:eastAsia="es-ES_tradnl"/>
        </w:rPr>
        <w:t xml:space="preserve"> </w:t>
      </w:r>
      <w:r>
        <w:rPr>
          <w:rStyle w:val="FontStyle23"/>
          <w:spacing w:val="-10"/>
          <w:lang w:val="es-ES_tradnl" w:eastAsia="es-ES_tradnl"/>
        </w:rPr>
        <w:t>f?</w:t>
      </w:r>
      <w:r>
        <w:rPr>
          <w:rStyle w:val="FontStyle23"/>
          <w:lang w:val="es-ES_tradnl" w:eastAsia="es-ES_tradnl"/>
        </w:rPr>
        <w:t xml:space="preserve"> de P'e</w:t>
      </w:r>
      <w:r>
        <w:rPr>
          <w:rStyle w:val="FontStyle23"/>
          <w:spacing w:val="-10"/>
          <w:lang w:val="es-ES_tradnl" w:eastAsia="es-ES_tradnl"/>
        </w:rPr>
        <w:t>/=?ei</w:t>
      </w:r>
      <w:r>
        <w:rPr>
          <w:rStyle w:val="FontStyle23"/>
          <w:lang w:val="es-ES_tradnl" w:eastAsia="es-ES_tradnl"/>
        </w:rPr>
        <w:t xml:space="preserve"> </w:t>
      </w:r>
      <w:r>
        <w:rPr>
          <w:rStyle w:val="FontStyle24"/>
          <w:spacing w:val="0"/>
          <w:lang w:val="es-ES_tradnl" w:eastAsia="es-ES_tradnl"/>
        </w:rPr>
        <w:t xml:space="preserve">Ft/\ </w:t>
      </w:r>
      <w:r>
        <w:rPr>
          <w:rStyle w:val="FontStyle24"/>
          <w:lang w:val="es-ES_tradnl" w:eastAsia="es-ES_tradnl"/>
        </w:rPr>
        <w:t xml:space="preserve">M P Dtjtn </w:t>
      </w:r>
      <w:r>
        <w:rPr>
          <w:rStyle w:val="FontStyle24"/>
          <w:spacing w:val="0"/>
          <w:lang w:val="es-ES_tradnl" w:eastAsia="es-ES_tradnl"/>
        </w:rPr>
        <w:t>rmi</w:t>
      </w:r>
      <w:r>
        <w:rPr>
          <w:rStyle w:val="FontStyle24"/>
          <w:lang w:val="es-ES_tradnl" w:eastAsia="es-ES_tradnl"/>
        </w:rPr>
        <w:t xml:space="preserve"> </w:t>
      </w:r>
      <w:r>
        <w:rPr>
          <w:rStyle w:val="FontStyle29"/>
          <w:lang w:val="es-ES_tradnl" w:eastAsia="es-ES_tradnl"/>
        </w:rPr>
        <w:t xml:space="preserve">v  </w:t>
      </w:r>
      <w:r>
        <w:rPr>
          <w:rStyle w:val="FontStyle24"/>
          <w:spacing w:val="0"/>
          <w:lang w:val="es-ES_tradnl" w:eastAsia="es-ES_tradnl"/>
        </w:rPr>
        <w:t>G</w:t>
      </w:r>
      <w:r>
        <w:rPr>
          <w:rStyle w:val="FontStyle24"/>
          <w:lang w:val="es-ES_tradnl" w:eastAsia="es-ES_tradnl"/>
        </w:rPr>
        <w:t xml:space="preserve"> </w:t>
      </w:r>
      <w:r>
        <w:rPr>
          <w:rStyle w:val="FontStyle24"/>
          <w:spacing w:val="0"/>
          <w:lang w:val="es-ES_tradnl" w:eastAsia="es-ES_tradnl"/>
        </w:rPr>
        <w:t>i</w:t>
      </w:r>
      <w:r>
        <w:rPr>
          <w:rStyle w:val="FontStyle24"/>
          <w:lang w:val="es-ES_tradnl" w:eastAsia="es-ES_tradnl"/>
        </w:rPr>
        <w:t xml:space="preserve"> </w:t>
      </w:r>
      <w:r>
        <w:rPr>
          <w:rStyle w:val="FontStyle24"/>
          <w:spacing w:val="0"/>
          <w:lang w:val="es-ES_tradnl" w:eastAsia="es-ES_tradnl"/>
        </w:rPr>
        <w:t>¿t</w:t>
      </w:r>
      <w:r>
        <w:rPr>
          <w:rStyle w:val="FontStyle24"/>
          <w:lang w:val="es-ES_tradnl" w:eastAsia="es-ES_tradnl"/>
        </w:rPr>
        <w:t xml:space="preserve">    </w:t>
      </w:r>
      <w:r>
        <w:rPr>
          <w:rStyle w:val="FontStyle24"/>
          <w:lang w:val="es-ES_tradnl" w:eastAsia="es-ES_tradnl"/>
        </w:rPr>
        <w:t xml:space="preserve">   </w:t>
      </w:r>
      <w:r>
        <w:rPr>
          <w:rStyle w:val="FontStyle24"/>
          <w:spacing w:val="0"/>
          <w:lang w:val="es-ES_tradnl" w:eastAsia="es-ES_tradnl"/>
        </w:rPr>
        <w:t>u</w:t>
      </w:r>
      <w:r>
        <w:rPr>
          <w:rStyle w:val="FontStyle24"/>
          <w:lang w:val="es-ES_tradnl" w:eastAsia="es-ES_tradnl"/>
        </w:rPr>
        <w:t xml:space="preserve"> </w:t>
      </w:r>
      <w:r>
        <w:rPr>
          <w:rStyle w:val="FontStyle24"/>
          <w:spacing w:val="0"/>
          <w:lang w:val="es-ES_tradnl" w:eastAsia="es-ES_tradnl"/>
        </w:rPr>
        <w:t>i-</w:t>
      </w:r>
      <w:r>
        <w:rPr>
          <w:rStyle w:val="FontStyle24"/>
          <w:lang w:val="es-ES_tradnl" w:eastAsia="es-ES_tradnl"/>
        </w:rPr>
        <w:t xml:space="preserve"> </w:t>
      </w:r>
      <w:r>
        <w:rPr>
          <w:rStyle w:val="FontStyle29"/>
          <w:lang w:val="es-ES_tradnl" w:eastAsia="es-ES_tradnl"/>
        </w:rPr>
        <w:t xml:space="preserve">t: </w:t>
      </w:r>
      <w:r>
        <w:rPr>
          <w:rStyle w:val="FontStyle24"/>
          <w:spacing w:val="0"/>
          <w:lang w:val="es-ES_tradnl" w:eastAsia="es-ES_tradnl"/>
        </w:rPr>
        <w:t>h-i'</w:t>
      </w:r>
      <w:r>
        <w:rPr>
          <w:rStyle w:val="FontStyle24"/>
          <w:lang w:val="es-ES_tradnl" w:eastAsia="es-ES_tradnl"/>
        </w:rPr>
        <w:t xml:space="preserve"> </w:t>
      </w:r>
      <w:r>
        <w:rPr>
          <w:rStyle w:val="FontStyle24"/>
          <w:spacing w:val="0"/>
          <w:lang w:val="es-ES_tradnl" w:eastAsia="es-ES_tradnl"/>
        </w:rPr>
        <w:t>t=</w:t>
      </w:r>
      <w:r>
        <w:rPr>
          <w:rStyle w:val="FontStyle24"/>
          <w:lang w:val="es-ES_tradnl" w:eastAsia="es-ES_tradnl"/>
        </w:rPr>
        <w:t xml:space="preserve"> </w:t>
      </w:r>
      <w:r>
        <w:rPr>
          <w:rStyle w:val="FontStyle24"/>
          <w:spacing w:val="0"/>
          <w:lang w:val="es-ES_tradnl" w:eastAsia="es-ES_tradnl"/>
        </w:rPr>
        <w:t>r-t</w:t>
      </w:r>
      <w:r>
        <w:rPr>
          <w:rStyle w:val="FontStyle24"/>
          <w:lang w:val="es-ES_tradnl" w:eastAsia="es-ES_tradnl"/>
        </w:rPr>
        <w:t xml:space="preserve"> f-¡i:&gt;~t/\</w:t>
      </w:r>
    </w:p>
    <w:p w:rsidR="00000000" w:rsidRDefault="00C03791">
      <w:pPr>
        <w:pStyle w:val="Style4"/>
        <w:widowControl/>
        <w:spacing w:before="235"/>
        <w:ind w:left="5198"/>
        <w:rPr>
          <w:rStyle w:val="FontStyle24"/>
          <w:lang w:val="es-ES_tradnl" w:eastAsia="es-ES_tradnl"/>
        </w:rPr>
        <w:sectPr w:rsidR="00000000">
          <w:headerReference w:type="default" r:id="rId14"/>
          <w:headerReference w:type="first" r:id="rId15"/>
          <w:type w:val="continuous"/>
          <w:pgSz w:w="12240" w:h="18720"/>
          <w:pgMar w:top="625" w:right="1174" w:bottom="498" w:left="1620" w:header="720" w:footer="720" w:gutter="0"/>
          <w:cols w:space="60"/>
          <w:noEndnote/>
          <w:titlePg/>
        </w:sectPr>
      </w:pPr>
    </w:p>
    <w:p w:rsidR="00000000" w:rsidRDefault="00C03791">
      <w:pPr>
        <w:pStyle w:val="Style1"/>
        <w:widowControl/>
        <w:ind w:left="8035"/>
        <w:jc w:val="both"/>
        <w:rPr>
          <w:rStyle w:val="FontStyle36"/>
          <w:lang w:val="es-ES_tradnl" w:eastAsia="es-ES_tradnl"/>
        </w:rPr>
      </w:pPr>
      <w:r>
        <w:rPr>
          <w:rStyle w:val="FontStyle36"/>
          <w:lang w:val="es-ES_tradnl" w:eastAsia="es-ES_tradnl"/>
        </w:rPr>
        <w:lastRenderedPageBreak/>
        <w:t xml:space="preserve">P á g i n a </w:t>
      </w:r>
      <w:r>
        <w:rPr>
          <w:rStyle w:val="FontStyle26"/>
          <w:lang w:val="es-ES_tradnl" w:eastAsia="es-ES_tradnl"/>
        </w:rPr>
        <w:t xml:space="preserve">/ </w:t>
      </w:r>
      <w:r>
        <w:rPr>
          <w:rStyle w:val="FontStyle36"/>
          <w:lang w:val="es-ES_tradnl" w:eastAsia="es-ES_tradnl"/>
        </w:rPr>
        <w:t>2</w:t>
      </w:r>
    </w:p>
    <w:p w:rsidR="00000000" w:rsidRDefault="00C03791">
      <w:pPr>
        <w:pStyle w:val="Style6"/>
        <w:widowControl/>
        <w:spacing w:line="240" w:lineRule="exact"/>
        <w:rPr>
          <w:sz w:val="20"/>
          <w:szCs w:val="20"/>
        </w:rPr>
      </w:pPr>
    </w:p>
    <w:p w:rsidR="00000000" w:rsidRDefault="00C03791">
      <w:pPr>
        <w:pStyle w:val="Style6"/>
        <w:widowControl/>
        <w:spacing w:before="221" w:line="240" w:lineRule="auto"/>
        <w:rPr>
          <w:rStyle w:val="FontStyle28"/>
          <w:u w:val="single"/>
          <w:lang w:val="es-ES_tradnl" w:eastAsia="es-ES_tradnl"/>
        </w:rPr>
      </w:pPr>
      <w:r>
        <w:rPr>
          <w:rStyle w:val="FontStyle28"/>
          <w:u w:val="single"/>
          <w:lang w:val="es-ES_tradnl" w:eastAsia="es-ES_tradnl"/>
        </w:rPr>
        <w:t>defensa efectiva de los derechos fundamentales.</w:t>
      </w:r>
    </w:p>
    <w:p w:rsidR="00000000" w:rsidRDefault="00C03791">
      <w:pPr>
        <w:pStyle w:val="Style6"/>
        <w:widowControl/>
        <w:spacing w:line="240" w:lineRule="exact"/>
        <w:ind w:right="29"/>
        <w:rPr>
          <w:sz w:val="20"/>
          <w:szCs w:val="20"/>
        </w:rPr>
      </w:pPr>
    </w:p>
    <w:p w:rsidR="00000000" w:rsidRDefault="00C03791">
      <w:pPr>
        <w:pStyle w:val="Style6"/>
        <w:widowControl/>
        <w:spacing w:before="206" w:line="418" w:lineRule="exact"/>
        <w:ind w:right="29"/>
        <w:rPr>
          <w:rStyle w:val="FontStyle28"/>
          <w:lang w:val="es-ES_tradnl" w:eastAsia="es-ES_tradnl"/>
        </w:rPr>
      </w:pPr>
      <w:r>
        <w:rPr>
          <w:rStyle w:val="FontStyle28"/>
          <w:lang w:val="es-ES_tradnl" w:eastAsia="es-ES_tradnl"/>
        </w:rPr>
        <w:t>Oportuno resulta, evocar con relación a la prontitud que debe acompañar el reclamo para la protecció</w:t>
      </w:r>
      <w:r>
        <w:rPr>
          <w:rStyle w:val="FontStyle28"/>
          <w:lang w:val="es-ES_tradnl" w:eastAsia="es-ES_tradnl"/>
        </w:rPr>
        <w:t xml:space="preserve">n de los derechos, que la jurisprudencia de la Corte Interamericana de Derechos Humanos ha señalado que el transcurso de un lapso mayor a seis (6) meses para resolver amparos excede el principio de plazo razonable. Habida consideración de la significación </w:t>
      </w:r>
      <w:r>
        <w:rPr>
          <w:rStyle w:val="FontStyle28"/>
          <w:lang w:val="es-ES_tradnl" w:eastAsia="es-ES_tradnl"/>
        </w:rPr>
        <w:t xml:space="preserve">del principio de inmediatez, ha concluido en recientes decisiones nuestro Alto Tribunal, que la "OPORTUNIDAD", </w:t>
      </w:r>
      <w:r>
        <w:rPr>
          <w:rStyle w:val="FontStyle28"/>
          <w:u w:val="single"/>
          <w:lang w:val="es-ES_tradnl" w:eastAsia="es-ES_tradnl"/>
        </w:rPr>
        <w:t>es un requisito de procedibilidad esencial para el ejercicio del amparo constitucional</w:t>
      </w:r>
      <w:r>
        <w:rPr>
          <w:rStyle w:val="FontStyle28"/>
          <w:vertAlign w:val="superscript"/>
          <w:lang w:val="es-ES_tradnl" w:eastAsia="es-ES_tradnl"/>
        </w:rPr>
        <w:t>3</w:t>
      </w:r>
      <w:r>
        <w:rPr>
          <w:rStyle w:val="FontStyle28"/>
          <w:lang w:val="es-ES_tradnl" w:eastAsia="es-ES_tradnl"/>
        </w:rPr>
        <w:t>.</w:t>
      </w:r>
    </w:p>
    <w:p w:rsidR="00000000" w:rsidRDefault="00C03791">
      <w:pPr>
        <w:pStyle w:val="Style13"/>
        <w:widowControl/>
        <w:spacing w:line="240" w:lineRule="exact"/>
        <w:rPr>
          <w:sz w:val="20"/>
          <w:szCs w:val="20"/>
        </w:rPr>
      </w:pPr>
    </w:p>
    <w:p w:rsidR="00000000" w:rsidRDefault="00C03791">
      <w:pPr>
        <w:pStyle w:val="Style13"/>
        <w:widowControl/>
        <w:spacing w:before="206" w:line="396" w:lineRule="exact"/>
        <w:rPr>
          <w:rStyle w:val="FontStyle27"/>
          <w:lang w:val="es-ES_tradnl" w:eastAsia="es-ES_tradnl"/>
        </w:rPr>
      </w:pPr>
      <w:r>
        <w:rPr>
          <w:rStyle w:val="FontStyle28"/>
          <w:lang w:val="es-ES_tradnl" w:eastAsia="es-ES_tradnl"/>
        </w:rPr>
        <w:t>Y si de una interpretación teleológica se trata, cabe d</w:t>
      </w:r>
      <w:r>
        <w:rPr>
          <w:rStyle w:val="FontStyle28"/>
          <w:lang w:val="es-ES_tradnl" w:eastAsia="es-ES_tradnl"/>
        </w:rPr>
        <w:t>ecir que la lectura de la doctrina, permite advertir que la finalidad misma de este presupuesto, también llamado principio, apunta a resguardarla del abuso, así se discierne</w:t>
      </w:r>
      <w:r>
        <w:rPr>
          <w:rStyle w:val="FontStyle28"/>
          <w:vertAlign w:val="superscript"/>
          <w:lang w:val="es-ES_tradnl" w:eastAsia="es-ES_tradnl"/>
        </w:rPr>
        <w:t>4</w:t>
      </w:r>
      <w:r>
        <w:rPr>
          <w:rStyle w:val="FontStyle28"/>
          <w:lang w:val="es-ES_tradnl" w:eastAsia="es-ES_tradnl"/>
        </w:rPr>
        <w:t xml:space="preserve">: </w:t>
      </w:r>
      <w:r>
        <w:rPr>
          <w:rStyle w:val="FontStyle27"/>
          <w:lang w:val="es-ES_tradnl" w:eastAsia="es-ES_tradnl"/>
        </w:rPr>
        <w:t xml:space="preserve">"La Corte constitucional ha establecido en su jurisprudencia que esta exigencia </w:t>
      </w:r>
      <w:r>
        <w:rPr>
          <w:rStyle w:val="FontStyle27"/>
          <w:lang w:val="es-ES_tradnl" w:eastAsia="es-ES_tradnl"/>
        </w:rPr>
        <w:t>está encaminada a: i) proteger derechos de terceros que pueden verse vulnerados por una tutela ejercida en un plazo irrazonable</w:t>
      </w:r>
      <w:r>
        <w:rPr>
          <w:rStyle w:val="FontStyle27"/>
          <w:vertAlign w:val="superscript"/>
          <w:lang w:val="es-ES_tradnl" w:eastAsia="es-ES_tradnl"/>
        </w:rPr>
        <w:t>5</w:t>
      </w:r>
      <w:r>
        <w:rPr>
          <w:rStyle w:val="FontStyle27"/>
          <w:lang w:val="es-ES_tradnl" w:eastAsia="es-ES_tradnl"/>
        </w:rPr>
        <w:t>; ii) impedir que el amparo se convierta en factor de inseguridad jurídica</w:t>
      </w:r>
      <w:r>
        <w:rPr>
          <w:rStyle w:val="FontStyle27"/>
          <w:vertAlign w:val="superscript"/>
          <w:lang w:val="es-ES_tradnl" w:eastAsia="es-ES_tradnl"/>
        </w:rPr>
        <w:t>6</w:t>
      </w:r>
      <w:r>
        <w:rPr>
          <w:rStyle w:val="FontStyle27"/>
          <w:lang w:val="es-ES_tradnl" w:eastAsia="es-ES_tradnl"/>
        </w:rPr>
        <w:t>; y iii) evitar el uso de este mecanismo constitucion</w:t>
      </w:r>
      <w:r>
        <w:rPr>
          <w:rStyle w:val="FontStyle27"/>
          <w:lang w:val="es-ES_tradnl" w:eastAsia="es-ES_tradnl"/>
        </w:rPr>
        <w:t>al como herramienta supletiva de la propia negligencia en la agencia de los derechos</w:t>
      </w:r>
      <w:r>
        <w:rPr>
          <w:rStyle w:val="FontStyle27"/>
          <w:vertAlign w:val="superscript"/>
          <w:lang w:val="es-ES_tradnl" w:eastAsia="es-ES_tradnl"/>
        </w:rPr>
        <w:t>7</w:t>
      </w:r>
      <w:r>
        <w:rPr>
          <w:rStyle w:val="FontStyle27"/>
          <w:lang w:val="es-ES_tradnl" w:eastAsia="es-ES_tradnl"/>
        </w:rPr>
        <w:t>.".</w:t>
      </w:r>
    </w:p>
    <w:p w:rsidR="00000000" w:rsidRDefault="00C03791">
      <w:pPr>
        <w:pStyle w:val="Style6"/>
        <w:widowControl/>
        <w:spacing w:line="240" w:lineRule="exact"/>
        <w:rPr>
          <w:sz w:val="20"/>
          <w:szCs w:val="20"/>
        </w:rPr>
      </w:pPr>
    </w:p>
    <w:p w:rsidR="00000000" w:rsidRDefault="00C03791">
      <w:pPr>
        <w:pStyle w:val="Style6"/>
        <w:widowControl/>
        <w:spacing w:before="181" w:line="418" w:lineRule="exact"/>
        <w:rPr>
          <w:rStyle w:val="FontStyle28"/>
          <w:lang w:val="es-ES_tradnl" w:eastAsia="es-ES_tradnl"/>
        </w:rPr>
      </w:pPr>
      <w:r>
        <w:rPr>
          <w:rStyle w:val="FontStyle28"/>
          <w:lang w:val="es-ES_tradnl" w:eastAsia="es-ES_tradnl"/>
        </w:rPr>
        <w:t xml:space="preserve">Estimo que conforme a las sub-reglas prefijadas por vía de precedente judicial del órgano de cierre en la materia, si bien el plazo de seis (6) meses es un referente </w:t>
      </w:r>
      <w:r>
        <w:rPr>
          <w:rStyle w:val="FontStyle28"/>
          <w:lang w:val="es-ES_tradnl" w:eastAsia="es-ES_tradnl"/>
        </w:rPr>
        <w:t>genérico, lo que se tiene entendido es que siempre ha de hacerse una valoración particular y concreta de cada caso para escudriñar la justificación en la prolongación del término para acudir a los estrados judiciales en procura de un amparo. Explica la Cor</w:t>
      </w:r>
      <w:r>
        <w:rPr>
          <w:rStyle w:val="FontStyle28"/>
          <w:lang w:val="es-ES_tradnl" w:eastAsia="es-ES_tradnl"/>
        </w:rPr>
        <w:t>te Constitucional</w:t>
      </w:r>
      <w:r>
        <w:rPr>
          <w:rStyle w:val="FontStyle28"/>
          <w:vertAlign w:val="superscript"/>
          <w:lang w:val="es-ES_tradnl" w:eastAsia="es-ES_tradnl"/>
        </w:rPr>
        <w:t>8</w:t>
      </w:r>
      <w:r>
        <w:rPr>
          <w:rStyle w:val="FontStyle28"/>
          <w:lang w:val="es-ES_tradnl" w:eastAsia="es-ES_tradnl"/>
        </w:rPr>
        <w:t>, que ha de examinarse a luz de la razonabilidad y proporcionalidad:</w:t>
      </w:r>
    </w:p>
    <w:p w:rsidR="00000000" w:rsidRDefault="00C03791">
      <w:pPr>
        <w:pStyle w:val="Style14"/>
        <w:widowControl/>
        <w:spacing w:line="240" w:lineRule="exact"/>
        <w:ind w:left="587"/>
        <w:rPr>
          <w:sz w:val="20"/>
          <w:szCs w:val="20"/>
        </w:rPr>
      </w:pPr>
    </w:p>
    <w:p w:rsidR="00000000" w:rsidRDefault="00C03791">
      <w:pPr>
        <w:pStyle w:val="Style14"/>
        <w:widowControl/>
        <w:spacing w:line="240" w:lineRule="exact"/>
        <w:ind w:left="587"/>
        <w:rPr>
          <w:sz w:val="20"/>
          <w:szCs w:val="20"/>
        </w:rPr>
      </w:pPr>
    </w:p>
    <w:p w:rsidR="00000000" w:rsidRDefault="00C03791">
      <w:pPr>
        <w:pStyle w:val="Style14"/>
        <w:widowControl/>
        <w:tabs>
          <w:tab w:val="left" w:pos="1058"/>
        </w:tabs>
        <w:spacing w:before="46" w:line="277" w:lineRule="exact"/>
        <w:ind w:left="587"/>
        <w:rPr>
          <w:rStyle w:val="FontStyle28"/>
          <w:lang w:val="es-ES_tradnl" w:eastAsia="es-ES_tradnl"/>
        </w:rPr>
      </w:pPr>
      <w:r>
        <w:rPr>
          <w:rStyle w:val="FontStyle28"/>
          <w:lang w:val="es-ES_tradnl" w:eastAsia="es-ES_tradnl"/>
        </w:rPr>
        <w:t>3.9.</w:t>
      </w:r>
      <w:r>
        <w:rPr>
          <w:rStyle w:val="FontStyle28"/>
          <w:lang w:val="es-ES_tradnl" w:eastAsia="es-ES_tradnl"/>
        </w:rPr>
        <w:tab/>
        <w:t>Justamente, el principio de inmediatez se deriva de tal interpretación y se</w:t>
      </w:r>
      <w:r>
        <w:rPr>
          <w:rStyle w:val="FontStyle28"/>
          <w:lang w:val="es-ES_tradnl" w:eastAsia="es-ES_tradnl"/>
        </w:rPr>
        <w:br/>
        <w:t>refiere al tiempo dentro del cual es razonable ejercer la acción de tutela, para</w:t>
      </w:r>
      <w:r>
        <w:rPr>
          <w:rStyle w:val="FontStyle28"/>
          <w:lang w:val="es-ES_tradnl" w:eastAsia="es-ES_tradnl"/>
        </w:rPr>
        <w:br/>
        <w:t>abord</w:t>
      </w:r>
      <w:r>
        <w:rPr>
          <w:rStyle w:val="FontStyle28"/>
          <w:lang w:val="es-ES_tradnl" w:eastAsia="es-ES_tradnl"/>
        </w:rPr>
        <w:t>ar oportunamente la eventual concesión del amparo.</w:t>
      </w:r>
    </w:p>
    <w:p w:rsidR="00000000" w:rsidRDefault="00C03791">
      <w:pPr>
        <w:pStyle w:val="Style14"/>
        <w:widowControl/>
        <w:spacing w:line="240" w:lineRule="exact"/>
        <w:ind w:left="587"/>
        <w:rPr>
          <w:sz w:val="20"/>
          <w:szCs w:val="20"/>
        </w:rPr>
      </w:pPr>
    </w:p>
    <w:p w:rsidR="00000000" w:rsidRDefault="00C03791">
      <w:pPr>
        <w:pStyle w:val="Style14"/>
        <w:widowControl/>
        <w:tabs>
          <w:tab w:val="left" w:pos="1199"/>
        </w:tabs>
        <w:spacing w:before="34" w:line="274" w:lineRule="exact"/>
        <w:ind w:left="587"/>
        <w:rPr>
          <w:rStyle w:val="FontStyle28"/>
          <w:lang w:val="es-ES_tradnl" w:eastAsia="es-ES_tradnl"/>
        </w:rPr>
      </w:pPr>
      <w:r>
        <w:rPr>
          <w:rStyle w:val="FontStyle28"/>
          <w:lang w:val="es-ES_tradnl" w:eastAsia="es-ES_tradnl"/>
        </w:rPr>
        <w:t>3.10.</w:t>
      </w:r>
      <w:r>
        <w:rPr>
          <w:rStyle w:val="FontStyle28"/>
          <w:lang w:val="es-ES_tradnl" w:eastAsia="es-ES_tradnl"/>
        </w:rPr>
        <w:tab/>
        <w:t>Conforme a la declaración de inexequibilidad del Artículo 11 del Decreto</w:t>
      </w:r>
      <w:r>
        <w:rPr>
          <w:rStyle w:val="FontStyle28"/>
          <w:lang w:val="es-ES_tradnl" w:eastAsia="es-ES_tradnl"/>
        </w:rPr>
        <w:br/>
        <w:t>2591 de 1991</w:t>
      </w:r>
      <w:r>
        <w:rPr>
          <w:rStyle w:val="FontStyle28"/>
          <w:vertAlign w:val="superscript"/>
          <w:lang w:val="es-ES_tradnl" w:eastAsia="es-ES_tradnl"/>
        </w:rPr>
        <w:t>9</w:t>
      </w:r>
      <w:r>
        <w:rPr>
          <w:rStyle w:val="FontStyle28"/>
          <w:lang w:val="es-ES_tradnl" w:eastAsia="es-ES_tradnl"/>
        </w:rPr>
        <w:t>, la jurisprudencia de la Corte ha establecido que si bien puede</w:t>
      </w:r>
      <w:r>
        <w:rPr>
          <w:rStyle w:val="FontStyle28"/>
          <w:lang w:val="es-ES_tradnl" w:eastAsia="es-ES_tradnl"/>
        </w:rPr>
        <w:br/>
        <w:t>ejercerse la acción de tutela en cualquier mome</w:t>
      </w:r>
      <w:r>
        <w:rPr>
          <w:rStyle w:val="FontStyle28"/>
          <w:lang w:val="es-ES_tradnl" w:eastAsia="es-ES_tradnl"/>
        </w:rPr>
        <w:t>nto, ello no significa que el</w:t>
      </w:r>
      <w:r>
        <w:rPr>
          <w:rStyle w:val="FontStyle28"/>
          <w:lang w:val="es-ES_tradnl" w:eastAsia="es-ES_tradnl"/>
        </w:rPr>
        <w:br/>
        <w:t>amparo proceda con completa independencia del transcurso del tiempo para</w:t>
      </w:r>
      <w:r>
        <w:rPr>
          <w:rStyle w:val="FontStyle28"/>
          <w:lang w:val="es-ES_tradnl" w:eastAsia="es-ES_tradnl"/>
        </w:rPr>
        <w:br/>
        <w:t>presentar la petición. Particularmente, la tutela deviene improcedente cuando</w:t>
      </w:r>
    </w:p>
    <w:p w:rsidR="00000000" w:rsidRDefault="00C03791">
      <w:pPr>
        <w:pStyle w:val="Style5"/>
        <w:widowControl/>
        <w:spacing w:line="240" w:lineRule="exact"/>
        <w:jc w:val="left"/>
        <w:rPr>
          <w:sz w:val="20"/>
          <w:szCs w:val="20"/>
        </w:rPr>
      </w:pPr>
    </w:p>
    <w:p w:rsidR="00000000" w:rsidRDefault="00C03791">
      <w:pPr>
        <w:pStyle w:val="Style5"/>
        <w:widowControl/>
        <w:tabs>
          <w:tab w:val="left" w:pos="119"/>
        </w:tabs>
        <w:spacing w:before="70" w:line="241" w:lineRule="exact"/>
        <w:jc w:val="left"/>
        <w:rPr>
          <w:rStyle w:val="FontStyle22"/>
          <w:lang w:val="es-ES_tradnl" w:eastAsia="es-ES_tradnl"/>
        </w:rPr>
      </w:pPr>
      <w:r>
        <w:rPr>
          <w:rStyle w:val="FontStyle22"/>
          <w:vertAlign w:val="superscript"/>
          <w:lang w:val="es-ES_tradnl" w:eastAsia="es-ES_tradnl"/>
        </w:rPr>
        <w:t>3</w:t>
      </w:r>
      <w:r>
        <w:rPr>
          <w:rStyle w:val="FontStyle22"/>
          <w:lang w:val="es-ES_tradnl" w:eastAsia="es-ES_tradnl"/>
        </w:rPr>
        <w:tab/>
        <w:t>CORTE CONSTITUCIONAL. Sentencia T-1079 del 05-11-2008.</w:t>
      </w:r>
    </w:p>
    <w:p w:rsidR="00000000" w:rsidRDefault="00C03791">
      <w:pPr>
        <w:pStyle w:val="Style5"/>
        <w:widowControl/>
        <w:tabs>
          <w:tab w:val="left" w:pos="119"/>
        </w:tabs>
        <w:spacing w:line="241" w:lineRule="exact"/>
        <w:jc w:val="left"/>
        <w:rPr>
          <w:rStyle w:val="FontStyle22"/>
          <w:lang w:val="es-ES_tradnl" w:eastAsia="es-ES_tradnl"/>
        </w:rPr>
      </w:pPr>
      <w:r>
        <w:rPr>
          <w:rStyle w:val="FontStyle22"/>
          <w:vertAlign w:val="superscript"/>
          <w:lang w:val="es-ES_tradnl" w:eastAsia="es-ES_tradnl"/>
        </w:rPr>
        <w:t>4</w:t>
      </w:r>
      <w:r>
        <w:rPr>
          <w:rStyle w:val="FontStyle22"/>
          <w:lang w:val="es-ES_tradnl" w:eastAsia="es-ES_tradnl"/>
        </w:rPr>
        <w:tab/>
      </w:r>
      <w:r>
        <w:rPr>
          <w:rStyle w:val="FontStyle22"/>
          <w:lang w:val="es-ES_tradnl" w:eastAsia="es-ES_tradnl"/>
        </w:rPr>
        <w:t>CORTE CONSTITUCIONAL Sentencia T-217 del 2013.</w:t>
      </w:r>
    </w:p>
    <w:p w:rsidR="00000000" w:rsidRDefault="00C03791">
      <w:pPr>
        <w:pStyle w:val="Style5"/>
        <w:widowControl/>
        <w:tabs>
          <w:tab w:val="left" w:pos="119"/>
        </w:tabs>
        <w:spacing w:line="241" w:lineRule="exact"/>
        <w:rPr>
          <w:rStyle w:val="FontStyle22"/>
          <w:lang w:val="es-ES_tradnl" w:eastAsia="es-ES_tradnl"/>
        </w:rPr>
      </w:pPr>
      <w:r>
        <w:rPr>
          <w:rStyle w:val="FontStyle22"/>
          <w:vertAlign w:val="superscript"/>
          <w:lang w:val="es-ES_tradnl" w:eastAsia="es-ES_tradnl"/>
        </w:rPr>
        <w:t>5</w:t>
      </w:r>
      <w:r>
        <w:rPr>
          <w:rStyle w:val="FontStyle22"/>
          <w:lang w:val="es-ES_tradnl" w:eastAsia="es-ES_tradnl"/>
        </w:rPr>
        <w:tab/>
        <w:t>Sentencias T-016 de 2006, T-158 de 2006, T-654 de 2006, T-890 de 2006, T-905 de 2006, T-1084 de 2006, T-1009 de 2006, T-792 de 2007, T-594 de 2008 entre otras.</w:t>
      </w:r>
    </w:p>
    <w:p w:rsidR="00000000" w:rsidRDefault="00C03791">
      <w:pPr>
        <w:pStyle w:val="Style5"/>
        <w:widowControl/>
        <w:tabs>
          <w:tab w:val="left" w:pos="119"/>
        </w:tabs>
        <w:spacing w:line="241" w:lineRule="exact"/>
        <w:rPr>
          <w:rStyle w:val="FontStyle22"/>
          <w:lang w:val="es-ES_tradnl" w:eastAsia="es-ES_tradnl"/>
        </w:rPr>
      </w:pPr>
      <w:r>
        <w:rPr>
          <w:rStyle w:val="FontStyle22"/>
          <w:vertAlign w:val="superscript"/>
          <w:lang w:val="es-ES_tradnl" w:eastAsia="es-ES_tradnl"/>
        </w:rPr>
        <w:t>6</w:t>
      </w:r>
      <w:r>
        <w:rPr>
          <w:rStyle w:val="FontStyle22"/>
          <w:lang w:val="es-ES_tradnl" w:eastAsia="es-ES_tradnl"/>
        </w:rPr>
        <w:tab/>
        <w:t>Sentencias T-526 de 2005, T-016 de 2006, T-15</w:t>
      </w:r>
      <w:r>
        <w:rPr>
          <w:rStyle w:val="FontStyle22"/>
          <w:lang w:val="es-ES_tradnl" w:eastAsia="es-ES_tradnl"/>
        </w:rPr>
        <w:t>8 de 2006, T-692 de 2006, T-890 de 2006, T-905 de 2006, T-1009 de 2006, T-1084 de 2006, T-825 de 2007, T-299 de 2009, T-691 de 2009 y T-883 de 2009, entre otras.</w:t>
      </w:r>
    </w:p>
    <w:p w:rsidR="00000000" w:rsidRDefault="00C03791">
      <w:pPr>
        <w:pStyle w:val="Style5"/>
        <w:widowControl/>
        <w:tabs>
          <w:tab w:val="left" w:pos="119"/>
        </w:tabs>
        <w:spacing w:line="241" w:lineRule="exact"/>
        <w:rPr>
          <w:rStyle w:val="FontStyle22"/>
          <w:lang w:val="es-ES_tradnl" w:eastAsia="es-ES_tradnl"/>
        </w:rPr>
      </w:pPr>
      <w:r>
        <w:rPr>
          <w:rStyle w:val="FontStyle22"/>
          <w:vertAlign w:val="superscript"/>
          <w:lang w:val="es-ES_tradnl" w:eastAsia="es-ES_tradnl"/>
        </w:rPr>
        <w:t>7</w:t>
      </w:r>
      <w:r>
        <w:rPr>
          <w:rStyle w:val="FontStyle22"/>
          <w:lang w:val="es-ES_tradnl" w:eastAsia="es-ES_tradnl"/>
        </w:rPr>
        <w:tab/>
        <w:t xml:space="preserve">Sentencia T-594 de 2008. En el mismo sentido sentencias T-526 de 2005, T-016 de 2006, T-692 </w:t>
      </w:r>
      <w:r>
        <w:rPr>
          <w:rStyle w:val="FontStyle22"/>
          <w:lang w:val="es-ES_tradnl" w:eastAsia="es-ES_tradnl"/>
        </w:rPr>
        <w:t>de 2006, T-1009 de 2006, T-299 de 2009, T-691 de 2009, T-883 de 2009, entre otras.</w:t>
      </w:r>
    </w:p>
    <w:p w:rsidR="00000000" w:rsidRDefault="00C03791">
      <w:pPr>
        <w:pStyle w:val="Style5"/>
        <w:widowControl/>
        <w:tabs>
          <w:tab w:val="left" w:pos="119"/>
        </w:tabs>
        <w:spacing w:line="241" w:lineRule="exact"/>
        <w:jc w:val="left"/>
        <w:rPr>
          <w:rStyle w:val="FontStyle22"/>
          <w:lang w:val="es-ES_tradnl" w:eastAsia="es-ES_tradnl"/>
        </w:rPr>
      </w:pPr>
      <w:r>
        <w:rPr>
          <w:rStyle w:val="FontStyle22"/>
          <w:vertAlign w:val="superscript"/>
          <w:lang w:val="es-ES_tradnl" w:eastAsia="es-ES_tradnl"/>
        </w:rPr>
        <w:t>8</w:t>
      </w:r>
      <w:r>
        <w:rPr>
          <w:rStyle w:val="FontStyle22"/>
          <w:lang w:val="es-ES_tradnl" w:eastAsia="es-ES_tradnl"/>
        </w:rPr>
        <w:tab/>
        <w:t>CORTE CONSTITUCIONAL. Sentencia del 19-03-2013.</w:t>
      </w:r>
    </w:p>
    <w:p w:rsidR="00000000" w:rsidRDefault="00C03791">
      <w:pPr>
        <w:pStyle w:val="Style5"/>
        <w:widowControl/>
        <w:tabs>
          <w:tab w:val="left" w:pos="119"/>
        </w:tabs>
        <w:spacing w:line="241" w:lineRule="exact"/>
        <w:jc w:val="left"/>
        <w:rPr>
          <w:rStyle w:val="FontStyle22"/>
          <w:lang w:val="es-ES_tradnl" w:eastAsia="es-ES_tradnl"/>
        </w:rPr>
      </w:pPr>
      <w:r>
        <w:rPr>
          <w:rStyle w:val="FontStyle22"/>
          <w:vertAlign w:val="superscript"/>
          <w:lang w:val="es-ES_tradnl" w:eastAsia="es-ES_tradnl"/>
        </w:rPr>
        <w:t>9</w:t>
      </w:r>
      <w:r>
        <w:rPr>
          <w:rStyle w:val="FontStyle22"/>
          <w:lang w:val="es-ES_tradnl" w:eastAsia="es-ES_tradnl"/>
        </w:rPr>
        <w:tab/>
        <w:t>Ver SentenciaT-1033 de 2010, C-543 del 01-10-1992.</w:t>
      </w:r>
    </w:p>
    <w:p w:rsidR="00000000" w:rsidRDefault="00C03791">
      <w:pPr>
        <w:pStyle w:val="Style15"/>
        <w:widowControl/>
        <w:spacing w:line="240" w:lineRule="exact"/>
        <w:ind w:left="5386"/>
        <w:rPr>
          <w:sz w:val="20"/>
          <w:szCs w:val="20"/>
        </w:rPr>
      </w:pPr>
    </w:p>
    <w:p w:rsidR="00000000" w:rsidRDefault="00C03791">
      <w:pPr>
        <w:pStyle w:val="Style15"/>
        <w:widowControl/>
        <w:spacing w:before="228"/>
        <w:ind w:left="5386"/>
        <w:rPr>
          <w:rStyle w:val="FontStyle29"/>
          <w:lang w:val="es-ES_tradnl" w:eastAsia="es-ES_tradnl"/>
        </w:rPr>
      </w:pPr>
      <w:r>
        <w:rPr>
          <w:rStyle w:val="FontStyle23"/>
          <w:lang w:val="es-ES_tradnl" w:eastAsia="es-ES_tradnl"/>
        </w:rPr>
        <w:lastRenderedPageBreak/>
        <w:t xml:space="preserve">tribunal.  </w:t>
      </w:r>
      <w:r>
        <w:rPr>
          <w:rStyle w:val="FontStyle39"/>
          <w:spacing w:val="-10"/>
          <w:lang w:val="es-ES_tradnl" w:eastAsia="es-ES_tradnl"/>
        </w:rPr>
        <w:t>-S</w:t>
      </w:r>
      <w:r>
        <w:rPr>
          <w:rStyle w:val="FontStyle39"/>
          <w:lang w:val="es-ES_tradnl" w:eastAsia="es-ES_tradnl"/>
        </w:rPr>
        <w:t xml:space="preserve"> </w:t>
      </w:r>
      <w:r>
        <w:rPr>
          <w:rStyle w:val="FontStyle23"/>
          <w:lang w:val="es-ES_tradnl" w:eastAsia="es-ES_tradnl"/>
        </w:rPr>
        <w:t xml:space="preserve">u </w:t>
      </w:r>
      <w:r>
        <w:rPr>
          <w:rStyle w:val="FontStyle23"/>
          <w:spacing w:val="-10"/>
          <w:lang w:val="es-ES_tradnl" w:eastAsia="es-ES_tradnl"/>
        </w:rPr>
        <w:t>f&gt;</w:t>
      </w:r>
      <w:r>
        <w:rPr>
          <w:rStyle w:val="FontStyle23"/>
          <w:lang w:val="es-ES_tradnl" w:eastAsia="es-ES_tradnl"/>
        </w:rPr>
        <w:t xml:space="preserve"> </w:t>
      </w:r>
      <w:r>
        <w:rPr>
          <w:rStyle w:val="FontStyle23"/>
          <w:spacing w:val="-10"/>
          <w:lang w:val="es-ES_tradnl" w:eastAsia="es-ES_tradnl"/>
        </w:rPr>
        <w:t>e</w:t>
      </w:r>
      <w:r>
        <w:rPr>
          <w:rStyle w:val="FontStyle23"/>
          <w:lang w:val="es-ES_tradnl" w:eastAsia="es-ES_tradnl"/>
        </w:rPr>
        <w:t xml:space="preserve"> </w:t>
      </w:r>
      <w:r>
        <w:rPr>
          <w:rStyle w:val="FontStyle23"/>
          <w:spacing w:val="-10"/>
          <w:lang w:val="es-ES_tradnl" w:eastAsia="es-ES_tradnl"/>
        </w:rPr>
        <w:t>fr</w:t>
      </w:r>
      <w:r>
        <w:rPr>
          <w:rStyle w:val="FontStyle23"/>
          <w:lang w:val="es-ES_tradnl" w:eastAsia="es-ES_tradnl"/>
        </w:rPr>
        <w:t xml:space="preserve"> </w:t>
      </w:r>
      <w:r>
        <w:rPr>
          <w:rStyle w:val="FontStyle23"/>
          <w:spacing w:val="-10"/>
          <w:lang w:val="es-ES_tradnl" w:eastAsia="es-ES_tradnl"/>
        </w:rPr>
        <w:t>i</w:t>
      </w:r>
      <w:r>
        <w:rPr>
          <w:rStyle w:val="FontStyle23"/>
          <w:lang w:val="es-ES_tradnl" w:eastAsia="es-ES_tradnl"/>
        </w:rPr>
        <w:t xml:space="preserve"> </w:t>
      </w:r>
      <w:r>
        <w:rPr>
          <w:rStyle w:val="FontStyle38"/>
          <w:spacing w:val="-10"/>
          <w:lang w:val="es-ES_tradnl" w:eastAsia="es-ES_tradnl"/>
        </w:rPr>
        <w:t>o</w:t>
      </w:r>
      <w:r>
        <w:rPr>
          <w:rStyle w:val="FontStyle38"/>
          <w:lang w:val="es-ES_tradnl" w:eastAsia="es-ES_tradnl"/>
        </w:rPr>
        <w:t xml:space="preserve"> </w:t>
      </w:r>
      <w:r>
        <w:rPr>
          <w:rStyle w:val="FontStyle23"/>
          <w:spacing w:val="-10"/>
          <w:lang w:val="es-ES_tradnl" w:eastAsia="es-ES_tradnl"/>
        </w:rPr>
        <w:t>f?</w:t>
      </w:r>
      <w:r>
        <w:rPr>
          <w:rStyle w:val="FontStyle23"/>
          <w:lang w:val="es-ES_tradnl" w:eastAsia="es-ES_tradnl"/>
        </w:rPr>
        <w:t xml:space="preserve"> de Pe </w:t>
      </w:r>
      <w:r>
        <w:rPr>
          <w:rStyle w:val="FontStyle23"/>
          <w:spacing w:val="-10"/>
          <w:lang w:val="es-ES_tradnl" w:eastAsia="es-ES_tradnl"/>
        </w:rPr>
        <w:t>/=?</w:t>
      </w:r>
      <w:r>
        <w:rPr>
          <w:rStyle w:val="FontStyle23"/>
          <w:lang w:val="es-ES_tradnl" w:eastAsia="es-ES_tradnl"/>
        </w:rPr>
        <w:t xml:space="preserve"> </w:t>
      </w:r>
      <w:r>
        <w:rPr>
          <w:rStyle w:val="FontStyle23"/>
          <w:spacing w:val="-10"/>
          <w:lang w:val="es-ES_tradnl" w:eastAsia="es-ES_tradnl"/>
        </w:rPr>
        <w:t>ei</w:t>
      </w:r>
      <w:r>
        <w:rPr>
          <w:rStyle w:val="FontStyle23"/>
          <w:lang w:val="es-ES_tradnl" w:eastAsia="es-ES_tradnl"/>
        </w:rPr>
        <w:t xml:space="preserve"> </w:t>
      </w:r>
      <w:r>
        <w:rPr>
          <w:rStyle w:val="FontStyle23"/>
          <w:spacing w:val="-10"/>
          <w:lang w:val="es-ES_tradnl" w:eastAsia="es-ES_tradnl"/>
        </w:rPr>
        <w:t xml:space="preserve">fia </w:t>
      </w:r>
      <w:r>
        <w:rPr>
          <w:rStyle w:val="FontStyle23"/>
          <w:lang w:val="es-ES_tradnl" w:eastAsia="es-ES_tradnl"/>
        </w:rPr>
        <w:t xml:space="preserve">mf&gt; </w:t>
      </w:r>
      <w:r>
        <w:rPr>
          <w:rStyle w:val="FontStyle24"/>
          <w:lang w:val="es-ES_tradnl" w:eastAsia="es-ES_tradnl"/>
        </w:rPr>
        <w:t xml:space="preserve">D Util i </w:t>
      </w:r>
      <w:r>
        <w:rPr>
          <w:rStyle w:val="FontStyle24"/>
          <w:spacing w:val="0"/>
          <w:lang w:val="es-ES_tradnl" w:eastAsia="es-ES_tradnl"/>
        </w:rPr>
        <w:t>-ti\i</w:t>
      </w:r>
      <w:r>
        <w:rPr>
          <w:rStyle w:val="FontStyle24"/>
          <w:lang w:val="es-ES_tradnl" w:eastAsia="es-ES_tradnl"/>
        </w:rPr>
        <w:t xml:space="preserve"> i </w:t>
      </w:r>
      <w:r>
        <w:rPr>
          <w:rStyle w:val="FontStyle29"/>
          <w:lang w:val="es-ES_tradnl" w:eastAsia="es-ES_tradnl"/>
        </w:rPr>
        <w:t xml:space="preserve">v </w:t>
      </w:r>
      <w:r>
        <w:rPr>
          <w:rStyle w:val="FontStyle24"/>
          <w:lang w:val="es-ES_tradnl" w:eastAsia="es-ES_tradnl"/>
        </w:rPr>
        <w:t xml:space="preserve">G i¿i       i i </w:t>
      </w:r>
      <w:r>
        <w:rPr>
          <w:rStyle w:val="FontStyle29"/>
          <w:lang w:val="es-ES_tradnl" w:eastAsia="es-ES_tradnl"/>
        </w:rPr>
        <w:t>&gt;; /-//3/vf?cr/=?x\</w:t>
      </w:r>
    </w:p>
    <w:p w:rsidR="00000000" w:rsidRDefault="00C03791">
      <w:pPr>
        <w:pStyle w:val="Style15"/>
        <w:widowControl/>
        <w:spacing w:before="228"/>
        <w:ind w:left="5386"/>
        <w:rPr>
          <w:rStyle w:val="FontStyle29"/>
          <w:lang w:val="es-ES_tradnl" w:eastAsia="es-ES_tradnl"/>
        </w:rPr>
        <w:sectPr w:rsidR="00000000">
          <w:pgSz w:w="12240" w:h="18720"/>
          <w:pgMar w:top="527" w:right="1652" w:bottom="639" w:left="1163" w:header="720" w:footer="720" w:gutter="0"/>
          <w:cols w:space="60"/>
          <w:noEndnote/>
        </w:sectPr>
      </w:pPr>
    </w:p>
    <w:p w:rsidR="00000000" w:rsidRDefault="00C03791">
      <w:pPr>
        <w:pStyle w:val="Style12"/>
        <w:widowControl/>
        <w:spacing w:line="277" w:lineRule="exact"/>
        <w:ind w:left="1519"/>
        <w:rPr>
          <w:rStyle w:val="FontStyle28"/>
          <w:lang w:val="es-ES_tradnl" w:eastAsia="es-ES_tradnl"/>
        </w:rPr>
      </w:pPr>
      <w:r>
        <w:rPr>
          <w:rStyle w:val="FontStyle28"/>
          <w:lang w:val="es-ES_tradnl" w:eastAsia="es-ES_tradnl"/>
        </w:rPr>
        <w:lastRenderedPageBreak/>
        <w:t>la demanda se interpone después de transcurrido un lapso injustificadamente extenso, desde la fecha en que sucedieron los hechos o viene presentá</w:t>
      </w:r>
      <w:r>
        <w:rPr>
          <w:rStyle w:val="FontStyle28"/>
          <w:lang w:val="es-ES_tradnl" w:eastAsia="es-ES_tradnl"/>
        </w:rPr>
        <w:t>ndose la vulneración o el riesgo contra los derechos fundamentales.</w:t>
      </w:r>
    </w:p>
    <w:p w:rsidR="00000000" w:rsidRDefault="00C03791">
      <w:pPr>
        <w:pStyle w:val="Style6"/>
        <w:widowControl/>
        <w:spacing w:line="240" w:lineRule="exact"/>
        <w:jc w:val="left"/>
        <w:rPr>
          <w:sz w:val="20"/>
          <w:szCs w:val="20"/>
        </w:rPr>
      </w:pPr>
    </w:p>
    <w:p w:rsidR="00000000" w:rsidRDefault="00C03791">
      <w:pPr>
        <w:pStyle w:val="Style6"/>
        <w:widowControl/>
        <w:tabs>
          <w:tab w:val="left" w:pos="1519"/>
        </w:tabs>
        <w:spacing w:before="37" w:line="277" w:lineRule="exact"/>
        <w:jc w:val="left"/>
        <w:rPr>
          <w:rStyle w:val="FontStyle28"/>
          <w:u w:val="single"/>
          <w:lang w:val="es-ES_tradnl" w:eastAsia="es-ES_tradnl"/>
        </w:rPr>
      </w:pPr>
      <w:r>
        <w:rPr>
          <w:rStyle w:val="FontStyle28"/>
          <w:lang w:val="es-ES_tradnl" w:eastAsia="es-ES_tradnl"/>
        </w:rPr>
        <w:t>&gt;</w:t>
      </w:r>
      <w:r>
        <w:rPr>
          <w:rStyle w:val="FontStyle28"/>
          <w:lang w:val="es-ES_tradnl" w:eastAsia="es-ES_tradnl"/>
        </w:rPr>
        <w:tab/>
        <w:t xml:space="preserve">3.11. De ahí, que </w:t>
      </w:r>
      <w:r>
        <w:rPr>
          <w:rStyle w:val="FontStyle28"/>
          <w:u w:val="single"/>
          <w:lang w:val="es-ES_tradnl" w:eastAsia="es-ES_tradnl"/>
        </w:rPr>
        <w:t>el examen de inmediatez deba consultar la justificación y la</w:t>
      </w:r>
    </w:p>
    <w:p w:rsidR="00000000" w:rsidRDefault="00C03791">
      <w:pPr>
        <w:pStyle w:val="Style12"/>
        <w:widowControl/>
        <w:spacing w:line="277" w:lineRule="exact"/>
        <w:ind w:left="1512"/>
        <w:rPr>
          <w:rStyle w:val="FontStyle28"/>
          <w:lang w:val="es-ES_tradnl" w:eastAsia="es-ES_tradnl"/>
        </w:rPr>
      </w:pPr>
      <w:r>
        <w:rPr>
          <w:rStyle w:val="FontStyle28"/>
          <w:u w:val="single"/>
          <w:lang w:val="es-ES_tradnl" w:eastAsia="es-ES_tradnl"/>
        </w:rPr>
        <w:t>razonabilidad del tiempo desatendido por el accionante, pues no será lo mismo que demore la presentació</w:t>
      </w:r>
      <w:r>
        <w:rPr>
          <w:rStyle w:val="FontStyle28"/>
          <w:u w:val="single"/>
          <w:lang w:val="es-ES_tradnl" w:eastAsia="es-ES_tradnl"/>
        </w:rPr>
        <w:t>n de la tutela porque procure agotar cierta actividad administrativa ante la entidad, tendiente a obtener la protección de sus derechos,</w:t>
      </w:r>
      <w:r>
        <w:rPr>
          <w:rStyle w:val="FontStyle28"/>
          <w:lang w:val="es-ES_tradnl" w:eastAsia="es-ES_tradnl"/>
        </w:rPr>
        <w:t xml:space="preserve"> </w:t>
      </w:r>
      <w:r>
        <w:rPr>
          <w:rStyle w:val="FontStyle30"/>
          <w:lang w:val="es-ES_tradnl" w:eastAsia="es-ES_tradnl"/>
        </w:rPr>
        <w:t xml:space="preserve">a que se mantenga impávido por todo el tiempo entre el acaecer conculcador y la petición de amparo </w:t>
      </w:r>
      <w:r>
        <w:rPr>
          <w:rStyle w:val="FontStyle28"/>
          <w:lang w:val="es-ES_tradnl" w:eastAsia="es-ES_tradnl"/>
        </w:rPr>
        <w:t>De igual forma, la j</w:t>
      </w:r>
      <w:r>
        <w:rPr>
          <w:rStyle w:val="FontStyle28"/>
          <w:lang w:val="es-ES_tradnl" w:eastAsia="es-ES_tradnl"/>
        </w:rPr>
        <w:t>urisprudencia de esta Corporación ha flexibilizado este requisito en consideración a otros elementos, por ejemplo cuando el afectado pertenece a un grupo de especial protección constitucional.</w:t>
      </w:r>
      <w:r>
        <w:rPr>
          <w:rStyle w:val="FontStyle28"/>
          <w:vertAlign w:val="superscript"/>
          <w:lang w:val="es-ES_tradnl" w:eastAsia="es-ES_tradnl"/>
        </w:rPr>
        <w:t>10</w:t>
      </w:r>
      <w:r>
        <w:rPr>
          <w:rStyle w:val="FontStyle28"/>
          <w:lang w:val="es-ES_tradnl" w:eastAsia="es-ES_tradnl"/>
        </w:rPr>
        <w:t xml:space="preserve"> La sublínea y la negrilla, son ajenas al texto original.</w:t>
      </w:r>
    </w:p>
    <w:p w:rsidR="00000000" w:rsidRDefault="00C03791">
      <w:pPr>
        <w:pStyle w:val="Style6"/>
        <w:widowControl/>
        <w:spacing w:line="240" w:lineRule="exact"/>
        <w:ind w:left="943"/>
        <w:rPr>
          <w:sz w:val="20"/>
          <w:szCs w:val="20"/>
        </w:rPr>
      </w:pPr>
    </w:p>
    <w:p w:rsidR="00000000" w:rsidRDefault="00C03791">
      <w:pPr>
        <w:pStyle w:val="Style6"/>
        <w:widowControl/>
        <w:spacing w:before="73" w:line="414" w:lineRule="exact"/>
        <w:ind w:left="943"/>
        <w:rPr>
          <w:rStyle w:val="FontStyle28"/>
          <w:lang w:val="es-ES_tradnl" w:eastAsia="es-ES_tradnl"/>
        </w:rPr>
      </w:pPr>
      <w:r>
        <w:rPr>
          <w:rStyle w:val="FontStyle28"/>
          <w:lang w:val="es-ES_tradnl" w:eastAsia="es-ES_tradnl"/>
        </w:rPr>
        <w:t xml:space="preserve">El </w:t>
      </w:r>
      <w:r>
        <w:rPr>
          <w:rStyle w:val="FontStyle28"/>
          <w:lang w:val="es-ES_tradnl" w:eastAsia="es-ES_tradnl"/>
        </w:rPr>
        <w:t>argumento empleado para solventar el presupuesto de procedencia, acude a la hipótesis de "</w:t>
      </w:r>
      <w:r>
        <w:rPr>
          <w:rStyle w:val="FontStyle31"/>
          <w:lang w:val="es-ES_tradnl" w:eastAsia="es-ES_tradnl"/>
        </w:rPr>
        <w:t xml:space="preserve">permanencia en el tiempo", </w:t>
      </w:r>
      <w:r>
        <w:rPr>
          <w:rStyle w:val="FontStyle28"/>
          <w:lang w:val="es-ES_tradnl" w:eastAsia="es-ES_tradnl"/>
        </w:rPr>
        <w:t xml:space="preserve">sin embargo al revisar casos recientes, donde la Corte aplica ese criterio, se nota que se trata de </w:t>
      </w:r>
      <w:r>
        <w:rPr>
          <w:rStyle w:val="FontStyle28"/>
          <w:u w:val="single"/>
          <w:lang w:val="es-ES_tradnl" w:eastAsia="es-ES_tradnl"/>
        </w:rPr>
        <w:t>personas de especial protección constit</w:t>
      </w:r>
      <w:r>
        <w:rPr>
          <w:rStyle w:val="FontStyle28"/>
          <w:u w:val="single"/>
          <w:lang w:val="es-ES_tradnl" w:eastAsia="es-ES_tradnl"/>
        </w:rPr>
        <w:t>ucional</w:t>
      </w:r>
      <w:r>
        <w:rPr>
          <w:rStyle w:val="FontStyle28"/>
          <w:lang w:val="es-ES_tradnl" w:eastAsia="es-ES_tradnl"/>
        </w:rPr>
        <w:t xml:space="preserve"> (Adultos mayores y personas de la tercera edad) y se comprometen derechos como el mínimo vital; así se evidencia de los fallos T-485 de 2014; SU-158 de 2013 y T-207 de 2012 (Población en situación de desplazamiento interno).</w:t>
      </w:r>
    </w:p>
    <w:p w:rsidR="00000000" w:rsidRDefault="00C03791">
      <w:pPr>
        <w:pStyle w:val="Style6"/>
        <w:widowControl/>
        <w:spacing w:line="240" w:lineRule="exact"/>
        <w:ind w:left="943"/>
        <w:rPr>
          <w:sz w:val="20"/>
          <w:szCs w:val="20"/>
        </w:rPr>
      </w:pPr>
    </w:p>
    <w:p w:rsidR="00000000" w:rsidRDefault="00C03791">
      <w:pPr>
        <w:pStyle w:val="Style6"/>
        <w:widowControl/>
        <w:spacing w:before="181" w:line="418" w:lineRule="exact"/>
        <w:ind w:left="943"/>
        <w:rPr>
          <w:rStyle w:val="FontStyle28"/>
          <w:lang w:val="es-ES_tradnl" w:eastAsia="es-ES_tradnl"/>
        </w:rPr>
      </w:pPr>
      <w:r>
        <w:rPr>
          <w:rStyle w:val="FontStyle28"/>
          <w:lang w:val="es-ES_tradnl" w:eastAsia="es-ES_tradnl"/>
        </w:rPr>
        <w:t>Los parámetros fáctico</w:t>
      </w:r>
      <w:r>
        <w:rPr>
          <w:rStyle w:val="FontStyle28"/>
          <w:lang w:val="es-ES_tradnl" w:eastAsia="es-ES_tradnl"/>
        </w:rPr>
        <w:t xml:space="preserve">s de la sentencia T-425 de 2009 permiten advertir que la cuestión examinada en esa ocasión, decía relación con asuntos pensiónales, donde se comprometían el mínimo vital y la dignidad humana de personas de la tercera edad; doctrina reitera en la sentencia </w:t>
      </w:r>
      <w:r>
        <w:rPr>
          <w:rStyle w:val="FontStyle28"/>
          <w:lang w:val="es-ES_tradnl" w:eastAsia="es-ES_tradnl"/>
        </w:rPr>
        <w:t>T-217 de 2013, sustentada en la imprescriptibilidad pensiona!; consideraciones que se han entendido útiles para restar rigor a la inmediatez.</w:t>
      </w:r>
    </w:p>
    <w:p w:rsidR="00000000" w:rsidRDefault="00C03791">
      <w:pPr>
        <w:pStyle w:val="Style6"/>
        <w:widowControl/>
        <w:spacing w:line="240" w:lineRule="exact"/>
        <w:ind w:left="943"/>
        <w:rPr>
          <w:sz w:val="20"/>
          <w:szCs w:val="20"/>
        </w:rPr>
      </w:pPr>
    </w:p>
    <w:p w:rsidR="00000000" w:rsidRDefault="00C03791">
      <w:pPr>
        <w:pStyle w:val="Style6"/>
        <w:widowControl/>
        <w:spacing w:before="163" w:line="421" w:lineRule="exact"/>
        <w:ind w:left="943"/>
        <w:rPr>
          <w:rStyle w:val="FontStyle28"/>
          <w:lang w:val="es-ES_tradnl" w:eastAsia="es-ES_tradnl"/>
        </w:rPr>
      </w:pPr>
      <w:r>
        <w:rPr>
          <w:rStyle w:val="FontStyle28"/>
          <w:lang w:val="es-ES_tradnl" w:eastAsia="es-ES_tradnl"/>
        </w:rPr>
        <w:t>La sentencia T-172 de 2013 alude al comentado principio de inmediatez, en los términos siguientes:</w:t>
      </w:r>
    </w:p>
    <w:p w:rsidR="00000000" w:rsidRDefault="00C03791">
      <w:pPr>
        <w:pStyle w:val="Style12"/>
        <w:widowControl/>
        <w:spacing w:line="240" w:lineRule="exact"/>
        <w:ind w:left="1505"/>
        <w:jc w:val="left"/>
        <w:rPr>
          <w:sz w:val="20"/>
          <w:szCs w:val="20"/>
        </w:rPr>
      </w:pPr>
    </w:p>
    <w:p w:rsidR="00000000" w:rsidRDefault="00C03791">
      <w:pPr>
        <w:pStyle w:val="Style12"/>
        <w:widowControl/>
        <w:spacing w:line="240" w:lineRule="exact"/>
        <w:ind w:left="1505"/>
        <w:jc w:val="left"/>
        <w:rPr>
          <w:sz w:val="20"/>
          <w:szCs w:val="20"/>
        </w:rPr>
      </w:pPr>
    </w:p>
    <w:p w:rsidR="00000000" w:rsidRDefault="00C03791">
      <w:pPr>
        <w:pStyle w:val="Style12"/>
        <w:widowControl/>
        <w:spacing w:before="64" w:line="240" w:lineRule="auto"/>
        <w:ind w:left="1505"/>
        <w:jc w:val="left"/>
        <w:rPr>
          <w:rStyle w:val="FontStyle28"/>
          <w:lang w:val="es-ES_tradnl" w:eastAsia="es-ES_tradnl"/>
        </w:rPr>
      </w:pPr>
      <w:r>
        <w:rPr>
          <w:rStyle w:val="FontStyle28"/>
          <w:lang w:val="es-ES_tradnl" w:eastAsia="es-ES_tradnl"/>
        </w:rPr>
        <w:t>Al respecto,</w:t>
      </w:r>
      <w:r>
        <w:rPr>
          <w:rStyle w:val="FontStyle28"/>
          <w:lang w:val="es-ES_tradnl" w:eastAsia="es-ES_tradnl"/>
        </w:rPr>
        <w:t xml:space="preserve"> la sentencia T-743 de 2008 precisó lo siguiente:</w:t>
      </w:r>
    </w:p>
    <w:p w:rsidR="00000000" w:rsidRDefault="00C03791">
      <w:pPr>
        <w:pStyle w:val="Style16"/>
        <w:widowControl/>
        <w:spacing w:line="240" w:lineRule="exact"/>
        <w:ind w:left="1476"/>
        <w:rPr>
          <w:sz w:val="20"/>
          <w:szCs w:val="20"/>
        </w:rPr>
      </w:pPr>
    </w:p>
    <w:p w:rsidR="00000000" w:rsidRDefault="00C03791">
      <w:pPr>
        <w:pStyle w:val="Style16"/>
        <w:widowControl/>
        <w:spacing w:before="44" w:line="277" w:lineRule="exact"/>
        <w:ind w:left="1476"/>
        <w:rPr>
          <w:rStyle w:val="FontStyle31"/>
          <w:vertAlign w:val="superscript"/>
          <w:lang w:val="es-ES_tradnl" w:eastAsia="es-ES_tradnl"/>
        </w:rPr>
      </w:pPr>
      <w:r>
        <w:rPr>
          <w:rStyle w:val="FontStyle31"/>
          <w:lang w:val="es-ES_tradnl" w:eastAsia="es-ES_tradnl"/>
        </w:rPr>
        <w:t>"La Corte Constitucional ha establecido algunos de los factores que deben ser tenidos en cuenta para determinar la razonabilidad del lapso: (i) si existe un motivo válido para la inactividad de los acciona</w:t>
      </w:r>
      <w:r>
        <w:rPr>
          <w:rStyle w:val="FontStyle31"/>
          <w:lang w:val="es-ES_tradnl" w:eastAsia="es-ES_tradnl"/>
        </w:rPr>
        <w:t>ntes; (ii) si la inactividad justificada vulnera el núcleo esencial de los derechos de terceros afectados con la decisión; (iii) si existe un nexo causal entre el ejercicio tardío de la acción y la vulneración de los derechos fundamentales del interesado;</w:t>
      </w:r>
      <w:r>
        <w:rPr>
          <w:rStyle w:val="FontStyle31"/>
          <w:vertAlign w:val="superscript"/>
          <w:lang w:val="es-ES_tradnl" w:eastAsia="es-ES_tradnl"/>
        </w:rPr>
        <w:t>1</w:t>
      </w:r>
      <w:r>
        <w:rPr>
          <w:rStyle w:val="FontStyle31"/>
          <w:vertAlign w:val="superscript"/>
          <w:lang w:val="es-ES_tradnl" w:eastAsia="es-ES_tradnl"/>
        </w:rPr>
        <w:t>1</w:t>
      </w:r>
      <w:r>
        <w:rPr>
          <w:rStyle w:val="FontStyle31"/>
          <w:lang w:val="es-ES_tradnl" w:eastAsia="es-ES_tradnl"/>
        </w:rPr>
        <w:t xml:space="preserve"> (iv) si el fundamento de la acción de tutela surgió después de acaecida la actuación violatoria de los derechos fundamentales, de cualquier forma en un plazo no muy alejado de la fecha de interposición.</w:t>
      </w:r>
      <w:r>
        <w:rPr>
          <w:rStyle w:val="FontStyle31"/>
          <w:vertAlign w:val="superscript"/>
          <w:lang w:val="es-ES_tradnl" w:eastAsia="es-ES_tradnl"/>
        </w:rPr>
        <w:t>12</w:t>
      </w:r>
    </w:p>
    <w:p w:rsidR="00000000" w:rsidRDefault="00C03791">
      <w:pPr>
        <w:pStyle w:val="Style12"/>
        <w:widowControl/>
        <w:spacing w:line="240" w:lineRule="exact"/>
        <w:ind w:left="1516"/>
        <w:rPr>
          <w:sz w:val="20"/>
          <w:szCs w:val="20"/>
        </w:rPr>
      </w:pPr>
    </w:p>
    <w:p w:rsidR="00000000" w:rsidRDefault="00C03791">
      <w:pPr>
        <w:pStyle w:val="Style12"/>
        <w:widowControl/>
        <w:spacing w:before="30" w:line="274" w:lineRule="exact"/>
        <w:ind w:left="1516"/>
        <w:rPr>
          <w:rStyle w:val="FontStyle28"/>
          <w:lang w:val="es-ES_tradnl" w:eastAsia="es-ES_tradnl"/>
        </w:rPr>
      </w:pPr>
      <w:r>
        <w:rPr>
          <w:rStyle w:val="FontStyle28"/>
          <w:lang w:val="es-ES_tradnl" w:eastAsia="es-ES_tradnl"/>
        </w:rPr>
        <w:t>A partir del desarrollo de las nociones mencionadas, el juez de tutela puede hallar la proporcionalidad entre el medio judicial utilizado por el accionante y el</w:t>
      </w:r>
    </w:p>
    <w:p w:rsidR="00000000" w:rsidRDefault="00C03791">
      <w:pPr>
        <w:pStyle w:val="Style5"/>
        <w:widowControl/>
        <w:spacing w:line="240" w:lineRule="exact"/>
        <w:ind w:left="954"/>
        <w:rPr>
          <w:sz w:val="20"/>
          <w:szCs w:val="20"/>
        </w:rPr>
      </w:pPr>
    </w:p>
    <w:p w:rsidR="00000000" w:rsidRDefault="00C03791">
      <w:pPr>
        <w:pStyle w:val="Style5"/>
        <w:widowControl/>
        <w:tabs>
          <w:tab w:val="left" w:pos="1134"/>
        </w:tabs>
        <w:spacing w:before="142" w:line="245" w:lineRule="exact"/>
        <w:ind w:left="954"/>
        <w:rPr>
          <w:rStyle w:val="FontStyle22"/>
          <w:lang w:val="es-ES_tradnl" w:eastAsia="es-ES_tradnl"/>
        </w:rPr>
      </w:pPr>
      <w:r>
        <w:rPr>
          <w:rStyle w:val="FontStyle22"/>
          <w:spacing w:val="-20"/>
          <w:vertAlign w:val="superscript"/>
          <w:lang w:val="es-ES_tradnl" w:eastAsia="es-ES_tradnl"/>
        </w:rPr>
        <w:t>10</w:t>
      </w:r>
      <w:r>
        <w:rPr>
          <w:rStyle w:val="FontStyle22"/>
          <w:lang w:val="es-ES_tradnl" w:eastAsia="es-ES_tradnl"/>
        </w:rPr>
        <w:tab/>
        <w:t>Sobre este tema, se pueden consultar, entre otras, las sentencias T-677 de 2011 la T-158 de</w:t>
      </w:r>
      <w:r>
        <w:rPr>
          <w:rStyle w:val="FontStyle22"/>
          <w:lang w:val="es-ES_tradnl" w:eastAsia="es-ES_tradnl"/>
        </w:rPr>
        <w:t xml:space="preserve"> 2006.</w:t>
      </w:r>
    </w:p>
    <w:p w:rsidR="00000000" w:rsidRDefault="00C03791">
      <w:pPr>
        <w:pStyle w:val="Style5"/>
        <w:widowControl/>
        <w:tabs>
          <w:tab w:val="left" w:pos="1134"/>
        </w:tabs>
        <w:spacing w:line="245" w:lineRule="exact"/>
        <w:ind w:left="954"/>
        <w:jc w:val="left"/>
        <w:rPr>
          <w:rStyle w:val="FontStyle22"/>
          <w:lang w:val="es-ES_tradnl" w:eastAsia="es-ES_tradnl"/>
        </w:rPr>
      </w:pPr>
      <w:r>
        <w:rPr>
          <w:rStyle w:val="FontStyle22"/>
          <w:spacing w:val="-20"/>
          <w:vertAlign w:val="superscript"/>
          <w:lang w:val="es-ES_tradnl" w:eastAsia="es-ES_tradnl"/>
        </w:rPr>
        <w:t>11</w:t>
      </w:r>
      <w:r>
        <w:rPr>
          <w:rStyle w:val="FontStyle22"/>
          <w:lang w:val="es-ES_tradnl" w:eastAsia="es-ES_tradnl"/>
        </w:rPr>
        <w:tab/>
        <w:t>Sentencia SU-961 de 1999.</w:t>
      </w:r>
    </w:p>
    <w:p w:rsidR="00000000" w:rsidRDefault="00C03791">
      <w:pPr>
        <w:pStyle w:val="Style5"/>
        <w:widowControl/>
        <w:tabs>
          <w:tab w:val="left" w:pos="1134"/>
        </w:tabs>
        <w:spacing w:line="245" w:lineRule="exact"/>
        <w:ind w:left="954"/>
        <w:jc w:val="left"/>
        <w:rPr>
          <w:rStyle w:val="FontStyle22"/>
          <w:lang w:val="es-ES_tradnl" w:eastAsia="es-ES_tradnl"/>
        </w:rPr>
      </w:pPr>
      <w:r>
        <w:rPr>
          <w:rStyle w:val="FontStyle22"/>
          <w:spacing w:val="-20"/>
          <w:vertAlign w:val="superscript"/>
          <w:lang w:val="es-ES_tradnl" w:eastAsia="es-ES_tradnl"/>
        </w:rPr>
        <w:t>12</w:t>
      </w:r>
      <w:r>
        <w:rPr>
          <w:rStyle w:val="FontStyle22"/>
          <w:lang w:val="es-ES_tradnl" w:eastAsia="es-ES_tradnl"/>
        </w:rPr>
        <w:tab/>
        <w:t>Sentencias T-814 de 2004 y T-243 de 2008.</w:t>
      </w:r>
    </w:p>
    <w:p w:rsidR="00000000" w:rsidRDefault="00C03791">
      <w:pPr>
        <w:pStyle w:val="Style11"/>
        <w:widowControl/>
        <w:spacing w:line="240" w:lineRule="exact"/>
        <w:ind w:left="6250"/>
        <w:rPr>
          <w:sz w:val="20"/>
          <w:szCs w:val="20"/>
        </w:rPr>
      </w:pPr>
    </w:p>
    <w:p w:rsidR="00000000" w:rsidRDefault="00C03791">
      <w:pPr>
        <w:pStyle w:val="Style11"/>
        <w:widowControl/>
        <w:spacing w:before="232"/>
        <w:ind w:left="6250"/>
        <w:rPr>
          <w:rStyle w:val="FontStyle37"/>
          <w:rFonts w:eastAsia="Arial Unicode MS"/>
          <w:spacing w:val="30"/>
          <w:lang w:val="es-ES_tradnl" w:eastAsia="es-ES_tradnl"/>
        </w:rPr>
      </w:pPr>
      <w:r>
        <w:rPr>
          <w:rStyle w:val="FontStyle34"/>
          <w:lang w:val="es-ES_tradnl" w:eastAsia="es-ES_tradnl"/>
        </w:rPr>
        <w:t>l</w:t>
      </w:r>
      <w:r>
        <w:rPr>
          <w:rStyle w:val="FontStyle37"/>
          <w:lang w:val="es-ES_tradnl" w:eastAsia="es-ES_tradnl"/>
        </w:rPr>
        <w:t xml:space="preserve">~Ft </w:t>
      </w:r>
      <w:r>
        <w:rPr>
          <w:rStyle w:val="FontStyle37"/>
          <w:spacing w:val="30"/>
          <w:lang w:val="es-ES_tradnl" w:eastAsia="es-ES_tradnl"/>
        </w:rPr>
        <w:t>I</w:t>
      </w:r>
      <w:r>
        <w:rPr>
          <w:rStyle w:val="FontStyle37"/>
          <w:lang w:val="es-ES_tradnl" w:eastAsia="es-ES_tradnl"/>
        </w:rPr>
        <w:t xml:space="preserve"> </w:t>
      </w:r>
      <w:r>
        <w:rPr>
          <w:rStyle w:val="FontStyle37"/>
          <w:spacing w:val="30"/>
          <w:lang w:val="es-ES_tradnl" w:eastAsia="es-ES_tradnl"/>
        </w:rPr>
        <w:t>&amp;</w:t>
      </w:r>
      <w:r>
        <w:rPr>
          <w:rStyle w:val="FontStyle37"/>
          <w:lang w:val="es-ES_tradnl" w:eastAsia="es-ES_tradnl"/>
        </w:rPr>
        <w:t xml:space="preserve"> </w:t>
      </w:r>
      <w:r>
        <w:rPr>
          <w:rStyle w:val="FontStyle37"/>
          <w:spacing w:val="30"/>
          <w:lang w:val="es-ES_tradnl" w:eastAsia="es-ES_tradnl"/>
        </w:rPr>
        <w:t>UNA</w:t>
      </w:r>
      <w:r>
        <w:rPr>
          <w:rStyle w:val="FontStyle37"/>
          <w:lang w:val="es-ES_tradnl" w:eastAsia="es-ES_tradnl"/>
        </w:rPr>
        <w:t xml:space="preserve"> L.   </w:t>
      </w:r>
      <w:r>
        <w:rPr>
          <w:rStyle w:val="FontStyle33"/>
          <w:lang w:val="es-ES_tradnl" w:eastAsia="es-ES_tradnl"/>
        </w:rPr>
        <w:t xml:space="preserve">S </w:t>
      </w:r>
      <w:r>
        <w:rPr>
          <w:rStyle w:val="FontStyle37"/>
          <w:lang w:val="es-ES_tradnl" w:eastAsia="es-ES_tradnl"/>
        </w:rPr>
        <w:t xml:space="preserve">U F&gt; </w:t>
      </w:r>
      <w:r>
        <w:rPr>
          <w:rStyle w:val="FontStyle32"/>
          <w:rFonts w:hAnsi="Arial Black"/>
          <w:lang w:val="es-ES_tradnl" w:eastAsia="es-ES_tradnl"/>
        </w:rPr>
        <w:t xml:space="preserve">E </w:t>
      </w:r>
      <w:r>
        <w:rPr>
          <w:rStyle w:val="FontStyle33"/>
          <w:rFonts w:eastAsia="Arial Unicode MS"/>
          <w:lang w:val="es-ES_tradnl" w:eastAsia="es-ES_tradnl"/>
        </w:rPr>
        <w:t xml:space="preserve">F? / O </w:t>
      </w:r>
      <w:r>
        <w:rPr>
          <w:rStyle w:val="FontStyle37"/>
          <w:rFonts w:eastAsia="Arial Unicode MS"/>
          <w:lang w:val="es-ES_tradnl" w:eastAsia="es-ES_tradnl"/>
        </w:rPr>
        <w:t xml:space="preserve">Fi   </w:t>
      </w:r>
      <w:r>
        <w:rPr>
          <w:rStyle w:val="FontStyle32"/>
          <w:rFonts w:hAnsi="Arial Black"/>
          <w:lang w:val="es-ES_tradnl" w:eastAsia="es-ES_tradnl"/>
        </w:rPr>
        <w:t xml:space="preserve">DE   </w:t>
      </w:r>
      <w:r>
        <w:rPr>
          <w:rStyle w:val="FontStyle34"/>
          <w:rFonts w:eastAsia="Arial Unicode MS"/>
          <w:lang w:val="es-ES_tradnl" w:eastAsia="es-ES_tradnl"/>
        </w:rPr>
        <w:t xml:space="preserve">F* </w:t>
      </w:r>
      <w:r>
        <w:rPr>
          <w:rStyle w:val="FontStyle32"/>
          <w:rFonts w:hAnsi="Microsoft Sans Serif"/>
          <w:lang w:val="es-ES_tradnl" w:eastAsia="es-ES_tradnl"/>
        </w:rPr>
        <w:t xml:space="preserve">E </w:t>
      </w:r>
      <w:r>
        <w:rPr>
          <w:rStyle w:val="FontStyle37"/>
          <w:rFonts w:eastAsia="Arial Unicode MS"/>
          <w:lang w:val="es-ES_tradnl" w:eastAsia="es-ES_tradnl"/>
        </w:rPr>
        <w:t xml:space="preserve">Ft </w:t>
      </w:r>
      <w:r>
        <w:rPr>
          <w:rStyle w:val="FontStyle32"/>
          <w:rFonts w:hAnsi="Arial Black"/>
          <w:lang w:val="es-ES_tradnl" w:eastAsia="es-ES_tradnl"/>
        </w:rPr>
        <w:t xml:space="preserve">E </w:t>
      </w:r>
      <w:r>
        <w:rPr>
          <w:rStyle w:val="FontStyle37"/>
          <w:rFonts w:eastAsia="Arial Unicode MS"/>
          <w:lang w:val="es-ES_tradnl" w:eastAsia="es-ES_tradnl"/>
        </w:rPr>
        <w:t xml:space="preserve">I F* A MF&gt;  </w:t>
      </w:r>
      <w:r>
        <w:rPr>
          <w:rStyle w:val="FontStyle32"/>
          <w:rFonts w:hAnsi="Arial Black"/>
          <w:lang w:val="es-ES_tradnl" w:eastAsia="es-ES_tradnl"/>
        </w:rPr>
        <w:t xml:space="preserve">Oijiii </w:t>
      </w:r>
      <w:r>
        <w:rPr>
          <w:rStyle w:val="FontStyle35"/>
          <w:rFonts w:eastAsia="Arial Unicode MS"/>
          <w:lang w:val="es-ES_tradnl" w:eastAsia="es-ES_tradnl"/>
        </w:rPr>
        <w:t>/n</w:t>
      </w:r>
      <w:r>
        <w:rPr>
          <w:rStyle w:val="FontStyle38"/>
          <w:rFonts w:eastAsia="Arial Unicode MS"/>
          <w:lang w:val="es-ES_tradnl" w:eastAsia="es-ES_tradnl"/>
        </w:rPr>
        <w:t>'/v</w:t>
      </w:r>
      <w:r>
        <w:rPr>
          <w:rStyle w:val="FontStyle33"/>
          <w:rFonts w:eastAsia="Arial Unicode MS"/>
          <w:lang w:val="es-ES_tradnl" w:eastAsia="es-ES_tradnl"/>
        </w:rPr>
        <w:t>/  v-  (3 / ,v .</w:t>
      </w:r>
      <w:r>
        <w:rPr>
          <w:rStyle w:val="FontStyle33"/>
          <w:rFonts w:eastAsia="Arial Unicode MS"/>
          <w:lang w:val="es-ES_tradnl" w:eastAsia="es-ES_tradnl"/>
        </w:rPr>
        <w:t>■</w:t>
      </w:r>
      <w:r>
        <w:rPr>
          <w:rStyle w:val="FontStyle33"/>
          <w:rFonts w:eastAsia="Arial Unicode MS"/>
          <w:lang w:val="es-ES_tradnl" w:eastAsia="es-ES_tradnl"/>
        </w:rPr>
        <w:t xml:space="preserve"> ;/\ / /   </w:t>
      </w:r>
      <w:r>
        <w:rPr>
          <w:rStyle w:val="FontStyle33"/>
          <w:rFonts w:eastAsia="Arial Unicode MS"/>
          <w:lang w:val="es-ES_tradnl" w:eastAsia="es-ES_tradnl"/>
        </w:rPr>
        <w:t>■</w:t>
      </w:r>
      <w:r>
        <w:rPr>
          <w:rStyle w:val="FontStyle33"/>
          <w:rFonts w:eastAsia="Arial Unicode MS"/>
          <w:lang w:val="es-ES_tradnl" w:eastAsia="es-ES_tradnl"/>
        </w:rPr>
        <w:t xml:space="preserve">:  </w:t>
      </w:r>
      <w:r>
        <w:rPr>
          <w:rStyle w:val="FontStyle37"/>
          <w:rFonts w:eastAsia="Arial Unicode MS"/>
          <w:lang w:val="es-ES_tradnl" w:eastAsia="es-ES_tradnl"/>
        </w:rPr>
        <w:t>/—/</w:t>
      </w:r>
      <w:r>
        <w:rPr>
          <w:rStyle w:val="FontStyle32"/>
          <w:rFonts w:hAnsi="Arial Black"/>
          <w:lang w:val="es-ES_tradnl" w:eastAsia="es-ES_tradnl"/>
        </w:rPr>
        <w:t xml:space="preserve">1 </w:t>
      </w:r>
      <w:r>
        <w:rPr>
          <w:rStyle w:val="FontStyle33"/>
          <w:rFonts w:eastAsia="Arial Unicode MS"/>
          <w:lang w:val="es-ES_tradnl" w:eastAsia="es-ES_tradnl"/>
        </w:rPr>
        <w:t>/«•/»</w:t>
      </w:r>
      <w:r>
        <w:rPr>
          <w:rStyle w:val="FontStyle33"/>
          <w:rFonts w:eastAsia="Arial Unicode MS"/>
          <w:lang w:val="es-ES_tradnl" w:eastAsia="es-ES_tradnl"/>
        </w:rPr>
        <w:t>■</w:t>
      </w:r>
      <w:r>
        <w:rPr>
          <w:rStyle w:val="FontStyle33"/>
          <w:rFonts w:eastAsia="Arial Unicode MS"/>
          <w:lang w:val="es-ES_tradnl" w:eastAsia="es-ES_tradnl"/>
        </w:rPr>
        <w:t xml:space="preserve">/ </w:t>
      </w:r>
      <w:r>
        <w:rPr>
          <w:rStyle w:val="FontStyle37"/>
          <w:rFonts w:eastAsia="Arial Unicode MS"/>
          <w:spacing w:val="30"/>
          <w:lang w:val="es-ES_tradnl" w:eastAsia="es-ES_tradnl"/>
        </w:rPr>
        <w:t>n/\</w:t>
      </w:r>
    </w:p>
    <w:p w:rsidR="00000000" w:rsidRDefault="00C03791">
      <w:pPr>
        <w:pStyle w:val="Style11"/>
        <w:widowControl/>
        <w:spacing w:before="232"/>
        <w:ind w:left="6250"/>
        <w:rPr>
          <w:rStyle w:val="FontStyle37"/>
          <w:rFonts w:eastAsia="Arial Unicode MS"/>
          <w:spacing w:val="30"/>
          <w:lang w:val="es-ES_tradnl" w:eastAsia="es-ES_tradnl"/>
        </w:rPr>
        <w:sectPr w:rsidR="00000000">
          <w:headerReference w:type="default" r:id="rId16"/>
          <w:pgSz w:w="12240" w:h="18720"/>
          <w:pgMar w:top="1310" w:right="1183" w:bottom="501" w:left="675" w:header="720" w:footer="720" w:gutter="0"/>
          <w:cols w:space="60"/>
          <w:noEndnote/>
        </w:sectPr>
      </w:pPr>
    </w:p>
    <w:p w:rsidR="00000000" w:rsidRDefault="00C03791">
      <w:pPr>
        <w:pStyle w:val="Style1"/>
        <w:widowControl/>
        <w:ind w:right="14"/>
        <w:jc w:val="right"/>
        <w:rPr>
          <w:rStyle w:val="FontStyle36"/>
          <w:lang w:val="es-ES_tradnl" w:eastAsia="es-ES_tradnl"/>
        </w:rPr>
      </w:pPr>
      <w:r>
        <w:rPr>
          <w:rStyle w:val="FontStyle36"/>
          <w:lang w:val="es-ES_tradnl" w:eastAsia="es-ES_tradnl"/>
        </w:rPr>
        <w:lastRenderedPageBreak/>
        <w:t>Página ¡4</w:t>
      </w:r>
    </w:p>
    <w:p w:rsidR="00000000" w:rsidRDefault="00C03791">
      <w:pPr>
        <w:pStyle w:val="Style2"/>
        <w:widowControl/>
        <w:spacing w:before="36"/>
        <w:ind w:left="482"/>
        <w:rPr>
          <w:rStyle w:val="FontStyle25"/>
          <w:lang w:val="es-ES_tradnl" w:eastAsia="es-ES_tradnl"/>
        </w:rPr>
      </w:pPr>
      <w:r>
        <w:rPr>
          <w:rStyle w:val="FontStyle25"/>
          <w:lang w:val="es-ES_tradnl" w:eastAsia="es-ES_tradnl"/>
        </w:rPr>
        <w:t>SAI. VAWí</w:t>
      </w:r>
      <w:r>
        <w:rPr>
          <w:rStyle w:val="FontStyle25"/>
          <w:lang w:val="es-ES_tradnl" w:eastAsia="es-ES_tradnl"/>
        </w:rPr>
        <w:t>XTODI: VOTO</w:t>
      </w:r>
    </w:p>
    <w:p w:rsidR="00000000" w:rsidRDefault="00C03791">
      <w:pPr>
        <w:pStyle w:val="Style8"/>
        <w:widowControl/>
        <w:spacing w:before="205" w:line="277" w:lineRule="exact"/>
        <w:ind w:left="1033"/>
        <w:rPr>
          <w:rStyle w:val="FontStyle28"/>
          <w:lang w:val="es-ES_tradnl" w:eastAsia="es-ES_tradnl"/>
        </w:rPr>
      </w:pPr>
      <w:r>
        <w:rPr>
          <w:rStyle w:val="FontStyle28"/>
          <w:lang w:val="es-ES_tradnl" w:eastAsia="es-ES_tradnl"/>
        </w:rPr>
        <w:t>fin perseguido, para de esta manera determinar la procedencia de la acción de tutela como mecanismo idóneo para la protección del derecho fundamental reclamado.</w:t>
      </w:r>
    </w:p>
    <w:p w:rsidR="00000000" w:rsidRDefault="00C03791">
      <w:pPr>
        <w:pStyle w:val="Style8"/>
        <w:widowControl/>
        <w:spacing w:line="240" w:lineRule="exact"/>
        <w:ind w:left="1033"/>
        <w:rPr>
          <w:sz w:val="20"/>
          <w:szCs w:val="20"/>
        </w:rPr>
      </w:pPr>
    </w:p>
    <w:p w:rsidR="00000000" w:rsidRDefault="00C03791">
      <w:pPr>
        <w:pStyle w:val="Style8"/>
        <w:widowControl/>
        <w:spacing w:before="37" w:line="277" w:lineRule="exact"/>
        <w:ind w:left="1033"/>
        <w:rPr>
          <w:rStyle w:val="FontStyle31"/>
          <w:spacing w:val="-20"/>
          <w:lang w:val="es-ES_tradnl" w:eastAsia="es-ES_tradnl"/>
        </w:rPr>
      </w:pPr>
      <w:r>
        <w:rPr>
          <w:rStyle w:val="FontStyle28"/>
          <w:lang w:val="es-ES_tradnl" w:eastAsia="es-ES_tradnl"/>
        </w:rPr>
        <w:t>Además de lo anterior, la jurisprudencia tambié</w:t>
      </w:r>
      <w:r>
        <w:rPr>
          <w:rStyle w:val="FontStyle28"/>
          <w:lang w:val="es-ES_tradnl" w:eastAsia="es-ES_tradnl"/>
        </w:rPr>
        <w:t>n ha destacado que puede resultar admisible que transcurra un extenso espacio de tiempo entre el hecho que generó la vulneración y la presentación de la acción de tutela bajo dos circunstancias claramente identificables</w:t>
      </w:r>
      <w:r>
        <w:rPr>
          <w:rStyle w:val="FontStyle28"/>
          <w:vertAlign w:val="superscript"/>
          <w:lang w:val="es-ES_tradnl" w:eastAsia="es-ES_tradnl"/>
        </w:rPr>
        <w:t>13</w:t>
      </w:r>
      <w:r>
        <w:rPr>
          <w:rStyle w:val="FontStyle28"/>
          <w:lang w:val="es-ES_tradnl" w:eastAsia="es-ES_tradnl"/>
        </w:rPr>
        <w:t>: la primera de ellas, cuando se de</w:t>
      </w:r>
      <w:r>
        <w:rPr>
          <w:rStyle w:val="FontStyle28"/>
          <w:lang w:val="es-ES_tradnl" w:eastAsia="es-ES_tradnl"/>
        </w:rPr>
        <w:t>muestra que la afectación es permanente en el tiempo</w:t>
      </w:r>
      <w:r>
        <w:rPr>
          <w:rStyle w:val="FontStyle28"/>
          <w:vertAlign w:val="superscript"/>
          <w:lang w:val="es-ES_tradnl" w:eastAsia="es-ES_tradnl"/>
        </w:rPr>
        <w:t>14</w:t>
      </w:r>
      <w:r>
        <w:rPr>
          <w:rStyle w:val="FontStyle28"/>
          <w:lang w:val="es-ES_tradnl" w:eastAsia="es-ES_tradnl"/>
        </w:rPr>
        <w:t xml:space="preserve"> y, en segundo lugar, cuando se pueda establecer que "... </w:t>
      </w:r>
      <w:r>
        <w:rPr>
          <w:rStyle w:val="FontStyle31"/>
          <w:lang w:val="es-ES_tradnl" w:eastAsia="es-ES_tradnl"/>
        </w:rPr>
        <w:t>la especial situación de aquella persona a quien se le han vulnerado sus derechos fundamentales, convierte en desproporcionado el hecho de adjud</w:t>
      </w:r>
      <w:r>
        <w:rPr>
          <w:rStyle w:val="FontStyle31"/>
          <w:lang w:val="es-ES_tradnl" w:eastAsia="es-ES_tradnl"/>
        </w:rPr>
        <w:t>icarle la carga de acudir a un juez; por ejemplo el estado de indefensión, interdicción, abandono, minoría de edad, incapacidad física, entre otros".</w:t>
      </w:r>
      <w:r>
        <w:rPr>
          <w:rStyle w:val="FontStyle31"/>
          <w:spacing w:val="-20"/>
          <w:vertAlign w:val="superscript"/>
          <w:lang w:val="es-ES_tradnl" w:eastAsia="es-ES_tradnl"/>
        </w:rPr>
        <w:t>115</w:t>
      </w:r>
      <w:r>
        <w:rPr>
          <w:rStyle w:val="FontStyle31"/>
          <w:spacing w:val="-20"/>
          <w:lang w:val="es-ES_tradnl" w:eastAsia="es-ES_tradnl"/>
        </w:rPr>
        <w:t>.</w:t>
      </w:r>
    </w:p>
    <w:p w:rsidR="00000000" w:rsidRDefault="00C03791">
      <w:pPr>
        <w:pStyle w:val="Style6"/>
        <w:widowControl/>
        <w:spacing w:line="240" w:lineRule="exact"/>
        <w:ind w:left="472"/>
        <w:rPr>
          <w:sz w:val="20"/>
          <w:szCs w:val="20"/>
        </w:rPr>
      </w:pPr>
    </w:p>
    <w:p w:rsidR="00000000" w:rsidRDefault="00C03791">
      <w:pPr>
        <w:pStyle w:val="Style6"/>
        <w:widowControl/>
        <w:spacing w:before="59" w:line="418" w:lineRule="exact"/>
        <w:ind w:left="472"/>
        <w:rPr>
          <w:rStyle w:val="FontStyle31"/>
          <w:lang w:val="es-ES_tradnl" w:eastAsia="es-ES_tradnl"/>
        </w:rPr>
      </w:pPr>
      <w:r>
        <w:rPr>
          <w:rStyle w:val="FontStyle28"/>
          <w:lang w:val="es-ES_tradnl" w:eastAsia="es-ES_tradnl"/>
        </w:rPr>
        <w:t>En la sentencia T-1110 de 2005 se analizó</w:t>
      </w:r>
      <w:r>
        <w:rPr>
          <w:rStyle w:val="FontStyle28"/>
          <w:lang w:val="es-ES_tradnl" w:eastAsia="es-ES_tradnl"/>
        </w:rPr>
        <w:t xml:space="preserve"> el caso de una persona privada de la libertad, que bien se conoce, es persona de especial protección constitucional, donde la línea de pensamiento de la doctrina se inclina por un </w:t>
      </w:r>
      <w:r>
        <w:rPr>
          <w:rStyle w:val="FontStyle31"/>
          <w:lang w:val="es-ES_tradnl" w:eastAsia="es-ES_tradnl"/>
        </w:rPr>
        <w:t>"juicio flexible de inmediatez".</w:t>
      </w:r>
    </w:p>
    <w:p w:rsidR="00000000" w:rsidRDefault="00C03791">
      <w:pPr>
        <w:pStyle w:val="Style6"/>
        <w:widowControl/>
        <w:spacing w:line="240" w:lineRule="exact"/>
        <w:ind w:left="472"/>
        <w:rPr>
          <w:sz w:val="20"/>
          <w:szCs w:val="20"/>
        </w:rPr>
      </w:pPr>
    </w:p>
    <w:p w:rsidR="00000000" w:rsidRDefault="00C03791">
      <w:pPr>
        <w:pStyle w:val="Style6"/>
        <w:widowControl/>
        <w:spacing w:before="181" w:line="414" w:lineRule="exact"/>
        <w:ind w:left="472"/>
        <w:rPr>
          <w:rStyle w:val="FontStyle28"/>
          <w:lang w:val="es-ES_tradnl" w:eastAsia="es-ES_tradnl"/>
        </w:rPr>
      </w:pPr>
      <w:r>
        <w:rPr>
          <w:rStyle w:val="FontStyle28"/>
          <w:lang w:val="es-ES_tradnl" w:eastAsia="es-ES_tradnl"/>
        </w:rPr>
        <w:t>Los criterios aquí expuestos han sido rei</w:t>
      </w:r>
      <w:r>
        <w:rPr>
          <w:rStyle w:val="FontStyle28"/>
          <w:lang w:val="es-ES_tradnl" w:eastAsia="es-ES_tradnl"/>
        </w:rPr>
        <w:t>terados en la doctrina, por vía de ejemplo, la T-043 de 2016. De todas maneras, en este asunto estimo insuficientes los argumentos para declarar la prosperidad del amparo, pues no advierto consistencia con los precedentes especializados.</w:t>
      </w:r>
    </w:p>
    <w:p w:rsidR="00000000" w:rsidRDefault="00C03791">
      <w:pPr>
        <w:pStyle w:val="Style6"/>
        <w:widowControl/>
        <w:spacing w:line="240" w:lineRule="exact"/>
        <w:ind w:left="475"/>
        <w:rPr>
          <w:sz w:val="20"/>
          <w:szCs w:val="20"/>
        </w:rPr>
      </w:pPr>
    </w:p>
    <w:p w:rsidR="00000000" w:rsidRDefault="00C03791">
      <w:pPr>
        <w:pStyle w:val="Style6"/>
        <w:widowControl/>
        <w:spacing w:before="174" w:line="418" w:lineRule="exact"/>
        <w:ind w:left="475"/>
        <w:rPr>
          <w:rStyle w:val="FontStyle28"/>
          <w:lang w:val="es-ES_tradnl" w:eastAsia="es-ES_tradnl"/>
        </w:rPr>
      </w:pPr>
      <w:r>
        <w:rPr>
          <w:rStyle w:val="FontStyle28"/>
          <w:lang w:val="es-ES_tradnl" w:eastAsia="es-ES_tradnl"/>
        </w:rPr>
        <w:t>Con lo discurrido</w:t>
      </w:r>
      <w:r>
        <w:rPr>
          <w:rStyle w:val="FontStyle28"/>
          <w:lang w:val="es-ES_tradnl" w:eastAsia="es-ES_tradnl"/>
        </w:rPr>
        <w:t>, dejo explicadas las consideraciones que me persuaden de haber discrepado en la decisión mayoritaria, que guardan coherencia con lo que he sostenido en ocasiones anteriores, donde también he debido salvar mi voto.</w:t>
      </w:r>
    </w:p>
    <w:p w:rsidR="00000000" w:rsidRDefault="00C03791">
      <w:pPr>
        <w:pStyle w:val="Style5"/>
        <w:framePr w:w="6109" w:h="832" w:hRule="exact" w:hSpace="40" w:wrap="notBeside" w:vAnchor="text" w:hAnchor="text" w:x="383" w:y="6013"/>
        <w:widowControl/>
        <w:tabs>
          <w:tab w:val="left" w:pos="176"/>
        </w:tabs>
        <w:spacing w:line="241" w:lineRule="exact"/>
        <w:jc w:val="left"/>
        <w:rPr>
          <w:rStyle w:val="FontStyle22"/>
          <w:lang w:val="es-ES_tradnl" w:eastAsia="es-ES_tradnl"/>
        </w:rPr>
      </w:pPr>
      <w:r>
        <w:rPr>
          <w:rStyle w:val="FontStyle22"/>
          <w:spacing w:val="-20"/>
          <w:vertAlign w:val="superscript"/>
          <w:lang w:val="es-ES_tradnl" w:eastAsia="es-ES_tradnl"/>
        </w:rPr>
        <w:t>13</w:t>
      </w:r>
      <w:r>
        <w:rPr>
          <w:rStyle w:val="FontStyle22"/>
          <w:lang w:val="es-ES_tradnl" w:eastAsia="es-ES_tradnl"/>
        </w:rPr>
        <w:tab/>
        <w:t>Sentencia T-883 de 2009</w:t>
      </w:r>
    </w:p>
    <w:p w:rsidR="00000000" w:rsidRDefault="00C03791">
      <w:pPr>
        <w:pStyle w:val="Style5"/>
        <w:framePr w:w="6109" w:h="832" w:hRule="exact" w:hSpace="40" w:wrap="notBeside" w:vAnchor="text" w:hAnchor="text" w:x="383" w:y="6013"/>
        <w:widowControl/>
        <w:tabs>
          <w:tab w:val="left" w:pos="176"/>
        </w:tabs>
        <w:spacing w:line="241" w:lineRule="exact"/>
        <w:rPr>
          <w:rStyle w:val="FontStyle22"/>
          <w:lang w:val="es-ES_tradnl" w:eastAsia="es-ES_tradnl"/>
        </w:rPr>
      </w:pPr>
      <w:r>
        <w:rPr>
          <w:rStyle w:val="FontStyle22"/>
          <w:vertAlign w:val="superscript"/>
          <w:lang w:val="es-ES_tradnl" w:eastAsia="es-ES_tradnl"/>
        </w:rPr>
        <w:t>14</w:t>
      </w:r>
      <w:r>
        <w:rPr>
          <w:rStyle w:val="FontStyle22"/>
          <w:lang w:val="es-ES_tradnl" w:eastAsia="es-ES_tradnl"/>
        </w:rPr>
        <w:tab/>
        <w:t xml:space="preserve">Consultar, </w:t>
      </w:r>
      <w:r>
        <w:rPr>
          <w:rStyle w:val="FontStyle22"/>
          <w:lang w:val="es-ES_tradnl" w:eastAsia="es-ES_tradnl"/>
        </w:rPr>
        <w:t>entre otras, las Sentencias T-</w:t>
      </w:r>
      <w:r>
        <w:rPr>
          <w:rStyle w:val="FontStyle22"/>
          <w:spacing w:val="-20"/>
          <w:lang w:val="es-ES_tradnl" w:eastAsia="es-ES_tradnl"/>
        </w:rPr>
        <w:t>1110</w:t>
      </w:r>
      <w:r>
        <w:rPr>
          <w:rStyle w:val="FontStyle22"/>
          <w:lang w:val="es-ES_tradnl" w:eastAsia="es-ES_tradnl"/>
        </w:rPr>
        <w:t xml:space="preserve"> de 2005 y T-425 de 2009.</w:t>
      </w:r>
    </w:p>
    <w:p w:rsidR="00000000" w:rsidRDefault="00C03791">
      <w:pPr>
        <w:pStyle w:val="Style5"/>
        <w:framePr w:w="6109" w:h="832" w:hRule="exact" w:hSpace="40" w:wrap="notBeside" w:vAnchor="text" w:hAnchor="text" w:x="383" w:y="6013"/>
        <w:widowControl/>
        <w:tabs>
          <w:tab w:val="left" w:pos="176"/>
        </w:tabs>
        <w:spacing w:line="241" w:lineRule="exact"/>
        <w:jc w:val="left"/>
        <w:rPr>
          <w:rStyle w:val="FontStyle22"/>
          <w:lang w:val="es-ES_tradnl" w:eastAsia="es-ES_tradnl"/>
        </w:rPr>
      </w:pPr>
      <w:r>
        <w:rPr>
          <w:rStyle w:val="FontStyle22"/>
          <w:spacing w:val="-20"/>
          <w:vertAlign w:val="superscript"/>
          <w:lang w:val="es-ES_tradnl" w:eastAsia="es-ES_tradnl"/>
        </w:rPr>
        <w:t>15</w:t>
      </w:r>
      <w:r>
        <w:rPr>
          <w:rStyle w:val="FontStyle22"/>
          <w:lang w:val="es-ES_tradnl" w:eastAsia="es-ES_tradnl"/>
        </w:rPr>
        <w:tab/>
        <w:t>Sentencia T-158 de 2006.</w:t>
      </w:r>
    </w:p>
    <w:p w:rsidR="00000000" w:rsidRDefault="00C03791">
      <w:pPr>
        <w:pStyle w:val="Style11"/>
        <w:framePr w:h="130" w:hRule="exact" w:hSpace="40" w:wrap="notBeside" w:vAnchor="text" w:hAnchor="text" w:x="5783" w:y="7295"/>
        <w:widowControl/>
        <w:spacing w:line="240" w:lineRule="auto"/>
        <w:jc w:val="both"/>
        <w:rPr>
          <w:rStyle w:val="FontStyle37"/>
          <w:lang w:val="es-ES_tradnl" w:eastAsia="es-ES_tradnl"/>
        </w:rPr>
      </w:pPr>
      <w:r>
        <w:rPr>
          <w:rStyle w:val="FontStyle39"/>
          <w:lang w:val="es-ES_tradnl" w:eastAsia="es-ES_tradnl"/>
        </w:rPr>
        <w:t>T</w:t>
      </w:r>
      <w:r>
        <w:rPr>
          <w:rStyle w:val="FontStyle38"/>
          <w:lang w:val="es-ES_tradnl" w:eastAsia="es-ES_tradnl"/>
        </w:rPr>
        <w:t xml:space="preserve">r/SL/W/II.   </w:t>
      </w:r>
      <w:r>
        <w:rPr>
          <w:rStyle w:val="FontStyle37"/>
          <w:spacing w:val="30"/>
          <w:lang w:val="es-ES_tradnl" w:eastAsia="es-ES_tradnl"/>
        </w:rPr>
        <w:t>St-JPEfRIOFi</w:t>
      </w:r>
      <w:r>
        <w:rPr>
          <w:rStyle w:val="FontStyle37"/>
          <w:lang w:val="es-ES_tradnl" w:eastAsia="es-ES_tradnl"/>
        </w:rPr>
        <w:t xml:space="preserve">   </w:t>
      </w:r>
      <w:r>
        <w:rPr>
          <w:rStyle w:val="FontStyle37"/>
          <w:spacing w:val="30"/>
          <w:lang w:val="es-ES_tradnl" w:eastAsia="es-ES_tradnl"/>
        </w:rPr>
        <w:t>DE</w:t>
      </w:r>
      <w:r>
        <w:rPr>
          <w:rStyle w:val="FontStyle37"/>
          <w:lang w:val="es-ES_tradnl" w:eastAsia="es-ES_tradnl"/>
        </w:rPr>
        <w:t xml:space="preserve">   </w:t>
      </w:r>
      <w:r>
        <w:rPr>
          <w:rStyle w:val="FontStyle34"/>
          <w:lang w:val="es-ES_tradnl" w:eastAsia="es-ES_tradnl"/>
        </w:rPr>
        <w:t xml:space="preserve">F* </w:t>
      </w:r>
      <w:r>
        <w:rPr>
          <w:rStyle w:val="FontStyle37"/>
          <w:spacing w:val="30"/>
          <w:lang w:val="es-ES_tradnl" w:eastAsia="es-ES_tradnl"/>
        </w:rPr>
        <w:t>E</w:t>
      </w:r>
      <w:r>
        <w:rPr>
          <w:rStyle w:val="FontStyle37"/>
          <w:lang w:val="es-ES_tradnl" w:eastAsia="es-ES_tradnl"/>
        </w:rPr>
        <w:t xml:space="preserve"> Ft EI Ft A</w:t>
      </w:r>
    </w:p>
    <w:p w:rsidR="00000000" w:rsidRDefault="00C03791">
      <w:pPr>
        <w:pStyle w:val="Style6"/>
        <w:widowControl/>
        <w:spacing w:line="240" w:lineRule="exact"/>
        <w:ind w:left="490"/>
        <w:rPr>
          <w:sz w:val="20"/>
          <w:szCs w:val="20"/>
        </w:rPr>
      </w:pPr>
    </w:p>
    <w:p w:rsidR="00000000" w:rsidRDefault="00C03791">
      <w:pPr>
        <w:pStyle w:val="Style6"/>
        <w:widowControl/>
        <w:spacing w:line="240" w:lineRule="exact"/>
        <w:ind w:left="490"/>
        <w:rPr>
          <w:sz w:val="20"/>
          <w:szCs w:val="20"/>
        </w:rPr>
      </w:pPr>
    </w:p>
    <w:p w:rsidR="00000000" w:rsidRDefault="00C03791">
      <w:pPr>
        <w:pStyle w:val="Style6"/>
        <w:widowControl/>
        <w:spacing w:line="240" w:lineRule="exact"/>
        <w:ind w:left="490"/>
        <w:rPr>
          <w:sz w:val="20"/>
          <w:szCs w:val="20"/>
        </w:rPr>
      </w:pPr>
    </w:p>
    <w:p w:rsidR="00000000" w:rsidRDefault="00C03791">
      <w:pPr>
        <w:pStyle w:val="Style6"/>
        <w:widowControl/>
        <w:spacing w:line="240" w:lineRule="exact"/>
        <w:ind w:left="490"/>
        <w:rPr>
          <w:sz w:val="20"/>
          <w:szCs w:val="20"/>
        </w:rPr>
      </w:pPr>
    </w:p>
    <w:p w:rsidR="00000000" w:rsidRDefault="00C03791">
      <w:pPr>
        <w:pStyle w:val="Style6"/>
        <w:widowControl/>
        <w:spacing w:before="1" w:line="240" w:lineRule="auto"/>
        <w:ind w:left="490"/>
        <w:rPr>
          <w:rStyle w:val="FontStyle28"/>
          <w:lang w:val="es-ES_tradnl" w:eastAsia="es-ES_tradnl"/>
        </w:rPr>
      </w:pPr>
      <w:r>
        <w:rPr>
          <w:rStyle w:val="FontStyle28"/>
          <w:lang w:val="es-ES_tradnl" w:eastAsia="es-ES_tradnl"/>
        </w:rPr>
        <w:t>Pereira, R., 19 de septiembre de 2016</w:t>
      </w:r>
    </w:p>
    <w:p w:rsidR="00C03791" w:rsidRDefault="00D2172C">
      <w:pPr>
        <w:widowControl/>
        <w:spacing w:before="734" w:after="2927"/>
        <w:ind w:right="3377"/>
      </w:pPr>
      <w:r>
        <w:rPr>
          <w:noProof/>
        </w:rPr>
        <w:lastRenderedPageBreak/>
        <w:drawing>
          <wp:inline distT="0" distB="0" distL="0" distR="0">
            <wp:extent cx="4124325" cy="14859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4325" cy="1485900"/>
                    </a:xfrm>
                    <a:prstGeom prst="rect">
                      <a:avLst/>
                    </a:prstGeom>
                    <a:noFill/>
                    <a:ln>
                      <a:noFill/>
                    </a:ln>
                  </pic:spPr>
                </pic:pic>
              </a:graphicData>
            </a:graphic>
          </wp:inline>
        </w:drawing>
      </w:r>
    </w:p>
    <w:sectPr w:rsidR="00C03791">
      <w:headerReference w:type="default" r:id="rId18"/>
      <w:pgSz w:w="12240" w:h="18720"/>
      <w:pgMar w:top="514" w:right="1667" w:bottom="869" w:left="69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791" w:rsidRDefault="00C03791">
      <w:r>
        <w:separator/>
      </w:r>
    </w:p>
  </w:endnote>
  <w:endnote w:type="continuationSeparator" w:id="0">
    <w:p w:rsidR="00C03791" w:rsidRDefault="00C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791" w:rsidRDefault="00C03791">
      <w:r>
        <w:separator/>
      </w:r>
    </w:p>
  </w:footnote>
  <w:footnote w:type="continuationSeparator" w:id="0">
    <w:p w:rsidR="00C03791" w:rsidRDefault="00C03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3791">
    <w:pPr>
      <w:pStyle w:val="Style2"/>
      <w:widowControl/>
      <w:ind w:left="-457" w:right="478"/>
      <w:rPr>
        <w:rStyle w:val="FontStyle25"/>
        <w:lang w:val="es-ES_tradnl" w:eastAsia="es-ES_tradnl"/>
      </w:rPr>
    </w:pPr>
    <w:r>
      <w:rPr>
        <w:rStyle w:val="FontStyle25"/>
        <w:lang w:val="es-ES_tradnl" w:eastAsia="es-ES_tradnl"/>
      </w:rPr>
      <w:t>SAL VAMENTO DE VOTO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3791">
    <w:pPr>
      <w:pStyle w:val="Style2"/>
      <w:widowControl/>
      <w:jc w:val="both"/>
      <w:rPr>
        <w:rStyle w:val="FontStyle25"/>
        <w:lang w:val="es-ES_tradnl" w:eastAsia="es-ES_tradnl"/>
      </w:rPr>
    </w:pPr>
    <w:r>
      <w:rPr>
        <w:rStyle w:val="FontStyle25"/>
        <w:lang w:val="es-ES_tradnl" w:eastAsia="es-ES_tradnl"/>
      </w:rPr>
      <w:t>SAL VAMESTODE VOTO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3791">
    <w:pPr>
      <w:pStyle w:val="Style10"/>
      <w:framePr w:h="259" w:hRule="exact" w:hSpace="40" w:wrap="notBeside" w:vAnchor="text" w:hAnchor="text" w:x="10113" w:y="1"/>
      <w:widowControl/>
      <w:jc w:val="right"/>
      <w:rPr>
        <w:rStyle w:val="FontStyle31"/>
        <w:spacing w:val="50"/>
        <w:lang w:val="es-ES_tradnl" w:eastAsia="es-ES_tradnl"/>
      </w:rPr>
    </w:pPr>
    <w:r>
      <w:rPr>
        <w:rStyle w:val="FontStyle31"/>
        <w:spacing w:val="50"/>
        <w:lang w:val="es-ES_tradnl" w:eastAsia="es-ES_tradnl"/>
      </w:rPr>
      <w:t>13</w:t>
    </w:r>
  </w:p>
  <w:p w:rsidR="00000000" w:rsidRDefault="00C03791">
    <w:pPr>
      <w:pStyle w:val="Style2"/>
      <w:widowControl/>
      <w:ind w:left="961"/>
      <w:jc w:val="both"/>
      <w:rPr>
        <w:rStyle w:val="FontStyle25"/>
        <w:lang w:val="es-ES_tradnl" w:eastAsia="es-ES_tradnl"/>
      </w:rPr>
    </w:pPr>
    <w:r>
      <w:rPr>
        <w:rStyle w:val="FontStyle25"/>
        <w:lang w:val="es-ES_tradnl" w:eastAsia="es-ES_tradnl"/>
      </w:rPr>
      <w:t>SAL VAM</w:t>
    </w:r>
    <w:hyperlink r:id="rId1" w:history="1">
      <w:r>
        <w:rPr>
          <w:rStyle w:val="Hipervnculo"/>
          <w:rFonts w:ascii="Bookman Old Style" w:hAnsi="Bookman Old Style" w:cs="Bookman Old Style"/>
          <w:i/>
          <w:iCs/>
          <w:sz w:val="18"/>
          <w:szCs w:val="18"/>
          <w:lang w:val="en-US" w:eastAsia="es-ES_tradnl"/>
        </w:rPr>
        <w:t>i:\TO</w:t>
      </w:r>
    </w:hyperlink>
    <w:r>
      <w:rPr>
        <w:rStyle w:val="FontStyle25"/>
        <w:lang w:val="es-ES_tradnl" w:eastAsia="es-ES_tradnl"/>
      </w:rPr>
      <w:t xml:space="preserve"> </w:t>
    </w:r>
    <w:r>
      <w:rPr>
        <w:rStyle w:val="FontStyle25"/>
        <w:spacing w:val="30"/>
        <w:lang w:val="es-ES_tradnl" w:eastAsia="es-ES_tradnl"/>
      </w:rPr>
      <w:t>Mi</w:t>
    </w:r>
    <w:r>
      <w:rPr>
        <w:rStyle w:val="FontStyle25"/>
        <w:lang w:val="es-ES_tradnl" w:eastAsia="es-ES_tradnl"/>
      </w:rPr>
      <w:t xml:space="preserve"> VOTO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3791">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3791">
    <w:pPr>
      <w:pStyle w:val="Style2"/>
      <w:widowControl/>
      <w:jc w:val="both"/>
      <w:rPr>
        <w:rStyle w:val="FontStyle25"/>
        <w:lang w:val="es-ES_tradnl" w:eastAsia="es-ES_tradnl"/>
      </w:rPr>
    </w:pPr>
    <w:r>
      <w:rPr>
        <w:rStyle w:val="FontStyle25"/>
        <w:lang w:val="es-ES_tradnl" w:eastAsia="es-ES_tradnl"/>
      </w:rPr>
      <w:t>SAL VAMESTODE VOTO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3791">
    <w:pPr>
      <w:pStyle w:val="Style2"/>
      <w:widowControl/>
      <w:ind w:left="-1868" w:right="-1981"/>
      <w:rPr>
        <w:rStyle w:val="FontStyle25"/>
        <w:lang w:val="es-ES_tradnl" w:eastAsia="es-ES_tradnl"/>
      </w:rPr>
    </w:pPr>
    <w:r>
      <w:rPr>
        <w:rStyle w:val="FontStyle25"/>
        <w:lang w:val="es-ES_tradnl" w:eastAsia="es-ES_tradnl"/>
      </w:rPr>
      <w:t>SAL VAMENTO DE VOTO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3791">
    <w:pPr>
      <w:pStyle w:val="Style2"/>
      <w:widowControl/>
      <w:ind w:left="-1411" w:right="-2459"/>
      <w:jc w:val="both"/>
      <w:rPr>
        <w:rStyle w:val="FontStyle25"/>
        <w:lang w:val="es-ES_tradnl" w:eastAsia="es-ES_tradnl"/>
      </w:rPr>
    </w:pPr>
    <w:r>
      <w:rPr>
        <w:rStyle w:val="FontStyle25"/>
        <w:lang w:val="es-ES_tradnl" w:eastAsia="es-ES_tradnl"/>
      </w:rPr>
      <w:t>SAL VAMESTODE VOTO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3791">
    <w:pPr>
      <w:pStyle w:val="Style2"/>
      <w:widowControl/>
      <w:ind w:left="-1883" w:right="-3727"/>
      <w:rPr>
        <w:rStyle w:val="FontStyle25"/>
        <w:lang w:val="es-ES_tradnl" w:eastAsia="es-ES_tradnl"/>
      </w:rPr>
    </w:pPr>
    <w:r>
      <w:rPr>
        <w:rStyle w:val="FontStyle25"/>
        <w:lang w:val="es-ES_tradnl" w:eastAsia="es-ES_tradnl"/>
      </w:rPr>
      <w:t>SAL VAMENTO DE VOTO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3791">
    <w:pPr>
      <w:pStyle w:val="Style2"/>
      <w:widowControl/>
      <w:ind w:left="-1426" w:right="-4205"/>
      <w:jc w:val="both"/>
      <w:rPr>
        <w:rStyle w:val="FontStyle25"/>
        <w:lang w:val="es-ES_tradnl" w:eastAsia="es-ES_tradnl"/>
      </w:rPr>
    </w:pPr>
    <w:r>
      <w:rPr>
        <w:rStyle w:val="FontStyle25"/>
        <w:lang w:val="es-ES_tradnl" w:eastAsia="es-ES_tradnl"/>
      </w:rPr>
      <w:t>SAL VAMESTODE VOTO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3791">
    <w:pPr>
      <w:pStyle w:val="Style2"/>
      <w:widowControl/>
      <w:ind w:left="-1872" w:right="-508"/>
      <w:rPr>
        <w:rStyle w:val="FontStyle25"/>
        <w:lang w:val="es-ES_tradnl" w:eastAsia="es-ES_tradnl"/>
      </w:rPr>
    </w:pPr>
    <w:r>
      <w:rPr>
        <w:rStyle w:val="FontStyle25"/>
        <w:lang w:val="es-ES_tradnl" w:eastAsia="es-ES_tradnl"/>
      </w:rPr>
      <w:t>SAL VAMENTO DE VOTO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3791">
    <w:pPr>
      <w:pStyle w:val="Style2"/>
      <w:widowControl/>
      <w:ind w:left="-1415" w:right="-986"/>
      <w:jc w:val="both"/>
      <w:rPr>
        <w:rStyle w:val="FontStyle25"/>
        <w:lang w:val="es-ES_tradnl" w:eastAsia="es-ES_tradnl"/>
      </w:rPr>
    </w:pPr>
    <w:r>
      <w:rPr>
        <w:rStyle w:val="FontStyle25"/>
        <w:lang w:val="es-ES_tradnl" w:eastAsia="es-ES_tradnl"/>
      </w:rPr>
      <w:t>SAL VAMESTODE VOTO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3791">
    <w:pPr>
      <w:pStyle w:val="Style2"/>
      <w:widowControl/>
      <w:ind w:left="-457" w:right="478"/>
      <w:rPr>
        <w:rStyle w:val="FontStyle25"/>
        <w:lang w:val="es-ES_tradnl" w:eastAsia="es-ES_tradnl"/>
      </w:rPr>
    </w:pPr>
    <w:r>
      <w:rPr>
        <w:rStyle w:val="FontStyle25"/>
        <w:lang w:val="es-ES_tradnl" w:eastAsia="es-ES_tradnl"/>
      </w:rPr>
      <w:t>SAL VAMENTO DE VOTO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2C"/>
    <w:rsid w:val="00C03791"/>
    <w:rsid w:val="00D21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8A6F6A-0968-4B63-869C-95C2EA2F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27" w:lineRule="exact"/>
      <w:jc w:val="right"/>
    </w:pPr>
  </w:style>
  <w:style w:type="paragraph" w:customStyle="1" w:styleId="Style5">
    <w:name w:val="Style5"/>
    <w:basedOn w:val="Normal"/>
    <w:uiPriority w:val="99"/>
    <w:pPr>
      <w:jc w:val="both"/>
    </w:pPr>
  </w:style>
  <w:style w:type="paragraph" w:customStyle="1" w:styleId="Style6">
    <w:name w:val="Style6"/>
    <w:basedOn w:val="Normal"/>
    <w:uiPriority w:val="99"/>
    <w:pPr>
      <w:spacing w:line="385" w:lineRule="exact"/>
      <w:jc w:val="both"/>
    </w:pPr>
  </w:style>
  <w:style w:type="paragraph" w:customStyle="1" w:styleId="Style7">
    <w:name w:val="Style7"/>
    <w:basedOn w:val="Normal"/>
    <w:uiPriority w:val="99"/>
    <w:pPr>
      <w:spacing w:line="421" w:lineRule="exact"/>
      <w:jc w:val="both"/>
    </w:pPr>
  </w:style>
  <w:style w:type="paragraph" w:customStyle="1" w:styleId="Style8">
    <w:name w:val="Style8"/>
    <w:basedOn w:val="Normal"/>
    <w:uiPriority w:val="99"/>
    <w:pPr>
      <w:jc w:val="both"/>
    </w:pPr>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pPr>
      <w:spacing w:line="220" w:lineRule="exact"/>
      <w:jc w:val="right"/>
    </w:pPr>
  </w:style>
  <w:style w:type="paragraph" w:customStyle="1" w:styleId="Style12">
    <w:name w:val="Style12"/>
    <w:basedOn w:val="Normal"/>
    <w:uiPriority w:val="99"/>
    <w:pPr>
      <w:spacing w:line="279" w:lineRule="exact"/>
      <w:jc w:val="both"/>
    </w:pPr>
  </w:style>
  <w:style w:type="paragraph" w:customStyle="1" w:styleId="Style13">
    <w:name w:val="Style13"/>
    <w:basedOn w:val="Normal"/>
    <w:uiPriority w:val="99"/>
    <w:pPr>
      <w:spacing w:line="398" w:lineRule="exact"/>
      <w:jc w:val="both"/>
    </w:pPr>
  </w:style>
  <w:style w:type="paragraph" w:customStyle="1" w:styleId="Style14">
    <w:name w:val="Style14"/>
    <w:basedOn w:val="Normal"/>
    <w:uiPriority w:val="99"/>
    <w:pPr>
      <w:spacing w:line="279" w:lineRule="exact"/>
      <w:jc w:val="both"/>
    </w:pPr>
  </w:style>
  <w:style w:type="paragraph" w:customStyle="1" w:styleId="Style15">
    <w:name w:val="Style15"/>
    <w:basedOn w:val="Normal"/>
    <w:uiPriority w:val="99"/>
    <w:pPr>
      <w:spacing w:line="223" w:lineRule="exact"/>
      <w:jc w:val="right"/>
    </w:pPr>
  </w:style>
  <w:style w:type="paragraph" w:customStyle="1" w:styleId="Style16">
    <w:name w:val="Style16"/>
    <w:basedOn w:val="Normal"/>
    <w:uiPriority w:val="99"/>
    <w:pPr>
      <w:spacing w:line="278" w:lineRule="exact"/>
      <w:jc w:val="both"/>
    </w:pPr>
  </w:style>
  <w:style w:type="character" w:customStyle="1" w:styleId="FontStyle18">
    <w:name w:val="Font Style18"/>
    <w:basedOn w:val="Fuentedeprrafopredeter"/>
    <w:uiPriority w:val="99"/>
    <w:rPr>
      <w:rFonts w:ascii="Arial" w:hAnsi="Arial" w:cs="Arial"/>
      <w:smallCaps/>
      <w:color w:val="000000"/>
      <w:w w:val="150"/>
      <w:sz w:val="26"/>
      <w:szCs w:val="26"/>
    </w:rPr>
  </w:style>
  <w:style w:type="character" w:customStyle="1" w:styleId="FontStyle19">
    <w:name w:val="Font Style19"/>
    <w:basedOn w:val="Fuentedeprrafopredeter"/>
    <w:uiPriority w:val="99"/>
    <w:rPr>
      <w:rFonts w:ascii="Arial" w:hAnsi="Arial" w:cs="Arial"/>
      <w:color w:val="000000"/>
      <w:sz w:val="20"/>
      <w:szCs w:val="20"/>
    </w:rPr>
  </w:style>
  <w:style w:type="character" w:customStyle="1" w:styleId="FontStyle20">
    <w:name w:val="Font Style20"/>
    <w:basedOn w:val="Fuentedeprrafopredeter"/>
    <w:uiPriority w:val="99"/>
    <w:rPr>
      <w:rFonts w:ascii="Arial" w:hAnsi="Arial" w:cs="Arial"/>
      <w:smallCaps/>
      <w:color w:val="000000"/>
      <w:sz w:val="22"/>
      <w:szCs w:val="22"/>
    </w:rPr>
  </w:style>
  <w:style w:type="character" w:customStyle="1" w:styleId="FontStyle21">
    <w:name w:val="Font Style21"/>
    <w:basedOn w:val="Fuentedeprrafopredeter"/>
    <w:uiPriority w:val="99"/>
    <w:rPr>
      <w:rFonts w:ascii="Arial" w:hAnsi="Arial" w:cs="Arial"/>
      <w:smallCaps/>
      <w:color w:val="000000"/>
      <w:sz w:val="24"/>
      <w:szCs w:val="24"/>
    </w:rPr>
  </w:style>
  <w:style w:type="character" w:customStyle="1" w:styleId="FontStyle22">
    <w:name w:val="Font Style22"/>
    <w:basedOn w:val="Fuentedeprrafopredeter"/>
    <w:uiPriority w:val="99"/>
    <w:rPr>
      <w:rFonts w:ascii="Arial" w:hAnsi="Arial" w:cs="Arial"/>
      <w:color w:val="000000"/>
      <w:sz w:val="18"/>
      <w:szCs w:val="18"/>
    </w:rPr>
  </w:style>
  <w:style w:type="character" w:customStyle="1" w:styleId="FontStyle23">
    <w:name w:val="Font Style23"/>
    <w:basedOn w:val="Fuentedeprrafopredeter"/>
    <w:uiPriority w:val="99"/>
    <w:rPr>
      <w:rFonts w:ascii="Calibri" w:hAnsi="Calibri" w:cs="Calibri"/>
      <w:i/>
      <w:iCs/>
      <w:smallCaps/>
      <w:color w:val="000000"/>
      <w:spacing w:val="10"/>
      <w:w w:val="200"/>
      <w:sz w:val="14"/>
      <w:szCs w:val="14"/>
    </w:rPr>
  </w:style>
  <w:style w:type="character" w:customStyle="1" w:styleId="FontStyle24">
    <w:name w:val="Font Style24"/>
    <w:basedOn w:val="Fuentedeprrafopredeter"/>
    <w:uiPriority w:val="99"/>
    <w:rPr>
      <w:rFonts w:ascii="Arial Black" w:hAnsi="Arial Black" w:cs="Arial Black"/>
      <w:i/>
      <w:iCs/>
      <w:color w:val="000000"/>
      <w:spacing w:val="30"/>
      <w:sz w:val="10"/>
      <w:szCs w:val="10"/>
    </w:rPr>
  </w:style>
  <w:style w:type="character" w:customStyle="1" w:styleId="FontStyle25">
    <w:name w:val="Font Style25"/>
    <w:basedOn w:val="Fuentedeprrafopredeter"/>
    <w:uiPriority w:val="99"/>
    <w:rPr>
      <w:rFonts w:ascii="Bookman Old Style" w:hAnsi="Bookman Old Style" w:cs="Bookman Old Style"/>
      <w:i/>
      <w:iCs/>
      <w:color w:val="000000"/>
      <w:sz w:val="18"/>
      <w:szCs w:val="18"/>
    </w:rPr>
  </w:style>
  <w:style w:type="character" w:customStyle="1" w:styleId="FontStyle26">
    <w:name w:val="Font Style26"/>
    <w:basedOn w:val="Fuentedeprrafopredeter"/>
    <w:uiPriority w:val="99"/>
    <w:rPr>
      <w:rFonts w:ascii="Calibri" w:hAnsi="Calibri" w:cs="Calibri"/>
      <w:b/>
      <w:bCs/>
      <w:color w:val="000000"/>
      <w:sz w:val="14"/>
      <w:szCs w:val="14"/>
    </w:rPr>
  </w:style>
  <w:style w:type="character" w:customStyle="1" w:styleId="FontStyle27">
    <w:name w:val="Font Style27"/>
    <w:basedOn w:val="Fuentedeprrafopredeter"/>
    <w:uiPriority w:val="99"/>
    <w:rPr>
      <w:rFonts w:ascii="Arial" w:hAnsi="Arial" w:cs="Arial"/>
      <w:i/>
      <w:iCs/>
      <w:color w:val="000000"/>
      <w:sz w:val="22"/>
      <w:szCs w:val="22"/>
    </w:rPr>
  </w:style>
  <w:style w:type="character" w:customStyle="1" w:styleId="FontStyle28">
    <w:name w:val="Font Style28"/>
    <w:basedOn w:val="Fuentedeprrafopredeter"/>
    <w:uiPriority w:val="99"/>
    <w:rPr>
      <w:rFonts w:ascii="Arial" w:hAnsi="Arial" w:cs="Arial"/>
      <w:color w:val="000000"/>
      <w:sz w:val="22"/>
      <w:szCs w:val="22"/>
    </w:rPr>
  </w:style>
  <w:style w:type="character" w:customStyle="1" w:styleId="FontStyle29">
    <w:name w:val="Font Style29"/>
    <w:basedOn w:val="Fuentedeprrafopredeter"/>
    <w:uiPriority w:val="99"/>
    <w:rPr>
      <w:rFonts w:ascii="Arial Black" w:hAnsi="Arial Black" w:cs="Arial Black"/>
      <w:color w:val="000000"/>
      <w:sz w:val="10"/>
      <w:szCs w:val="10"/>
    </w:rPr>
  </w:style>
  <w:style w:type="character" w:customStyle="1" w:styleId="FontStyle30">
    <w:name w:val="Font Style30"/>
    <w:basedOn w:val="Fuentedeprrafopredeter"/>
    <w:uiPriority w:val="99"/>
    <w:rPr>
      <w:rFonts w:ascii="Arial" w:hAnsi="Arial" w:cs="Arial"/>
      <w:b/>
      <w:bCs/>
      <w:color w:val="000000"/>
      <w:sz w:val="22"/>
      <w:szCs w:val="22"/>
    </w:rPr>
  </w:style>
  <w:style w:type="character" w:customStyle="1" w:styleId="FontStyle31">
    <w:name w:val="Font Style31"/>
    <w:basedOn w:val="Fuentedeprrafopredeter"/>
    <w:uiPriority w:val="99"/>
    <w:rPr>
      <w:rFonts w:ascii="Arial" w:hAnsi="Arial" w:cs="Arial"/>
      <w:i/>
      <w:iCs/>
      <w:color w:val="000000"/>
      <w:sz w:val="22"/>
      <w:szCs w:val="22"/>
    </w:rPr>
  </w:style>
  <w:style w:type="character" w:customStyle="1" w:styleId="FontStyle32">
    <w:name w:val="Font Style32"/>
    <w:basedOn w:val="Fuentedeprrafopredeter"/>
    <w:uiPriority w:val="99"/>
    <w:rPr>
      <w:rFonts w:ascii="Arial Unicode MS" w:eastAsia="Arial Unicode MS" w:cs="Arial Unicode MS"/>
      <w:b/>
      <w:bCs/>
      <w:i/>
      <w:iCs/>
      <w:smallCaps/>
      <w:color w:val="000000"/>
      <w:spacing w:val="40"/>
      <w:sz w:val="10"/>
      <w:szCs w:val="10"/>
    </w:rPr>
  </w:style>
  <w:style w:type="character" w:customStyle="1" w:styleId="FontStyle33">
    <w:name w:val="Font Style33"/>
    <w:basedOn w:val="Fuentedeprrafopredeter"/>
    <w:uiPriority w:val="99"/>
    <w:rPr>
      <w:rFonts w:ascii="Arial Black" w:hAnsi="Arial Black" w:cs="Arial Black"/>
      <w:color w:val="000000"/>
      <w:sz w:val="10"/>
      <w:szCs w:val="10"/>
    </w:rPr>
  </w:style>
  <w:style w:type="character" w:customStyle="1" w:styleId="FontStyle34">
    <w:name w:val="Font Style34"/>
    <w:basedOn w:val="Fuentedeprrafopredeter"/>
    <w:uiPriority w:val="99"/>
    <w:rPr>
      <w:rFonts w:ascii="Microsoft Sans Serif" w:hAnsi="Microsoft Sans Serif" w:cs="Microsoft Sans Serif"/>
      <w:b/>
      <w:bCs/>
      <w:i/>
      <w:iCs/>
      <w:color w:val="000000"/>
      <w:spacing w:val="-10"/>
      <w:sz w:val="12"/>
      <w:szCs w:val="12"/>
    </w:rPr>
  </w:style>
  <w:style w:type="character" w:customStyle="1" w:styleId="FontStyle35">
    <w:name w:val="Font Style35"/>
    <w:basedOn w:val="Fuentedeprrafopredeter"/>
    <w:uiPriority w:val="99"/>
    <w:rPr>
      <w:rFonts w:ascii="Arial Black" w:hAnsi="Arial Black" w:cs="Arial Black"/>
      <w:smallCaps/>
      <w:color w:val="000000"/>
      <w:spacing w:val="30"/>
      <w:sz w:val="8"/>
      <w:szCs w:val="8"/>
    </w:rPr>
  </w:style>
  <w:style w:type="character" w:customStyle="1" w:styleId="FontStyle36">
    <w:name w:val="Font Style36"/>
    <w:basedOn w:val="Fuentedeprrafopredeter"/>
    <w:uiPriority w:val="99"/>
    <w:rPr>
      <w:rFonts w:ascii="Arial" w:hAnsi="Arial" w:cs="Arial"/>
      <w:i/>
      <w:iCs/>
      <w:color w:val="000000"/>
      <w:spacing w:val="70"/>
      <w:sz w:val="20"/>
      <w:szCs w:val="20"/>
    </w:rPr>
  </w:style>
  <w:style w:type="character" w:customStyle="1" w:styleId="FontStyle37">
    <w:name w:val="Font Style37"/>
    <w:basedOn w:val="Fuentedeprrafopredeter"/>
    <w:uiPriority w:val="99"/>
    <w:rPr>
      <w:rFonts w:ascii="Arial Black" w:hAnsi="Arial Black" w:cs="Arial Black"/>
      <w:i/>
      <w:iCs/>
      <w:color w:val="000000"/>
      <w:sz w:val="10"/>
      <w:szCs w:val="10"/>
    </w:rPr>
  </w:style>
  <w:style w:type="character" w:customStyle="1" w:styleId="FontStyle38">
    <w:name w:val="Font Style38"/>
    <w:basedOn w:val="Fuentedeprrafopredeter"/>
    <w:uiPriority w:val="99"/>
    <w:rPr>
      <w:rFonts w:ascii="Arial Black" w:hAnsi="Arial Black" w:cs="Arial Black"/>
      <w:smallCaps/>
      <w:color w:val="000000"/>
      <w:w w:val="200"/>
      <w:sz w:val="10"/>
      <w:szCs w:val="10"/>
    </w:rPr>
  </w:style>
  <w:style w:type="character" w:customStyle="1" w:styleId="FontStyle39">
    <w:name w:val="Font Style39"/>
    <w:basedOn w:val="Fuentedeprrafopredeter"/>
    <w:uiPriority w:val="99"/>
    <w:rPr>
      <w:rFonts w:ascii="Arial Black" w:hAnsi="Arial Black" w:cs="Arial Black"/>
      <w:smallCaps/>
      <w:color w:val="000000"/>
      <w:w w:val="200"/>
      <w:sz w:val="12"/>
      <w:szCs w:val="12"/>
    </w:rPr>
  </w:style>
  <w:style w:type="character" w:styleId="Hipervnculo">
    <w:name w:val="Hyperlink"/>
    <w:basedOn w:val="Fuentedeprrafopredeter"/>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_rels/header11.xml.rels><?xml version="1.0" encoding="UTF-8" standalone="yes"?>
<Relationships xmlns="http://schemas.openxmlformats.org/package/2006/relationships"><Relationship Id="rId1" Type="http://schemas.openxmlformats.org/officeDocument/2006/relationships/hyperlink" Target="file://i:/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1674</Words>
  <Characters>9209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2016-11-28T12:39:00Z</dcterms:created>
  <dcterms:modified xsi:type="dcterms:W3CDTF">2016-11-28T12:39:00Z</dcterms:modified>
</cp:coreProperties>
</file>