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2F4C">
      <w:pPr>
        <w:pStyle w:val="Style6"/>
        <w:framePr w:w="5418" w:h="2242" w:hRule="exact" w:hSpace="40" w:wrap="auto" w:vAnchor="text" w:hAnchor="text" w:x="2139" w:y="671"/>
        <w:widowControl/>
        <w:spacing w:line="533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: Acción de tutela - Primera instancia</w:t>
      </w:r>
    </w:p>
    <w:p w:rsidR="00000000" w:rsidRDefault="00E62F4C">
      <w:pPr>
        <w:pStyle w:val="Style4"/>
        <w:framePr w:w="5418" w:h="2242" w:hRule="exact" w:hSpace="40" w:wrap="auto" w:vAnchor="text" w:hAnchor="text" w:x="2139" w:y="671"/>
        <w:widowControl/>
        <w:spacing w:line="533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: 66001 -22-13-000-2016-00873-00</w:t>
      </w:r>
    </w:p>
    <w:p w:rsidR="00000000" w:rsidRDefault="00E62F4C">
      <w:pPr>
        <w:pStyle w:val="Style6"/>
        <w:framePr w:w="5418" w:h="2242" w:hRule="exact" w:hSpace="40" w:wrap="auto" w:vAnchor="text" w:hAnchor="text" w:x="2139" w:y="671"/>
        <w:widowControl/>
        <w:spacing w:line="533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: Improcedencia - Falta de alegación ante la jueza</w:t>
      </w:r>
    </w:p>
    <w:p w:rsidR="00000000" w:rsidRDefault="00E62F4C">
      <w:pPr>
        <w:pStyle w:val="Style6"/>
        <w:framePr w:w="5418" w:h="2242" w:hRule="exact" w:hSpace="40" w:wrap="auto" w:vAnchor="text" w:hAnchor="text" w:x="2139" w:y="671"/>
        <w:widowControl/>
        <w:spacing w:line="533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: Claudia María Arcila Ríos</w:t>
      </w:r>
    </w:p>
    <w:p w:rsidR="00000000" w:rsidRDefault="00E62F4C">
      <w:pPr>
        <w:pStyle w:val="Style1"/>
        <w:widowControl/>
        <w:jc w:val="right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lastRenderedPageBreak/>
        <w:t>Aclaración de voto</w:t>
      </w:r>
    </w:p>
    <w:p w:rsidR="00000000" w:rsidRDefault="00E62F4C">
      <w:pPr>
        <w:pStyle w:val="Style2"/>
        <w:widowControl/>
        <w:spacing w:line="240" w:lineRule="exact"/>
        <w:ind w:right="619"/>
        <w:rPr>
          <w:sz w:val="20"/>
          <w:szCs w:val="20"/>
        </w:rPr>
      </w:pPr>
    </w:p>
    <w:p w:rsidR="00000000" w:rsidRDefault="00E62F4C">
      <w:pPr>
        <w:pStyle w:val="Style2"/>
        <w:widowControl/>
        <w:spacing w:before="156" w:line="529" w:lineRule="exact"/>
        <w:ind w:right="619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Asunto Radicación Tema (s) Mg. Ponente</w:t>
      </w:r>
    </w:p>
    <w:p w:rsidR="00000000" w:rsidRDefault="00E62F4C">
      <w:pPr>
        <w:pStyle w:val="Style2"/>
        <w:widowControl/>
        <w:spacing w:before="156" w:line="529" w:lineRule="exact"/>
        <w:ind w:right="619"/>
        <w:rPr>
          <w:rStyle w:val="FontStyle12"/>
          <w:lang w:val="es-ES_tradnl" w:eastAsia="es-ES_tradnl"/>
        </w:rPr>
        <w:sectPr w:rsidR="00000000">
          <w:type w:val="continuous"/>
          <w:pgSz w:w="12240" w:h="18720"/>
          <w:pgMar w:top="1245" w:right="4096" w:bottom="440" w:left="3092" w:header="720" w:footer="720" w:gutter="0"/>
          <w:cols w:space="60"/>
          <w:noEndnote/>
        </w:sectPr>
      </w:pPr>
    </w:p>
    <w:p w:rsidR="00000000" w:rsidRDefault="00E62F4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E62F4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E62F4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E62F4C">
      <w:pPr>
        <w:pStyle w:val="Style7"/>
        <w:widowControl/>
        <w:spacing w:before="11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Como anoté al discutir el proyecto en Sala, difiero de la decisión final de denegar el amparo, habida consideración de que, en mi parecer, debió</w:t>
      </w:r>
      <w:r>
        <w:rPr>
          <w:rStyle w:val="FontStyle13"/>
          <w:lang w:val="es-ES_tradnl" w:eastAsia="es-ES_tradnl"/>
        </w:rPr>
        <w:t xml:space="preserve"> declararse improcedente. Esto por cuanto aprecio incumplida la subregla (v) de las causales generales de procedibilidad contra actuaciones judiciales, que dice: </w:t>
      </w:r>
      <w:r>
        <w:rPr>
          <w:rStyle w:val="FontStyle14"/>
          <w:lang w:val="es-ES_tradnl" w:eastAsia="es-ES_tradnl"/>
        </w:rPr>
        <w:t>"(...) que hubiere alegado tal vulneración en el proceso judicial siempre que esto hubiere sid</w:t>
      </w:r>
      <w:r>
        <w:rPr>
          <w:rStyle w:val="FontStyle14"/>
          <w:lang w:val="es-ES_tradnl" w:eastAsia="es-ES_tradnl"/>
        </w:rPr>
        <w:t xml:space="preserve">o posible (...)". </w:t>
      </w:r>
      <w:r>
        <w:rPr>
          <w:rStyle w:val="FontStyle13"/>
          <w:lang w:val="es-ES_tradnl" w:eastAsia="es-ES_tradnl"/>
        </w:rPr>
        <w:t>En este caso observo que la parte no</w:t>
      </w:r>
      <w:bookmarkStart w:id="0" w:name="_GoBack"/>
      <w:bookmarkEnd w:id="0"/>
      <w:r>
        <w:rPr>
          <w:rStyle w:val="FontStyle13"/>
          <w:lang w:val="es-ES_tradnl" w:eastAsia="es-ES_tradnl"/>
        </w:rPr>
        <w:t xml:space="preserve"> le hizo saber el aspecto de la competencia a la juzgadora de conocimiento, escenario natural para discutir esas disconformidades, antes que concurrir por vía de tutela.</w:t>
      </w:r>
    </w:p>
    <w:p w:rsidR="00000000" w:rsidRDefault="00E62F4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E62F4C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E62F4C">
      <w:pPr>
        <w:pStyle w:val="Style7"/>
        <w:widowControl/>
        <w:spacing w:before="2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Insisto en que el pasaje juris</w:t>
      </w:r>
      <w:r>
        <w:rPr>
          <w:rStyle w:val="FontStyle13"/>
          <w:lang w:val="es-ES_tradnl" w:eastAsia="es-ES_tradnl"/>
        </w:rPr>
        <w:t>prudencial de la CSJ del 13-03-15 (Radicado 2015-00003-01) traído en la motivación para respaldar la cuestión, tiene parámetros fácticos muy distintos a este asunto, fueron otros. En efecto, allí se dijo que los hechos "nuevos" están excluidos de la resolu</w:t>
      </w:r>
      <w:r>
        <w:rPr>
          <w:rStyle w:val="FontStyle13"/>
          <w:lang w:val="es-ES_tradnl" w:eastAsia="es-ES_tradnl"/>
        </w:rPr>
        <w:t>ción, porque violan el debido proceso y derecho de defensa de la contraparte, ya que se le sorprendería con acontecimientos de los que no se defendió.</w:t>
      </w:r>
    </w:p>
    <w:p w:rsidR="00000000" w:rsidRDefault="00E62F4C">
      <w:pPr>
        <w:pStyle w:val="Style3"/>
        <w:framePr w:w="4198" w:h="475" w:hRule="exact" w:hSpace="40" w:wrap="notBeside" w:vAnchor="text" w:hAnchor="text" w:x="5268" w:y="6265"/>
        <w:widowControl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 xml:space="preserve">Tribunal. Superior de  P e r e </w:t>
      </w:r>
      <w:r>
        <w:rPr>
          <w:rStyle w:val="FontStyle15"/>
          <w:lang w:val="es-ES_tradnl" w:eastAsia="es-ES_tradnl"/>
        </w:rPr>
        <w:t xml:space="preserve">i </w:t>
      </w:r>
      <w:r>
        <w:rPr>
          <w:rStyle w:val="FontStyle16"/>
          <w:lang w:val="es-ES_tradnl" w:eastAsia="es-ES_tradnl"/>
        </w:rPr>
        <w:t>r a</w:t>
      </w:r>
    </w:p>
    <w:p w:rsidR="00000000" w:rsidRDefault="00E62F4C">
      <w:pPr>
        <w:pStyle w:val="Style3"/>
        <w:framePr w:w="4198" w:h="475" w:hRule="exact" w:hSpace="40" w:wrap="notBeside" w:vAnchor="text" w:hAnchor="text" w:x="5268" w:y="6265"/>
        <w:widowControl/>
        <w:spacing w:before="40"/>
        <w:jc w:val="both"/>
        <w:rPr>
          <w:rStyle w:val="FontStyle16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IVtG   </w:t>
      </w:r>
      <w:r>
        <w:rPr>
          <w:rStyle w:val="FontStyle16"/>
          <w:lang w:val="es-ES_tradnl" w:eastAsia="es-ES_tradnl"/>
        </w:rPr>
        <w:t xml:space="preserve">duberney   g r i 3 </w:t>
      </w:r>
      <w:r>
        <w:rPr>
          <w:rStyle w:val="FontStyle17"/>
          <w:spacing w:val="-10"/>
          <w:lang w:val="es-ES_tradnl" w:eastAsia="es-ES_tradnl"/>
        </w:rPr>
        <w:t>/\</w:t>
      </w:r>
      <w:r>
        <w:rPr>
          <w:rStyle w:val="FontStyle17"/>
          <w:lang w:val="es-ES_tradnl" w:eastAsia="es-ES_tradnl"/>
        </w:rPr>
        <w:t xml:space="preserve"> l_ </w:t>
      </w:r>
      <w:r>
        <w:rPr>
          <w:rStyle w:val="FontStyle16"/>
          <w:lang w:val="es-ES_tradnl" w:eastAsia="es-ES_tradnl"/>
        </w:rPr>
        <w:t xml:space="preserve">e </w:t>
      </w:r>
      <w:r>
        <w:rPr>
          <w:rStyle w:val="FontStyle17"/>
          <w:lang w:val="es-ES_tradnl" w:eastAsia="es-ES_tradnl"/>
        </w:rPr>
        <w:t xml:space="preserve">S </w:t>
      </w:r>
      <w:r>
        <w:rPr>
          <w:rStyle w:val="FontStyle16"/>
          <w:lang w:val="es-ES_tradnl" w:eastAsia="es-ES_tradnl"/>
        </w:rPr>
        <w:t>herrera</w:t>
      </w:r>
    </w:p>
    <w:p w:rsidR="00000000" w:rsidRDefault="00735D73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68580" distB="624205" distL="25400" distR="25400" simplePos="0" relativeHeight="251658240" behindDoc="0" locked="0" layoutInCell="1" allowOverlap="1">
                <wp:simplePos x="0" y="0"/>
                <wp:positionH relativeFrom="margin">
                  <wp:posOffset>2603500</wp:posOffset>
                </wp:positionH>
                <wp:positionV relativeFrom="paragraph">
                  <wp:posOffset>1874520</wp:posOffset>
                </wp:positionV>
                <wp:extent cx="3643630" cy="1478915"/>
                <wp:effectExtent l="0" t="8890" r="444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478915"/>
                          <a:chOff x="5710" y="14429"/>
                          <a:chExt cx="5738" cy="232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14893"/>
                            <a:ext cx="5738" cy="1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70" y="14429"/>
                            <a:ext cx="2783" cy="2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62F4C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14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4"/>
                                  <w:lang w:val="es-ES_tradnl" w:eastAsia="es-ES_tradnl"/>
                                </w:rPr>
                                <w:t>30 de septiembre de 201</w:t>
                              </w:r>
                              <w:r>
                                <w:rPr>
                                  <w:rStyle w:val="FontStyle14"/>
                                  <w:lang w:val="es-ES_tradnl" w:eastAsia="es-ES_tradn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5pt;margin-top:147.6pt;width:286.9pt;height:116.45pt;z-index:251658240;mso-wrap-distance-left:2pt;mso-wrap-distance-top:5.4pt;mso-wrap-distance-right:2pt;mso-wrap-distance-bottom:49.15pt;mso-position-horizontal-relative:margin" coordorigin="5710,14429" coordsize="5738,2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10;top:14893;width:5738;height:1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CeXDAAAA2gAAAA8AAABkcnMvZG93bnJldi54bWxEj0uLAjEQhO+C/yG04EU00cMio1HEF8Ke&#10;fBw89k56Z2Z30hknUcf99RtB8FhU1VfUdN7YUtyo9oVjDcOBAkGcOlNwpuF03PTHIHxANlg6Jg0P&#10;8jCftVtTTIy7855uh5CJCGGfoIY8hCqR0qc5WfQDVxFH79vVFkOUdSZNjfcIt6UcKfUhLRYcF3Ks&#10;aJlT+nu4Wg1/8rpMF72f1ddnobZ7dVmfh05p3e00iwmIQE14h1/tndEwgueVe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aIJ5cMAAADaAAAADwAAAAAAAAAAAAAAAACf&#10;AgAAZHJzL2Rvd25yZXYueG1sUEsFBgAAAAAEAAQA9wAAAI8DAAAAAA==&#10;">
                  <v:imagedata r:id="rId7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70;top:14429;width:2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E62F4C">
                        <w:pPr>
                          <w:pStyle w:val="Style5"/>
                          <w:widowControl/>
                          <w:jc w:val="both"/>
                          <w:rPr>
                            <w:rStyle w:val="FontStyle14"/>
                            <w:lang w:val="es-ES_tradnl" w:eastAsia="es-ES_tradnl"/>
                          </w:rPr>
                        </w:pPr>
                        <w:r>
                          <w:rPr>
                            <w:rStyle w:val="FontStyle14"/>
                            <w:lang w:val="es-ES_tradnl" w:eastAsia="es-ES_tradnl"/>
                          </w:rPr>
                          <w:t>30 de septiembre de 201</w:t>
                        </w:r>
                        <w:r>
                          <w:rPr>
                            <w:rStyle w:val="FontStyle14"/>
                            <w:lang w:val="es-ES_tradnl" w:eastAsia="es-ES_tradnl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E62F4C">
      <w:pPr>
        <w:pStyle w:val="Style7"/>
        <w:widowControl/>
        <w:spacing w:line="240" w:lineRule="exact"/>
        <w:rPr>
          <w:sz w:val="20"/>
          <w:szCs w:val="20"/>
        </w:rPr>
      </w:pPr>
    </w:p>
    <w:p w:rsidR="00E62F4C" w:rsidRDefault="00E62F4C">
      <w:pPr>
        <w:pStyle w:val="Style7"/>
        <w:widowControl/>
        <w:spacing w:before="6" w:after="3420" w:line="49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Una lectura íntegra de la providencia se nota que, tratábase de una diligencia de entrega suspendida al momento de interponerse el amparo, y al resolver la Sala Civil, ya había sido reanudada. Sobre la reanudación fue que la CSJ consideró su abstenci</w:t>
      </w:r>
      <w:r>
        <w:rPr>
          <w:rStyle w:val="FontStyle13"/>
          <w:lang w:val="es-ES_tradnl" w:eastAsia="es-ES_tradnl"/>
        </w:rPr>
        <w:t xml:space="preserve">ón, con el argumento referido. Calificó ese hecho como </w:t>
      </w:r>
      <w:r>
        <w:rPr>
          <w:rStyle w:val="FontStyle13"/>
          <w:lang w:val="es-ES_tradnl" w:eastAsia="es-ES_tradnl"/>
        </w:rPr>
        <w:lastRenderedPageBreak/>
        <w:t>"nuevo", y es entendible: sobrevino después de formulada la tutela. Aquí NO HAY HECHOS NUEVOS.</w:t>
      </w:r>
    </w:p>
    <w:sectPr w:rsidR="00E62F4C">
      <w:type w:val="continuous"/>
      <w:pgSz w:w="12240" w:h="18720"/>
      <w:pgMar w:top="1245" w:right="1144" w:bottom="440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4C" w:rsidRDefault="00E62F4C">
      <w:r>
        <w:separator/>
      </w:r>
    </w:p>
  </w:endnote>
  <w:endnote w:type="continuationSeparator" w:id="0">
    <w:p w:rsidR="00E62F4C" w:rsidRDefault="00E6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4C" w:rsidRDefault="00E62F4C">
      <w:r>
        <w:separator/>
      </w:r>
    </w:p>
  </w:footnote>
  <w:footnote w:type="continuationSeparator" w:id="0">
    <w:p w:rsidR="00E62F4C" w:rsidRDefault="00E6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3"/>
    <w:rsid w:val="00735D73"/>
    <w:rsid w:val="00E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5A7C24C-9127-4193-B291-AF61470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532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93" w:lineRule="exact"/>
      <w:jc w:val="both"/>
    </w:pPr>
  </w:style>
  <w:style w:type="character" w:customStyle="1" w:styleId="FontStyle11">
    <w:name w:val="Font Style11"/>
    <w:basedOn w:val="Fuentedeprrafopredeter"/>
    <w:uiPriority w:val="99"/>
    <w:rPr>
      <w:rFonts w:ascii="Verdana" w:hAnsi="Verdana" w:cs="Verdana"/>
      <w:b/>
      <w:bCs/>
      <w:smallCaps/>
      <w:color w:val="000000"/>
      <w:spacing w:val="10"/>
      <w:sz w:val="28"/>
      <w:szCs w:val="28"/>
    </w:rPr>
  </w:style>
  <w:style w:type="character" w:customStyle="1" w:styleId="FontStyle12">
    <w:name w:val="Font Style12"/>
    <w:basedOn w:val="Fuentedeprrafopredeter"/>
    <w:uiPriority w:val="99"/>
    <w:rPr>
      <w:rFonts w:ascii="MS Reference Sans Serif" w:hAnsi="MS Reference Sans Serif" w:cs="MS Reference Sans Serif"/>
      <w:smallCaps/>
      <w:color w:val="000000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4">
    <w:name w:val="Font Style14"/>
    <w:basedOn w:val="Fuentedeprrafopredeter"/>
    <w:uiPriority w:val="99"/>
    <w:rPr>
      <w:rFonts w:ascii="MS Reference Sans Serif" w:hAnsi="MS Reference Sans Serif" w:cs="MS Reference Sans Serif"/>
      <w:i/>
      <w:iCs/>
      <w:color w:val="000000"/>
      <w:sz w:val="18"/>
      <w:szCs w:val="18"/>
    </w:rPr>
  </w:style>
  <w:style w:type="character" w:customStyle="1" w:styleId="FontStyle15">
    <w:name w:val="Font Style15"/>
    <w:basedOn w:val="Fuentedeprrafopredeter"/>
    <w:uiPriority w:val="99"/>
    <w:rPr>
      <w:rFonts w:ascii="Tahoma" w:hAnsi="Tahoma" w:cs="Tahoma"/>
      <w:smallCaps/>
      <w:color w:val="000000"/>
      <w:sz w:val="8"/>
      <w:szCs w:val="8"/>
    </w:rPr>
  </w:style>
  <w:style w:type="character" w:customStyle="1" w:styleId="FontStyle16">
    <w:name w:val="Font Style16"/>
    <w:basedOn w:val="Fuentedeprrafopredeter"/>
    <w:uiPriority w:val="99"/>
    <w:rPr>
      <w:rFonts w:ascii="Calibri" w:hAnsi="Calibri" w:cs="Calibri"/>
      <w:smallCaps/>
      <w:color w:val="000000"/>
      <w:spacing w:val="30"/>
      <w:w w:val="200"/>
      <w:sz w:val="16"/>
      <w:szCs w:val="16"/>
    </w:rPr>
  </w:style>
  <w:style w:type="character" w:customStyle="1" w:styleId="FontStyle17">
    <w:name w:val="Font Style17"/>
    <w:basedOn w:val="Fuentedeprrafopredeter"/>
    <w:uiPriority w:val="99"/>
    <w:rPr>
      <w:rFonts w:ascii="Bookman Old Style" w:hAnsi="Bookman Old Style" w:cs="Bookman Old Style"/>
      <w:color w:val="000000"/>
      <w:sz w:val="10"/>
      <w:szCs w:val="1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Lora Rodriguez</dc:creator>
  <cp:keywords/>
  <dc:description/>
  <cp:lastModifiedBy>Henry Lora Rodriguez</cp:lastModifiedBy>
  <cp:revision>2</cp:revision>
  <dcterms:created xsi:type="dcterms:W3CDTF">2016-11-28T12:37:00Z</dcterms:created>
  <dcterms:modified xsi:type="dcterms:W3CDTF">2016-11-28T12:37:00Z</dcterms:modified>
</cp:coreProperties>
</file>