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A1" w:rsidRPr="001C172C" w:rsidRDefault="00AB72A1" w:rsidP="001C172C">
      <w:pPr>
        <w:pStyle w:val="Sinespaciado"/>
        <w:jc w:val="both"/>
        <w:rPr>
          <w:rFonts w:asciiTheme="minorHAnsi" w:hAnsiTheme="minorHAnsi"/>
          <w:sz w:val="18"/>
          <w:szCs w:val="18"/>
        </w:rPr>
      </w:pPr>
    </w:p>
    <w:p w:rsidR="003C33A9" w:rsidRPr="001C172C" w:rsidRDefault="00AB72A1" w:rsidP="001C172C">
      <w:pPr>
        <w:pStyle w:val="Sinespaciado"/>
        <w:jc w:val="both"/>
        <w:rPr>
          <w:rFonts w:asciiTheme="minorHAnsi" w:hAnsiTheme="minorHAnsi" w:cs="Arial"/>
          <w:sz w:val="18"/>
          <w:szCs w:val="18"/>
        </w:rPr>
      </w:pPr>
      <w:r w:rsidRPr="001C172C">
        <w:rPr>
          <w:rFonts w:asciiTheme="minorHAnsi" w:hAnsiTheme="minorHAnsi"/>
          <w:b/>
          <w:sz w:val="18"/>
          <w:szCs w:val="18"/>
        </w:rPr>
        <w:t>Tema:</w:t>
      </w:r>
      <w:r w:rsidRPr="001C172C">
        <w:rPr>
          <w:rFonts w:asciiTheme="minorHAnsi" w:hAnsiTheme="minorHAnsi"/>
          <w:b/>
          <w:sz w:val="18"/>
          <w:szCs w:val="18"/>
        </w:rPr>
        <w:tab/>
      </w:r>
      <w:r w:rsidRPr="001C172C">
        <w:rPr>
          <w:rFonts w:asciiTheme="minorHAnsi" w:hAnsiTheme="minorHAnsi"/>
          <w:b/>
          <w:sz w:val="18"/>
          <w:szCs w:val="18"/>
        </w:rPr>
        <w:tab/>
      </w:r>
      <w:r w:rsidRPr="001C172C">
        <w:rPr>
          <w:rFonts w:asciiTheme="minorHAnsi" w:hAnsiTheme="minorHAnsi"/>
          <w:b/>
          <w:sz w:val="18"/>
          <w:szCs w:val="18"/>
        </w:rPr>
        <w:tab/>
      </w:r>
      <w:r w:rsidRPr="001C172C">
        <w:rPr>
          <w:rFonts w:asciiTheme="minorHAnsi" w:hAnsiTheme="minorHAnsi"/>
          <w:b/>
          <w:sz w:val="18"/>
          <w:szCs w:val="18"/>
        </w:rPr>
        <w:tab/>
        <w:t>DERECHO DE PETICIÓN</w:t>
      </w:r>
      <w:r w:rsidRPr="001C172C">
        <w:rPr>
          <w:rFonts w:asciiTheme="minorHAnsi" w:hAnsiTheme="minorHAnsi"/>
          <w:b/>
          <w:spacing w:val="-4"/>
          <w:sz w:val="18"/>
          <w:szCs w:val="18"/>
        </w:rPr>
        <w:t xml:space="preserve"> / CONFIRMA LA DECISIÓN / </w:t>
      </w:r>
      <w:r w:rsidR="003C33A9" w:rsidRPr="001C172C">
        <w:rPr>
          <w:rFonts w:asciiTheme="minorHAnsi" w:hAnsiTheme="minorHAnsi"/>
          <w:b/>
          <w:spacing w:val="-4"/>
          <w:sz w:val="18"/>
          <w:szCs w:val="18"/>
        </w:rPr>
        <w:t xml:space="preserve">CARENCIA ACTUAL DE OBJETO POR </w:t>
      </w:r>
      <w:r w:rsidRPr="001C172C">
        <w:rPr>
          <w:rFonts w:asciiTheme="minorHAnsi" w:hAnsiTheme="minorHAnsi"/>
          <w:b/>
          <w:spacing w:val="-4"/>
          <w:sz w:val="18"/>
          <w:szCs w:val="18"/>
        </w:rPr>
        <w:t>HECHO SUPERADO</w:t>
      </w:r>
      <w:r w:rsidR="003C33A9" w:rsidRPr="001C172C">
        <w:rPr>
          <w:rFonts w:asciiTheme="minorHAnsi" w:hAnsiTheme="minorHAnsi"/>
          <w:b/>
          <w:spacing w:val="-4"/>
          <w:sz w:val="18"/>
          <w:szCs w:val="18"/>
        </w:rPr>
        <w:t xml:space="preserve"> /</w:t>
      </w:r>
      <w:r w:rsidRPr="001C172C">
        <w:rPr>
          <w:rFonts w:asciiTheme="minorHAnsi" w:hAnsiTheme="minorHAnsi"/>
          <w:spacing w:val="-4"/>
          <w:sz w:val="18"/>
          <w:szCs w:val="18"/>
        </w:rPr>
        <w:t xml:space="preserve"> “</w:t>
      </w:r>
      <w:r w:rsidR="003C33A9" w:rsidRPr="001C172C">
        <w:rPr>
          <w:rFonts w:asciiTheme="minorHAnsi" w:hAnsiTheme="minorHAnsi" w:cs="Arial"/>
          <w:sz w:val="18"/>
          <w:szCs w:val="18"/>
        </w:rPr>
        <w:t>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w:t>
      </w:r>
    </w:p>
    <w:p w:rsidR="003C33A9" w:rsidRPr="001C172C" w:rsidRDefault="003C33A9" w:rsidP="001C172C">
      <w:pPr>
        <w:pStyle w:val="Sinespaciado"/>
        <w:jc w:val="both"/>
        <w:rPr>
          <w:rFonts w:asciiTheme="minorHAnsi" w:hAnsiTheme="minorHAnsi" w:cs="Arial"/>
          <w:sz w:val="18"/>
          <w:szCs w:val="18"/>
        </w:rPr>
      </w:pPr>
    </w:p>
    <w:p w:rsidR="003C33A9" w:rsidRPr="001C172C" w:rsidRDefault="003C33A9" w:rsidP="001C172C">
      <w:pPr>
        <w:pStyle w:val="Sinespaciado"/>
        <w:jc w:val="both"/>
        <w:rPr>
          <w:rFonts w:asciiTheme="minorHAnsi" w:hAnsiTheme="minorHAnsi"/>
          <w:spacing w:val="-4"/>
          <w:sz w:val="18"/>
          <w:szCs w:val="18"/>
        </w:rPr>
      </w:pPr>
      <w:r w:rsidRPr="001C172C">
        <w:rPr>
          <w:rFonts w:asciiTheme="minorHAnsi" w:hAnsiTheme="minorHAnsi" w:cs="Arial"/>
          <w:sz w:val="18"/>
          <w:szCs w:val="18"/>
        </w:rPr>
        <w:t>En tratándose de la primera hipótesis dispuso la Corte Constitucional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Asimismo, se ha indicado que se configura por la ausencia de interés jurídico o sustracción de materia</w:t>
      </w:r>
      <w:r w:rsidR="001C172C">
        <w:rPr>
          <w:rFonts w:asciiTheme="minorHAnsi" w:hAnsiTheme="minorHAnsi" w:cs="Arial"/>
          <w:sz w:val="18"/>
          <w:szCs w:val="18"/>
        </w:rPr>
        <w:t>”</w:t>
      </w:r>
    </w:p>
    <w:p w:rsidR="003C33A9" w:rsidRPr="001C172C" w:rsidRDefault="003C33A9" w:rsidP="001C172C">
      <w:pPr>
        <w:pStyle w:val="Sinespaciado"/>
        <w:jc w:val="both"/>
        <w:rPr>
          <w:rFonts w:asciiTheme="minorHAnsi" w:hAnsiTheme="minorHAnsi"/>
          <w:spacing w:val="-4"/>
          <w:sz w:val="18"/>
          <w:szCs w:val="18"/>
        </w:rPr>
      </w:pPr>
    </w:p>
    <w:p w:rsidR="003C33A9" w:rsidRPr="001C172C" w:rsidRDefault="003C33A9" w:rsidP="001C172C">
      <w:pPr>
        <w:pStyle w:val="Sinespaciado"/>
        <w:jc w:val="both"/>
        <w:rPr>
          <w:rFonts w:asciiTheme="minorHAnsi" w:hAnsiTheme="minorHAnsi"/>
          <w:spacing w:val="-4"/>
          <w:sz w:val="18"/>
          <w:szCs w:val="18"/>
        </w:rPr>
      </w:pPr>
      <w:r w:rsidRPr="001C172C">
        <w:rPr>
          <w:rFonts w:asciiTheme="minorHAnsi" w:hAnsiTheme="minorHAnsi"/>
          <w:spacing w:val="-4"/>
          <w:sz w:val="18"/>
          <w:szCs w:val="18"/>
        </w:rPr>
        <w:t>(…)</w:t>
      </w:r>
    </w:p>
    <w:p w:rsidR="003C33A9" w:rsidRPr="001C172C" w:rsidRDefault="003C33A9" w:rsidP="001C172C">
      <w:pPr>
        <w:pStyle w:val="Sinespaciado"/>
        <w:jc w:val="both"/>
        <w:rPr>
          <w:rFonts w:asciiTheme="minorHAnsi" w:hAnsiTheme="minorHAnsi"/>
          <w:spacing w:val="-4"/>
          <w:sz w:val="18"/>
          <w:szCs w:val="18"/>
        </w:rPr>
      </w:pPr>
      <w:bookmarkStart w:id="0" w:name="_GoBack"/>
      <w:bookmarkEnd w:id="0"/>
    </w:p>
    <w:p w:rsidR="003C33A9" w:rsidRDefault="001C172C" w:rsidP="001C172C">
      <w:pPr>
        <w:pStyle w:val="Sinespaciado"/>
        <w:jc w:val="both"/>
        <w:rPr>
          <w:rFonts w:asciiTheme="minorHAnsi" w:hAnsiTheme="minorHAnsi"/>
          <w:sz w:val="18"/>
          <w:szCs w:val="18"/>
        </w:rPr>
      </w:pPr>
      <w:r>
        <w:rPr>
          <w:rFonts w:asciiTheme="minorHAnsi" w:hAnsiTheme="minorHAnsi"/>
          <w:sz w:val="18"/>
          <w:szCs w:val="18"/>
        </w:rPr>
        <w:t>“</w:t>
      </w:r>
      <w:r w:rsidR="003C33A9" w:rsidRPr="001C172C">
        <w:rPr>
          <w:rFonts w:asciiTheme="minorHAnsi" w:hAnsiTheme="minorHAnsi"/>
          <w:sz w:val="18"/>
          <w:szCs w:val="18"/>
        </w:rPr>
        <w:t xml:space="preserve">Se pretendía con la acción se ordenara dar respuesta al derecho de petición radicado el 06-05-2016, relacionado con la corrección de la historia laboral del señor Gabriel de Jesús Calle Cardona como afiliado de </w:t>
      </w:r>
      <w:proofErr w:type="spellStart"/>
      <w:r w:rsidR="003C33A9" w:rsidRPr="001C172C">
        <w:rPr>
          <w:rFonts w:asciiTheme="minorHAnsi" w:hAnsiTheme="minorHAnsi"/>
          <w:sz w:val="18"/>
          <w:szCs w:val="18"/>
        </w:rPr>
        <w:t>Colpensiones</w:t>
      </w:r>
      <w:proofErr w:type="spellEnd"/>
      <w:r w:rsidR="003C33A9" w:rsidRPr="001C172C">
        <w:rPr>
          <w:rFonts w:asciiTheme="minorHAnsi" w:hAnsiTheme="minorHAnsi"/>
          <w:sz w:val="18"/>
          <w:szCs w:val="18"/>
        </w:rPr>
        <w:t xml:space="preserve">, </w:t>
      </w:r>
      <w:r w:rsidR="003C33A9" w:rsidRPr="001C172C">
        <w:rPr>
          <w:rFonts w:asciiTheme="minorHAnsi" w:hAnsiTheme="minorHAnsi" w:cs="Arial"/>
          <w:sz w:val="18"/>
          <w:szCs w:val="18"/>
        </w:rPr>
        <w:t xml:space="preserve">y </w:t>
      </w:r>
      <w:r w:rsidR="003C33A9" w:rsidRPr="001C172C">
        <w:rPr>
          <w:rFonts w:asciiTheme="minorHAnsi" w:hAnsiTheme="minorHAnsi" w:cs="Arial"/>
          <w:sz w:val="18"/>
          <w:szCs w:val="18"/>
          <w:lang w:val="es-CO" w:eastAsia="es-CO"/>
        </w:rPr>
        <w:t xml:space="preserve">según lo informa el Vicepresidente Jurídico y Secretario General (A) de esa entidad, la solicitud fue resuelta por la Gerencia Nacional de Operaciones RPM mediante el oficio No.BZ2016_9871081 del 26-08-2016, comunicado el día 30-08-2016 (Folio 28, cuaderno No.1), mediante el cual le informó sobre la correcta acreditación de algunos reportes y la ausencia de registro de otros pagos, invitándolo a arrimar la prueba de su realización, lo que se constató en esta instancia (Folio </w:t>
      </w:r>
      <w:r w:rsidR="003C33A9" w:rsidRPr="001C172C">
        <w:rPr>
          <w:rFonts w:asciiTheme="minorHAnsi" w:hAnsiTheme="minorHAnsi"/>
          <w:sz w:val="18"/>
          <w:szCs w:val="18"/>
        </w:rPr>
        <w:t>9 vto.</w:t>
      </w:r>
      <w:r w:rsidR="003C33A9" w:rsidRPr="001C172C">
        <w:rPr>
          <w:rFonts w:asciiTheme="minorHAnsi" w:hAnsiTheme="minorHAnsi" w:cs="Arial"/>
          <w:sz w:val="18"/>
          <w:szCs w:val="18"/>
          <w:lang w:val="es-CO" w:eastAsia="es-CO"/>
        </w:rPr>
        <w:t>, este cuaderno)</w:t>
      </w:r>
      <w:r w:rsidR="003C33A9" w:rsidRPr="001C172C">
        <w:rPr>
          <w:rFonts w:asciiTheme="minorHAnsi" w:hAnsiTheme="minorHAnsi"/>
          <w:sz w:val="18"/>
          <w:szCs w:val="18"/>
        </w:rPr>
        <w:t xml:space="preserve">. </w:t>
      </w:r>
    </w:p>
    <w:p w:rsidR="001C172C" w:rsidRPr="001C172C" w:rsidRDefault="001C172C" w:rsidP="001C172C">
      <w:pPr>
        <w:pStyle w:val="Sinespaciado"/>
        <w:jc w:val="both"/>
        <w:rPr>
          <w:rFonts w:asciiTheme="minorHAnsi" w:hAnsiTheme="minorHAnsi"/>
          <w:sz w:val="18"/>
          <w:szCs w:val="18"/>
        </w:rPr>
      </w:pPr>
    </w:p>
    <w:p w:rsidR="003C33A9" w:rsidRPr="001C172C" w:rsidRDefault="003C33A9" w:rsidP="001C172C">
      <w:pPr>
        <w:pStyle w:val="Sinespaciado"/>
        <w:jc w:val="both"/>
        <w:rPr>
          <w:rFonts w:asciiTheme="minorHAnsi" w:hAnsiTheme="minorHAnsi" w:cs="Arial"/>
          <w:sz w:val="18"/>
          <w:szCs w:val="18"/>
        </w:rPr>
      </w:pPr>
      <w:r w:rsidRPr="001C172C">
        <w:rPr>
          <w:rFonts w:asciiTheme="minorHAnsi" w:hAnsiTheme="minorHAnsi" w:cs="Arial"/>
          <w:sz w:val="18"/>
          <w:szCs w:val="18"/>
          <w:lang w:val="es-CO" w:eastAsia="es-CO"/>
        </w:rPr>
        <w:t xml:space="preserve">Por lo tanto, si hubo vulneración o amenaza al derecho de petición, cesó; en consecuencia </w:t>
      </w:r>
      <w:r w:rsidRPr="001C172C">
        <w:rPr>
          <w:rFonts w:asciiTheme="minorHAnsi" w:hAnsiTheme="minorHAnsi" w:cs="Arial"/>
          <w:sz w:val="18"/>
          <w:szCs w:val="18"/>
        </w:rPr>
        <w:t>no hay objeto jurídico sobre el cual fallar y la decisión que se adopte resultará inútil. De esta manera, se configura el hecho superado, pues la pretensión se encuentra sat</w:t>
      </w:r>
      <w:r w:rsidR="001C172C">
        <w:rPr>
          <w:rFonts w:asciiTheme="minorHAnsi" w:hAnsiTheme="minorHAnsi" w:cs="Arial"/>
          <w:sz w:val="18"/>
          <w:szCs w:val="18"/>
        </w:rPr>
        <w:t>isfecha y los derechos a salvo.”</w:t>
      </w:r>
    </w:p>
    <w:p w:rsidR="00AB72A1" w:rsidRPr="001C172C" w:rsidRDefault="00AB72A1" w:rsidP="001C172C">
      <w:pPr>
        <w:pStyle w:val="Sinespaciado"/>
        <w:jc w:val="both"/>
        <w:rPr>
          <w:rFonts w:asciiTheme="minorHAnsi" w:hAnsiTheme="minorHAnsi"/>
          <w:sz w:val="18"/>
          <w:szCs w:val="18"/>
        </w:rPr>
      </w:pPr>
    </w:p>
    <w:p w:rsidR="001C172C" w:rsidRPr="001C172C" w:rsidRDefault="00AB72A1" w:rsidP="001C172C">
      <w:pPr>
        <w:pStyle w:val="Sinespaciado"/>
        <w:jc w:val="both"/>
        <w:rPr>
          <w:rFonts w:asciiTheme="minorHAnsi" w:hAnsiTheme="minorHAnsi"/>
          <w:sz w:val="18"/>
          <w:szCs w:val="18"/>
        </w:rPr>
      </w:pPr>
      <w:r w:rsidRPr="001C172C">
        <w:rPr>
          <w:rFonts w:asciiTheme="minorHAnsi" w:hAnsiTheme="minorHAnsi"/>
          <w:b/>
          <w:sz w:val="18"/>
          <w:szCs w:val="18"/>
        </w:rPr>
        <w:t>Citación jurisprudencial:</w:t>
      </w:r>
      <w:r w:rsidRPr="001C172C">
        <w:rPr>
          <w:rFonts w:asciiTheme="minorHAnsi" w:hAnsiTheme="minorHAnsi"/>
          <w:sz w:val="18"/>
          <w:szCs w:val="18"/>
        </w:rPr>
        <w:t xml:space="preserve"> </w:t>
      </w:r>
      <w:r w:rsidR="001C172C" w:rsidRPr="001C172C">
        <w:rPr>
          <w:rFonts w:asciiTheme="minorHAnsi" w:hAnsiTheme="minorHAnsi" w:cs="Courier New"/>
          <w:sz w:val="18"/>
          <w:szCs w:val="18"/>
          <w:lang w:val="es-AR"/>
        </w:rPr>
        <w:t xml:space="preserve">Sentencia T-079 de 2010. / Sentencias </w:t>
      </w:r>
      <w:r w:rsidR="001C172C" w:rsidRPr="001C172C">
        <w:rPr>
          <w:rFonts w:asciiTheme="minorHAnsi" w:hAnsiTheme="minorHAnsi"/>
          <w:sz w:val="18"/>
          <w:szCs w:val="18"/>
          <w:lang w:val="es-AR"/>
        </w:rPr>
        <w:t xml:space="preserve">T-162 de 2010, T-034 de 2010 y T-099 de 2008. / </w:t>
      </w:r>
      <w:r w:rsidR="001C172C" w:rsidRPr="001C172C">
        <w:rPr>
          <w:rFonts w:asciiTheme="minorHAnsi" w:hAnsiTheme="minorHAnsi" w:cs="Courier New"/>
          <w:sz w:val="18"/>
          <w:szCs w:val="18"/>
          <w:lang w:val="es-AR"/>
        </w:rPr>
        <w:t>Sentencias</w:t>
      </w:r>
      <w:r w:rsidR="001C172C" w:rsidRPr="001C172C">
        <w:rPr>
          <w:rFonts w:asciiTheme="minorHAnsi" w:hAnsiTheme="minorHAnsi"/>
          <w:sz w:val="18"/>
          <w:szCs w:val="18"/>
          <w:lang w:val="es-AR"/>
        </w:rPr>
        <w:t xml:space="preserve"> T-623 de 2011, T-498 de 2011, T-180 de 2009, T-989 de 2008, T-972 de 2005, T-822 de 2002, T-626 de 2000 y T-315 de 2000. / Sentencia</w:t>
      </w:r>
      <w:r w:rsidR="001C172C" w:rsidRPr="001C172C">
        <w:rPr>
          <w:rFonts w:asciiTheme="minorHAnsi" w:hAnsiTheme="minorHAnsi"/>
          <w:sz w:val="18"/>
          <w:szCs w:val="18"/>
          <w:lang w:val="es-CO"/>
        </w:rPr>
        <w:t xml:space="preserve"> T-970 de 2014. / </w:t>
      </w:r>
      <w:r w:rsidR="001C172C" w:rsidRPr="001C172C">
        <w:rPr>
          <w:rFonts w:asciiTheme="minorHAnsi" w:hAnsiTheme="minorHAnsi"/>
          <w:bCs/>
          <w:sz w:val="18"/>
          <w:szCs w:val="18"/>
          <w:lang w:val="es-CO"/>
        </w:rPr>
        <w:t xml:space="preserve">Sentencia T-011 de 2016. / </w:t>
      </w:r>
      <w:r w:rsidR="001C172C" w:rsidRPr="001C172C">
        <w:rPr>
          <w:rFonts w:asciiTheme="minorHAnsi" w:hAnsiTheme="minorHAnsi"/>
          <w:sz w:val="18"/>
          <w:szCs w:val="18"/>
          <w:lang w:val="es-CO"/>
        </w:rPr>
        <w:t xml:space="preserve">Sentencia SU-540 de 2007, reiterada en la sentencia </w:t>
      </w:r>
      <w:r w:rsidR="001C172C" w:rsidRPr="001C172C">
        <w:rPr>
          <w:rFonts w:asciiTheme="minorHAnsi" w:hAnsiTheme="minorHAnsi"/>
          <w:bCs/>
          <w:sz w:val="18"/>
          <w:szCs w:val="18"/>
          <w:lang w:val="es-CO"/>
        </w:rPr>
        <w:t xml:space="preserve">T-062 de 2016, entre otras. / </w:t>
      </w:r>
      <w:r w:rsidR="001C172C" w:rsidRPr="001C172C">
        <w:rPr>
          <w:rFonts w:asciiTheme="minorHAnsi" w:hAnsiTheme="minorHAnsi"/>
          <w:sz w:val="18"/>
          <w:szCs w:val="18"/>
          <w:lang w:val="es-CO"/>
        </w:rPr>
        <w:t>Sentencias T-414 de 2005, T-1038 de 2005, T-539 de 2003</w:t>
      </w:r>
      <w:r w:rsidR="001C172C" w:rsidRPr="001C172C">
        <w:rPr>
          <w:rFonts w:asciiTheme="minorHAnsi" w:hAnsiTheme="minorHAnsi"/>
          <w:bCs/>
          <w:sz w:val="18"/>
          <w:szCs w:val="18"/>
          <w:lang w:val="es-CO"/>
        </w:rPr>
        <w:t xml:space="preserve"> / </w:t>
      </w:r>
      <w:r w:rsidR="001C172C" w:rsidRPr="001C172C">
        <w:rPr>
          <w:rFonts w:asciiTheme="minorHAnsi" w:hAnsiTheme="minorHAnsi"/>
          <w:sz w:val="18"/>
          <w:szCs w:val="18"/>
          <w:bdr w:val="none" w:sz="0" w:space="0" w:color="auto" w:frame="1"/>
          <w:lang w:val="es-CO"/>
        </w:rPr>
        <w:t>Sentencia</w:t>
      </w:r>
      <w:r w:rsidR="001C172C" w:rsidRPr="001C172C">
        <w:rPr>
          <w:rStyle w:val="apple-converted-space"/>
          <w:rFonts w:asciiTheme="minorHAnsi" w:hAnsiTheme="minorHAnsi"/>
          <w:sz w:val="18"/>
          <w:szCs w:val="18"/>
          <w:bdr w:val="none" w:sz="0" w:space="0" w:color="auto" w:frame="1"/>
          <w:lang w:val="es-CO"/>
        </w:rPr>
        <w:t xml:space="preserve"> </w:t>
      </w:r>
      <w:r w:rsidR="001C172C" w:rsidRPr="001C172C">
        <w:rPr>
          <w:rFonts w:asciiTheme="minorHAnsi" w:hAnsiTheme="minorHAnsi"/>
          <w:sz w:val="18"/>
          <w:szCs w:val="18"/>
          <w:bdr w:val="none" w:sz="0" w:space="0" w:color="auto" w:frame="1"/>
          <w:lang w:val="es-CO"/>
        </w:rPr>
        <w:t xml:space="preserve">T-045 de 2008 reiterada en la sentencia T-059 de 2016. / Sentencia T-041 de 2016. / </w:t>
      </w:r>
      <w:r w:rsidR="001C172C" w:rsidRPr="001C172C">
        <w:rPr>
          <w:rFonts w:asciiTheme="minorHAnsi" w:hAnsiTheme="minorHAnsi" w:cs="Calibri"/>
          <w:sz w:val="18"/>
          <w:szCs w:val="18"/>
          <w:lang w:val="es-AR"/>
        </w:rPr>
        <w:t xml:space="preserve">Sentencia T-728 de 2014. / Sentencia </w:t>
      </w:r>
      <w:r w:rsidR="001C172C" w:rsidRPr="001C172C">
        <w:rPr>
          <w:rFonts w:asciiTheme="minorHAnsi" w:hAnsiTheme="minorHAnsi" w:cs="Calibri"/>
          <w:sz w:val="18"/>
          <w:szCs w:val="18"/>
        </w:rPr>
        <w:t xml:space="preserve">T-142 de 2016, reafirmando las sentencias </w:t>
      </w:r>
      <w:hyperlink r:id="rId8" w:tooltip="Haga clic para abrir la Sentencia T-200 de 2013" w:history="1">
        <w:r w:rsidR="001C172C" w:rsidRPr="001C172C">
          <w:rPr>
            <w:rStyle w:val="Hipervnculo"/>
            <w:rFonts w:asciiTheme="minorHAnsi" w:hAnsiTheme="minorHAnsi" w:cs="Calibri"/>
            <w:color w:val="auto"/>
            <w:sz w:val="18"/>
            <w:szCs w:val="18"/>
            <w:u w:val="none"/>
          </w:rPr>
          <w:t>T-200 de 2013</w:t>
        </w:r>
      </w:hyperlink>
      <w:r w:rsidR="001C172C" w:rsidRPr="001C172C">
        <w:rPr>
          <w:rFonts w:asciiTheme="minorHAnsi" w:hAnsiTheme="minorHAnsi" w:cs="Calibri"/>
          <w:sz w:val="18"/>
          <w:szCs w:val="18"/>
        </w:rPr>
        <w:t xml:space="preserve"> y </w:t>
      </w:r>
      <w:hyperlink r:id="rId9" w:tooltip="Haga clic para abrir la Sentencia T-358 de 2014" w:history="1">
        <w:r w:rsidR="001C172C" w:rsidRPr="001C172C">
          <w:rPr>
            <w:rStyle w:val="Hipervnculo"/>
            <w:rFonts w:asciiTheme="minorHAnsi" w:hAnsiTheme="minorHAnsi" w:cs="Calibri"/>
            <w:color w:val="auto"/>
            <w:sz w:val="18"/>
            <w:szCs w:val="18"/>
            <w:u w:val="none"/>
          </w:rPr>
          <w:t>T-358 de 2014</w:t>
        </w:r>
      </w:hyperlink>
      <w:r w:rsidR="001C172C" w:rsidRPr="001C172C">
        <w:rPr>
          <w:rFonts w:asciiTheme="minorHAnsi" w:hAnsiTheme="minorHAnsi" w:cs="Calibri"/>
          <w:sz w:val="18"/>
          <w:szCs w:val="18"/>
        </w:rPr>
        <w:t xml:space="preserve">. / </w:t>
      </w:r>
      <w:r w:rsidR="001C172C" w:rsidRPr="001C172C">
        <w:rPr>
          <w:rFonts w:asciiTheme="minorHAnsi" w:hAnsiTheme="minorHAnsi" w:cs="Calibri"/>
          <w:sz w:val="18"/>
          <w:szCs w:val="18"/>
          <w:lang w:val="es-AR"/>
        </w:rPr>
        <w:t xml:space="preserve">Sentencia </w:t>
      </w:r>
      <w:hyperlink r:id="rId10" w:tooltip="Haga clic para abrir la Sentencia T-309 de 2006" w:history="1">
        <w:r w:rsidR="001C172C" w:rsidRPr="001C172C">
          <w:rPr>
            <w:rStyle w:val="Hipervnculo"/>
            <w:rFonts w:asciiTheme="minorHAnsi" w:hAnsiTheme="minorHAnsi" w:cs="Calibri"/>
            <w:color w:val="auto"/>
            <w:sz w:val="18"/>
            <w:szCs w:val="18"/>
            <w:u w:val="none"/>
          </w:rPr>
          <w:t>T-309 de 2006</w:t>
        </w:r>
      </w:hyperlink>
    </w:p>
    <w:p w:rsidR="00AB72A1" w:rsidRPr="00996E58" w:rsidRDefault="00AB72A1" w:rsidP="00AB72A1">
      <w:pPr>
        <w:rPr>
          <w:rFonts w:ascii="Calibri" w:hAnsi="Calibri"/>
          <w:sz w:val="18"/>
          <w:szCs w:val="18"/>
        </w:rPr>
      </w:pPr>
    </w:p>
    <w:p w:rsidR="00AB72A1" w:rsidRPr="00AB72A1" w:rsidRDefault="001C172C" w:rsidP="00AB72A1">
      <w:pPr>
        <w:pStyle w:val="Sinespaciado"/>
        <w:rPr>
          <w:rFonts w:asciiTheme="minorHAnsi" w:hAnsiTheme="minorHAnsi"/>
          <w:sz w:val="18"/>
          <w:szCs w:val="18"/>
        </w:rPr>
      </w:pPr>
      <w:r>
        <w:rPr>
          <w:rFonts w:asciiTheme="minorHAnsi" w:hAnsiTheme="minorHAnsi"/>
          <w:sz w:val="18"/>
          <w:szCs w:val="18"/>
        </w:rPr>
        <w:t>--------------------------------------------------------------------------------------------------------------------------------------------------------------------------</w:t>
      </w:r>
    </w:p>
    <w:p w:rsidR="001C172C" w:rsidRDefault="001C172C" w:rsidP="00F839CE">
      <w:pPr>
        <w:pStyle w:val="Sinespaciado"/>
        <w:spacing w:line="360" w:lineRule="auto"/>
        <w:rPr>
          <w:rFonts w:ascii="Arial" w:hAnsi="Arial" w:cs="Arial"/>
          <w:w w:val="140"/>
          <w:sz w:val="14"/>
        </w:rPr>
      </w:pPr>
    </w:p>
    <w:p w:rsidR="003913E3" w:rsidRDefault="00165382" w:rsidP="001C172C">
      <w:pPr>
        <w:pStyle w:val="Sinespaciado"/>
        <w:spacing w:line="360" w:lineRule="auto"/>
        <w:rPr>
          <w:rFonts w:ascii="Arial" w:hAnsi="Arial" w:cs="Arial"/>
          <w:w w:val="140"/>
          <w:sz w:val="14"/>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1C172C" w:rsidRDefault="001C172C" w:rsidP="00D37757">
      <w:pPr>
        <w:pStyle w:val="Sinespaciado"/>
        <w:spacing w:line="360" w:lineRule="auto"/>
        <w:jc w:val="center"/>
        <w:rPr>
          <w:rFonts w:ascii="Arial" w:hAnsi="Arial" w:cs="Arial"/>
          <w:w w:val="140"/>
          <w:sz w:val="14"/>
        </w:rPr>
      </w:pPr>
    </w:p>
    <w:p w:rsidR="001C172C" w:rsidRDefault="001C172C" w:rsidP="00D37757">
      <w:pPr>
        <w:pStyle w:val="Sinespaciado"/>
        <w:spacing w:line="360" w:lineRule="auto"/>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4D623C" w:rsidRPr="00E55393" w:rsidRDefault="004D623C" w:rsidP="004D623C">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23C" w:rsidRDefault="004D623C" w:rsidP="004D623C">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4D623C" w:rsidRPr="007860C0" w:rsidRDefault="004D623C" w:rsidP="004D623C">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A92D21" w:rsidRDefault="003913E3" w:rsidP="00F839CE">
      <w:pPr>
        <w:spacing w:line="360" w:lineRule="auto"/>
        <w:jc w:val="center"/>
        <w:rPr>
          <w:rFonts w:ascii="Arial" w:hAnsi="Arial" w:cs="Arial"/>
          <w:b/>
          <w:bCs/>
          <w:sz w:val="14"/>
          <w:szCs w:val="26"/>
          <w:lang w:val="es-CO"/>
        </w:rPr>
      </w:pPr>
    </w:p>
    <w:p w:rsidR="003913E3" w:rsidRPr="00F86DCE" w:rsidRDefault="003913E3"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4D623C">
        <w:rPr>
          <w:rFonts w:ascii="Arial" w:hAnsi="Arial"/>
          <w:sz w:val="22"/>
          <w:szCs w:val="22"/>
        </w:rPr>
        <w:t>Gabriel de Jesús Calle Cardona</w:t>
      </w:r>
    </w:p>
    <w:p w:rsidR="00BC7EAB" w:rsidRDefault="00E06AE8"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002306D2">
        <w:rPr>
          <w:rFonts w:ascii="Arial" w:hAnsi="Arial"/>
          <w:sz w:val="22"/>
          <w:szCs w:val="22"/>
        </w:rPr>
        <w:t xml:space="preserve"> (es)</w:t>
      </w:r>
      <w:r w:rsidRPr="00F86DCE">
        <w:rPr>
          <w:rFonts w:ascii="Arial" w:hAnsi="Arial"/>
          <w:sz w:val="22"/>
          <w:szCs w:val="22"/>
        </w:rPr>
        <w:tab/>
        <w:t>:</w:t>
      </w:r>
      <w:r w:rsidR="002306D2">
        <w:rPr>
          <w:rFonts w:ascii="Arial" w:hAnsi="Arial"/>
          <w:sz w:val="22"/>
          <w:szCs w:val="22"/>
        </w:rPr>
        <w:t xml:space="preserve"> </w:t>
      </w:r>
      <w:r w:rsidR="004D623C">
        <w:rPr>
          <w:rFonts w:ascii="Arial" w:hAnsi="Arial"/>
          <w:sz w:val="22"/>
          <w:szCs w:val="22"/>
        </w:rPr>
        <w:t xml:space="preserve">Administradora Colombiana de Pensiones - </w:t>
      </w:r>
      <w:proofErr w:type="spellStart"/>
      <w:r w:rsidR="00BC7EAB">
        <w:rPr>
          <w:rFonts w:ascii="Arial" w:hAnsi="Arial"/>
          <w:sz w:val="22"/>
          <w:szCs w:val="22"/>
        </w:rPr>
        <w:t>Colpensiones</w:t>
      </w:r>
      <w:proofErr w:type="spellEnd"/>
    </w:p>
    <w:p w:rsidR="00E06AE8" w:rsidRDefault="00BC7EAB"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4D623C">
        <w:rPr>
          <w:rFonts w:ascii="Arial" w:hAnsi="Arial"/>
          <w:sz w:val="22"/>
          <w:szCs w:val="22"/>
        </w:rPr>
        <w:t>Gerencia</w:t>
      </w:r>
      <w:r w:rsidR="002306D2">
        <w:rPr>
          <w:rFonts w:ascii="Arial" w:hAnsi="Arial"/>
          <w:sz w:val="22"/>
          <w:szCs w:val="22"/>
        </w:rPr>
        <w:t xml:space="preserve"> Nacional de </w:t>
      </w:r>
      <w:r w:rsidR="004D623C">
        <w:rPr>
          <w:rFonts w:ascii="Arial" w:hAnsi="Arial"/>
          <w:sz w:val="22"/>
          <w:szCs w:val="22"/>
        </w:rPr>
        <w:t xml:space="preserve">Operaciones RPM de </w:t>
      </w:r>
      <w:proofErr w:type="spellStart"/>
      <w:r w:rsidR="004D623C">
        <w:rPr>
          <w:rFonts w:ascii="Arial" w:hAnsi="Arial"/>
          <w:sz w:val="22"/>
          <w:szCs w:val="22"/>
        </w:rPr>
        <w:t>Colpensiones</w:t>
      </w:r>
      <w:proofErr w:type="spellEnd"/>
      <w:r w:rsidR="004D623C">
        <w:rPr>
          <w:rFonts w:ascii="Arial" w:hAnsi="Arial"/>
          <w:sz w:val="22"/>
          <w:szCs w:val="22"/>
        </w:rPr>
        <w:t xml:space="preserve"> y/o </w:t>
      </w:r>
    </w:p>
    <w:p w:rsidR="003913E3" w:rsidRDefault="003913E3" w:rsidP="00A92D21">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4D623C">
        <w:rPr>
          <w:rFonts w:ascii="Arial" w:hAnsi="Arial"/>
          <w:sz w:val="22"/>
        </w:rPr>
        <w:t>2016-00091-01</w:t>
      </w:r>
    </w:p>
    <w:p w:rsidR="00435CCB" w:rsidRDefault="003913E3" w:rsidP="00A92D21">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4D623C" w:rsidRDefault="00435CCB" w:rsidP="00A92D21">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4D623C">
        <w:rPr>
          <w:rFonts w:ascii="Arial" w:hAnsi="Arial"/>
          <w:sz w:val="22"/>
          <w:szCs w:val="22"/>
        </w:rPr>
        <w:t xml:space="preserve">Primero Penal del Circuito para adolescentes con </w:t>
      </w:r>
    </w:p>
    <w:p w:rsidR="00DB2859" w:rsidRDefault="004D623C" w:rsidP="00A92D21">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4D623C">
        <w:rPr>
          <w:rFonts w:ascii="Arial" w:hAnsi="Arial"/>
          <w:color w:val="FFFFFF" w:themeColor="background1"/>
          <w:sz w:val="22"/>
          <w:szCs w:val="22"/>
        </w:rPr>
        <w:t xml:space="preserve">; </w:t>
      </w:r>
      <w:r>
        <w:rPr>
          <w:rFonts w:ascii="Arial" w:hAnsi="Arial"/>
          <w:sz w:val="22"/>
          <w:szCs w:val="22"/>
        </w:rPr>
        <w:t>función de conocimiento de 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A92D21">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330B7C">
        <w:rPr>
          <w:rFonts w:ascii="Arial" w:hAnsi="Arial"/>
          <w:sz w:val="22"/>
          <w:szCs w:val="22"/>
        </w:rPr>
        <w:t>476 del 30-09-2016</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330B7C">
        <w:rPr>
          <w:rFonts w:ascii="Arial" w:hAnsi="Arial" w:cs="Arial"/>
          <w:iCs/>
          <w:smallCaps/>
          <w:sz w:val="28"/>
          <w:lang w:val="es-CO"/>
        </w:rPr>
        <w:t xml:space="preserve">treinta </w:t>
      </w:r>
      <w:r w:rsidR="003913E3" w:rsidRPr="003F672F">
        <w:rPr>
          <w:rFonts w:ascii="Arial" w:hAnsi="Arial" w:cs="Arial"/>
          <w:iCs/>
          <w:smallCaps/>
          <w:sz w:val="28"/>
          <w:lang w:val="es-CO"/>
        </w:rPr>
        <w:t>(</w:t>
      </w:r>
      <w:r w:rsidR="00330B7C">
        <w:rPr>
          <w:rFonts w:ascii="Arial" w:hAnsi="Arial" w:cs="Arial"/>
          <w:iCs/>
          <w:smallCaps/>
          <w:sz w:val="28"/>
          <w:lang w:val="es-CO"/>
        </w:rPr>
        <w:t>30</w:t>
      </w:r>
      <w:r w:rsidR="003913E3" w:rsidRPr="003F672F">
        <w:rPr>
          <w:rFonts w:ascii="Arial" w:hAnsi="Arial" w:cs="Arial"/>
          <w:iCs/>
          <w:smallCaps/>
          <w:sz w:val="28"/>
          <w:lang w:val="es-CO"/>
        </w:rPr>
        <w:t xml:space="preserve">) de </w:t>
      </w:r>
      <w:r w:rsidR="004D623C">
        <w:rPr>
          <w:rFonts w:ascii="Arial" w:hAnsi="Arial" w:cs="Arial"/>
          <w:iCs/>
          <w:smallCaps/>
          <w:sz w:val="28"/>
          <w:lang w:val="es-CO"/>
        </w:rPr>
        <w:t xml:space="preserve">septiembre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Textoindependiente"/>
        <w:spacing w:line="360" w:lineRule="auto"/>
        <w:rPr>
          <w:rFonts w:ascii="Arial" w:hAnsi="Arial" w:cs="Arial"/>
          <w:sz w:val="24"/>
          <w:szCs w:val="24"/>
          <w:lang w:val="es-CO"/>
        </w:rPr>
      </w:pPr>
    </w:p>
    <w:p w:rsidR="003913E3" w:rsidRPr="004D623C" w:rsidRDefault="004D623C" w:rsidP="00F839CE">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4D623C" w:rsidRDefault="004D623C" w:rsidP="00F839CE">
      <w:pPr>
        <w:pStyle w:val="Textoindependien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4D623C">
        <w:rPr>
          <w:rFonts w:ascii="Arial" w:hAnsi="Arial" w:cs="Arial"/>
          <w:sz w:val="24"/>
          <w:szCs w:val="24"/>
        </w:rPr>
        <w:t xml:space="preserve">el accionante </w:t>
      </w:r>
      <w:r w:rsidR="003F0119">
        <w:rPr>
          <w:rFonts w:ascii="Arial" w:hAnsi="Arial" w:cs="Arial"/>
          <w:sz w:val="24"/>
          <w:szCs w:val="24"/>
        </w:rPr>
        <w:t xml:space="preserve">el día </w:t>
      </w:r>
      <w:r w:rsidR="004D623C">
        <w:rPr>
          <w:rFonts w:ascii="Arial" w:hAnsi="Arial" w:cs="Arial"/>
          <w:sz w:val="24"/>
          <w:szCs w:val="24"/>
        </w:rPr>
        <w:t xml:space="preserve">06-05-2016 presentó ante la accionada solicitud de corrección de historia laboral, radicada con el No.BZ2016_4638871-1148027, pero a la fecha de instaurada la acción no ha recibido respuesta </w:t>
      </w:r>
      <w:r w:rsidR="003913E3" w:rsidRPr="00311FCA">
        <w:rPr>
          <w:rFonts w:ascii="Arial" w:hAnsi="Arial" w:cs="Arial"/>
          <w:color w:val="000000"/>
          <w:sz w:val="24"/>
          <w:szCs w:val="24"/>
          <w:lang w:val="es-CO"/>
        </w:rPr>
        <w:t xml:space="preserve">(Folio </w:t>
      </w:r>
      <w:r w:rsidR="004D623C">
        <w:rPr>
          <w:rFonts w:ascii="Arial" w:hAnsi="Arial" w:cs="Arial"/>
          <w:color w:val="000000"/>
          <w:sz w:val="24"/>
          <w:szCs w:val="24"/>
          <w:lang w:val="es-CO"/>
        </w:rPr>
        <w:t>2</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Pr="004D623C" w:rsidRDefault="004D623C" w:rsidP="00386A25">
      <w:pPr>
        <w:pStyle w:val="Textoindependiente"/>
        <w:numPr>
          <w:ilvl w:val="0"/>
          <w:numId w:val="1"/>
        </w:numPr>
        <w:spacing w:line="360" w:lineRule="auto"/>
        <w:rPr>
          <w:rFonts w:ascii="Arial" w:hAnsi="Arial"/>
          <w:smallCaps/>
          <w:sz w:val="24"/>
          <w:szCs w:val="24"/>
        </w:rPr>
      </w:pPr>
      <w:r w:rsidRPr="004D623C">
        <w:rPr>
          <w:rFonts w:ascii="Arial" w:hAnsi="Arial"/>
          <w:smallCaps/>
          <w:sz w:val="28"/>
          <w:szCs w:val="24"/>
        </w:rPr>
        <w:t xml:space="preserve">El </w:t>
      </w:r>
      <w:r>
        <w:rPr>
          <w:rFonts w:ascii="Arial" w:hAnsi="Arial"/>
          <w:smallCaps/>
          <w:sz w:val="28"/>
          <w:szCs w:val="24"/>
        </w:rPr>
        <w:t>derecho presuntamente vulnerado</w:t>
      </w:r>
    </w:p>
    <w:p w:rsidR="00D13C1E" w:rsidRPr="00FB469C" w:rsidRDefault="00D13C1E" w:rsidP="00D13C1E">
      <w:pPr>
        <w:pStyle w:val="Textoindependiente"/>
        <w:spacing w:line="360" w:lineRule="auto"/>
        <w:ind w:left="360"/>
        <w:rPr>
          <w:rFonts w:ascii="Arial" w:hAnsi="Arial"/>
          <w:sz w:val="24"/>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4D623C">
        <w:rPr>
          <w:rFonts w:ascii="Arial" w:hAnsi="Arial"/>
          <w:sz w:val="24"/>
          <w:szCs w:val="24"/>
        </w:rPr>
        <w:t xml:space="preserve">el derecho fundamental de petición </w:t>
      </w:r>
      <w:r w:rsidRPr="00386A25">
        <w:rPr>
          <w:rFonts w:ascii="Arial" w:hAnsi="Arial"/>
          <w:sz w:val="24"/>
          <w:szCs w:val="24"/>
        </w:rPr>
        <w:t>(Folio</w:t>
      </w:r>
      <w:r w:rsidR="00F13AC7">
        <w:rPr>
          <w:rFonts w:ascii="Arial" w:hAnsi="Arial"/>
          <w:sz w:val="24"/>
          <w:szCs w:val="24"/>
        </w:rPr>
        <w:t xml:space="preserve"> </w:t>
      </w:r>
      <w:r w:rsidR="004D623C">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Textoindependiente"/>
        <w:widowControl w:val="0"/>
        <w:spacing w:line="360" w:lineRule="auto"/>
        <w:rPr>
          <w:rFonts w:ascii="Arial" w:hAnsi="Arial"/>
          <w:sz w:val="24"/>
          <w:szCs w:val="24"/>
        </w:rPr>
      </w:pPr>
    </w:p>
    <w:p w:rsidR="004D623C" w:rsidRDefault="004D623C" w:rsidP="004D623C">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Default="00A92D21" w:rsidP="004D623C">
      <w:pPr>
        <w:pStyle w:val="Sinespaciado"/>
        <w:spacing w:line="360" w:lineRule="auto"/>
        <w:jc w:val="both"/>
        <w:rPr>
          <w:rFonts w:ascii="Arial" w:hAnsi="Arial" w:cs="Arial"/>
          <w:sz w:val="24"/>
        </w:rPr>
      </w:pPr>
    </w:p>
    <w:p w:rsidR="004D623C" w:rsidRPr="004D623C" w:rsidRDefault="004D623C" w:rsidP="004D623C">
      <w:pPr>
        <w:pStyle w:val="Sinespaciado"/>
        <w:spacing w:line="360" w:lineRule="auto"/>
        <w:jc w:val="both"/>
        <w:rPr>
          <w:rFonts w:ascii="Arial" w:hAnsi="Arial" w:cs="Arial"/>
          <w:sz w:val="24"/>
          <w:szCs w:val="24"/>
        </w:rPr>
      </w:pPr>
      <w:r w:rsidRPr="004D623C">
        <w:rPr>
          <w:rFonts w:ascii="Arial" w:hAnsi="Arial" w:cs="Arial"/>
          <w:sz w:val="24"/>
        </w:rPr>
        <w:t xml:space="preserve">Pretende que: (i) Se </w:t>
      </w:r>
      <w:r w:rsidRPr="004D623C">
        <w:rPr>
          <w:rFonts w:ascii="Arial" w:hAnsi="Arial" w:cs="Arial"/>
          <w:sz w:val="24"/>
          <w:szCs w:val="24"/>
        </w:rPr>
        <w:t xml:space="preserve">tutele el derecho invocado; y, (ii) Se ordene a la accionada remitir la información requerida (Folio 2, </w:t>
      </w:r>
      <w:r w:rsidRPr="004D623C">
        <w:rPr>
          <w:rFonts w:ascii="Arial" w:hAnsi="Arial" w:cs="Arial"/>
          <w:sz w:val="24"/>
        </w:rPr>
        <w:t>del cuaderno No.1</w:t>
      </w:r>
      <w:r w:rsidRPr="004D623C">
        <w:rPr>
          <w:rFonts w:ascii="Arial" w:hAnsi="Arial" w:cs="Arial"/>
          <w:sz w:val="24"/>
          <w:szCs w:val="24"/>
        </w:rPr>
        <w:t xml:space="preserve">). </w:t>
      </w:r>
    </w:p>
    <w:p w:rsidR="004D623C" w:rsidRDefault="004D623C" w:rsidP="00386A25">
      <w:pPr>
        <w:pStyle w:val="Textoindependiente"/>
        <w:widowControl w:val="0"/>
        <w:spacing w:line="360" w:lineRule="auto"/>
        <w:rPr>
          <w:rFonts w:ascii="Arial" w:hAnsi="Arial"/>
          <w:sz w:val="24"/>
          <w:szCs w:val="24"/>
        </w:rPr>
      </w:pPr>
    </w:p>
    <w:p w:rsidR="003913E3" w:rsidRPr="004D623C" w:rsidRDefault="004D623C" w:rsidP="00F839CE">
      <w:pPr>
        <w:pStyle w:val="Textoindependien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507B88">
        <w:rPr>
          <w:rFonts w:ascii="Arial" w:hAnsi="Arial"/>
          <w:sz w:val="24"/>
        </w:rPr>
        <w:t>Primero Penal del Circuito para adolescentes con función de control de garantías de esta ciudad</w:t>
      </w:r>
      <w:r w:rsidR="00E23D2E" w:rsidRPr="00E23D2E">
        <w:rPr>
          <w:rFonts w:ascii="Arial" w:hAnsi="Arial"/>
          <w:sz w:val="24"/>
        </w:rPr>
        <w:t xml:space="preserve">, que con providencia del </w:t>
      </w:r>
      <w:r w:rsidR="00E35899">
        <w:rPr>
          <w:rFonts w:ascii="Arial" w:hAnsi="Arial"/>
          <w:sz w:val="24"/>
        </w:rPr>
        <w:t>17-</w:t>
      </w:r>
      <w:r w:rsidR="00592111">
        <w:rPr>
          <w:rFonts w:ascii="Arial" w:hAnsi="Arial"/>
          <w:sz w:val="24"/>
        </w:rPr>
        <w:t>0</w:t>
      </w:r>
      <w:r w:rsidR="00E35899">
        <w:rPr>
          <w:rFonts w:ascii="Arial" w:hAnsi="Arial"/>
          <w:sz w:val="24"/>
        </w:rPr>
        <w:t xml:space="preserve">8-2016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E35899">
        <w:rPr>
          <w:rFonts w:ascii="Arial" w:hAnsi="Arial"/>
          <w:sz w:val="24"/>
        </w:rPr>
        <w:t>8, ibídem</w:t>
      </w:r>
      <w:r w:rsidR="00E23D2E" w:rsidRPr="00E23D2E">
        <w:rPr>
          <w:rFonts w:ascii="Arial" w:hAnsi="Arial"/>
          <w:sz w:val="24"/>
        </w:rPr>
        <w:t>)</w:t>
      </w:r>
      <w:r w:rsidR="00490305">
        <w:rPr>
          <w:rFonts w:ascii="Arial" w:hAnsi="Arial"/>
          <w:sz w:val="24"/>
        </w:rPr>
        <w:t xml:space="preserve">. </w:t>
      </w:r>
      <w:r w:rsidR="00E35899">
        <w:rPr>
          <w:rFonts w:ascii="Arial" w:hAnsi="Arial"/>
          <w:sz w:val="24"/>
        </w:rPr>
        <w:t>Con proveído del 25-08-2016 hizo otra vinculación (Folio 10, ibídem</w:t>
      </w:r>
      <w:r w:rsidR="00E35899" w:rsidRPr="00E23D2E">
        <w:rPr>
          <w:rFonts w:ascii="Arial" w:hAnsi="Arial"/>
          <w:sz w:val="24"/>
        </w:rPr>
        <w:t>)</w:t>
      </w:r>
      <w:r w:rsidR="00E35899">
        <w:rPr>
          <w:rFonts w:ascii="Arial" w:hAnsi="Arial"/>
          <w:sz w:val="24"/>
        </w:rPr>
        <w:t>. P</w:t>
      </w:r>
      <w:r w:rsidR="00E23D2E" w:rsidRPr="00E23D2E">
        <w:rPr>
          <w:rFonts w:ascii="Arial" w:hAnsi="Arial"/>
          <w:sz w:val="24"/>
        </w:rPr>
        <w:t xml:space="preserve">rofirió sentencia </w:t>
      </w:r>
      <w:r w:rsidR="00E35899">
        <w:rPr>
          <w:rFonts w:ascii="Arial" w:hAnsi="Arial"/>
          <w:sz w:val="24"/>
        </w:rPr>
        <w:t xml:space="preserve">el día 29-08-2016 </w:t>
      </w:r>
      <w:r w:rsidR="00E23D2E" w:rsidRPr="00E23D2E">
        <w:rPr>
          <w:rFonts w:ascii="Arial" w:hAnsi="Arial"/>
          <w:sz w:val="24"/>
        </w:rPr>
        <w:t xml:space="preserve">(Folios </w:t>
      </w:r>
      <w:r w:rsidR="00E35899">
        <w:rPr>
          <w:rFonts w:ascii="Arial" w:hAnsi="Arial"/>
          <w:sz w:val="24"/>
        </w:rPr>
        <w:t>12 y 14</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E35899">
        <w:rPr>
          <w:rFonts w:ascii="Arial" w:hAnsi="Arial"/>
          <w:sz w:val="24"/>
        </w:rPr>
        <w:t xml:space="preserve">Y, mediante auto </w:t>
      </w:r>
      <w:r w:rsidR="00E23D2E" w:rsidRPr="00E23D2E">
        <w:rPr>
          <w:rFonts w:ascii="Arial" w:hAnsi="Arial"/>
          <w:sz w:val="24"/>
        </w:rPr>
        <w:t xml:space="preserve">del </w:t>
      </w:r>
      <w:r w:rsidR="00E35899">
        <w:rPr>
          <w:rFonts w:ascii="Arial" w:hAnsi="Arial"/>
          <w:sz w:val="24"/>
        </w:rPr>
        <w:t xml:space="preserve">06-09-2016 </w:t>
      </w:r>
      <w:r w:rsidR="00E23D2E" w:rsidRPr="00E23D2E">
        <w:rPr>
          <w:rFonts w:ascii="Arial" w:hAnsi="Arial"/>
          <w:sz w:val="24"/>
        </w:rPr>
        <w:t xml:space="preserve">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E35899">
        <w:rPr>
          <w:rFonts w:ascii="Arial" w:hAnsi="Arial"/>
          <w:sz w:val="24"/>
        </w:rPr>
        <w:t>29</w:t>
      </w:r>
      <w:r w:rsidR="00866FC7">
        <w:rPr>
          <w:rFonts w:ascii="Arial" w:hAnsi="Arial"/>
          <w:sz w:val="24"/>
        </w:rPr>
        <w:t>, ibídem</w:t>
      </w:r>
      <w:r w:rsidR="00E23D2E" w:rsidRPr="00E23D2E">
        <w:rPr>
          <w:rFonts w:ascii="Arial" w:hAnsi="Arial"/>
          <w:sz w:val="24"/>
        </w:rPr>
        <w:t xml:space="preserve">). </w:t>
      </w:r>
    </w:p>
    <w:p w:rsidR="003913E3" w:rsidRPr="00311FCA" w:rsidRDefault="003913E3" w:rsidP="00B942B6">
      <w:pPr>
        <w:pStyle w:val="Textoindependiente"/>
        <w:spacing w:line="360" w:lineRule="auto"/>
        <w:rPr>
          <w:rFonts w:ascii="Arial" w:hAnsi="Arial" w:cs="Arial"/>
          <w:sz w:val="24"/>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El resumen de la sentencia impugnada</w:t>
      </w:r>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Concedió el amparo a</w:t>
      </w:r>
      <w:r w:rsidR="00E35899">
        <w:rPr>
          <w:rFonts w:ascii="Arial" w:hAnsi="Arial" w:cs="Arial"/>
          <w:sz w:val="24"/>
          <w:szCs w:val="24"/>
        </w:rPr>
        <w:t xml:space="preserve">l </w:t>
      </w:r>
      <w:r>
        <w:rPr>
          <w:rFonts w:ascii="Arial" w:hAnsi="Arial" w:cs="Arial"/>
          <w:sz w:val="24"/>
          <w:szCs w:val="24"/>
        </w:rPr>
        <w:t>derecho fundamental</w:t>
      </w:r>
      <w:r w:rsidR="00866FC7">
        <w:rPr>
          <w:rFonts w:ascii="Arial" w:hAnsi="Arial" w:cs="Arial"/>
          <w:sz w:val="24"/>
          <w:szCs w:val="24"/>
        </w:rPr>
        <w:t xml:space="preserve"> </w:t>
      </w:r>
      <w:r w:rsidR="00FC3EE3">
        <w:rPr>
          <w:rFonts w:ascii="Arial" w:hAnsi="Arial" w:cs="Arial"/>
          <w:sz w:val="24"/>
          <w:szCs w:val="24"/>
        </w:rPr>
        <w:t xml:space="preserve">debido a que </w:t>
      </w:r>
      <w:r>
        <w:rPr>
          <w:rFonts w:ascii="Arial" w:hAnsi="Arial" w:cs="Arial"/>
          <w:sz w:val="24"/>
          <w:szCs w:val="24"/>
        </w:rPr>
        <w:t xml:space="preserve">la parte accionada </w:t>
      </w:r>
      <w:r w:rsidR="00E35899">
        <w:rPr>
          <w:rFonts w:ascii="Arial" w:hAnsi="Arial" w:cs="Arial"/>
          <w:sz w:val="24"/>
          <w:szCs w:val="24"/>
        </w:rPr>
        <w:t>no ha respondido la solicitud presentado por el actor</w:t>
      </w:r>
      <w:r w:rsidR="00814381">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E35899">
        <w:rPr>
          <w:rFonts w:ascii="Arial" w:hAnsi="Arial" w:cs="Arial"/>
          <w:sz w:val="24"/>
          <w:szCs w:val="24"/>
        </w:rPr>
        <w:t>12 y 14</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La síntesis de la impugnación</w:t>
      </w:r>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recurrió manifestando que ya satisfizo el derecho fundamental amparado, </w:t>
      </w:r>
      <w:r>
        <w:rPr>
          <w:rFonts w:ascii="Arial" w:hAnsi="Arial" w:cs="Arial"/>
          <w:sz w:val="24"/>
          <w:szCs w:val="24"/>
        </w:rPr>
        <w:lastRenderedPageBreak/>
        <w:t xml:space="preserve">pues emitió la respuesta </w:t>
      </w:r>
      <w:r w:rsidR="00BC7EAB">
        <w:rPr>
          <w:rFonts w:ascii="Arial" w:hAnsi="Arial" w:cs="Arial"/>
          <w:sz w:val="24"/>
          <w:szCs w:val="24"/>
        </w:rPr>
        <w:t xml:space="preserve">requerida mediante </w:t>
      </w:r>
      <w:r w:rsidR="00B54973">
        <w:rPr>
          <w:rFonts w:ascii="Arial" w:hAnsi="Arial" w:cs="Arial"/>
          <w:sz w:val="24"/>
          <w:szCs w:val="24"/>
        </w:rPr>
        <w:t>el oficio No.</w:t>
      </w:r>
      <w:r w:rsidR="00970AEE">
        <w:rPr>
          <w:rFonts w:ascii="Arial" w:hAnsi="Arial" w:cs="Arial"/>
          <w:sz w:val="24"/>
          <w:szCs w:val="24"/>
        </w:rPr>
        <w:t>BZ2016_9871081 del 26-08-2016</w:t>
      </w:r>
      <w:r>
        <w:rPr>
          <w:rFonts w:ascii="Arial" w:hAnsi="Arial" w:cs="Arial"/>
          <w:sz w:val="24"/>
          <w:szCs w:val="24"/>
        </w:rPr>
        <w:t>,</w:t>
      </w:r>
      <w:r w:rsidR="00B54973">
        <w:rPr>
          <w:rFonts w:ascii="Arial" w:hAnsi="Arial" w:cs="Arial"/>
          <w:sz w:val="24"/>
          <w:szCs w:val="24"/>
        </w:rPr>
        <w:t xml:space="preserve"> </w:t>
      </w:r>
      <w:r>
        <w:rPr>
          <w:rFonts w:ascii="Arial" w:hAnsi="Arial" w:cs="Arial"/>
          <w:sz w:val="24"/>
          <w:szCs w:val="24"/>
        </w:rPr>
        <w:t xml:space="preserve">por lo que solicitó </w:t>
      </w:r>
      <w:r w:rsidR="00DC0810">
        <w:rPr>
          <w:rFonts w:ascii="Arial" w:hAnsi="Arial" w:cs="Arial"/>
          <w:sz w:val="24"/>
          <w:szCs w:val="24"/>
        </w:rPr>
        <w:t>declarar</w:t>
      </w:r>
      <w:r w:rsidR="00BC7EAB">
        <w:rPr>
          <w:rFonts w:ascii="Arial" w:hAnsi="Arial" w:cs="Arial"/>
          <w:sz w:val="24"/>
          <w:szCs w:val="24"/>
        </w:rPr>
        <w:t xml:space="preserve"> la carencia actual de objeto </w:t>
      </w:r>
      <w:r w:rsidRPr="00D93FEB">
        <w:rPr>
          <w:rFonts w:ascii="Arial" w:hAnsi="Arial" w:cs="Arial"/>
          <w:sz w:val="24"/>
          <w:szCs w:val="24"/>
        </w:rPr>
        <w:t>(Folio</w:t>
      </w:r>
      <w:r>
        <w:rPr>
          <w:rFonts w:ascii="Arial" w:hAnsi="Arial" w:cs="Arial"/>
          <w:sz w:val="24"/>
          <w:szCs w:val="24"/>
        </w:rPr>
        <w:t xml:space="preserve">s </w:t>
      </w:r>
      <w:r w:rsidR="00970AEE">
        <w:rPr>
          <w:rFonts w:ascii="Arial" w:hAnsi="Arial" w:cs="Arial"/>
          <w:sz w:val="24"/>
          <w:szCs w:val="24"/>
        </w:rPr>
        <w:t>22 a 25</w:t>
      </w:r>
      <w:r w:rsidRPr="00D93FEB">
        <w:rPr>
          <w:rFonts w:ascii="Arial" w:hAnsi="Arial" w:cs="Arial"/>
          <w:sz w:val="24"/>
          <w:szCs w:val="24"/>
        </w:rPr>
        <w:t>, ib.).</w:t>
      </w:r>
      <w:r w:rsidR="00BC7EAB">
        <w:rPr>
          <w:rFonts w:ascii="Arial" w:hAnsi="Arial" w:cs="Arial"/>
          <w:sz w:val="24"/>
          <w:szCs w:val="24"/>
        </w:rPr>
        <w:t xml:space="preserve"> Arrimó con su escrito copia del </w:t>
      </w:r>
      <w:r w:rsidR="00DC0810">
        <w:rPr>
          <w:rFonts w:ascii="Arial" w:hAnsi="Arial" w:cs="Arial"/>
          <w:sz w:val="24"/>
          <w:szCs w:val="24"/>
        </w:rPr>
        <w:t xml:space="preserve">oficio </w:t>
      </w:r>
      <w:r w:rsidR="00970AEE">
        <w:rPr>
          <w:rFonts w:ascii="Arial" w:hAnsi="Arial" w:cs="Arial"/>
          <w:sz w:val="24"/>
          <w:szCs w:val="24"/>
        </w:rPr>
        <w:t xml:space="preserve">y de la guía de correo </w:t>
      </w:r>
      <w:r w:rsidR="00BC7EAB">
        <w:rPr>
          <w:rFonts w:ascii="Arial" w:hAnsi="Arial" w:cs="Arial"/>
          <w:sz w:val="24"/>
          <w:szCs w:val="24"/>
        </w:rPr>
        <w:t xml:space="preserve">(Folios </w:t>
      </w:r>
      <w:r w:rsidR="00970AEE">
        <w:rPr>
          <w:rFonts w:ascii="Arial" w:hAnsi="Arial" w:cs="Arial"/>
          <w:sz w:val="24"/>
          <w:szCs w:val="24"/>
        </w:rPr>
        <w:t>26 a 28</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5D5BD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5D5BD2"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 w:val="24"/>
          <w:szCs w:val="24"/>
          <w:lang w:val="es-CO"/>
        </w:rPr>
      </w:pPr>
    </w:p>
    <w:p w:rsidR="003913E3" w:rsidRPr="005D5BD2" w:rsidRDefault="003913E3" w:rsidP="005D5BD2">
      <w:pPr>
        <w:pStyle w:val="Textoindependiente"/>
        <w:widowControl w:val="0"/>
        <w:numPr>
          <w:ilvl w:val="1"/>
          <w:numId w:val="3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8"/>
          <w:szCs w:val="24"/>
        </w:rPr>
      </w:pPr>
      <w:r w:rsidRPr="005D5BD2">
        <w:rPr>
          <w:rFonts w:ascii="Arial" w:hAnsi="Arial" w:cs="Arial"/>
          <w:smallCaps/>
          <w:sz w:val="24"/>
          <w:szCs w:val="24"/>
        </w:rPr>
        <w:t>La competencia funcional</w:t>
      </w:r>
    </w:p>
    <w:p w:rsidR="00290D6E" w:rsidRPr="00311FCA" w:rsidRDefault="00290D6E" w:rsidP="00F839CE">
      <w:pPr>
        <w:pStyle w:val="Textoindependiente"/>
        <w:spacing w:line="360" w:lineRule="auto"/>
        <w:rPr>
          <w:rFonts w:ascii="Arial" w:hAnsi="Arial" w:cs="Arial"/>
          <w:sz w:val="24"/>
          <w:szCs w:val="24"/>
        </w:rPr>
      </w:pPr>
    </w:p>
    <w:p w:rsidR="00A92D21" w:rsidRDefault="00A92D21" w:rsidP="00A92D21">
      <w:pPr>
        <w:spacing w:line="360" w:lineRule="auto"/>
        <w:jc w:val="both"/>
        <w:rPr>
          <w:rFonts w:ascii="Arial" w:hAnsi="Arial" w:cs="Arial"/>
          <w:lang w:val="es-MX"/>
        </w:rPr>
      </w:pPr>
      <w:r>
        <w:rPr>
          <w:rFonts w:ascii="Arial" w:hAnsi="Arial" w:cs="Arial"/>
          <w:lang w:val="es-MX"/>
        </w:rPr>
        <w:t xml:space="preserve">Esta Sala especializada es competente, al tenor de lo previsto en el artículo 168 del Código de </w:t>
      </w:r>
      <w:smartTag w:uri="urn:schemas-microsoft-com:office:smarttags" w:element="PersonName">
        <w:smartTagPr>
          <w:attr w:name="ProductID" w:val="la Infancia"/>
        </w:smartTagPr>
        <w:r>
          <w:rPr>
            <w:rFonts w:ascii="Arial" w:hAnsi="Arial" w:cs="Arial"/>
            <w:lang w:val="es-MX"/>
          </w:rPr>
          <w:t>la Infancia</w:t>
        </w:r>
      </w:smartTag>
      <w:r>
        <w:rPr>
          <w:rFonts w:ascii="Arial" w:hAnsi="Arial" w:cs="Arial"/>
          <w:lang w:val="es-MX"/>
        </w:rPr>
        <w:t xml:space="preserve"> y </w:t>
      </w:r>
      <w:smartTag w:uri="urn:schemas-microsoft-com:office:smarttags" w:element="PersonName">
        <w:smartTagPr>
          <w:attr w:name="ProductID" w:val="la Adolescencia"/>
        </w:smartTagPr>
        <w:r>
          <w:rPr>
            <w:rFonts w:ascii="Arial" w:hAnsi="Arial" w:cs="Arial"/>
            <w:lang w:val="es-MX"/>
          </w:rPr>
          <w:t>la Adolescencia</w:t>
        </w:r>
      </w:smartTag>
      <w:r>
        <w:rPr>
          <w:rFonts w:ascii="Arial" w:hAnsi="Arial" w:cs="Arial"/>
          <w:lang w:val="es-MX"/>
        </w:rPr>
        <w:t xml:space="preserve"> y el Acuerdo 108 de 1997 del Consejo Superior de la Judicatura.</w:t>
      </w:r>
    </w:p>
    <w:p w:rsidR="00C65627" w:rsidRPr="00311FCA" w:rsidRDefault="00C65627" w:rsidP="00F839CE">
      <w:pPr>
        <w:spacing w:line="360" w:lineRule="auto"/>
        <w:jc w:val="both"/>
        <w:rPr>
          <w:rFonts w:ascii="Arial" w:hAnsi="Arial" w:cs="Arial"/>
          <w:lang w:val="es-MX"/>
        </w:rPr>
      </w:pPr>
    </w:p>
    <w:p w:rsidR="003913E3" w:rsidRPr="00654553" w:rsidRDefault="003913E3" w:rsidP="00F53C19">
      <w:pPr>
        <w:pStyle w:val="Textoindependiente"/>
        <w:numPr>
          <w:ilvl w:val="1"/>
          <w:numId w:val="34"/>
        </w:numPr>
        <w:tabs>
          <w:tab w:val="clear" w:pos="708"/>
        </w:tabs>
        <w:spacing w:line="360" w:lineRule="auto"/>
        <w:rPr>
          <w:rFonts w:ascii="Arial" w:hAnsi="Arial" w:cs="Arial"/>
          <w:smallCaps/>
          <w:sz w:val="24"/>
          <w:szCs w:val="24"/>
        </w:rPr>
      </w:pPr>
      <w:r w:rsidRPr="00654553">
        <w:rPr>
          <w:rFonts w:ascii="Arial" w:hAnsi="Arial" w:cs="Arial"/>
          <w:smallCaps/>
          <w:sz w:val="24"/>
          <w:szCs w:val="24"/>
        </w:rPr>
        <w:t>El problema jurídico a resolver</w:t>
      </w:r>
    </w:p>
    <w:p w:rsidR="003A5C0C" w:rsidRPr="00311FCA" w:rsidRDefault="003A5C0C" w:rsidP="003A5C0C">
      <w:pPr>
        <w:pStyle w:val="Textoindependiente"/>
        <w:tabs>
          <w:tab w:val="clear" w:pos="708"/>
          <w:tab w:val="left" w:pos="567"/>
        </w:tabs>
        <w:spacing w:line="360" w:lineRule="auto"/>
        <w:ind w:left="720"/>
        <w:rPr>
          <w:rFonts w:ascii="Arial" w:hAnsi="Arial" w:cs="Arial"/>
          <w:sz w:val="24"/>
          <w:szCs w:val="24"/>
        </w:rPr>
      </w:pPr>
    </w:p>
    <w:p w:rsidR="003913E3" w:rsidRPr="00592111" w:rsidRDefault="003913E3" w:rsidP="00F839CE">
      <w:pPr>
        <w:pStyle w:val="Textoindependiente"/>
        <w:spacing w:line="360" w:lineRule="auto"/>
        <w:rPr>
          <w:rFonts w:ascii="Arial" w:hAnsi="Arial" w:cs="Arial"/>
          <w:sz w:val="24"/>
          <w:szCs w:val="24"/>
        </w:rPr>
      </w:pPr>
      <w:r w:rsidRPr="00592111">
        <w:rPr>
          <w:rFonts w:ascii="Arial" w:hAnsi="Arial" w:cs="Arial"/>
          <w:sz w:val="24"/>
          <w:szCs w:val="24"/>
        </w:rPr>
        <w:t xml:space="preserve">¿Es procedente confirmar, modificar o revocar la sentencia del </w:t>
      </w:r>
      <w:r w:rsidR="00592111" w:rsidRPr="00592111">
        <w:rPr>
          <w:rFonts w:ascii="Arial" w:hAnsi="Arial"/>
          <w:sz w:val="24"/>
          <w:szCs w:val="24"/>
        </w:rPr>
        <w:t>Juzgado Primero Penal del Circuito para adolescentes con función de conocimiento de Pereira</w:t>
      </w:r>
      <w:r w:rsidRPr="00592111">
        <w:rPr>
          <w:rFonts w:ascii="Arial" w:hAnsi="Arial" w:cs="Arial"/>
          <w:sz w:val="24"/>
          <w:szCs w:val="24"/>
        </w:rPr>
        <w:t>, según la impugnación</w:t>
      </w:r>
      <w:r w:rsidR="005069CE" w:rsidRPr="00592111">
        <w:rPr>
          <w:rFonts w:ascii="Arial" w:hAnsi="Arial" w:cs="Arial"/>
          <w:sz w:val="24"/>
          <w:szCs w:val="24"/>
        </w:rPr>
        <w:t xml:space="preserve"> d</w:t>
      </w:r>
      <w:r w:rsidR="00311747" w:rsidRPr="00592111">
        <w:rPr>
          <w:rFonts w:ascii="Arial" w:hAnsi="Arial" w:cs="Arial"/>
          <w:sz w:val="24"/>
          <w:szCs w:val="24"/>
        </w:rPr>
        <w:t>e</w:t>
      </w:r>
      <w:r w:rsidR="002F2011" w:rsidRPr="00592111">
        <w:rPr>
          <w:rFonts w:ascii="Arial" w:hAnsi="Arial" w:cs="Arial"/>
          <w:sz w:val="24"/>
          <w:szCs w:val="24"/>
        </w:rPr>
        <w:t xml:space="preserve"> </w:t>
      </w:r>
      <w:r w:rsidR="00EF4E29" w:rsidRPr="00592111">
        <w:rPr>
          <w:rFonts w:ascii="Arial" w:hAnsi="Arial" w:cs="Arial"/>
          <w:sz w:val="24"/>
          <w:szCs w:val="24"/>
        </w:rPr>
        <w:t>l</w:t>
      </w:r>
      <w:r w:rsidR="002F2011" w:rsidRPr="00592111">
        <w:rPr>
          <w:rFonts w:ascii="Arial" w:hAnsi="Arial" w:cs="Arial"/>
          <w:sz w:val="24"/>
          <w:szCs w:val="24"/>
        </w:rPr>
        <w:t>a</w:t>
      </w:r>
      <w:r w:rsidR="00EF4E29" w:rsidRPr="00592111">
        <w:rPr>
          <w:rFonts w:ascii="Arial" w:hAnsi="Arial" w:cs="Arial"/>
          <w:sz w:val="24"/>
          <w:szCs w:val="24"/>
        </w:rPr>
        <w:t xml:space="preserve"> </w:t>
      </w:r>
      <w:r w:rsidR="002F2011" w:rsidRPr="00592111">
        <w:rPr>
          <w:rFonts w:ascii="Arial" w:hAnsi="Arial" w:cs="Arial"/>
          <w:sz w:val="24"/>
          <w:szCs w:val="24"/>
        </w:rPr>
        <w:t xml:space="preserve">parte </w:t>
      </w:r>
      <w:r w:rsidR="001878F8" w:rsidRPr="00592111">
        <w:rPr>
          <w:rFonts w:ascii="Arial" w:hAnsi="Arial" w:cs="Arial"/>
          <w:sz w:val="24"/>
          <w:szCs w:val="24"/>
        </w:rPr>
        <w:t>accionada</w:t>
      </w:r>
      <w:r w:rsidRPr="00592111">
        <w:rPr>
          <w:rFonts w:ascii="Arial" w:hAnsi="Arial" w:cs="Arial"/>
          <w:sz w:val="24"/>
          <w:szCs w:val="24"/>
        </w:rPr>
        <w:t xml:space="preserve">? </w:t>
      </w:r>
    </w:p>
    <w:p w:rsidR="003913E3" w:rsidRPr="00654553" w:rsidRDefault="003913E3" w:rsidP="00A92D21">
      <w:pPr>
        <w:pStyle w:val="Textoindependiente"/>
        <w:numPr>
          <w:ilvl w:val="1"/>
          <w:numId w:val="34"/>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654553">
      <w:pPr>
        <w:pStyle w:val="Textoindependiente"/>
        <w:numPr>
          <w:ilvl w:val="2"/>
          <w:numId w:val="34"/>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sidR="00947418">
        <w:rPr>
          <w:rFonts w:ascii="Arial" w:hAnsi="Arial" w:cs="Arial"/>
          <w:noProof/>
        </w:rPr>
        <w:t xml:space="preserve">la petición se radicó el día 06-05-2016 </w:t>
      </w:r>
      <w:r w:rsidRPr="00F33A95">
        <w:rPr>
          <w:rFonts w:ascii="Arial" w:hAnsi="Arial" w:cs="Arial"/>
          <w:noProof/>
        </w:rPr>
        <w:t>(Folio</w:t>
      </w:r>
      <w:r w:rsidR="003A5C0C">
        <w:rPr>
          <w:rFonts w:ascii="Arial" w:hAnsi="Arial" w:cs="Arial"/>
          <w:noProof/>
        </w:rPr>
        <w:t xml:space="preserve">s </w:t>
      </w:r>
      <w:r w:rsidR="001878F8">
        <w:rPr>
          <w:rFonts w:ascii="Arial" w:hAnsi="Arial" w:cs="Arial"/>
          <w:noProof/>
        </w:rPr>
        <w:t>12</w:t>
      </w:r>
      <w:r w:rsidRPr="00F33A95">
        <w:rPr>
          <w:rFonts w:ascii="Arial" w:hAnsi="Arial" w:cs="Arial"/>
          <w:noProof/>
        </w:rPr>
        <w:t xml:space="preserve">, del cuaderno No.1) y la tutela se presentó el </w:t>
      </w:r>
      <w:r w:rsidR="00947418">
        <w:rPr>
          <w:rFonts w:ascii="Arial" w:hAnsi="Arial" w:cs="Arial"/>
          <w:noProof/>
        </w:rPr>
        <w:t xml:space="preserve">día 16-08-2016 </w:t>
      </w:r>
      <w:r w:rsidRPr="00F33A95">
        <w:rPr>
          <w:rFonts w:ascii="Arial" w:hAnsi="Arial" w:cs="Arial"/>
          <w:noProof/>
        </w:rPr>
        <w:t xml:space="preserve">(Folio </w:t>
      </w:r>
      <w:r w:rsidR="00947418">
        <w:rPr>
          <w:rFonts w:ascii="Arial" w:hAnsi="Arial" w:cs="Arial"/>
          <w:noProof/>
        </w:rPr>
        <w:t>1</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 xml:space="preserve">En cuanto a la subsidiariedad debe indicarse que la acción es viable siempre que el </w:t>
      </w:r>
      <w:r w:rsidRPr="00947418">
        <w:rPr>
          <w:rFonts w:ascii="Arial" w:hAnsi="Arial" w:cs="Arial"/>
        </w:rPr>
        <w:lastRenderedPageBreak/>
        <w:t>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947418">
        <w:rPr>
          <w:rStyle w:val="Refdenotaalpie"/>
          <w:rFonts w:ascii="Arial" w:hAnsi="Arial" w:cs="Arial"/>
        </w:rPr>
        <w:footnoteReference w:id="3"/>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DD1EC0" w:rsidRPr="00947418">
        <w:rPr>
          <w:rFonts w:ascii="Arial" w:hAnsi="Arial"/>
        </w:rPr>
        <w:t>el</w:t>
      </w:r>
      <w:r w:rsidRPr="00947418">
        <w:rPr>
          <w:rFonts w:ascii="Arial" w:hAnsi="Arial"/>
        </w:rPr>
        <w:t xml:space="preserve"> accionante no cuenta con otro mecanismo diferente a esta acción para procurar la defensa </w:t>
      </w:r>
      <w:r w:rsidR="00947418" w:rsidRPr="00947418">
        <w:rPr>
          <w:rFonts w:ascii="Arial" w:hAnsi="Arial"/>
        </w:rPr>
        <w:t>del derecho fundamental de petición</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Default="00F33A95" w:rsidP="00F33A95">
      <w:pPr>
        <w:pStyle w:val="Textoindependiente"/>
        <w:spacing w:line="360" w:lineRule="auto"/>
        <w:rPr>
          <w:rFonts w:ascii="Arial" w:hAnsi="Arial" w:cs="Arial"/>
          <w:sz w:val="24"/>
          <w:szCs w:val="24"/>
        </w:rPr>
      </w:pPr>
    </w:p>
    <w:p w:rsidR="00654553" w:rsidRPr="006D7EFA" w:rsidRDefault="00654553" w:rsidP="00F53C19">
      <w:pPr>
        <w:pStyle w:val="Textoindependiente"/>
        <w:numPr>
          <w:ilvl w:val="2"/>
          <w:numId w:val="34"/>
        </w:numPr>
        <w:tabs>
          <w:tab w:val="clear" w:pos="0"/>
          <w:tab w:val="clear" w:pos="708"/>
          <w:tab w:val="clear" w:pos="1416"/>
        </w:tabs>
        <w:spacing w:line="360" w:lineRule="auto"/>
        <w:rPr>
          <w:rFonts w:ascii="Arial" w:hAnsi="Arial" w:cs="Arial"/>
          <w:sz w:val="24"/>
          <w:szCs w:val="24"/>
        </w:rPr>
      </w:pPr>
      <w:r w:rsidRPr="006D7EFA">
        <w:rPr>
          <w:rFonts w:ascii="Arial" w:hAnsi="Arial" w:cs="Arial"/>
          <w:sz w:val="24"/>
          <w:szCs w:val="24"/>
        </w:rPr>
        <w:t>La legitimación en la causa</w:t>
      </w:r>
    </w:p>
    <w:p w:rsidR="00654553" w:rsidRPr="00311FCA" w:rsidRDefault="00654553" w:rsidP="00654553">
      <w:pPr>
        <w:pStyle w:val="Textoindependiente"/>
        <w:tabs>
          <w:tab w:val="clear" w:pos="0"/>
          <w:tab w:val="clear" w:pos="708"/>
          <w:tab w:val="clear" w:pos="1416"/>
          <w:tab w:val="left" w:pos="567"/>
        </w:tabs>
        <w:spacing w:line="360" w:lineRule="auto"/>
        <w:ind w:left="567"/>
        <w:rPr>
          <w:rFonts w:ascii="Arial" w:hAnsi="Arial" w:cs="Arial"/>
          <w:sz w:val="24"/>
          <w:szCs w:val="24"/>
        </w:rPr>
      </w:pPr>
    </w:p>
    <w:p w:rsidR="00654553" w:rsidRDefault="00654553" w:rsidP="00D604ED">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sidR="00F53C19">
        <w:rPr>
          <w:rFonts w:ascii="Arial" w:hAnsi="Arial" w:cs="Arial"/>
          <w:sz w:val="24"/>
          <w:szCs w:val="24"/>
        </w:rPr>
        <w:t xml:space="preserve">el derecho de petición se radicó en nombre del señor </w:t>
      </w:r>
      <w:r>
        <w:rPr>
          <w:rFonts w:ascii="Arial" w:hAnsi="Arial" w:cs="Arial"/>
          <w:sz w:val="24"/>
          <w:szCs w:val="24"/>
        </w:rPr>
        <w:t>Gabriel de Jesús Calle Cardona</w:t>
      </w:r>
      <w:r w:rsidR="00F53C19">
        <w:rPr>
          <w:rFonts w:ascii="Arial" w:hAnsi="Arial" w:cs="Arial"/>
          <w:sz w:val="24"/>
          <w:szCs w:val="24"/>
        </w:rPr>
        <w:t xml:space="preserve">, </w:t>
      </w:r>
      <w:r>
        <w:rPr>
          <w:rFonts w:ascii="Arial" w:hAnsi="Arial" w:cs="Arial"/>
          <w:sz w:val="24"/>
          <w:szCs w:val="24"/>
        </w:rPr>
        <w:t xml:space="preserve">(Folio </w:t>
      </w:r>
      <w:r w:rsidR="00F53C19">
        <w:rPr>
          <w:rFonts w:ascii="Arial" w:hAnsi="Arial" w:cs="Arial"/>
          <w:sz w:val="24"/>
          <w:szCs w:val="24"/>
        </w:rPr>
        <w:t>6</w:t>
      </w:r>
      <w:r>
        <w:rPr>
          <w:rFonts w:ascii="Arial" w:hAnsi="Arial" w:cs="Arial"/>
          <w:sz w:val="24"/>
          <w:szCs w:val="24"/>
        </w:rPr>
        <w:t>, ib.)</w:t>
      </w:r>
      <w:r w:rsidRPr="00D60BD1">
        <w:rPr>
          <w:rFonts w:ascii="Arial" w:hAnsi="Arial" w:cs="Arial"/>
          <w:sz w:val="24"/>
          <w:szCs w:val="24"/>
        </w:rPr>
        <w:t>. En el extremo pasivo,</w:t>
      </w:r>
      <w:r>
        <w:rPr>
          <w:rFonts w:ascii="Arial" w:hAnsi="Arial" w:cs="Arial"/>
          <w:sz w:val="24"/>
          <w:szCs w:val="24"/>
        </w:rPr>
        <w:t xml:space="preserve"> la Gerencia Nacional de </w:t>
      </w:r>
      <w:r w:rsidR="00F53C19">
        <w:rPr>
          <w:rFonts w:ascii="Arial" w:hAnsi="Arial" w:cs="Arial"/>
          <w:sz w:val="24"/>
          <w:szCs w:val="24"/>
        </w:rPr>
        <w:t>Operaciones RPM</w:t>
      </w:r>
      <w:r w:rsidR="0028497E">
        <w:rPr>
          <w:rFonts w:ascii="Arial" w:hAnsi="Arial" w:cs="Arial"/>
          <w:sz w:val="24"/>
          <w:szCs w:val="24"/>
        </w:rPr>
        <w:t xml:space="preserve"> de </w:t>
      </w:r>
      <w:proofErr w:type="spellStart"/>
      <w:r w:rsidR="0028497E">
        <w:rPr>
          <w:rFonts w:ascii="Arial" w:hAnsi="Arial" w:cs="Arial"/>
          <w:sz w:val="24"/>
          <w:szCs w:val="24"/>
        </w:rPr>
        <w:t>Colpensiones</w:t>
      </w:r>
      <w:proofErr w:type="spellEnd"/>
      <w:r>
        <w:rPr>
          <w:rFonts w:ascii="Arial" w:hAnsi="Arial" w:cs="Arial"/>
          <w:sz w:val="24"/>
          <w:szCs w:val="24"/>
        </w:rPr>
        <w:t xml:space="preserve">, porque es la encargada </w:t>
      </w:r>
      <w:r w:rsidR="00D604ED" w:rsidRPr="00D604ED">
        <w:rPr>
          <w:rFonts w:ascii="Arial" w:hAnsi="Arial" w:cs="Arial"/>
          <w:sz w:val="24"/>
          <w:szCs w:val="24"/>
        </w:rPr>
        <w:t>coordinar los procesos de corrección</w:t>
      </w:r>
      <w:r w:rsidR="00D604ED">
        <w:rPr>
          <w:rFonts w:ascii="Arial" w:hAnsi="Arial" w:cs="Arial"/>
          <w:sz w:val="24"/>
          <w:szCs w:val="24"/>
        </w:rPr>
        <w:t>, imputar y actualizar</w:t>
      </w:r>
      <w:r w:rsidR="00D604ED" w:rsidRPr="00D604ED">
        <w:rPr>
          <w:rFonts w:ascii="Arial" w:hAnsi="Arial" w:cs="Arial"/>
          <w:sz w:val="24"/>
          <w:szCs w:val="24"/>
        </w:rPr>
        <w:t xml:space="preserve"> </w:t>
      </w:r>
      <w:r w:rsidR="00D604ED">
        <w:rPr>
          <w:rFonts w:ascii="Arial" w:hAnsi="Arial" w:cs="Arial"/>
          <w:sz w:val="24"/>
          <w:szCs w:val="24"/>
        </w:rPr>
        <w:t xml:space="preserve">la </w:t>
      </w:r>
      <w:r w:rsidR="00D604ED" w:rsidRPr="00D604ED">
        <w:rPr>
          <w:rFonts w:ascii="Arial" w:hAnsi="Arial" w:cs="Arial"/>
          <w:sz w:val="24"/>
          <w:szCs w:val="24"/>
        </w:rPr>
        <w:t>historia laboral</w:t>
      </w:r>
      <w:r w:rsidR="00D604ED" w:rsidRPr="00D604ED">
        <w:rPr>
          <w:rFonts w:ascii="Arial" w:hAnsi="Arial" w:cs="Arial"/>
          <w:sz w:val="24"/>
          <w:szCs w:val="24"/>
          <w:lang w:val="es-ES"/>
        </w:rPr>
        <w:t xml:space="preserve"> </w:t>
      </w:r>
      <w:r w:rsidR="00D604ED">
        <w:rPr>
          <w:rFonts w:ascii="Arial" w:hAnsi="Arial" w:cs="Arial"/>
          <w:sz w:val="24"/>
          <w:szCs w:val="24"/>
        </w:rPr>
        <w:t>(Artículo</w:t>
      </w:r>
      <w:r>
        <w:rPr>
          <w:rFonts w:ascii="Arial" w:hAnsi="Arial" w:cs="Arial"/>
          <w:sz w:val="24"/>
          <w:szCs w:val="24"/>
        </w:rPr>
        <w:t xml:space="preserve"> </w:t>
      </w:r>
      <w:r w:rsidR="00D604ED">
        <w:rPr>
          <w:rFonts w:ascii="Arial" w:hAnsi="Arial" w:cs="Arial"/>
          <w:sz w:val="24"/>
          <w:szCs w:val="24"/>
        </w:rPr>
        <w:t xml:space="preserve">7.1. </w:t>
      </w:r>
      <w:proofErr w:type="gramStart"/>
      <w:r w:rsidR="00D604ED">
        <w:rPr>
          <w:rFonts w:ascii="Arial" w:hAnsi="Arial" w:cs="Arial"/>
          <w:sz w:val="24"/>
          <w:szCs w:val="24"/>
        </w:rPr>
        <w:t>numerales</w:t>
      </w:r>
      <w:proofErr w:type="gramEnd"/>
      <w:r w:rsidR="00D604ED">
        <w:rPr>
          <w:rFonts w:ascii="Arial" w:hAnsi="Arial" w:cs="Arial"/>
          <w:sz w:val="24"/>
          <w:szCs w:val="24"/>
        </w:rPr>
        <w:t xml:space="preserve"> 6º y 7º</w:t>
      </w:r>
      <w:r>
        <w:rPr>
          <w:rFonts w:ascii="Arial" w:hAnsi="Arial" w:cs="Arial"/>
          <w:sz w:val="24"/>
          <w:szCs w:val="24"/>
        </w:rPr>
        <w:t xml:space="preserve">, </w:t>
      </w:r>
      <w:r w:rsidR="00D604ED">
        <w:rPr>
          <w:rFonts w:ascii="Arial" w:hAnsi="Arial" w:cs="Arial"/>
          <w:sz w:val="24"/>
          <w:szCs w:val="24"/>
        </w:rPr>
        <w:t>Acuerdo No.063 de 2013</w:t>
      </w:r>
      <w:r>
        <w:rPr>
          <w:rFonts w:ascii="Arial" w:hAnsi="Arial" w:cs="Arial"/>
          <w:sz w:val="24"/>
          <w:szCs w:val="24"/>
        </w:rPr>
        <w:t>)</w:t>
      </w:r>
      <w:r>
        <w:rPr>
          <w:rFonts w:ascii="Arial" w:hAnsi="Arial" w:cs="Arial"/>
          <w:sz w:val="24"/>
          <w:szCs w:val="24"/>
          <w:lang w:val="es-CO"/>
        </w:rPr>
        <w:t>.</w:t>
      </w:r>
    </w:p>
    <w:p w:rsidR="00654553" w:rsidRDefault="00654553" w:rsidP="00654553">
      <w:pPr>
        <w:pStyle w:val="Textoindependiente"/>
        <w:spacing w:line="360" w:lineRule="auto"/>
        <w:rPr>
          <w:rFonts w:ascii="Arial" w:hAnsi="Arial" w:cs="Arial"/>
          <w:sz w:val="24"/>
          <w:szCs w:val="24"/>
          <w:lang w:val="es-CO"/>
        </w:rPr>
      </w:pPr>
    </w:p>
    <w:p w:rsidR="00654553" w:rsidRDefault="00654553" w:rsidP="00654553">
      <w:pPr>
        <w:pStyle w:val="Textoindependiente"/>
        <w:spacing w:line="360" w:lineRule="auto"/>
        <w:rPr>
          <w:rFonts w:ascii="Arial" w:hAnsi="Arial" w:cs="Arial"/>
          <w:sz w:val="24"/>
          <w:szCs w:val="24"/>
        </w:rPr>
      </w:pPr>
      <w:r>
        <w:rPr>
          <w:rFonts w:ascii="Arial" w:hAnsi="Arial" w:cs="Arial"/>
          <w:sz w:val="24"/>
          <w:szCs w:val="24"/>
        </w:rPr>
        <w:t>No sucede lo mismo frente a la</w:t>
      </w:r>
      <w:r w:rsidR="00D604ED">
        <w:rPr>
          <w:rFonts w:ascii="Arial" w:hAnsi="Arial" w:cs="Arial"/>
          <w:sz w:val="24"/>
          <w:szCs w:val="24"/>
        </w:rPr>
        <w:t>s</w:t>
      </w:r>
      <w:r>
        <w:rPr>
          <w:rFonts w:ascii="Arial" w:hAnsi="Arial" w:cs="Arial"/>
          <w:sz w:val="24"/>
          <w:szCs w:val="24"/>
        </w:rPr>
        <w:t xml:space="preserve"> </w:t>
      </w:r>
      <w:r w:rsidR="00D604ED">
        <w:rPr>
          <w:rFonts w:ascii="Arial" w:hAnsi="Arial" w:cs="Arial"/>
          <w:sz w:val="24"/>
          <w:szCs w:val="24"/>
        </w:rPr>
        <w:t xml:space="preserve">Gerencias Nacionales de Reconocimiento, Nómina, Gestión Documental y Defensa Judicial de </w:t>
      </w:r>
      <w:proofErr w:type="spellStart"/>
      <w:r w:rsidR="00D604ED">
        <w:rPr>
          <w:rFonts w:ascii="Arial" w:hAnsi="Arial" w:cs="Arial"/>
          <w:sz w:val="24"/>
          <w:szCs w:val="24"/>
        </w:rPr>
        <w:t>Colpensiones</w:t>
      </w:r>
      <w:proofErr w:type="spellEnd"/>
      <w:r>
        <w:rPr>
          <w:rFonts w:ascii="Arial" w:hAnsi="Arial" w:cs="Arial"/>
          <w:sz w:val="24"/>
          <w:szCs w:val="24"/>
        </w:rPr>
        <w:t xml:space="preserve">, porque </w:t>
      </w:r>
      <w:r w:rsidR="00C6576A">
        <w:rPr>
          <w:rFonts w:ascii="Arial" w:hAnsi="Arial" w:cs="Arial"/>
          <w:sz w:val="24"/>
          <w:szCs w:val="24"/>
        </w:rPr>
        <w:t xml:space="preserve">no les compete </w:t>
      </w:r>
      <w:r>
        <w:rPr>
          <w:rFonts w:ascii="Arial" w:hAnsi="Arial" w:cs="Arial"/>
          <w:sz w:val="24"/>
          <w:szCs w:val="24"/>
        </w:rPr>
        <w:t xml:space="preserve">atender </w:t>
      </w:r>
      <w:r w:rsidR="00D604ED">
        <w:rPr>
          <w:rFonts w:ascii="Arial" w:hAnsi="Arial" w:cs="Arial"/>
          <w:sz w:val="24"/>
          <w:szCs w:val="24"/>
        </w:rPr>
        <w:t xml:space="preserve">las </w:t>
      </w:r>
      <w:r>
        <w:rPr>
          <w:rFonts w:ascii="Arial" w:hAnsi="Arial" w:cs="Arial"/>
          <w:sz w:val="24"/>
          <w:szCs w:val="24"/>
        </w:rPr>
        <w:t>peticiones</w:t>
      </w:r>
      <w:r w:rsidR="00D604ED">
        <w:rPr>
          <w:rFonts w:ascii="Arial" w:hAnsi="Arial" w:cs="Arial"/>
          <w:sz w:val="24"/>
          <w:szCs w:val="24"/>
        </w:rPr>
        <w:t xml:space="preserve"> relacionadas con la corrección de la historia laboral de los afiliados</w:t>
      </w:r>
      <w:r>
        <w:rPr>
          <w:rFonts w:ascii="Arial" w:hAnsi="Arial" w:cs="Arial"/>
          <w:sz w:val="24"/>
          <w:szCs w:val="24"/>
        </w:rPr>
        <w:t xml:space="preserve">, de manera que </w:t>
      </w:r>
      <w:r w:rsidR="00C6576A">
        <w:rPr>
          <w:rFonts w:ascii="Arial" w:hAnsi="Arial" w:cs="Arial"/>
          <w:sz w:val="24"/>
          <w:szCs w:val="24"/>
        </w:rPr>
        <w:t>carecen de legitimación</w:t>
      </w:r>
      <w:r w:rsidR="00D604ED">
        <w:rPr>
          <w:rFonts w:ascii="Arial" w:hAnsi="Arial" w:cs="Arial"/>
          <w:sz w:val="24"/>
          <w:szCs w:val="24"/>
        </w:rPr>
        <w:t xml:space="preserve">, por lo que se revocará parcialmente la sentencia impugnada y se </w:t>
      </w:r>
      <w:r w:rsidR="00C6576A">
        <w:rPr>
          <w:rFonts w:ascii="Arial" w:hAnsi="Arial" w:cs="Arial"/>
          <w:sz w:val="24"/>
          <w:szCs w:val="24"/>
        </w:rPr>
        <w:t xml:space="preserve">declarará improcedente </w:t>
      </w:r>
      <w:r>
        <w:rPr>
          <w:rFonts w:ascii="Arial" w:hAnsi="Arial" w:cs="Arial"/>
          <w:sz w:val="24"/>
          <w:szCs w:val="24"/>
        </w:rPr>
        <w:t>la tutela en su contra.</w:t>
      </w:r>
    </w:p>
    <w:p w:rsidR="00F33A95" w:rsidRPr="00F33A95" w:rsidRDefault="00F33A95" w:rsidP="00654553">
      <w:pPr>
        <w:pStyle w:val="Textoindependiente"/>
        <w:numPr>
          <w:ilvl w:val="2"/>
          <w:numId w:val="34"/>
        </w:numPr>
        <w:spacing w:line="360" w:lineRule="auto"/>
        <w:textAlignment w:val="auto"/>
        <w:rPr>
          <w:rFonts w:ascii="Arial" w:hAnsi="Arial" w:cs="Arial"/>
          <w:sz w:val="24"/>
          <w:szCs w:val="24"/>
        </w:rPr>
      </w:pPr>
      <w:r w:rsidRPr="00F33A95">
        <w:rPr>
          <w:rFonts w:ascii="Arial" w:hAnsi="Arial" w:cs="Arial"/>
          <w:sz w:val="24"/>
          <w:szCs w:val="24"/>
        </w:rPr>
        <w:t>La carencia actual de objeto</w:t>
      </w:r>
      <w:r w:rsidR="00666D58">
        <w:rPr>
          <w:rFonts w:ascii="Arial" w:hAnsi="Arial" w:cs="Arial"/>
          <w:sz w:val="24"/>
          <w:szCs w:val="24"/>
        </w:rPr>
        <w:t xml:space="preserve"> en la acción de tutela</w:t>
      </w:r>
    </w:p>
    <w:p w:rsidR="00F33A95" w:rsidRPr="003A5C0C" w:rsidRDefault="00F33A95" w:rsidP="00F33A95">
      <w:pPr>
        <w:pStyle w:val="Textoindependiente"/>
        <w:spacing w:line="360" w:lineRule="auto"/>
        <w:rPr>
          <w:rFonts w:ascii="Arial" w:hAnsi="Arial" w:cs="Arial"/>
          <w:sz w:val="24"/>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lastRenderedPageBreak/>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666D58" w:rsidRDefault="00666D58" w:rsidP="00666D58">
      <w:pPr>
        <w:shd w:val="clear" w:color="auto" w:fill="FFFFFF"/>
        <w:spacing w:line="360" w:lineRule="auto"/>
        <w:jc w:val="both"/>
        <w:textAlignment w:val="baseline"/>
        <w:rPr>
          <w:rFonts w:ascii="Arial" w:hAnsi="Arial" w:cs="Arial"/>
          <w:i/>
          <w:lang w:val="es-CO"/>
        </w:rPr>
      </w:pPr>
    </w:p>
    <w:p w:rsidR="00F33A95" w:rsidRP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Respecto de la segunda hipótesis, esto es, la carencia actual de objeto por daño consumado, ha dicho </w:t>
      </w:r>
      <w:r w:rsidRPr="00F33A95">
        <w:rPr>
          <w:rFonts w:ascii="Arial" w:hAnsi="Arial" w:cs="Arial"/>
          <w:lang w:val="es-CO"/>
        </w:rPr>
        <w:t>la Corte Constitucional</w:t>
      </w:r>
      <w:r w:rsidRPr="00F33A95">
        <w:rPr>
          <w:rStyle w:val="Refdenotaalpie"/>
          <w:rFonts w:ascii="Arial" w:hAnsi="Arial" w:cs="Arial"/>
        </w:rPr>
        <w:footnoteReference w:id="10"/>
      </w:r>
      <w:r w:rsidRPr="00F33A95">
        <w:rPr>
          <w:rFonts w:ascii="Arial" w:hAnsi="Arial" w:cs="Arial"/>
        </w:rPr>
        <w:t xml:space="preserve"> </w:t>
      </w:r>
      <w:r w:rsidRPr="00F33A95">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8A0AE4" w:rsidRDefault="008A0AE4" w:rsidP="008A0AE4">
      <w:pPr>
        <w:pStyle w:val="Textoindependiente"/>
        <w:spacing w:line="360" w:lineRule="auto"/>
        <w:rPr>
          <w:rFonts w:ascii="Arial" w:hAnsi="Arial" w:cs="Arial"/>
          <w:i/>
          <w:color w:val="000000"/>
          <w:sz w:val="22"/>
          <w:szCs w:val="22"/>
        </w:rPr>
      </w:pPr>
      <w:r w:rsidRPr="00AF2B73">
        <w:rPr>
          <w:rFonts w:ascii="Arial" w:hAnsi="Arial" w:cs="Arial"/>
          <w:color w:val="000000"/>
          <w:sz w:val="24"/>
          <w:szCs w:val="24"/>
          <w:shd w:val="clear" w:color="auto" w:fill="FFFFFF"/>
        </w:rPr>
        <w:t xml:space="preserve">Asimismo, expuso el máximo órgano constitucional que, en tratándose del daño consumado, los efectos del fallo de tutela varían dependiendo del momento en que se </w:t>
      </w:r>
      <w:r>
        <w:rPr>
          <w:rFonts w:ascii="Arial" w:hAnsi="Arial" w:cs="Arial"/>
          <w:color w:val="000000"/>
          <w:sz w:val="24"/>
          <w:szCs w:val="24"/>
          <w:shd w:val="clear" w:color="auto" w:fill="FFFFFF"/>
        </w:rPr>
        <w:t>consumó</w:t>
      </w:r>
      <w:r w:rsidRPr="00AF2B73">
        <w:rPr>
          <w:rFonts w:ascii="Arial" w:hAnsi="Arial" w:cs="Arial"/>
          <w:color w:val="000000"/>
          <w:sz w:val="24"/>
          <w:szCs w:val="24"/>
          <w:shd w:val="clear" w:color="auto" w:fill="FFFFFF"/>
        </w:rPr>
        <w:t>, así indicó</w:t>
      </w:r>
      <w:r>
        <w:rPr>
          <w:rStyle w:val="Refdenotaalpie"/>
          <w:rFonts w:ascii="Arial" w:hAnsi="Arial"/>
          <w:color w:val="000000"/>
          <w:sz w:val="24"/>
          <w:szCs w:val="24"/>
          <w:shd w:val="clear" w:color="auto" w:fill="FFFFFF"/>
        </w:rPr>
        <w:footnoteReference w:id="11"/>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 xml:space="preserve">daño está consumado cuando se interpuso la tutela, la decisión a adoptar será la de declarar la improcedencia de la misma y (ii) si cuando el daño se consuma en </w:t>
      </w:r>
      <w:r w:rsidRPr="00AF2B73">
        <w:rPr>
          <w:rFonts w:ascii="Arial" w:hAnsi="Arial" w:cs="Arial"/>
          <w:i/>
          <w:color w:val="000000"/>
          <w:sz w:val="22"/>
          <w:szCs w:val="22"/>
        </w:rPr>
        <w:lastRenderedPageBreak/>
        <w:t>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8A0AE4" w:rsidRDefault="008A0AE4" w:rsidP="00F33A95">
      <w:pPr>
        <w:pStyle w:val="Textoindependiente"/>
        <w:spacing w:line="360" w:lineRule="auto"/>
        <w:rPr>
          <w:rFonts w:ascii="Arial" w:hAnsi="Arial" w:cs="Arial"/>
          <w:color w:val="000000"/>
          <w:sz w:val="24"/>
          <w:szCs w:val="24"/>
          <w:shd w:val="clear" w:color="auto" w:fill="FFFFFF"/>
        </w:rPr>
      </w:pPr>
    </w:p>
    <w:p w:rsidR="00A124AD" w:rsidRDefault="00A124AD" w:rsidP="00F33A95">
      <w:pPr>
        <w:pStyle w:val="Textoindependiente"/>
        <w:spacing w:line="360" w:lineRule="auto"/>
        <w:rPr>
          <w:i/>
          <w:iCs/>
          <w:color w:val="000000"/>
          <w:sz w:val="22"/>
          <w:szCs w:val="22"/>
        </w:rPr>
      </w:pPr>
      <w:r>
        <w:rPr>
          <w:rFonts w:ascii="Arial" w:hAnsi="Arial" w:cs="Arial"/>
          <w:color w:val="000000"/>
          <w:sz w:val="24"/>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a través del estudio de fondo sobre la vulneración que se puso en conocimiento de los 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00AF2B73" w:rsidRPr="00B74642">
        <w:rPr>
          <w:rStyle w:val="Refdenotaalpie"/>
          <w:rFonts w:ascii="Arial" w:hAnsi="Arial"/>
          <w:i/>
          <w:iCs/>
          <w:color w:val="000000"/>
          <w:sz w:val="24"/>
          <w:szCs w:val="22"/>
        </w:rPr>
        <w:footnoteReference w:id="12"/>
      </w:r>
    </w:p>
    <w:p w:rsidR="00A124AD" w:rsidRDefault="00A124AD" w:rsidP="00F33A95">
      <w:pPr>
        <w:pStyle w:val="Textoindependiente"/>
        <w:spacing w:line="360" w:lineRule="auto"/>
        <w:rPr>
          <w:rFonts w:ascii="Arial" w:hAnsi="Arial" w:cs="Arial"/>
          <w:color w:val="000000"/>
          <w:sz w:val="24"/>
          <w:szCs w:val="24"/>
          <w:shd w:val="clear" w:color="auto" w:fill="FFFFFF"/>
        </w:rPr>
      </w:pPr>
    </w:p>
    <w:p w:rsidR="00F33A95" w:rsidRPr="000145F0" w:rsidRDefault="00AF2B73" w:rsidP="00F33A95">
      <w:pPr>
        <w:pStyle w:val="Textoindependiente"/>
        <w:spacing w:line="360" w:lineRule="auto"/>
        <w:rPr>
          <w:rFonts w:ascii="Arial" w:hAnsi="Arial" w:cs="Arial"/>
          <w:i/>
          <w:iCs/>
          <w:color w:val="000000"/>
          <w:sz w:val="24"/>
          <w:szCs w:val="24"/>
          <w:bdr w:val="none" w:sz="0" w:space="0" w:color="auto" w:frame="1"/>
          <w:shd w:val="clear" w:color="auto" w:fill="FFFFFF"/>
        </w:rPr>
      </w:pPr>
      <w:r>
        <w:rPr>
          <w:rFonts w:ascii="Arial" w:hAnsi="Arial" w:cs="Arial"/>
          <w:color w:val="000000"/>
          <w:sz w:val="24"/>
          <w:szCs w:val="24"/>
          <w:shd w:val="clear" w:color="auto" w:fill="FFFFFF"/>
        </w:rPr>
        <w:t>Además de lo anterior</w:t>
      </w:r>
      <w:r w:rsidR="00F33A95" w:rsidRPr="00F33A95">
        <w:rPr>
          <w:rFonts w:ascii="Arial" w:hAnsi="Arial" w:cs="Arial"/>
          <w:color w:val="000000"/>
          <w:sz w:val="24"/>
          <w:szCs w:val="24"/>
          <w:shd w:val="clear" w:color="auto" w:fill="FFFFFF"/>
        </w:rPr>
        <w:t>, es preciso reseñar que existen otras formas de materializar la carencia actual de objeto, entre ellas, la sustracción de materia, que según lo refiere la Corte</w:t>
      </w:r>
      <w:r w:rsidR="00F33A95" w:rsidRPr="00F33A95">
        <w:rPr>
          <w:rStyle w:val="Refdenotaalpie"/>
          <w:rFonts w:ascii="Arial" w:hAnsi="Arial"/>
          <w:color w:val="000000"/>
          <w:sz w:val="24"/>
          <w:szCs w:val="24"/>
          <w:shd w:val="clear" w:color="auto" w:fill="FFFFFF"/>
        </w:rPr>
        <w:footnoteReference w:id="13"/>
      </w:r>
      <w:r w:rsidR="00F33A95"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00F33A95"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00F33A95" w:rsidRPr="000145F0">
        <w:rPr>
          <w:rFonts w:ascii="Arial" w:hAnsi="Arial" w:cs="Arial"/>
          <w:i/>
          <w:iCs/>
          <w:color w:val="000000"/>
          <w:sz w:val="24"/>
          <w:szCs w:val="24"/>
          <w:bdr w:val="none" w:sz="0" w:space="0" w:color="auto" w:frame="1"/>
          <w:shd w:val="clear" w:color="auto" w:fill="FFFFFF"/>
        </w:rPr>
        <w:t>.</w:t>
      </w:r>
    </w:p>
    <w:p w:rsidR="009565CF" w:rsidRPr="00666D58" w:rsidRDefault="009565CF" w:rsidP="001042EB">
      <w:pPr>
        <w:pStyle w:val="Textoindependiente"/>
        <w:spacing w:line="360" w:lineRule="auto"/>
        <w:rPr>
          <w:rFonts w:ascii="Arial" w:hAnsi="Arial" w:cs="Arial"/>
          <w:sz w:val="24"/>
          <w:szCs w:val="24"/>
          <w:lang w:val="es-CO"/>
        </w:rPr>
      </w:pPr>
    </w:p>
    <w:p w:rsidR="002F2011" w:rsidRPr="00B74642" w:rsidRDefault="00B74642" w:rsidP="00A92D21">
      <w:pPr>
        <w:pStyle w:val="Prrafodelista"/>
        <w:numPr>
          <w:ilvl w:val="0"/>
          <w:numId w:val="34"/>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666D58" w:rsidRDefault="002F2011" w:rsidP="002F2011">
      <w:pPr>
        <w:pStyle w:val="Prrafodelista"/>
        <w:spacing w:after="0" w:line="360" w:lineRule="auto"/>
        <w:ind w:left="390"/>
        <w:jc w:val="both"/>
        <w:rPr>
          <w:rFonts w:ascii="Arial" w:hAnsi="Arial" w:cs="Arial"/>
          <w:sz w:val="24"/>
          <w:szCs w:val="24"/>
        </w:rPr>
      </w:pPr>
    </w:p>
    <w:p w:rsidR="00B74642" w:rsidRPr="000145F0" w:rsidRDefault="00B74642" w:rsidP="00B74642">
      <w:pPr>
        <w:pStyle w:val="Textoindependiente"/>
        <w:spacing w:line="360" w:lineRule="auto"/>
        <w:rPr>
          <w:rFonts w:ascii="Arial" w:hAnsi="Arial"/>
          <w:sz w:val="24"/>
          <w:szCs w:val="24"/>
        </w:rPr>
      </w:pPr>
      <w:r w:rsidRPr="000145F0">
        <w:rPr>
          <w:rFonts w:ascii="Arial" w:hAnsi="Arial"/>
          <w:sz w:val="24"/>
          <w:szCs w:val="24"/>
        </w:rPr>
        <w:t xml:space="preserve">Se pretendía con la acción se ordenara dar respuesta al derecho de petición radicado el </w:t>
      </w:r>
      <w:r w:rsidR="009C2A9A">
        <w:rPr>
          <w:rFonts w:ascii="Arial" w:hAnsi="Arial"/>
          <w:sz w:val="24"/>
          <w:szCs w:val="24"/>
        </w:rPr>
        <w:t>06-05-2016</w:t>
      </w:r>
      <w:r w:rsidRPr="000145F0">
        <w:rPr>
          <w:rFonts w:ascii="Arial" w:hAnsi="Arial"/>
          <w:sz w:val="24"/>
          <w:szCs w:val="24"/>
        </w:rPr>
        <w:t xml:space="preserve">, </w:t>
      </w:r>
      <w:r w:rsidR="00330B7C">
        <w:rPr>
          <w:rFonts w:ascii="Arial" w:hAnsi="Arial"/>
          <w:sz w:val="24"/>
          <w:szCs w:val="24"/>
        </w:rPr>
        <w:t xml:space="preserve">relacionado con </w:t>
      </w:r>
      <w:r>
        <w:rPr>
          <w:rFonts w:ascii="Arial" w:hAnsi="Arial"/>
          <w:sz w:val="24"/>
          <w:szCs w:val="24"/>
        </w:rPr>
        <w:t xml:space="preserve">la </w:t>
      </w:r>
      <w:r w:rsidR="009C2A9A">
        <w:rPr>
          <w:rFonts w:ascii="Arial" w:hAnsi="Arial"/>
          <w:sz w:val="24"/>
          <w:szCs w:val="24"/>
        </w:rPr>
        <w:t xml:space="preserve">corrección de la historia laboral del señor Gabriel de Jesús Calle Cardona como afiliado de </w:t>
      </w:r>
      <w:proofErr w:type="spellStart"/>
      <w:r w:rsidR="009C2A9A">
        <w:rPr>
          <w:rFonts w:ascii="Arial" w:hAnsi="Arial"/>
          <w:sz w:val="24"/>
          <w:szCs w:val="24"/>
        </w:rPr>
        <w:t>Colpensiones</w:t>
      </w:r>
      <w:proofErr w:type="spellEnd"/>
      <w:r w:rsidR="009C2A9A">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9C2A9A">
        <w:rPr>
          <w:rFonts w:ascii="Arial" w:hAnsi="Arial" w:cs="Arial"/>
          <w:sz w:val="24"/>
          <w:szCs w:val="24"/>
          <w:lang w:val="es-CO" w:eastAsia="es-CO"/>
        </w:rPr>
        <w:t>el Vicepresidente Jurídico y Secretario General (A) de esa entidad</w:t>
      </w:r>
      <w:r w:rsidRPr="000145F0">
        <w:rPr>
          <w:rFonts w:ascii="Arial" w:hAnsi="Arial" w:cs="Arial"/>
          <w:sz w:val="24"/>
          <w:szCs w:val="24"/>
          <w:lang w:val="es-CO" w:eastAsia="es-CO"/>
        </w:rPr>
        <w:t xml:space="preserve">, la solicitud fue resuelta </w:t>
      </w:r>
      <w:r w:rsidR="009C2A9A">
        <w:rPr>
          <w:rFonts w:ascii="Arial" w:hAnsi="Arial" w:cs="Arial"/>
          <w:sz w:val="24"/>
          <w:szCs w:val="24"/>
          <w:lang w:val="es-CO" w:eastAsia="es-CO"/>
        </w:rPr>
        <w:t>por la Gerencia Nacional de Operaciones RPM mediante el oficio No.BZ2016_9871081 del 26-08-2016, comunicado</w:t>
      </w:r>
      <w:r>
        <w:rPr>
          <w:rFonts w:ascii="Arial" w:hAnsi="Arial" w:cs="Arial"/>
          <w:sz w:val="24"/>
          <w:szCs w:val="24"/>
          <w:lang w:val="es-CO" w:eastAsia="es-CO"/>
        </w:rPr>
        <w:t xml:space="preserve"> </w:t>
      </w:r>
      <w:r w:rsidR="009C2A9A">
        <w:rPr>
          <w:rFonts w:ascii="Arial" w:hAnsi="Arial" w:cs="Arial"/>
          <w:sz w:val="24"/>
          <w:szCs w:val="24"/>
          <w:lang w:val="es-CO" w:eastAsia="es-CO"/>
        </w:rPr>
        <w:t>el día 30-08-2016 (Folio</w:t>
      </w:r>
      <w:r w:rsidRPr="000145F0">
        <w:rPr>
          <w:rFonts w:ascii="Arial" w:hAnsi="Arial" w:cs="Arial"/>
          <w:sz w:val="24"/>
          <w:szCs w:val="24"/>
          <w:lang w:val="es-CO" w:eastAsia="es-CO"/>
        </w:rPr>
        <w:t xml:space="preserve"> </w:t>
      </w:r>
      <w:r w:rsidR="009C2A9A">
        <w:rPr>
          <w:rFonts w:ascii="Arial" w:hAnsi="Arial" w:cs="Arial"/>
          <w:sz w:val="24"/>
          <w:szCs w:val="24"/>
          <w:lang w:val="es-CO" w:eastAsia="es-CO"/>
        </w:rPr>
        <w:t>28, cuaderno No.1</w:t>
      </w:r>
      <w:r w:rsidRPr="000145F0">
        <w:rPr>
          <w:rFonts w:ascii="Arial" w:hAnsi="Arial" w:cs="Arial"/>
          <w:sz w:val="24"/>
          <w:szCs w:val="24"/>
          <w:lang w:val="es-CO" w:eastAsia="es-CO"/>
        </w:rPr>
        <w:t xml:space="preserve">), </w:t>
      </w:r>
      <w:r>
        <w:rPr>
          <w:rFonts w:ascii="Arial" w:hAnsi="Arial" w:cs="Arial"/>
          <w:sz w:val="24"/>
          <w:szCs w:val="24"/>
          <w:lang w:val="es-CO" w:eastAsia="es-CO"/>
        </w:rPr>
        <w:t xml:space="preserve">mediante </w:t>
      </w:r>
      <w:r w:rsidR="009C2A9A">
        <w:rPr>
          <w:rFonts w:ascii="Arial" w:hAnsi="Arial" w:cs="Arial"/>
          <w:sz w:val="24"/>
          <w:szCs w:val="24"/>
          <w:lang w:val="es-CO" w:eastAsia="es-CO"/>
        </w:rPr>
        <w:t>el cual le informó sobre la correcta acreditación de algunos reportes y la ausencia de registro de otros pagos, invitándolo a arrimar la prueba de su realización</w:t>
      </w:r>
      <w:r>
        <w:rPr>
          <w:rFonts w:ascii="Arial" w:hAnsi="Arial" w:cs="Arial"/>
          <w:sz w:val="24"/>
          <w:szCs w:val="24"/>
          <w:lang w:val="es-CO" w:eastAsia="es-CO"/>
        </w:rPr>
        <w:t xml:space="preserve">, lo que se constató en esta instancia </w:t>
      </w:r>
      <w:r w:rsidRPr="000145F0">
        <w:rPr>
          <w:rFonts w:ascii="Arial" w:hAnsi="Arial" w:cs="Arial"/>
          <w:sz w:val="24"/>
          <w:szCs w:val="24"/>
          <w:lang w:val="es-CO" w:eastAsia="es-CO"/>
        </w:rPr>
        <w:t xml:space="preserve">(Folio </w:t>
      </w:r>
      <w:r w:rsidR="009C2A9A">
        <w:rPr>
          <w:rFonts w:ascii="Arial" w:hAnsi="Arial"/>
          <w:sz w:val="24"/>
          <w:szCs w:val="24"/>
        </w:rPr>
        <w:t xml:space="preserve">9 </w:t>
      </w:r>
      <w:r w:rsidRPr="000145F0">
        <w:rPr>
          <w:rFonts w:ascii="Arial" w:hAnsi="Arial"/>
          <w:sz w:val="24"/>
          <w:szCs w:val="24"/>
        </w:rPr>
        <w:t>vto.</w:t>
      </w:r>
      <w:r w:rsidRPr="000145F0">
        <w:rPr>
          <w:rFonts w:ascii="Arial" w:hAnsi="Arial" w:cs="Arial"/>
          <w:sz w:val="24"/>
          <w:szCs w:val="24"/>
          <w:lang w:val="es-CO" w:eastAsia="es-CO"/>
        </w:rPr>
        <w:t>, este cuaderno)</w:t>
      </w:r>
      <w:r w:rsidRPr="000145F0">
        <w:rPr>
          <w:rFonts w:ascii="Arial" w:hAnsi="Arial"/>
          <w:sz w:val="24"/>
          <w:szCs w:val="24"/>
        </w:rPr>
        <w:t xml:space="preserve">. </w:t>
      </w:r>
    </w:p>
    <w:p w:rsidR="00B74642" w:rsidRPr="000145F0" w:rsidRDefault="00B74642" w:rsidP="00B74642">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9C2A9A">
        <w:rPr>
          <w:rFonts w:ascii="Arial" w:hAnsi="Arial" w:cs="Arial"/>
          <w:sz w:val="24"/>
          <w:szCs w:val="24"/>
          <w:lang w:val="es-CO" w:eastAsia="es-CO"/>
        </w:rPr>
        <w:t xml:space="preserve">al derecho de </w:t>
      </w:r>
      <w:r w:rsidRPr="000145F0">
        <w:rPr>
          <w:rFonts w:ascii="Arial" w:hAnsi="Arial" w:cs="Arial"/>
          <w:sz w:val="24"/>
          <w:szCs w:val="24"/>
          <w:lang w:val="es-CO" w:eastAsia="es-CO"/>
        </w:rPr>
        <w:t xml:space="preserve">petición,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B74642" w:rsidRPr="000145F0" w:rsidRDefault="00B74642" w:rsidP="00B74642">
      <w:pPr>
        <w:pStyle w:val="Textoindependiente"/>
        <w:spacing w:line="360" w:lineRule="auto"/>
        <w:rPr>
          <w:rFonts w:ascii="Arial" w:hAnsi="Arial" w:cs="Arial"/>
          <w:sz w:val="24"/>
          <w:szCs w:val="24"/>
        </w:rPr>
      </w:pPr>
    </w:p>
    <w:p w:rsidR="00B74642" w:rsidRPr="000145F0" w:rsidRDefault="00B74642" w:rsidP="00B74642">
      <w:pPr>
        <w:pStyle w:val="Textoindependiente"/>
        <w:spacing w:line="360" w:lineRule="auto"/>
        <w:rPr>
          <w:rFonts w:ascii="Arial" w:hAnsi="Arial" w:cs="Arial"/>
          <w:sz w:val="24"/>
          <w:szCs w:val="24"/>
        </w:rPr>
      </w:pPr>
      <w:r w:rsidRPr="000145F0">
        <w:rPr>
          <w:rFonts w:ascii="Arial" w:hAnsi="Arial" w:cs="Arial"/>
          <w:sz w:val="24"/>
          <w:szCs w:val="24"/>
        </w:rPr>
        <w:t xml:space="preserve">En ese orden de ideas, </w:t>
      </w:r>
      <w:r w:rsidR="009C2A9A">
        <w:rPr>
          <w:rFonts w:ascii="Arial" w:hAnsi="Arial" w:cs="Arial"/>
          <w:sz w:val="24"/>
          <w:szCs w:val="24"/>
        </w:rPr>
        <w:t xml:space="preserve">se confirmará la sentencia </w:t>
      </w:r>
      <w:r w:rsidR="0028497E">
        <w:rPr>
          <w:rFonts w:ascii="Arial" w:hAnsi="Arial" w:cs="Arial"/>
          <w:sz w:val="24"/>
          <w:szCs w:val="24"/>
        </w:rPr>
        <w:t>de primera instancia</w:t>
      </w:r>
      <w:r w:rsidR="009C2A9A">
        <w:rPr>
          <w:rFonts w:ascii="Arial" w:hAnsi="Arial" w:cs="Arial"/>
          <w:sz w:val="24"/>
          <w:szCs w:val="24"/>
        </w:rPr>
        <w:t xml:space="preserve">, pero con la salvedad expuesta en el acápite de legitimación, y se </w:t>
      </w:r>
      <w:r>
        <w:rPr>
          <w:rFonts w:ascii="Arial" w:hAnsi="Arial" w:cs="Arial"/>
          <w:sz w:val="24"/>
          <w:szCs w:val="24"/>
        </w:rPr>
        <w:t xml:space="preserve">declarará </w:t>
      </w:r>
      <w:r w:rsidRPr="000145F0">
        <w:rPr>
          <w:rFonts w:ascii="Arial" w:hAnsi="Arial" w:cs="Arial"/>
          <w:sz w:val="24"/>
          <w:szCs w:val="24"/>
        </w:rPr>
        <w:t>la carencia actual de objeto por el hecho superado</w:t>
      </w:r>
      <w:r w:rsidR="009C2A9A">
        <w:rPr>
          <w:rFonts w:ascii="Arial" w:hAnsi="Arial" w:cs="Arial"/>
          <w:sz w:val="24"/>
          <w:szCs w:val="24"/>
        </w:rPr>
        <w:t xml:space="preserve">, conforme los argumentos </w:t>
      </w:r>
      <w:r w:rsidR="006B3FA0">
        <w:rPr>
          <w:rFonts w:ascii="Arial" w:hAnsi="Arial" w:cs="Arial"/>
          <w:sz w:val="24"/>
          <w:szCs w:val="24"/>
        </w:rPr>
        <w:t>expuestos en la impugnación</w:t>
      </w:r>
      <w:r w:rsidRPr="000145F0">
        <w:rPr>
          <w:rFonts w:ascii="Arial" w:hAnsi="Arial" w:cs="Arial"/>
          <w:sz w:val="24"/>
          <w:szCs w:val="24"/>
        </w:rPr>
        <w:t>.</w:t>
      </w:r>
    </w:p>
    <w:p w:rsidR="00B74642" w:rsidRDefault="00B74642" w:rsidP="00B74642">
      <w:pPr>
        <w:pStyle w:val="Textoindependiente"/>
        <w:spacing w:line="360" w:lineRule="auto"/>
        <w:ind w:left="851" w:right="567"/>
        <w:rPr>
          <w:rFonts w:ascii="Arial" w:hAnsi="Arial" w:cs="Arial"/>
          <w:sz w:val="24"/>
          <w:szCs w:val="24"/>
          <w:lang w:val="es-CO"/>
        </w:rPr>
      </w:pPr>
    </w:p>
    <w:p w:rsidR="00CE32AE" w:rsidRPr="006E674E" w:rsidRDefault="006E674E" w:rsidP="006E674E">
      <w:pPr>
        <w:pStyle w:val="Textoindependiente"/>
        <w:numPr>
          <w:ilvl w:val="0"/>
          <w:numId w:val="34"/>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CE32AE" w:rsidRPr="00330FD7" w:rsidRDefault="00CE32AE" w:rsidP="00CE32AE">
      <w:pPr>
        <w:spacing w:line="360" w:lineRule="auto"/>
        <w:jc w:val="both"/>
        <w:rPr>
          <w:rFonts w:ascii="Arial" w:hAnsi="Arial" w:cs="Arial"/>
          <w:sz w:val="18"/>
          <w:lang w:val="es-CO"/>
        </w:rPr>
      </w:pPr>
    </w:p>
    <w:p w:rsidR="00DD1EC0" w:rsidRDefault="00DD1EC0" w:rsidP="00DD1EC0">
      <w:pPr>
        <w:spacing w:line="360" w:lineRule="auto"/>
        <w:ind w:right="51"/>
        <w:jc w:val="both"/>
        <w:rPr>
          <w:rFonts w:ascii="Arial" w:hAnsi="Arial"/>
        </w:rPr>
      </w:pPr>
      <w:r w:rsidRPr="000145F0">
        <w:rPr>
          <w:rFonts w:ascii="Arial" w:hAnsi="Arial"/>
        </w:rPr>
        <w:lastRenderedPageBreak/>
        <w:t xml:space="preserve">En armonía con las premisas expuestas en los acápites anteriores: (i) </w:t>
      </w:r>
      <w:r w:rsidR="00F81BD6" w:rsidRPr="000145F0">
        <w:rPr>
          <w:rFonts w:ascii="Arial" w:hAnsi="Arial"/>
        </w:rPr>
        <w:t xml:space="preserve">Se </w:t>
      </w:r>
      <w:r w:rsidR="001A3195">
        <w:rPr>
          <w:rFonts w:ascii="Arial" w:hAnsi="Arial"/>
        </w:rPr>
        <w:t xml:space="preserve">confirmará </w:t>
      </w:r>
      <w:r w:rsidR="00330FD7">
        <w:rPr>
          <w:rFonts w:ascii="Arial" w:hAnsi="Arial"/>
        </w:rPr>
        <w:t xml:space="preserve">parcialmente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C74DE5">
        <w:rPr>
          <w:rFonts w:ascii="Arial" w:hAnsi="Arial"/>
        </w:rPr>
        <w:t xml:space="preserve">(ii) Se adicionará el numeral </w:t>
      </w:r>
      <w:r w:rsidR="00C6576A">
        <w:rPr>
          <w:rFonts w:ascii="Arial" w:hAnsi="Arial"/>
        </w:rPr>
        <w:t xml:space="preserve">1º </w:t>
      </w:r>
      <w:r w:rsidR="00C74DE5">
        <w:rPr>
          <w:rFonts w:ascii="Arial" w:hAnsi="Arial"/>
        </w:rPr>
        <w:t xml:space="preserve">para señalar que la </w:t>
      </w:r>
      <w:r w:rsidR="00C6576A">
        <w:rPr>
          <w:rFonts w:ascii="Arial" w:hAnsi="Arial"/>
        </w:rPr>
        <w:t xml:space="preserve">tutela del derecho de petición se concede frente a </w:t>
      </w:r>
      <w:r w:rsidR="00C74DE5">
        <w:rPr>
          <w:rFonts w:ascii="Arial" w:hAnsi="Arial"/>
        </w:rPr>
        <w:t xml:space="preserve">la Gerencia Nacional de Operaciones RPM de </w:t>
      </w:r>
      <w:proofErr w:type="spellStart"/>
      <w:r w:rsidR="00C74DE5">
        <w:rPr>
          <w:rFonts w:ascii="Arial" w:hAnsi="Arial"/>
        </w:rPr>
        <w:t>Colpensiones</w:t>
      </w:r>
      <w:proofErr w:type="spellEnd"/>
      <w:r w:rsidR="00C74DE5">
        <w:rPr>
          <w:rFonts w:ascii="Arial" w:hAnsi="Arial"/>
        </w:rPr>
        <w:t xml:space="preserve">; </w:t>
      </w:r>
      <w:r w:rsidR="00330FD7">
        <w:rPr>
          <w:rFonts w:ascii="Arial" w:hAnsi="Arial"/>
        </w:rPr>
        <w:t>(</w:t>
      </w:r>
      <w:r w:rsidR="00C74DE5">
        <w:rPr>
          <w:rFonts w:ascii="Arial" w:hAnsi="Arial"/>
        </w:rPr>
        <w:t>iii</w:t>
      </w:r>
      <w:r w:rsidR="00330FD7">
        <w:rPr>
          <w:rFonts w:ascii="Arial" w:hAnsi="Arial"/>
        </w:rPr>
        <w:t xml:space="preserve">) Se </w:t>
      </w:r>
      <w:r w:rsidR="006B3FA0">
        <w:rPr>
          <w:rFonts w:ascii="Arial" w:hAnsi="Arial"/>
        </w:rPr>
        <w:t xml:space="preserve">revocará </w:t>
      </w:r>
      <w:r w:rsidR="00C74DE5">
        <w:rPr>
          <w:rFonts w:ascii="Arial" w:hAnsi="Arial"/>
        </w:rPr>
        <w:t xml:space="preserve">su </w:t>
      </w:r>
      <w:r w:rsidR="00330FD7">
        <w:rPr>
          <w:rFonts w:ascii="Arial" w:hAnsi="Arial"/>
        </w:rPr>
        <w:t>numeral 2º</w:t>
      </w:r>
      <w:r w:rsidR="00C74DE5">
        <w:rPr>
          <w:rFonts w:ascii="Arial" w:hAnsi="Arial"/>
        </w:rPr>
        <w:t xml:space="preserve">; y en su lugar, </w:t>
      </w:r>
      <w:r w:rsidR="00C6576A">
        <w:rPr>
          <w:rFonts w:ascii="Arial" w:hAnsi="Arial"/>
        </w:rPr>
        <w:t>(iv</w:t>
      </w:r>
      <w:r w:rsidR="00C74DE5">
        <w:rPr>
          <w:rFonts w:ascii="Arial" w:hAnsi="Arial"/>
        </w:rPr>
        <w:t xml:space="preserve">) Se </w:t>
      </w:r>
      <w:r w:rsidR="00C6576A">
        <w:rPr>
          <w:rFonts w:ascii="Arial" w:hAnsi="Arial"/>
        </w:rPr>
        <w:t xml:space="preserve">declarará improcedente </w:t>
      </w:r>
      <w:r w:rsidR="00C74DE5">
        <w:rPr>
          <w:rFonts w:ascii="Arial" w:hAnsi="Arial"/>
        </w:rPr>
        <w:t xml:space="preserve">el amparo frente </w:t>
      </w:r>
      <w:r w:rsidR="006B3FA0">
        <w:rPr>
          <w:rFonts w:ascii="Arial" w:hAnsi="Arial"/>
        </w:rPr>
        <w:t xml:space="preserve">a </w:t>
      </w:r>
      <w:r w:rsidR="006B3FA0">
        <w:rPr>
          <w:rFonts w:ascii="Arial" w:hAnsi="Arial" w:cs="Arial"/>
        </w:rPr>
        <w:t xml:space="preserve">las Gerencias Nacionales de Reconocimiento, Nómina, Gestión Documental y Defensa Judicial de </w:t>
      </w:r>
      <w:proofErr w:type="spellStart"/>
      <w:r w:rsidR="006B3FA0">
        <w:rPr>
          <w:rFonts w:ascii="Arial" w:hAnsi="Arial" w:cs="Arial"/>
        </w:rPr>
        <w:t>Colpensiones</w:t>
      </w:r>
      <w:proofErr w:type="spellEnd"/>
      <w:r w:rsidR="00330FD7">
        <w:rPr>
          <w:rFonts w:ascii="Arial" w:hAnsi="Arial"/>
        </w:rPr>
        <w:t xml:space="preserve">, por </w:t>
      </w:r>
      <w:r w:rsidR="00C6576A">
        <w:rPr>
          <w:rFonts w:ascii="Arial" w:hAnsi="Arial"/>
        </w:rPr>
        <w:t>carecer de legitimación</w:t>
      </w:r>
      <w:r w:rsidR="00C74DE5">
        <w:rPr>
          <w:rFonts w:ascii="Arial" w:hAnsi="Arial"/>
        </w:rPr>
        <w:t>; y</w:t>
      </w:r>
      <w:r w:rsidR="00330FD7">
        <w:rPr>
          <w:rFonts w:ascii="Arial" w:hAnsi="Arial"/>
        </w:rPr>
        <w:t>,</w:t>
      </w:r>
      <w:r w:rsidRPr="000145F0">
        <w:rPr>
          <w:rFonts w:ascii="Arial" w:hAnsi="Arial"/>
        </w:rPr>
        <w:t xml:space="preserve"> (</w:t>
      </w:r>
      <w:r w:rsidR="00330FD7">
        <w:rPr>
          <w:rFonts w:ascii="Arial" w:hAnsi="Arial"/>
        </w:rPr>
        <w:t>v</w:t>
      </w:r>
      <w:r w:rsidRPr="000145F0">
        <w:rPr>
          <w:rFonts w:ascii="Arial" w:hAnsi="Arial"/>
        </w:rPr>
        <w:t>)</w:t>
      </w:r>
      <w:r w:rsidR="00F81BD6" w:rsidRPr="000145F0">
        <w:rPr>
          <w:rFonts w:ascii="Arial" w:hAnsi="Arial"/>
        </w:rPr>
        <w:t xml:space="preserve"> Se </w:t>
      </w:r>
      <w:r w:rsidR="001A3195" w:rsidRPr="000145F0">
        <w:rPr>
          <w:rFonts w:ascii="Arial" w:hAnsi="Arial"/>
        </w:rPr>
        <w:t>declarar</w:t>
      </w:r>
      <w:r w:rsidR="001A3195">
        <w:rPr>
          <w:rFonts w:ascii="Arial" w:hAnsi="Arial"/>
        </w:rPr>
        <w:t>á</w:t>
      </w:r>
      <w:r w:rsidR="001A3195" w:rsidRPr="000145F0">
        <w:rPr>
          <w:rFonts w:ascii="Arial" w:hAnsi="Arial"/>
        </w:rPr>
        <w:t xml:space="preserve"> la carencia actual de objeto por el hecho superado</w:t>
      </w:r>
      <w:r w:rsidRPr="000145F0">
        <w:rPr>
          <w:rFonts w:ascii="Arial" w:hAnsi="Arial"/>
        </w:rPr>
        <w:t>.</w:t>
      </w:r>
    </w:p>
    <w:p w:rsidR="00F14049" w:rsidRPr="00330FD7" w:rsidRDefault="00F14049" w:rsidP="00DD1EC0">
      <w:pPr>
        <w:spacing w:line="360" w:lineRule="auto"/>
        <w:ind w:right="51"/>
        <w:jc w:val="both"/>
        <w:rPr>
          <w:rFonts w:ascii="Arial" w:hAnsi="Arial"/>
          <w:sz w:val="18"/>
        </w:rPr>
      </w:pPr>
    </w:p>
    <w:p w:rsidR="006B3FA0" w:rsidRPr="00D108C2" w:rsidRDefault="006B3FA0" w:rsidP="006B3FA0">
      <w:pPr>
        <w:tabs>
          <w:tab w:val="left" w:pos="-720"/>
        </w:tabs>
        <w:suppressAutoHyphens/>
        <w:spacing w:line="360" w:lineRule="auto"/>
        <w:jc w:val="both"/>
        <w:rPr>
          <w:rFonts w:ascii="Arial" w:hAnsi="Arial" w:cs="Arial"/>
        </w:rPr>
      </w:pPr>
      <w:r w:rsidRPr="008A1328">
        <w:rPr>
          <w:rFonts w:ascii="Arial" w:hAnsi="Arial" w:cs="Arial"/>
        </w:rPr>
        <w:t xml:space="preserve">En </w:t>
      </w:r>
      <w:r w:rsidRPr="00D108C2">
        <w:rPr>
          <w:rFonts w:ascii="Arial" w:hAnsi="Arial" w:cs="Arial"/>
        </w:rPr>
        <w:t xml:space="preserve">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Asuntos Penales para Adolescentes No.4</w:t>
      </w:r>
      <w:r w:rsidRPr="00D108C2">
        <w:rPr>
          <w:rFonts w:ascii="Arial" w:hAnsi="Arial" w:cs="Arial"/>
        </w:rPr>
        <w:t>, administrando Justicia, en nombre de la República y por autoridad de la Ley,</w:t>
      </w:r>
    </w:p>
    <w:p w:rsidR="006B3FA0" w:rsidRPr="006B3FA0" w:rsidRDefault="006B3FA0" w:rsidP="00DD1EC0">
      <w:pPr>
        <w:pStyle w:val="Textoindependiente"/>
        <w:spacing w:line="360" w:lineRule="auto"/>
        <w:jc w:val="center"/>
        <w:rPr>
          <w:rFonts w:ascii="Arial" w:hAnsi="Arial" w:cs="Arial"/>
          <w:bCs/>
          <w:smallCaps/>
          <w:sz w:val="16"/>
          <w:szCs w:val="24"/>
        </w:rPr>
      </w:pPr>
    </w:p>
    <w:p w:rsidR="00DD1EC0" w:rsidRPr="00BC795E" w:rsidRDefault="00DD1EC0" w:rsidP="00DD1EC0">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F81BD6" w:rsidRPr="00330FD7"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C6576A"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330FD7">
        <w:rPr>
          <w:rFonts w:ascii="Arial" w:hAnsi="Arial"/>
          <w:sz w:val="24"/>
          <w:szCs w:val="24"/>
        </w:rPr>
        <w:t xml:space="preserve">parcialmente </w:t>
      </w:r>
      <w:r w:rsidR="001A3195" w:rsidRPr="00DD1EC0">
        <w:rPr>
          <w:rFonts w:ascii="Arial" w:hAnsi="Arial"/>
          <w:sz w:val="24"/>
          <w:szCs w:val="24"/>
        </w:rPr>
        <w:t xml:space="preserve">la sentencia del día </w:t>
      </w:r>
      <w:r w:rsidR="006B3FA0">
        <w:rPr>
          <w:rFonts w:ascii="Arial" w:hAnsi="Arial"/>
          <w:sz w:val="24"/>
          <w:szCs w:val="24"/>
        </w:rPr>
        <w:t xml:space="preserve">17-08-2016 </w:t>
      </w:r>
      <w:r w:rsidR="001A3195" w:rsidRPr="00DD1EC0">
        <w:rPr>
          <w:rFonts w:ascii="Arial" w:hAnsi="Arial"/>
          <w:sz w:val="24"/>
          <w:szCs w:val="24"/>
        </w:rPr>
        <w:t xml:space="preserve">proferida por el </w:t>
      </w:r>
      <w:r w:rsidR="0028497E" w:rsidRPr="00592111">
        <w:rPr>
          <w:rFonts w:ascii="Arial" w:hAnsi="Arial"/>
          <w:sz w:val="24"/>
          <w:szCs w:val="24"/>
        </w:rPr>
        <w:t>Juzgado Primero Penal del Circuito para adolescentes con función de conocimiento de Pereira</w:t>
      </w:r>
      <w:r w:rsidRPr="00DD1EC0">
        <w:rPr>
          <w:rFonts w:ascii="Arial" w:hAnsi="Arial"/>
          <w:sz w:val="24"/>
          <w:szCs w:val="24"/>
        </w:rPr>
        <w:t>.</w:t>
      </w:r>
    </w:p>
    <w:p w:rsidR="00C6576A" w:rsidRPr="00C6576A" w:rsidRDefault="00C6576A" w:rsidP="00C6576A">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C6576A" w:rsidRPr="00C6576A" w:rsidRDefault="00C6576A"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C6576A">
        <w:rPr>
          <w:rFonts w:ascii="Arial" w:hAnsi="Arial"/>
          <w:sz w:val="24"/>
          <w:szCs w:val="24"/>
        </w:rPr>
        <w:t xml:space="preserve">ADICIONAR el numeral 1º del aludido fallo para señalar que la tutela del derecho de petición se concede frente a la Gerencia Nacional de Operaciones RPM de </w:t>
      </w:r>
      <w:proofErr w:type="spellStart"/>
      <w:r w:rsidRPr="00C6576A">
        <w:rPr>
          <w:rFonts w:ascii="Arial" w:hAnsi="Arial"/>
          <w:sz w:val="24"/>
          <w:szCs w:val="24"/>
        </w:rPr>
        <w:t>Colpensiones</w:t>
      </w:r>
      <w:proofErr w:type="spellEnd"/>
    </w:p>
    <w:p w:rsidR="001A3195" w:rsidRPr="00330FD7" w:rsidRDefault="001A3195" w:rsidP="001A3195">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330FD7" w:rsidRPr="00C6576A" w:rsidRDefault="006B3FA0" w:rsidP="00E852F4">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C6576A">
        <w:rPr>
          <w:rFonts w:ascii="Arial" w:hAnsi="Arial"/>
          <w:sz w:val="24"/>
          <w:szCs w:val="24"/>
        </w:rPr>
        <w:t>REVOCAR</w:t>
      </w:r>
      <w:r w:rsidR="00330FD7" w:rsidRPr="00C6576A">
        <w:rPr>
          <w:rFonts w:ascii="Arial" w:hAnsi="Arial"/>
          <w:sz w:val="24"/>
          <w:szCs w:val="24"/>
        </w:rPr>
        <w:t xml:space="preserve"> el numeral 2º</w:t>
      </w:r>
      <w:r w:rsidR="00C74DE5" w:rsidRPr="00C6576A">
        <w:rPr>
          <w:rFonts w:ascii="Arial" w:hAnsi="Arial"/>
          <w:sz w:val="24"/>
          <w:szCs w:val="24"/>
        </w:rPr>
        <w:t xml:space="preserve"> de la referida providencia</w:t>
      </w:r>
      <w:r w:rsidR="00C6576A">
        <w:rPr>
          <w:rFonts w:ascii="Arial" w:hAnsi="Arial"/>
          <w:sz w:val="24"/>
          <w:szCs w:val="24"/>
        </w:rPr>
        <w:t xml:space="preserve">, y en su lugar, </w:t>
      </w:r>
      <w:r w:rsidR="00C6576A" w:rsidRPr="00C6576A">
        <w:rPr>
          <w:rFonts w:ascii="Arial" w:hAnsi="Arial"/>
          <w:sz w:val="24"/>
          <w:szCs w:val="24"/>
        </w:rPr>
        <w:t xml:space="preserve">DECLARAR improcedente </w:t>
      </w:r>
      <w:r w:rsidR="00C74DE5" w:rsidRPr="00C6576A">
        <w:rPr>
          <w:rFonts w:ascii="Arial" w:hAnsi="Arial"/>
          <w:sz w:val="24"/>
          <w:szCs w:val="24"/>
        </w:rPr>
        <w:t xml:space="preserve">el amparo constitucional frente a </w:t>
      </w:r>
      <w:r w:rsidR="00C74DE5" w:rsidRPr="00C6576A">
        <w:rPr>
          <w:rFonts w:ascii="Arial" w:hAnsi="Arial" w:cs="Arial"/>
          <w:sz w:val="24"/>
          <w:szCs w:val="24"/>
        </w:rPr>
        <w:t>las Gerencias Nacionales de Reconocimiento, Nómina, Gestión Document</w:t>
      </w:r>
      <w:r w:rsidR="00C6576A">
        <w:rPr>
          <w:rFonts w:ascii="Arial" w:hAnsi="Arial" w:cs="Arial"/>
          <w:sz w:val="24"/>
          <w:szCs w:val="24"/>
        </w:rPr>
        <w:t xml:space="preserve">al, </w:t>
      </w:r>
      <w:r w:rsidR="00C74DE5" w:rsidRPr="00C6576A">
        <w:rPr>
          <w:rFonts w:ascii="Arial" w:hAnsi="Arial" w:cs="Arial"/>
          <w:sz w:val="24"/>
          <w:szCs w:val="24"/>
        </w:rPr>
        <w:t>Defensa Judicial</w:t>
      </w:r>
      <w:r w:rsidR="00C6576A">
        <w:rPr>
          <w:rFonts w:ascii="Arial" w:hAnsi="Arial" w:cs="Arial"/>
          <w:sz w:val="24"/>
          <w:szCs w:val="24"/>
        </w:rPr>
        <w:t>, y Aportes y Recaudo</w:t>
      </w:r>
      <w:r w:rsidR="00C74DE5" w:rsidRPr="00C6576A">
        <w:rPr>
          <w:rFonts w:ascii="Arial" w:hAnsi="Arial" w:cs="Arial"/>
          <w:sz w:val="24"/>
          <w:szCs w:val="24"/>
        </w:rPr>
        <w:t xml:space="preserve"> de </w:t>
      </w:r>
      <w:proofErr w:type="spellStart"/>
      <w:r w:rsidR="00C74DE5" w:rsidRPr="00C6576A">
        <w:rPr>
          <w:rFonts w:ascii="Arial" w:hAnsi="Arial" w:cs="Arial"/>
          <w:sz w:val="24"/>
          <w:szCs w:val="24"/>
        </w:rPr>
        <w:t>Colpensiones</w:t>
      </w:r>
      <w:proofErr w:type="spellEnd"/>
      <w:r w:rsidR="00C6576A" w:rsidRPr="00C6576A">
        <w:rPr>
          <w:rFonts w:ascii="Arial" w:hAnsi="Arial" w:cs="Arial"/>
          <w:sz w:val="24"/>
          <w:szCs w:val="24"/>
        </w:rPr>
        <w:t>, por carecer de legitimación</w:t>
      </w:r>
      <w:r w:rsidR="00330FD7" w:rsidRPr="00C6576A">
        <w:rPr>
          <w:rFonts w:ascii="Arial" w:hAnsi="Arial"/>
          <w:sz w:val="24"/>
          <w:szCs w:val="24"/>
          <w:lang w:val="es-ES"/>
        </w:rPr>
        <w:t xml:space="preserve">. </w:t>
      </w:r>
    </w:p>
    <w:p w:rsidR="00330FD7" w:rsidRPr="00330FD7" w:rsidRDefault="00330FD7" w:rsidP="00330FD7">
      <w:pPr>
        <w:pStyle w:val="Prrafodelista"/>
        <w:rPr>
          <w:rFonts w:ascii="Arial" w:hAnsi="Arial"/>
          <w:sz w:val="18"/>
          <w:szCs w:val="24"/>
        </w:rPr>
      </w:pPr>
    </w:p>
    <w:p w:rsidR="001A3195" w:rsidRPr="00F81BD6"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330FD7"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330FD7" w:rsidRDefault="00DD1EC0" w:rsidP="00DD1EC0">
      <w:pPr>
        <w:pStyle w:val="Prrafodelista"/>
        <w:spacing w:after="0" w:line="360" w:lineRule="auto"/>
        <w:ind w:left="360" w:right="51"/>
        <w:jc w:val="both"/>
        <w:rPr>
          <w:rFonts w:ascii="Arial" w:hAnsi="Arial"/>
          <w:sz w:val="18"/>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C6576A" w:rsidRDefault="003F672F" w:rsidP="003F672F">
      <w:pPr>
        <w:pStyle w:val="Textoindependiente"/>
        <w:tabs>
          <w:tab w:val="clear" w:pos="708"/>
        </w:tabs>
        <w:spacing w:line="360" w:lineRule="auto"/>
        <w:rPr>
          <w:rFonts w:ascii="Arial" w:hAnsi="Arial" w:cs="Arial"/>
          <w:sz w:val="18"/>
          <w:szCs w:val="24"/>
        </w:rPr>
      </w:pPr>
    </w:p>
    <w:p w:rsidR="003F672F" w:rsidRPr="00C6576A" w:rsidRDefault="003F672F" w:rsidP="003F672F">
      <w:pPr>
        <w:pStyle w:val="Textoindependiente"/>
        <w:tabs>
          <w:tab w:val="clear" w:pos="708"/>
        </w:tabs>
        <w:spacing w:line="360" w:lineRule="auto"/>
        <w:jc w:val="center"/>
        <w:rPr>
          <w:rFonts w:ascii="Arial" w:hAnsi="Arial" w:cs="Arial"/>
          <w:sz w:val="22"/>
          <w:szCs w:val="24"/>
        </w:rPr>
      </w:pPr>
      <w:r w:rsidRPr="00C6576A">
        <w:rPr>
          <w:rFonts w:ascii="Arial" w:hAnsi="Arial"/>
          <w:smallCaps/>
          <w:sz w:val="28"/>
          <w:szCs w:val="24"/>
        </w:rPr>
        <w:t>Notifíquese,</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6B3FA0" w:rsidRPr="005D64FE"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6B3FA0" w:rsidRPr="006B3FA0"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6B3FA0">
        <w:rPr>
          <w:rFonts w:ascii="Arial" w:hAnsi="Arial" w:cs="Arial"/>
          <w:i/>
          <w:spacing w:val="-3"/>
          <w:w w:val="150"/>
          <w:sz w:val="28"/>
          <w:lang w:val="es-CO"/>
        </w:rPr>
        <w:t>D</w:t>
      </w:r>
      <w:r w:rsidRPr="006B3FA0">
        <w:rPr>
          <w:rFonts w:ascii="Arial" w:hAnsi="Arial" w:cs="Arial"/>
          <w:i/>
          <w:spacing w:val="-3"/>
          <w:w w:val="150"/>
          <w:sz w:val="18"/>
          <w:lang w:val="es-CO"/>
        </w:rPr>
        <w:t>UBERNEY</w:t>
      </w:r>
      <w:r w:rsidRPr="006B3FA0">
        <w:rPr>
          <w:rFonts w:ascii="Arial" w:hAnsi="Arial" w:cs="Arial"/>
          <w:i/>
          <w:spacing w:val="-3"/>
          <w:w w:val="150"/>
          <w:lang w:val="es-CO"/>
        </w:rPr>
        <w:t xml:space="preserve"> </w:t>
      </w:r>
      <w:r w:rsidRPr="006B3FA0">
        <w:rPr>
          <w:rFonts w:ascii="Arial" w:hAnsi="Arial" w:cs="Arial"/>
          <w:i/>
          <w:spacing w:val="-3"/>
          <w:w w:val="150"/>
          <w:sz w:val="28"/>
          <w:lang w:val="es-CO"/>
        </w:rPr>
        <w:t>G</w:t>
      </w:r>
      <w:r w:rsidRPr="006B3FA0">
        <w:rPr>
          <w:rFonts w:ascii="Arial" w:hAnsi="Arial" w:cs="Arial"/>
          <w:i/>
          <w:spacing w:val="-3"/>
          <w:w w:val="150"/>
          <w:sz w:val="18"/>
          <w:lang w:val="es-CO"/>
        </w:rPr>
        <w:t>RISALES</w:t>
      </w:r>
      <w:r w:rsidRPr="006B3FA0">
        <w:rPr>
          <w:rFonts w:ascii="Arial" w:hAnsi="Arial" w:cs="Arial"/>
          <w:i/>
          <w:spacing w:val="-3"/>
          <w:w w:val="150"/>
          <w:sz w:val="18"/>
          <w:szCs w:val="18"/>
          <w:lang w:val="es-CO"/>
        </w:rPr>
        <w:t xml:space="preserve"> </w:t>
      </w:r>
      <w:r w:rsidRPr="006B3FA0">
        <w:rPr>
          <w:rFonts w:ascii="Arial" w:hAnsi="Arial" w:cs="Arial"/>
          <w:i/>
          <w:spacing w:val="-3"/>
          <w:w w:val="150"/>
          <w:sz w:val="28"/>
          <w:szCs w:val="18"/>
          <w:lang w:val="es-CO"/>
        </w:rPr>
        <w:t>H</w:t>
      </w:r>
      <w:r w:rsidRPr="006B3FA0">
        <w:rPr>
          <w:rFonts w:ascii="Arial" w:hAnsi="Arial" w:cs="Arial"/>
          <w:i/>
          <w:spacing w:val="-3"/>
          <w:w w:val="150"/>
          <w:sz w:val="18"/>
          <w:szCs w:val="18"/>
          <w:lang w:val="es-CO"/>
        </w:rPr>
        <w:t>ERRERA</w:t>
      </w: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6B3FA0">
        <w:rPr>
          <w:rFonts w:ascii="Arial" w:hAnsi="Arial" w:cs="Arial"/>
          <w:i/>
          <w:spacing w:val="-3"/>
          <w:w w:val="150"/>
          <w:sz w:val="32"/>
          <w:lang w:val="es-CO"/>
        </w:rPr>
        <w:lastRenderedPageBreak/>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s-ES_tradnl"/>
        </w:rPr>
      </w:pPr>
    </w:p>
    <w:p w:rsidR="006B3FA0" w:rsidRPr="006B3FA0" w:rsidRDefault="006B3FA0"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s-ES_tradnl"/>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s-ES_tradnl"/>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s-ES_tradnl"/>
        </w:rPr>
      </w:pPr>
    </w:p>
    <w:p w:rsidR="006B3FA0" w:rsidRPr="006B3FA0" w:rsidRDefault="0017096D" w:rsidP="006B3F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r w:rsidRPr="006B3FA0">
        <w:rPr>
          <w:rFonts w:ascii="Arial" w:hAnsi="Arial"/>
          <w:i/>
          <w:w w:val="150"/>
          <w:sz w:val="28"/>
          <w:szCs w:val="18"/>
          <w:lang w:val="es-ES_tradnl"/>
        </w:rPr>
        <w:t>E</w:t>
      </w:r>
      <w:r w:rsidRPr="006B3FA0">
        <w:rPr>
          <w:rFonts w:ascii="Arial" w:hAnsi="Arial"/>
          <w:i/>
          <w:w w:val="150"/>
          <w:sz w:val="18"/>
          <w:szCs w:val="18"/>
          <w:lang w:val="es-ES_tradnl"/>
        </w:rPr>
        <w:t>DDER</w:t>
      </w:r>
      <w:r w:rsidRPr="006B3FA0">
        <w:rPr>
          <w:rFonts w:ascii="Arial" w:hAnsi="Arial"/>
          <w:i/>
          <w:w w:val="150"/>
          <w:sz w:val="18"/>
          <w:lang w:val="es-ES_tradnl"/>
        </w:rPr>
        <w:t xml:space="preserve"> </w:t>
      </w:r>
      <w:r w:rsidRPr="006B3FA0">
        <w:rPr>
          <w:rFonts w:ascii="Arial" w:hAnsi="Arial"/>
          <w:i/>
          <w:w w:val="150"/>
          <w:sz w:val="28"/>
          <w:lang w:val="es-ES_tradnl"/>
        </w:rPr>
        <w:t>J</w:t>
      </w:r>
      <w:r w:rsidRPr="006B3FA0">
        <w:rPr>
          <w:rFonts w:ascii="Arial" w:hAnsi="Arial"/>
          <w:i/>
          <w:w w:val="150"/>
          <w:sz w:val="18"/>
          <w:szCs w:val="18"/>
          <w:lang w:val="es-ES_tradnl"/>
        </w:rPr>
        <w:t xml:space="preserve">IMMY </w:t>
      </w:r>
      <w:r w:rsidRPr="006B3FA0">
        <w:rPr>
          <w:rFonts w:ascii="Arial" w:hAnsi="Arial"/>
          <w:i/>
          <w:w w:val="150"/>
          <w:sz w:val="28"/>
          <w:lang w:val="es-ES_tradnl"/>
        </w:rPr>
        <w:t>S</w:t>
      </w:r>
      <w:r w:rsidRPr="006B3FA0">
        <w:rPr>
          <w:rFonts w:ascii="Arial" w:hAnsi="Arial"/>
          <w:i/>
          <w:w w:val="150"/>
          <w:sz w:val="18"/>
          <w:szCs w:val="18"/>
          <w:lang w:val="es-ES_tradnl"/>
        </w:rPr>
        <w:t xml:space="preserve">ÁNCHEZ </w:t>
      </w:r>
      <w:r w:rsidRPr="006B3FA0">
        <w:rPr>
          <w:rFonts w:ascii="Arial" w:hAnsi="Arial"/>
          <w:i/>
          <w:w w:val="150"/>
          <w:sz w:val="28"/>
          <w:szCs w:val="18"/>
          <w:lang w:val="es-ES_tradnl"/>
        </w:rPr>
        <w:t>C.</w:t>
      </w:r>
      <w:r w:rsidRPr="006B3FA0">
        <w:rPr>
          <w:rFonts w:ascii="Arial" w:hAnsi="Arial"/>
          <w:i/>
          <w:w w:val="150"/>
          <w:sz w:val="28"/>
          <w:szCs w:val="18"/>
          <w:lang w:val="es-ES_tradnl"/>
        </w:rPr>
        <w:tab/>
      </w:r>
      <w:r w:rsidRPr="006B3FA0">
        <w:rPr>
          <w:rFonts w:ascii="Arial" w:hAnsi="Arial"/>
          <w:i/>
          <w:w w:val="150"/>
          <w:sz w:val="28"/>
          <w:szCs w:val="18"/>
          <w:lang w:val="es-ES_tradnl"/>
        </w:rPr>
        <w:tab/>
      </w:r>
      <w:r w:rsidR="006B3FA0" w:rsidRPr="006B3FA0">
        <w:rPr>
          <w:rFonts w:ascii="Arial" w:hAnsi="Arial"/>
          <w:i/>
          <w:w w:val="150"/>
          <w:sz w:val="28"/>
          <w:szCs w:val="18"/>
        </w:rPr>
        <w:t>J</w:t>
      </w:r>
      <w:r w:rsidR="006B3FA0" w:rsidRPr="006B3FA0">
        <w:rPr>
          <w:rFonts w:ascii="Arial" w:hAnsi="Arial"/>
          <w:i/>
          <w:w w:val="150"/>
          <w:sz w:val="18"/>
          <w:szCs w:val="18"/>
        </w:rPr>
        <w:t xml:space="preserve">ORGE </w:t>
      </w:r>
      <w:r w:rsidR="006B3FA0" w:rsidRPr="006B3FA0">
        <w:rPr>
          <w:rFonts w:ascii="Arial" w:hAnsi="Arial"/>
          <w:i/>
          <w:w w:val="150"/>
          <w:sz w:val="28"/>
          <w:szCs w:val="18"/>
        </w:rPr>
        <w:t>A</w:t>
      </w:r>
      <w:r w:rsidR="006B3FA0" w:rsidRPr="006B3FA0">
        <w:rPr>
          <w:rFonts w:ascii="Arial" w:hAnsi="Arial"/>
          <w:i/>
          <w:w w:val="150"/>
          <w:sz w:val="18"/>
          <w:szCs w:val="18"/>
        </w:rPr>
        <w:t xml:space="preserve">RTURO </w:t>
      </w:r>
      <w:r w:rsidR="006B3FA0" w:rsidRPr="006B3FA0">
        <w:rPr>
          <w:rFonts w:ascii="Arial" w:hAnsi="Arial"/>
          <w:i/>
          <w:w w:val="150"/>
          <w:sz w:val="28"/>
        </w:rPr>
        <w:t>C</w:t>
      </w:r>
      <w:r w:rsidR="006B3FA0" w:rsidRPr="006B3FA0">
        <w:rPr>
          <w:rFonts w:ascii="Arial" w:hAnsi="Arial"/>
          <w:i/>
          <w:w w:val="150"/>
          <w:sz w:val="18"/>
          <w:szCs w:val="18"/>
        </w:rPr>
        <w:t xml:space="preserve">ASTAÑO </w:t>
      </w:r>
      <w:r w:rsidR="006B3FA0" w:rsidRPr="006B3FA0">
        <w:rPr>
          <w:rFonts w:ascii="Arial" w:hAnsi="Arial"/>
          <w:i/>
          <w:w w:val="150"/>
          <w:sz w:val="28"/>
        </w:rPr>
        <w:t>D.</w:t>
      </w:r>
    </w:p>
    <w:p w:rsidR="00350057" w:rsidRPr="006B3FA0" w:rsidRDefault="006B3FA0" w:rsidP="006B3F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B3FA0">
        <w:rPr>
          <w:rFonts w:ascii="Arial" w:hAnsi="Arial" w:cs="Arial"/>
          <w:i/>
          <w:w w:val="150"/>
          <w:sz w:val="28"/>
          <w:lang w:val="en-GB"/>
        </w:rPr>
        <w:tab/>
        <w:t>M</w:t>
      </w:r>
      <w:r w:rsidRPr="006B3FA0">
        <w:rPr>
          <w:rFonts w:ascii="Arial" w:hAnsi="Arial" w:cs="Arial"/>
          <w:i/>
          <w:w w:val="150"/>
          <w:sz w:val="18"/>
          <w:lang w:val="en-GB"/>
        </w:rPr>
        <w:t xml:space="preserve"> A G I S T R A D O</w:t>
      </w:r>
      <w:r w:rsidRPr="006B3FA0">
        <w:rPr>
          <w:rFonts w:ascii="Arial" w:hAnsi="Arial" w:cs="Arial"/>
          <w:i/>
          <w:w w:val="150"/>
          <w:sz w:val="18"/>
          <w:lang w:val="en-GB"/>
        </w:rPr>
        <w:tab/>
      </w:r>
      <w:r w:rsidRPr="006B3FA0">
        <w:rPr>
          <w:rFonts w:ascii="Arial" w:hAnsi="Arial" w:cs="Arial"/>
          <w:i/>
          <w:w w:val="150"/>
          <w:sz w:val="18"/>
          <w:lang w:val="en-GB"/>
        </w:rPr>
        <w:tab/>
      </w:r>
      <w:r w:rsidRPr="006B3FA0">
        <w:rPr>
          <w:rFonts w:ascii="Arial" w:hAnsi="Arial" w:cs="Arial"/>
          <w:i/>
          <w:w w:val="150"/>
          <w:sz w:val="18"/>
          <w:lang w:val="en-GB"/>
        </w:rPr>
        <w:tab/>
      </w:r>
      <w:r w:rsidRPr="006B3FA0">
        <w:rPr>
          <w:rFonts w:ascii="Arial" w:hAnsi="Arial" w:cs="Arial"/>
          <w:i/>
          <w:w w:val="150"/>
          <w:sz w:val="18"/>
          <w:lang w:val="en-GB"/>
        </w:rPr>
        <w:tab/>
      </w:r>
      <w:r w:rsidRPr="006B3FA0">
        <w:rPr>
          <w:rFonts w:ascii="Arial" w:hAnsi="Arial" w:cs="Arial"/>
          <w:i/>
          <w:w w:val="150"/>
          <w:sz w:val="28"/>
          <w:lang w:val="en-GB"/>
        </w:rPr>
        <w:t>M</w:t>
      </w:r>
      <w:r w:rsidRPr="006B3FA0">
        <w:rPr>
          <w:rFonts w:ascii="Arial" w:hAnsi="Arial" w:cs="Arial"/>
          <w:i/>
          <w:w w:val="150"/>
          <w:sz w:val="18"/>
          <w:lang w:val="en-GB"/>
        </w:rPr>
        <w:t xml:space="preserve"> A G I S T R A D O</w:t>
      </w:r>
    </w:p>
    <w:sectPr w:rsidR="00350057" w:rsidRPr="006B3FA0" w:rsidSect="00572C95">
      <w:headerReference w:type="even" r:id="rId12"/>
      <w:headerReference w:type="default" r:id="rId13"/>
      <w:footerReference w:type="even" r:id="rId14"/>
      <w:footerReference w:type="default" r:id="rId15"/>
      <w:headerReference w:type="first" r:id="rId16"/>
      <w:footerReference w:type="first" r:id="rId17"/>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33" w:rsidRDefault="00E82033" w:rsidP="002F20AB">
      <w:r>
        <w:separator/>
      </w:r>
    </w:p>
  </w:endnote>
  <w:endnote w:type="continuationSeparator" w:id="0">
    <w:p w:rsidR="00E82033" w:rsidRDefault="00E8203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33" w:rsidRDefault="00E82033" w:rsidP="002F20AB">
      <w:r>
        <w:separator/>
      </w:r>
    </w:p>
  </w:footnote>
  <w:footnote w:type="continuationSeparator" w:id="0">
    <w:p w:rsidR="00E82033" w:rsidRDefault="00E82033"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A124AD" w:rsidRDefault="00F33A95" w:rsidP="00F33A95">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A124AD">
        <w:rPr>
          <w:rFonts w:asciiTheme="minorHAnsi" w:hAnsiTheme="minorHAnsi"/>
          <w:lang w:val="es-CO"/>
        </w:rPr>
        <w:t>CORTE CONSTITUCIONAL. Sentencia T-970 de 2014.</w:t>
      </w:r>
    </w:p>
  </w:footnote>
  <w:footnote w:id="5">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w:t>
      </w:r>
      <w:r w:rsidRPr="00A124AD">
        <w:rPr>
          <w:rFonts w:asciiTheme="minorHAnsi" w:hAnsiTheme="minorHAnsi"/>
          <w:bCs/>
          <w:lang w:val="es-CO"/>
        </w:rPr>
        <w:t>Sentencia T-011 de 2016.</w:t>
      </w:r>
    </w:p>
  </w:footnote>
  <w:footnote w:id="6">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w:t>
      </w:r>
      <w:r w:rsidR="00A124AD" w:rsidRPr="00A124AD">
        <w:rPr>
          <w:rFonts w:asciiTheme="minorHAnsi" w:hAnsiTheme="minorHAnsi"/>
          <w:lang w:val="es-CO"/>
        </w:rPr>
        <w:t xml:space="preserve">IONAL. Sentencia SU-540 de 2007, reiterada en la sentencia </w:t>
      </w:r>
      <w:r w:rsidR="00A124AD" w:rsidRPr="00A124AD">
        <w:rPr>
          <w:rFonts w:asciiTheme="minorHAnsi" w:hAnsiTheme="minorHAnsi"/>
          <w:bCs/>
          <w:lang w:val="es-CO"/>
        </w:rPr>
        <w:t>T-062 de 2016, entre otras.</w:t>
      </w:r>
    </w:p>
  </w:footnote>
  <w:footnote w:id="7">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Sentencias T-414 de 2005, T-1038 de 2005, T-539 de 2003, entre otras, reiteradas en la sentencia </w:t>
      </w:r>
      <w:r w:rsidRPr="00A124AD">
        <w:rPr>
          <w:rFonts w:asciiTheme="minorHAnsi" w:hAnsiTheme="minorHAnsi"/>
          <w:bCs/>
          <w:lang w:val="es-CO"/>
        </w:rPr>
        <w:t>T-011 de 2016.</w:t>
      </w:r>
    </w:p>
  </w:footnote>
  <w:footnote w:id="8">
    <w:p w:rsidR="00F33A95" w:rsidRPr="00A124AD" w:rsidRDefault="00F33A95"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w:t>
      </w:r>
      <w:r w:rsidRPr="00A124AD">
        <w:rPr>
          <w:rFonts w:asciiTheme="minorHAnsi" w:hAnsiTheme="minorHAnsi"/>
          <w:color w:val="000000"/>
          <w:bdr w:val="none" w:sz="0" w:space="0" w:color="auto" w:frame="1"/>
          <w:lang w:val="es-CO"/>
        </w:rPr>
        <w:t>. Sentencia T-041 de 2016.</w:t>
      </w:r>
    </w:p>
  </w:footnote>
  <w:footnote w:id="10">
    <w:p w:rsidR="00F33A95" w:rsidRPr="00AF2B73" w:rsidRDefault="00F33A95" w:rsidP="00AF2B73">
      <w:pPr>
        <w:pStyle w:val="Textonotapie"/>
        <w:jc w:val="both"/>
        <w:rPr>
          <w:rFonts w:asciiTheme="minorHAnsi" w:hAnsiTheme="minorHAnsi" w:cs="Calibri"/>
          <w:lang w:val="es-AR"/>
        </w:rPr>
      </w:pPr>
      <w:r w:rsidRPr="00AF2B73">
        <w:rPr>
          <w:rStyle w:val="Refdenotaalpie"/>
          <w:rFonts w:asciiTheme="minorHAnsi" w:hAnsiTheme="minorHAnsi"/>
          <w:lang w:val="es-AR"/>
        </w:rPr>
        <w:footnoteRef/>
      </w:r>
      <w:r w:rsidRPr="00AF2B73">
        <w:rPr>
          <w:rFonts w:asciiTheme="minorHAnsi" w:hAnsiTheme="minorHAnsi"/>
          <w:lang w:val="es-AR"/>
        </w:rPr>
        <w:t xml:space="preserve"> </w:t>
      </w:r>
      <w:r w:rsidRPr="00AF2B73">
        <w:rPr>
          <w:rFonts w:asciiTheme="minorHAnsi" w:hAnsiTheme="minorHAnsi" w:cs="Calibri"/>
          <w:lang w:val="es-AR"/>
        </w:rPr>
        <w:t xml:space="preserve">CORTE CONSTITUCIONAL. Sentencia T-728 de 2014. </w:t>
      </w:r>
    </w:p>
  </w:footnote>
  <w:footnote w:id="11">
    <w:p w:rsidR="008A0AE4" w:rsidRPr="00AF2B73" w:rsidRDefault="008A0AE4" w:rsidP="008A0AE4">
      <w:pPr>
        <w:pStyle w:val="Textonotapie"/>
        <w:jc w:val="both"/>
        <w:rPr>
          <w:rFonts w:asciiTheme="minorHAnsi" w:hAnsiTheme="minorHAnsi"/>
          <w:lang w:val="es-CO"/>
        </w:rPr>
      </w:pPr>
      <w:r w:rsidRPr="00AF2B73">
        <w:rPr>
          <w:rStyle w:val="Refdenotaalpie"/>
          <w:rFonts w:asciiTheme="minorHAnsi" w:hAnsiTheme="minorHAnsi"/>
        </w:rPr>
        <w:footnoteRef/>
      </w:r>
      <w:r w:rsidRPr="00AF2B73">
        <w:rPr>
          <w:rFonts w:asciiTheme="minorHAnsi" w:hAnsiTheme="minorHAnsi"/>
        </w:rPr>
        <w:t xml:space="preserve"> </w:t>
      </w:r>
      <w:r w:rsidRPr="00AF2B73">
        <w:rPr>
          <w:rFonts w:asciiTheme="minorHAnsi" w:hAnsiTheme="minorHAnsi" w:cs="Calibri"/>
          <w:lang w:val="es-AR"/>
        </w:rPr>
        <w:t xml:space="preserve">CORTE CONSTITUCIONAL. Sentencia </w:t>
      </w:r>
      <w:r w:rsidRPr="00AF2B73">
        <w:rPr>
          <w:rFonts w:asciiTheme="minorHAnsi" w:hAnsiTheme="minorHAnsi" w:cs="Calibri"/>
          <w:lang w:val="es-ES"/>
        </w:rPr>
        <w:t xml:space="preserve">T-142 de 2016, </w:t>
      </w:r>
      <w:r>
        <w:rPr>
          <w:rFonts w:asciiTheme="minorHAnsi" w:hAnsiTheme="minorHAnsi" w:cs="Calibri"/>
          <w:lang w:val="es-ES"/>
        </w:rPr>
        <w:t xml:space="preserve">reafirmando </w:t>
      </w:r>
      <w:r w:rsidRPr="00AF2B73">
        <w:rPr>
          <w:rFonts w:asciiTheme="minorHAnsi" w:hAnsiTheme="minorHAnsi" w:cs="Calibri"/>
          <w:lang w:val="es-ES"/>
        </w:rPr>
        <w:t xml:space="preserve">las sentencias </w:t>
      </w:r>
      <w:hyperlink r:id="rId1" w:tooltip="Haga clic para abrir la Sentencia SU-540 de 2007" w:history="1">
        <w:r w:rsidRPr="00AF2B73">
          <w:rPr>
            <w:rStyle w:val="Hipervnculo"/>
            <w:rFonts w:asciiTheme="minorHAnsi" w:hAnsiTheme="minorHAnsi" w:cs="Calibri"/>
            <w:color w:val="auto"/>
            <w:u w:val="none"/>
            <w:lang w:val="es-ES"/>
          </w:rPr>
          <w:t>SU-540 de 2007</w:t>
        </w:r>
      </w:hyperlink>
      <w:r w:rsidRPr="00AF2B73">
        <w:rPr>
          <w:rFonts w:asciiTheme="minorHAnsi" w:hAnsiTheme="minorHAnsi" w:cs="Calibri"/>
          <w:lang w:val="es-ES"/>
        </w:rPr>
        <w:t>, </w:t>
      </w:r>
      <w:hyperlink r:id="rId2" w:tooltip="Haga clic para abrir la Sentencia T-200 de 2013" w:history="1">
        <w:r w:rsidRPr="00AF2B73">
          <w:rPr>
            <w:rStyle w:val="Hipervnculo"/>
            <w:rFonts w:asciiTheme="minorHAnsi" w:hAnsiTheme="minorHAnsi" w:cs="Calibri"/>
            <w:color w:val="auto"/>
            <w:u w:val="none"/>
            <w:lang w:val="es-ES"/>
          </w:rPr>
          <w:t>T-200 de 2013</w:t>
        </w:r>
      </w:hyperlink>
      <w:r w:rsidRPr="00AF2B73">
        <w:rPr>
          <w:rFonts w:asciiTheme="minorHAnsi" w:hAnsiTheme="minorHAnsi" w:cs="Calibri"/>
          <w:lang w:val="es-ES"/>
        </w:rPr>
        <w:t xml:space="preserve"> y </w:t>
      </w:r>
      <w:hyperlink r:id="rId3" w:tooltip="Haga clic para abrir la Sentencia T-358 de 2014" w:history="1">
        <w:r w:rsidRPr="00AF2B73">
          <w:rPr>
            <w:rStyle w:val="Hipervnculo"/>
            <w:rFonts w:asciiTheme="minorHAnsi" w:hAnsiTheme="minorHAnsi" w:cs="Calibri"/>
            <w:color w:val="auto"/>
            <w:u w:val="none"/>
            <w:lang w:val="es-ES"/>
          </w:rPr>
          <w:t>T-358 de 2014</w:t>
        </w:r>
      </w:hyperlink>
      <w:r w:rsidRPr="00AF2B73">
        <w:rPr>
          <w:rFonts w:asciiTheme="minorHAnsi" w:hAnsiTheme="minorHAnsi" w:cs="Calibri"/>
          <w:lang w:val="es-ES"/>
        </w:rPr>
        <w:t>.</w:t>
      </w:r>
    </w:p>
  </w:footnote>
  <w:footnote w:id="12">
    <w:p w:rsidR="00AF2B73" w:rsidRPr="00AF2B73" w:rsidRDefault="00AF2B73" w:rsidP="00AF2B73">
      <w:pPr>
        <w:pStyle w:val="Textonotapie"/>
        <w:jc w:val="both"/>
        <w:rPr>
          <w:rFonts w:asciiTheme="minorHAnsi" w:hAnsiTheme="minorHAnsi"/>
          <w:lang w:val="es-CO"/>
        </w:rPr>
      </w:pPr>
      <w:r w:rsidRPr="00AF2B73">
        <w:rPr>
          <w:rStyle w:val="Refdenotaalpie"/>
          <w:rFonts w:asciiTheme="minorHAnsi" w:hAnsiTheme="minorHAnsi"/>
        </w:rPr>
        <w:footnoteRef/>
      </w:r>
      <w:r w:rsidRPr="00AF2B73">
        <w:rPr>
          <w:rFonts w:asciiTheme="minorHAnsi" w:hAnsiTheme="minorHAnsi"/>
        </w:rPr>
        <w:t xml:space="preserve"> </w:t>
      </w:r>
      <w:r w:rsidRPr="00AF2B73">
        <w:rPr>
          <w:rFonts w:asciiTheme="minorHAnsi" w:hAnsiTheme="minorHAnsi" w:cs="Calibri"/>
          <w:lang w:val="es-AR"/>
        </w:rPr>
        <w:t xml:space="preserve">CORTE CONSTITUCIONAL. Sentencia </w:t>
      </w:r>
      <w:hyperlink r:id="rId4" w:tooltip="Haga clic para abrir la Sentencia T-309 de 2006" w:history="1">
        <w:r w:rsidRPr="00AF2B73">
          <w:rPr>
            <w:rStyle w:val="Hipervnculo"/>
            <w:rFonts w:asciiTheme="minorHAnsi" w:hAnsiTheme="minorHAnsi" w:cs="Calibri"/>
            <w:color w:val="auto"/>
            <w:u w:val="none"/>
            <w:lang w:val="es-ES"/>
          </w:rPr>
          <w:t>T-309 de 2006</w:t>
        </w:r>
      </w:hyperlink>
      <w:r w:rsidRPr="00AF2B73">
        <w:rPr>
          <w:rFonts w:asciiTheme="minorHAnsi" w:hAnsiTheme="minorHAnsi" w:cs="Calibri"/>
          <w:lang w:val="es-ES"/>
        </w:rPr>
        <w:t xml:space="preserve">, reiterada en la sentencia T-142 de 2016. </w:t>
      </w:r>
    </w:p>
  </w:footnote>
  <w:footnote w:id="13">
    <w:p w:rsidR="00F33A95" w:rsidRDefault="00F33A95" w:rsidP="00AF2B73">
      <w:pPr>
        <w:pStyle w:val="Textonotapie"/>
        <w:jc w:val="both"/>
      </w:pPr>
      <w:r w:rsidRPr="00AF2B73">
        <w:rPr>
          <w:rStyle w:val="Refdenotaalpie"/>
          <w:rFonts w:asciiTheme="minorHAnsi" w:hAnsiTheme="minorHAnsi"/>
          <w:lang w:val="es-AR"/>
        </w:rPr>
        <w:footnoteRef/>
      </w:r>
      <w:r w:rsidRPr="00AF2B73">
        <w:rPr>
          <w:rFonts w:asciiTheme="minorHAnsi" w:hAnsiTheme="minorHAnsi"/>
          <w:lang w:val="es-AR"/>
        </w:rPr>
        <w:t xml:space="preserve"> </w:t>
      </w:r>
      <w:r w:rsidRPr="00AF2B73">
        <w:rPr>
          <w:rFonts w:asciiTheme="minorHAnsi" w:hAnsiTheme="minorHAnsi" w:cs="Calibri"/>
          <w:lang w:val="es-AR"/>
        </w:rPr>
        <w:t xml:space="preserve">CORTE CONSTITUCIONAL. </w:t>
      </w:r>
      <w:r w:rsidR="00AF2B73" w:rsidRPr="00AF2B73">
        <w:rPr>
          <w:rFonts w:asciiTheme="minorHAnsi" w:hAnsiTheme="minorHAnsi" w:cs="Calibri"/>
          <w:lang w:val="es-AR"/>
        </w:rPr>
        <w:t>Sentencia T-728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C172C">
      <w:rPr>
        <w:rFonts w:ascii="Calibri" w:hAnsi="Calibri"/>
        <w:noProof/>
        <w:sz w:val="22"/>
        <w:lang w:val="es-CO"/>
      </w:rPr>
      <w:t>1</w:t>
    </w:r>
    <w:r w:rsidRPr="00AA6B28">
      <w:rPr>
        <w:rFonts w:ascii="Calibri" w:hAnsi="Calibri"/>
        <w:sz w:val="22"/>
        <w:lang w:val="es-CO"/>
      </w:rPr>
      <w:fldChar w:fldCharType="end"/>
    </w:r>
  </w:p>
  <w:p w:rsidR="006508CF" w:rsidRPr="00A92D21" w:rsidRDefault="006508CF" w:rsidP="006F562A">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4D623C">
      <w:rPr>
        <w:rFonts w:ascii="Calibri" w:hAnsi="Calibri" w:cs="Calibri"/>
        <w:i/>
        <w:sz w:val="20"/>
        <w:szCs w:val="20"/>
        <w:lang w:val="es-CO"/>
      </w:rPr>
      <w:t>00091</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17"/>
  </w:num>
  <w:num w:numId="4">
    <w:abstractNumId w:val="15"/>
  </w:num>
  <w:num w:numId="5">
    <w:abstractNumId w:val="25"/>
  </w:num>
  <w:num w:numId="6">
    <w:abstractNumId w:val="16"/>
  </w:num>
  <w:num w:numId="7">
    <w:abstractNumId w:val="3"/>
  </w:num>
  <w:num w:numId="8">
    <w:abstractNumId w:val="11"/>
  </w:num>
  <w:num w:numId="9">
    <w:abstractNumId w:val="12"/>
  </w:num>
  <w:num w:numId="10">
    <w:abstractNumId w:val="2"/>
  </w:num>
  <w:num w:numId="11">
    <w:abstractNumId w:val="22"/>
  </w:num>
  <w:num w:numId="12">
    <w:abstractNumId w:val="8"/>
  </w:num>
  <w:num w:numId="13">
    <w:abstractNumId w:val="14"/>
  </w:num>
  <w:num w:numId="14">
    <w:abstractNumId w:val="28"/>
  </w:num>
  <w:num w:numId="15">
    <w:abstractNumId w:val="19"/>
  </w:num>
  <w:num w:numId="16">
    <w:abstractNumId w:val="1"/>
  </w:num>
  <w:num w:numId="17">
    <w:abstractNumId w:val="30"/>
  </w:num>
  <w:num w:numId="18">
    <w:abstractNumId w:val="21"/>
  </w:num>
  <w:num w:numId="19">
    <w:abstractNumId w:val="27"/>
  </w:num>
  <w:num w:numId="20">
    <w:abstractNumId w:val="26"/>
  </w:num>
  <w:num w:numId="21">
    <w:abstractNumId w:val="5"/>
  </w:num>
  <w:num w:numId="22">
    <w:abstractNumId w:val="0"/>
  </w:num>
  <w:num w:numId="23">
    <w:abstractNumId w:val="31"/>
  </w:num>
  <w:num w:numId="24">
    <w:abstractNumId w:val="18"/>
  </w:num>
  <w:num w:numId="25">
    <w:abstractNumId w:val="10"/>
  </w:num>
  <w:num w:numId="26">
    <w:abstractNumId w:val="13"/>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D73"/>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172C"/>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7E"/>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B7C"/>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188"/>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3A9"/>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1983"/>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1F6B"/>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2C95"/>
    <w:rsid w:val="00574FAA"/>
    <w:rsid w:val="0057530B"/>
    <w:rsid w:val="005755F3"/>
    <w:rsid w:val="005770C3"/>
    <w:rsid w:val="00580913"/>
    <w:rsid w:val="00581321"/>
    <w:rsid w:val="00582361"/>
    <w:rsid w:val="00584B9D"/>
    <w:rsid w:val="005859B5"/>
    <w:rsid w:val="00587194"/>
    <w:rsid w:val="00587698"/>
    <w:rsid w:val="005902CE"/>
    <w:rsid w:val="00590CB5"/>
    <w:rsid w:val="00592111"/>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2A1"/>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2B73"/>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D2D"/>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033"/>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5669"/>
    <w:rsid w:val="00FE5C14"/>
    <w:rsid w:val="00FE681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2013/T0200de2013.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xbase.biz/lexbase/jurisprudencia/tutelas/corte%20constitucional/2006/T0309de200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xbase.biz/lexbase/jurisprudencia/tutelas/corte%20constitucional/2014/T0358de2014.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6AC9-9E4B-42B4-A786-DEEA29BF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2441</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22</cp:revision>
  <cp:lastPrinted>2016-10-03T12:13:00Z</cp:lastPrinted>
  <dcterms:created xsi:type="dcterms:W3CDTF">2016-09-28T16:04:00Z</dcterms:created>
  <dcterms:modified xsi:type="dcterms:W3CDTF">2016-11-15T20:13:00Z</dcterms:modified>
</cp:coreProperties>
</file>