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9" w:rsidRDefault="00FC0999" w:rsidP="00283F3B">
      <w:pPr>
        <w:pStyle w:val="Sinespaciado1"/>
        <w:spacing w:line="360" w:lineRule="auto"/>
        <w:jc w:val="center"/>
        <w:rPr>
          <w:rFonts w:ascii="Arial" w:hAnsi="Arial" w:cs="Arial"/>
          <w:w w:val="140"/>
          <w:sz w:val="14"/>
        </w:rPr>
      </w:pPr>
      <w:r>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0F4FD9" w:rsidRDefault="000F4FD9" w:rsidP="00283F3B">
      <w:pPr>
        <w:pStyle w:val="Sinespaciado1"/>
        <w:spacing w:line="360" w:lineRule="auto"/>
        <w:jc w:val="center"/>
        <w:rPr>
          <w:rFonts w:ascii="Arial" w:hAnsi="Arial" w:cs="Arial"/>
          <w:w w:val="140"/>
          <w:sz w:val="14"/>
        </w:rPr>
      </w:pPr>
    </w:p>
    <w:p w:rsidR="00EC0D20" w:rsidRPr="00EC0D20" w:rsidRDefault="00EC0D20" w:rsidP="00EC0D20">
      <w:pPr>
        <w:jc w:val="both"/>
        <w:rPr>
          <w:rFonts w:asciiTheme="minorHAnsi" w:hAnsiTheme="minorHAnsi"/>
          <w:sz w:val="18"/>
          <w:szCs w:val="18"/>
        </w:rPr>
      </w:pPr>
      <w:r w:rsidRPr="00EC0D20">
        <w:rPr>
          <w:rFonts w:asciiTheme="minorHAnsi" w:hAnsiTheme="minorHAnsi"/>
          <w:b/>
          <w:sz w:val="18"/>
          <w:szCs w:val="18"/>
        </w:rPr>
        <w:t>Tema:</w:t>
      </w:r>
      <w:r w:rsidRPr="00EC0D20">
        <w:rPr>
          <w:rFonts w:asciiTheme="minorHAnsi" w:hAnsiTheme="minorHAnsi"/>
          <w:b/>
          <w:sz w:val="18"/>
          <w:szCs w:val="18"/>
        </w:rPr>
        <w:tab/>
      </w:r>
      <w:r w:rsidRPr="00EC0D20">
        <w:rPr>
          <w:rFonts w:asciiTheme="minorHAnsi" w:hAnsiTheme="minorHAnsi"/>
          <w:b/>
          <w:sz w:val="18"/>
          <w:szCs w:val="18"/>
        </w:rPr>
        <w:tab/>
      </w:r>
      <w:r w:rsidRPr="00EC0D20">
        <w:rPr>
          <w:rFonts w:asciiTheme="minorHAnsi" w:hAnsiTheme="minorHAnsi"/>
          <w:b/>
          <w:sz w:val="18"/>
          <w:szCs w:val="18"/>
        </w:rPr>
        <w:tab/>
      </w:r>
      <w:r w:rsidRPr="00EC0D20">
        <w:rPr>
          <w:rFonts w:asciiTheme="minorHAnsi" w:hAnsiTheme="minorHAnsi"/>
          <w:b/>
          <w:sz w:val="18"/>
          <w:szCs w:val="18"/>
        </w:rPr>
        <w:tab/>
        <w:t xml:space="preserve">IMPROCEDENCIA APELACIÓN / NIEGA TRÁMITE DE REORGANIZACIÓN / </w:t>
      </w:r>
      <w:r w:rsidRPr="00EC0D20">
        <w:rPr>
          <w:rFonts w:asciiTheme="minorHAnsi" w:hAnsiTheme="minorHAnsi"/>
          <w:sz w:val="18"/>
          <w:szCs w:val="18"/>
        </w:rPr>
        <w:t xml:space="preserve">“Ahora, hecho el examen preliminar dispuesto por el artículo 325 del </w:t>
      </w:r>
      <w:proofErr w:type="spellStart"/>
      <w:r w:rsidRPr="00EC0D20">
        <w:rPr>
          <w:rFonts w:asciiTheme="minorHAnsi" w:hAnsiTheme="minorHAnsi"/>
          <w:sz w:val="18"/>
          <w:szCs w:val="18"/>
        </w:rPr>
        <w:t>CGP</w:t>
      </w:r>
      <w:proofErr w:type="spellEnd"/>
      <w:r w:rsidRPr="00EC0D20">
        <w:rPr>
          <w:rFonts w:asciiTheme="minorHAnsi" w:hAnsiTheme="minorHAnsi"/>
          <w:sz w:val="18"/>
          <w:szCs w:val="18"/>
        </w:rPr>
        <w:t xml:space="preserve">, con la respectiva remisión a la Ley 1116 y el Decreto 1730 de 2009 (Reglamentario entre otros del artículo 84°), se advierte que la alzada formulada es improcedente por tratarse de aquella que deniega el trámite del proceso de validación judicial del acuerdo extrajudicial de reorganización. </w:t>
      </w:r>
    </w:p>
    <w:p w:rsidR="00EC0D20" w:rsidRPr="00EC0D20" w:rsidRDefault="00EC0D20" w:rsidP="00EC0D20">
      <w:pPr>
        <w:jc w:val="both"/>
        <w:rPr>
          <w:rFonts w:asciiTheme="minorHAnsi" w:hAnsiTheme="minorHAnsi"/>
          <w:sz w:val="18"/>
          <w:szCs w:val="18"/>
        </w:rPr>
      </w:pPr>
    </w:p>
    <w:p w:rsidR="00EC0D20" w:rsidRPr="00EC0D20" w:rsidRDefault="00EC0D20" w:rsidP="00EC0D20">
      <w:pPr>
        <w:jc w:val="both"/>
        <w:rPr>
          <w:rFonts w:asciiTheme="minorHAnsi" w:hAnsiTheme="minorHAnsi"/>
          <w:sz w:val="18"/>
          <w:szCs w:val="18"/>
        </w:rPr>
      </w:pPr>
      <w:r w:rsidRPr="00EC0D20">
        <w:rPr>
          <w:rFonts w:asciiTheme="minorHAnsi" w:hAnsiTheme="minorHAnsi"/>
          <w:sz w:val="18"/>
          <w:szCs w:val="18"/>
        </w:rPr>
        <w:t xml:space="preserve">En efecto, el artículo 84 de la referida Ley, consagra el procedimiento para esa validación y puntualiza que este trámite, no solo es competencia del juez que habría de conocer del proceso de reorganización sino que también seguirá las reglas de este, por lo tanto, al hacer la remisión a los artículos 6° y 18° que, establecen los recursos procedentes, se advierte que contra el auto que niegue la apertura del proceso de reorganización, solo es viable el de reposición, de ahí su improcedencia. </w:t>
      </w:r>
    </w:p>
    <w:p w:rsidR="00EC0D20" w:rsidRPr="00EC0D20" w:rsidRDefault="00EC0D20" w:rsidP="00EC0D20">
      <w:pPr>
        <w:jc w:val="both"/>
        <w:rPr>
          <w:rFonts w:asciiTheme="minorHAnsi" w:hAnsiTheme="minorHAnsi"/>
          <w:sz w:val="18"/>
          <w:szCs w:val="18"/>
        </w:rPr>
      </w:pPr>
    </w:p>
    <w:p w:rsidR="00EC0D20" w:rsidRPr="00EC0D20" w:rsidRDefault="00EC0D20" w:rsidP="00EC0D20">
      <w:pPr>
        <w:jc w:val="both"/>
        <w:rPr>
          <w:rFonts w:asciiTheme="minorHAnsi" w:hAnsiTheme="minorHAnsi"/>
          <w:sz w:val="18"/>
          <w:szCs w:val="18"/>
        </w:rPr>
      </w:pPr>
      <w:r w:rsidRPr="00EC0D20">
        <w:rPr>
          <w:rFonts w:asciiTheme="minorHAnsi" w:hAnsiTheme="minorHAnsi"/>
          <w:b/>
          <w:sz w:val="18"/>
          <w:szCs w:val="18"/>
        </w:rPr>
        <w:t>Citación jurisprudencial:</w:t>
      </w:r>
      <w:r w:rsidRPr="00EC0D20">
        <w:rPr>
          <w:rFonts w:asciiTheme="minorHAnsi" w:hAnsiTheme="minorHAnsi"/>
          <w:sz w:val="18"/>
          <w:szCs w:val="18"/>
        </w:rPr>
        <w:t xml:space="preserve"> CORTE SUPREMA DE JUSTICIA. Sentencia del 17-09-1992; </w:t>
      </w:r>
      <w:proofErr w:type="spellStart"/>
      <w:r w:rsidRPr="00EC0D20">
        <w:rPr>
          <w:rFonts w:asciiTheme="minorHAnsi" w:hAnsiTheme="minorHAnsi"/>
          <w:sz w:val="18"/>
          <w:szCs w:val="18"/>
        </w:rPr>
        <w:t>MP</w:t>
      </w:r>
      <w:proofErr w:type="spellEnd"/>
      <w:r w:rsidRPr="00EC0D20">
        <w:rPr>
          <w:rFonts w:asciiTheme="minorHAnsi" w:hAnsiTheme="minorHAnsi"/>
          <w:sz w:val="18"/>
          <w:szCs w:val="18"/>
        </w:rPr>
        <w:t xml:space="preserve">: Alberto Ospina Botero, publicado en Revista de Jurisprudencia y Doctrina, </w:t>
      </w:r>
      <w:proofErr w:type="spellStart"/>
      <w:r w:rsidRPr="00EC0D20">
        <w:rPr>
          <w:rFonts w:asciiTheme="minorHAnsi" w:hAnsiTheme="minorHAnsi"/>
          <w:sz w:val="18"/>
          <w:szCs w:val="18"/>
        </w:rPr>
        <w:t>t.XXI</w:t>
      </w:r>
      <w:proofErr w:type="spellEnd"/>
      <w:r w:rsidRPr="00EC0D20">
        <w:rPr>
          <w:rFonts w:asciiTheme="minorHAnsi" w:hAnsiTheme="minorHAnsi"/>
          <w:sz w:val="18"/>
          <w:szCs w:val="18"/>
        </w:rPr>
        <w:t xml:space="preserve">, núm.251, Bogotá, </w:t>
      </w:r>
      <w:proofErr w:type="spellStart"/>
      <w:r w:rsidRPr="00EC0D20">
        <w:rPr>
          <w:rFonts w:asciiTheme="minorHAnsi" w:hAnsiTheme="minorHAnsi"/>
          <w:sz w:val="18"/>
          <w:szCs w:val="18"/>
        </w:rPr>
        <w:t>Legis</w:t>
      </w:r>
      <w:proofErr w:type="spellEnd"/>
      <w:r w:rsidRPr="00EC0D20">
        <w:rPr>
          <w:rFonts w:asciiTheme="minorHAnsi" w:hAnsiTheme="minorHAnsi"/>
          <w:sz w:val="18"/>
          <w:szCs w:val="18"/>
        </w:rPr>
        <w:t xml:space="preserve">, p.1021 y 1022. / CORTE SUPREMA DE JUSTICIA, Sala de Casación Civil.  Providencia STC5273-2016, </w:t>
      </w:r>
      <w:proofErr w:type="spellStart"/>
      <w:r w:rsidRPr="00EC0D20">
        <w:rPr>
          <w:rFonts w:asciiTheme="minorHAnsi" w:hAnsiTheme="minorHAnsi"/>
          <w:sz w:val="18"/>
          <w:szCs w:val="18"/>
        </w:rPr>
        <w:t>MP</w:t>
      </w:r>
      <w:proofErr w:type="spellEnd"/>
      <w:r w:rsidRPr="00EC0D20">
        <w:rPr>
          <w:rFonts w:asciiTheme="minorHAnsi" w:hAnsiTheme="minorHAnsi"/>
          <w:sz w:val="18"/>
          <w:szCs w:val="18"/>
        </w:rPr>
        <w:t xml:space="preserve">: Ariel Salazar Ramírez. / CORTE SUPREMA DE JUSTICIA, Sala de Casación Civil.  Providencia del 29-02-2008, </w:t>
      </w:r>
      <w:proofErr w:type="spellStart"/>
      <w:r w:rsidRPr="00EC0D20">
        <w:rPr>
          <w:rFonts w:asciiTheme="minorHAnsi" w:hAnsiTheme="minorHAnsi"/>
          <w:sz w:val="18"/>
          <w:szCs w:val="18"/>
        </w:rPr>
        <w:t>MP</w:t>
      </w:r>
      <w:proofErr w:type="spellEnd"/>
      <w:r w:rsidRPr="00EC0D20">
        <w:rPr>
          <w:rFonts w:asciiTheme="minorHAnsi" w:hAnsiTheme="minorHAnsi"/>
          <w:sz w:val="18"/>
          <w:szCs w:val="18"/>
        </w:rPr>
        <w:t xml:space="preserve">: Edgardo Villamil Portilla. / CORTE SUPREMA DE JUSTICIA, Sala de Casación Civil.  Providencia del 21-02-2011, </w:t>
      </w:r>
      <w:proofErr w:type="spellStart"/>
      <w:r w:rsidRPr="00EC0D20">
        <w:rPr>
          <w:rFonts w:asciiTheme="minorHAnsi" w:hAnsiTheme="minorHAnsi"/>
          <w:sz w:val="18"/>
          <w:szCs w:val="18"/>
        </w:rPr>
        <w:t>MP</w:t>
      </w:r>
      <w:proofErr w:type="spellEnd"/>
      <w:r w:rsidRPr="00EC0D20">
        <w:rPr>
          <w:rFonts w:asciiTheme="minorHAnsi" w:hAnsiTheme="minorHAnsi"/>
          <w:sz w:val="18"/>
          <w:szCs w:val="18"/>
        </w:rPr>
        <w:t xml:space="preserve">: Arturo Solarte Rodríguez, expediente No. 1100102030002010-00226-00 / CORTE SUPREMA DE JUSTICIA, Sala de Casación Civil.  Providencia STC7676-2016, </w:t>
      </w:r>
      <w:proofErr w:type="spellStart"/>
      <w:r w:rsidRPr="00EC0D20">
        <w:rPr>
          <w:rFonts w:asciiTheme="minorHAnsi" w:hAnsiTheme="minorHAnsi"/>
          <w:sz w:val="18"/>
          <w:szCs w:val="18"/>
        </w:rPr>
        <w:t>MP</w:t>
      </w:r>
      <w:proofErr w:type="spellEnd"/>
      <w:r w:rsidRPr="00EC0D20">
        <w:rPr>
          <w:rFonts w:asciiTheme="minorHAnsi" w:hAnsiTheme="minorHAnsi"/>
          <w:sz w:val="18"/>
          <w:szCs w:val="18"/>
        </w:rPr>
        <w:t xml:space="preserve">: Fernando Giraldo Gutiérrez. / CORTE SUPREMA DE JUSTICIA, Sala de Casación Civil.  Providencia STC11096-2016, </w:t>
      </w:r>
      <w:proofErr w:type="spellStart"/>
      <w:r w:rsidRPr="00EC0D20">
        <w:rPr>
          <w:rFonts w:asciiTheme="minorHAnsi" w:hAnsiTheme="minorHAnsi"/>
          <w:sz w:val="18"/>
          <w:szCs w:val="18"/>
        </w:rPr>
        <w:t>MP</w:t>
      </w:r>
      <w:proofErr w:type="spellEnd"/>
      <w:r w:rsidRPr="00EC0D20">
        <w:rPr>
          <w:rFonts w:asciiTheme="minorHAnsi" w:hAnsiTheme="minorHAnsi"/>
          <w:sz w:val="18"/>
          <w:szCs w:val="18"/>
        </w:rPr>
        <w:t>: Margarita Cabello Blanco. / CORTE SUPREMA DE JUSTICIA, Sala de Casación Civil.  Providencia STC11096-2016, ob. cit.</w:t>
      </w:r>
    </w:p>
    <w:p w:rsidR="00EC0D20" w:rsidRPr="00EC0D20" w:rsidRDefault="00EC0D20" w:rsidP="00EC0D20">
      <w:pPr>
        <w:jc w:val="both"/>
        <w:rPr>
          <w:rFonts w:asciiTheme="minorHAnsi" w:hAnsiTheme="minorHAnsi"/>
          <w:sz w:val="18"/>
          <w:szCs w:val="18"/>
        </w:rPr>
      </w:pPr>
      <w:r w:rsidRPr="00EC0D20">
        <w:rPr>
          <w:rFonts w:asciiTheme="minorHAnsi" w:hAnsiTheme="minorHAnsi"/>
          <w:sz w:val="18"/>
          <w:szCs w:val="18"/>
        </w:rPr>
        <w:t>CORTE CONSTITUCIONAL.  Sentencia C-153 de 1995. / Sentencia C-233 de 2016.</w:t>
      </w:r>
    </w:p>
    <w:p w:rsidR="00EC0D20" w:rsidRPr="005320B7" w:rsidRDefault="00EC0D20" w:rsidP="00EC0D20">
      <w:pPr>
        <w:jc w:val="both"/>
        <w:rPr>
          <w:rFonts w:ascii="Calibri" w:hAnsi="Calibri"/>
          <w:sz w:val="18"/>
          <w:szCs w:val="18"/>
        </w:rPr>
      </w:pPr>
    </w:p>
    <w:p w:rsidR="00EC0D20" w:rsidRDefault="00EC0D20" w:rsidP="00EC0D20">
      <w:pPr>
        <w:tabs>
          <w:tab w:val="left" w:pos="284"/>
        </w:tabs>
        <w:ind w:left="284"/>
        <w:jc w:val="center"/>
        <w:rPr>
          <w:rFonts w:ascii="Verdana" w:hAnsi="Verdana"/>
          <w:sz w:val="25"/>
          <w:szCs w:val="25"/>
        </w:rPr>
      </w:pPr>
      <w:r>
        <w:rPr>
          <w:rFonts w:ascii="Verdana" w:hAnsi="Verdana"/>
          <w:sz w:val="25"/>
          <w:szCs w:val="25"/>
        </w:rPr>
        <w:t>-------------------------------------------------------------------------</w:t>
      </w:r>
    </w:p>
    <w:p w:rsidR="00EC0D20" w:rsidRDefault="00EC0D20" w:rsidP="00283F3B">
      <w:pPr>
        <w:pStyle w:val="Sinespaciado1"/>
        <w:spacing w:line="360" w:lineRule="auto"/>
        <w:jc w:val="center"/>
        <w:rPr>
          <w:rFonts w:ascii="Arial" w:hAnsi="Arial" w:cs="Arial"/>
          <w:w w:val="140"/>
          <w:sz w:val="14"/>
        </w:rPr>
      </w:pPr>
      <w:bookmarkStart w:id="0" w:name="_GoBack"/>
      <w:bookmarkEnd w:id="0"/>
    </w:p>
    <w:p w:rsidR="000F4FD9" w:rsidRPr="007860C0" w:rsidRDefault="000F4FD9" w:rsidP="00283F3B">
      <w:pPr>
        <w:pStyle w:val="Sinespaciado1"/>
        <w:spacing w:line="360" w:lineRule="auto"/>
        <w:jc w:val="center"/>
        <w:rPr>
          <w:rFonts w:ascii="Arial" w:hAnsi="Arial" w:cs="Arial"/>
          <w:w w:val="140"/>
          <w:sz w:val="14"/>
        </w:rPr>
      </w:pPr>
      <w:r w:rsidRPr="007860C0">
        <w:rPr>
          <w:rFonts w:ascii="Arial" w:hAnsi="Arial" w:cs="Arial"/>
          <w:w w:val="140"/>
          <w:sz w:val="14"/>
        </w:rPr>
        <w:t>REPUBLICA DE COLOMBIA</w:t>
      </w:r>
    </w:p>
    <w:p w:rsidR="000F4FD9" w:rsidRPr="007860C0" w:rsidRDefault="000F4FD9" w:rsidP="00283F3B">
      <w:pPr>
        <w:pStyle w:val="Sinespaciado1"/>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0F4FD9" w:rsidRPr="00E55393" w:rsidRDefault="000F4FD9" w:rsidP="00283F3B">
      <w:pPr>
        <w:pStyle w:val="Sinespaciado1"/>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0F4FD9" w:rsidRDefault="000F4FD9" w:rsidP="00283F3B">
      <w:pPr>
        <w:pStyle w:val="Sinespaciado1"/>
        <w:spacing w:line="360" w:lineRule="auto"/>
        <w:jc w:val="center"/>
        <w:rPr>
          <w:rFonts w:ascii="Arial" w:hAnsi="Arial" w:cs="Arial"/>
          <w:w w:val="140"/>
          <w:sz w:val="16"/>
          <w:szCs w:val="18"/>
        </w:rPr>
      </w:pPr>
      <w:r w:rsidRPr="00244FE8">
        <w:rPr>
          <w:rFonts w:ascii="Arial" w:hAnsi="Arial" w:cs="Arial"/>
          <w:w w:val="140"/>
          <w:sz w:val="18"/>
          <w:szCs w:val="18"/>
        </w:rPr>
        <w:t>S</w:t>
      </w:r>
      <w:r w:rsidRPr="00231A7F">
        <w:rPr>
          <w:rFonts w:ascii="Arial" w:hAnsi="Arial" w:cs="Arial"/>
          <w:w w:val="140"/>
          <w:sz w:val="14"/>
          <w:szCs w:val="18"/>
        </w:rPr>
        <w:t xml:space="preserve">ALA </w:t>
      </w:r>
      <w:r w:rsidR="004F3FE9" w:rsidRPr="004F3FE9">
        <w:rPr>
          <w:rFonts w:ascii="Arial" w:hAnsi="Arial" w:cs="Arial"/>
          <w:w w:val="140"/>
          <w:sz w:val="18"/>
          <w:szCs w:val="18"/>
        </w:rPr>
        <w:t>U</w:t>
      </w:r>
      <w:r w:rsidR="004F3FE9">
        <w:rPr>
          <w:rFonts w:ascii="Arial" w:hAnsi="Arial" w:cs="Arial"/>
          <w:w w:val="140"/>
          <w:sz w:val="14"/>
          <w:szCs w:val="18"/>
        </w:rPr>
        <w:t xml:space="preserve">NITARIA </w:t>
      </w:r>
      <w:r w:rsidRPr="00244FE8">
        <w:rPr>
          <w:rFonts w:ascii="Arial" w:hAnsi="Arial" w:cs="Arial"/>
          <w:w w:val="140"/>
          <w:sz w:val="18"/>
          <w:szCs w:val="18"/>
        </w:rPr>
        <w:t>C</w:t>
      </w:r>
      <w:r>
        <w:rPr>
          <w:rFonts w:ascii="Arial" w:hAnsi="Arial" w:cs="Arial"/>
          <w:w w:val="140"/>
          <w:sz w:val="16"/>
          <w:szCs w:val="18"/>
        </w:rPr>
        <w:t xml:space="preserve">IVIL – </w:t>
      </w:r>
      <w:r w:rsidRPr="00244FE8">
        <w:rPr>
          <w:rFonts w:ascii="Arial" w:hAnsi="Arial" w:cs="Arial"/>
          <w:w w:val="140"/>
          <w:sz w:val="18"/>
          <w:szCs w:val="18"/>
        </w:rPr>
        <w:t>F</w:t>
      </w:r>
      <w:r>
        <w:rPr>
          <w:rFonts w:ascii="Arial" w:hAnsi="Arial" w:cs="Arial"/>
          <w:w w:val="140"/>
          <w:sz w:val="16"/>
          <w:szCs w:val="18"/>
        </w:rPr>
        <w:t xml:space="preserve">AMILIA – </w:t>
      </w:r>
      <w:r w:rsidRPr="00244FE8">
        <w:rPr>
          <w:rFonts w:ascii="Arial" w:hAnsi="Arial" w:cs="Arial"/>
          <w:w w:val="140"/>
          <w:sz w:val="18"/>
          <w:szCs w:val="18"/>
        </w:rPr>
        <w:t>D</w:t>
      </w:r>
      <w:r w:rsidRPr="00244FE8">
        <w:rPr>
          <w:rFonts w:ascii="Arial" w:hAnsi="Arial" w:cs="Arial"/>
          <w:w w:val="140"/>
          <w:sz w:val="16"/>
          <w:szCs w:val="18"/>
        </w:rPr>
        <w:t xml:space="preserve">ISTRITO DE </w:t>
      </w:r>
      <w:r w:rsidRPr="00244FE8">
        <w:rPr>
          <w:rFonts w:ascii="Arial" w:hAnsi="Arial" w:cs="Arial"/>
          <w:w w:val="140"/>
          <w:sz w:val="18"/>
          <w:szCs w:val="18"/>
        </w:rPr>
        <w:t>P</w:t>
      </w:r>
      <w:r w:rsidRPr="00244FE8">
        <w:rPr>
          <w:rFonts w:ascii="Arial" w:hAnsi="Arial" w:cs="Arial"/>
          <w:w w:val="140"/>
          <w:sz w:val="16"/>
          <w:szCs w:val="18"/>
        </w:rPr>
        <w:t>EREIRA</w:t>
      </w:r>
    </w:p>
    <w:p w:rsidR="000F4FD9" w:rsidRPr="0070172D" w:rsidRDefault="000F4FD9" w:rsidP="00283F3B">
      <w:pPr>
        <w:pStyle w:val="Sinespaciado"/>
        <w:spacing w:line="360" w:lineRule="auto"/>
        <w:jc w:val="center"/>
        <w:rPr>
          <w:rFonts w:ascii="Arial" w:hAnsi="Arial" w:cs="Arial"/>
          <w:w w:val="140"/>
          <w:sz w:val="18"/>
          <w:szCs w:val="18"/>
        </w:rPr>
      </w:pPr>
      <w:r w:rsidRPr="0070172D">
        <w:rPr>
          <w:rFonts w:ascii="Arial" w:hAnsi="Arial" w:cs="Arial"/>
          <w:w w:val="140"/>
          <w:sz w:val="18"/>
          <w:szCs w:val="18"/>
        </w:rPr>
        <w:t>D</w:t>
      </w:r>
      <w:r w:rsidRPr="0070172D">
        <w:rPr>
          <w:rFonts w:ascii="Arial" w:hAnsi="Arial" w:cs="Arial"/>
          <w:w w:val="140"/>
          <w:sz w:val="16"/>
          <w:szCs w:val="18"/>
        </w:rPr>
        <w:t xml:space="preserve">EPARTAMENTO DEL </w:t>
      </w:r>
      <w:r w:rsidRPr="0070172D">
        <w:rPr>
          <w:rFonts w:ascii="Arial" w:hAnsi="Arial" w:cs="Arial"/>
          <w:w w:val="140"/>
          <w:sz w:val="18"/>
          <w:szCs w:val="18"/>
        </w:rPr>
        <w:t>R</w:t>
      </w:r>
      <w:r w:rsidRPr="0070172D">
        <w:rPr>
          <w:rFonts w:ascii="Arial" w:hAnsi="Arial" w:cs="Arial"/>
          <w:w w:val="140"/>
          <w:sz w:val="16"/>
          <w:szCs w:val="18"/>
        </w:rPr>
        <w:t>ISARALDA</w:t>
      </w:r>
      <w:r w:rsidRPr="0070172D">
        <w:rPr>
          <w:rFonts w:ascii="Arial" w:hAnsi="Arial" w:cs="Arial"/>
          <w:w w:val="140"/>
          <w:sz w:val="18"/>
          <w:szCs w:val="18"/>
        </w:rPr>
        <w:t xml:space="preserve"> </w:t>
      </w:r>
    </w:p>
    <w:p w:rsidR="000F4FD9" w:rsidRPr="00D25B7E" w:rsidRDefault="000F4FD9" w:rsidP="0040704F">
      <w:pPr>
        <w:spacing w:line="360" w:lineRule="auto"/>
        <w:jc w:val="center"/>
        <w:rPr>
          <w:rFonts w:ascii="Arial" w:hAnsi="Arial" w:cs="Arial"/>
          <w:b/>
          <w:bCs/>
          <w:sz w:val="10"/>
          <w:szCs w:val="26"/>
        </w:rPr>
      </w:pPr>
    </w:p>
    <w:p w:rsidR="000F4FD9" w:rsidRPr="00BB695D" w:rsidRDefault="000F4FD9" w:rsidP="00681918">
      <w:pPr>
        <w:pStyle w:val="Textoindependiente"/>
        <w:spacing w:line="360" w:lineRule="auto"/>
        <w:rPr>
          <w:rFonts w:ascii="Arial" w:hAnsi="Arial"/>
          <w:sz w:val="22"/>
          <w:szCs w:val="22"/>
        </w:rPr>
      </w:pPr>
      <w:r w:rsidRPr="00BB695D">
        <w:rPr>
          <w:rFonts w:ascii="Arial" w:hAnsi="Arial"/>
          <w:sz w:val="22"/>
          <w:szCs w:val="22"/>
        </w:rPr>
        <w:tab/>
      </w:r>
      <w:r w:rsidRPr="00BB695D">
        <w:rPr>
          <w:rFonts w:ascii="Arial" w:hAnsi="Arial"/>
          <w:sz w:val="22"/>
          <w:szCs w:val="22"/>
        </w:rPr>
        <w:tab/>
        <w:t>Asunto</w:t>
      </w:r>
      <w:r w:rsidRPr="00BB695D">
        <w:rPr>
          <w:rFonts w:ascii="Arial" w:hAnsi="Arial"/>
          <w:sz w:val="22"/>
          <w:szCs w:val="22"/>
        </w:rPr>
        <w:tab/>
      </w:r>
      <w:r w:rsidRPr="00BB695D">
        <w:rPr>
          <w:rFonts w:ascii="Arial" w:hAnsi="Arial"/>
          <w:sz w:val="22"/>
          <w:szCs w:val="22"/>
        </w:rPr>
        <w:tab/>
      </w:r>
      <w:r w:rsidRPr="00BB695D">
        <w:rPr>
          <w:rFonts w:ascii="Arial" w:hAnsi="Arial"/>
          <w:sz w:val="22"/>
          <w:szCs w:val="22"/>
        </w:rPr>
        <w:tab/>
        <w:t xml:space="preserve">: Decide admisibilidad </w:t>
      </w:r>
      <w:r w:rsidR="00EC4BBA">
        <w:rPr>
          <w:rFonts w:ascii="Arial" w:hAnsi="Arial"/>
          <w:sz w:val="22"/>
          <w:szCs w:val="22"/>
        </w:rPr>
        <w:t>–</w:t>
      </w:r>
      <w:r w:rsidR="00BA3131" w:rsidRPr="00BB695D">
        <w:rPr>
          <w:rFonts w:ascii="Arial" w:hAnsi="Arial"/>
          <w:sz w:val="22"/>
          <w:szCs w:val="22"/>
        </w:rPr>
        <w:t xml:space="preserve"> A</w:t>
      </w:r>
      <w:r w:rsidRPr="00BB695D">
        <w:rPr>
          <w:rFonts w:ascii="Arial" w:hAnsi="Arial"/>
          <w:sz w:val="22"/>
          <w:szCs w:val="22"/>
        </w:rPr>
        <w:t>pelación</w:t>
      </w:r>
      <w:r w:rsidR="00EC4BBA">
        <w:rPr>
          <w:rFonts w:ascii="Arial" w:hAnsi="Arial"/>
          <w:sz w:val="22"/>
          <w:szCs w:val="22"/>
        </w:rPr>
        <w:t xml:space="preserve"> de auto</w:t>
      </w:r>
    </w:p>
    <w:p w:rsidR="00BA3B52" w:rsidRDefault="00BA3B52" w:rsidP="00BA3B52">
      <w:pPr>
        <w:pStyle w:val="Textoindependien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Tipo de proceso</w:t>
      </w:r>
      <w:r>
        <w:rPr>
          <w:rFonts w:ascii="Arial" w:hAnsi="Arial" w:cs="Arial"/>
          <w:sz w:val="22"/>
          <w:szCs w:val="22"/>
          <w:lang w:val="es-CO"/>
        </w:rPr>
        <w:tab/>
        <w:t>: V</w:t>
      </w:r>
      <w:r w:rsidR="00267CB7">
        <w:rPr>
          <w:rFonts w:ascii="Arial" w:hAnsi="Arial" w:cs="Arial"/>
          <w:sz w:val="22"/>
          <w:szCs w:val="22"/>
          <w:lang w:val="es-CO"/>
        </w:rPr>
        <w:t xml:space="preserve">alidación de acuerdo de reorganización </w:t>
      </w:r>
    </w:p>
    <w:p w:rsidR="00BA3B52" w:rsidRDefault="00BA3B52" w:rsidP="00C70242">
      <w:pPr>
        <w:pStyle w:val="Textoindependien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r>
      <w:r w:rsidR="00C1702F">
        <w:rPr>
          <w:rFonts w:ascii="Arial" w:hAnsi="Arial" w:cs="Arial"/>
          <w:sz w:val="22"/>
          <w:szCs w:val="22"/>
          <w:lang w:val="es-CO"/>
        </w:rPr>
        <w:t>Solicitan</w:t>
      </w:r>
      <w:r>
        <w:rPr>
          <w:rFonts w:ascii="Arial" w:hAnsi="Arial" w:cs="Arial"/>
          <w:sz w:val="22"/>
          <w:szCs w:val="22"/>
          <w:lang w:val="es-CO"/>
        </w:rPr>
        <w:t xml:space="preserve">te </w:t>
      </w:r>
      <w:r>
        <w:rPr>
          <w:rFonts w:ascii="Arial" w:hAnsi="Arial" w:cs="Arial"/>
          <w:sz w:val="22"/>
          <w:szCs w:val="22"/>
          <w:lang w:val="es-CO"/>
        </w:rPr>
        <w:tab/>
      </w:r>
      <w:r>
        <w:rPr>
          <w:rFonts w:ascii="Arial" w:hAnsi="Arial" w:cs="Arial"/>
          <w:sz w:val="22"/>
          <w:szCs w:val="22"/>
          <w:lang w:val="es-CO"/>
        </w:rPr>
        <w:tab/>
        <w:t>: L</w:t>
      </w:r>
      <w:r w:rsidR="00C1702F">
        <w:rPr>
          <w:rFonts w:ascii="Arial" w:hAnsi="Arial" w:cs="Arial"/>
          <w:sz w:val="22"/>
          <w:szCs w:val="22"/>
          <w:lang w:val="es-CO"/>
        </w:rPr>
        <w:t xml:space="preserve">eonardo </w:t>
      </w:r>
      <w:proofErr w:type="spellStart"/>
      <w:r w:rsidR="00C1702F">
        <w:rPr>
          <w:rFonts w:ascii="Arial" w:hAnsi="Arial" w:cs="Arial"/>
          <w:sz w:val="22"/>
          <w:szCs w:val="22"/>
          <w:lang w:val="es-CO"/>
        </w:rPr>
        <w:t>Ronde</w:t>
      </w:r>
      <w:r w:rsidR="00C70242">
        <w:rPr>
          <w:rFonts w:ascii="Arial" w:hAnsi="Arial" w:cs="Arial"/>
          <w:sz w:val="22"/>
          <w:szCs w:val="22"/>
          <w:lang w:val="es-CO"/>
        </w:rPr>
        <w:t>ros</w:t>
      </w:r>
      <w:proofErr w:type="spellEnd"/>
      <w:r w:rsidR="00C70242">
        <w:rPr>
          <w:rFonts w:ascii="Arial" w:hAnsi="Arial" w:cs="Arial"/>
          <w:sz w:val="22"/>
          <w:szCs w:val="22"/>
          <w:lang w:val="es-CO"/>
        </w:rPr>
        <w:t xml:space="preserve"> Arias</w:t>
      </w:r>
    </w:p>
    <w:p w:rsidR="00440173" w:rsidRPr="001F562E" w:rsidRDefault="00440173" w:rsidP="00440173">
      <w:pPr>
        <w:spacing w:line="360" w:lineRule="auto"/>
        <w:ind w:left="708" w:firstLine="708"/>
        <w:rPr>
          <w:rFonts w:ascii="Arial" w:hAnsi="Arial" w:cs="Arial"/>
          <w:sz w:val="22"/>
          <w:szCs w:val="22"/>
        </w:rPr>
      </w:pPr>
      <w:r w:rsidRPr="001F562E">
        <w:rPr>
          <w:rFonts w:ascii="Arial" w:hAnsi="Arial" w:cs="Arial"/>
          <w:sz w:val="22"/>
          <w:szCs w:val="22"/>
        </w:rPr>
        <w:t xml:space="preserve">Procedencia </w:t>
      </w:r>
      <w:r w:rsidRPr="001F562E">
        <w:rPr>
          <w:rFonts w:ascii="Arial" w:hAnsi="Arial" w:cs="Arial"/>
          <w:sz w:val="22"/>
          <w:szCs w:val="22"/>
        </w:rPr>
        <w:tab/>
      </w:r>
      <w:r w:rsidRPr="001F562E">
        <w:rPr>
          <w:rFonts w:ascii="Arial" w:hAnsi="Arial" w:cs="Arial"/>
          <w:sz w:val="22"/>
          <w:szCs w:val="22"/>
        </w:rPr>
        <w:tab/>
        <w:t>: Juzgado</w:t>
      </w:r>
      <w:r w:rsidR="00BA3B52">
        <w:rPr>
          <w:rFonts w:ascii="Arial" w:hAnsi="Arial" w:cs="Arial"/>
          <w:sz w:val="22"/>
          <w:szCs w:val="22"/>
        </w:rPr>
        <w:t xml:space="preserve"> </w:t>
      </w:r>
      <w:r w:rsidR="00C70242">
        <w:rPr>
          <w:rFonts w:ascii="Arial" w:hAnsi="Arial" w:cs="Arial"/>
          <w:sz w:val="22"/>
          <w:szCs w:val="22"/>
        </w:rPr>
        <w:t xml:space="preserve">Tercero </w:t>
      </w:r>
      <w:r w:rsidR="00BA3B52">
        <w:rPr>
          <w:rFonts w:ascii="Arial" w:hAnsi="Arial" w:cs="Arial"/>
          <w:sz w:val="22"/>
          <w:szCs w:val="22"/>
        </w:rPr>
        <w:t>C</w:t>
      </w:r>
      <w:r w:rsidR="00577894">
        <w:rPr>
          <w:rFonts w:ascii="Arial" w:hAnsi="Arial" w:cs="Arial"/>
          <w:sz w:val="22"/>
          <w:szCs w:val="22"/>
        </w:rPr>
        <w:t xml:space="preserve">ivil del Circuito de </w:t>
      </w:r>
      <w:r w:rsidR="00C70242">
        <w:rPr>
          <w:rFonts w:ascii="Arial" w:hAnsi="Arial" w:cs="Arial"/>
          <w:sz w:val="22"/>
          <w:szCs w:val="22"/>
        </w:rPr>
        <w:t>Pereira</w:t>
      </w:r>
    </w:p>
    <w:p w:rsidR="00440173" w:rsidRDefault="00440173" w:rsidP="00440173">
      <w:pPr>
        <w:pStyle w:val="Textoindependiente"/>
        <w:spacing w:line="360" w:lineRule="auto"/>
        <w:ind w:left="1416"/>
        <w:rPr>
          <w:rFonts w:ascii="Arial" w:hAnsi="Arial" w:cs="Arial"/>
          <w:sz w:val="22"/>
          <w:szCs w:val="22"/>
        </w:rPr>
      </w:pPr>
      <w:r w:rsidRPr="001F562E">
        <w:rPr>
          <w:rFonts w:ascii="Arial" w:hAnsi="Arial" w:cs="Arial"/>
          <w:sz w:val="22"/>
          <w:szCs w:val="22"/>
        </w:rPr>
        <w:t>Radicación</w:t>
      </w:r>
      <w:r w:rsidRPr="001F562E">
        <w:rPr>
          <w:rFonts w:ascii="Arial" w:hAnsi="Arial" w:cs="Arial"/>
          <w:sz w:val="22"/>
          <w:szCs w:val="22"/>
        </w:rPr>
        <w:tab/>
      </w:r>
      <w:r w:rsidRPr="001F562E">
        <w:rPr>
          <w:rFonts w:ascii="Arial" w:hAnsi="Arial" w:cs="Arial"/>
          <w:sz w:val="22"/>
          <w:szCs w:val="22"/>
        </w:rPr>
        <w:tab/>
        <w:t>: 201</w:t>
      </w:r>
      <w:r w:rsidR="00BA3B52">
        <w:rPr>
          <w:rFonts w:ascii="Arial" w:hAnsi="Arial" w:cs="Arial"/>
          <w:sz w:val="22"/>
          <w:szCs w:val="22"/>
        </w:rPr>
        <w:t>6</w:t>
      </w:r>
      <w:r>
        <w:rPr>
          <w:rFonts w:ascii="Arial" w:hAnsi="Arial" w:cs="Arial"/>
          <w:sz w:val="22"/>
          <w:szCs w:val="22"/>
        </w:rPr>
        <w:t>-00</w:t>
      </w:r>
      <w:r w:rsidR="00C70242">
        <w:rPr>
          <w:rFonts w:ascii="Arial" w:hAnsi="Arial" w:cs="Arial"/>
          <w:sz w:val="22"/>
          <w:szCs w:val="22"/>
        </w:rPr>
        <w:t>288</w:t>
      </w:r>
      <w:r>
        <w:rPr>
          <w:rFonts w:ascii="Arial" w:hAnsi="Arial" w:cs="Arial"/>
          <w:sz w:val="22"/>
          <w:szCs w:val="22"/>
        </w:rPr>
        <w:t>-01</w:t>
      </w:r>
    </w:p>
    <w:p w:rsidR="000001CD" w:rsidRDefault="000001CD" w:rsidP="000001CD">
      <w:pPr>
        <w:spacing w:line="360" w:lineRule="auto"/>
        <w:ind w:left="708"/>
        <w:jc w:val="both"/>
        <w:rPr>
          <w:rFonts w:ascii="Arial" w:hAnsi="Arial" w:cs="Arial"/>
          <w:sz w:val="22"/>
          <w:szCs w:val="22"/>
        </w:rPr>
      </w:pPr>
      <w:r>
        <w:rPr>
          <w:rFonts w:ascii="Arial" w:hAnsi="Arial"/>
          <w:sz w:val="22"/>
          <w:szCs w:val="22"/>
        </w:rPr>
        <w:tab/>
      </w:r>
      <w:r>
        <w:rPr>
          <w:rFonts w:ascii="Arial" w:hAnsi="Arial" w:cs="Arial"/>
          <w:sz w:val="22"/>
          <w:szCs w:val="22"/>
        </w:rPr>
        <w:t>Temas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Procedencia de alzada - </w:t>
      </w:r>
      <w:proofErr w:type="spellStart"/>
      <w:r>
        <w:rPr>
          <w:rFonts w:ascii="Arial" w:hAnsi="Arial" w:cs="Arial"/>
          <w:sz w:val="22"/>
          <w:szCs w:val="22"/>
        </w:rPr>
        <w:t>Taxatividad</w:t>
      </w:r>
      <w:proofErr w:type="spellEnd"/>
    </w:p>
    <w:p w:rsidR="009D0B7B" w:rsidRPr="009D0B7B" w:rsidRDefault="009D0B7B" w:rsidP="00440173">
      <w:pPr>
        <w:pStyle w:val="Textoindependiente"/>
        <w:spacing w:line="360" w:lineRule="auto"/>
        <w:ind w:left="1416"/>
        <w:rPr>
          <w:rFonts w:ascii="Arial" w:hAnsi="Arial" w:cs="Arial"/>
          <w:sz w:val="22"/>
          <w:szCs w:val="22"/>
          <w:lang w:val="es-CO"/>
        </w:rPr>
      </w:pPr>
      <w:proofErr w:type="spellStart"/>
      <w:r w:rsidRPr="009D0B7B">
        <w:rPr>
          <w:rFonts w:ascii="Arial" w:hAnsi="Arial" w:cs="Arial"/>
          <w:sz w:val="22"/>
          <w:szCs w:val="22"/>
          <w:lang w:val="es-CO"/>
        </w:rPr>
        <w:t>Mag.Sustanciador</w:t>
      </w:r>
      <w:proofErr w:type="spellEnd"/>
      <w:r w:rsidRPr="009D0B7B">
        <w:rPr>
          <w:rFonts w:ascii="Arial" w:hAnsi="Arial" w:cs="Arial"/>
          <w:sz w:val="22"/>
          <w:szCs w:val="22"/>
          <w:lang w:val="es-CO"/>
        </w:rPr>
        <w:tab/>
        <w:t xml:space="preserve">: </w:t>
      </w:r>
      <w:proofErr w:type="spellStart"/>
      <w:r w:rsidRPr="009D0B7B">
        <w:rPr>
          <w:rFonts w:ascii="Arial" w:hAnsi="Arial" w:cs="Arial"/>
          <w:smallCaps/>
          <w:sz w:val="22"/>
          <w:szCs w:val="22"/>
          <w:lang w:val="es-CO"/>
        </w:rPr>
        <w:t>Duberney</w:t>
      </w:r>
      <w:proofErr w:type="spellEnd"/>
      <w:r w:rsidRPr="009D0B7B">
        <w:rPr>
          <w:rFonts w:ascii="Arial" w:hAnsi="Arial" w:cs="Arial"/>
          <w:smallCaps/>
          <w:sz w:val="22"/>
          <w:szCs w:val="22"/>
          <w:lang w:val="es-CO"/>
        </w:rPr>
        <w:t xml:space="preserve"> Grisales Herrera</w:t>
      </w:r>
    </w:p>
    <w:p w:rsidR="000F4FD9" w:rsidRPr="00D25B7E" w:rsidRDefault="000F4FD9" w:rsidP="00984E65">
      <w:pPr>
        <w:pStyle w:val="Textoindependiente"/>
        <w:pBdr>
          <w:bottom w:val="double" w:sz="6" w:space="1" w:color="auto"/>
        </w:pBdr>
        <w:spacing w:line="276" w:lineRule="auto"/>
        <w:jc w:val="center"/>
        <w:rPr>
          <w:rFonts w:ascii="Arial" w:hAnsi="Arial" w:cs="Arial"/>
          <w:sz w:val="16"/>
        </w:rPr>
      </w:pPr>
    </w:p>
    <w:p w:rsidR="000F4FD9" w:rsidRPr="0001641A" w:rsidRDefault="000F4FD9" w:rsidP="00A14F72">
      <w:pPr>
        <w:pStyle w:val="Textoindependiente"/>
        <w:spacing w:line="276" w:lineRule="auto"/>
        <w:jc w:val="center"/>
        <w:rPr>
          <w:rFonts w:ascii="Arial" w:hAnsi="Arial" w:cs="Arial"/>
          <w:szCs w:val="24"/>
        </w:rPr>
      </w:pPr>
    </w:p>
    <w:p w:rsidR="000F4FD9" w:rsidRPr="000001CD" w:rsidRDefault="000F4FD9" w:rsidP="00310452">
      <w:pPr>
        <w:spacing w:line="360" w:lineRule="auto"/>
        <w:jc w:val="center"/>
        <w:rPr>
          <w:rFonts w:ascii="Arial" w:hAnsi="Arial" w:cs="Arial"/>
          <w:bCs/>
          <w:sz w:val="28"/>
          <w:szCs w:val="24"/>
          <w:lang w:val="es-CO"/>
        </w:rPr>
      </w:pPr>
      <w:r w:rsidRPr="000001CD">
        <w:rPr>
          <w:rFonts w:ascii="Arial" w:hAnsi="Arial" w:cs="Arial"/>
          <w:bCs/>
          <w:smallCaps/>
          <w:sz w:val="28"/>
          <w:szCs w:val="24"/>
          <w:lang w:val="es-CO"/>
        </w:rPr>
        <w:t xml:space="preserve">Pereira, </w:t>
      </w:r>
      <w:r w:rsidR="00CD02D2" w:rsidRPr="000001CD">
        <w:rPr>
          <w:rFonts w:ascii="Arial" w:hAnsi="Arial" w:cs="Arial"/>
          <w:bCs/>
          <w:smallCaps/>
          <w:sz w:val="28"/>
          <w:szCs w:val="24"/>
          <w:lang w:val="es-CO"/>
        </w:rPr>
        <w:t xml:space="preserve">R., </w:t>
      </w:r>
      <w:r w:rsidR="002D58EA">
        <w:rPr>
          <w:rFonts w:ascii="Arial" w:hAnsi="Arial" w:cs="Arial"/>
          <w:bCs/>
          <w:smallCaps/>
          <w:sz w:val="28"/>
          <w:szCs w:val="24"/>
          <w:lang w:val="es-CO"/>
        </w:rPr>
        <w:t xml:space="preserve">veintiocho </w:t>
      </w:r>
      <w:r w:rsidRPr="000001CD">
        <w:rPr>
          <w:rFonts w:ascii="Arial" w:hAnsi="Arial" w:cs="Arial"/>
          <w:bCs/>
          <w:smallCaps/>
          <w:sz w:val="28"/>
          <w:szCs w:val="24"/>
          <w:lang w:val="es-CO"/>
        </w:rPr>
        <w:t>(</w:t>
      </w:r>
      <w:r w:rsidR="002D58EA">
        <w:rPr>
          <w:rFonts w:ascii="Arial" w:hAnsi="Arial" w:cs="Arial"/>
          <w:bCs/>
          <w:smallCaps/>
          <w:sz w:val="28"/>
          <w:szCs w:val="24"/>
          <w:lang w:val="es-CO"/>
        </w:rPr>
        <w:t>28</w:t>
      </w:r>
      <w:r w:rsidRPr="000001CD">
        <w:rPr>
          <w:rFonts w:ascii="Arial" w:hAnsi="Arial" w:cs="Arial"/>
          <w:bCs/>
          <w:smallCaps/>
          <w:sz w:val="28"/>
          <w:szCs w:val="24"/>
          <w:lang w:val="es-CO"/>
        </w:rPr>
        <w:t xml:space="preserve">) de </w:t>
      </w:r>
      <w:r w:rsidR="00C70242">
        <w:rPr>
          <w:rFonts w:ascii="Arial" w:hAnsi="Arial" w:cs="Arial"/>
          <w:bCs/>
          <w:smallCaps/>
          <w:sz w:val="28"/>
          <w:szCs w:val="24"/>
          <w:lang w:val="es-CO"/>
        </w:rPr>
        <w:t>septiembre</w:t>
      </w:r>
      <w:r w:rsidR="00BA3B52" w:rsidRPr="000001CD">
        <w:rPr>
          <w:rFonts w:ascii="Arial" w:hAnsi="Arial" w:cs="Arial"/>
          <w:bCs/>
          <w:smallCaps/>
          <w:sz w:val="28"/>
          <w:szCs w:val="24"/>
          <w:lang w:val="es-CO"/>
        </w:rPr>
        <w:t xml:space="preserve"> </w:t>
      </w:r>
      <w:r w:rsidRPr="000001CD">
        <w:rPr>
          <w:rFonts w:ascii="Arial" w:hAnsi="Arial" w:cs="Arial"/>
          <w:bCs/>
          <w:smallCaps/>
          <w:sz w:val="28"/>
          <w:szCs w:val="24"/>
          <w:lang w:val="es-CO"/>
        </w:rPr>
        <w:t xml:space="preserve">de dos mil </w:t>
      </w:r>
      <w:r w:rsidR="009D0B7B" w:rsidRPr="000001CD">
        <w:rPr>
          <w:rFonts w:ascii="Arial" w:hAnsi="Arial" w:cs="Arial"/>
          <w:bCs/>
          <w:smallCaps/>
          <w:sz w:val="28"/>
          <w:szCs w:val="24"/>
          <w:lang w:val="es-CO"/>
        </w:rPr>
        <w:t xml:space="preserve">dieciséis </w:t>
      </w:r>
      <w:r w:rsidRPr="000001CD">
        <w:rPr>
          <w:rFonts w:ascii="Arial" w:hAnsi="Arial" w:cs="Arial"/>
          <w:bCs/>
          <w:smallCaps/>
          <w:sz w:val="28"/>
          <w:szCs w:val="24"/>
          <w:lang w:val="es-CO"/>
        </w:rPr>
        <w:t>(201</w:t>
      </w:r>
      <w:r w:rsidR="009D0B7B" w:rsidRPr="000001CD">
        <w:rPr>
          <w:rFonts w:ascii="Arial" w:hAnsi="Arial" w:cs="Arial"/>
          <w:bCs/>
          <w:smallCaps/>
          <w:sz w:val="28"/>
          <w:szCs w:val="24"/>
          <w:lang w:val="es-CO"/>
        </w:rPr>
        <w:t>6</w:t>
      </w:r>
      <w:r w:rsidRPr="000001CD">
        <w:rPr>
          <w:rFonts w:ascii="Arial" w:hAnsi="Arial" w:cs="Arial"/>
          <w:bCs/>
          <w:smallCaps/>
          <w:sz w:val="28"/>
          <w:szCs w:val="24"/>
          <w:lang w:val="es-CO"/>
        </w:rPr>
        <w:t>)</w:t>
      </w:r>
      <w:r w:rsidRPr="000001CD">
        <w:rPr>
          <w:rFonts w:ascii="Arial" w:hAnsi="Arial" w:cs="Arial"/>
          <w:bCs/>
          <w:sz w:val="28"/>
          <w:szCs w:val="24"/>
          <w:lang w:val="es-CO"/>
        </w:rPr>
        <w:t>.</w:t>
      </w:r>
    </w:p>
    <w:p w:rsidR="00D37639" w:rsidRDefault="00D37639" w:rsidP="00310452">
      <w:pPr>
        <w:spacing w:line="360" w:lineRule="auto"/>
        <w:jc w:val="both"/>
        <w:rPr>
          <w:rFonts w:ascii="Arial" w:hAnsi="Arial" w:cs="Arial"/>
          <w:b/>
          <w:bCs/>
          <w:sz w:val="24"/>
          <w:szCs w:val="24"/>
          <w:lang w:val="es-CO"/>
        </w:rPr>
      </w:pPr>
    </w:p>
    <w:p w:rsidR="000F4FD9" w:rsidRPr="00B50E55" w:rsidRDefault="000F4FD9" w:rsidP="00310452">
      <w:pPr>
        <w:pStyle w:val="Sinespaciado"/>
        <w:widowControl/>
        <w:numPr>
          <w:ilvl w:val="0"/>
          <w:numId w:val="3"/>
        </w:numPr>
        <w:autoSpaceDE/>
        <w:autoSpaceDN/>
        <w:adjustRightInd/>
        <w:spacing w:line="360" w:lineRule="auto"/>
        <w:jc w:val="both"/>
        <w:rPr>
          <w:rFonts w:ascii="Arial" w:hAnsi="Arial" w:cs="Arial"/>
        </w:rPr>
      </w:pPr>
      <w:r>
        <w:rPr>
          <w:rFonts w:ascii="Arial" w:hAnsi="Arial" w:cs="Arial"/>
          <w:sz w:val="28"/>
        </w:rPr>
        <w:t>E</w:t>
      </w:r>
      <w:r>
        <w:rPr>
          <w:rFonts w:ascii="Arial" w:hAnsi="Arial" w:cs="Arial"/>
          <w:sz w:val="22"/>
        </w:rPr>
        <w:t>L</w:t>
      </w:r>
      <w:r w:rsidRPr="00CF2E47">
        <w:rPr>
          <w:rFonts w:ascii="Arial" w:hAnsi="Arial" w:cs="Arial"/>
          <w:sz w:val="22"/>
        </w:rPr>
        <w:t xml:space="preserve"> </w:t>
      </w:r>
      <w:r>
        <w:rPr>
          <w:rFonts w:ascii="Arial" w:hAnsi="Arial" w:cs="Arial"/>
          <w:sz w:val="22"/>
        </w:rPr>
        <w:t>ASUNTO POR DECIDIR</w:t>
      </w:r>
    </w:p>
    <w:p w:rsidR="000F4FD9" w:rsidRPr="00125206" w:rsidRDefault="000F4FD9" w:rsidP="00310452">
      <w:pPr>
        <w:pStyle w:val="Puesto"/>
        <w:spacing w:line="360" w:lineRule="auto"/>
        <w:jc w:val="left"/>
        <w:rPr>
          <w:rFonts w:cs="Arial"/>
          <w:b w:val="0"/>
          <w:i w:val="0"/>
          <w:spacing w:val="-3"/>
          <w:sz w:val="22"/>
          <w:szCs w:val="24"/>
          <w:lang w:val="es-ES_tradnl"/>
        </w:rPr>
      </w:pPr>
    </w:p>
    <w:p w:rsidR="000F4FD9" w:rsidRPr="00B40F83" w:rsidRDefault="009D0B7B" w:rsidP="00310452">
      <w:pPr>
        <w:spacing w:line="360" w:lineRule="auto"/>
        <w:jc w:val="both"/>
        <w:rPr>
          <w:rFonts w:ascii="Arial" w:hAnsi="Arial" w:cs="Arial"/>
          <w:sz w:val="24"/>
          <w:szCs w:val="24"/>
        </w:rPr>
      </w:pPr>
      <w:r>
        <w:rPr>
          <w:rFonts w:ascii="Arial" w:hAnsi="Arial" w:cs="Arial"/>
          <w:sz w:val="24"/>
          <w:szCs w:val="24"/>
        </w:rPr>
        <w:t xml:space="preserve">El cumplimiento </w:t>
      </w:r>
      <w:r w:rsidR="000F4FD9">
        <w:rPr>
          <w:rFonts w:ascii="Arial" w:hAnsi="Arial" w:cs="Arial"/>
          <w:sz w:val="24"/>
          <w:szCs w:val="24"/>
        </w:rPr>
        <w:t>de los supuestos de viabilidad de</w:t>
      </w:r>
      <w:r w:rsidR="000F4FD9" w:rsidRPr="00B40F83">
        <w:rPr>
          <w:rFonts w:ascii="Arial" w:hAnsi="Arial" w:cs="Arial"/>
          <w:sz w:val="24"/>
          <w:szCs w:val="24"/>
        </w:rPr>
        <w:t xml:space="preserve">l recurso ordinario de apelación propuesto por la </w:t>
      </w:r>
      <w:r w:rsidR="006A18CA">
        <w:rPr>
          <w:rFonts w:ascii="Arial" w:hAnsi="Arial" w:cs="Arial"/>
          <w:sz w:val="24"/>
          <w:szCs w:val="24"/>
        </w:rPr>
        <w:t xml:space="preserve">parte </w:t>
      </w:r>
      <w:r w:rsidR="00EB3B4C">
        <w:rPr>
          <w:rFonts w:ascii="Arial" w:hAnsi="Arial" w:cs="Arial"/>
          <w:sz w:val="24"/>
          <w:szCs w:val="24"/>
        </w:rPr>
        <w:t>actora</w:t>
      </w:r>
      <w:r w:rsidR="000F4FD9" w:rsidRPr="00B40F83">
        <w:rPr>
          <w:rFonts w:ascii="Arial" w:hAnsi="Arial" w:cs="Arial"/>
          <w:sz w:val="24"/>
          <w:szCs w:val="24"/>
        </w:rPr>
        <w:t xml:space="preserve">, contra </w:t>
      </w:r>
      <w:r w:rsidR="00BC6AA2">
        <w:rPr>
          <w:rFonts w:ascii="Arial" w:hAnsi="Arial" w:cs="Arial"/>
          <w:sz w:val="24"/>
          <w:szCs w:val="24"/>
        </w:rPr>
        <w:t xml:space="preserve">el auto </w:t>
      </w:r>
      <w:r w:rsidR="000F4FD9">
        <w:rPr>
          <w:rFonts w:ascii="Arial" w:hAnsi="Arial" w:cs="Arial"/>
          <w:sz w:val="24"/>
          <w:szCs w:val="24"/>
        </w:rPr>
        <w:t xml:space="preserve">del </w:t>
      </w:r>
      <w:r w:rsidR="00BA3B52">
        <w:rPr>
          <w:rFonts w:ascii="Arial" w:hAnsi="Arial" w:cs="Arial"/>
          <w:sz w:val="24"/>
          <w:szCs w:val="24"/>
        </w:rPr>
        <w:t>2</w:t>
      </w:r>
      <w:r w:rsidR="00EB3B4C">
        <w:rPr>
          <w:rFonts w:ascii="Arial" w:hAnsi="Arial" w:cs="Arial"/>
          <w:sz w:val="24"/>
          <w:szCs w:val="24"/>
        </w:rPr>
        <w:t>5-08</w:t>
      </w:r>
      <w:r w:rsidR="00BA3B52">
        <w:rPr>
          <w:rFonts w:ascii="Arial" w:hAnsi="Arial" w:cs="Arial"/>
          <w:sz w:val="24"/>
          <w:szCs w:val="24"/>
        </w:rPr>
        <w:t>-2016</w:t>
      </w:r>
      <w:r w:rsidR="000F4FD9" w:rsidRPr="00B40F83">
        <w:rPr>
          <w:rFonts w:ascii="Arial" w:hAnsi="Arial" w:cs="Arial"/>
          <w:sz w:val="24"/>
          <w:szCs w:val="24"/>
        </w:rPr>
        <w:t xml:space="preserve">, </w:t>
      </w:r>
      <w:r w:rsidR="00924E0B">
        <w:rPr>
          <w:rFonts w:ascii="Arial" w:hAnsi="Arial" w:cs="Arial"/>
          <w:sz w:val="24"/>
          <w:szCs w:val="24"/>
        </w:rPr>
        <w:t xml:space="preserve">que </w:t>
      </w:r>
      <w:r w:rsidR="00577894">
        <w:rPr>
          <w:rFonts w:ascii="Arial" w:hAnsi="Arial" w:cs="Arial"/>
          <w:sz w:val="24"/>
          <w:szCs w:val="24"/>
        </w:rPr>
        <w:t xml:space="preserve">rechazó </w:t>
      </w:r>
      <w:r w:rsidR="00EB3B4C">
        <w:rPr>
          <w:rFonts w:ascii="Arial" w:hAnsi="Arial" w:cs="Arial"/>
          <w:sz w:val="24"/>
          <w:szCs w:val="24"/>
        </w:rPr>
        <w:t>la solicitud de inicio del proceso de reorganización</w:t>
      </w:r>
      <w:r w:rsidR="00924E0B">
        <w:rPr>
          <w:rFonts w:ascii="Arial" w:hAnsi="Arial" w:cs="Arial"/>
          <w:sz w:val="24"/>
          <w:szCs w:val="24"/>
        </w:rPr>
        <w:t xml:space="preserve">, al tenor de las </w:t>
      </w:r>
      <w:r w:rsidR="000F4FD9" w:rsidRPr="00B40F83">
        <w:rPr>
          <w:rFonts w:ascii="Arial" w:hAnsi="Arial" w:cs="Arial"/>
          <w:sz w:val="24"/>
          <w:szCs w:val="24"/>
        </w:rPr>
        <w:t>apreciaciones jurídicas</w:t>
      </w:r>
      <w:r w:rsidR="00924E0B">
        <w:rPr>
          <w:rFonts w:ascii="Arial" w:hAnsi="Arial" w:cs="Arial"/>
          <w:sz w:val="24"/>
          <w:szCs w:val="24"/>
        </w:rPr>
        <w:t xml:space="preserve"> que a continuación se </w:t>
      </w:r>
      <w:proofErr w:type="gramStart"/>
      <w:r w:rsidR="00924E0B">
        <w:rPr>
          <w:rFonts w:ascii="Arial" w:hAnsi="Arial" w:cs="Arial"/>
          <w:sz w:val="24"/>
          <w:szCs w:val="24"/>
        </w:rPr>
        <w:t>formulan</w:t>
      </w:r>
      <w:proofErr w:type="gramEnd"/>
      <w:r w:rsidR="000F4FD9" w:rsidRPr="00B40F83">
        <w:rPr>
          <w:rFonts w:ascii="Arial" w:hAnsi="Arial" w:cs="Arial"/>
          <w:sz w:val="24"/>
          <w:szCs w:val="24"/>
        </w:rPr>
        <w:t>.</w:t>
      </w:r>
    </w:p>
    <w:p w:rsidR="000F4FD9" w:rsidRDefault="000F4FD9" w:rsidP="00310452">
      <w:pPr>
        <w:pStyle w:val="Sinespaciado"/>
        <w:widowControl/>
        <w:autoSpaceDE/>
        <w:autoSpaceDN/>
        <w:adjustRightInd/>
        <w:spacing w:line="360" w:lineRule="auto"/>
        <w:jc w:val="both"/>
        <w:rPr>
          <w:rFonts w:ascii="Arial" w:hAnsi="Arial" w:cs="Arial"/>
        </w:rPr>
      </w:pPr>
    </w:p>
    <w:p w:rsidR="000F4FD9" w:rsidRDefault="000F4FD9" w:rsidP="00BD12C5">
      <w:pPr>
        <w:pStyle w:val="Sinespaciado"/>
        <w:numPr>
          <w:ilvl w:val="0"/>
          <w:numId w:val="3"/>
        </w:numPr>
        <w:spacing w:line="360" w:lineRule="auto"/>
        <w:jc w:val="both"/>
        <w:rPr>
          <w:rFonts w:ascii="Arial" w:hAnsi="Arial" w:cs="Arial"/>
        </w:rPr>
      </w:pPr>
      <w:r w:rsidRPr="00DB7C98">
        <w:rPr>
          <w:rFonts w:ascii="Arial" w:hAnsi="Arial" w:cs="Arial"/>
          <w:sz w:val="28"/>
        </w:rPr>
        <w:t>L</w:t>
      </w:r>
      <w:r w:rsidRPr="00CF2E47">
        <w:rPr>
          <w:rFonts w:ascii="Arial" w:hAnsi="Arial" w:cs="Arial"/>
          <w:sz w:val="22"/>
        </w:rPr>
        <w:t>AS ESTIMACIONES JURÍDICAS PARA DECIDIR</w:t>
      </w:r>
    </w:p>
    <w:p w:rsidR="000F4FD9" w:rsidRDefault="000F4FD9" w:rsidP="00395DD3">
      <w:pPr>
        <w:spacing w:line="360" w:lineRule="auto"/>
        <w:jc w:val="both"/>
        <w:rPr>
          <w:rFonts w:ascii="Arial" w:hAnsi="Arial" w:cs="Arial"/>
          <w:sz w:val="24"/>
        </w:rPr>
      </w:pPr>
    </w:p>
    <w:p w:rsidR="000F4FD9" w:rsidRDefault="000F4FD9" w:rsidP="00395DD3">
      <w:pPr>
        <w:spacing w:line="360" w:lineRule="auto"/>
        <w:jc w:val="both"/>
        <w:rPr>
          <w:rFonts w:ascii="Arial" w:hAnsi="Arial" w:cs="Arial"/>
          <w:sz w:val="24"/>
        </w:rPr>
      </w:pPr>
      <w:r>
        <w:rPr>
          <w:rFonts w:ascii="Arial" w:hAnsi="Arial" w:cs="Arial"/>
          <w:sz w:val="24"/>
        </w:rPr>
        <w:t>2.1. Los requisitos de viabilidad de un recurso</w:t>
      </w:r>
    </w:p>
    <w:p w:rsidR="000F4FD9" w:rsidRDefault="000F4FD9" w:rsidP="00395DD3">
      <w:pPr>
        <w:spacing w:line="360" w:lineRule="auto"/>
        <w:jc w:val="both"/>
        <w:rPr>
          <w:rFonts w:ascii="Arial" w:hAnsi="Arial" w:cs="Arial"/>
          <w:sz w:val="24"/>
        </w:rPr>
      </w:pPr>
    </w:p>
    <w:p w:rsidR="00E15135" w:rsidRPr="00E15135" w:rsidRDefault="00E15135" w:rsidP="00E15135">
      <w:pPr>
        <w:spacing w:line="360" w:lineRule="auto"/>
        <w:jc w:val="both"/>
        <w:rPr>
          <w:rFonts w:ascii="Arial" w:hAnsi="Arial" w:cs="Arial"/>
          <w:i/>
          <w:sz w:val="24"/>
          <w:szCs w:val="22"/>
        </w:rPr>
      </w:pPr>
      <w:r w:rsidRPr="00E15135">
        <w:rPr>
          <w:rFonts w:ascii="Arial" w:hAnsi="Arial"/>
          <w:sz w:val="24"/>
        </w:rPr>
        <w:lastRenderedPageBreak/>
        <w:t xml:space="preserve">De entrada se precisa advertir que en materia de recursos, si bien la regulación en el </w:t>
      </w:r>
      <w:proofErr w:type="spellStart"/>
      <w:r w:rsidRPr="00E15135">
        <w:rPr>
          <w:rFonts w:ascii="Arial" w:hAnsi="Arial"/>
          <w:sz w:val="24"/>
        </w:rPr>
        <w:t>CG</w:t>
      </w:r>
      <w:r w:rsidR="00E478D3">
        <w:rPr>
          <w:rFonts w:ascii="Arial" w:hAnsi="Arial"/>
          <w:sz w:val="24"/>
        </w:rPr>
        <w:t>P</w:t>
      </w:r>
      <w:proofErr w:type="spellEnd"/>
      <w:r w:rsidRPr="00E15135">
        <w:rPr>
          <w:rFonts w:ascii="Arial" w:hAnsi="Arial"/>
          <w:sz w:val="24"/>
        </w:rPr>
        <w:t xml:space="preserve"> modificó algunos tópicos, lo atinente a los supuestos de viabilidad del recurso y específicamente para los autos, no tuvo un cambio sustancial respecto de lo regulado en el </w:t>
      </w:r>
      <w:proofErr w:type="spellStart"/>
      <w:r w:rsidRPr="00E15135">
        <w:rPr>
          <w:rFonts w:ascii="Arial" w:hAnsi="Arial"/>
          <w:sz w:val="24"/>
        </w:rPr>
        <w:t>CPC</w:t>
      </w:r>
      <w:proofErr w:type="spellEnd"/>
      <w:r w:rsidRPr="00E15135">
        <w:rPr>
          <w:rFonts w:ascii="Arial" w:hAnsi="Arial"/>
          <w:sz w:val="24"/>
        </w:rPr>
        <w:t xml:space="preserve">, de tal suerte que la jurisprudencia y doctrina que se han encargado de estudiar el tema con arreglo al </w:t>
      </w:r>
      <w:proofErr w:type="spellStart"/>
      <w:r w:rsidRPr="00E15135">
        <w:rPr>
          <w:rFonts w:ascii="Arial" w:hAnsi="Arial"/>
          <w:sz w:val="24"/>
        </w:rPr>
        <w:t>CPC</w:t>
      </w:r>
      <w:proofErr w:type="spellEnd"/>
      <w:r w:rsidRPr="00E15135">
        <w:rPr>
          <w:rFonts w:ascii="Arial" w:hAnsi="Arial" w:cs="Arial"/>
          <w:sz w:val="24"/>
          <w:szCs w:val="22"/>
        </w:rPr>
        <w:t xml:space="preserve">, </w:t>
      </w:r>
      <w:r w:rsidR="00FA7F1C">
        <w:rPr>
          <w:rFonts w:ascii="Arial" w:hAnsi="Arial" w:cs="Arial"/>
          <w:sz w:val="24"/>
          <w:szCs w:val="22"/>
        </w:rPr>
        <w:t xml:space="preserve">son </w:t>
      </w:r>
      <w:r w:rsidRPr="00E15135">
        <w:rPr>
          <w:rFonts w:ascii="Arial" w:hAnsi="Arial" w:cs="Arial"/>
          <w:sz w:val="24"/>
          <w:szCs w:val="22"/>
        </w:rPr>
        <w:t>aplicable</w:t>
      </w:r>
      <w:r w:rsidR="00FA7F1C">
        <w:rPr>
          <w:rFonts w:ascii="Arial" w:hAnsi="Arial" w:cs="Arial"/>
          <w:sz w:val="24"/>
          <w:szCs w:val="22"/>
        </w:rPr>
        <w:t>s</w:t>
      </w:r>
      <w:r w:rsidRPr="00E15135">
        <w:rPr>
          <w:rFonts w:ascii="Arial" w:hAnsi="Arial" w:cs="Arial"/>
          <w:sz w:val="24"/>
          <w:szCs w:val="22"/>
        </w:rPr>
        <w:t xml:space="preserve"> para el nuevo estatuto</w:t>
      </w:r>
      <w:r w:rsidR="00E478D3">
        <w:rPr>
          <w:rFonts w:ascii="Arial" w:hAnsi="Arial" w:cs="Arial"/>
          <w:sz w:val="24"/>
          <w:szCs w:val="22"/>
        </w:rPr>
        <w:t xml:space="preserve"> (</w:t>
      </w:r>
      <w:proofErr w:type="spellStart"/>
      <w:r w:rsidR="00E478D3">
        <w:rPr>
          <w:rFonts w:ascii="Arial" w:hAnsi="Arial" w:cs="Arial"/>
          <w:sz w:val="24"/>
          <w:szCs w:val="22"/>
        </w:rPr>
        <w:t>CGP</w:t>
      </w:r>
      <w:proofErr w:type="spellEnd"/>
      <w:r w:rsidR="00E478D3">
        <w:rPr>
          <w:rFonts w:ascii="Arial" w:hAnsi="Arial" w:cs="Arial"/>
          <w:sz w:val="24"/>
          <w:szCs w:val="22"/>
        </w:rPr>
        <w:t>)</w:t>
      </w:r>
      <w:r w:rsidRPr="00E15135">
        <w:rPr>
          <w:rFonts w:ascii="Arial" w:hAnsi="Arial" w:cs="Arial"/>
          <w:sz w:val="24"/>
          <w:szCs w:val="22"/>
        </w:rPr>
        <w:t>.</w:t>
      </w:r>
    </w:p>
    <w:p w:rsidR="00E15135" w:rsidRPr="00AC3AFA" w:rsidRDefault="00E15135" w:rsidP="00395DD3">
      <w:pPr>
        <w:spacing w:line="360" w:lineRule="auto"/>
        <w:jc w:val="both"/>
        <w:rPr>
          <w:rFonts w:ascii="Arial" w:hAnsi="Arial" w:cs="Arial"/>
          <w:sz w:val="24"/>
        </w:rPr>
      </w:pPr>
    </w:p>
    <w:p w:rsidR="00E478D3" w:rsidRDefault="000378CE" w:rsidP="00B27CC5">
      <w:pPr>
        <w:pStyle w:val="Sinespaciado"/>
        <w:spacing w:line="360" w:lineRule="auto"/>
        <w:jc w:val="both"/>
        <w:rPr>
          <w:rFonts w:ascii="Arial" w:hAnsi="Arial" w:cs="Arial"/>
        </w:rPr>
      </w:pPr>
      <w:r>
        <w:rPr>
          <w:rFonts w:ascii="Arial" w:hAnsi="Arial" w:cs="Arial"/>
        </w:rPr>
        <w:t>En ese contexto</w:t>
      </w:r>
      <w:r w:rsidR="002D58EA">
        <w:rPr>
          <w:rFonts w:ascii="Arial" w:hAnsi="Arial" w:cs="Arial"/>
        </w:rPr>
        <w:t>,</w:t>
      </w:r>
      <w:r>
        <w:rPr>
          <w:rFonts w:ascii="Arial" w:hAnsi="Arial" w:cs="Arial"/>
        </w:rPr>
        <w:t xml:space="preserve"> y como siempre</w:t>
      </w:r>
      <w:r w:rsidR="002D58EA">
        <w:rPr>
          <w:rFonts w:ascii="Arial" w:hAnsi="Arial" w:cs="Arial"/>
        </w:rPr>
        <w:t>,</w:t>
      </w:r>
      <w:r>
        <w:rPr>
          <w:rFonts w:ascii="Arial" w:hAnsi="Arial" w:cs="Arial"/>
        </w:rPr>
        <w:t xml:space="preserve"> es indispensable la revisión de esos presupuestos que permiten desatar el recurso, según lo rotula la doctrina </w:t>
      </w:r>
      <w:r>
        <w:rPr>
          <w:rFonts w:ascii="Arial" w:hAnsi="Arial" w:cs="Arial"/>
          <w:szCs w:val="24"/>
        </w:rPr>
        <w:t>procesal nacional</w:t>
      </w:r>
      <w:r>
        <w:rPr>
          <w:rFonts w:ascii="Arial" w:hAnsi="Arial" w:cs="Arial"/>
          <w:szCs w:val="24"/>
          <w:vertAlign w:val="superscript"/>
        </w:rPr>
        <w:footnoteReference w:id="1"/>
      </w:r>
      <w:r>
        <w:rPr>
          <w:rFonts w:ascii="Arial" w:hAnsi="Arial" w:cs="Arial"/>
          <w:szCs w:val="24"/>
          <w:vertAlign w:val="superscript"/>
        </w:rPr>
        <w:t>-</w:t>
      </w:r>
      <w:r>
        <w:rPr>
          <w:rFonts w:ascii="Arial" w:hAnsi="Arial" w:cs="Arial"/>
          <w:szCs w:val="24"/>
          <w:vertAlign w:val="superscript"/>
        </w:rPr>
        <w:footnoteReference w:id="2"/>
      </w:r>
      <w:r>
        <w:rPr>
          <w:rFonts w:ascii="Arial" w:hAnsi="Arial" w:cs="Arial"/>
        </w:rPr>
        <w:t xml:space="preserve">, a efectos de examinar el tema discutido por vía de apelación, puesto que se dice que son ellos una serie de exigencias normativas formales que permiten su trámite y aseguran su decisión.  </w:t>
      </w:r>
    </w:p>
    <w:p w:rsidR="002B6258" w:rsidRDefault="00E478D3" w:rsidP="00B27CC5">
      <w:pPr>
        <w:pStyle w:val="Sinespaciado"/>
        <w:spacing w:line="360" w:lineRule="auto"/>
        <w:jc w:val="both"/>
        <w:rPr>
          <w:rFonts w:ascii="Arial" w:hAnsi="Arial" w:cs="Arial"/>
        </w:rPr>
      </w:pPr>
      <w:r>
        <w:rPr>
          <w:rFonts w:ascii="Arial" w:hAnsi="Arial" w:cs="Arial"/>
        </w:rPr>
        <w:t>Así lo</w:t>
      </w:r>
      <w:r w:rsidR="000378CE">
        <w:rPr>
          <w:rFonts w:ascii="Arial" w:hAnsi="Arial" w:cs="Arial"/>
        </w:rPr>
        <w:t xml:space="preserve"> anota el profesor López Blanco: </w:t>
      </w:r>
      <w:r w:rsidR="000378CE" w:rsidRPr="00F601E9">
        <w:rPr>
          <w:rFonts w:ascii="Arial" w:hAnsi="Arial" w:cs="Arial"/>
          <w:sz w:val="22"/>
        </w:rPr>
        <w:t>“</w:t>
      </w:r>
      <w:r w:rsidR="000378CE" w:rsidRPr="00F601E9">
        <w:rPr>
          <w:rFonts w:ascii="Arial" w:hAnsi="Arial" w:cs="Arial"/>
          <w:i/>
          <w:sz w:val="22"/>
        </w:rPr>
        <w:t>En todo caso sin estar reunidos los requisitos de viabilidad del recurso jamás se podrá tener éxito en el mismo por constituir un precedente necesario para decidirlo.</w:t>
      </w:r>
      <w:r w:rsidR="000378CE" w:rsidRPr="00F601E9">
        <w:rPr>
          <w:rFonts w:ascii="Arial" w:hAnsi="Arial" w:cs="Arial"/>
          <w:sz w:val="22"/>
        </w:rPr>
        <w:t>”</w:t>
      </w:r>
      <w:r w:rsidR="000378CE" w:rsidRPr="00F601E9">
        <w:rPr>
          <w:rFonts w:ascii="Arial" w:hAnsi="Arial" w:cs="Arial"/>
          <w:sz w:val="22"/>
          <w:vertAlign w:val="superscript"/>
        </w:rPr>
        <w:footnoteReference w:id="3"/>
      </w:r>
      <w:r w:rsidR="000378CE">
        <w:rPr>
          <w:rFonts w:ascii="Arial" w:hAnsi="Arial" w:cs="Arial"/>
        </w:rPr>
        <w:t xml:space="preserve">.  </w:t>
      </w:r>
      <w:r w:rsidR="0044659A">
        <w:rPr>
          <w:rFonts w:ascii="Arial" w:hAnsi="Arial" w:cs="Arial"/>
        </w:rPr>
        <w:t>Y lo e</w:t>
      </w:r>
      <w:r w:rsidR="000F4FD9" w:rsidRPr="00B27CC5">
        <w:rPr>
          <w:rFonts w:ascii="Arial" w:hAnsi="Arial" w:cs="Arial"/>
        </w:rPr>
        <w:t>xplica el profesor Rojas Gómez</w:t>
      </w:r>
      <w:r w:rsidR="000F4FD9" w:rsidRPr="00B27CC5">
        <w:rPr>
          <w:rStyle w:val="Refdenotaalpie"/>
          <w:rFonts w:ascii="Arial" w:hAnsi="Arial" w:cs="Arial"/>
        </w:rPr>
        <w:footnoteReference w:id="4"/>
      </w:r>
      <w:r w:rsidR="000F4FD9" w:rsidRPr="00B27CC5">
        <w:rPr>
          <w:rFonts w:ascii="Arial" w:hAnsi="Arial" w:cs="Arial"/>
        </w:rPr>
        <w:t xml:space="preserve"> en su obra: “</w:t>
      </w:r>
      <w:r w:rsidR="002B6258" w:rsidRPr="008569C4">
        <w:rPr>
          <w:rFonts w:ascii="Arial" w:hAnsi="Arial" w:cs="Arial"/>
          <w:i/>
          <w:sz w:val="22"/>
        </w:rPr>
        <w:t xml:space="preserve">(…) </w:t>
      </w:r>
      <w:r w:rsidR="008569C4" w:rsidRPr="008569C4">
        <w:rPr>
          <w:rFonts w:ascii="Arial" w:hAnsi="Arial" w:cs="Arial"/>
          <w:i/>
          <w:sz w:val="22"/>
        </w:rPr>
        <w:t>para que la impugnación pueda ser tramitada hasta establecer si debe prosperar han de cumplirse unos precisos requisitos.  En ausencia de ellos no debe dársele curso a</w:t>
      </w:r>
      <w:r w:rsidR="000557CF">
        <w:rPr>
          <w:rFonts w:ascii="Arial" w:hAnsi="Arial" w:cs="Arial"/>
          <w:i/>
          <w:sz w:val="22"/>
        </w:rPr>
        <w:t xml:space="preserve"> </w:t>
      </w:r>
      <w:r w:rsidR="008569C4" w:rsidRPr="008569C4">
        <w:rPr>
          <w:rFonts w:ascii="Arial" w:hAnsi="Arial" w:cs="Arial"/>
          <w:i/>
          <w:sz w:val="22"/>
        </w:rPr>
        <w:t>l</w:t>
      </w:r>
      <w:r w:rsidR="000557CF">
        <w:rPr>
          <w:rFonts w:ascii="Arial" w:hAnsi="Arial" w:cs="Arial"/>
          <w:i/>
          <w:sz w:val="22"/>
        </w:rPr>
        <w:t>a</w:t>
      </w:r>
      <w:r w:rsidR="008569C4" w:rsidRPr="008569C4">
        <w:rPr>
          <w:rFonts w:ascii="Arial" w:hAnsi="Arial" w:cs="Arial"/>
          <w:i/>
          <w:sz w:val="22"/>
        </w:rPr>
        <w:t xml:space="preserve"> impugnación, o el trámite queda trunco, si ya se inició.</w:t>
      </w:r>
      <w:r w:rsidR="008569C4">
        <w:rPr>
          <w:rFonts w:ascii="Arial" w:hAnsi="Arial" w:cs="Arial"/>
        </w:rPr>
        <w:t>”.</w:t>
      </w:r>
    </w:p>
    <w:p w:rsidR="002B6258" w:rsidRDefault="002B6258" w:rsidP="00B27CC5">
      <w:pPr>
        <w:pStyle w:val="Sinespaciado"/>
        <w:spacing w:line="360" w:lineRule="auto"/>
        <w:jc w:val="both"/>
        <w:rPr>
          <w:rFonts w:ascii="Arial" w:hAnsi="Arial" w:cs="Arial"/>
        </w:rPr>
      </w:pPr>
    </w:p>
    <w:p w:rsidR="00686829" w:rsidRDefault="000F4FD9" w:rsidP="00395DD3">
      <w:pPr>
        <w:pStyle w:val="Sinespaciado"/>
        <w:spacing w:line="360" w:lineRule="auto"/>
        <w:jc w:val="both"/>
        <w:rPr>
          <w:rFonts w:ascii="Bookman Old Style" w:hAnsi="Bookman Old Style"/>
          <w:i/>
          <w:color w:val="2D2D2D"/>
          <w:szCs w:val="24"/>
          <w:shd w:val="clear" w:color="auto" w:fill="FFFFFF"/>
        </w:rPr>
      </w:pPr>
      <w:r w:rsidRPr="002E1265">
        <w:rPr>
          <w:rFonts w:ascii="Arial" w:hAnsi="Arial" w:cs="Arial"/>
        </w:rPr>
        <w:t xml:space="preserve">Los </w:t>
      </w:r>
      <w:r>
        <w:rPr>
          <w:rFonts w:ascii="Arial" w:hAnsi="Arial" w:cs="Arial"/>
        </w:rPr>
        <w:t xml:space="preserve">mencionados </w:t>
      </w:r>
      <w:r w:rsidRPr="002E1265">
        <w:rPr>
          <w:rFonts w:ascii="Arial" w:hAnsi="Arial" w:cs="Arial"/>
        </w:rPr>
        <w:t>requisitos son concurrentes y necesarios, ausente uno se malogra el estudio de la impugnación.</w:t>
      </w:r>
      <w:r>
        <w:rPr>
          <w:rFonts w:ascii="Arial" w:hAnsi="Arial" w:cs="Arial"/>
        </w:rPr>
        <w:t xml:space="preserve"> </w:t>
      </w:r>
      <w:r w:rsidR="00802BC8">
        <w:rPr>
          <w:rFonts w:ascii="Arial" w:hAnsi="Arial" w:cs="Arial"/>
        </w:rPr>
        <w:t xml:space="preserve"> La misma CSJ </w:t>
      </w:r>
      <w:r w:rsidR="00686829">
        <w:rPr>
          <w:rFonts w:ascii="Arial" w:hAnsi="Arial" w:cs="Arial"/>
        </w:rPr>
        <w:t xml:space="preserve">así lo ha </w:t>
      </w:r>
      <w:r w:rsidR="00802BC8">
        <w:rPr>
          <w:rFonts w:ascii="Arial" w:hAnsi="Arial" w:cs="Arial"/>
        </w:rPr>
        <w:t>e</w:t>
      </w:r>
      <w:r w:rsidR="0023712B">
        <w:rPr>
          <w:rFonts w:ascii="Arial" w:hAnsi="Arial" w:cs="Arial"/>
        </w:rPr>
        <w:t>nseña</w:t>
      </w:r>
      <w:r w:rsidR="00686829">
        <w:rPr>
          <w:rFonts w:ascii="Arial" w:hAnsi="Arial" w:cs="Arial"/>
        </w:rPr>
        <w:t>do</w:t>
      </w:r>
      <w:r w:rsidR="00802BC8">
        <w:rPr>
          <w:rFonts w:ascii="Arial" w:hAnsi="Arial" w:cs="Arial"/>
        </w:rPr>
        <w:t>: “</w:t>
      </w:r>
      <w:r w:rsidR="009D2F2D" w:rsidRPr="00647802">
        <w:rPr>
          <w:rFonts w:ascii="Arial" w:hAnsi="Arial" w:cs="Arial"/>
          <w:i/>
          <w:sz w:val="22"/>
        </w:rPr>
        <w:t xml:space="preserve">(…) al recibir el expediente, dentro del examen preliminar que le corresponde hacer (C. de </w:t>
      </w:r>
      <w:proofErr w:type="spellStart"/>
      <w:r w:rsidR="009D2F2D" w:rsidRPr="00647802">
        <w:rPr>
          <w:rFonts w:ascii="Arial" w:hAnsi="Arial" w:cs="Arial"/>
          <w:i/>
          <w:sz w:val="22"/>
        </w:rPr>
        <w:t>P.C</w:t>
      </w:r>
      <w:proofErr w:type="spellEnd"/>
      <w:r w:rsidR="009D2F2D" w:rsidRPr="00647802">
        <w:rPr>
          <w:rFonts w:ascii="Arial" w:hAnsi="Arial" w:cs="Arial"/>
          <w:i/>
          <w:sz w:val="22"/>
        </w:rPr>
        <w:t>., art.3</w:t>
      </w:r>
      <w:r w:rsidR="00E410AB" w:rsidRPr="00647802">
        <w:rPr>
          <w:rFonts w:ascii="Arial" w:hAnsi="Arial" w:cs="Arial"/>
          <w:i/>
          <w:sz w:val="22"/>
        </w:rPr>
        <w:t>58), debe prioritariamente examinar, entre otras situaciones, si se encuentran cumplid</w:t>
      </w:r>
      <w:r w:rsidR="006B3003" w:rsidRPr="00647802">
        <w:rPr>
          <w:rFonts w:ascii="Arial" w:hAnsi="Arial" w:cs="Arial"/>
          <w:i/>
          <w:sz w:val="22"/>
        </w:rPr>
        <w:t xml:space="preserve">os los presupuestos indispensable para la concesión del recurso de apelación, y en el evento de hallarlos ajustados a la ley, admitirá el recurso, y. en caso, contrario </w:t>
      </w:r>
      <w:r w:rsidR="00576A44" w:rsidRPr="00647802">
        <w:rPr>
          <w:rFonts w:ascii="Arial" w:hAnsi="Arial" w:cs="Arial"/>
          <w:i/>
          <w:sz w:val="22"/>
        </w:rPr>
        <w:t xml:space="preserve">lo declarará inadmisible </w:t>
      </w:r>
      <w:r w:rsidR="00647802" w:rsidRPr="00647802">
        <w:rPr>
          <w:rFonts w:ascii="Arial" w:hAnsi="Arial" w:cs="Arial"/>
          <w:i/>
          <w:sz w:val="22"/>
        </w:rPr>
        <w:t>(…)</w:t>
      </w:r>
      <w:r w:rsidR="00647802">
        <w:rPr>
          <w:rFonts w:ascii="Arial" w:hAnsi="Arial" w:cs="Arial"/>
        </w:rPr>
        <w:t>”</w:t>
      </w:r>
      <w:r w:rsidR="00686829">
        <w:rPr>
          <w:rStyle w:val="Refdenotaalpie"/>
          <w:rFonts w:ascii="Arial" w:hAnsi="Arial"/>
        </w:rPr>
        <w:footnoteReference w:id="5"/>
      </w:r>
      <w:r w:rsidR="00686829">
        <w:rPr>
          <w:rFonts w:ascii="Arial" w:hAnsi="Arial" w:cs="Arial"/>
        </w:rPr>
        <w:t>. Y</w:t>
      </w:r>
      <w:r w:rsidR="00EB3B4C">
        <w:rPr>
          <w:rFonts w:ascii="Arial" w:hAnsi="Arial" w:cs="Arial"/>
        </w:rPr>
        <w:t xml:space="preserve"> </w:t>
      </w:r>
      <w:r w:rsidR="00686829">
        <w:rPr>
          <w:rFonts w:ascii="Arial" w:hAnsi="Arial" w:cs="Arial"/>
        </w:rPr>
        <w:t>en reciente decisión (2016)</w:t>
      </w:r>
      <w:r w:rsidR="00686829">
        <w:rPr>
          <w:rStyle w:val="Refdenotaalpie"/>
          <w:rFonts w:ascii="Arial" w:hAnsi="Arial"/>
        </w:rPr>
        <w:footnoteReference w:id="6"/>
      </w:r>
      <w:r w:rsidR="00686829">
        <w:rPr>
          <w:rFonts w:ascii="Arial" w:hAnsi="Arial" w:cs="Arial"/>
        </w:rPr>
        <w:t xml:space="preserve"> recordó: </w:t>
      </w:r>
      <w:r w:rsidR="00686829" w:rsidRPr="00686829">
        <w:rPr>
          <w:rFonts w:ascii="Arial" w:hAnsi="Arial" w:cs="Arial"/>
          <w:sz w:val="22"/>
          <w:szCs w:val="22"/>
        </w:rPr>
        <w:t xml:space="preserve">“(…) </w:t>
      </w:r>
      <w:r w:rsidR="00686829" w:rsidRPr="00686829">
        <w:rPr>
          <w:rFonts w:ascii="Arial" w:hAnsi="Arial" w:cs="Arial"/>
          <w:i/>
          <w:color w:val="2D2D2D"/>
          <w:sz w:val="22"/>
          <w:szCs w:val="22"/>
          <w:shd w:val="clear" w:color="auto" w:fill="FFFFFF"/>
        </w:rPr>
        <w:t>al examen preliminar de admisibilidad de la apelación que hace el juez de segunda instancia previo a avocar conocimiento y de dar trámite al recurso de apelación (…)”</w:t>
      </w:r>
      <w:r w:rsidR="00686829">
        <w:rPr>
          <w:rFonts w:ascii="Arial" w:hAnsi="Arial" w:cs="Arial"/>
          <w:i/>
          <w:color w:val="2D2D2D"/>
          <w:sz w:val="22"/>
          <w:szCs w:val="22"/>
          <w:shd w:val="clear" w:color="auto" w:fill="FFFFFF"/>
        </w:rPr>
        <w:t>.</w:t>
      </w:r>
    </w:p>
    <w:p w:rsidR="00686829" w:rsidRDefault="00686829" w:rsidP="00395DD3">
      <w:pPr>
        <w:pStyle w:val="Sinespaciado"/>
        <w:spacing w:line="360" w:lineRule="auto"/>
        <w:jc w:val="both"/>
        <w:rPr>
          <w:rFonts w:ascii="Arial" w:hAnsi="Arial" w:cs="Arial"/>
        </w:rPr>
      </w:pPr>
    </w:p>
    <w:p w:rsidR="00965470" w:rsidRDefault="00925B32" w:rsidP="00965470">
      <w:pPr>
        <w:pStyle w:val="Sinespaciado"/>
        <w:spacing w:line="360" w:lineRule="auto"/>
        <w:jc w:val="both"/>
        <w:rPr>
          <w:rFonts w:ascii="Arial" w:hAnsi="Arial" w:cs="Arial"/>
        </w:rPr>
      </w:pPr>
      <w:r>
        <w:rPr>
          <w:rFonts w:ascii="Arial" w:hAnsi="Arial" w:cs="Arial"/>
        </w:rPr>
        <w:t xml:space="preserve">Para el </w:t>
      </w:r>
      <w:r w:rsidR="00F601E9">
        <w:rPr>
          <w:rFonts w:ascii="Arial" w:hAnsi="Arial" w:cs="Arial"/>
        </w:rPr>
        <w:t xml:space="preserve">asunto </w:t>
      </w:r>
      <w:r w:rsidR="000F4FD9" w:rsidRPr="002E1265">
        <w:rPr>
          <w:rFonts w:ascii="Arial" w:hAnsi="Arial" w:cs="Arial"/>
        </w:rPr>
        <w:t>son legitimación, oportunidad, procedencia y sustentación.</w:t>
      </w:r>
      <w:r w:rsidR="00767974">
        <w:rPr>
          <w:rFonts w:ascii="Arial" w:hAnsi="Arial" w:cs="Arial"/>
        </w:rPr>
        <w:t xml:space="preserve">  En particular se echa de menos en este caso la procedencia, entendida como </w:t>
      </w:r>
      <w:r w:rsidR="00491DD9">
        <w:rPr>
          <w:rFonts w:ascii="Arial" w:hAnsi="Arial" w:cs="Arial"/>
        </w:rPr>
        <w:t>la expresa autorización normativa para atacar la decisión por vía de alzada</w:t>
      </w:r>
      <w:r w:rsidR="00BB695D">
        <w:rPr>
          <w:rFonts w:ascii="Arial" w:hAnsi="Arial" w:cs="Arial"/>
        </w:rPr>
        <w:t>.</w:t>
      </w:r>
      <w:r w:rsidR="00965470" w:rsidRPr="00965470">
        <w:rPr>
          <w:rFonts w:ascii="Arial" w:hAnsi="Arial" w:cs="Arial"/>
        </w:rPr>
        <w:t xml:space="preserve"> </w:t>
      </w:r>
    </w:p>
    <w:p w:rsidR="00965470" w:rsidRDefault="00965470" w:rsidP="00965470">
      <w:pPr>
        <w:pStyle w:val="Sinespaciado"/>
        <w:spacing w:line="360" w:lineRule="auto"/>
        <w:jc w:val="both"/>
        <w:rPr>
          <w:rFonts w:ascii="Arial" w:hAnsi="Arial" w:cs="Arial"/>
        </w:rPr>
      </w:pPr>
    </w:p>
    <w:p w:rsidR="00504903" w:rsidRPr="003D741C" w:rsidRDefault="00504903" w:rsidP="00504903">
      <w:pPr>
        <w:spacing w:line="360" w:lineRule="auto"/>
        <w:jc w:val="both"/>
        <w:rPr>
          <w:rFonts w:ascii="Arial" w:hAnsi="Arial" w:cs="Arial"/>
          <w:sz w:val="24"/>
        </w:rPr>
      </w:pPr>
      <w:r w:rsidRPr="005846FC">
        <w:rPr>
          <w:rFonts w:ascii="Arial" w:hAnsi="Arial" w:cs="Arial"/>
          <w:sz w:val="24"/>
        </w:rPr>
        <w:t>2.2. El caso concreto que se analiza</w:t>
      </w:r>
    </w:p>
    <w:p w:rsidR="00504903" w:rsidRPr="005D1B31" w:rsidRDefault="00504903" w:rsidP="00965470">
      <w:pPr>
        <w:pStyle w:val="Sinespaciado"/>
        <w:spacing w:line="360" w:lineRule="auto"/>
        <w:jc w:val="both"/>
        <w:rPr>
          <w:rFonts w:ascii="Arial" w:hAnsi="Arial" w:cs="Arial"/>
        </w:rPr>
      </w:pPr>
    </w:p>
    <w:p w:rsidR="00073C11" w:rsidRPr="002240F3" w:rsidRDefault="00073C11" w:rsidP="00073C11">
      <w:pPr>
        <w:pStyle w:val="Sinespaciado"/>
        <w:spacing w:line="360" w:lineRule="auto"/>
        <w:jc w:val="both"/>
        <w:rPr>
          <w:rFonts w:ascii="Arial" w:hAnsi="Arial" w:cs="Arial"/>
        </w:rPr>
      </w:pPr>
      <w:r w:rsidRPr="002240F3">
        <w:rPr>
          <w:rFonts w:ascii="Arial" w:hAnsi="Arial" w:cs="Arial"/>
        </w:rPr>
        <w:t xml:space="preserve">El principio de la doble instancia, previsto por el artículo 31 de nuestra Carta Política, no es absoluto sino relativo, aplica para las sentencias con las excepciones que disponga el </w:t>
      </w:r>
      <w:r w:rsidRPr="002240F3">
        <w:rPr>
          <w:rFonts w:ascii="Arial" w:hAnsi="Arial" w:cs="Arial"/>
        </w:rPr>
        <w:lastRenderedPageBreak/>
        <w:t>legislador. La doctrina constitucional sobre este principio ha sido constante y sólida desde 1995</w:t>
      </w:r>
      <w:r w:rsidRPr="002240F3">
        <w:rPr>
          <w:rStyle w:val="Refdenotaalpie"/>
          <w:rFonts w:ascii="Arial" w:hAnsi="Arial"/>
        </w:rPr>
        <w:footnoteReference w:id="7"/>
      </w:r>
      <w:r w:rsidRPr="002240F3">
        <w:rPr>
          <w:rFonts w:ascii="Arial" w:hAnsi="Arial" w:cs="Arial"/>
        </w:rPr>
        <w:t xml:space="preserve"> hasta nuestros días (201</w:t>
      </w:r>
      <w:r w:rsidR="005D6D82">
        <w:rPr>
          <w:rFonts w:ascii="Arial" w:hAnsi="Arial" w:cs="Arial"/>
        </w:rPr>
        <w:t>6</w:t>
      </w:r>
      <w:r w:rsidRPr="002240F3">
        <w:rPr>
          <w:rFonts w:ascii="Arial" w:hAnsi="Arial" w:cs="Arial"/>
        </w:rPr>
        <w:t>)</w:t>
      </w:r>
      <w:r w:rsidR="00F601E9" w:rsidRPr="002240F3">
        <w:rPr>
          <w:rStyle w:val="Refdenotaalpie"/>
          <w:rFonts w:ascii="Arial" w:hAnsi="Arial"/>
        </w:rPr>
        <w:footnoteReference w:id="8"/>
      </w:r>
      <w:r w:rsidRPr="002240F3">
        <w:rPr>
          <w:rFonts w:ascii="Arial" w:hAnsi="Arial" w:cs="Arial"/>
        </w:rPr>
        <w:t xml:space="preserve">; en esta reciente decisión, también se declaró exequible el artículo </w:t>
      </w:r>
      <w:r w:rsidR="005D6D82">
        <w:rPr>
          <w:rFonts w:ascii="Arial" w:hAnsi="Arial" w:cs="Arial"/>
        </w:rPr>
        <w:t>459</w:t>
      </w:r>
      <w:r w:rsidRPr="002240F3">
        <w:rPr>
          <w:rFonts w:ascii="Arial" w:hAnsi="Arial" w:cs="Arial"/>
        </w:rPr>
        <w:t xml:space="preserve"> de la Ley </w:t>
      </w:r>
      <w:r w:rsidR="005D6D82">
        <w:rPr>
          <w:rFonts w:ascii="Arial" w:hAnsi="Arial" w:cs="Arial"/>
        </w:rPr>
        <w:t>906</w:t>
      </w:r>
      <w:r w:rsidRPr="002240F3">
        <w:rPr>
          <w:rFonts w:ascii="Arial" w:hAnsi="Arial" w:cs="Arial"/>
        </w:rPr>
        <w:t xml:space="preserve">, que </w:t>
      </w:r>
      <w:r w:rsidR="00917CEE">
        <w:rPr>
          <w:rFonts w:ascii="Arial" w:hAnsi="Arial" w:cs="Arial"/>
        </w:rPr>
        <w:t xml:space="preserve">restringió a la víctima la posibilidad de formular recursos de </w:t>
      </w:r>
      <w:r w:rsidR="00917CEE" w:rsidRPr="00917CEE">
        <w:rPr>
          <w:rFonts w:ascii="Arial" w:hAnsi="Arial" w:cs="Arial"/>
        </w:rPr>
        <w:t>todo lo relacionado con la ejecución de la pena</w:t>
      </w:r>
      <w:r w:rsidRPr="002240F3">
        <w:rPr>
          <w:rFonts w:ascii="Arial" w:hAnsi="Arial" w:cs="Arial"/>
        </w:rPr>
        <w:t>.</w:t>
      </w:r>
    </w:p>
    <w:p w:rsidR="00073C11" w:rsidRDefault="00073C11" w:rsidP="00073C11">
      <w:pPr>
        <w:pStyle w:val="Sinespaciado"/>
        <w:spacing w:line="360" w:lineRule="auto"/>
        <w:jc w:val="both"/>
        <w:rPr>
          <w:rFonts w:ascii="Arial" w:hAnsi="Arial" w:cs="Arial"/>
        </w:rPr>
      </w:pPr>
    </w:p>
    <w:p w:rsidR="00073C11" w:rsidRPr="00545527" w:rsidRDefault="00073C11" w:rsidP="00073C11">
      <w:pPr>
        <w:pStyle w:val="Sinespaciado"/>
        <w:spacing w:line="360" w:lineRule="auto"/>
        <w:jc w:val="both"/>
        <w:rPr>
          <w:rFonts w:ascii="Arial" w:hAnsi="Arial" w:cs="Arial"/>
          <w:szCs w:val="24"/>
        </w:rPr>
      </w:pPr>
      <w:r w:rsidRPr="00545527">
        <w:rPr>
          <w:rFonts w:ascii="Arial" w:hAnsi="Arial" w:cs="Arial"/>
        </w:rPr>
        <w:t xml:space="preserve">Por sabido se tiene, en la literatura procesal contemporánea, que la </w:t>
      </w:r>
      <w:proofErr w:type="spellStart"/>
      <w:r w:rsidRPr="00545527">
        <w:rPr>
          <w:rFonts w:ascii="Arial" w:hAnsi="Arial" w:cs="Arial"/>
        </w:rPr>
        <w:t>taxatividad</w:t>
      </w:r>
      <w:proofErr w:type="spellEnd"/>
      <w:r w:rsidRPr="00545527">
        <w:rPr>
          <w:rFonts w:ascii="Arial" w:hAnsi="Arial" w:cs="Arial"/>
        </w:rPr>
        <w:t xml:space="preserve"> es una regla técnica de regulación del recurso de apelación, como aplicación del principio de economía procesal, y cuyo contenido consiste en señalar que es procedente solo cuando así lo disponga una norma en forma expresa. </w:t>
      </w:r>
      <w:r w:rsidR="004A043E">
        <w:rPr>
          <w:rFonts w:ascii="Arial" w:hAnsi="Arial" w:cs="Arial"/>
        </w:rPr>
        <w:t xml:space="preserve">En el </w:t>
      </w:r>
      <w:proofErr w:type="spellStart"/>
      <w:r w:rsidRPr="00545527">
        <w:rPr>
          <w:rFonts w:ascii="Arial" w:hAnsi="Arial" w:cs="Arial"/>
        </w:rPr>
        <w:t>C</w:t>
      </w:r>
      <w:r w:rsidR="004A043E">
        <w:rPr>
          <w:rFonts w:ascii="Arial" w:hAnsi="Arial" w:cs="Arial"/>
        </w:rPr>
        <w:t>GP</w:t>
      </w:r>
      <w:proofErr w:type="spellEnd"/>
      <w:r w:rsidR="004A043E">
        <w:rPr>
          <w:rFonts w:ascii="Arial" w:hAnsi="Arial" w:cs="Arial"/>
        </w:rPr>
        <w:t xml:space="preserve"> (Tal como lo hacía el </w:t>
      </w:r>
      <w:proofErr w:type="spellStart"/>
      <w:r w:rsidR="004A043E">
        <w:rPr>
          <w:rFonts w:ascii="Arial" w:hAnsi="Arial" w:cs="Arial"/>
        </w:rPr>
        <w:t>CPC</w:t>
      </w:r>
      <w:proofErr w:type="spellEnd"/>
      <w:r w:rsidR="004A043E">
        <w:rPr>
          <w:rFonts w:ascii="Arial" w:hAnsi="Arial" w:cs="Arial"/>
        </w:rPr>
        <w:t>),</w:t>
      </w:r>
      <w:r w:rsidRPr="00545527">
        <w:rPr>
          <w:rFonts w:ascii="Arial" w:hAnsi="Arial" w:cs="Arial"/>
        </w:rPr>
        <w:t xml:space="preserve"> opera la mencionada regla de especificidad, tal como lo reconocen los autores nacionales</w:t>
      </w:r>
      <w:r w:rsidRPr="00545527">
        <w:rPr>
          <w:rStyle w:val="Refdenotaalpie"/>
          <w:rFonts w:ascii="Arial" w:hAnsi="Arial" w:cs="Arial"/>
          <w:szCs w:val="24"/>
        </w:rPr>
        <w:footnoteReference w:id="9"/>
      </w:r>
      <w:r w:rsidRPr="00545527">
        <w:rPr>
          <w:rFonts w:ascii="Arial" w:hAnsi="Arial" w:cs="Arial"/>
          <w:szCs w:val="24"/>
          <w:vertAlign w:val="superscript"/>
        </w:rPr>
        <w:t>-</w:t>
      </w:r>
      <w:r w:rsidRPr="00545527">
        <w:rPr>
          <w:rStyle w:val="Refdenotaalpie"/>
          <w:rFonts w:ascii="Arial" w:hAnsi="Arial" w:cs="Arial"/>
          <w:szCs w:val="24"/>
        </w:rPr>
        <w:footnoteReference w:id="10"/>
      </w:r>
      <w:r w:rsidRPr="00545527">
        <w:rPr>
          <w:rFonts w:ascii="Arial" w:hAnsi="Arial" w:cs="Arial"/>
          <w:szCs w:val="24"/>
          <w:vertAlign w:val="superscript"/>
        </w:rPr>
        <w:t>-</w:t>
      </w:r>
      <w:r w:rsidRPr="00545527">
        <w:rPr>
          <w:rStyle w:val="Refdenotaalpie"/>
          <w:rFonts w:ascii="Arial" w:hAnsi="Arial" w:cs="Arial"/>
          <w:szCs w:val="24"/>
        </w:rPr>
        <w:footnoteReference w:id="11"/>
      </w:r>
      <w:r w:rsidRPr="00545527">
        <w:rPr>
          <w:rFonts w:ascii="Arial" w:hAnsi="Arial" w:cs="Arial"/>
          <w:szCs w:val="24"/>
        </w:rPr>
        <w:t xml:space="preserve"> y la misma CSJ, Sala de Casación Civil</w:t>
      </w:r>
      <w:r w:rsidRPr="00545527">
        <w:rPr>
          <w:rFonts w:ascii="Arial" w:hAnsi="Arial"/>
          <w:vertAlign w:val="superscript"/>
        </w:rPr>
        <w:footnoteReference w:id="12"/>
      </w:r>
      <w:r w:rsidRPr="00545527">
        <w:rPr>
          <w:rFonts w:ascii="Arial" w:hAnsi="Arial" w:cs="Arial"/>
          <w:szCs w:val="24"/>
        </w:rPr>
        <w:t>.</w:t>
      </w:r>
      <w:r w:rsidR="00EC4BBA">
        <w:rPr>
          <w:rFonts w:ascii="Arial" w:hAnsi="Arial" w:cs="Arial"/>
          <w:szCs w:val="24"/>
        </w:rPr>
        <w:t xml:space="preserve"> </w:t>
      </w:r>
      <w:r w:rsidR="004A043E" w:rsidRPr="00FA7F1C">
        <w:rPr>
          <w:rFonts w:ascii="Arial" w:hAnsi="Arial" w:cs="Arial"/>
          <w:szCs w:val="24"/>
          <w:u w:val="single"/>
        </w:rPr>
        <w:t xml:space="preserve">Fue establecido así por </w:t>
      </w:r>
      <w:r w:rsidR="00EC4BBA" w:rsidRPr="00FA7F1C">
        <w:rPr>
          <w:rFonts w:ascii="Arial" w:hAnsi="Arial" w:cs="Arial"/>
          <w:szCs w:val="24"/>
          <w:u w:val="single"/>
        </w:rPr>
        <w:t xml:space="preserve">el </w:t>
      </w:r>
      <w:r w:rsidR="004A043E" w:rsidRPr="00FA7F1C">
        <w:rPr>
          <w:rFonts w:ascii="Arial" w:hAnsi="Arial" w:cs="Arial"/>
          <w:szCs w:val="24"/>
          <w:u w:val="single"/>
        </w:rPr>
        <w:t xml:space="preserve">artículo 321 del </w:t>
      </w:r>
      <w:proofErr w:type="spellStart"/>
      <w:r w:rsidR="004A043E" w:rsidRPr="00FA7F1C">
        <w:rPr>
          <w:rFonts w:ascii="Arial" w:hAnsi="Arial" w:cs="Arial"/>
          <w:szCs w:val="24"/>
          <w:u w:val="single"/>
        </w:rPr>
        <w:t>CGP</w:t>
      </w:r>
      <w:proofErr w:type="spellEnd"/>
      <w:r w:rsidR="003C771A" w:rsidRPr="00FA7F1C">
        <w:rPr>
          <w:rFonts w:ascii="Arial" w:hAnsi="Arial" w:cs="Arial"/>
          <w:szCs w:val="24"/>
          <w:u w:val="single"/>
          <w:lang w:val="es-MX"/>
        </w:rPr>
        <w:t>.</w:t>
      </w:r>
    </w:p>
    <w:p w:rsidR="005D1B31" w:rsidRPr="00D574B8" w:rsidRDefault="005D1B31" w:rsidP="00965470">
      <w:pPr>
        <w:pStyle w:val="Sinespaciado"/>
        <w:spacing w:line="360" w:lineRule="auto"/>
        <w:jc w:val="both"/>
        <w:rPr>
          <w:rFonts w:ascii="Arial" w:hAnsi="Arial" w:cs="Arial"/>
        </w:rPr>
      </w:pPr>
    </w:p>
    <w:p w:rsidR="00086869" w:rsidRDefault="003C771A" w:rsidP="00D5329C">
      <w:pPr>
        <w:pStyle w:val="Sinespaciado"/>
        <w:spacing w:line="360" w:lineRule="auto"/>
        <w:jc w:val="both"/>
        <w:rPr>
          <w:rFonts w:ascii="Arial" w:hAnsi="Arial" w:cs="Arial"/>
          <w:szCs w:val="24"/>
        </w:rPr>
      </w:pPr>
      <w:r>
        <w:rPr>
          <w:rFonts w:ascii="Arial" w:hAnsi="Arial" w:cs="Arial"/>
        </w:rPr>
        <w:t xml:space="preserve">Ahora, hecho </w:t>
      </w:r>
      <w:r w:rsidR="00BE4E53">
        <w:rPr>
          <w:rFonts w:ascii="Arial" w:hAnsi="Arial" w:cs="Arial"/>
        </w:rPr>
        <w:t xml:space="preserve">el examen preliminar </w:t>
      </w:r>
      <w:r w:rsidR="00BE4E53" w:rsidRPr="001F088A">
        <w:rPr>
          <w:rFonts w:ascii="Arial" w:hAnsi="Arial" w:cs="Arial"/>
          <w:szCs w:val="24"/>
        </w:rPr>
        <w:t>dispuesto por el artículo 3</w:t>
      </w:r>
      <w:r w:rsidR="005C434A">
        <w:rPr>
          <w:rFonts w:ascii="Arial" w:hAnsi="Arial" w:cs="Arial"/>
          <w:szCs w:val="24"/>
        </w:rPr>
        <w:t>25</w:t>
      </w:r>
      <w:r w:rsidR="00BE4E53" w:rsidRPr="001F088A">
        <w:rPr>
          <w:rFonts w:ascii="Arial" w:hAnsi="Arial" w:cs="Arial"/>
          <w:szCs w:val="24"/>
        </w:rPr>
        <w:t xml:space="preserve"> del </w:t>
      </w:r>
      <w:proofErr w:type="spellStart"/>
      <w:r w:rsidR="00BE4E53" w:rsidRPr="001F088A">
        <w:rPr>
          <w:rFonts w:ascii="Arial" w:hAnsi="Arial" w:cs="Arial"/>
          <w:szCs w:val="24"/>
        </w:rPr>
        <w:t>C</w:t>
      </w:r>
      <w:r w:rsidR="005C434A">
        <w:rPr>
          <w:rFonts w:ascii="Arial" w:hAnsi="Arial" w:cs="Arial"/>
          <w:szCs w:val="24"/>
        </w:rPr>
        <w:t>GP</w:t>
      </w:r>
      <w:proofErr w:type="spellEnd"/>
      <w:r w:rsidR="00BE4E53" w:rsidRPr="001F088A">
        <w:rPr>
          <w:rFonts w:ascii="Arial" w:hAnsi="Arial" w:cs="Arial"/>
          <w:szCs w:val="24"/>
        </w:rPr>
        <w:t xml:space="preserve">, </w:t>
      </w:r>
      <w:r w:rsidR="00086869">
        <w:rPr>
          <w:rFonts w:ascii="Arial" w:hAnsi="Arial" w:cs="Arial"/>
          <w:szCs w:val="24"/>
        </w:rPr>
        <w:t xml:space="preserve">con la respectiva remisión </w:t>
      </w:r>
      <w:r w:rsidR="009549E2">
        <w:rPr>
          <w:rFonts w:ascii="Arial" w:hAnsi="Arial" w:cs="Arial"/>
          <w:szCs w:val="24"/>
        </w:rPr>
        <w:t xml:space="preserve">a la Ley 1116 </w:t>
      </w:r>
      <w:r w:rsidR="00086869">
        <w:rPr>
          <w:rFonts w:ascii="Arial" w:hAnsi="Arial" w:cs="Arial"/>
          <w:szCs w:val="24"/>
        </w:rPr>
        <w:t xml:space="preserve">y el Decreto 1730 de 2009 (Reglamentario entre otros del artículo 84°), </w:t>
      </w:r>
      <w:r>
        <w:rPr>
          <w:rFonts w:ascii="Arial" w:hAnsi="Arial" w:cs="Arial"/>
          <w:szCs w:val="24"/>
        </w:rPr>
        <w:t xml:space="preserve">se advierte que la </w:t>
      </w:r>
      <w:r w:rsidR="00086869">
        <w:rPr>
          <w:rFonts w:ascii="Arial" w:hAnsi="Arial" w:cs="Arial"/>
          <w:szCs w:val="24"/>
        </w:rPr>
        <w:t xml:space="preserve">alzada formulada es improcedente por tratarse de </w:t>
      </w:r>
      <w:r>
        <w:rPr>
          <w:rFonts w:ascii="Arial" w:hAnsi="Arial" w:cs="Arial"/>
          <w:szCs w:val="24"/>
        </w:rPr>
        <w:t xml:space="preserve">aquella que </w:t>
      </w:r>
      <w:r w:rsidR="00086869">
        <w:rPr>
          <w:rFonts w:ascii="Arial" w:hAnsi="Arial" w:cs="Arial"/>
          <w:szCs w:val="24"/>
        </w:rPr>
        <w:t xml:space="preserve">deniega el trámite del proceso de validación judicial del acuerdo extrajudicial de reorganización. </w:t>
      </w:r>
    </w:p>
    <w:p w:rsidR="00086869" w:rsidRDefault="00086869" w:rsidP="00D5329C">
      <w:pPr>
        <w:pStyle w:val="Sinespaciado"/>
        <w:spacing w:line="360" w:lineRule="auto"/>
        <w:jc w:val="both"/>
        <w:rPr>
          <w:rFonts w:ascii="Arial" w:hAnsi="Arial" w:cs="Arial"/>
          <w:szCs w:val="24"/>
        </w:rPr>
      </w:pPr>
    </w:p>
    <w:p w:rsidR="00086869" w:rsidRDefault="00086869" w:rsidP="00D5329C">
      <w:pPr>
        <w:pStyle w:val="Sinespaciado"/>
        <w:spacing w:line="360" w:lineRule="auto"/>
        <w:jc w:val="both"/>
        <w:rPr>
          <w:rFonts w:ascii="Arial" w:hAnsi="Arial" w:cs="Arial"/>
          <w:szCs w:val="24"/>
        </w:rPr>
      </w:pPr>
      <w:r>
        <w:rPr>
          <w:rFonts w:ascii="Arial" w:hAnsi="Arial" w:cs="Arial"/>
          <w:szCs w:val="24"/>
        </w:rPr>
        <w:t xml:space="preserve">En efecto, </w:t>
      </w:r>
      <w:r w:rsidR="009951A3">
        <w:rPr>
          <w:rFonts w:ascii="Arial" w:hAnsi="Arial" w:cs="Arial"/>
          <w:szCs w:val="24"/>
        </w:rPr>
        <w:t xml:space="preserve">el artículo 84 de la referida Ley, consagra el procedimiento para esa validación y puntualiza que este trámite, no solo es competencia del juez que habría de conocer del proceso de reorganización sino que también seguirá las reglas de este, por lo tanto, al hacer la remisión a </w:t>
      </w:r>
      <w:r>
        <w:rPr>
          <w:rFonts w:ascii="Arial" w:hAnsi="Arial" w:cs="Arial"/>
          <w:szCs w:val="24"/>
        </w:rPr>
        <w:t>los artículos 6° y 18°</w:t>
      </w:r>
      <w:r w:rsidR="009951A3">
        <w:rPr>
          <w:rFonts w:ascii="Arial" w:hAnsi="Arial" w:cs="Arial"/>
          <w:szCs w:val="24"/>
        </w:rPr>
        <w:t xml:space="preserve"> que, </w:t>
      </w:r>
      <w:r>
        <w:rPr>
          <w:rFonts w:ascii="Arial" w:hAnsi="Arial" w:cs="Arial"/>
          <w:szCs w:val="24"/>
        </w:rPr>
        <w:t xml:space="preserve">establecen </w:t>
      </w:r>
      <w:r w:rsidR="009951A3">
        <w:rPr>
          <w:rFonts w:ascii="Arial" w:hAnsi="Arial" w:cs="Arial"/>
          <w:szCs w:val="24"/>
        </w:rPr>
        <w:t>los recurso</w:t>
      </w:r>
      <w:r w:rsidR="00EC4B0F">
        <w:rPr>
          <w:rFonts w:ascii="Arial" w:hAnsi="Arial" w:cs="Arial"/>
          <w:szCs w:val="24"/>
        </w:rPr>
        <w:t>s</w:t>
      </w:r>
      <w:r w:rsidR="009951A3">
        <w:rPr>
          <w:rFonts w:ascii="Arial" w:hAnsi="Arial" w:cs="Arial"/>
          <w:szCs w:val="24"/>
        </w:rPr>
        <w:t xml:space="preserve"> procedentes, se advierte que </w:t>
      </w:r>
      <w:r>
        <w:rPr>
          <w:rFonts w:ascii="Arial" w:hAnsi="Arial" w:cs="Arial"/>
          <w:szCs w:val="24"/>
        </w:rPr>
        <w:t xml:space="preserve">contra el auto que niegue la apertura del proceso de reorganización, solo </w:t>
      </w:r>
      <w:r w:rsidR="009951A3">
        <w:rPr>
          <w:rFonts w:ascii="Arial" w:hAnsi="Arial" w:cs="Arial"/>
          <w:szCs w:val="24"/>
        </w:rPr>
        <w:t xml:space="preserve">es </w:t>
      </w:r>
      <w:r w:rsidR="002D58EA">
        <w:rPr>
          <w:rFonts w:ascii="Arial" w:hAnsi="Arial" w:cs="Arial"/>
          <w:szCs w:val="24"/>
        </w:rPr>
        <w:t xml:space="preserve">viable </w:t>
      </w:r>
      <w:r>
        <w:rPr>
          <w:rFonts w:ascii="Arial" w:hAnsi="Arial" w:cs="Arial"/>
          <w:szCs w:val="24"/>
        </w:rPr>
        <w:t>el de reposición</w:t>
      </w:r>
      <w:r w:rsidR="009951A3">
        <w:rPr>
          <w:rFonts w:ascii="Arial" w:hAnsi="Arial" w:cs="Arial"/>
          <w:szCs w:val="24"/>
        </w:rPr>
        <w:t>, de a</w:t>
      </w:r>
      <w:r w:rsidR="002D58EA">
        <w:rPr>
          <w:rFonts w:ascii="Arial" w:hAnsi="Arial" w:cs="Arial"/>
          <w:szCs w:val="24"/>
        </w:rPr>
        <w:t>h</w:t>
      </w:r>
      <w:r w:rsidR="00EC4B0F">
        <w:rPr>
          <w:rFonts w:ascii="Arial" w:hAnsi="Arial" w:cs="Arial"/>
          <w:szCs w:val="24"/>
        </w:rPr>
        <w:t>í</w:t>
      </w:r>
      <w:r w:rsidR="002D58EA">
        <w:rPr>
          <w:rFonts w:ascii="Arial" w:hAnsi="Arial" w:cs="Arial"/>
          <w:szCs w:val="24"/>
        </w:rPr>
        <w:t xml:space="preserve"> su</w:t>
      </w:r>
      <w:r w:rsidR="009951A3">
        <w:rPr>
          <w:rFonts w:ascii="Arial" w:hAnsi="Arial" w:cs="Arial"/>
          <w:szCs w:val="24"/>
        </w:rPr>
        <w:t xml:space="preserve"> improcedencia. </w:t>
      </w:r>
    </w:p>
    <w:p w:rsidR="009951A3" w:rsidRDefault="009951A3" w:rsidP="00D5329C">
      <w:pPr>
        <w:pStyle w:val="Sinespaciado"/>
        <w:spacing w:line="360" w:lineRule="auto"/>
        <w:jc w:val="both"/>
        <w:rPr>
          <w:rFonts w:ascii="Arial" w:hAnsi="Arial" w:cs="Arial"/>
          <w:szCs w:val="24"/>
          <w:u w:val="single"/>
        </w:rPr>
      </w:pPr>
    </w:p>
    <w:p w:rsidR="00EC4B0F" w:rsidRDefault="00EC4B0F" w:rsidP="00D5329C">
      <w:pPr>
        <w:pStyle w:val="Sinespaciado"/>
        <w:spacing w:line="360" w:lineRule="auto"/>
        <w:jc w:val="both"/>
        <w:rPr>
          <w:rFonts w:ascii="Arial" w:hAnsi="Arial" w:cs="Arial"/>
          <w:szCs w:val="24"/>
        </w:rPr>
      </w:pPr>
      <w:r>
        <w:rPr>
          <w:rFonts w:ascii="Arial" w:hAnsi="Arial" w:cs="Arial"/>
          <w:szCs w:val="24"/>
        </w:rPr>
        <w:t xml:space="preserve">Es necesario mencionar que la jurisprudencia de la CSJ, </w:t>
      </w:r>
      <w:r w:rsidR="00CE69D3">
        <w:rPr>
          <w:rFonts w:ascii="Arial" w:hAnsi="Arial" w:cs="Arial"/>
          <w:szCs w:val="24"/>
        </w:rPr>
        <w:t>en una oportunidad y en sede de tutela, estimó que era admisible la impugnación</w:t>
      </w:r>
      <w:r w:rsidR="00CE69D3">
        <w:rPr>
          <w:rStyle w:val="Refdenotaalpie"/>
          <w:rFonts w:ascii="Arial" w:hAnsi="Arial"/>
          <w:szCs w:val="24"/>
        </w:rPr>
        <w:footnoteReference w:id="13"/>
      </w:r>
      <w:r w:rsidR="00CE69D3">
        <w:rPr>
          <w:rFonts w:ascii="Arial" w:hAnsi="Arial" w:cs="Arial"/>
          <w:szCs w:val="24"/>
        </w:rPr>
        <w:t xml:space="preserve">, pero </w:t>
      </w:r>
      <w:r>
        <w:rPr>
          <w:rFonts w:ascii="Arial" w:hAnsi="Arial" w:cs="Arial"/>
          <w:szCs w:val="24"/>
        </w:rPr>
        <w:t>recientemente (2016)</w:t>
      </w:r>
      <w:r>
        <w:rPr>
          <w:rStyle w:val="Refdenotaalpie"/>
          <w:rFonts w:ascii="Arial" w:hAnsi="Arial"/>
          <w:szCs w:val="24"/>
        </w:rPr>
        <w:footnoteReference w:id="14"/>
      </w:r>
      <w:r>
        <w:rPr>
          <w:rFonts w:ascii="Arial" w:hAnsi="Arial" w:cs="Arial"/>
          <w:szCs w:val="24"/>
          <w:vertAlign w:val="superscript"/>
        </w:rPr>
        <w:t>-</w:t>
      </w:r>
      <w:r>
        <w:rPr>
          <w:rStyle w:val="Refdenotaalpie"/>
          <w:rFonts w:ascii="Arial" w:hAnsi="Arial"/>
          <w:szCs w:val="24"/>
        </w:rPr>
        <w:footnoteReference w:id="15"/>
      </w:r>
      <w:r>
        <w:rPr>
          <w:rFonts w:ascii="Arial" w:hAnsi="Arial" w:cs="Arial"/>
          <w:szCs w:val="24"/>
        </w:rPr>
        <w:t xml:space="preserve"> se pronunció sobre esa improcedencia</w:t>
      </w:r>
      <w:r w:rsidR="00CE69D3">
        <w:rPr>
          <w:rFonts w:ascii="Arial" w:hAnsi="Arial" w:cs="Arial"/>
          <w:szCs w:val="24"/>
        </w:rPr>
        <w:t xml:space="preserve"> e indicó: </w:t>
      </w:r>
    </w:p>
    <w:p w:rsidR="00CE69D3" w:rsidRDefault="00CE69D3" w:rsidP="00D5329C">
      <w:pPr>
        <w:pStyle w:val="Sinespaciado"/>
        <w:spacing w:line="360" w:lineRule="auto"/>
        <w:jc w:val="both"/>
        <w:rPr>
          <w:rFonts w:ascii="Arial" w:hAnsi="Arial" w:cs="Arial"/>
          <w:szCs w:val="24"/>
        </w:rPr>
      </w:pPr>
    </w:p>
    <w:p w:rsidR="00CE69D3" w:rsidRPr="00CE69D3" w:rsidRDefault="00CE69D3" w:rsidP="00E81D28">
      <w:pPr>
        <w:pStyle w:val="NormalWeb"/>
        <w:spacing w:before="0" w:beforeAutospacing="0" w:after="0" w:afterAutospacing="0"/>
        <w:ind w:left="567" w:right="567"/>
        <w:jc w:val="both"/>
        <w:rPr>
          <w:rFonts w:ascii="Arial" w:hAnsi="Arial" w:cs="Arial"/>
          <w:spacing w:val="-10"/>
          <w:lang w:val="es-CO"/>
        </w:rPr>
      </w:pPr>
      <w:r w:rsidRPr="00E81D28">
        <w:rPr>
          <w:rFonts w:ascii="Arial" w:hAnsi="Arial" w:cs="Arial"/>
          <w:snapToGrid w:val="0"/>
          <w:spacing w:val="-10"/>
          <w:lang w:val="es-CO"/>
        </w:rPr>
        <w:t xml:space="preserve">5.- </w:t>
      </w:r>
      <w:r w:rsidRPr="00E81D28">
        <w:rPr>
          <w:rFonts w:ascii="Arial" w:hAnsi="Arial" w:cs="Arial"/>
          <w:smallCaps/>
          <w:snapToGrid w:val="0"/>
          <w:spacing w:val="-10"/>
          <w:lang w:val="es-CO"/>
        </w:rPr>
        <w:t>La incorrección en que cayó la corporación accionada aconteció por cuanto pasó por alto que conforme al ordenamiento jurídico, según lo tiene dicho el derecho pretoriano, el auto denegatorio de la iniciación del proceso de reorganización -en este evento de</w:t>
      </w:r>
      <w:r w:rsidRPr="00E81D28">
        <w:rPr>
          <w:rFonts w:ascii="Arial" w:hAnsi="Arial" w:cs="Arial"/>
          <w:smallCaps/>
          <w:spacing w:val="-10"/>
          <w:lang w:val="es-CO"/>
        </w:rPr>
        <w:t xml:space="preserve"> persona natural comerciante- es </w:t>
      </w:r>
      <w:r w:rsidRPr="00E81D28">
        <w:rPr>
          <w:rFonts w:ascii="Arial" w:hAnsi="Arial" w:cs="Arial"/>
          <w:smallCaps/>
          <w:snapToGrid w:val="0"/>
          <w:spacing w:val="-10"/>
          <w:lang w:val="es-CO"/>
        </w:rPr>
        <w:t xml:space="preserve">inapelable, </w:t>
      </w:r>
      <w:r w:rsidRPr="00E81D28">
        <w:rPr>
          <w:rFonts w:ascii="Arial" w:hAnsi="Arial" w:cs="Arial"/>
          <w:smallCaps/>
          <w:snapToGrid w:val="0"/>
          <w:spacing w:val="-10"/>
          <w:lang w:val="es-CO"/>
        </w:rPr>
        <w:lastRenderedPageBreak/>
        <w:t>conforme así lo regula el artículo 18 de la Ley 1116 de 2006</w:t>
      </w:r>
      <w:r w:rsidRPr="00E81D28">
        <w:rPr>
          <w:rFonts w:ascii="Arial" w:hAnsi="Arial" w:cs="Arial"/>
          <w:snapToGrid w:val="0"/>
          <w:spacing w:val="-10"/>
          <w:lang w:val="es-CO"/>
        </w:rPr>
        <w:t>, «</w:t>
      </w:r>
      <w:r w:rsidRPr="00E81D28">
        <w:rPr>
          <w:rFonts w:ascii="Arial" w:hAnsi="Arial" w:cs="Arial"/>
          <w:i/>
          <w:snapToGrid w:val="0"/>
          <w:spacing w:val="-10"/>
          <w:lang w:val="es-CO"/>
        </w:rPr>
        <w:t>[p]</w:t>
      </w:r>
      <w:proofErr w:type="spellStart"/>
      <w:r w:rsidRPr="00E81D28">
        <w:rPr>
          <w:rFonts w:ascii="Arial" w:hAnsi="Arial" w:cs="Arial"/>
          <w:i/>
          <w:snapToGrid w:val="0"/>
          <w:spacing w:val="-10"/>
          <w:lang w:val="es-CO"/>
        </w:rPr>
        <w:t>or</w:t>
      </w:r>
      <w:proofErr w:type="spellEnd"/>
      <w:r w:rsidRPr="00E81D28">
        <w:rPr>
          <w:rFonts w:ascii="Arial" w:hAnsi="Arial" w:cs="Arial"/>
          <w:i/>
          <w:snapToGrid w:val="0"/>
          <w:spacing w:val="-10"/>
          <w:lang w:val="es-CO"/>
        </w:rPr>
        <w:t xml:space="preserve"> la cual se establece el régimen de insolvencia empresarial en la República de Colombia y se dictan otras disposiciones</w:t>
      </w:r>
      <w:r w:rsidRPr="00E81D28">
        <w:rPr>
          <w:rFonts w:ascii="Arial" w:hAnsi="Arial" w:cs="Arial"/>
          <w:snapToGrid w:val="0"/>
          <w:spacing w:val="-10"/>
          <w:lang w:val="es-CO"/>
        </w:rPr>
        <w:t>», mismo que estable que «</w:t>
      </w:r>
      <w:r w:rsidRPr="00E81D28">
        <w:rPr>
          <w:rFonts w:ascii="Arial" w:hAnsi="Arial" w:cs="Arial"/>
          <w:i/>
          <w:snapToGrid w:val="0"/>
          <w:spacing w:val="-10"/>
          <w:lang w:val="es-CO"/>
        </w:rPr>
        <w:t>[e]</w:t>
      </w:r>
      <w:r w:rsidRPr="00E81D28">
        <w:rPr>
          <w:rFonts w:ascii="Arial" w:hAnsi="Arial" w:cs="Arial"/>
          <w:i/>
          <w:spacing w:val="-10"/>
          <w:lang w:val="es-CO"/>
        </w:rPr>
        <w:t xml:space="preserve">l proceso de reorganización comienza el día de expedición del auto de iniciación del proceso por parte del juez del concurso. La providencia que decrete la iniciación del proceso de reorganización no será susceptible de ningún recurso. </w:t>
      </w:r>
      <w:r w:rsidRPr="00E81D28">
        <w:rPr>
          <w:rFonts w:ascii="Arial" w:hAnsi="Arial" w:cs="Arial"/>
          <w:i/>
          <w:smallCaps/>
          <w:spacing w:val="-10"/>
          <w:lang w:val="es-CO"/>
        </w:rPr>
        <w:t xml:space="preserve">La que lo </w:t>
      </w:r>
      <w:r w:rsidRPr="00E81D28">
        <w:rPr>
          <w:rFonts w:ascii="Arial" w:hAnsi="Arial" w:cs="Arial"/>
          <w:i/>
          <w:smallCaps/>
          <w:spacing w:val="-10"/>
          <w:u w:val="single"/>
          <w:lang w:val="es-CO"/>
        </w:rPr>
        <w:t>niegue sólo será susceptible del recurso de reposición</w:t>
      </w:r>
      <w:r w:rsidRPr="00E81D28">
        <w:rPr>
          <w:rFonts w:ascii="Arial" w:hAnsi="Arial" w:cs="Arial"/>
          <w:i/>
          <w:smallCaps/>
          <w:spacing w:val="-10"/>
          <w:lang w:val="es-CO"/>
        </w:rPr>
        <w:t>,</w:t>
      </w:r>
      <w:r w:rsidRPr="00E81D28">
        <w:rPr>
          <w:rFonts w:ascii="Arial" w:hAnsi="Arial" w:cs="Arial"/>
          <w:i/>
          <w:spacing w:val="-10"/>
          <w:lang w:val="es-CO"/>
        </w:rPr>
        <w:t xml:space="preserve"> que podrá ser interpuesto por el deudor o el acreedor o acreedores solicitantes. Lo anterior sin perjuicio de lo establecido en el parágrafo primero del artículo</w:t>
      </w:r>
      <w:r w:rsidRPr="00E81D28">
        <w:rPr>
          <w:rStyle w:val="apple-converted-space"/>
          <w:rFonts w:ascii="Arial" w:eastAsia="Calibri" w:hAnsi="Arial" w:cs="Arial"/>
          <w:i/>
          <w:spacing w:val="-10"/>
          <w:lang w:val="es-CO"/>
        </w:rPr>
        <w:t xml:space="preserve"> 6º </w:t>
      </w:r>
      <w:r w:rsidRPr="00E81D28">
        <w:rPr>
          <w:rFonts w:ascii="Arial" w:hAnsi="Arial" w:cs="Arial"/>
          <w:i/>
          <w:spacing w:val="-10"/>
          <w:lang w:val="es-CO"/>
        </w:rPr>
        <w:t>de la presente ley</w:t>
      </w:r>
      <w:r w:rsidRPr="00E81D28">
        <w:rPr>
          <w:rFonts w:ascii="Arial" w:hAnsi="Arial" w:cs="Arial"/>
          <w:spacing w:val="-10"/>
          <w:lang w:val="es-CO"/>
        </w:rPr>
        <w:t>» (se destacó).</w:t>
      </w:r>
    </w:p>
    <w:p w:rsidR="00CE69D3" w:rsidRPr="00E81D28" w:rsidRDefault="00CE69D3" w:rsidP="00E81D28">
      <w:pPr>
        <w:pStyle w:val="NormalWeb"/>
        <w:spacing w:before="0" w:beforeAutospacing="0" w:after="0" w:afterAutospacing="0"/>
        <w:ind w:left="567" w:right="567"/>
        <w:jc w:val="both"/>
        <w:rPr>
          <w:rFonts w:ascii="Arial" w:hAnsi="Arial" w:cs="Arial"/>
          <w:smallCaps/>
          <w:spacing w:val="-10"/>
          <w:lang w:val="es-CO"/>
        </w:rPr>
      </w:pPr>
      <w:r w:rsidRPr="00E81D28">
        <w:rPr>
          <w:rFonts w:ascii="Arial" w:hAnsi="Arial" w:cs="Arial"/>
          <w:smallCaps/>
          <w:spacing w:val="-10"/>
          <w:lang w:val="es-CO"/>
        </w:rPr>
        <w:t xml:space="preserve">Por ende, al haberse pronunciado como </w:t>
      </w:r>
      <w:r w:rsidRPr="00E81D28">
        <w:rPr>
          <w:rFonts w:ascii="Arial" w:hAnsi="Arial" w:cs="Arial"/>
          <w:i/>
          <w:smallCaps/>
          <w:spacing w:val="-10"/>
          <w:lang w:val="es-CO"/>
        </w:rPr>
        <w:t xml:space="preserve">ad </w:t>
      </w:r>
      <w:proofErr w:type="spellStart"/>
      <w:r w:rsidRPr="00E81D28">
        <w:rPr>
          <w:rFonts w:ascii="Arial" w:hAnsi="Arial" w:cs="Arial"/>
          <w:i/>
          <w:smallCaps/>
          <w:spacing w:val="-10"/>
          <w:lang w:val="es-CO"/>
        </w:rPr>
        <w:t>quem</w:t>
      </w:r>
      <w:proofErr w:type="spellEnd"/>
      <w:r w:rsidRPr="00E81D28">
        <w:rPr>
          <w:rFonts w:ascii="Arial" w:hAnsi="Arial" w:cs="Arial"/>
          <w:smallCaps/>
          <w:spacing w:val="-10"/>
          <w:lang w:val="es-CO"/>
        </w:rPr>
        <w:t>, acerca del mentado proveído, se arrogó una atribución sin tener fundamento para lo propio en la ley, lo que depara un proceder caprichoso de su parte.</w:t>
      </w:r>
    </w:p>
    <w:p w:rsidR="00CE69D3" w:rsidRPr="00E81D28" w:rsidRDefault="00CE69D3" w:rsidP="00E81D28">
      <w:pPr>
        <w:pStyle w:val="Sangradetextonormal"/>
        <w:tabs>
          <w:tab w:val="left" w:pos="0"/>
        </w:tabs>
        <w:ind w:left="567" w:right="567"/>
        <w:rPr>
          <w:rFonts w:ascii="Arial" w:hAnsi="Arial" w:cs="Arial"/>
          <w:spacing w:val="-10"/>
          <w:sz w:val="24"/>
          <w:szCs w:val="24"/>
          <w:lang w:val="es-CO"/>
        </w:rPr>
      </w:pPr>
      <w:r w:rsidRPr="00E81D28">
        <w:rPr>
          <w:rFonts w:ascii="Arial" w:hAnsi="Arial" w:cs="Arial"/>
          <w:spacing w:val="-10"/>
          <w:sz w:val="24"/>
          <w:szCs w:val="24"/>
          <w:lang w:val="es-CO"/>
        </w:rPr>
        <w:t>5.1.- Acerca de la improcedencia del aludido medio impugnativo vertical en punto de la providencia de marras, esta Sala ha expresado:</w:t>
      </w:r>
    </w:p>
    <w:p w:rsidR="00CE69D3" w:rsidRPr="00E81D28" w:rsidRDefault="00CE69D3" w:rsidP="00E81D28">
      <w:pPr>
        <w:ind w:left="567" w:right="567"/>
        <w:jc w:val="both"/>
        <w:rPr>
          <w:rFonts w:ascii="Arial" w:hAnsi="Arial" w:cs="Arial"/>
          <w:spacing w:val="-10"/>
          <w:sz w:val="24"/>
          <w:szCs w:val="24"/>
          <w:lang w:val="es-CO"/>
        </w:rPr>
      </w:pPr>
      <w:r w:rsidRPr="00E81D28">
        <w:rPr>
          <w:rFonts w:ascii="Arial" w:hAnsi="Arial" w:cs="Arial"/>
          <w:spacing w:val="-10"/>
          <w:sz w:val="24"/>
          <w:szCs w:val="24"/>
          <w:lang w:val="es-CO"/>
        </w:rPr>
        <w:t xml:space="preserve">En CSJ STC6883-2016, 26 </w:t>
      </w:r>
      <w:proofErr w:type="spellStart"/>
      <w:r w:rsidRPr="00E81D28">
        <w:rPr>
          <w:rFonts w:ascii="Arial" w:hAnsi="Arial" w:cs="Arial"/>
          <w:spacing w:val="-10"/>
          <w:sz w:val="24"/>
          <w:szCs w:val="24"/>
          <w:lang w:val="es-CO"/>
        </w:rPr>
        <w:t>may</w:t>
      </w:r>
      <w:proofErr w:type="spellEnd"/>
      <w:r w:rsidRPr="00E81D28">
        <w:rPr>
          <w:rFonts w:ascii="Arial" w:hAnsi="Arial" w:cs="Arial"/>
          <w:spacing w:val="-10"/>
          <w:sz w:val="24"/>
          <w:szCs w:val="24"/>
          <w:lang w:val="es-CO"/>
        </w:rPr>
        <w:t xml:space="preserve">. 2016, rad. 2016-00054-01, adujo que </w:t>
      </w:r>
      <w:proofErr w:type="gramStart"/>
      <w:r w:rsidRPr="00E81D28">
        <w:rPr>
          <w:rFonts w:ascii="Arial" w:hAnsi="Arial" w:cs="Arial"/>
          <w:spacing w:val="-10"/>
          <w:sz w:val="24"/>
          <w:szCs w:val="24"/>
          <w:lang w:val="es-CO"/>
        </w:rPr>
        <w:t>«</w:t>
      </w:r>
      <w:r w:rsidRPr="00E81D28">
        <w:rPr>
          <w:rFonts w:ascii="Arial" w:hAnsi="Arial" w:cs="Arial"/>
          <w:i/>
          <w:spacing w:val="-10"/>
          <w:sz w:val="24"/>
          <w:szCs w:val="24"/>
          <w:lang w:val="es-CO"/>
        </w:rPr>
        <w:t>[</w:t>
      </w:r>
      <w:proofErr w:type="gramEnd"/>
      <w:r w:rsidRPr="00E81D28">
        <w:rPr>
          <w:rFonts w:ascii="Arial" w:hAnsi="Arial" w:cs="Arial"/>
          <w:i/>
          <w:spacing w:val="-10"/>
          <w:sz w:val="24"/>
          <w:szCs w:val="24"/>
          <w:lang w:val="es-CO"/>
        </w:rPr>
        <w:t>d]e manera liminar, debe precisarse que en el caso bajo estudio no procedía el recurso de apelación contra el proveído de rechazo del trámite de reorganización, como equivocadamente lo indicó el Tribunal constitucional de primera instancia, puesto que el inciso segundo del artículo 18 de la Ley 1116 de 2006, dispone que la providencia que niegue la iniciación del proceso de reorganización únicamente será susceptible de reposición</w:t>
      </w:r>
      <w:r w:rsidRPr="00E81D28">
        <w:rPr>
          <w:rFonts w:ascii="Arial" w:hAnsi="Arial" w:cs="Arial"/>
          <w:spacing w:val="-10"/>
          <w:sz w:val="24"/>
          <w:szCs w:val="24"/>
          <w:lang w:val="es-CO"/>
        </w:rPr>
        <w:t>».</w:t>
      </w:r>
      <w:r w:rsidR="00FB3A23">
        <w:rPr>
          <w:rStyle w:val="Refdenotaalpie"/>
          <w:rFonts w:ascii="Arial" w:hAnsi="Arial"/>
          <w:spacing w:val="-10"/>
          <w:sz w:val="24"/>
          <w:szCs w:val="24"/>
          <w:lang w:val="es-CO"/>
        </w:rPr>
        <w:footnoteReference w:id="16"/>
      </w:r>
      <w:r w:rsidRPr="00E81D28">
        <w:rPr>
          <w:rFonts w:ascii="Arial" w:hAnsi="Arial" w:cs="Arial"/>
          <w:spacing w:val="-10"/>
          <w:sz w:val="24"/>
          <w:szCs w:val="24"/>
          <w:lang w:val="es-CO"/>
        </w:rPr>
        <w:t xml:space="preserve"> </w:t>
      </w:r>
      <w:r w:rsidR="00FB3A23">
        <w:rPr>
          <w:rFonts w:ascii="Arial" w:hAnsi="Arial" w:cs="Arial"/>
          <w:spacing w:val="-10"/>
          <w:sz w:val="24"/>
          <w:szCs w:val="24"/>
          <w:lang w:val="es-CO"/>
        </w:rPr>
        <w:t>(Versalitas propias)</w:t>
      </w:r>
    </w:p>
    <w:p w:rsidR="00CE69D3" w:rsidRPr="00E81D28" w:rsidRDefault="00CE69D3" w:rsidP="002D58EA">
      <w:pPr>
        <w:spacing w:line="360" w:lineRule="auto"/>
        <w:ind w:left="567" w:right="567"/>
        <w:jc w:val="both"/>
        <w:rPr>
          <w:rFonts w:ascii="Arial" w:hAnsi="Arial" w:cs="Arial"/>
          <w:spacing w:val="-10"/>
          <w:sz w:val="24"/>
          <w:szCs w:val="24"/>
          <w:lang w:val="es-CO"/>
        </w:rPr>
      </w:pPr>
    </w:p>
    <w:p w:rsidR="002D58EA" w:rsidRPr="005C434A" w:rsidRDefault="002D58EA" w:rsidP="002D58EA">
      <w:pPr>
        <w:pStyle w:val="Sinespaciado"/>
        <w:spacing w:line="360" w:lineRule="auto"/>
        <w:jc w:val="both"/>
        <w:rPr>
          <w:rFonts w:ascii="Arial" w:hAnsi="Arial" w:cs="Arial"/>
          <w:szCs w:val="24"/>
        </w:rPr>
      </w:pPr>
      <w:r>
        <w:rPr>
          <w:rFonts w:ascii="Arial" w:hAnsi="Arial" w:cs="Arial"/>
        </w:rPr>
        <w:t xml:space="preserve">Así las cosas, dada la contundencia de la precitada jurisprudencia sobre la improcedencia de la alzada, no queda otro camino que declarar su inadmisión. Importa resaltar que </w:t>
      </w:r>
      <w:r w:rsidRPr="005C434A">
        <w:rPr>
          <w:rFonts w:ascii="Arial" w:hAnsi="Arial" w:cs="Arial"/>
        </w:rPr>
        <w:t>s</w:t>
      </w:r>
      <w:r w:rsidRPr="005C434A">
        <w:rPr>
          <w:rFonts w:ascii="Arial" w:hAnsi="Arial" w:cs="Arial"/>
          <w:szCs w:val="24"/>
        </w:rPr>
        <w:t>e aprecia falta de rigor y cuidado de la juzgadora de primer grado para controlar la legalidad de la concesión del recurso, sin parar mientes en que así genera dilaciones injustificadas que obstruyen la celeridad del trámite procedimental</w:t>
      </w:r>
      <w:r>
        <w:rPr>
          <w:rFonts w:ascii="Arial" w:hAnsi="Arial" w:cs="Arial"/>
          <w:szCs w:val="24"/>
        </w:rPr>
        <w:t xml:space="preserve">, pues la fundó en la mera enunciación del artículo 438 del </w:t>
      </w:r>
      <w:proofErr w:type="spellStart"/>
      <w:r>
        <w:rPr>
          <w:rFonts w:ascii="Arial" w:hAnsi="Arial" w:cs="Arial"/>
          <w:szCs w:val="24"/>
        </w:rPr>
        <w:t>CGP</w:t>
      </w:r>
      <w:proofErr w:type="spellEnd"/>
      <w:r>
        <w:rPr>
          <w:rFonts w:ascii="Arial" w:hAnsi="Arial" w:cs="Arial"/>
          <w:szCs w:val="24"/>
        </w:rPr>
        <w:t xml:space="preserve"> (Procesos ejecutivos), sin examinar su aplicabilidad al caso</w:t>
      </w:r>
      <w:r w:rsidRPr="005C434A">
        <w:rPr>
          <w:rFonts w:ascii="Arial" w:hAnsi="Arial" w:cs="Arial"/>
          <w:szCs w:val="24"/>
        </w:rPr>
        <w:t>.</w:t>
      </w:r>
    </w:p>
    <w:p w:rsidR="00575FFF" w:rsidRDefault="00575FFF" w:rsidP="00965470">
      <w:pPr>
        <w:pStyle w:val="Sinespaciado"/>
        <w:spacing w:line="360" w:lineRule="auto"/>
        <w:jc w:val="both"/>
        <w:rPr>
          <w:rFonts w:ascii="Arial" w:hAnsi="Arial" w:cs="Arial"/>
        </w:rPr>
      </w:pPr>
    </w:p>
    <w:p w:rsidR="001D1A4A" w:rsidRPr="0014171F" w:rsidRDefault="001D1A4A" w:rsidP="001D1A4A">
      <w:pPr>
        <w:pStyle w:val="Textopredeterminado"/>
        <w:numPr>
          <w:ilvl w:val="0"/>
          <w:numId w:val="3"/>
        </w:numPr>
        <w:spacing w:line="360" w:lineRule="auto"/>
        <w:jc w:val="both"/>
        <w:rPr>
          <w:rFonts w:ascii="Arial" w:hAnsi="Arial" w:cs="Arial"/>
          <w:szCs w:val="24"/>
        </w:rPr>
      </w:pPr>
      <w:r w:rsidRPr="0014171F">
        <w:rPr>
          <w:rFonts w:ascii="Arial" w:hAnsi="Arial" w:cs="Arial"/>
          <w:szCs w:val="24"/>
        </w:rPr>
        <w:t>LAS DECISIONES FINALES</w:t>
      </w:r>
    </w:p>
    <w:p w:rsidR="001D1A4A" w:rsidRPr="005D1B31" w:rsidRDefault="001D1A4A" w:rsidP="001D1A4A">
      <w:pPr>
        <w:pStyle w:val="Textoindependiente"/>
        <w:spacing w:line="360" w:lineRule="auto"/>
        <w:ind w:right="51"/>
        <w:rPr>
          <w:rFonts w:ascii="Arial" w:hAnsi="Arial"/>
          <w:sz w:val="20"/>
          <w:szCs w:val="22"/>
          <w:lang w:val="es-CO"/>
        </w:rPr>
      </w:pPr>
    </w:p>
    <w:p w:rsidR="001D1A4A" w:rsidRDefault="001D1A4A" w:rsidP="00575FFF">
      <w:pPr>
        <w:pStyle w:val="Textoindependiente"/>
        <w:spacing w:line="360" w:lineRule="auto"/>
        <w:rPr>
          <w:rFonts w:ascii="Arial" w:hAnsi="Arial" w:cs="Arial"/>
          <w:szCs w:val="24"/>
        </w:rPr>
      </w:pPr>
      <w:r w:rsidRPr="00575FFF">
        <w:rPr>
          <w:rFonts w:ascii="Arial" w:hAnsi="Arial"/>
          <w:szCs w:val="24"/>
          <w:lang w:val="es-CO"/>
        </w:rPr>
        <w:t xml:space="preserve">En armonía con las premisas expuestas, </w:t>
      </w:r>
      <w:r w:rsidRPr="00575FFF">
        <w:rPr>
          <w:rFonts w:ascii="Arial" w:hAnsi="Arial" w:cs="Arial"/>
          <w:szCs w:val="24"/>
        </w:rPr>
        <w:t xml:space="preserve">se declarará la inadmisibilidad del recurso de apelación contra la providencia que </w:t>
      </w:r>
      <w:r w:rsidR="00FB3A23">
        <w:rPr>
          <w:rFonts w:ascii="Arial" w:hAnsi="Arial" w:cs="Arial"/>
          <w:szCs w:val="24"/>
        </w:rPr>
        <w:t>la solicitud de inicio del proceso de reorganización</w:t>
      </w:r>
      <w:r w:rsidRPr="00575FFF">
        <w:rPr>
          <w:rFonts w:ascii="Arial" w:hAnsi="Arial" w:cs="Arial"/>
          <w:szCs w:val="24"/>
        </w:rPr>
        <w:t>, atendida su improcedencia, como atrás se dijera.</w:t>
      </w:r>
    </w:p>
    <w:p w:rsidR="00BC2E4F" w:rsidRPr="00575FFF" w:rsidRDefault="00BC2E4F" w:rsidP="00575FFF">
      <w:pPr>
        <w:pStyle w:val="Textoindependiente"/>
        <w:spacing w:line="360" w:lineRule="auto"/>
        <w:rPr>
          <w:rFonts w:ascii="Arial" w:hAnsi="Arial" w:cs="Arial"/>
          <w:szCs w:val="24"/>
        </w:rPr>
      </w:pPr>
    </w:p>
    <w:p w:rsidR="000F4FD9" w:rsidRDefault="000F4FD9" w:rsidP="00575FFF">
      <w:pPr>
        <w:autoSpaceDE w:val="0"/>
        <w:autoSpaceDN w:val="0"/>
        <w:adjustRightInd w:val="0"/>
        <w:spacing w:line="360" w:lineRule="auto"/>
        <w:jc w:val="both"/>
        <w:rPr>
          <w:rFonts w:ascii="Arial" w:hAnsi="Arial" w:cs="Arial"/>
          <w:sz w:val="24"/>
          <w:szCs w:val="24"/>
        </w:rPr>
      </w:pPr>
      <w:r w:rsidRPr="00575FFF">
        <w:rPr>
          <w:rFonts w:ascii="Arial" w:hAnsi="Arial" w:cs="Arial"/>
          <w:sz w:val="24"/>
          <w:szCs w:val="24"/>
        </w:rPr>
        <w:t xml:space="preserve">Considerando suficientes los argumentos expuestos en esta providencia, el </w:t>
      </w:r>
      <w:r w:rsidRPr="00575FFF">
        <w:rPr>
          <w:rFonts w:ascii="Arial" w:hAnsi="Arial" w:cs="Arial"/>
          <w:bCs/>
          <w:smallCaps/>
          <w:sz w:val="24"/>
          <w:szCs w:val="24"/>
        </w:rPr>
        <w:t xml:space="preserve">Tribunal Superior del Distrito Judicial de Pereira, en Sala </w:t>
      </w:r>
      <w:r w:rsidR="00FC0999" w:rsidRPr="00575FFF">
        <w:rPr>
          <w:rFonts w:ascii="Arial" w:hAnsi="Arial" w:cs="Arial"/>
          <w:bCs/>
          <w:smallCaps/>
          <w:sz w:val="24"/>
          <w:szCs w:val="24"/>
        </w:rPr>
        <w:t>Unitaria</w:t>
      </w:r>
      <w:r w:rsidRPr="00575FFF">
        <w:rPr>
          <w:rFonts w:ascii="Arial" w:hAnsi="Arial" w:cs="Arial"/>
          <w:sz w:val="24"/>
          <w:szCs w:val="24"/>
        </w:rPr>
        <w:t>,</w:t>
      </w:r>
    </w:p>
    <w:p w:rsidR="00575FFF" w:rsidRPr="002D58EA" w:rsidRDefault="00575FFF" w:rsidP="00575FFF">
      <w:pPr>
        <w:autoSpaceDE w:val="0"/>
        <w:autoSpaceDN w:val="0"/>
        <w:adjustRightInd w:val="0"/>
        <w:spacing w:line="360" w:lineRule="auto"/>
        <w:jc w:val="both"/>
        <w:rPr>
          <w:rFonts w:ascii="Arial" w:hAnsi="Arial" w:cs="Arial"/>
          <w:sz w:val="8"/>
          <w:szCs w:val="24"/>
          <w:lang w:val="es-ES_tradnl"/>
        </w:rPr>
      </w:pPr>
    </w:p>
    <w:p w:rsidR="000F4FD9" w:rsidRDefault="000F4FD9" w:rsidP="00310452">
      <w:pPr>
        <w:pStyle w:val="Sinespaciado"/>
        <w:spacing w:line="360" w:lineRule="auto"/>
        <w:jc w:val="center"/>
        <w:rPr>
          <w:rFonts w:ascii="Arial" w:hAnsi="Arial" w:cs="Arial"/>
          <w:sz w:val="20"/>
          <w:szCs w:val="22"/>
        </w:rPr>
      </w:pPr>
      <w:r w:rsidRPr="007C7FFE">
        <w:rPr>
          <w:rFonts w:ascii="Arial" w:hAnsi="Arial" w:cs="Arial"/>
          <w:szCs w:val="22"/>
        </w:rPr>
        <w:t>R</w:t>
      </w:r>
      <w:r w:rsidRPr="001D1A8E">
        <w:rPr>
          <w:rFonts w:ascii="Arial" w:hAnsi="Arial" w:cs="Arial"/>
          <w:sz w:val="22"/>
          <w:szCs w:val="22"/>
        </w:rPr>
        <w:t xml:space="preserve"> </w:t>
      </w:r>
      <w:r w:rsidRPr="007C7FFE">
        <w:rPr>
          <w:rFonts w:ascii="Arial" w:hAnsi="Arial" w:cs="Arial"/>
          <w:sz w:val="20"/>
          <w:szCs w:val="22"/>
        </w:rPr>
        <w:t>E S U E L V E,</w:t>
      </w:r>
    </w:p>
    <w:p w:rsidR="000F4FD9" w:rsidRPr="00D25B7E" w:rsidRDefault="000F4FD9" w:rsidP="00310452">
      <w:pPr>
        <w:pStyle w:val="Sinespaciado"/>
        <w:spacing w:line="360" w:lineRule="auto"/>
        <w:jc w:val="center"/>
        <w:rPr>
          <w:rFonts w:ascii="Arial" w:hAnsi="Arial" w:cs="Arial"/>
          <w:sz w:val="16"/>
          <w:szCs w:val="24"/>
        </w:rPr>
      </w:pPr>
    </w:p>
    <w:p w:rsidR="000F4FD9" w:rsidRPr="0021526B" w:rsidRDefault="000F4FD9" w:rsidP="00310452">
      <w:pPr>
        <w:pStyle w:val="Textopredeterminado"/>
        <w:numPr>
          <w:ilvl w:val="0"/>
          <w:numId w:val="2"/>
        </w:numPr>
        <w:spacing w:line="360" w:lineRule="auto"/>
        <w:jc w:val="both"/>
        <w:rPr>
          <w:rFonts w:ascii="Arial" w:hAnsi="Arial" w:cs="Arial"/>
          <w:szCs w:val="24"/>
        </w:rPr>
      </w:pPr>
      <w:r w:rsidRPr="0021526B">
        <w:rPr>
          <w:rFonts w:ascii="Arial" w:hAnsi="Arial" w:cs="Arial"/>
          <w:szCs w:val="24"/>
        </w:rPr>
        <w:t xml:space="preserve">DECLARAR inadmisible el recurso de apelación formulado </w:t>
      </w:r>
      <w:r w:rsidR="00504903" w:rsidRPr="0021526B">
        <w:rPr>
          <w:rFonts w:ascii="Arial" w:hAnsi="Arial" w:cs="Arial"/>
          <w:szCs w:val="24"/>
        </w:rPr>
        <w:t>c</w:t>
      </w:r>
      <w:r w:rsidRPr="0021526B">
        <w:rPr>
          <w:rFonts w:ascii="Arial" w:hAnsi="Arial" w:cs="Arial"/>
          <w:szCs w:val="24"/>
        </w:rPr>
        <w:t xml:space="preserve">ontra </w:t>
      </w:r>
      <w:r w:rsidR="008B5602" w:rsidRPr="0021526B">
        <w:rPr>
          <w:rFonts w:ascii="Arial" w:hAnsi="Arial" w:cs="Arial"/>
          <w:szCs w:val="24"/>
        </w:rPr>
        <w:t xml:space="preserve">el auto del </w:t>
      </w:r>
      <w:r w:rsidR="00FA7F1C">
        <w:rPr>
          <w:rFonts w:ascii="Arial" w:hAnsi="Arial" w:cs="Arial"/>
          <w:szCs w:val="24"/>
        </w:rPr>
        <w:t>2</w:t>
      </w:r>
      <w:r w:rsidR="00FB3A23">
        <w:rPr>
          <w:rFonts w:ascii="Arial" w:hAnsi="Arial" w:cs="Arial"/>
          <w:szCs w:val="24"/>
        </w:rPr>
        <w:t>5-08</w:t>
      </w:r>
      <w:r w:rsidR="00FA7F1C">
        <w:rPr>
          <w:rFonts w:ascii="Arial" w:hAnsi="Arial" w:cs="Arial"/>
          <w:szCs w:val="24"/>
        </w:rPr>
        <w:t>-2016</w:t>
      </w:r>
      <w:r w:rsidRPr="0021526B">
        <w:rPr>
          <w:rFonts w:ascii="Arial" w:hAnsi="Arial" w:cs="Arial"/>
          <w:szCs w:val="24"/>
        </w:rPr>
        <w:t xml:space="preserve">, por falta de </w:t>
      </w:r>
      <w:r w:rsidR="00276AAF" w:rsidRPr="0021526B">
        <w:rPr>
          <w:rFonts w:ascii="Arial" w:hAnsi="Arial" w:cs="Arial"/>
          <w:szCs w:val="24"/>
        </w:rPr>
        <w:t>procedencia</w:t>
      </w:r>
      <w:r w:rsidRPr="0021526B">
        <w:rPr>
          <w:rFonts w:ascii="Arial" w:hAnsi="Arial" w:cs="Arial"/>
          <w:szCs w:val="24"/>
        </w:rPr>
        <w:t>.</w:t>
      </w:r>
    </w:p>
    <w:p w:rsidR="00CF2413" w:rsidRPr="00D25B7E" w:rsidRDefault="00CF2413" w:rsidP="00CF2413">
      <w:pPr>
        <w:pStyle w:val="Textopredeterminado"/>
        <w:spacing w:line="360" w:lineRule="auto"/>
        <w:ind w:left="360"/>
        <w:jc w:val="both"/>
        <w:rPr>
          <w:rFonts w:ascii="Arial" w:hAnsi="Arial" w:cs="Arial"/>
          <w:sz w:val="18"/>
          <w:szCs w:val="24"/>
        </w:rPr>
      </w:pPr>
    </w:p>
    <w:p w:rsidR="000F4FD9" w:rsidRPr="0021526B" w:rsidRDefault="000F4FD9" w:rsidP="00504903">
      <w:pPr>
        <w:pStyle w:val="Textopredeterminado"/>
        <w:numPr>
          <w:ilvl w:val="0"/>
          <w:numId w:val="2"/>
        </w:numPr>
        <w:spacing w:line="360" w:lineRule="auto"/>
        <w:jc w:val="both"/>
        <w:rPr>
          <w:rFonts w:ascii="Arial" w:hAnsi="Arial" w:cs="Arial"/>
          <w:szCs w:val="24"/>
        </w:rPr>
      </w:pPr>
      <w:r w:rsidRPr="0021526B">
        <w:rPr>
          <w:rFonts w:ascii="Arial" w:hAnsi="Arial" w:cs="Arial"/>
          <w:szCs w:val="24"/>
        </w:rPr>
        <w:t xml:space="preserve">DEVOLVER el expediente al Juzgado </w:t>
      </w:r>
      <w:r w:rsidR="00FB3A23">
        <w:rPr>
          <w:rFonts w:ascii="Arial" w:hAnsi="Arial" w:cs="Arial"/>
          <w:szCs w:val="24"/>
        </w:rPr>
        <w:t xml:space="preserve">Tercero </w:t>
      </w:r>
      <w:r w:rsidR="000B0522" w:rsidRPr="0021526B">
        <w:rPr>
          <w:rFonts w:ascii="Arial" w:hAnsi="Arial" w:cs="Arial"/>
          <w:szCs w:val="24"/>
        </w:rPr>
        <w:t xml:space="preserve">Civil </w:t>
      </w:r>
      <w:r w:rsidR="00504903" w:rsidRPr="0021526B">
        <w:rPr>
          <w:rFonts w:ascii="Arial" w:hAnsi="Arial" w:cs="Arial"/>
          <w:szCs w:val="24"/>
        </w:rPr>
        <w:t xml:space="preserve">del Circuito de </w:t>
      </w:r>
      <w:r w:rsidR="00FB3A23">
        <w:rPr>
          <w:rFonts w:ascii="Arial" w:hAnsi="Arial" w:cs="Arial"/>
          <w:szCs w:val="24"/>
        </w:rPr>
        <w:t>esta ciudad</w:t>
      </w:r>
      <w:r w:rsidRPr="0021526B">
        <w:rPr>
          <w:rFonts w:ascii="Arial" w:hAnsi="Arial" w:cs="Arial"/>
          <w:szCs w:val="24"/>
        </w:rPr>
        <w:t>.</w:t>
      </w:r>
    </w:p>
    <w:p w:rsidR="0049796A" w:rsidRPr="00D25B7E" w:rsidRDefault="0049796A" w:rsidP="00D25B7E">
      <w:pPr>
        <w:pStyle w:val="Textopredeterminado"/>
        <w:spacing w:line="360" w:lineRule="auto"/>
        <w:ind w:left="360"/>
        <w:jc w:val="both"/>
        <w:rPr>
          <w:rFonts w:ascii="Arial" w:hAnsi="Arial" w:cs="Arial"/>
          <w:sz w:val="18"/>
          <w:szCs w:val="24"/>
        </w:rPr>
      </w:pPr>
    </w:p>
    <w:p w:rsidR="00BC2E4F" w:rsidRPr="00BC2E4F" w:rsidRDefault="00BC2E4F" w:rsidP="00BC2E4F">
      <w:pPr>
        <w:pStyle w:val="Textopredeterminado"/>
        <w:numPr>
          <w:ilvl w:val="0"/>
          <w:numId w:val="2"/>
        </w:numPr>
        <w:spacing w:line="360" w:lineRule="auto"/>
        <w:jc w:val="both"/>
        <w:rPr>
          <w:rFonts w:ascii="Arial" w:hAnsi="Arial" w:cs="Arial"/>
          <w:szCs w:val="24"/>
        </w:rPr>
      </w:pPr>
      <w:r w:rsidRPr="00BC2E4F">
        <w:rPr>
          <w:rFonts w:ascii="Arial" w:hAnsi="Arial" w:cs="Arial"/>
          <w:szCs w:val="24"/>
        </w:rPr>
        <w:lastRenderedPageBreak/>
        <w:t>ADVERTIR que contra esta providencia no procede recurso alguno.</w:t>
      </w:r>
    </w:p>
    <w:p w:rsidR="00BC2E4F" w:rsidRPr="00D25B7E" w:rsidRDefault="00BC2E4F" w:rsidP="00D25B7E">
      <w:pPr>
        <w:pStyle w:val="Textopredeterminado"/>
        <w:spacing w:line="360" w:lineRule="auto"/>
        <w:ind w:left="360"/>
        <w:jc w:val="both"/>
        <w:rPr>
          <w:rFonts w:ascii="Arial" w:hAnsi="Arial" w:cs="Arial"/>
          <w:sz w:val="18"/>
          <w:szCs w:val="24"/>
        </w:rPr>
      </w:pPr>
    </w:p>
    <w:p w:rsidR="000F4FD9" w:rsidRPr="00D91BEB" w:rsidRDefault="000F4FD9" w:rsidP="00310452">
      <w:pPr>
        <w:pStyle w:val="Textopredeterminado"/>
        <w:spacing w:line="360" w:lineRule="auto"/>
        <w:jc w:val="center"/>
        <w:rPr>
          <w:rFonts w:ascii="Arial" w:hAnsi="Arial" w:cs="Arial"/>
          <w:szCs w:val="24"/>
          <w:lang w:val="en-US"/>
        </w:rPr>
      </w:pPr>
      <w:proofErr w:type="spellStart"/>
      <w:r w:rsidRPr="00577894">
        <w:rPr>
          <w:rFonts w:ascii="Arial" w:hAnsi="Arial" w:cs="Arial"/>
          <w:smallCaps/>
          <w:szCs w:val="24"/>
          <w:lang w:val="en-US"/>
        </w:rPr>
        <w:t>Notifíquese</w:t>
      </w:r>
      <w:proofErr w:type="spellEnd"/>
      <w:r w:rsidRPr="00577894">
        <w:rPr>
          <w:rFonts w:ascii="Arial" w:hAnsi="Arial" w:cs="Arial"/>
          <w:smallCaps/>
          <w:szCs w:val="24"/>
          <w:lang w:val="en-US"/>
        </w:rPr>
        <w:t>,</w:t>
      </w:r>
    </w:p>
    <w:p w:rsidR="000F4FD9" w:rsidRDefault="000F4FD9" w:rsidP="002E11FF">
      <w:pPr>
        <w:pStyle w:val="Sinespaciado"/>
        <w:spacing w:line="360" w:lineRule="auto"/>
        <w:jc w:val="center"/>
        <w:rPr>
          <w:rFonts w:ascii="Arial" w:hAnsi="Arial" w:cs="Arial"/>
          <w:spacing w:val="20"/>
          <w:w w:val="150"/>
          <w:lang w:val="en-US"/>
        </w:rPr>
      </w:pPr>
    </w:p>
    <w:p w:rsidR="0021526B" w:rsidRDefault="0021526B" w:rsidP="00310452">
      <w:pPr>
        <w:pStyle w:val="Textopredeterminado"/>
        <w:spacing w:line="360" w:lineRule="auto"/>
        <w:jc w:val="center"/>
        <w:rPr>
          <w:rFonts w:ascii="Arial" w:hAnsi="Arial" w:cs="Arial"/>
          <w:caps/>
          <w:spacing w:val="20"/>
          <w:w w:val="150"/>
          <w:lang w:val="en-US"/>
        </w:rPr>
      </w:pPr>
    </w:p>
    <w:p w:rsidR="000F4FD9" w:rsidRPr="00D91BEB" w:rsidRDefault="000F4FD9" w:rsidP="00310452">
      <w:pPr>
        <w:pStyle w:val="Textopredeterminado"/>
        <w:spacing w:line="360" w:lineRule="auto"/>
        <w:jc w:val="center"/>
        <w:rPr>
          <w:rFonts w:ascii="Arial" w:hAnsi="Arial" w:cs="Arial"/>
          <w:caps/>
          <w:spacing w:val="20"/>
          <w:w w:val="150"/>
          <w:sz w:val="20"/>
          <w:lang w:val="en-US"/>
        </w:rPr>
      </w:pPr>
      <w:r w:rsidRPr="00D91BEB">
        <w:rPr>
          <w:rFonts w:ascii="Arial" w:hAnsi="Arial" w:cs="Arial"/>
          <w:caps/>
          <w:spacing w:val="20"/>
          <w:w w:val="150"/>
          <w:lang w:val="en-US"/>
        </w:rPr>
        <w:t xml:space="preserve"> </w:t>
      </w:r>
      <w:proofErr w:type="spellStart"/>
      <w:r w:rsidRPr="00D91BEB">
        <w:rPr>
          <w:rFonts w:ascii="Arial" w:hAnsi="Arial" w:cs="Arial"/>
          <w:caps/>
          <w:spacing w:val="20"/>
          <w:w w:val="150"/>
          <w:lang w:val="en-US"/>
        </w:rPr>
        <w:t>D</w:t>
      </w:r>
      <w:r w:rsidRPr="00D91BEB">
        <w:rPr>
          <w:rFonts w:ascii="Arial" w:hAnsi="Arial" w:cs="Arial"/>
          <w:caps/>
          <w:spacing w:val="20"/>
          <w:w w:val="150"/>
          <w:sz w:val="16"/>
          <w:lang w:val="en-US"/>
        </w:rPr>
        <w:t>UBERNEY</w:t>
      </w:r>
      <w:proofErr w:type="spellEnd"/>
      <w:r w:rsidRPr="00D91BEB">
        <w:rPr>
          <w:rFonts w:ascii="Arial" w:hAnsi="Arial" w:cs="Arial"/>
          <w:caps/>
          <w:spacing w:val="20"/>
          <w:w w:val="150"/>
          <w:sz w:val="16"/>
          <w:lang w:val="en-US"/>
        </w:rPr>
        <w:t xml:space="preserve"> </w:t>
      </w:r>
      <w:proofErr w:type="spellStart"/>
      <w:r w:rsidRPr="00D91BEB">
        <w:rPr>
          <w:rFonts w:ascii="Arial" w:hAnsi="Arial" w:cs="Arial"/>
          <w:caps/>
          <w:spacing w:val="20"/>
          <w:w w:val="150"/>
          <w:lang w:val="en-US"/>
        </w:rPr>
        <w:t>G</w:t>
      </w:r>
      <w:r w:rsidRPr="00D91BEB">
        <w:rPr>
          <w:rFonts w:ascii="Arial" w:hAnsi="Arial" w:cs="Arial"/>
          <w:caps/>
          <w:spacing w:val="20"/>
          <w:w w:val="150"/>
          <w:sz w:val="16"/>
          <w:lang w:val="en-US"/>
        </w:rPr>
        <w:t>RISALES</w:t>
      </w:r>
      <w:proofErr w:type="spellEnd"/>
      <w:r w:rsidRPr="00D91BEB">
        <w:rPr>
          <w:rFonts w:ascii="Arial" w:hAnsi="Arial" w:cs="Arial"/>
          <w:caps/>
          <w:spacing w:val="20"/>
          <w:w w:val="150"/>
          <w:sz w:val="16"/>
          <w:lang w:val="en-US"/>
        </w:rPr>
        <w:t xml:space="preserve"> </w:t>
      </w:r>
      <w:r w:rsidRPr="00D91BEB">
        <w:rPr>
          <w:rFonts w:ascii="Arial" w:hAnsi="Arial" w:cs="Arial"/>
          <w:caps/>
          <w:spacing w:val="20"/>
          <w:w w:val="150"/>
          <w:lang w:val="en-US"/>
        </w:rPr>
        <w:t>H</w:t>
      </w:r>
      <w:r w:rsidRPr="00D91BEB">
        <w:rPr>
          <w:rFonts w:ascii="Arial" w:hAnsi="Arial" w:cs="Arial"/>
          <w:caps/>
          <w:spacing w:val="20"/>
          <w:w w:val="150"/>
          <w:sz w:val="16"/>
          <w:lang w:val="en-US"/>
        </w:rPr>
        <w:t>ERRERA</w:t>
      </w:r>
    </w:p>
    <w:p w:rsidR="00504903" w:rsidRDefault="00D25B7E" w:rsidP="00F76CAD">
      <w:pPr>
        <w:spacing w:line="360" w:lineRule="auto"/>
        <w:jc w:val="center"/>
        <w:rPr>
          <w:rFonts w:ascii="Arial" w:hAnsi="Arial" w:cs="Arial"/>
          <w:sz w:val="12"/>
          <w:szCs w:val="12"/>
          <w:lang w:val="en-US"/>
        </w:rPr>
      </w:pPr>
      <w:r w:rsidRPr="006A1BB2">
        <w:rPr>
          <w:noProof/>
        </w:rPr>
        <mc:AlternateContent>
          <mc:Choice Requires="wps">
            <w:drawing>
              <wp:anchor distT="0" distB="0" distL="114300" distR="114300" simplePos="0" relativeHeight="251660288" behindDoc="0" locked="0" layoutInCell="1" allowOverlap="1" wp14:anchorId="70DC899D" wp14:editId="57983F20">
                <wp:simplePos x="0" y="0"/>
                <wp:positionH relativeFrom="margin">
                  <wp:posOffset>2910205</wp:posOffset>
                </wp:positionH>
                <wp:positionV relativeFrom="paragraph">
                  <wp:posOffset>133985</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proofErr w:type="spellStart"/>
                            <w:r w:rsidRPr="0069377F">
                              <w:rPr>
                                <w:rFonts w:ascii="Kalinga" w:hAnsi="Kalinga" w:cs="Kalinga"/>
                                <w:color w:val="000000"/>
                                <w:szCs w:val="22"/>
                              </w:rPr>
                              <w:t>JAÍR</w:t>
                            </w:r>
                            <w:proofErr w:type="spellEnd"/>
                            <w:r w:rsidRPr="0069377F">
                              <w:rPr>
                                <w:rFonts w:ascii="Kalinga" w:hAnsi="Kalinga" w:cs="Kalinga"/>
                                <w:color w:val="000000"/>
                                <w:szCs w:val="22"/>
                              </w:rPr>
                              <w:t xml:space="preserve"> DE JESÚS HENAO MOLINA</w:t>
                            </w:r>
                          </w:p>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C899D" id="Rectangle 7" o:spid="_x0000_s1026" style="position:absolute;left:0;text-align:left;margin-left:229.15pt;margin-top:10.55pt;width:198.55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" strokeweight="2.25pt">
                <v:stroke linestyle="thickThin"/>
                <v:textbox>
                  <w:txbxContent>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proofErr w:type="spellStart"/>
                      <w:r w:rsidRPr="0069377F">
                        <w:rPr>
                          <w:rFonts w:ascii="Kalinga" w:hAnsi="Kalinga" w:cs="Kalinga"/>
                          <w:color w:val="000000"/>
                          <w:szCs w:val="22"/>
                        </w:rPr>
                        <w:t>JAÍR</w:t>
                      </w:r>
                      <w:proofErr w:type="spellEnd"/>
                      <w:r w:rsidRPr="0069377F">
                        <w:rPr>
                          <w:rFonts w:ascii="Kalinga" w:hAnsi="Kalinga" w:cs="Kalinga"/>
                          <w:color w:val="000000"/>
                          <w:szCs w:val="22"/>
                        </w:rPr>
                        <w:t xml:space="preserve"> DE JESÚS HENAO MOLINA</w:t>
                      </w:r>
                    </w:p>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v:textbox>
                <w10:wrap anchorx="margin"/>
              </v:rect>
            </w:pict>
          </mc:Fallback>
        </mc:AlternateContent>
      </w:r>
      <w:r w:rsidR="000F4FD9" w:rsidRPr="00F10094">
        <w:rPr>
          <w:rFonts w:ascii="Arial" w:hAnsi="Arial" w:cs="Arial"/>
          <w:caps/>
          <w:spacing w:val="20"/>
          <w:w w:val="150"/>
          <w:lang w:val="en-US"/>
        </w:rPr>
        <w:t xml:space="preserve">M </w:t>
      </w:r>
      <w:r w:rsidR="000F4FD9" w:rsidRPr="00F10094">
        <w:rPr>
          <w:rFonts w:ascii="Arial" w:hAnsi="Arial" w:cs="Arial"/>
          <w:caps/>
          <w:spacing w:val="20"/>
          <w:w w:val="150"/>
          <w:sz w:val="16"/>
          <w:lang w:val="en-US"/>
        </w:rPr>
        <w:t>A G I S T R A D O</w:t>
      </w:r>
      <w:r w:rsidR="00F76CAD">
        <w:rPr>
          <w:rFonts w:ascii="Arial" w:hAnsi="Arial" w:cs="Arial"/>
          <w:caps/>
          <w:spacing w:val="20"/>
          <w:w w:val="150"/>
          <w:sz w:val="16"/>
          <w:lang w:val="en-US"/>
        </w:rPr>
        <w:t xml:space="preserve"> </w:t>
      </w:r>
    </w:p>
    <w:p w:rsidR="00B7680C" w:rsidRDefault="00B7680C" w:rsidP="00B7680C">
      <w:pPr>
        <w:pStyle w:val="Sinespaciado"/>
        <w:spacing w:line="360" w:lineRule="auto"/>
        <w:jc w:val="right"/>
        <w:rPr>
          <w:rFonts w:ascii="Arial" w:hAnsi="Arial" w:cs="Arial"/>
          <w:spacing w:val="20"/>
          <w:w w:val="150"/>
          <w:lang w:val="en-US"/>
        </w:rPr>
      </w:pPr>
      <w:proofErr w:type="spellStart"/>
      <w:r w:rsidRPr="00F10094">
        <w:rPr>
          <w:rFonts w:ascii="Arial" w:hAnsi="Arial" w:cs="Arial"/>
          <w:sz w:val="12"/>
          <w:szCs w:val="12"/>
          <w:lang w:val="en-US"/>
        </w:rPr>
        <w:t>DGH</w:t>
      </w:r>
      <w:proofErr w:type="spellEnd"/>
      <w:r w:rsidRPr="00F10094">
        <w:rPr>
          <w:rFonts w:ascii="Arial" w:hAnsi="Arial" w:cs="Arial"/>
          <w:sz w:val="12"/>
          <w:szCs w:val="12"/>
          <w:lang w:val="en-US"/>
        </w:rPr>
        <w:t xml:space="preserve"> /</w:t>
      </w:r>
      <w:proofErr w:type="spellStart"/>
      <w:r>
        <w:rPr>
          <w:rFonts w:ascii="Arial" w:hAnsi="Arial" w:cs="Arial"/>
          <w:sz w:val="12"/>
          <w:szCs w:val="12"/>
          <w:lang w:val="en-US"/>
        </w:rPr>
        <w:t>DGD</w:t>
      </w:r>
      <w:proofErr w:type="spellEnd"/>
      <w:r>
        <w:rPr>
          <w:rFonts w:ascii="Arial" w:hAnsi="Arial" w:cs="Arial"/>
          <w:sz w:val="12"/>
          <w:szCs w:val="12"/>
          <w:lang w:val="en-US"/>
        </w:rPr>
        <w:t>/</w:t>
      </w:r>
      <w:r w:rsidRPr="00F10094">
        <w:rPr>
          <w:rFonts w:ascii="Arial" w:hAnsi="Arial" w:cs="Arial"/>
          <w:sz w:val="12"/>
          <w:szCs w:val="12"/>
          <w:lang w:val="en-US"/>
        </w:rPr>
        <w:t xml:space="preserve"> 201</w:t>
      </w:r>
      <w:r w:rsidR="005E4061">
        <w:rPr>
          <w:rFonts w:ascii="Arial" w:hAnsi="Arial" w:cs="Arial"/>
          <w:sz w:val="12"/>
          <w:szCs w:val="12"/>
          <w:lang w:val="en-US"/>
        </w:rPr>
        <w:t>6</w:t>
      </w:r>
    </w:p>
    <w:p w:rsidR="000F4FD9" w:rsidRDefault="000F4FD9" w:rsidP="00147B6F">
      <w:pPr>
        <w:pStyle w:val="Sinespaciado"/>
        <w:spacing w:line="360" w:lineRule="auto"/>
        <w:ind w:firstLine="708"/>
        <w:jc w:val="right"/>
        <w:rPr>
          <w:rFonts w:ascii="Arial" w:hAnsi="Arial" w:cs="Arial"/>
          <w:sz w:val="12"/>
          <w:szCs w:val="16"/>
          <w:lang w:val="en-US"/>
        </w:rPr>
      </w:pPr>
    </w:p>
    <w:sectPr w:rsidR="000F4FD9" w:rsidSect="00D25B7E">
      <w:headerReference w:type="default" r:id="rId9"/>
      <w:footerReference w:type="default" r:id="rId10"/>
      <w:pgSz w:w="12242" w:h="18705" w:code="120"/>
      <w:pgMar w:top="1134" w:right="1134" w:bottom="1134" w:left="1418" w:header="284"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9E" w:rsidRDefault="00EE7A9E" w:rsidP="00934BB4">
      <w:r>
        <w:separator/>
      </w:r>
    </w:p>
  </w:endnote>
  <w:endnote w:type="continuationSeparator" w:id="0">
    <w:p w:rsidR="00EE7A9E" w:rsidRDefault="00EE7A9E"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59" w:rsidRPr="00086A0B" w:rsidRDefault="003E6859" w:rsidP="006E6DCB">
    <w:pPr>
      <w:pStyle w:val="Piedepgina"/>
      <w:pBdr>
        <w:bottom w:val="double" w:sz="6" w:space="1" w:color="auto"/>
      </w:pBdr>
      <w:spacing w:line="360" w:lineRule="auto"/>
      <w:ind w:firstLine="708"/>
      <w:rPr>
        <w:rFonts w:ascii="Arial" w:hAnsi="Arial" w:cs="Arial"/>
        <w:i/>
        <w:spacing w:val="20"/>
        <w:w w:val="200"/>
        <w:sz w:val="14"/>
        <w:szCs w:val="10"/>
      </w:rPr>
    </w:pPr>
  </w:p>
  <w:p w:rsidR="003E6859" w:rsidRPr="00086A0B" w:rsidRDefault="003E6859" w:rsidP="006E6DCB">
    <w:pPr>
      <w:pStyle w:val="Piedepgina"/>
      <w:spacing w:line="360" w:lineRule="auto"/>
      <w:jc w:val="right"/>
      <w:rPr>
        <w:rFonts w:ascii="Arial" w:hAnsi="Arial" w:cs="Arial"/>
        <w:i/>
        <w:spacing w:val="20"/>
        <w:w w:val="200"/>
        <w:sz w:val="14"/>
        <w:szCs w:val="10"/>
      </w:rPr>
    </w:pPr>
  </w:p>
  <w:p w:rsidR="003E6859" w:rsidRPr="00086A0B" w:rsidRDefault="003E6859" w:rsidP="006E6DCB">
    <w:pPr>
      <w:pStyle w:val="Piedepgina"/>
      <w:spacing w:line="360" w:lineRule="auto"/>
      <w:jc w:val="right"/>
      <w:rPr>
        <w:rFonts w:ascii="Arial" w:hAnsi="Arial" w:cs="Arial"/>
        <w:i/>
        <w:spacing w:val="20"/>
        <w:w w:val="200"/>
        <w:sz w:val="10"/>
        <w:szCs w:val="10"/>
      </w:rPr>
    </w:pPr>
    <w:r w:rsidRPr="00086A0B">
      <w:rPr>
        <w:rFonts w:ascii="Arial" w:hAnsi="Arial" w:cs="Arial"/>
        <w:i/>
        <w:spacing w:val="20"/>
        <w:w w:val="200"/>
        <w:sz w:val="14"/>
        <w:szCs w:val="10"/>
      </w:rPr>
      <w:t>T</w:t>
    </w:r>
    <w:r w:rsidRPr="00086A0B">
      <w:rPr>
        <w:rFonts w:ascii="Arial" w:hAnsi="Arial" w:cs="Arial"/>
        <w:i/>
        <w:spacing w:val="20"/>
        <w:w w:val="200"/>
        <w:sz w:val="10"/>
        <w:szCs w:val="10"/>
      </w:rPr>
      <w:t xml:space="preserve">RIBUNAL </w:t>
    </w:r>
    <w:r w:rsidRPr="00086A0B">
      <w:rPr>
        <w:rFonts w:ascii="Arial" w:hAnsi="Arial" w:cs="Arial"/>
        <w:i/>
        <w:spacing w:val="20"/>
        <w:w w:val="200"/>
        <w:sz w:val="14"/>
        <w:szCs w:val="10"/>
      </w:rPr>
      <w:t>S</w:t>
    </w:r>
    <w:r w:rsidRPr="00086A0B">
      <w:rPr>
        <w:rFonts w:ascii="Arial" w:hAnsi="Arial" w:cs="Arial"/>
        <w:i/>
        <w:spacing w:val="20"/>
        <w:w w:val="200"/>
        <w:sz w:val="10"/>
        <w:szCs w:val="10"/>
      </w:rPr>
      <w:t>UPERIOR DE</w:t>
    </w:r>
    <w:r w:rsidRPr="00086A0B">
      <w:rPr>
        <w:rFonts w:ascii="Arial" w:hAnsi="Arial" w:cs="Arial"/>
        <w:i/>
        <w:spacing w:val="20"/>
        <w:w w:val="200"/>
        <w:sz w:val="14"/>
        <w:szCs w:val="10"/>
      </w:rPr>
      <w:t xml:space="preserve"> P</w:t>
    </w:r>
    <w:r w:rsidRPr="00086A0B">
      <w:rPr>
        <w:rFonts w:ascii="Arial" w:hAnsi="Arial" w:cs="Arial"/>
        <w:i/>
        <w:spacing w:val="20"/>
        <w:w w:val="200"/>
        <w:sz w:val="10"/>
        <w:szCs w:val="10"/>
      </w:rPr>
      <w:t>EREIRA</w:t>
    </w:r>
  </w:p>
  <w:p w:rsidR="003E6859" w:rsidRPr="00086A0B" w:rsidRDefault="003E6859" w:rsidP="006E6DCB">
    <w:pPr>
      <w:pStyle w:val="Piedepgina"/>
      <w:jc w:val="right"/>
      <w:rPr>
        <w:i/>
      </w:rPr>
    </w:pPr>
    <w:r w:rsidRPr="00086A0B">
      <w:rPr>
        <w:rFonts w:ascii="Arial" w:hAnsi="Arial" w:cs="Arial"/>
        <w:i/>
        <w:spacing w:val="20"/>
        <w:w w:val="200"/>
        <w:sz w:val="10"/>
        <w:szCs w:val="10"/>
      </w:rPr>
      <w:t xml:space="preserve">MS </w:t>
    </w:r>
    <w:proofErr w:type="spellStart"/>
    <w:r w:rsidRPr="00086A0B">
      <w:rPr>
        <w:rFonts w:ascii="Arial" w:hAnsi="Arial" w:cs="Arial"/>
        <w:i/>
        <w:spacing w:val="20"/>
        <w:w w:val="200"/>
        <w:sz w:val="12"/>
        <w:szCs w:val="10"/>
      </w:rPr>
      <w:t>D</w:t>
    </w:r>
    <w:r w:rsidRPr="00086A0B">
      <w:rPr>
        <w:rFonts w:ascii="Arial" w:hAnsi="Arial" w:cs="Arial"/>
        <w:i/>
        <w:spacing w:val="20"/>
        <w:w w:val="200"/>
        <w:sz w:val="8"/>
        <w:szCs w:val="10"/>
      </w:rPr>
      <w:t>UBERNEY</w:t>
    </w:r>
    <w:proofErr w:type="spellEnd"/>
    <w:r w:rsidRPr="00086A0B">
      <w:rPr>
        <w:rFonts w:ascii="Arial" w:hAnsi="Arial" w:cs="Arial"/>
        <w:i/>
        <w:spacing w:val="20"/>
        <w:w w:val="200"/>
        <w:sz w:val="8"/>
        <w:szCs w:val="10"/>
      </w:rPr>
      <w:t xml:space="preserve"> </w:t>
    </w:r>
    <w:r w:rsidRPr="00086A0B">
      <w:rPr>
        <w:rFonts w:ascii="Arial" w:hAnsi="Arial" w:cs="Arial"/>
        <w:i/>
        <w:spacing w:val="20"/>
        <w:w w:val="200"/>
        <w:sz w:val="12"/>
        <w:szCs w:val="10"/>
      </w:rPr>
      <w:t>G</w:t>
    </w:r>
    <w:r w:rsidRPr="00086A0B">
      <w:rPr>
        <w:rFonts w:ascii="Arial" w:hAnsi="Arial" w:cs="Arial"/>
        <w:i/>
        <w:spacing w:val="20"/>
        <w:w w:val="200"/>
        <w:sz w:val="8"/>
        <w:szCs w:val="10"/>
      </w:rPr>
      <w:t xml:space="preserve">RISALES </w:t>
    </w:r>
    <w:r w:rsidRPr="00086A0B">
      <w:rPr>
        <w:rFonts w:ascii="Arial" w:hAnsi="Arial" w:cs="Arial"/>
        <w:i/>
        <w:spacing w:val="20"/>
        <w:w w:val="200"/>
        <w:sz w:val="12"/>
        <w:szCs w:val="10"/>
      </w:rPr>
      <w:t>H</w:t>
    </w:r>
    <w:r w:rsidRPr="00086A0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9E" w:rsidRDefault="00EE7A9E" w:rsidP="00934BB4">
      <w:r>
        <w:separator/>
      </w:r>
    </w:p>
  </w:footnote>
  <w:footnote w:type="continuationSeparator" w:id="0">
    <w:p w:rsidR="00EE7A9E" w:rsidRDefault="00EE7A9E" w:rsidP="00934BB4">
      <w:r>
        <w:continuationSeparator/>
      </w:r>
    </w:p>
  </w:footnote>
  <w:footnote w:id="1">
    <w:p w:rsidR="000378CE" w:rsidRDefault="000378CE" w:rsidP="000378CE">
      <w:pPr>
        <w:pStyle w:val="Textonotapie"/>
        <w:jc w:val="both"/>
      </w:pPr>
      <w:r>
        <w:rPr>
          <w:rFonts w:ascii="Calibri" w:hAnsi="Calibri" w:cs="Calibri"/>
          <w:vertAlign w:val="superscript"/>
        </w:rPr>
        <w:footnoteRef/>
      </w:r>
      <w:r>
        <w:rPr>
          <w:rFonts w:ascii="Calibri" w:hAnsi="Calibri" w:cs="Calibri"/>
        </w:rPr>
        <w:t xml:space="preserve"> </w:t>
      </w:r>
      <w:r>
        <w:rPr>
          <w:rFonts w:asciiTheme="minorHAnsi" w:hAnsiTheme="minorHAnsi" w:cs="Calibri"/>
          <w:szCs w:val="18"/>
          <w:lang w:val="es-CO"/>
        </w:rPr>
        <w:t xml:space="preserve">LÓPEZ BLANCO, Hernán Fabio. Código general del proceso, parte general, Bogotá DC, </w:t>
      </w:r>
      <w:proofErr w:type="spellStart"/>
      <w:r>
        <w:rPr>
          <w:rFonts w:asciiTheme="minorHAnsi" w:hAnsiTheme="minorHAnsi" w:cs="Calibri"/>
          <w:szCs w:val="18"/>
          <w:lang w:val="es-CO"/>
        </w:rPr>
        <w:t>Dupré</w:t>
      </w:r>
      <w:proofErr w:type="spellEnd"/>
      <w:r>
        <w:rPr>
          <w:rFonts w:asciiTheme="minorHAnsi" w:hAnsiTheme="minorHAnsi" w:cs="Calibri"/>
          <w:szCs w:val="18"/>
          <w:lang w:val="es-CO"/>
        </w:rPr>
        <w:t xml:space="preserve"> editores, 2016, p.769-776</w:t>
      </w:r>
      <w:r>
        <w:rPr>
          <w:rFonts w:ascii="Calibri" w:hAnsi="Calibri" w:cs="Calibri"/>
        </w:rPr>
        <w:t>.</w:t>
      </w:r>
    </w:p>
  </w:footnote>
  <w:footnote w:id="2">
    <w:p w:rsidR="000378CE" w:rsidRDefault="000378CE" w:rsidP="000378CE">
      <w:pPr>
        <w:pStyle w:val="Textonotapie"/>
        <w:jc w:val="both"/>
      </w:pPr>
      <w:r>
        <w:rPr>
          <w:rFonts w:ascii="Calibri" w:hAnsi="Calibri" w:cs="Calibri"/>
          <w:vertAlign w:val="superscript"/>
        </w:rPr>
        <w:footnoteRef/>
      </w:r>
      <w:r>
        <w:rPr>
          <w:rFonts w:ascii="Calibri" w:hAnsi="Calibri" w:cs="Calibri"/>
        </w:rPr>
        <w:t xml:space="preserve"> PARRA QUIJANO, Jairo. Derecho procesal civil, tomo I, Santafé de Bogotá D.C., Temis, 1992, p.276.</w:t>
      </w:r>
    </w:p>
  </w:footnote>
  <w:footnote w:id="3">
    <w:p w:rsidR="000378CE" w:rsidRPr="004A043E" w:rsidRDefault="000378CE" w:rsidP="004A043E">
      <w:pPr>
        <w:pStyle w:val="Sinespaciado"/>
        <w:jc w:val="both"/>
        <w:rPr>
          <w:rFonts w:asciiTheme="minorHAnsi" w:hAnsiTheme="minorHAnsi"/>
        </w:rPr>
      </w:pPr>
      <w:r w:rsidRPr="004A043E">
        <w:rPr>
          <w:rFonts w:asciiTheme="minorHAnsi" w:hAnsiTheme="minorHAnsi" w:cs="Calibri"/>
          <w:sz w:val="20"/>
          <w:vertAlign w:val="superscript"/>
        </w:rPr>
        <w:footnoteRef/>
      </w:r>
      <w:r w:rsidRPr="004A043E">
        <w:rPr>
          <w:rFonts w:asciiTheme="minorHAnsi" w:hAnsiTheme="minorHAnsi" w:cs="Calibri"/>
          <w:sz w:val="20"/>
        </w:rPr>
        <w:t xml:space="preserve"> </w:t>
      </w:r>
      <w:r w:rsidRPr="004A043E">
        <w:rPr>
          <w:rFonts w:asciiTheme="minorHAnsi" w:hAnsiTheme="minorHAnsi" w:cs="Calibri"/>
          <w:sz w:val="20"/>
          <w:lang w:val="es-CO"/>
        </w:rPr>
        <w:t xml:space="preserve">LÓPEZ BLANCO, Hernán Fabio. </w:t>
      </w:r>
      <w:r w:rsidRPr="004A043E">
        <w:rPr>
          <w:rFonts w:asciiTheme="minorHAnsi" w:hAnsiTheme="minorHAnsi" w:cs="Calibri"/>
          <w:sz w:val="20"/>
        </w:rPr>
        <w:t>Ob. cit., p.769.</w:t>
      </w:r>
    </w:p>
  </w:footnote>
  <w:footnote w:id="4">
    <w:p w:rsidR="003E6859" w:rsidRPr="004A043E" w:rsidRDefault="003E6859" w:rsidP="004A043E">
      <w:pPr>
        <w:pStyle w:val="Textonotapie"/>
        <w:jc w:val="both"/>
        <w:rPr>
          <w:rFonts w:asciiTheme="minorHAnsi" w:hAnsiTheme="minorHAnsi" w:cs="Calibri"/>
          <w:lang w:val="es-CO"/>
        </w:rPr>
      </w:pPr>
      <w:r w:rsidRPr="004A043E">
        <w:rPr>
          <w:rStyle w:val="Refdenotaalpie"/>
          <w:rFonts w:asciiTheme="minorHAnsi" w:hAnsiTheme="minorHAnsi" w:cs="Calibri"/>
        </w:rPr>
        <w:footnoteRef/>
      </w:r>
      <w:r w:rsidRPr="004A043E">
        <w:rPr>
          <w:rFonts w:asciiTheme="minorHAnsi" w:hAnsiTheme="minorHAnsi"/>
        </w:rPr>
        <w:t xml:space="preserve"> </w:t>
      </w:r>
      <w:r w:rsidRPr="004A043E">
        <w:rPr>
          <w:rFonts w:asciiTheme="minorHAnsi" w:hAnsiTheme="minorHAnsi" w:cs="Calibri"/>
          <w:lang w:val="es-CO"/>
        </w:rPr>
        <w:t xml:space="preserve">ROJAS GÓMEZ, Miguel Enrique. Lecciones de derecho procesal, tomo II, procedimiento civil, Escuela de Actualización Jurídica </w:t>
      </w:r>
      <w:proofErr w:type="spellStart"/>
      <w:r w:rsidRPr="004A043E">
        <w:rPr>
          <w:rFonts w:asciiTheme="minorHAnsi" w:hAnsiTheme="minorHAnsi" w:cs="Calibri"/>
          <w:lang w:val="es-CO"/>
        </w:rPr>
        <w:t>ESAJU</w:t>
      </w:r>
      <w:proofErr w:type="spellEnd"/>
      <w:r w:rsidRPr="004A043E">
        <w:rPr>
          <w:rFonts w:asciiTheme="minorHAnsi" w:hAnsiTheme="minorHAnsi" w:cs="Calibri"/>
          <w:lang w:val="es-CO"/>
        </w:rPr>
        <w:t>, 2013, 5ª edición, Bogotá DC, p.332.</w:t>
      </w:r>
    </w:p>
  </w:footnote>
  <w:footnote w:id="5">
    <w:p w:rsidR="00686829" w:rsidRPr="004A043E" w:rsidRDefault="00686829" w:rsidP="00686829">
      <w:pPr>
        <w:pStyle w:val="Textonotapie"/>
        <w:jc w:val="both"/>
        <w:rPr>
          <w:rFonts w:asciiTheme="minorHAnsi" w:hAnsiTheme="minorHAnsi"/>
          <w:lang w:val="es-CO"/>
        </w:rPr>
      </w:pPr>
      <w:r w:rsidRPr="004A043E">
        <w:rPr>
          <w:rStyle w:val="Refdenotaalpie"/>
          <w:rFonts w:asciiTheme="minorHAnsi" w:hAnsiTheme="minorHAnsi"/>
        </w:rPr>
        <w:footnoteRef/>
      </w:r>
      <w:r w:rsidRPr="004A043E">
        <w:rPr>
          <w:rFonts w:asciiTheme="minorHAnsi" w:hAnsiTheme="minorHAnsi"/>
        </w:rPr>
        <w:t xml:space="preserve"> </w:t>
      </w:r>
      <w:r w:rsidRPr="004A043E">
        <w:rPr>
          <w:rFonts w:asciiTheme="minorHAnsi" w:hAnsiTheme="minorHAnsi"/>
          <w:lang w:val="es-CO"/>
        </w:rPr>
        <w:t xml:space="preserve">CORTE SUPREMA DE JUSTICIA. Sentencia del 17-09-1992; </w:t>
      </w:r>
      <w:proofErr w:type="spellStart"/>
      <w:r w:rsidRPr="004A043E">
        <w:rPr>
          <w:rFonts w:asciiTheme="minorHAnsi" w:hAnsiTheme="minorHAnsi"/>
          <w:lang w:val="es-CO"/>
        </w:rPr>
        <w:t>MP</w:t>
      </w:r>
      <w:proofErr w:type="spellEnd"/>
      <w:r w:rsidRPr="004A043E">
        <w:rPr>
          <w:rFonts w:asciiTheme="minorHAnsi" w:hAnsiTheme="minorHAnsi"/>
          <w:lang w:val="es-CO"/>
        </w:rPr>
        <w:t xml:space="preserve">: Alberto Ospina Botero, publicado en Revista de Jurisprudencia y Doctrina, </w:t>
      </w:r>
      <w:proofErr w:type="spellStart"/>
      <w:r w:rsidRPr="004A043E">
        <w:rPr>
          <w:rFonts w:asciiTheme="minorHAnsi" w:hAnsiTheme="minorHAnsi"/>
          <w:lang w:val="es-CO"/>
        </w:rPr>
        <w:t>t.XXI</w:t>
      </w:r>
      <w:proofErr w:type="spellEnd"/>
      <w:r w:rsidRPr="004A043E">
        <w:rPr>
          <w:rFonts w:asciiTheme="minorHAnsi" w:hAnsiTheme="minorHAnsi"/>
          <w:lang w:val="es-CO"/>
        </w:rPr>
        <w:t xml:space="preserve">, núm.251, Bogotá, </w:t>
      </w:r>
      <w:proofErr w:type="spellStart"/>
      <w:r w:rsidRPr="004A043E">
        <w:rPr>
          <w:rFonts w:asciiTheme="minorHAnsi" w:hAnsiTheme="minorHAnsi"/>
          <w:lang w:val="es-CO"/>
        </w:rPr>
        <w:t>Legis</w:t>
      </w:r>
      <w:proofErr w:type="spellEnd"/>
      <w:r w:rsidRPr="004A043E">
        <w:rPr>
          <w:rFonts w:asciiTheme="minorHAnsi" w:hAnsiTheme="minorHAnsi"/>
          <w:lang w:val="es-CO"/>
        </w:rPr>
        <w:t>, p.1021 y 1022.</w:t>
      </w:r>
    </w:p>
  </w:footnote>
  <w:footnote w:id="6">
    <w:p w:rsidR="00686829" w:rsidRPr="00686829" w:rsidRDefault="00686829">
      <w:pPr>
        <w:pStyle w:val="Textonotapie"/>
        <w:rPr>
          <w:lang w:val="es-CO"/>
        </w:rPr>
      </w:pPr>
      <w:r>
        <w:rPr>
          <w:rStyle w:val="Refdenotaalpie"/>
        </w:rPr>
        <w:footnoteRef/>
      </w:r>
      <w:r>
        <w:t xml:space="preserve"> </w:t>
      </w:r>
      <w:r w:rsidRPr="00717C18">
        <w:rPr>
          <w:rFonts w:asciiTheme="minorHAnsi" w:hAnsiTheme="minorHAnsi"/>
          <w:lang w:val="es-CO"/>
        </w:rPr>
        <w:t>CORTE SUPREMA DE JUSTICIA, Sala de Casación Civil.  Providencia STC5</w:t>
      </w:r>
      <w:r>
        <w:rPr>
          <w:rFonts w:asciiTheme="minorHAnsi" w:hAnsiTheme="minorHAnsi"/>
          <w:lang w:val="es-CO"/>
        </w:rPr>
        <w:t>273</w:t>
      </w:r>
      <w:r w:rsidRPr="00717C18">
        <w:rPr>
          <w:rFonts w:asciiTheme="minorHAnsi" w:hAnsiTheme="minorHAnsi"/>
          <w:lang w:val="es-CO"/>
        </w:rPr>
        <w:t xml:space="preserve">-2016, </w:t>
      </w:r>
      <w:proofErr w:type="spellStart"/>
      <w:r w:rsidRPr="00717C18">
        <w:rPr>
          <w:rFonts w:asciiTheme="minorHAnsi" w:hAnsiTheme="minorHAnsi"/>
          <w:lang w:val="es-CO"/>
        </w:rPr>
        <w:t>MP</w:t>
      </w:r>
      <w:proofErr w:type="spellEnd"/>
      <w:r w:rsidRPr="00717C18">
        <w:rPr>
          <w:rFonts w:asciiTheme="minorHAnsi" w:hAnsiTheme="minorHAnsi"/>
          <w:lang w:val="es-CO"/>
        </w:rPr>
        <w:t xml:space="preserve">: </w:t>
      </w:r>
      <w:r>
        <w:rPr>
          <w:rFonts w:asciiTheme="minorHAnsi" w:hAnsiTheme="minorHAnsi"/>
          <w:lang w:val="es-CO"/>
        </w:rPr>
        <w:t>Ariel Salazar Ramírez.</w:t>
      </w:r>
    </w:p>
  </w:footnote>
  <w:footnote w:id="7">
    <w:p w:rsidR="00073C11" w:rsidRPr="004A043E" w:rsidRDefault="00073C11" w:rsidP="004A043E">
      <w:pPr>
        <w:pStyle w:val="Textonotapie"/>
        <w:jc w:val="both"/>
        <w:rPr>
          <w:rFonts w:asciiTheme="minorHAnsi" w:hAnsiTheme="minorHAnsi"/>
          <w:lang w:val="es-CO"/>
        </w:rPr>
      </w:pPr>
      <w:r w:rsidRPr="004A043E">
        <w:rPr>
          <w:rStyle w:val="Refdenotaalpie"/>
          <w:rFonts w:asciiTheme="minorHAnsi" w:hAnsiTheme="minorHAnsi"/>
        </w:rPr>
        <w:footnoteRef/>
      </w:r>
      <w:r w:rsidRPr="004A043E">
        <w:rPr>
          <w:rFonts w:asciiTheme="minorHAnsi" w:hAnsiTheme="minorHAnsi"/>
        </w:rPr>
        <w:t xml:space="preserve"> </w:t>
      </w:r>
      <w:r w:rsidRPr="004A043E">
        <w:rPr>
          <w:rFonts w:asciiTheme="minorHAnsi" w:hAnsiTheme="minorHAnsi"/>
          <w:lang w:val="es-CO"/>
        </w:rPr>
        <w:t>CORTE CONSTITUCIONAL.  Sentencia C-153 de 1995.</w:t>
      </w:r>
    </w:p>
  </w:footnote>
  <w:footnote w:id="8">
    <w:p w:rsidR="00F601E9" w:rsidRPr="004A043E" w:rsidRDefault="00F601E9" w:rsidP="004A043E">
      <w:pPr>
        <w:pStyle w:val="Textonotapie"/>
        <w:jc w:val="both"/>
        <w:rPr>
          <w:rFonts w:asciiTheme="minorHAnsi" w:hAnsiTheme="minorHAnsi"/>
          <w:lang w:val="es-CO"/>
        </w:rPr>
      </w:pPr>
      <w:r w:rsidRPr="004A043E">
        <w:rPr>
          <w:rStyle w:val="Refdenotaalpie"/>
          <w:rFonts w:asciiTheme="minorHAnsi" w:hAnsiTheme="minorHAnsi"/>
        </w:rPr>
        <w:footnoteRef/>
      </w:r>
      <w:r w:rsidRPr="004A043E">
        <w:rPr>
          <w:rFonts w:asciiTheme="minorHAnsi" w:hAnsiTheme="minorHAnsi"/>
        </w:rPr>
        <w:t xml:space="preserve"> </w:t>
      </w:r>
      <w:r w:rsidRPr="004A043E">
        <w:rPr>
          <w:rFonts w:asciiTheme="minorHAnsi" w:hAnsiTheme="minorHAnsi"/>
          <w:lang w:val="es-CO"/>
        </w:rPr>
        <w:t>CORTE CONSTITUCIONAL.  Sentencia C-</w:t>
      </w:r>
      <w:r w:rsidR="005D6D82" w:rsidRPr="004A043E">
        <w:rPr>
          <w:rFonts w:asciiTheme="minorHAnsi" w:hAnsiTheme="minorHAnsi"/>
          <w:lang w:val="es-CO"/>
        </w:rPr>
        <w:t>233</w:t>
      </w:r>
      <w:r w:rsidRPr="004A043E">
        <w:rPr>
          <w:rFonts w:asciiTheme="minorHAnsi" w:hAnsiTheme="minorHAnsi"/>
          <w:lang w:val="es-CO"/>
        </w:rPr>
        <w:t xml:space="preserve"> de 201</w:t>
      </w:r>
      <w:r w:rsidR="005D6D82" w:rsidRPr="004A043E">
        <w:rPr>
          <w:rFonts w:asciiTheme="minorHAnsi" w:hAnsiTheme="minorHAnsi"/>
          <w:lang w:val="es-CO"/>
        </w:rPr>
        <w:t>6</w:t>
      </w:r>
      <w:r w:rsidRPr="004A043E">
        <w:rPr>
          <w:rFonts w:asciiTheme="minorHAnsi" w:hAnsiTheme="minorHAnsi"/>
          <w:lang w:val="es-CO"/>
        </w:rPr>
        <w:t>.</w:t>
      </w:r>
    </w:p>
  </w:footnote>
  <w:footnote w:id="9">
    <w:p w:rsidR="00073C11" w:rsidRPr="00CE69D3" w:rsidRDefault="00073C11" w:rsidP="00CE69D3">
      <w:pPr>
        <w:pStyle w:val="Textonotapie"/>
        <w:jc w:val="both"/>
        <w:rPr>
          <w:rFonts w:asciiTheme="minorHAnsi" w:hAnsiTheme="minorHAnsi" w:cstheme="minorHAnsi"/>
          <w:lang w:val="es-MX"/>
        </w:rPr>
      </w:pPr>
      <w:r w:rsidRPr="00CE69D3">
        <w:rPr>
          <w:rStyle w:val="Refdenotaalpie"/>
          <w:rFonts w:asciiTheme="minorHAnsi" w:hAnsiTheme="minorHAnsi" w:cstheme="minorHAnsi"/>
        </w:rPr>
        <w:footnoteRef/>
      </w:r>
      <w:r w:rsidRPr="00CE69D3">
        <w:rPr>
          <w:rFonts w:asciiTheme="minorHAnsi" w:hAnsiTheme="minorHAnsi" w:cstheme="minorHAnsi"/>
        </w:rPr>
        <w:t xml:space="preserve"> ROJAS GÓMEZ, Miguel Enrique. El proceso civil colombiano, parte general, Universidad Externado de Colombia, 1999, Bogotá D.C., p.260.</w:t>
      </w:r>
    </w:p>
  </w:footnote>
  <w:footnote w:id="10">
    <w:p w:rsidR="00073C11" w:rsidRPr="00CE69D3" w:rsidRDefault="00073C11" w:rsidP="00CE69D3">
      <w:pPr>
        <w:pStyle w:val="Textonotapie"/>
        <w:jc w:val="both"/>
        <w:rPr>
          <w:rFonts w:asciiTheme="minorHAnsi" w:hAnsiTheme="minorHAnsi" w:cstheme="minorHAnsi"/>
          <w:lang w:val="es-MX"/>
        </w:rPr>
      </w:pPr>
      <w:r w:rsidRPr="00CE69D3">
        <w:rPr>
          <w:rStyle w:val="Refdenotaalpie"/>
          <w:rFonts w:asciiTheme="minorHAnsi" w:hAnsiTheme="minorHAnsi" w:cstheme="minorHAnsi"/>
        </w:rPr>
        <w:footnoteRef/>
      </w:r>
      <w:r w:rsidRPr="00CE69D3">
        <w:rPr>
          <w:rFonts w:asciiTheme="minorHAnsi" w:hAnsiTheme="minorHAnsi" w:cstheme="minorHAnsi"/>
        </w:rPr>
        <w:t xml:space="preserve"> </w:t>
      </w:r>
      <w:proofErr w:type="spellStart"/>
      <w:r w:rsidRPr="00CE69D3">
        <w:rPr>
          <w:rFonts w:asciiTheme="minorHAnsi" w:hAnsiTheme="minorHAnsi" w:cstheme="minorHAnsi"/>
        </w:rPr>
        <w:t>DEVIS</w:t>
      </w:r>
      <w:proofErr w:type="spellEnd"/>
      <w:r w:rsidRPr="00CE69D3">
        <w:rPr>
          <w:rFonts w:asciiTheme="minorHAnsi" w:hAnsiTheme="minorHAnsi" w:cstheme="minorHAnsi"/>
        </w:rPr>
        <w:t xml:space="preserve"> </w:t>
      </w:r>
      <w:proofErr w:type="spellStart"/>
      <w:r w:rsidRPr="00CE69D3">
        <w:rPr>
          <w:rFonts w:asciiTheme="minorHAnsi" w:hAnsiTheme="minorHAnsi" w:cstheme="minorHAnsi"/>
        </w:rPr>
        <w:t>ECHANDÍA</w:t>
      </w:r>
      <w:proofErr w:type="spellEnd"/>
      <w:r w:rsidRPr="00CE69D3">
        <w:rPr>
          <w:rFonts w:asciiTheme="minorHAnsi" w:hAnsiTheme="minorHAnsi" w:cstheme="minorHAnsi"/>
        </w:rPr>
        <w:t xml:space="preserve">, Hernando. El proceso civil, parte general, 1990, Bogotá DC, </w:t>
      </w:r>
      <w:proofErr w:type="spellStart"/>
      <w:r w:rsidRPr="00CE69D3">
        <w:rPr>
          <w:rFonts w:asciiTheme="minorHAnsi" w:hAnsiTheme="minorHAnsi" w:cstheme="minorHAnsi"/>
        </w:rPr>
        <w:t>Diké</w:t>
      </w:r>
      <w:proofErr w:type="spellEnd"/>
      <w:r w:rsidRPr="00CE69D3">
        <w:rPr>
          <w:rFonts w:asciiTheme="minorHAnsi" w:hAnsiTheme="minorHAnsi" w:cstheme="minorHAnsi"/>
        </w:rPr>
        <w:t>, p.341.</w:t>
      </w:r>
    </w:p>
  </w:footnote>
  <w:footnote w:id="11">
    <w:p w:rsidR="00073C11" w:rsidRPr="00CE69D3" w:rsidRDefault="00073C11" w:rsidP="00CE69D3">
      <w:pPr>
        <w:pStyle w:val="Textonotapie"/>
        <w:jc w:val="both"/>
        <w:rPr>
          <w:rFonts w:asciiTheme="minorHAnsi" w:hAnsiTheme="minorHAnsi" w:cstheme="minorHAnsi"/>
          <w:lang w:val="es-MX"/>
        </w:rPr>
      </w:pPr>
      <w:r w:rsidRPr="00CE69D3">
        <w:rPr>
          <w:rStyle w:val="Refdenotaalpie"/>
          <w:rFonts w:asciiTheme="minorHAnsi" w:hAnsiTheme="minorHAnsi" w:cstheme="minorHAnsi"/>
        </w:rPr>
        <w:footnoteRef/>
      </w:r>
      <w:r w:rsidRPr="00CE69D3">
        <w:rPr>
          <w:rFonts w:asciiTheme="minorHAnsi" w:hAnsiTheme="minorHAnsi" w:cstheme="minorHAnsi"/>
        </w:rPr>
        <w:t xml:space="preserve"> </w:t>
      </w:r>
      <w:r w:rsidR="004A043E" w:rsidRPr="00CE69D3">
        <w:rPr>
          <w:rFonts w:asciiTheme="minorHAnsi" w:hAnsiTheme="minorHAnsi" w:cstheme="minorHAnsi"/>
          <w:lang w:val="es-CO"/>
        </w:rPr>
        <w:t xml:space="preserve">LÓPEZ BLANCO, Hernán Fabio. </w:t>
      </w:r>
      <w:r w:rsidR="004A043E" w:rsidRPr="00CE69D3">
        <w:rPr>
          <w:rFonts w:asciiTheme="minorHAnsi" w:hAnsiTheme="minorHAnsi" w:cstheme="minorHAnsi"/>
        </w:rPr>
        <w:t>Ob. cit.,</w:t>
      </w:r>
      <w:r w:rsidRPr="00CE69D3">
        <w:rPr>
          <w:rFonts w:asciiTheme="minorHAnsi" w:hAnsiTheme="minorHAnsi" w:cstheme="minorHAnsi"/>
        </w:rPr>
        <w:t xml:space="preserve"> p.7</w:t>
      </w:r>
      <w:r w:rsidR="00A16A37" w:rsidRPr="00CE69D3">
        <w:rPr>
          <w:rFonts w:asciiTheme="minorHAnsi" w:hAnsiTheme="minorHAnsi" w:cstheme="minorHAnsi"/>
        </w:rPr>
        <w:t>92</w:t>
      </w:r>
      <w:r w:rsidRPr="00CE69D3">
        <w:rPr>
          <w:rFonts w:asciiTheme="minorHAnsi" w:hAnsiTheme="minorHAnsi" w:cstheme="minorHAnsi"/>
        </w:rPr>
        <w:t>.</w:t>
      </w:r>
    </w:p>
  </w:footnote>
  <w:footnote w:id="12">
    <w:p w:rsidR="00073C11" w:rsidRPr="00CE69D3" w:rsidRDefault="00073C11" w:rsidP="00CE69D3">
      <w:pPr>
        <w:pStyle w:val="Textonotapie"/>
        <w:jc w:val="both"/>
        <w:rPr>
          <w:rFonts w:asciiTheme="minorHAnsi" w:hAnsiTheme="minorHAnsi" w:cstheme="minorHAnsi"/>
        </w:rPr>
      </w:pPr>
      <w:r w:rsidRPr="00CE69D3">
        <w:rPr>
          <w:rFonts w:asciiTheme="minorHAnsi" w:hAnsiTheme="minorHAnsi" w:cstheme="minorHAnsi"/>
          <w:vertAlign w:val="superscript"/>
        </w:rPr>
        <w:footnoteRef/>
      </w:r>
      <w:r w:rsidRPr="00CE69D3">
        <w:rPr>
          <w:rFonts w:asciiTheme="minorHAnsi" w:hAnsiTheme="minorHAnsi" w:cstheme="minorHAnsi"/>
        </w:rPr>
        <w:t xml:space="preserve"> </w:t>
      </w:r>
      <w:r w:rsidRPr="00CE69D3">
        <w:rPr>
          <w:rFonts w:asciiTheme="minorHAnsi" w:hAnsiTheme="minorHAnsi" w:cstheme="minorHAnsi"/>
          <w:lang w:val="es-CO"/>
        </w:rPr>
        <w:t xml:space="preserve">CORTE SUPREMA DE JUSTICIA, Sala de Casación Civil.  Providencia del 29-02-2008, </w:t>
      </w:r>
      <w:proofErr w:type="spellStart"/>
      <w:r w:rsidRPr="00CE69D3">
        <w:rPr>
          <w:rFonts w:asciiTheme="minorHAnsi" w:hAnsiTheme="minorHAnsi" w:cstheme="minorHAnsi"/>
          <w:lang w:val="es-CO"/>
        </w:rPr>
        <w:t>MP</w:t>
      </w:r>
      <w:proofErr w:type="spellEnd"/>
      <w:r w:rsidRPr="00CE69D3">
        <w:rPr>
          <w:rFonts w:asciiTheme="minorHAnsi" w:hAnsiTheme="minorHAnsi" w:cstheme="minorHAnsi"/>
          <w:lang w:val="es-CO"/>
        </w:rPr>
        <w:t>: Edgardo Villamil Portilla.</w:t>
      </w:r>
    </w:p>
  </w:footnote>
  <w:footnote w:id="13">
    <w:p w:rsidR="00CE69D3" w:rsidRPr="00CE69D3" w:rsidRDefault="00CE69D3" w:rsidP="00CE69D3">
      <w:pPr>
        <w:pStyle w:val="Textonotapie"/>
        <w:jc w:val="both"/>
        <w:rPr>
          <w:rFonts w:asciiTheme="minorHAnsi" w:hAnsiTheme="minorHAnsi" w:cstheme="minorHAnsi"/>
          <w:lang w:val="es-CO"/>
        </w:rPr>
      </w:pPr>
      <w:r w:rsidRPr="00CE69D3">
        <w:rPr>
          <w:rStyle w:val="Refdenotaalpie"/>
          <w:rFonts w:asciiTheme="minorHAnsi" w:hAnsiTheme="minorHAnsi" w:cstheme="minorHAnsi"/>
        </w:rPr>
        <w:footnoteRef/>
      </w:r>
      <w:r w:rsidRPr="00CE69D3">
        <w:rPr>
          <w:rFonts w:asciiTheme="minorHAnsi" w:hAnsiTheme="minorHAnsi" w:cstheme="minorHAnsi"/>
        </w:rPr>
        <w:t xml:space="preserve"> </w:t>
      </w:r>
      <w:r w:rsidRPr="00CE69D3">
        <w:rPr>
          <w:rFonts w:asciiTheme="minorHAnsi" w:hAnsiTheme="minorHAnsi" w:cstheme="minorHAnsi"/>
          <w:lang w:val="es-CO"/>
        </w:rPr>
        <w:t xml:space="preserve">CORTE SUPREMA DE JUSTICIA, Sala de Casación Civil.  Providencia del 21-02-2011, </w:t>
      </w:r>
      <w:proofErr w:type="spellStart"/>
      <w:r w:rsidRPr="00CE69D3">
        <w:rPr>
          <w:rFonts w:asciiTheme="minorHAnsi" w:hAnsiTheme="minorHAnsi" w:cstheme="minorHAnsi"/>
          <w:lang w:val="es-CO"/>
        </w:rPr>
        <w:t>MP</w:t>
      </w:r>
      <w:proofErr w:type="spellEnd"/>
      <w:r w:rsidRPr="00CE69D3">
        <w:rPr>
          <w:rFonts w:asciiTheme="minorHAnsi" w:hAnsiTheme="minorHAnsi" w:cstheme="minorHAnsi"/>
          <w:lang w:val="es-CO"/>
        </w:rPr>
        <w:t>: Arturo Solarte Rodríguez, expediente No.</w:t>
      </w:r>
      <w:r w:rsidRPr="00CE69D3">
        <w:rPr>
          <w:rFonts w:asciiTheme="minorHAnsi" w:hAnsiTheme="minorHAnsi" w:cstheme="minorHAnsi"/>
        </w:rPr>
        <w:t xml:space="preserve"> 1100102030002010-00226-00</w:t>
      </w:r>
    </w:p>
  </w:footnote>
  <w:footnote w:id="14">
    <w:p w:rsidR="00EC4B0F" w:rsidRPr="00CE69D3" w:rsidRDefault="00EC4B0F" w:rsidP="00CE69D3">
      <w:pPr>
        <w:pStyle w:val="Textonotapie"/>
        <w:jc w:val="both"/>
        <w:rPr>
          <w:rFonts w:asciiTheme="minorHAnsi" w:hAnsiTheme="minorHAnsi" w:cstheme="minorHAnsi"/>
          <w:lang w:val="es-CO"/>
        </w:rPr>
      </w:pPr>
      <w:r w:rsidRPr="00CE69D3">
        <w:rPr>
          <w:rStyle w:val="Refdenotaalpie"/>
          <w:rFonts w:asciiTheme="minorHAnsi" w:hAnsiTheme="minorHAnsi" w:cstheme="minorHAnsi"/>
        </w:rPr>
        <w:footnoteRef/>
      </w:r>
      <w:r w:rsidRPr="00CE69D3">
        <w:rPr>
          <w:rFonts w:asciiTheme="minorHAnsi" w:hAnsiTheme="minorHAnsi" w:cstheme="minorHAnsi"/>
        </w:rPr>
        <w:t xml:space="preserve"> </w:t>
      </w:r>
      <w:r w:rsidRPr="00CE69D3">
        <w:rPr>
          <w:rFonts w:asciiTheme="minorHAnsi" w:hAnsiTheme="minorHAnsi" w:cstheme="minorHAnsi"/>
          <w:lang w:val="es-CO"/>
        </w:rPr>
        <w:t xml:space="preserve">CORTE SUPREMA DE JUSTICIA, Sala de Casación Civil.  Providencia STC7676-2016, </w:t>
      </w:r>
      <w:proofErr w:type="spellStart"/>
      <w:r w:rsidRPr="00CE69D3">
        <w:rPr>
          <w:rFonts w:asciiTheme="minorHAnsi" w:hAnsiTheme="minorHAnsi" w:cstheme="minorHAnsi"/>
          <w:lang w:val="es-CO"/>
        </w:rPr>
        <w:t>MP</w:t>
      </w:r>
      <w:proofErr w:type="spellEnd"/>
      <w:r w:rsidRPr="00CE69D3">
        <w:rPr>
          <w:rFonts w:asciiTheme="minorHAnsi" w:hAnsiTheme="minorHAnsi" w:cstheme="minorHAnsi"/>
          <w:lang w:val="es-CO"/>
        </w:rPr>
        <w:t>: Fernando Giraldo Gutiérrez.</w:t>
      </w:r>
    </w:p>
  </w:footnote>
  <w:footnote w:id="15">
    <w:p w:rsidR="00EC4B0F" w:rsidRPr="00CE69D3" w:rsidRDefault="00EC4B0F" w:rsidP="00CE69D3">
      <w:pPr>
        <w:pStyle w:val="Textonotapie"/>
        <w:jc w:val="both"/>
        <w:rPr>
          <w:rFonts w:asciiTheme="minorHAnsi" w:hAnsiTheme="minorHAnsi" w:cstheme="minorHAnsi"/>
          <w:lang w:val="es-CO"/>
        </w:rPr>
      </w:pPr>
      <w:r w:rsidRPr="00CE69D3">
        <w:rPr>
          <w:rStyle w:val="Refdenotaalpie"/>
          <w:rFonts w:asciiTheme="minorHAnsi" w:hAnsiTheme="minorHAnsi" w:cstheme="minorHAnsi"/>
        </w:rPr>
        <w:footnoteRef/>
      </w:r>
      <w:r w:rsidRPr="00CE69D3">
        <w:rPr>
          <w:rFonts w:asciiTheme="minorHAnsi" w:hAnsiTheme="minorHAnsi" w:cstheme="minorHAnsi"/>
        </w:rPr>
        <w:t xml:space="preserve"> </w:t>
      </w:r>
      <w:r w:rsidRPr="00CE69D3">
        <w:rPr>
          <w:rFonts w:asciiTheme="minorHAnsi" w:hAnsiTheme="minorHAnsi" w:cstheme="minorHAnsi"/>
          <w:lang w:val="es-CO"/>
        </w:rPr>
        <w:t xml:space="preserve">CORTE SUPREMA DE JUSTICIA, Sala de Casación Civil.  Providencia STC11096-2016, </w:t>
      </w:r>
      <w:proofErr w:type="spellStart"/>
      <w:r w:rsidRPr="00CE69D3">
        <w:rPr>
          <w:rFonts w:asciiTheme="minorHAnsi" w:hAnsiTheme="minorHAnsi" w:cstheme="minorHAnsi"/>
          <w:lang w:val="es-CO"/>
        </w:rPr>
        <w:t>MP</w:t>
      </w:r>
      <w:proofErr w:type="spellEnd"/>
      <w:r w:rsidRPr="00CE69D3">
        <w:rPr>
          <w:rFonts w:asciiTheme="minorHAnsi" w:hAnsiTheme="minorHAnsi" w:cstheme="minorHAnsi"/>
          <w:lang w:val="es-CO"/>
        </w:rPr>
        <w:t>: Margarita Cabello Blanco.</w:t>
      </w:r>
    </w:p>
  </w:footnote>
  <w:footnote w:id="16">
    <w:p w:rsidR="00FB3A23" w:rsidRPr="00FB3A23" w:rsidRDefault="00FB3A23">
      <w:pPr>
        <w:pStyle w:val="Textonotapie"/>
        <w:rPr>
          <w:lang w:val="es-CO"/>
        </w:rPr>
      </w:pPr>
      <w:r>
        <w:rPr>
          <w:rStyle w:val="Refdenotaalpie"/>
        </w:rPr>
        <w:footnoteRef/>
      </w:r>
      <w:r>
        <w:t xml:space="preserve"> </w:t>
      </w:r>
      <w:r w:rsidRPr="00CE69D3">
        <w:rPr>
          <w:rFonts w:asciiTheme="minorHAnsi" w:hAnsiTheme="minorHAnsi" w:cstheme="minorHAnsi"/>
          <w:lang w:val="es-CO"/>
        </w:rPr>
        <w:t>CORTE SUPREMA DE JUSTICIA, Sala de Casación Civil.  Providencia STC11096-2016</w:t>
      </w:r>
      <w:r>
        <w:rPr>
          <w:rFonts w:asciiTheme="minorHAnsi" w:hAnsiTheme="minorHAnsi" w:cstheme="minorHAnsi"/>
          <w:lang w:val="es-CO"/>
        </w:rPr>
        <w:t>,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59" w:rsidRPr="006F2303" w:rsidRDefault="003E6859" w:rsidP="00D279DF">
    <w:pPr>
      <w:pStyle w:val="Encabezado"/>
      <w:pBdr>
        <w:bottom w:val="single" w:sz="4" w:space="1" w:color="D9D9D9"/>
      </w:pBdr>
      <w:jc w:val="right"/>
      <w:rPr>
        <w:rFonts w:ascii="Calibri" w:hAnsi="Calibri" w:cs="Calibri"/>
        <w:b/>
        <w:bCs/>
      </w:rPr>
    </w:pPr>
    <w:r w:rsidRPr="006F2303">
      <w:rPr>
        <w:rFonts w:ascii="Calibri" w:hAnsi="Calibri" w:cs="Calibri"/>
        <w:color w:val="808080"/>
        <w:spacing w:val="60"/>
      </w:rPr>
      <w:t>Página</w:t>
    </w:r>
    <w:r w:rsidRPr="006F2303">
      <w:rPr>
        <w:rFonts w:ascii="Calibri" w:hAnsi="Calibri" w:cs="Calibri"/>
      </w:rPr>
      <w:t xml:space="preserve"> | </w:t>
    </w:r>
    <w:r w:rsidRPr="006F2303">
      <w:rPr>
        <w:rFonts w:ascii="Calibri" w:hAnsi="Calibri" w:cs="Calibri"/>
      </w:rPr>
      <w:fldChar w:fldCharType="begin"/>
    </w:r>
    <w:r w:rsidRPr="006F2303">
      <w:rPr>
        <w:rFonts w:ascii="Calibri" w:hAnsi="Calibri" w:cs="Calibri"/>
      </w:rPr>
      <w:instrText>PAGE   \* MERGEFORMAT</w:instrText>
    </w:r>
    <w:r w:rsidRPr="006F2303">
      <w:rPr>
        <w:rFonts w:ascii="Calibri" w:hAnsi="Calibri" w:cs="Calibri"/>
      </w:rPr>
      <w:fldChar w:fldCharType="separate"/>
    </w:r>
    <w:r w:rsidR="00EC0D20" w:rsidRPr="00EC0D20">
      <w:rPr>
        <w:rFonts w:ascii="Calibri" w:hAnsi="Calibri" w:cs="Calibri"/>
        <w:bCs/>
        <w:noProof/>
      </w:rPr>
      <w:t>5</w:t>
    </w:r>
    <w:r w:rsidRPr="006F2303">
      <w:rPr>
        <w:rFonts w:ascii="Calibri" w:hAnsi="Calibri" w:cs="Calibri"/>
      </w:rPr>
      <w:fldChar w:fldCharType="end"/>
    </w:r>
  </w:p>
  <w:p w:rsidR="003E6859" w:rsidRPr="006F2303" w:rsidRDefault="003E6859" w:rsidP="00D279DF">
    <w:pPr>
      <w:pStyle w:val="Encabezado"/>
      <w:ind w:right="360"/>
      <w:jc w:val="both"/>
      <w:rPr>
        <w:rFonts w:ascii="Calibri" w:hAnsi="Calibri" w:cs="Calibri"/>
      </w:rPr>
    </w:pPr>
    <w:r w:rsidRPr="006F2303">
      <w:rPr>
        <w:rFonts w:ascii="Calibri" w:hAnsi="Calibri" w:cs="Calibri"/>
        <w:i/>
        <w:sz w:val="28"/>
      </w:rPr>
      <w:t>E</w:t>
    </w:r>
    <w:r w:rsidRPr="006F2303">
      <w:rPr>
        <w:rFonts w:ascii="Calibri" w:hAnsi="Calibri" w:cs="Calibri"/>
        <w:i/>
      </w:rPr>
      <w:t>XPEDIENTE No.20</w:t>
    </w:r>
    <w:r>
      <w:rPr>
        <w:rFonts w:ascii="Calibri" w:hAnsi="Calibri" w:cs="Calibri"/>
        <w:i/>
      </w:rPr>
      <w:t>1</w:t>
    </w:r>
    <w:r w:rsidR="00BA3B52">
      <w:rPr>
        <w:rFonts w:ascii="Calibri" w:hAnsi="Calibri" w:cs="Calibri"/>
        <w:i/>
      </w:rPr>
      <w:t>6</w:t>
    </w:r>
    <w:r w:rsidRPr="006F2303">
      <w:rPr>
        <w:rFonts w:ascii="Calibri" w:hAnsi="Calibri" w:cs="Calibri"/>
        <w:i/>
      </w:rPr>
      <w:t>-00</w:t>
    </w:r>
    <w:r w:rsidR="00267CB7">
      <w:rPr>
        <w:rFonts w:ascii="Calibri" w:hAnsi="Calibri" w:cs="Calibri"/>
        <w:i/>
      </w:rPr>
      <w:t>288</w:t>
    </w:r>
    <w:r w:rsidRPr="006F2303">
      <w:rPr>
        <w:rFonts w:ascii="Calibri" w:hAnsi="Calibri" w:cs="Calibri"/>
        <w:i/>
      </w:rPr>
      <w:t xml:space="preserve">-01 </w:t>
    </w:r>
    <w:proofErr w:type="spellStart"/>
    <w:r w:rsidRPr="006F2303">
      <w:rPr>
        <w:rFonts w:ascii="Calibri" w:hAnsi="Calibri" w:cs="Calibri"/>
        <w:i/>
      </w:rPr>
      <w:t>LLRR</w:t>
    </w:r>
    <w:proofErr w:type="spellEnd"/>
  </w:p>
  <w:p w:rsidR="003E6859" w:rsidRPr="006F2303" w:rsidRDefault="003E6859" w:rsidP="0013799C">
    <w:pPr>
      <w:pStyle w:val="Encabezado"/>
      <w:ind w:right="360"/>
      <w:jc w:val="both"/>
      <w:rPr>
        <w:rFonts w:ascii="Calibri" w:hAnsi="Calibri" w:cs="Calibri"/>
      </w:rPr>
    </w:pPr>
  </w:p>
  <w:p w:rsidR="003E6859" w:rsidRPr="006F2303" w:rsidRDefault="003E6859" w:rsidP="00585B94">
    <w:pPr>
      <w:pStyle w:val="Encabezado"/>
      <w:jc w:val="right"/>
      <w:rPr>
        <w:rFonts w:ascii="Calibri" w:hAnsi="Calibri" w:cs="Calibri"/>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01E1"/>
    <w:multiLevelType w:val="multilevel"/>
    <w:tmpl w:val="9F04E2CE"/>
    <w:lvl w:ilvl="0">
      <w:start w:val="2"/>
      <w:numFmt w:val="decimal"/>
      <w:lvlText w:val="%1."/>
      <w:lvlJc w:val="left"/>
      <w:pPr>
        <w:ind w:left="480" w:hanging="480"/>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
    <w:nsid w:val="105F4D6D"/>
    <w:multiLevelType w:val="hybridMultilevel"/>
    <w:tmpl w:val="AC2A360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333E195C"/>
    <w:multiLevelType w:val="hybridMultilevel"/>
    <w:tmpl w:val="E6E4751C"/>
    <w:lvl w:ilvl="0" w:tplc="1C4878AC">
      <w:start w:val="1"/>
      <w:numFmt w:val="decimal"/>
      <w:lvlText w:val="%1."/>
      <w:lvlJc w:val="left"/>
      <w:pPr>
        <w:ind w:left="360" w:hanging="360"/>
      </w:pPr>
      <w:rPr>
        <w:rFonts w:cs="Times New Roman" w:hint="default"/>
        <w:sz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2"/>
  </w:num>
  <w:num w:numId="3">
    <w:abstractNumId w:val="3"/>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C8"/>
    <w:rsid w:val="000001CD"/>
    <w:rsid w:val="0000074F"/>
    <w:rsid w:val="00005CC9"/>
    <w:rsid w:val="00012F15"/>
    <w:rsid w:val="00013811"/>
    <w:rsid w:val="0001641A"/>
    <w:rsid w:val="0002124C"/>
    <w:rsid w:val="00024513"/>
    <w:rsid w:val="00024962"/>
    <w:rsid w:val="00025385"/>
    <w:rsid w:val="000257D4"/>
    <w:rsid w:val="00026A0B"/>
    <w:rsid w:val="00026DE0"/>
    <w:rsid w:val="00027D12"/>
    <w:rsid w:val="00027D62"/>
    <w:rsid w:val="00030F6B"/>
    <w:rsid w:val="00031597"/>
    <w:rsid w:val="00032170"/>
    <w:rsid w:val="000335D9"/>
    <w:rsid w:val="00033C34"/>
    <w:rsid w:val="000378CE"/>
    <w:rsid w:val="0004057A"/>
    <w:rsid w:val="00041035"/>
    <w:rsid w:val="000426DF"/>
    <w:rsid w:val="00045583"/>
    <w:rsid w:val="000539EE"/>
    <w:rsid w:val="000557CF"/>
    <w:rsid w:val="000602F3"/>
    <w:rsid w:val="00070885"/>
    <w:rsid w:val="00073C11"/>
    <w:rsid w:val="00073FC1"/>
    <w:rsid w:val="00077288"/>
    <w:rsid w:val="00082B69"/>
    <w:rsid w:val="0008352A"/>
    <w:rsid w:val="00084C89"/>
    <w:rsid w:val="00086869"/>
    <w:rsid w:val="00086A0B"/>
    <w:rsid w:val="000A0D0F"/>
    <w:rsid w:val="000A1680"/>
    <w:rsid w:val="000A171F"/>
    <w:rsid w:val="000A3570"/>
    <w:rsid w:val="000A6D32"/>
    <w:rsid w:val="000B0522"/>
    <w:rsid w:val="000B0AA5"/>
    <w:rsid w:val="000C072E"/>
    <w:rsid w:val="000C0AD3"/>
    <w:rsid w:val="000C3E0F"/>
    <w:rsid w:val="000C75C4"/>
    <w:rsid w:val="000D198F"/>
    <w:rsid w:val="000D6292"/>
    <w:rsid w:val="000E0A1E"/>
    <w:rsid w:val="000E1C7A"/>
    <w:rsid w:val="000E2468"/>
    <w:rsid w:val="000E770D"/>
    <w:rsid w:val="000F4FD9"/>
    <w:rsid w:val="000F6F19"/>
    <w:rsid w:val="00103097"/>
    <w:rsid w:val="00103F51"/>
    <w:rsid w:val="00115B7E"/>
    <w:rsid w:val="001167CA"/>
    <w:rsid w:val="00121C98"/>
    <w:rsid w:val="0012212E"/>
    <w:rsid w:val="00123173"/>
    <w:rsid w:val="00125206"/>
    <w:rsid w:val="0012615B"/>
    <w:rsid w:val="001261EC"/>
    <w:rsid w:val="00127666"/>
    <w:rsid w:val="001333D9"/>
    <w:rsid w:val="00133642"/>
    <w:rsid w:val="00134343"/>
    <w:rsid w:val="00136209"/>
    <w:rsid w:val="00137965"/>
    <w:rsid w:val="0013799C"/>
    <w:rsid w:val="0014171F"/>
    <w:rsid w:val="00144808"/>
    <w:rsid w:val="00144F59"/>
    <w:rsid w:val="001454DA"/>
    <w:rsid w:val="001469BE"/>
    <w:rsid w:val="00147B6F"/>
    <w:rsid w:val="00154CAC"/>
    <w:rsid w:val="00154E71"/>
    <w:rsid w:val="001605CE"/>
    <w:rsid w:val="00164383"/>
    <w:rsid w:val="00170B4F"/>
    <w:rsid w:val="00170BE7"/>
    <w:rsid w:val="001720A4"/>
    <w:rsid w:val="00181456"/>
    <w:rsid w:val="00182CE6"/>
    <w:rsid w:val="00183788"/>
    <w:rsid w:val="00187F98"/>
    <w:rsid w:val="001901EC"/>
    <w:rsid w:val="0019055B"/>
    <w:rsid w:val="00193EF3"/>
    <w:rsid w:val="00195679"/>
    <w:rsid w:val="00197890"/>
    <w:rsid w:val="001A04E5"/>
    <w:rsid w:val="001A4E26"/>
    <w:rsid w:val="001B46A1"/>
    <w:rsid w:val="001B4DEF"/>
    <w:rsid w:val="001B5492"/>
    <w:rsid w:val="001B7476"/>
    <w:rsid w:val="001B7597"/>
    <w:rsid w:val="001C0122"/>
    <w:rsid w:val="001C486D"/>
    <w:rsid w:val="001C6A78"/>
    <w:rsid w:val="001C714A"/>
    <w:rsid w:val="001D022B"/>
    <w:rsid w:val="001D1A4A"/>
    <w:rsid w:val="001D1A8E"/>
    <w:rsid w:val="001D345B"/>
    <w:rsid w:val="001D35E7"/>
    <w:rsid w:val="001D7623"/>
    <w:rsid w:val="001E15ED"/>
    <w:rsid w:val="001E217C"/>
    <w:rsid w:val="001E388B"/>
    <w:rsid w:val="001E507E"/>
    <w:rsid w:val="001E5F3E"/>
    <w:rsid w:val="001E6028"/>
    <w:rsid w:val="001E6559"/>
    <w:rsid w:val="001E6688"/>
    <w:rsid w:val="001E7E1D"/>
    <w:rsid w:val="001F061C"/>
    <w:rsid w:val="001F176F"/>
    <w:rsid w:val="001F1AC3"/>
    <w:rsid w:val="001F4250"/>
    <w:rsid w:val="001F5751"/>
    <w:rsid w:val="001F7B8D"/>
    <w:rsid w:val="00202278"/>
    <w:rsid w:val="00202459"/>
    <w:rsid w:val="002069DC"/>
    <w:rsid w:val="00210823"/>
    <w:rsid w:val="00214826"/>
    <w:rsid w:val="0021526B"/>
    <w:rsid w:val="00225EBD"/>
    <w:rsid w:val="00231A7F"/>
    <w:rsid w:val="00231C63"/>
    <w:rsid w:val="00231EC9"/>
    <w:rsid w:val="0023594A"/>
    <w:rsid w:val="0023712B"/>
    <w:rsid w:val="00237760"/>
    <w:rsid w:val="00237DB5"/>
    <w:rsid w:val="0024283A"/>
    <w:rsid w:val="00242A27"/>
    <w:rsid w:val="00244FE8"/>
    <w:rsid w:val="002502FB"/>
    <w:rsid w:val="002508C8"/>
    <w:rsid w:val="00250A89"/>
    <w:rsid w:val="002551CD"/>
    <w:rsid w:val="0026068C"/>
    <w:rsid w:val="00262AA5"/>
    <w:rsid w:val="00262F43"/>
    <w:rsid w:val="002643C1"/>
    <w:rsid w:val="00266AD0"/>
    <w:rsid w:val="00267CB7"/>
    <w:rsid w:val="00267E63"/>
    <w:rsid w:val="002720BB"/>
    <w:rsid w:val="0027425F"/>
    <w:rsid w:val="00276AAF"/>
    <w:rsid w:val="00276FBD"/>
    <w:rsid w:val="00283F3B"/>
    <w:rsid w:val="0028417B"/>
    <w:rsid w:val="00285BDE"/>
    <w:rsid w:val="002954B9"/>
    <w:rsid w:val="00295B68"/>
    <w:rsid w:val="00297A18"/>
    <w:rsid w:val="002A2C45"/>
    <w:rsid w:val="002A4492"/>
    <w:rsid w:val="002A6BB0"/>
    <w:rsid w:val="002A6ECC"/>
    <w:rsid w:val="002B3782"/>
    <w:rsid w:val="002B3A34"/>
    <w:rsid w:val="002B3EE2"/>
    <w:rsid w:val="002B44A3"/>
    <w:rsid w:val="002B6258"/>
    <w:rsid w:val="002B63B1"/>
    <w:rsid w:val="002C082F"/>
    <w:rsid w:val="002C20A1"/>
    <w:rsid w:val="002C3054"/>
    <w:rsid w:val="002C3923"/>
    <w:rsid w:val="002C3D32"/>
    <w:rsid w:val="002C7062"/>
    <w:rsid w:val="002D58EA"/>
    <w:rsid w:val="002D7035"/>
    <w:rsid w:val="002D7BA0"/>
    <w:rsid w:val="002E11FF"/>
    <w:rsid w:val="002E1265"/>
    <w:rsid w:val="002E672C"/>
    <w:rsid w:val="002F109A"/>
    <w:rsid w:val="002F17B8"/>
    <w:rsid w:val="002F3960"/>
    <w:rsid w:val="002F41F8"/>
    <w:rsid w:val="00300CA0"/>
    <w:rsid w:val="00302766"/>
    <w:rsid w:val="00305FA6"/>
    <w:rsid w:val="00305FD8"/>
    <w:rsid w:val="00310452"/>
    <w:rsid w:val="003123B8"/>
    <w:rsid w:val="00313209"/>
    <w:rsid w:val="0031546B"/>
    <w:rsid w:val="00316338"/>
    <w:rsid w:val="00321EB0"/>
    <w:rsid w:val="0032336B"/>
    <w:rsid w:val="00323FAA"/>
    <w:rsid w:val="00324C60"/>
    <w:rsid w:val="003268AF"/>
    <w:rsid w:val="00332BA5"/>
    <w:rsid w:val="0033522A"/>
    <w:rsid w:val="003378C2"/>
    <w:rsid w:val="003421FC"/>
    <w:rsid w:val="00344B8C"/>
    <w:rsid w:val="00345277"/>
    <w:rsid w:val="003469CD"/>
    <w:rsid w:val="003475B0"/>
    <w:rsid w:val="00350513"/>
    <w:rsid w:val="003541E2"/>
    <w:rsid w:val="00354A55"/>
    <w:rsid w:val="00354BCB"/>
    <w:rsid w:val="00355021"/>
    <w:rsid w:val="00355163"/>
    <w:rsid w:val="00355D8A"/>
    <w:rsid w:val="00360E12"/>
    <w:rsid w:val="00361471"/>
    <w:rsid w:val="0036415A"/>
    <w:rsid w:val="00364A03"/>
    <w:rsid w:val="0036730D"/>
    <w:rsid w:val="003677FC"/>
    <w:rsid w:val="003821CD"/>
    <w:rsid w:val="00385E58"/>
    <w:rsid w:val="00386F5E"/>
    <w:rsid w:val="00386FC3"/>
    <w:rsid w:val="00395097"/>
    <w:rsid w:val="00395DD3"/>
    <w:rsid w:val="0039600B"/>
    <w:rsid w:val="003A0668"/>
    <w:rsid w:val="003A1DF5"/>
    <w:rsid w:val="003B1A2D"/>
    <w:rsid w:val="003C1FF7"/>
    <w:rsid w:val="003C23B2"/>
    <w:rsid w:val="003C58A8"/>
    <w:rsid w:val="003C7277"/>
    <w:rsid w:val="003C771A"/>
    <w:rsid w:val="003D05FD"/>
    <w:rsid w:val="003D1FEE"/>
    <w:rsid w:val="003D5E3D"/>
    <w:rsid w:val="003D637D"/>
    <w:rsid w:val="003D6411"/>
    <w:rsid w:val="003D741C"/>
    <w:rsid w:val="003E0BE1"/>
    <w:rsid w:val="003E1342"/>
    <w:rsid w:val="003E18D8"/>
    <w:rsid w:val="003E6859"/>
    <w:rsid w:val="003F751D"/>
    <w:rsid w:val="004042B6"/>
    <w:rsid w:val="0040704F"/>
    <w:rsid w:val="004132E1"/>
    <w:rsid w:val="004157A4"/>
    <w:rsid w:val="00415D29"/>
    <w:rsid w:val="004171D2"/>
    <w:rsid w:val="00417279"/>
    <w:rsid w:val="00424F04"/>
    <w:rsid w:val="004263C9"/>
    <w:rsid w:val="0043241F"/>
    <w:rsid w:val="004325C7"/>
    <w:rsid w:val="00433CB1"/>
    <w:rsid w:val="00435A8C"/>
    <w:rsid w:val="00436600"/>
    <w:rsid w:val="00440071"/>
    <w:rsid w:val="00440173"/>
    <w:rsid w:val="0044659A"/>
    <w:rsid w:val="004466E8"/>
    <w:rsid w:val="00450514"/>
    <w:rsid w:val="004509D1"/>
    <w:rsid w:val="00453790"/>
    <w:rsid w:val="00454976"/>
    <w:rsid w:val="00454D41"/>
    <w:rsid w:val="00460043"/>
    <w:rsid w:val="004657AC"/>
    <w:rsid w:val="00471258"/>
    <w:rsid w:val="0047403E"/>
    <w:rsid w:val="00476C23"/>
    <w:rsid w:val="0048079A"/>
    <w:rsid w:val="0048279C"/>
    <w:rsid w:val="00490050"/>
    <w:rsid w:val="0049085A"/>
    <w:rsid w:val="00491A48"/>
    <w:rsid w:val="00491DD9"/>
    <w:rsid w:val="00491F7F"/>
    <w:rsid w:val="004938AF"/>
    <w:rsid w:val="0049577F"/>
    <w:rsid w:val="0049796A"/>
    <w:rsid w:val="004A0136"/>
    <w:rsid w:val="004A043E"/>
    <w:rsid w:val="004A4B66"/>
    <w:rsid w:val="004A7712"/>
    <w:rsid w:val="004B1BE6"/>
    <w:rsid w:val="004B23EF"/>
    <w:rsid w:val="004B283C"/>
    <w:rsid w:val="004B2CC1"/>
    <w:rsid w:val="004B3971"/>
    <w:rsid w:val="004C14DF"/>
    <w:rsid w:val="004C269E"/>
    <w:rsid w:val="004C5362"/>
    <w:rsid w:val="004D328C"/>
    <w:rsid w:val="004D5521"/>
    <w:rsid w:val="004E0A26"/>
    <w:rsid w:val="004E759E"/>
    <w:rsid w:val="004F34F3"/>
    <w:rsid w:val="004F3FE9"/>
    <w:rsid w:val="004F402D"/>
    <w:rsid w:val="004F4A0C"/>
    <w:rsid w:val="004F63B7"/>
    <w:rsid w:val="00502897"/>
    <w:rsid w:val="005033BE"/>
    <w:rsid w:val="00504903"/>
    <w:rsid w:val="005067BB"/>
    <w:rsid w:val="005073A0"/>
    <w:rsid w:val="00510F15"/>
    <w:rsid w:val="00511362"/>
    <w:rsid w:val="00513176"/>
    <w:rsid w:val="00515B0E"/>
    <w:rsid w:val="005261AA"/>
    <w:rsid w:val="00530709"/>
    <w:rsid w:val="00532DF0"/>
    <w:rsid w:val="00534744"/>
    <w:rsid w:val="00540948"/>
    <w:rsid w:val="00547417"/>
    <w:rsid w:val="005524CB"/>
    <w:rsid w:val="00554579"/>
    <w:rsid w:val="005548C6"/>
    <w:rsid w:val="00560A13"/>
    <w:rsid w:val="0056642D"/>
    <w:rsid w:val="00570657"/>
    <w:rsid w:val="00571C50"/>
    <w:rsid w:val="005725C5"/>
    <w:rsid w:val="005726E1"/>
    <w:rsid w:val="005737A8"/>
    <w:rsid w:val="00575A5D"/>
    <w:rsid w:val="00575FFF"/>
    <w:rsid w:val="005760BE"/>
    <w:rsid w:val="00576A44"/>
    <w:rsid w:val="00577894"/>
    <w:rsid w:val="00580988"/>
    <w:rsid w:val="00580B83"/>
    <w:rsid w:val="00582FC3"/>
    <w:rsid w:val="005846FC"/>
    <w:rsid w:val="00585B94"/>
    <w:rsid w:val="0058654F"/>
    <w:rsid w:val="0059034A"/>
    <w:rsid w:val="00592F41"/>
    <w:rsid w:val="00594009"/>
    <w:rsid w:val="00595F4D"/>
    <w:rsid w:val="005962AF"/>
    <w:rsid w:val="00596C73"/>
    <w:rsid w:val="005A3954"/>
    <w:rsid w:val="005B1749"/>
    <w:rsid w:val="005B3F17"/>
    <w:rsid w:val="005B51AB"/>
    <w:rsid w:val="005B7C4B"/>
    <w:rsid w:val="005C2FDC"/>
    <w:rsid w:val="005C434A"/>
    <w:rsid w:val="005C60B4"/>
    <w:rsid w:val="005C6A0B"/>
    <w:rsid w:val="005D185D"/>
    <w:rsid w:val="005D1AC7"/>
    <w:rsid w:val="005D1B31"/>
    <w:rsid w:val="005D1D85"/>
    <w:rsid w:val="005D24AC"/>
    <w:rsid w:val="005D42F4"/>
    <w:rsid w:val="005D5F25"/>
    <w:rsid w:val="005D5F82"/>
    <w:rsid w:val="005D66BB"/>
    <w:rsid w:val="005D6ADD"/>
    <w:rsid w:val="005D6D82"/>
    <w:rsid w:val="005D7767"/>
    <w:rsid w:val="005E0907"/>
    <w:rsid w:val="005E0C4D"/>
    <w:rsid w:val="005E0EF5"/>
    <w:rsid w:val="005E4061"/>
    <w:rsid w:val="005E6A59"/>
    <w:rsid w:val="005E716C"/>
    <w:rsid w:val="005F10C5"/>
    <w:rsid w:val="005F281E"/>
    <w:rsid w:val="005F2C64"/>
    <w:rsid w:val="005F321E"/>
    <w:rsid w:val="005F3A7D"/>
    <w:rsid w:val="005F4DF6"/>
    <w:rsid w:val="005F6EB5"/>
    <w:rsid w:val="00602CAB"/>
    <w:rsid w:val="0060616C"/>
    <w:rsid w:val="006128BE"/>
    <w:rsid w:val="00612EBD"/>
    <w:rsid w:val="0061392E"/>
    <w:rsid w:val="006167BC"/>
    <w:rsid w:val="00616E79"/>
    <w:rsid w:val="006235DB"/>
    <w:rsid w:val="00626D38"/>
    <w:rsid w:val="00630902"/>
    <w:rsid w:val="006309FF"/>
    <w:rsid w:val="00634CDE"/>
    <w:rsid w:val="0063542B"/>
    <w:rsid w:val="0063651F"/>
    <w:rsid w:val="00640F5C"/>
    <w:rsid w:val="00644578"/>
    <w:rsid w:val="00644FD2"/>
    <w:rsid w:val="00647802"/>
    <w:rsid w:val="006503FC"/>
    <w:rsid w:val="006504BC"/>
    <w:rsid w:val="00651193"/>
    <w:rsid w:val="00651590"/>
    <w:rsid w:val="00653E8E"/>
    <w:rsid w:val="006572C8"/>
    <w:rsid w:val="00657D91"/>
    <w:rsid w:val="00657E95"/>
    <w:rsid w:val="0066267B"/>
    <w:rsid w:val="006643F5"/>
    <w:rsid w:val="00665401"/>
    <w:rsid w:val="00665413"/>
    <w:rsid w:val="00672632"/>
    <w:rsid w:val="00674633"/>
    <w:rsid w:val="0067555E"/>
    <w:rsid w:val="0067565D"/>
    <w:rsid w:val="0067615B"/>
    <w:rsid w:val="00680EEB"/>
    <w:rsid w:val="00681918"/>
    <w:rsid w:val="00683739"/>
    <w:rsid w:val="006838A2"/>
    <w:rsid w:val="00684E4A"/>
    <w:rsid w:val="00686829"/>
    <w:rsid w:val="00686970"/>
    <w:rsid w:val="00686AA8"/>
    <w:rsid w:val="00687A40"/>
    <w:rsid w:val="006A0FB6"/>
    <w:rsid w:val="006A18CA"/>
    <w:rsid w:val="006A3058"/>
    <w:rsid w:val="006A34C4"/>
    <w:rsid w:val="006A4747"/>
    <w:rsid w:val="006A52B5"/>
    <w:rsid w:val="006A585E"/>
    <w:rsid w:val="006A59AE"/>
    <w:rsid w:val="006B17C9"/>
    <w:rsid w:val="006B1D95"/>
    <w:rsid w:val="006B29D1"/>
    <w:rsid w:val="006B3003"/>
    <w:rsid w:val="006B5855"/>
    <w:rsid w:val="006B7FDF"/>
    <w:rsid w:val="006C1578"/>
    <w:rsid w:val="006C6131"/>
    <w:rsid w:val="006C61B8"/>
    <w:rsid w:val="006C67EF"/>
    <w:rsid w:val="006D0895"/>
    <w:rsid w:val="006D1431"/>
    <w:rsid w:val="006D1BF2"/>
    <w:rsid w:val="006D72FA"/>
    <w:rsid w:val="006E29D1"/>
    <w:rsid w:val="006E6DCB"/>
    <w:rsid w:val="006E788B"/>
    <w:rsid w:val="006F02A4"/>
    <w:rsid w:val="006F1452"/>
    <w:rsid w:val="006F2303"/>
    <w:rsid w:val="006F3F5C"/>
    <w:rsid w:val="006F6DA6"/>
    <w:rsid w:val="007004A1"/>
    <w:rsid w:val="00701405"/>
    <w:rsid w:val="0070172D"/>
    <w:rsid w:val="007064FF"/>
    <w:rsid w:val="00711D0F"/>
    <w:rsid w:val="007133EE"/>
    <w:rsid w:val="00717C18"/>
    <w:rsid w:val="00721E5A"/>
    <w:rsid w:val="007221BF"/>
    <w:rsid w:val="00723703"/>
    <w:rsid w:val="00724F25"/>
    <w:rsid w:val="007260AC"/>
    <w:rsid w:val="00730E6F"/>
    <w:rsid w:val="00731292"/>
    <w:rsid w:val="00731A6A"/>
    <w:rsid w:val="007330BB"/>
    <w:rsid w:val="00733D58"/>
    <w:rsid w:val="007356FA"/>
    <w:rsid w:val="0073627E"/>
    <w:rsid w:val="00740B73"/>
    <w:rsid w:val="00740DD3"/>
    <w:rsid w:val="007436DF"/>
    <w:rsid w:val="0074466A"/>
    <w:rsid w:val="0075108E"/>
    <w:rsid w:val="0075535A"/>
    <w:rsid w:val="00756496"/>
    <w:rsid w:val="0076525B"/>
    <w:rsid w:val="00765F9F"/>
    <w:rsid w:val="0076751B"/>
    <w:rsid w:val="00767974"/>
    <w:rsid w:val="00767E8A"/>
    <w:rsid w:val="00771991"/>
    <w:rsid w:val="00772C35"/>
    <w:rsid w:val="00772EBC"/>
    <w:rsid w:val="007730B9"/>
    <w:rsid w:val="00774F5F"/>
    <w:rsid w:val="007816C9"/>
    <w:rsid w:val="0078450E"/>
    <w:rsid w:val="007860C0"/>
    <w:rsid w:val="007930F1"/>
    <w:rsid w:val="007A01F0"/>
    <w:rsid w:val="007A0FC4"/>
    <w:rsid w:val="007A1C38"/>
    <w:rsid w:val="007A203D"/>
    <w:rsid w:val="007A45E3"/>
    <w:rsid w:val="007B06A8"/>
    <w:rsid w:val="007B0B58"/>
    <w:rsid w:val="007C147C"/>
    <w:rsid w:val="007C2D3D"/>
    <w:rsid w:val="007C37EE"/>
    <w:rsid w:val="007C5492"/>
    <w:rsid w:val="007C62EC"/>
    <w:rsid w:val="007C760F"/>
    <w:rsid w:val="007C78C7"/>
    <w:rsid w:val="007C7EEF"/>
    <w:rsid w:val="007C7FFE"/>
    <w:rsid w:val="007D1199"/>
    <w:rsid w:val="007D2348"/>
    <w:rsid w:val="007D469C"/>
    <w:rsid w:val="007D58AF"/>
    <w:rsid w:val="007E2327"/>
    <w:rsid w:val="007E3E43"/>
    <w:rsid w:val="007E4721"/>
    <w:rsid w:val="007E4C10"/>
    <w:rsid w:val="007F4259"/>
    <w:rsid w:val="007F68F7"/>
    <w:rsid w:val="007F6B11"/>
    <w:rsid w:val="00802837"/>
    <w:rsid w:val="00802BC8"/>
    <w:rsid w:val="008102A3"/>
    <w:rsid w:val="0081223C"/>
    <w:rsid w:val="00812438"/>
    <w:rsid w:val="008124C0"/>
    <w:rsid w:val="00815227"/>
    <w:rsid w:val="00815618"/>
    <w:rsid w:val="0083071A"/>
    <w:rsid w:val="00836EE1"/>
    <w:rsid w:val="00840C98"/>
    <w:rsid w:val="008434CD"/>
    <w:rsid w:val="00844A81"/>
    <w:rsid w:val="00845DB6"/>
    <w:rsid w:val="008505ED"/>
    <w:rsid w:val="008510B9"/>
    <w:rsid w:val="00851DF5"/>
    <w:rsid w:val="00852028"/>
    <w:rsid w:val="00853A3F"/>
    <w:rsid w:val="00853B0D"/>
    <w:rsid w:val="00855783"/>
    <w:rsid w:val="008569C4"/>
    <w:rsid w:val="0086065B"/>
    <w:rsid w:val="008619A9"/>
    <w:rsid w:val="00866786"/>
    <w:rsid w:val="00866CEB"/>
    <w:rsid w:val="00870DD8"/>
    <w:rsid w:val="00872615"/>
    <w:rsid w:val="00872825"/>
    <w:rsid w:val="008743FB"/>
    <w:rsid w:val="008745F4"/>
    <w:rsid w:val="0087657B"/>
    <w:rsid w:val="00877D36"/>
    <w:rsid w:val="008922FC"/>
    <w:rsid w:val="00892FB7"/>
    <w:rsid w:val="008934E6"/>
    <w:rsid w:val="00894746"/>
    <w:rsid w:val="00894D1F"/>
    <w:rsid w:val="008A5290"/>
    <w:rsid w:val="008A57F5"/>
    <w:rsid w:val="008A5E2E"/>
    <w:rsid w:val="008A7CCE"/>
    <w:rsid w:val="008B5602"/>
    <w:rsid w:val="008B6A41"/>
    <w:rsid w:val="008D0A65"/>
    <w:rsid w:val="008D1BD6"/>
    <w:rsid w:val="008D2823"/>
    <w:rsid w:val="008D2CCC"/>
    <w:rsid w:val="008D2D31"/>
    <w:rsid w:val="008D43C8"/>
    <w:rsid w:val="008D6A70"/>
    <w:rsid w:val="008D6B5E"/>
    <w:rsid w:val="008E0D48"/>
    <w:rsid w:val="008E12EC"/>
    <w:rsid w:val="008E3261"/>
    <w:rsid w:val="008E5D74"/>
    <w:rsid w:val="008F13E9"/>
    <w:rsid w:val="008F14B0"/>
    <w:rsid w:val="008F1AA8"/>
    <w:rsid w:val="008F4CB6"/>
    <w:rsid w:val="008F551A"/>
    <w:rsid w:val="008F5F03"/>
    <w:rsid w:val="008F63A9"/>
    <w:rsid w:val="0090333F"/>
    <w:rsid w:val="009071C0"/>
    <w:rsid w:val="00913BCC"/>
    <w:rsid w:val="00915E07"/>
    <w:rsid w:val="00917CEE"/>
    <w:rsid w:val="009246CB"/>
    <w:rsid w:val="00924E0B"/>
    <w:rsid w:val="00925B32"/>
    <w:rsid w:val="00932873"/>
    <w:rsid w:val="00934217"/>
    <w:rsid w:val="00934BB4"/>
    <w:rsid w:val="0093624A"/>
    <w:rsid w:val="0094039C"/>
    <w:rsid w:val="00941FCD"/>
    <w:rsid w:val="00947524"/>
    <w:rsid w:val="00953029"/>
    <w:rsid w:val="009549E2"/>
    <w:rsid w:val="00955614"/>
    <w:rsid w:val="009600DB"/>
    <w:rsid w:val="00960787"/>
    <w:rsid w:val="009645BB"/>
    <w:rsid w:val="00965470"/>
    <w:rsid w:val="00965C04"/>
    <w:rsid w:val="0096793A"/>
    <w:rsid w:val="00971480"/>
    <w:rsid w:val="009721FE"/>
    <w:rsid w:val="00977144"/>
    <w:rsid w:val="00982B46"/>
    <w:rsid w:val="00982D1F"/>
    <w:rsid w:val="00984E65"/>
    <w:rsid w:val="00991EC2"/>
    <w:rsid w:val="009951A3"/>
    <w:rsid w:val="009A0C63"/>
    <w:rsid w:val="009A15BE"/>
    <w:rsid w:val="009A533E"/>
    <w:rsid w:val="009A5AA5"/>
    <w:rsid w:val="009A7938"/>
    <w:rsid w:val="009B081E"/>
    <w:rsid w:val="009B3602"/>
    <w:rsid w:val="009B425B"/>
    <w:rsid w:val="009B44B4"/>
    <w:rsid w:val="009B5BBC"/>
    <w:rsid w:val="009B618E"/>
    <w:rsid w:val="009B71CD"/>
    <w:rsid w:val="009C223B"/>
    <w:rsid w:val="009C2613"/>
    <w:rsid w:val="009C2D71"/>
    <w:rsid w:val="009C353F"/>
    <w:rsid w:val="009C6ACE"/>
    <w:rsid w:val="009D0B7B"/>
    <w:rsid w:val="009D2F2D"/>
    <w:rsid w:val="009E0216"/>
    <w:rsid w:val="009E1074"/>
    <w:rsid w:val="009E1ACB"/>
    <w:rsid w:val="009E4D2B"/>
    <w:rsid w:val="009E65DF"/>
    <w:rsid w:val="009F2D8F"/>
    <w:rsid w:val="009F76D7"/>
    <w:rsid w:val="00A01106"/>
    <w:rsid w:val="00A01B09"/>
    <w:rsid w:val="00A039C1"/>
    <w:rsid w:val="00A04C6B"/>
    <w:rsid w:val="00A062F3"/>
    <w:rsid w:val="00A06681"/>
    <w:rsid w:val="00A10745"/>
    <w:rsid w:val="00A11372"/>
    <w:rsid w:val="00A14C29"/>
    <w:rsid w:val="00A14F72"/>
    <w:rsid w:val="00A163BD"/>
    <w:rsid w:val="00A16A37"/>
    <w:rsid w:val="00A16D77"/>
    <w:rsid w:val="00A170E4"/>
    <w:rsid w:val="00A22B40"/>
    <w:rsid w:val="00A238E3"/>
    <w:rsid w:val="00A24704"/>
    <w:rsid w:val="00A31935"/>
    <w:rsid w:val="00A47039"/>
    <w:rsid w:val="00A54805"/>
    <w:rsid w:val="00A56145"/>
    <w:rsid w:val="00A57F6E"/>
    <w:rsid w:val="00A61210"/>
    <w:rsid w:val="00A61790"/>
    <w:rsid w:val="00A648DB"/>
    <w:rsid w:val="00A703E3"/>
    <w:rsid w:val="00A72BB3"/>
    <w:rsid w:val="00A72CE2"/>
    <w:rsid w:val="00A7374A"/>
    <w:rsid w:val="00A87098"/>
    <w:rsid w:val="00A95343"/>
    <w:rsid w:val="00A95FD6"/>
    <w:rsid w:val="00A966A2"/>
    <w:rsid w:val="00A96ADB"/>
    <w:rsid w:val="00AA2A93"/>
    <w:rsid w:val="00AA2F1B"/>
    <w:rsid w:val="00AA3129"/>
    <w:rsid w:val="00AA3442"/>
    <w:rsid w:val="00AA3772"/>
    <w:rsid w:val="00AA52EE"/>
    <w:rsid w:val="00AA5EAA"/>
    <w:rsid w:val="00AB28B5"/>
    <w:rsid w:val="00AB630B"/>
    <w:rsid w:val="00AC3AFA"/>
    <w:rsid w:val="00AC3B54"/>
    <w:rsid w:val="00AC4D7F"/>
    <w:rsid w:val="00AC6D78"/>
    <w:rsid w:val="00AC7E0E"/>
    <w:rsid w:val="00AD16DB"/>
    <w:rsid w:val="00AD1F9C"/>
    <w:rsid w:val="00AD55DC"/>
    <w:rsid w:val="00AD6960"/>
    <w:rsid w:val="00AE025B"/>
    <w:rsid w:val="00AE0D64"/>
    <w:rsid w:val="00AE4941"/>
    <w:rsid w:val="00AF0BEB"/>
    <w:rsid w:val="00AF21C2"/>
    <w:rsid w:val="00AF55D2"/>
    <w:rsid w:val="00AF581F"/>
    <w:rsid w:val="00B03294"/>
    <w:rsid w:val="00B0422C"/>
    <w:rsid w:val="00B043AC"/>
    <w:rsid w:val="00B07094"/>
    <w:rsid w:val="00B12609"/>
    <w:rsid w:val="00B2078D"/>
    <w:rsid w:val="00B242C4"/>
    <w:rsid w:val="00B2546D"/>
    <w:rsid w:val="00B26250"/>
    <w:rsid w:val="00B26947"/>
    <w:rsid w:val="00B27CC5"/>
    <w:rsid w:val="00B30F47"/>
    <w:rsid w:val="00B31648"/>
    <w:rsid w:val="00B3269C"/>
    <w:rsid w:val="00B3707F"/>
    <w:rsid w:val="00B40A31"/>
    <w:rsid w:val="00B40F83"/>
    <w:rsid w:val="00B45B8C"/>
    <w:rsid w:val="00B45CC9"/>
    <w:rsid w:val="00B461C8"/>
    <w:rsid w:val="00B50E55"/>
    <w:rsid w:val="00B51070"/>
    <w:rsid w:val="00B56314"/>
    <w:rsid w:val="00B6337A"/>
    <w:rsid w:val="00B63CBF"/>
    <w:rsid w:val="00B70B6C"/>
    <w:rsid w:val="00B70B6D"/>
    <w:rsid w:val="00B7680C"/>
    <w:rsid w:val="00B806ED"/>
    <w:rsid w:val="00B80AB6"/>
    <w:rsid w:val="00B92AB4"/>
    <w:rsid w:val="00B960DF"/>
    <w:rsid w:val="00B96D4D"/>
    <w:rsid w:val="00BA1C8C"/>
    <w:rsid w:val="00BA3131"/>
    <w:rsid w:val="00BA3B52"/>
    <w:rsid w:val="00BA594C"/>
    <w:rsid w:val="00BA5B4F"/>
    <w:rsid w:val="00BA7888"/>
    <w:rsid w:val="00BB39DE"/>
    <w:rsid w:val="00BB5ADA"/>
    <w:rsid w:val="00BB695D"/>
    <w:rsid w:val="00BC2E4F"/>
    <w:rsid w:val="00BC3087"/>
    <w:rsid w:val="00BC5F1F"/>
    <w:rsid w:val="00BC6AA2"/>
    <w:rsid w:val="00BD12C5"/>
    <w:rsid w:val="00BD1BDA"/>
    <w:rsid w:val="00BD207B"/>
    <w:rsid w:val="00BD3EF6"/>
    <w:rsid w:val="00BD7CFA"/>
    <w:rsid w:val="00BE0C8F"/>
    <w:rsid w:val="00BE0E76"/>
    <w:rsid w:val="00BE2C52"/>
    <w:rsid w:val="00BE4E53"/>
    <w:rsid w:val="00BF05B9"/>
    <w:rsid w:val="00BF1297"/>
    <w:rsid w:val="00BF1631"/>
    <w:rsid w:val="00BF4F29"/>
    <w:rsid w:val="00BF54BA"/>
    <w:rsid w:val="00BF571E"/>
    <w:rsid w:val="00BF6D42"/>
    <w:rsid w:val="00C06FCD"/>
    <w:rsid w:val="00C10030"/>
    <w:rsid w:val="00C1702F"/>
    <w:rsid w:val="00C25D91"/>
    <w:rsid w:val="00C32A6F"/>
    <w:rsid w:val="00C34B6F"/>
    <w:rsid w:val="00C35F68"/>
    <w:rsid w:val="00C37B5C"/>
    <w:rsid w:val="00C42051"/>
    <w:rsid w:val="00C52CF4"/>
    <w:rsid w:val="00C6677A"/>
    <w:rsid w:val="00C66938"/>
    <w:rsid w:val="00C6731E"/>
    <w:rsid w:val="00C67CDE"/>
    <w:rsid w:val="00C70242"/>
    <w:rsid w:val="00C8450D"/>
    <w:rsid w:val="00C85F9E"/>
    <w:rsid w:val="00C861F3"/>
    <w:rsid w:val="00C9261A"/>
    <w:rsid w:val="00C93C5F"/>
    <w:rsid w:val="00C93D6D"/>
    <w:rsid w:val="00C95487"/>
    <w:rsid w:val="00CA2CF0"/>
    <w:rsid w:val="00CA3BCF"/>
    <w:rsid w:val="00CA48FA"/>
    <w:rsid w:val="00CA64B0"/>
    <w:rsid w:val="00CA7A61"/>
    <w:rsid w:val="00CC0F99"/>
    <w:rsid w:val="00CC3457"/>
    <w:rsid w:val="00CC41F7"/>
    <w:rsid w:val="00CC4FC5"/>
    <w:rsid w:val="00CC6516"/>
    <w:rsid w:val="00CD02D2"/>
    <w:rsid w:val="00CD46C0"/>
    <w:rsid w:val="00CD4AB7"/>
    <w:rsid w:val="00CD61D9"/>
    <w:rsid w:val="00CE186E"/>
    <w:rsid w:val="00CE453D"/>
    <w:rsid w:val="00CE4FAD"/>
    <w:rsid w:val="00CE69D3"/>
    <w:rsid w:val="00CF06BF"/>
    <w:rsid w:val="00CF2413"/>
    <w:rsid w:val="00CF259F"/>
    <w:rsid w:val="00CF2E47"/>
    <w:rsid w:val="00CF35A6"/>
    <w:rsid w:val="00CF3C6C"/>
    <w:rsid w:val="00CF7010"/>
    <w:rsid w:val="00CF7B32"/>
    <w:rsid w:val="00D155EF"/>
    <w:rsid w:val="00D20747"/>
    <w:rsid w:val="00D20E1A"/>
    <w:rsid w:val="00D23650"/>
    <w:rsid w:val="00D2586A"/>
    <w:rsid w:val="00D25B7E"/>
    <w:rsid w:val="00D2626D"/>
    <w:rsid w:val="00D26C55"/>
    <w:rsid w:val="00D279DF"/>
    <w:rsid w:val="00D30A13"/>
    <w:rsid w:val="00D32AA4"/>
    <w:rsid w:val="00D32E3D"/>
    <w:rsid w:val="00D34F81"/>
    <w:rsid w:val="00D37639"/>
    <w:rsid w:val="00D37BE3"/>
    <w:rsid w:val="00D41A3E"/>
    <w:rsid w:val="00D43B66"/>
    <w:rsid w:val="00D51FCF"/>
    <w:rsid w:val="00D5242C"/>
    <w:rsid w:val="00D52F0A"/>
    <w:rsid w:val="00D5329C"/>
    <w:rsid w:val="00D53ADD"/>
    <w:rsid w:val="00D574B8"/>
    <w:rsid w:val="00D63659"/>
    <w:rsid w:val="00D6728C"/>
    <w:rsid w:val="00D73274"/>
    <w:rsid w:val="00D758AB"/>
    <w:rsid w:val="00D75C32"/>
    <w:rsid w:val="00D761C2"/>
    <w:rsid w:val="00D90DCB"/>
    <w:rsid w:val="00D91BEB"/>
    <w:rsid w:val="00D91D05"/>
    <w:rsid w:val="00D933B7"/>
    <w:rsid w:val="00D94E49"/>
    <w:rsid w:val="00D95C78"/>
    <w:rsid w:val="00D973D0"/>
    <w:rsid w:val="00D9750B"/>
    <w:rsid w:val="00DA192B"/>
    <w:rsid w:val="00DA1C2A"/>
    <w:rsid w:val="00DA3654"/>
    <w:rsid w:val="00DA3BD1"/>
    <w:rsid w:val="00DB00BC"/>
    <w:rsid w:val="00DB1D36"/>
    <w:rsid w:val="00DB2346"/>
    <w:rsid w:val="00DB6059"/>
    <w:rsid w:val="00DB7C98"/>
    <w:rsid w:val="00DC173D"/>
    <w:rsid w:val="00DC4F12"/>
    <w:rsid w:val="00DC5A68"/>
    <w:rsid w:val="00DC703E"/>
    <w:rsid w:val="00DD1704"/>
    <w:rsid w:val="00DD3BD8"/>
    <w:rsid w:val="00DD7872"/>
    <w:rsid w:val="00DE0EBD"/>
    <w:rsid w:val="00DE1B52"/>
    <w:rsid w:val="00DF2360"/>
    <w:rsid w:val="00DF25A3"/>
    <w:rsid w:val="00DF2C89"/>
    <w:rsid w:val="00DF6816"/>
    <w:rsid w:val="00E0685A"/>
    <w:rsid w:val="00E06B96"/>
    <w:rsid w:val="00E07EEF"/>
    <w:rsid w:val="00E1029B"/>
    <w:rsid w:val="00E12383"/>
    <w:rsid w:val="00E15135"/>
    <w:rsid w:val="00E26DAA"/>
    <w:rsid w:val="00E27453"/>
    <w:rsid w:val="00E27935"/>
    <w:rsid w:val="00E30F8E"/>
    <w:rsid w:val="00E31602"/>
    <w:rsid w:val="00E3452C"/>
    <w:rsid w:val="00E37259"/>
    <w:rsid w:val="00E3739D"/>
    <w:rsid w:val="00E37456"/>
    <w:rsid w:val="00E410AB"/>
    <w:rsid w:val="00E4275B"/>
    <w:rsid w:val="00E4399D"/>
    <w:rsid w:val="00E46357"/>
    <w:rsid w:val="00E46FB8"/>
    <w:rsid w:val="00E471BE"/>
    <w:rsid w:val="00E478D3"/>
    <w:rsid w:val="00E51806"/>
    <w:rsid w:val="00E521DA"/>
    <w:rsid w:val="00E55393"/>
    <w:rsid w:val="00E56401"/>
    <w:rsid w:val="00E56AAF"/>
    <w:rsid w:val="00E57A86"/>
    <w:rsid w:val="00E61687"/>
    <w:rsid w:val="00E619D8"/>
    <w:rsid w:val="00E61CFE"/>
    <w:rsid w:val="00E70E4B"/>
    <w:rsid w:val="00E72608"/>
    <w:rsid w:val="00E77EB2"/>
    <w:rsid w:val="00E811A7"/>
    <w:rsid w:val="00E81D28"/>
    <w:rsid w:val="00E86B83"/>
    <w:rsid w:val="00E920A7"/>
    <w:rsid w:val="00E94392"/>
    <w:rsid w:val="00E979D2"/>
    <w:rsid w:val="00EA34B4"/>
    <w:rsid w:val="00EA3DE4"/>
    <w:rsid w:val="00EA47A2"/>
    <w:rsid w:val="00EB19F3"/>
    <w:rsid w:val="00EB3B4C"/>
    <w:rsid w:val="00EB5793"/>
    <w:rsid w:val="00EB6074"/>
    <w:rsid w:val="00EB62D7"/>
    <w:rsid w:val="00EC0B17"/>
    <w:rsid w:val="00EC0D20"/>
    <w:rsid w:val="00EC4B0F"/>
    <w:rsid w:val="00EC4BBA"/>
    <w:rsid w:val="00EC519C"/>
    <w:rsid w:val="00ED117C"/>
    <w:rsid w:val="00ED4349"/>
    <w:rsid w:val="00ED506C"/>
    <w:rsid w:val="00ED70B1"/>
    <w:rsid w:val="00EE1700"/>
    <w:rsid w:val="00EE186F"/>
    <w:rsid w:val="00EE2A4D"/>
    <w:rsid w:val="00EE7A9E"/>
    <w:rsid w:val="00EF0336"/>
    <w:rsid w:val="00EF73DE"/>
    <w:rsid w:val="00F05F0F"/>
    <w:rsid w:val="00F10094"/>
    <w:rsid w:val="00F10D94"/>
    <w:rsid w:val="00F207CD"/>
    <w:rsid w:val="00F21836"/>
    <w:rsid w:val="00F23475"/>
    <w:rsid w:val="00F2575F"/>
    <w:rsid w:val="00F25E89"/>
    <w:rsid w:val="00F278D5"/>
    <w:rsid w:val="00F27C3C"/>
    <w:rsid w:val="00F36966"/>
    <w:rsid w:val="00F37133"/>
    <w:rsid w:val="00F40A1D"/>
    <w:rsid w:val="00F430EE"/>
    <w:rsid w:val="00F437F8"/>
    <w:rsid w:val="00F453F1"/>
    <w:rsid w:val="00F465E7"/>
    <w:rsid w:val="00F503EE"/>
    <w:rsid w:val="00F55497"/>
    <w:rsid w:val="00F601E9"/>
    <w:rsid w:val="00F6278C"/>
    <w:rsid w:val="00F70D3D"/>
    <w:rsid w:val="00F735D2"/>
    <w:rsid w:val="00F735F8"/>
    <w:rsid w:val="00F7565A"/>
    <w:rsid w:val="00F76084"/>
    <w:rsid w:val="00F76CAD"/>
    <w:rsid w:val="00F77D80"/>
    <w:rsid w:val="00F878BF"/>
    <w:rsid w:val="00F91C7F"/>
    <w:rsid w:val="00F92B15"/>
    <w:rsid w:val="00F96593"/>
    <w:rsid w:val="00FA09AB"/>
    <w:rsid w:val="00FA1550"/>
    <w:rsid w:val="00FA1578"/>
    <w:rsid w:val="00FA7D23"/>
    <w:rsid w:val="00FA7F1C"/>
    <w:rsid w:val="00FB3A23"/>
    <w:rsid w:val="00FB49E3"/>
    <w:rsid w:val="00FC0999"/>
    <w:rsid w:val="00FC0BB6"/>
    <w:rsid w:val="00FC7BEE"/>
    <w:rsid w:val="00FD17BA"/>
    <w:rsid w:val="00FD1AEE"/>
    <w:rsid w:val="00FD349C"/>
    <w:rsid w:val="00FD6E2F"/>
    <w:rsid w:val="00FD72DA"/>
    <w:rsid w:val="00FF2E86"/>
    <w:rsid w:val="00FF4292"/>
    <w:rsid w:val="00FF4C53"/>
    <w:rsid w:val="00FF5EC9"/>
    <w:rsid w:val="00FF638B"/>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055430-D0DA-4693-B349-2BA65F32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E3"/>
    <w:rPr>
      <w:sz w:val="20"/>
      <w:szCs w:val="20"/>
      <w:lang w:val="es-ES" w:eastAsia="es-ES"/>
    </w:rPr>
  </w:style>
  <w:style w:type="paragraph" w:styleId="Ttulo1">
    <w:name w:val="heading 1"/>
    <w:basedOn w:val="Normal"/>
    <w:next w:val="Normal"/>
    <w:link w:val="Ttulo1Car"/>
    <w:uiPriority w:val="99"/>
    <w:qFormat/>
    <w:rsid w:val="00A238E3"/>
    <w:pPr>
      <w:keepNext/>
      <w:spacing w:line="360" w:lineRule="auto"/>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Times New Roman"/>
      <w:spacing w:val="-3"/>
      <w:sz w:val="24"/>
      <w:lang w:val="es-ES_tradnl" w:eastAsia="es-ES"/>
    </w:rPr>
  </w:style>
  <w:style w:type="paragraph" w:styleId="Sinespaciado">
    <w:name w:val="No Spacing"/>
    <w:link w:val="SinespaciadoCar1"/>
    <w:uiPriority w:val="1"/>
    <w:qFormat/>
    <w:rsid w:val="0040704F"/>
    <w:pPr>
      <w:widowControl w:val="0"/>
      <w:autoSpaceDE w:val="0"/>
      <w:autoSpaceDN w:val="0"/>
      <w:adjustRightInd w:val="0"/>
    </w:pPr>
    <w:rPr>
      <w:rFonts w:ascii="Courier New" w:hAnsi="Courier New"/>
      <w:sz w:val="24"/>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934BB4"/>
    <w:rPr>
      <w:rFonts w:cs="Times New Roman"/>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rFonts w:cs="Times New Roman"/>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rFonts w:cs="Times New Roman"/>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imes New Roman"/>
      <w:sz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187F98"/>
    <w:rPr>
      <w:rFonts w:cs="Times New Roman"/>
      <w:vertAlign w:val="superscript"/>
    </w:rPr>
  </w:style>
  <w:style w:type="character" w:customStyle="1" w:styleId="SinespaciadoCar1">
    <w:name w:val="Sin espaciado Car1"/>
    <w:link w:val="Sinespaciado"/>
    <w:uiPriority w:val="99"/>
    <w:locked/>
    <w:rsid w:val="0013799C"/>
    <w:rPr>
      <w:rFonts w:ascii="Courier New" w:hAnsi="Courier New"/>
      <w:sz w:val="24"/>
      <w:lang w:val="es-ES" w:eastAsia="es-ES"/>
    </w:rPr>
  </w:style>
  <w:style w:type="paragraph" w:styleId="Puesto">
    <w:name w:val="Title"/>
    <w:basedOn w:val="Normal"/>
    <w:link w:val="PuestoCar"/>
    <w:uiPriority w:val="99"/>
    <w:qFormat/>
    <w:rsid w:val="00310452"/>
    <w:pPr>
      <w:jc w:val="center"/>
    </w:pPr>
    <w:rPr>
      <w:rFonts w:ascii="Arial" w:hAnsi="Arial"/>
      <w:b/>
      <w:i/>
      <w:sz w:val="24"/>
    </w:rPr>
  </w:style>
  <w:style w:type="character" w:customStyle="1" w:styleId="PuestoCar">
    <w:name w:val="Puesto Car"/>
    <w:basedOn w:val="Fuentedeprrafopredeter"/>
    <w:link w:val="Puesto"/>
    <w:uiPriority w:val="99"/>
    <w:locked/>
    <w:rsid w:val="00310452"/>
    <w:rPr>
      <w:rFonts w:ascii="Arial" w:hAnsi="Arial" w:cs="Times New Roman"/>
      <w:b/>
      <w:i/>
      <w:sz w:val="24"/>
      <w:lang w:val="es-ES" w:eastAsia="es-ES"/>
    </w:rPr>
  </w:style>
  <w:style w:type="paragraph" w:styleId="Prrafodelista">
    <w:name w:val="List Paragraph"/>
    <w:basedOn w:val="Normal"/>
    <w:uiPriority w:val="99"/>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1"/>
    <w:locked/>
    <w:rsid w:val="00283F3B"/>
    <w:rPr>
      <w:rFonts w:ascii="Courier New" w:hAnsi="Courier New"/>
      <w:sz w:val="24"/>
      <w:lang w:val="es-ES" w:eastAsia="es-ES"/>
    </w:rPr>
  </w:style>
  <w:style w:type="character" w:customStyle="1" w:styleId="nota-final">
    <w:name w:val="nota-final"/>
    <w:basedOn w:val="Fuentedeprrafopredeter"/>
    <w:rsid w:val="004A4B66"/>
  </w:style>
  <w:style w:type="character" w:styleId="Hipervnculo">
    <w:name w:val="Hyperlink"/>
    <w:basedOn w:val="Fuentedeprrafopredeter"/>
    <w:uiPriority w:val="99"/>
    <w:semiHidden/>
    <w:unhideWhenUsed/>
    <w:rsid w:val="004A4B66"/>
    <w:rPr>
      <w:color w:val="0000FF"/>
      <w:u w:val="single"/>
    </w:rPr>
  </w:style>
  <w:style w:type="paragraph" w:styleId="NormalWeb">
    <w:name w:val="Normal (Web)"/>
    <w:basedOn w:val="Normal"/>
    <w:uiPriority w:val="99"/>
    <w:semiHidden/>
    <w:unhideWhenUsed/>
    <w:rsid w:val="007E2327"/>
    <w:pPr>
      <w:spacing w:before="100" w:beforeAutospacing="1" w:after="100" w:afterAutospacing="1"/>
    </w:pPr>
    <w:rPr>
      <w:sz w:val="24"/>
      <w:szCs w:val="24"/>
    </w:rPr>
  </w:style>
  <w:style w:type="character" w:customStyle="1" w:styleId="apple-converted-space">
    <w:name w:val="apple-converted-space"/>
    <w:basedOn w:val="Fuentedeprrafopredeter"/>
    <w:rsid w:val="007E2327"/>
  </w:style>
  <w:style w:type="character" w:styleId="CitaHTML">
    <w:name w:val="HTML Cite"/>
    <w:basedOn w:val="Fuentedeprrafopredeter"/>
    <w:uiPriority w:val="99"/>
    <w:unhideWhenUsed/>
    <w:rsid w:val="007436DF"/>
    <w:rPr>
      <w:rFonts w:cs="Times New Roman"/>
      <w:i/>
    </w:rPr>
  </w:style>
  <w:style w:type="paragraph" w:styleId="Sangradetextonormal">
    <w:name w:val="Body Text Indent"/>
    <w:basedOn w:val="Normal"/>
    <w:link w:val="SangradetextonormalCar"/>
    <w:uiPriority w:val="99"/>
    <w:semiHidden/>
    <w:unhideWhenUsed/>
    <w:rsid w:val="00CE69D3"/>
    <w:pPr>
      <w:spacing w:after="120"/>
      <w:ind w:left="283"/>
    </w:pPr>
  </w:style>
  <w:style w:type="character" w:customStyle="1" w:styleId="SangradetextonormalCar">
    <w:name w:val="Sangría de texto normal Car"/>
    <w:basedOn w:val="Fuentedeprrafopredeter"/>
    <w:link w:val="Sangradetextonormal"/>
    <w:uiPriority w:val="99"/>
    <w:semiHidden/>
    <w:rsid w:val="00CE69D3"/>
    <w:rPr>
      <w:sz w:val="20"/>
      <w:szCs w:val="20"/>
      <w:lang w:val="es-ES" w:eastAsia="es-ES"/>
    </w:rPr>
  </w:style>
  <w:style w:type="paragraph" w:styleId="Textoindependiente2">
    <w:name w:val="Body Text 2"/>
    <w:basedOn w:val="Normal"/>
    <w:link w:val="Textoindependiente2Car"/>
    <w:uiPriority w:val="99"/>
    <w:semiHidden/>
    <w:unhideWhenUsed/>
    <w:rsid w:val="00CE69D3"/>
    <w:pPr>
      <w:spacing w:after="120" w:line="480" w:lineRule="auto"/>
    </w:pPr>
  </w:style>
  <w:style w:type="character" w:customStyle="1" w:styleId="Textoindependiente2Car">
    <w:name w:val="Texto independiente 2 Car"/>
    <w:basedOn w:val="Fuentedeprrafopredeter"/>
    <w:link w:val="Textoindependiente2"/>
    <w:uiPriority w:val="99"/>
    <w:semiHidden/>
    <w:rsid w:val="00CE69D3"/>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1215">
      <w:bodyDiv w:val="1"/>
      <w:marLeft w:val="0"/>
      <w:marRight w:val="0"/>
      <w:marTop w:val="0"/>
      <w:marBottom w:val="0"/>
      <w:divBdr>
        <w:top w:val="none" w:sz="0" w:space="0" w:color="auto"/>
        <w:left w:val="none" w:sz="0" w:space="0" w:color="auto"/>
        <w:bottom w:val="none" w:sz="0" w:space="0" w:color="auto"/>
        <w:right w:val="none" w:sz="0" w:space="0" w:color="auto"/>
      </w:divBdr>
    </w:div>
    <w:div w:id="190343543">
      <w:bodyDiv w:val="1"/>
      <w:marLeft w:val="0"/>
      <w:marRight w:val="0"/>
      <w:marTop w:val="0"/>
      <w:marBottom w:val="0"/>
      <w:divBdr>
        <w:top w:val="none" w:sz="0" w:space="0" w:color="auto"/>
        <w:left w:val="none" w:sz="0" w:space="0" w:color="auto"/>
        <w:bottom w:val="none" w:sz="0" w:space="0" w:color="auto"/>
        <w:right w:val="none" w:sz="0" w:space="0" w:color="auto"/>
      </w:divBdr>
    </w:div>
    <w:div w:id="389353314">
      <w:bodyDiv w:val="1"/>
      <w:marLeft w:val="0"/>
      <w:marRight w:val="0"/>
      <w:marTop w:val="0"/>
      <w:marBottom w:val="0"/>
      <w:divBdr>
        <w:top w:val="none" w:sz="0" w:space="0" w:color="auto"/>
        <w:left w:val="none" w:sz="0" w:space="0" w:color="auto"/>
        <w:bottom w:val="none" w:sz="0" w:space="0" w:color="auto"/>
        <w:right w:val="none" w:sz="0" w:space="0" w:color="auto"/>
      </w:divBdr>
    </w:div>
    <w:div w:id="549269152">
      <w:bodyDiv w:val="1"/>
      <w:marLeft w:val="0"/>
      <w:marRight w:val="0"/>
      <w:marTop w:val="0"/>
      <w:marBottom w:val="0"/>
      <w:divBdr>
        <w:top w:val="none" w:sz="0" w:space="0" w:color="auto"/>
        <w:left w:val="none" w:sz="0" w:space="0" w:color="auto"/>
        <w:bottom w:val="none" w:sz="0" w:space="0" w:color="auto"/>
        <w:right w:val="none" w:sz="0" w:space="0" w:color="auto"/>
      </w:divBdr>
    </w:div>
    <w:div w:id="553275421">
      <w:bodyDiv w:val="1"/>
      <w:marLeft w:val="0"/>
      <w:marRight w:val="0"/>
      <w:marTop w:val="0"/>
      <w:marBottom w:val="0"/>
      <w:divBdr>
        <w:top w:val="none" w:sz="0" w:space="0" w:color="auto"/>
        <w:left w:val="none" w:sz="0" w:space="0" w:color="auto"/>
        <w:bottom w:val="none" w:sz="0" w:space="0" w:color="auto"/>
        <w:right w:val="none" w:sz="0" w:space="0" w:color="auto"/>
      </w:divBdr>
    </w:div>
    <w:div w:id="987437270">
      <w:bodyDiv w:val="1"/>
      <w:marLeft w:val="0"/>
      <w:marRight w:val="0"/>
      <w:marTop w:val="0"/>
      <w:marBottom w:val="0"/>
      <w:divBdr>
        <w:top w:val="none" w:sz="0" w:space="0" w:color="auto"/>
        <w:left w:val="none" w:sz="0" w:space="0" w:color="auto"/>
        <w:bottom w:val="none" w:sz="0" w:space="0" w:color="auto"/>
        <w:right w:val="none" w:sz="0" w:space="0" w:color="auto"/>
      </w:divBdr>
    </w:div>
    <w:div w:id="1052999614">
      <w:bodyDiv w:val="1"/>
      <w:marLeft w:val="0"/>
      <w:marRight w:val="0"/>
      <w:marTop w:val="0"/>
      <w:marBottom w:val="0"/>
      <w:divBdr>
        <w:top w:val="none" w:sz="0" w:space="0" w:color="auto"/>
        <w:left w:val="none" w:sz="0" w:space="0" w:color="auto"/>
        <w:bottom w:val="none" w:sz="0" w:space="0" w:color="auto"/>
        <w:right w:val="none" w:sz="0" w:space="0" w:color="auto"/>
      </w:divBdr>
    </w:div>
    <w:div w:id="1329752087">
      <w:bodyDiv w:val="1"/>
      <w:marLeft w:val="0"/>
      <w:marRight w:val="0"/>
      <w:marTop w:val="0"/>
      <w:marBottom w:val="0"/>
      <w:divBdr>
        <w:top w:val="none" w:sz="0" w:space="0" w:color="auto"/>
        <w:left w:val="none" w:sz="0" w:space="0" w:color="auto"/>
        <w:bottom w:val="none" w:sz="0" w:space="0" w:color="auto"/>
        <w:right w:val="none" w:sz="0" w:space="0" w:color="auto"/>
      </w:divBdr>
    </w:div>
    <w:div w:id="1375035300">
      <w:marLeft w:val="0"/>
      <w:marRight w:val="0"/>
      <w:marTop w:val="0"/>
      <w:marBottom w:val="0"/>
      <w:divBdr>
        <w:top w:val="none" w:sz="0" w:space="0" w:color="auto"/>
        <w:left w:val="none" w:sz="0" w:space="0" w:color="auto"/>
        <w:bottom w:val="none" w:sz="0" w:space="0" w:color="auto"/>
        <w:right w:val="none" w:sz="0" w:space="0" w:color="auto"/>
      </w:divBdr>
    </w:div>
    <w:div w:id="1477792948">
      <w:bodyDiv w:val="1"/>
      <w:marLeft w:val="0"/>
      <w:marRight w:val="0"/>
      <w:marTop w:val="0"/>
      <w:marBottom w:val="0"/>
      <w:divBdr>
        <w:top w:val="none" w:sz="0" w:space="0" w:color="auto"/>
        <w:left w:val="none" w:sz="0" w:space="0" w:color="auto"/>
        <w:bottom w:val="none" w:sz="0" w:space="0" w:color="auto"/>
        <w:right w:val="none" w:sz="0" w:space="0" w:color="auto"/>
      </w:divBdr>
    </w:div>
    <w:div w:id="18969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0F0B-BE9C-420F-9819-9D96E6E2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1623</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Henry Lora Rodriguez</cp:lastModifiedBy>
  <cp:revision>3</cp:revision>
  <cp:lastPrinted>2016-09-28T13:15:00Z</cp:lastPrinted>
  <dcterms:created xsi:type="dcterms:W3CDTF">2016-09-26T21:36:00Z</dcterms:created>
  <dcterms:modified xsi:type="dcterms:W3CDTF">2016-12-01T16:12:00Z</dcterms:modified>
</cp:coreProperties>
</file>