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18" w:rsidRPr="00BA1BE9" w:rsidRDefault="00535518" w:rsidP="00535518">
      <w:pPr>
        <w:pStyle w:val="Sinespaciado"/>
        <w:jc w:val="both"/>
        <w:rPr>
          <w:sz w:val="18"/>
          <w:szCs w:val="18"/>
        </w:rPr>
      </w:pPr>
    </w:p>
    <w:p w:rsidR="00BA3FDE" w:rsidRPr="00BA3FDE" w:rsidRDefault="00535518" w:rsidP="00BA3FDE">
      <w:pPr>
        <w:pStyle w:val="Sinespaciado"/>
        <w:jc w:val="both"/>
        <w:rPr>
          <w:rFonts w:asciiTheme="minorHAnsi" w:hAnsiTheme="minorHAnsi"/>
          <w:sz w:val="18"/>
          <w:szCs w:val="18"/>
        </w:rPr>
      </w:pPr>
      <w:r w:rsidRPr="0010782C">
        <w:rPr>
          <w:rFonts w:asciiTheme="minorHAnsi" w:hAnsiTheme="minorHAnsi"/>
          <w:b/>
          <w:sz w:val="18"/>
          <w:szCs w:val="18"/>
        </w:rPr>
        <w:t>Tema:</w:t>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pacing w:val="-4"/>
          <w:sz w:val="18"/>
          <w:szCs w:val="18"/>
        </w:rPr>
        <w:t>INCIDENTE DE DESACATO EN TUTELA / A QUIEN ESTÁ DIRIGIDA LA ORDEN / QUIEN DEBE CUMPLIRLA / TRÁMITE DE CUMPLIMIENTO Y DESACATO SON DIFE</w:t>
      </w:r>
      <w:r w:rsidR="00BA3FDE">
        <w:rPr>
          <w:rFonts w:asciiTheme="minorHAnsi" w:hAnsiTheme="minorHAnsi"/>
          <w:b/>
          <w:spacing w:val="-4"/>
          <w:sz w:val="18"/>
          <w:szCs w:val="18"/>
        </w:rPr>
        <w:t xml:space="preserve">RENTES / SALA UNITARIA / Confirma gerente regional / Revoca Presidente Nueva </w:t>
      </w:r>
      <w:proofErr w:type="spellStart"/>
      <w:r w:rsidR="00BA3FDE">
        <w:rPr>
          <w:rFonts w:asciiTheme="minorHAnsi" w:hAnsiTheme="minorHAnsi"/>
          <w:b/>
          <w:spacing w:val="-4"/>
          <w:sz w:val="18"/>
          <w:szCs w:val="18"/>
        </w:rPr>
        <w:t>EPS</w:t>
      </w:r>
      <w:proofErr w:type="spellEnd"/>
      <w:r w:rsidRPr="0010782C">
        <w:rPr>
          <w:rFonts w:asciiTheme="minorHAnsi" w:hAnsiTheme="minorHAnsi"/>
          <w:b/>
          <w:spacing w:val="-4"/>
          <w:sz w:val="18"/>
          <w:szCs w:val="18"/>
        </w:rPr>
        <w:t>/ “</w:t>
      </w:r>
      <w:r w:rsidR="00BA3FDE" w:rsidRPr="00BA3FDE">
        <w:rPr>
          <w:rFonts w:asciiTheme="minorHAnsi" w:hAnsiTheme="minorHAnsi"/>
          <w:sz w:val="18"/>
          <w:szCs w:val="18"/>
        </w:rPr>
        <w:t xml:space="preserve">Con el fin de acreditar los aspectos atrás mencionados, se hicieron varios requerimientos sin respuesta, bien se aprecia, vencidos los términos dados, aún sigue incumplido el fallo. </w:t>
      </w:r>
    </w:p>
    <w:p w:rsidR="00BA3FDE" w:rsidRPr="00BA3FDE" w:rsidRDefault="00BA3FDE" w:rsidP="00BA3FDE">
      <w:pPr>
        <w:pStyle w:val="Sinespaciado"/>
        <w:jc w:val="both"/>
        <w:rPr>
          <w:rFonts w:asciiTheme="minorHAnsi" w:hAnsiTheme="minorHAnsi"/>
          <w:sz w:val="18"/>
          <w:szCs w:val="18"/>
        </w:rPr>
      </w:pPr>
      <w:r w:rsidRPr="00BA3FDE">
        <w:rPr>
          <w:rFonts w:asciiTheme="minorHAnsi" w:hAnsiTheme="minorHAnsi"/>
          <w:sz w:val="18"/>
          <w:szCs w:val="18"/>
        </w:rPr>
        <w:t xml:space="preserve">Luego del silencio de la </w:t>
      </w:r>
      <w:proofErr w:type="spellStart"/>
      <w:r w:rsidRPr="00BA3FDE">
        <w:rPr>
          <w:rFonts w:asciiTheme="minorHAnsi" w:hAnsiTheme="minorHAnsi"/>
          <w:sz w:val="18"/>
          <w:szCs w:val="18"/>
        </w:rPr>
        <w:t>incidentada</w:t>
      </w:r>
      <w:proofErr w:type="spellEnd"/>
      <w:r w:rsidRPr="00BA3FDE">
        <w:rPr>
          <w:rFonts w:asciiTheme="minorHAnsi" w:hAnsiTheme="minorHAnsi"/>
          <w:sz w:val="18"/>
          <w:szCs w:val="18"/>
        </w:rPr>
        <w:t xml:space="preserve">, se advierte la desidia frente a la conducta debida, por cuanto en este trámite incidental, a pesar de haberse notificado en repetidas ocasiones (requerimiento y apertura del incidente), no ofreció una respuesta que justifique su tardanza. Entonces la sanción impuesta aparece fundada en la desatención a la sentencia de primera instancia. </w:t>
      </w:r>
    </w:p>
    <w:p w:rsidR="00BA3FDE" w:rsidRPr="00BA3FDE" w:rsidRDefault="00BA3FDE" w:rsidP="00BA3FDE">
      <w:pPr>
        <w:pStyle w:val="Sinespaciado"/>
        <w:jc w:val="both"/>
        <w:rPr>
          <w:rFonts w:asciiTheme="minorHAnsi" w:hAnsiTheme="minorHAnsi"/>
          <w:sz w:val="18"/>
          <w:szCs w:val="18"/>
        </w:rPr>
      </w:pPr>
    </w:p>
    <w:p w:rsidR="00BA3FDE" w:rsidRPr="00BA3FDE" w:rsidRDefault="00BA3FDE" w:rsidP="00BA3FDE">
      <w:pPr>
        <w:pStyle w:val="Sinespaciado"/>
        <w:jc w:val="both"/>
        <w:rPr>
          <w:rFonts w:asciiTheme="minorHAnsi" w:hAnsiTheme="minorHAnsi"/>
          <w:sz w:val="18"/>
          <w:szCs w:val="18"/>
        </w:rPr>
      </w:pPr>
      <w:r w:rsidRPr="00BA3FDE">
        <w:rPr>
          <w:rFonts w:asciiTheme="minorHAnsi" w:hAnsiTheme="minorHAnsi"/>
          <w:sz w:val="18"/>
          <w:szCs w:val="18"/>
        </w:rPr>
        <w:t xml:space="preserve">Así las cosas, se abre paso para esta Sala, confirmar la sanción impuesta a la </w:t>
      </w:r>
      <w:proofErr w:type="spellStart"/>
      <w:r w:rsidRPr="00BA3FDE">
        <w:rPr>
          <w:rFonts w:asciiTheme="minorHAnsi" w:hAnsiTheme="minorHAnsi"/>
          <w:sz w:val="18"/>
          <w:szCs w:val="18"/>
        </w:rPr>
        <w:t>Gerenta</w:t>
      </w:r>
      <w:proofErr w:type="spellEnd"/>
      <w:r w:rsidRPr="00BA3FDE">
        <w:rPr>
          <w:rFonts w:asciiTheme="minorHAnsi" w:hAnsiTheme="minorHAnsi"/>
          <w:sz w:val="18"/>
          <w:szCs w:val="18"/>
        </w:rPr>
        <w:t xml:space="preserve"> Regional Eje Cafetero de la Nueva </w:t>
      </w:r>
      <w:proofErr w:type="spellStart"/>
      <w:r w:rsidRPr="00BA3FDE">
        <w:rPr>
          <w:rFonts w:asciiTheme="minorHAnsi" w:hAnsiTheme="minorHAnsi"/>
          <w:sz w:val="18"/>
          <w:szCs w:val="18"/>
        </w:rPr>
        <w:t>EPS</w:t>
      </w:r>
      <w:proofErr w:type="spellEnd"/>
      <w:r w:rsidRPr="00BA3FDE">
        <w:rPr>
          <w:rFonts w:asciiTheme="minorHAnsi" w:hAnsiTheme="minorHAnsi"/>
          <w:sz w:val="18"/>
          <w:szCs w:val="18"/>
        </w:rPr>
        <w:t>, ya que el derecho fundamental constitucional que aparecía como violado por la renuencia de la entidad, sigue en igual estado de vulneración desde el 19-04-2016, cuando se profirió la sentencia constitucional de segunda instancia y ello da cuenta de que el cometido cardinal de este trámite no está cum</w:t>
      </w:r>
      <w:bookmarkStart w:id="0" w:name="_GoBack"/>
      <w:bookmarkEnd w:id="0"/>
      <w:r w:rsidRPr="00BA3FDE">
        <w:rPr>
          <w:rFonts w:asciiTheme="minorHAnsi" w:hAnsiTheme="minorHAnsi"/>
          <w:sz w:val="18"/>
          <w:szCs w:val="18"/>
        </w:rPr>
        <w:t>plido, como explica la doctrina sobre el tema: “(…) no es suficiente el que las personas logren la protección de sus derechos fundamentales por vía de la acción de tutela, sino que además se le debe proveer de los mecanismos que hagan efectiva la orden proferida por el juez de tutela (…)”.  El resaltado es propio de esta Sala.</w:t>
      </w:r>
    </w:p>
    <w:p w:rsidR="00BA3FDE" w:rsidRPr="00BA3FDE" w:rsidRDefault="00BA3FDE" w:rsidP="00BA3FDE">
      <w:pPr>
        <w:pStyle w:val="Sinespaciado"/>
        <w:jc w:val="both"/>
        <w:rPr>
          <w:rFonts w:asciiTheme="minorHAnsi" w:hAnsiTheme="minorHAnsi"/>
          <w:sz w:val="18"/>
          <w:szCs w:val="18"/>
        </w:rPr>
      </w:pPr>
      <w:r w:rsidRPr="00BA3FDE">
        <w:rPr>
          <w:rFonts w:asciiTheme="minorHAnsi" w:hAnsiTheme="minorHAnsi"/>
          <w:sz w:val="18"/>
          <w:szCs w:val="18"/>
        </w:rPr>
        <w:t xml:space="preserve"> </w:t>
      </w:r>
    </w:p>
    <w:p w:rsidR="00BA3FDE" w:rsidRPr="00BA3FDE" w:rsidRDefault="00BA3FDE" w:rsidP="00BA3FDE">
      <w:pPr>
        <w:pStyle w:val="Sinespaciado"/>
        <w:jc w:val="both"/>
        <w:rPr>
          <w:rFonts w:asciiTheme="minorHAnsi" w:hAnsiTheme="minorHAnsi"/>
          <w:sz w:val="18"/>
          <w:szCs w:val="18"/>
        </w:rPr>
      </w:pPr>
      <w:r w:rsidRPr="00BA3FDE">
        <w:rPr>
          <w:rFonts w:asciiTheme="minorHAnsi" w:hAnsiTheme="minorHAnsi"/>
          <w:sz w:val="18"/>
          <w:szCs w:val="18"/>
        </w:rPr>
        <w:t xml:space="preserve">A pesar de lo anterior, considera la Sala desacertada la decisión de la a quo en torno a imponer sanción por desacato al doctor José Fernando Serna Montoya, en su calidad de Presidente de la Nueva </w:t>
      </w:r>
      <w:proofErr w:type="spellStart"/>
      <w:r w:rsidRPr="00BA3FDE">
        <w:rPr>
          <w:rFonts w:asciiTheme="minorHAnsi" w:hAnsiTheme="minorHAnsi"/>
          <w:sz w:val="18"/>
          <w:szCs w:val="18"/>
        </w:rPr>
        <w:t>EPS</w:t>
      </w:r>
      <w:proofErr w:type="spellEnd"/>
      <w:r w:rsidRPr="00BA3FDE">
        <w:rPr>
          <w:rFonts w:asciiTheme="minorHAnsi" w:hAnsiTheme="minorHAnsi"/>
          <w:sz w:val="18"/>
          <w:szCs w:val="18"/>
        </w:rPr>
        <w:t>, puesto que no dio apertura del incidente en su contra, sin que pueda considerarse que el requerimiento inicial que se le hiciera supla la actuación referida, de manera que se revocará el proveído consultado en este aspecto.”</w:t>
      </w:r>
    </w:p>
    <w:p w:rsidR="00535518" w:rsidRPr="00BA3FDE" w:rsidRDefault="00535518" w:rsidP="00BA3FDE">
      <w:pPr>
        <w:pStyle w:val="Sinespaciado"/>
        <w:jc w:val="both"/>
        <w:rPr>
          <w:rFonts w:asciiTheme="minorHAnsi" w:hAnsiTheme="minorHAnsi"/>
          <w:sz w:val="18"/>
          <w:szCs w:val="18"/>
        </w:rPr>
      </w:pPr>
    </w:p>
    <w:p w:rsidR="00535518" w:rsidRPr="00BA3FDE" w:rsidRDefault="00535518" w:rsidP="00BA3FDE">
      <w:pPr>
        <w:pStyle w:val="Sinespaciado"/>
        <w:jc w:val="both"/>
        <w:rPr>
          <w:rFonts w:asciiTheme="minorHAnsi" w:hAnsiTheme="minorHAnsi"/>
          <w:sz w:val="18"/>
          <w:szCs w:val="18"/>
        </w:rPr>
      </w:pPr>
      <w:r w:rsidRPr="00BA3FDE">
        <w:rPr>
          <w:rFonts w:asciiTheme="minorHAnsi" w:hAnsiTheme="minorHAnsi"/>
          <w:b/>
          <w:sz w:val="18"/>
          <w:szCs w:val="18"/>
        </w:rPr>
        <w:t>Citación jurisprudencial:</w:t>
      </w:r>
      <w:r w:rsidRPr="00BA3FDE">
        <w:rPr>
          <w:rFonts w:asciiTheme="minorHAnsi" w:hAnsiTheme="minorHAnsi"/>
          <w:sz w:val="18"/>
          <w:szCs w:val="18"/>
        </w:rPr>
        <w:t xml:space="preserve"> CC. Sentencia T-343 del 05-05-2011. / CC. Sentencias T-553 de 2002 y T-368 de 2005. /  Sentencia T-606 del 11-08-2011. / CC. Autos 108 de 2005, 184 de 2006, 285 de 2008 y 122 de 2006. En el mismo sentido las sentencias T-897 de 2008. / CC. Sentencia T-171 de 2009. En el mismo sentido la sentencia T-1113 de 2005. / CC. Sentencias T-939 de 2005, T-632 de 2006</w:t>
      </w:r>
      <w:r w:rsidR="002F2431" w:rsidRPr="00BA3FDE">
        <w:rPr>
          <w:rFonts w:asciiTheme="minorHAnsi" w:hAnsiTheme="minorHAnsi"/>
          <w:sz w:val="18"/>
          <w:szCs w:val="18"/>
        </w:rPr>
        <w:t>. /</w:t>
      </w:r>
    </w:p>
    <w:p w:rsidR="00535518" w:rsidRPr="00BA3FDE" w:rsidRDefault="00535518" w:rsidP="00BA3FDE">
      <w:pPr>
        <w:pStyle w:val="Sinespaciado"/>
        <w:jc w:val="both"/>
        <w:rPr>
          <w:rFonts w:asciiTheme="minorHAnsi" w:hAnsiTheme="minorHAnsi"/>
          <w:sz w:val="18"/>
          <w:szCs w:val="18"/>
        </w:rPr>
      </w:pPr>
      <w:r w:rsidRPr="00BA3FDE">
        <w:rPr>
          <w:rFonts w:asciiTheme="minorHAnsi" w:hAnsiTheme="minorHAnsi"/>
          <w:sz w:val="18"/>
          <w:szCs w:val="18"/>
        </w:rPr>
        <w:t>CC. Sentencia T-421 del 2003. / CC. Sentencia C-367 de 2014. / CC. Auto 181 de 201</w:t>
      </w:r>
      <w:r w:rsidR="002F2431" w:rsidRPr="00BA3FDE">
        <w:rPr>
          <w:rFonts w:asciiTheme="minorHAnsi" w:hAnsiTheme="minorHAnsi"/>
          <w:sz w:val="18"/>
          <w:szCs w:val="18"/>
        </w:rPr>
        <w:t>5</w:t>
      </w:r>
      <w:r w:rsidRPr="00BA3FDE">
        <w:rPr>
          <w:rFonts w:asciiTheme="minorHAnsi" w:hAnsiTheme="minorHAnsi"/>
          <w:sz w:val="18"/>
          <w:szCs w:val="18"/>
        </w:rPr>
        <w:t xml:space="preserve"> / CC. Sentencia T-218 del 2012. Reitera la sentencia T-086 de 2003.</w:t>
      </w:r>
    </w:p>
    <w:p w:rsidR="00535518" w:rsidRPr="00BA3FDE" w:rsidRDefault="00535518" w:rsidP="00BA3FDE">
      <w:pPr>
        <w:pStyle w:val="Sinespaciado"/>
        <w:jc w:val="both"/>
        <w:rPr>
          <w:rFonts w:asciiTheme="minorHAnsi" w:hAnsiTheme="minorHAnsi"/>
          <w:sz w:val="18"/>
          <w:szCs w:val="18"/>
        </w:rPr>
      </w:pPr>
    </w:p>
    <w:p w:rsidR="00535518" w:rsidRPr="00BA3FDE" w:rsidRDefault="00535518" w:rsidP="00BA3FDE">
      <w:pPr>
        <w:pStyle w:val="Sinespaciado"/>
        <w:jc w:val="both"/>
        <w:rPr>
          <w:rFonts w:asciiTheme="minorHAnsi" w:hAnsiTheme="minorHAnsi"/>
          <w:sz w:val="18"/>
          <w:szCs w:val="18"/>
        </w:rPr>
      </w:pPr>
      <w:r w:rsidRPr="00BA3FDE">
        <w:rPr>
          <w:rFonts w:asciiTheme="minorHAnsi" w:hAnsiTheme="minorHAnsi"/>
          <w:sz w:val="18"/>
          <w:szCs w:val="18"/>
        </w:rPr>
        <w:t>CSJ, Sala Civil. Autos ATC101-2016, ATC1555-2016 y ATC3599-2016, entre otros.</w:t>
      </w:r>
    </w:p>
    <w:p w:rsidR="00535518" w:rsidRPr="00BA3FDE" w:rsidRDefault="00535518" w:rsidP="00BA3FDE">
      <w:pPr>
        <w:pStyle w:val="Sinespaciado"/>
        <w:jc w:val="both"/>
        <w:rPr>
          <w:rFonts w:asciiTheme="minorHAnsi" w:hAnsiTheme="minorHAnsi"/>
          <w:sz w:val="18"/>
          <w:szCs w:val="18"/>
        </w:rPr>
      </w:pPr>
    </w:p>
    <w:p w:rsidR="00535518" w:rsidRPr="00BA3FDE" w:rsidRDefault="00535518" w:rsidP="00BA3FDE">
      <w:pPr>
        <w:pStyle w:val="Sinespaciado"/>
        <w:jc w:val="both"/>
        <w:rPr>
          <w:rFonts w:asciiTheme="minorHAnsi" w:hAnsiTheme="minorHAnsi"/>
          <w:sz w:val="18"/>
          <w:szCs w:val="18"/>
        </w:rPr>
      </w:pPr>
      <w:proofErr w:type="spellStart"/>
      <w:r w:rsidRPr="00BA3FDE">
        <w:rPr>
          <w:rFonts w:asciiTheme="minorHAnsi" w:hAnsiTheme="minorHAnsi"/>
          <w:sz w:val="18"/>
          <w:szCs w:val="18"/>
        </w:rPr>
        <w:t>TSP</w:t>
      </w:r>
      <w:proofErr w:type="spellEnd"/>
      <w:r w:rsidRPr="00BA3FDE">
        <w:rPr>
          <w:rFonts w:asciiTheme="minorHAnsi" w:hAnsiTheme="minorHAnsi"/>
          <w:sz w:val="18"/>
          <w:szCs w:val="18"/>
        </w:rPr>
        <w:t xml:space="preserve">, Sala Civil – Familia. Auto del 30-06-2016; </w:t>
      </w:r>
      <w:proofErr w:type="spellStart"/>
      <w:r w:rsidRPr="00BA3FDE">
        <w:rPr>
          <w:rFonts w:asciiTheme="minorHAnsi" w:hAnsiTheme="minorHAnsi"/>
          <w:sz w:val="18"/>
          <w:szCs w:val="18"/>
        </w:rPr>
        <w:t>MP</w:t>
      </w:r>
      <w:proofErr w:type="spellEnd"/>
      <w:r w:rsidRPr="00BA3FDE">
        <w:rPr>
          <w:rFonts w:asciiTheme="minorHAnsi" w:hAnsiTheme="minorHAnsi"/>
          <w:sz w:val="18"/>
          <w:szCs w:val="18"/>
        </w:rPr>
        <w:t xml:space="preserve">: </w:t>
      </w:r>
      <w:proofErr w:type="spellStart"/>
      <w:r w:rsidRPr="00BA3FDE">
        <w:rPr>
          <w:rFonts w:asciiTheme="minorHAnsi" w:hAnsiTheme="minorHAnsi"/>
          <w:sz w:val="18"/>
          <w:szCs w:val="18"/>
        </w:rPr>
        <w:t>Duberney</w:t>
      </w:r>
      <w:proofErr w:type="spellEnd"/>
      <w:r w:rsidRPr="00BA3FDE">
        <w:rPr>
          <w:rFonts w:asciiTheme="minorHAnsi" w:hAnsiTheme="minorHAnsi"/>
          <w:sz w:val="18"/>
          <w:szCs w:val="18"/>
        </w:rPr>
        <w:t xml:space="preserve"> Grisales Herrera, </w:t>
      </w:r>
      <w:proofErr w:type="spellStart"/>
      <w:r w:rsidRPr="00BA3FDE">
        <w:rPr>
          <w:rFonts w:asciiTheme="minorHAnsi" w:hAnsiTheme="minorHAnsi"/>
          <w:sz w:val="18"/>
          <w:szCs w:val="18"/>
        </w:rPr>
        <w:t>exp</w:t>
      </w:r>
      <w:proofErr w:type="spellEnd"/>
      <w:r w:rsidRPr="00BA3FDE">
        <w:rPr>
          <w:rFonts w:asciiTheme="minorHAnsi" w:hAnsiTheme="minorHAnsi"/>
          <w:sz w:val="18"/>
          <w:szCs w:val="18"/>
        </w:rPr>
        <w:t xml:space="preserve">. No.2015-00247-01. / </w:t>
      </w:r>
    </w:p>
    <w:p w:rsidR="002F2431" w:rsidRPr="00BA3FDE" w:rsidRDefault="002F2431" w:rsidP="00BA3FDE">
      <w:pPr>
        <w:pStyle w:val="Sinespaciado"/>
        <w:jc w:val="both"/>
        <w:rPr>
          <w:rFonts w:asciiTheme="minorHAnsi" w:hAnsiTheme="minorHAnsi"/>
          <w:sz w:val="18"/>
          <w:szCs w:val="18"/>
        </w:rPr>
      </w:pPr>
    </w:p>
    <w:p w:rsidR="00535518" w:rsidRPr="00BA1BE9" w:rsidRDefault="00535518" w:rsidP="00535518">
      <w:pPr>
        <w:pStyle w:val="Sinespaciado"/>
        <w:jc w:val="both"/>
        <w:rPr>
          <w:rFonts w:asciiTheme="minorHAnsi" w:hAnsiTheme="minorHAnsi"/>
          <w:sz w:val="18"/>
          <w:szCs w:val="18"/>
        </w:rPr>
      </w:pPr>
      <w:r>
        <w:rPr>
          <w:rFonts w:asciiTheme="minorHAnsi" w:hAnsiTheme="minorHAnsi"/>
          <w:sz w:val="18"/>
          <w:szCs w:val="18"/>
        </w:rPr>
        <w:t>--------------------------------------------------------------------------------------------------------------------------------------------------------------------------</w:t>
      </w:r>
    </w:p>
    <w:p w:rsidR="00535518" w:rsidRPr="00B2689F" w:rsidRDefault="00535518" w:rsidP="00535518">
      <w:pPr>
        <w:pStyle w:val="Sinespaciado"/>
        <w:jc w:val="both"/>
        <w:rPr>
          <w:rFonts w:asciiTheme="minorHAnsi" w:hAnsiTheme="minorHAnsi"/>
          <w:sz w:val="18"/>
          <w:szCs w:val="18"/>
        </w:rPr>
      </w:pPr>
    </w:p>
    <w:p w:rsidR="00535518" w:rsidRDefault="00535518" w:rsidP="0009141E">
      <w:pPr>
        <w:pStyle w:val="Sinespaciado"/>
        <w:spacing w:line="360" w:lineRule="auto"/>
        <w:jc w:val="center"/>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DF61F7" w:rsidRPr="00DF61F7">
        <w:rPr>
          <w:rFonts w:ascii="Arial" w:hAnsi="Arial" w:cs="Arial"/>
          <w:w w:val="140"/>
          <w:sz w:val="18"/>
          <w:szCs w:val="14"/>
        </w:rPr>
        <w:t>U</w:t>
      </w:r>
      <w:r w:rsidR="00DF61F7">
        <w:rPr>
          <w:rFonts w:ascii="Arial" w:hAnsi="Arial" w:cs="Arial"/>
          <w:w w:val="140"/>
          <w:sz w:val="16"/>
          <w:szCs w:val="14"/>
        </w:rPr>
        <w:t xml:space="preserve">NITARIA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E9069C">
        <w:rPr>
          <w:rFonts w:ascii="Arial" w:hAnsi="Arial" w:cs="Arial"/>
          <w:sz w:val="22"/>
          <w:szCs w:val="22"/>
        </w:rPr>
        <w:t xml:space="preserve">Jorge Orlando Osorio </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E9069C">
        <w:rPr>
          <w:rFonts w:ascii="Arial" w:hAnsi="Arial" w:cs="Arial"/>
          <w:sz w:val="22"/>
          <w:szCs w:val="22"/>
        </w:rPr>
        <w:t xml:space="preserve">Gerencia Nacional de </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E1207">
        <w:rPr>
          <w:rFonts w:ascii="Arial" w:hAnsi="Arial" w:cs="Arial"/>
          <w:sz w:val="22"/>
          <w:szCs w:val="22"/>
        </w:rPr>
        <w:t>Segundo Civil del Circuito de 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E1207">
        <w:rPr>
          <w:rFonts w:ascii="Arial" w:hAnsi="Arial" w:cs="Arial"/>
          <w:sz w:val="22"/>
          <w:szCs w:val="22"/>
        </w:rPr>
        <w:t>2016-00047-01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B56AE7">
        <w:rPr>
          <w:rFonts w:ascii="Arial" w:hAnsi="Arial" w:cs="Arial"/>
          <w:smallCaps/>
          <w:sz w:val="28"/>
          <w:szCs w:val="28"/>
          <w:lang w:val="es-CO"/>
        </w:rPr>
        <w:t xml:space="preserve">dieciséis </w:t>
      </w:r>
      <w:r w:rsidR="0005223F" w:rsidRPr="00E42F66">
        <w:rPr>
          <w:rFonts w:ascii="Arial" w:hAnsi="Arial" w:cs="Arial"/>
          <w:smallCaps/>
          <w:sz w:val="28"/>
          <w:szCs w:val="28"/>
          <w:lang w:val="es-CO"/>
        </w:rPr>
        <w:t>(</w:t>
      </w:r>
      <w:r w:rsidR="00B56AE7">
        <w:rPr>
          <w:rFonts w:ascii="Arial" w:hAnsi="Arial" w:cs="Arial"/>
          <w:smallCaps/>
          <w:sz w:val="28"/>
          <w:szCs w:val="28"/>
          <w:lang w:val="es-CO"/>
        </w:rPr>
        <w:t>16</w:t>
      </w:r>
      <w:r w:rsidR="0005223F" w:rsidRPr="00E42F66">
        <w:rPr>
          <w:rFonts w:ascii="Arial" w:hAnsi="Arial" w:cs="Arial"/>
          <w:smallCaps/>
          <w:sz w:val="28"/>
          <w:szCs w:val="28"/>
          <w:lang w:val="es-CO"/>
        </w:rPr>
        <w:t xml:space="preserve">) de </w:t>
      </w:r>
      <w:r w:rsidR="007E1207">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lastRenderedPageBreak/>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7E1207">
        <w:rPr>
          <w:rFonts w:ascii="Arial" w:hAnsi="Arial" w:cs="Arial"/>
          <w:lang w:val="es-CO"/>
        </w:rPr>
        <w:t xml:space="preserve">14-06-2016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7E1207">
        <w:rPr>
          <w:rFonts w:ascii="Arial" w:hAnsi="Arial" w:cs="Arial"/>
        </w:rPr>
        <w:t>1 y 2</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7E1207">
        <w:rPr>
          <w:rFonts w:ascii="Arial" w:hAnsi="Arial" w:cs="Arial"/>
          <w:lang w:val="es-CO"/>
        </w:rPr>
        <w:t xml:space="preserve">15-06-2016 </w:t>
      </w:r>
      <w:r w:rsidR="00407346">
        <w:rPr>
          <w:rFonts w:ascii="Arial" w:hAnsi="Arial" w:cs="Arial"/>
        </w:rPr>
        <w:t xml:space="preserve">requirió a la </w:t>
      </w:r>
      <w:r w:rsidR="007E1207">
        <w:rPr>
          <w:rFonts w:ascii="Arial" w:hAnsi="Arial" w:cs="Arial"/>
        </w:rPr>
        <w:t>Gerenta Regional Eje Cafetero y al Presidente de la Nueva EPS (Folio 9</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7E1207">
        <w:rPr>
          <w:rFonts w:ascii="Arial" w:hAnsi="Arial" w:cs="Arial"/>
          <w:lang w:val="es-CO"/>
        </w:rPr>
        <w:t xml:space="preserve">29-06-2016 </w:t>
      </w:r>
      <w:r w:rsidR="00D87370">
        <w:rPr>
          <w:rFonts w:ascii="Arial" w:hAnsi="Arial" w:cs="Arial"/>
          <w:lang w:val="es-CO"/>
        </w:rPr>
        <w:t>dio apertura al incidente de desacato en contra</w:t>
      </w:r>
      <w:r w:rsidR="00582DBE">
        <w:rPr>
          <w:rFonts w:ascii="Arial" w:hAnsi="Arial" w:cs="Arial"/>
          <w:lang w:val="es-CO"/>
        </w:rPr>
        <w:t xml:space="preserve"> </w:t>
      </w:r>
      <w:r w:rsidR="007E1207">
        <w:rPr>
          <w:rFonts w:ascii="Arial" w:hAnsi="Arial" w:cs="Arial"/>
          <w:lang w:val="es-CO"/>
        </w:rPr>
        <w:t xml:space="preserve">de la primera </w:t>
      </w:r>
      <w:r w:rsidR="00582DBE">
        <w:rPr>
          <w:rFonts w:ascii="Arial" w:hAnsi="Arial" w:cs="Arial"/>
          <w:lang w:val="es-CO"/>
        </w:rPr>
        <w:t xml:space="preserve">(Folio </w:t>
      </w:r>
      <w:r w:rsidR="007E1207">
        <w:rPr>
          <w:rFonts w:ascii="Arial" w:hAnsi="Arial" w:cs="Arial"/>
          <w:lang w:val="es-CO"/>
        </w:rPr>
        <w:t>15</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D87370">
        <w:rPr>
          <w:rFonts w:ascii="Arial" w:hAnsi="Arial" w:cs="Arial"/>
          <w:lang w:val="es-CO"/>
        </w:rPr>
        <w:t>.</w:t>
      </w:r>
      <w:r w:rsidR="00873E03">
        <w:rPr>
          <w:rFonts w:ascii="Arial" w:hAnsi="Arial" w:cs="Arial"/>
          <w:lang w:val="es-CO"/>
        </w:rPr>
        <w:t xml:space="preserve"> Y f</w:t>
      </w:r>
      <w:r w:rsidR="007E1207">
        <w:rPr>
          <w:rFonts w:ascii="Arial" w:hAnsi="Arial" w:cs="Arial"/>
          <w:lang w:val="es-CO"/>
        </w:rPr>
        <w:t>inalmente</w:t>
      </w:r>
      <w:r w:rsidR="00582DBE">
        <w:rPr>
          <w:rFonts w:ascii="Arial" w:hAnsi="Arial" w:cs="Arial"/>
          <w:lang w:val="es-CO"/>
        </w:rPr>
        <w:t xml:space="preserve">, con auto del </w:t>
      </w:r>
      <w:r w:rsidR="007E1207">
        <w:rPr>
          <w:rFonts w:ascii="Arial" w:hAnsi="Arial" w:cs="Arial"/>
          <w:lang w:val="es-CO"/>
        </w:rPr>
        <w:t xml:space="preserve">21-07-2016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7E1207">
        <w:rPr>
          <w:rFonts w:ascii="Arial" w:hAnsi="Arial" w:cs="Arial"/>
          <w:lang w:val="es-CO"/>
        </w:rPr>
        <w:t xml:space="preserve">a ambos funcionarios </w:t>
      </w:r>
      <w:r w:rsidR="00CD4CC1" w:rsidRPr="00771AD1">
        <w:rPr>
          <w:rFonts w:ascii="Arial" w:hAnsi="Arial" w:cs="Arial"/>
          <w:lang w:val="es-CO"/>
        </w:rPr>
        <w:t>(Folio</w:t>
      </w:r>
      <w:r w:rsidR="00CD4CC1">
        <w:rPr>
          <w:rFonts w:ascii="Arial" w:hAnsi="Arial" w:cs="Arial"/>
          <w:lang w:val="es-CO"/>
        </w:rPr>
        <w:t xml:space="preserve">s </w:t>
      </w:r>
      <w:r w:rsidR="007E1207">
        <w:rPr>
          <w:rFonts w:ascii="Arial" w:hAnsi="Arial" w:cs="Arial"/>
          <w:lang w:val="es-CO"/>
        </w:rPr>
        <w:t>20 a 22</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Segundo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5B1F83" w:rsidRDefault="00E0238B" w:rsidP="005B1F83">
      <w:pPr>
        <w:spacing w:line="360" w:lineRule="auto"/>
        <w:jc w:val="both"/>
        <w:rPr>
          <w:rFonts w:ascii="Arial" w:hAnsi="Arial" w:cs="Arial"/>
          <w:sz w:val="24"/>
          <w:szCs w:val="24"/>
          <w:lang w:val="es-MX"/>
        </w:rPr>
      </w:pPr>
      <w:r>
        <w:rPr>
          <w:rFonts w:ascii="Arial" w:hAnsi="Arial" w:cs="Arial"/>
          <w:sz w:val="24"/>
          <w:szCs w:val="24"/>
          <w:lang w:val="es-MX"/>
        </w:rPr>
        <w:t xml:space="preserve">Así entonces, </w:t>
      </w:r>
      <w:r w:rsidR="001A6374">
        <w:rPr>
          <w:rFonts w:ascii="Arial" w:hAnsi="Arial" w:cs="Arial"/>
          <w:sz w:val="24"/>
          <w:szCs w:val="24"/>
          <w:lang w:val="es-MX"/>
        </w:rPr>
        <w:t xml:space="preserve">se cambia el criterio sostenido en los distintos autos proferidos en sede de consulta, </w:t>
      </w:r>
      <w:r w:rsidR="005B1F83">
        <w:rPr>
          <w:rFonts w:ascii="Arial" w:hAnsi="Arial" w:cs="Arial"/>
          <w:sz w:val="24"/>
          <w:szCs w:val="24"/>
          <w:lang w:val="es-MX"/>
        </w:rPr>
        <w:t xml:space="preserve">especialmente por </w:t>
      </w:r>
      <w:r w:rsidR="001A6374">
        <w:rPr>
          <w:rFonts w:ascii="Arial" w:hAnsi="Arial" w:cs="Arial"/>
          <w:sz w:val="24"/>
          <w:szCs w:val="24"/>
          <w:lang w:val="es-MX"/>
        </w:rPr>
        <w:t xml:space="preserve">la </w:t>
      </w:r>
      <w:r w:rsidR="005B1F83">
        <w:rPr>
          <w:rFonts w:ascii="Arial" w:hAnsi="Arial" w:cs="Arial"/>
          <w:sz w:val="24"/>
          <w:szCs w:val="24"/>
          <w:lang w:val="es-MX"/>
        </w:rPr>
        <w:t>Sala</w:t>
      </w:r>
      <w:r w:rsidR="001A6374">
        <w:rPr>
          <w:rFonts w:ascii="Arial" w:hAnsi="Arial" w:cs="Arial"/>
          <w:sz w:val="24"/>
          <w:szCs w:val="24"/>
          <w:lang w:val="es-MX"/>
        </w:rPr>
        <w:t xml:space="preserve"> que preside esta magistratura</w:t>
      </w:r>
      <w:r w:rsidR="005B1F83">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7E1207">
        <w:rPr>
          <w:rFonts w:ascii="Arial" w:hAnsi="Arial" w:cs="Arial"/>
        </w:rPr>
        <w:t>21-07</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E1207">
        <w:rPr>
          <w:rFonts w:ascii="Arial" w:hAnsi="Arial" w:cs="Arial"/>
        </w:rPr>
        <w:t>los doctores</w:t>
      </w:r>
      <w:r w:rsidR="00DE5395">
        <w:rPr>
          <w:rFonts w:ascii="Arial" w:hAnsi="Arial" w:cs="Arial"/>
        </w:rPr>
        <w:t xml:space="preserve"> </w:t>
      </w:r>
      <w:r w:rsidR="007E1207">
        <w:rPr>
          <w:rFonts w:ascii="Arial" w:hAnsi="Arial" w:cs="Arial"/>
        </w:rPr>
        <w:t xml:space="preserve">María Lorena Serna Montoya </w:t>
      </w:r>
      <w:r w:rsidR="00DE5395">
        <w:rPr>
          <w:rFonts w:ascii="Arial" w:hAnsi="Arial" w:cs="Arial"/>
        </w:rPr>
        <w:t xml:space="preserve">y </w:t>
      </w:r>
      <w:r w:rsidR="007E1207">
        <w:rPr>
          <w:rFonts w:ascii="Arial" w:hAnsi="Arial" w:cs="Arial"/>
        </w:rPr>
        <w:t>José Fernando Cardona Uribe</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7E1207">
        <w:rPr>
          <w:rFonts w:ascii="Arial" w:hAnsi="Arial" w:cs="Arial"/>
          <w:lang w:val="es-CO"/>
        </w:rPr>
        <w:t xml:space="preserve">Gerenta Regional Eje Cafetero y Presidente </w:t>
      </w:r>
      <w:r w:rsidR="00DE5395">
        <w:rPr>
          <w:rFonts w:ascii="Arial" w:hAnsi="Arial" w:cs="Arial"/>
          <w:lang w:val="es-CO"/>
        </w:rPr>
        <w:t xml:space="preserve">de </w:t>
      </w:r>
      <w:r w:rsidR="007E1207">
        <w:rPr>
          <w:rFonts w:ascii="Arial" w:hAnsi="Arial" w:cs="Arial"/>
          <w:lang w:val="es-CO"/>
        </w:rPr>
        <w:t xml:space="preserve">la Nueva </w:t>
      </w:r>
      <w:r w:rsidR="007E1207">
        <w:rPr>
          <w:rFonts w:ascii="Arial" w:hAnsi="Arial" w:cs="Arial"/>
          <w:sz w:val="22"/>
          <w:lang w:val="es-CO"/>
        </w:rPr>
        <w:t>EPS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w:t>
      </w:r>
      <w:r w:rsidRPr="00B3550C">
        <w:rPr>
          <w:rFonts w:ascii="Arial" w:hAnsi="Arial" w:cs="Arial"/>
          <w:sz w:val="24"/>
          <w:szCs w:val="24"/>
          <w:lang w:val="es-CO"/>
        </w:rPr>
        <w:lastRenderedPageBreak/>
        <w:t xml:space="preserve">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7E1207" w:rsidRPr="00B03DCB" w:rsidRDefault="007E1207" w:rsidP="007E1207">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7E1207" w:rsidRDefault="007E1207" w:rsidP="007E1207">
      <w:pPr>
        <w:pStyle w:val="Sangradetextonormal"/>
        <w:spacing w:after="0" w:line="360" w:lineRule="auto"/>
        <w:ind w:left="0"/>
        <w:jc w:val="both"/>
        <w:rPr>
          <w:sz w:val="20"/>
          <w:lang w:val="es-CO"/>
        </w:rPr>
      </w:pPr>
    </w:p>
    <w:p w:rsidR="007E1207" w:rsidRDefault="007E1207" w:rsidP="007E1207">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w:t>
      </w:r>
    </w:p>
    <w:p w:rsidR="007E1207" w:rsidRDefault="007E1207" w:rsidP="007E1207">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7E1207" w:rsidRPr="002C59BC" w:rsidRDefault="007E1207" w:rsidP="007E1207">
      <w:pPr>
        <w:pStyle w:val="Sangradetextonormal"/>
        <w:spacing w:after="0" w:line="360" w:lineRule="auto"/>
        <w:ind w:left="0"/>
        <w:jc w:val="both"/>
        <w:rPr>
          <w:iCs/>
          <w:sz w:val="20"/>
          <w:lang w:val="es-CO"/>
        </w:rPr>
      </w:pPr>
    </w:p>
    <w:p w:rsidR="007E1207" w:rsidRDefault="007E1207" w:rsidP="007E1207">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Sangradetextonormal"/>
        <w:spacing w:after="0"/>
        <w:ind w:left="567" w:rightChars="567" w:right="1134"/>
        <w:jc w:val="both"/>
        <w:rPr>
          <w:bCs/>
          <w:sz w:val="20"/>
        </w:rPr>
      </w:pPr>
    </w:p>
    <w:p w:rsidR="007E1207" w:rsidRPr="002C59BC" w:rsidRDefault="007E1207" w:rsidP="007E1207">
      <w:pPr>
        <w:pStyle w:val="Sangradetextonormal"/>
        <w:spacing w:after="0"/>
        <w:ind w:left="0" w:rightChars="567" w:right="1134"/>
        <w:jc w:val="both"/>
        <w:rPr>
          <w:sz w:val="20"/>
          <w:lang w:val="es-CO"/>
        </w:rPr>
      </w:pPr>
    </w:p>
    <w:p w:rsidR="007E1207" w:rsidRDefault="007E1207" w:rsidP="007E1207">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 xml:space="preserve">el principal propósito de este trámite se centra en conseguir </w:t>
      </w:r>
      <w:r w:rsidRPr="005E44D6">
        <w:rPr>
          <w:i/>
          <w:sz w:val="22"/>
          <w:lang w:val="es-CO"/>
        </w:rPr>
        <w:lastRenderedPageBreak/>
        <w:t>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BD175A" w:rsidRDefault="00A208C3" w:rsidP="00BD175A">
      <w:pPr>
        <w:pStyle w:val="Textoindependiente"/>
        <w:spacing w:line="360" w:lineRule="auto"/>
        <w:rPr>
          <w:rFonts w:ascii="Arial" w:hAnsi="Arial"/>
          <w:lang w:val="es-CO"/>
        </w:rPr>
      </w:pPr>
      <w:r>
        <w:rPr>
          <w:rFonts w:ascii="Arial" w:hAnsi="Arial" w:cs="Arial"/>
          <w:lang w:val="es-CO"/>
        </w:rPr>
        <w:t>L</w:t>
      </w:r>
      <w:r w:rsidR="0001638D" w:rsidRPr="00347A6F">
        <w:rPr>
          <w:rFonts w:ascii="Arial" w:hAnsi="Arial" w:cs="Arial"/>
          <w:lang w:val="es-CO"/>
        </w:rPr>
        <w:t>a decisión venida en consulta habrá de confirmarse</w:t>
      </w:r>
      <w:r w:rsidR="00BD175A">
        <w:rPr>
          <w:rFonts w:ascii="Arial" w:hAnsi="Arial" w:cs="Arial"/>
          <w:lang w:val="es-CO"/>
        </w:rPr>
        <w:t xml:space="preserve"> parcialmente</w:t>
      </w:r>
      <w:r w:rsidR="0001638D" w:rsidRPr="00347A6F">
        <w:rPr>
          <w:rFonts w:ascii="Arial" w:hAnsi="Arial" w:cs="Arial"/>
          <w:lang w:val="es-CO"/>
        </w:rPr>
        <w:t xml:space="preserve">, </w:t>
      </w:r>
      <w:r w:rsidR="00BD175A">
        <w:rPr>
          <w:rFonts w:ascii="Arial" w:hAnsi="Arial" w:cs="Arial"/>
          <w:lang w:val="es-CO"/>
        </w:rPr>
        <w:t xml:space="preserve">puesto que únicamente frente a uno de los funcionarios sancionados, </w:t>
      </w:r>
      <w:r w:rsidR="0001638D" w:rsidRPr="00347A6F">
        <w:rPr>
          <w:rFonts w:ascii="Arial" w:hAnsi="Arial" w:cs="Arial"/>
          <w:lang w:val="es-CO"/>
        </w:rPr>
        <w:t xml:space="preserve">se aviene al cumplimiento de los supuestos que constituyen el tema de prueba, esto es (i) </w:t>
      </w:r>
      <w:r w:rsidR="0001638D">
        <w:rPr>
          <w:rFonts w:ascii="Arial" w:hAnsi="Arial" w:cs="Arial"/>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BD175A">
        <w:rPr>
          <w:rFonts w:ascii="Arial" w:hAnsi="Arial" w:cs="Arial"/>
          <w:iCs/>
          <w:lang w:val="es-CO"/>
        </w:rPr>
        <w:t>Cuál es el alcance de la misma</w:t>
      </w:r>
      <w:r w:rsidR="00BD175A">
        <w:rPr>
          <w:rFonts w:ascii="Arial" w:hAnsi="Arial"/>
          <w:lang w:val="es-CO"/>
        </w:rPr>
        <w:t>.</w:t>
      </w:r>
    </w:p>
    <w:p w:rsidR="000E4616"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BD175A">
        <w:rPr>
          <w:rFonts w:ascii="Arial" w:hAnsi="Arial" w:cs="Arial"/>
          <w:spacing w:val="-3"/>
          <w:szCs w:val="28"/>
          <w:lang w:val="es-CO"/>
        </w:rPr>
        <w:t xml:space="preserve">19-04-2016 que revocó la dictada el día 01-03-2016, </w:t>
      </w:r>
      <w:r w:rsidR="00DE5395">
        <w:rPr>
          <w:rFonts w:ascii="Arial" w:hAnsi="Arial" w:cs="Arial"/>
          <w:spacing w:val="-3"/>
          <w:szCs w:val="28"/>
          <w:lang w:val="es-CO"/>
        </w:rPr>
        <w:t xml:space="preserve">ordenó </w:t>
      </w:r>
      <w:r w:rsidR="00E16B56">
        <w:rPr>
          <w:rFonts w:ascii="Arial" w:hAnsi="Arial" w:cs="Arial"/>
          <w:spacing w:val="-3"/>
          <w:szCs w:val="28"/>
          <w:lang w:val="es-CO"/>
        </w:rPr>
        <w:t>(i) A</w:t>
      </w:r>
      <w:r w:rsidR="00DE5395">
        <w:rPr>
          <w:rFonts w:ascii="Arial" w:hAnsi="Arial" w:cs="Arial"/>
          <w:spacing w:val="-3"/>
          <w:szCs w:val="28"/>
          <w:lang w:val="es-CO"/>
        </w:rPr>
        <w:t xml:space="preserve"> la </w:t>
      </w:r>
      <w:r w:rsidR="00BD175A">
        <w:rPr>
          <w:rFonts w:ascii="Arial" w:hAnsi="Arial" w:cs="Arial"/>
          <w:spacing w:val="-3"/>
          <w:szCs w:val="28"/>
          <w:lang w:val="es-CO"/>
        </w:rPr>
        <w:t>doctora María Lore</w:t>
      </w:r>
      <w:r w:rsidR="00BD175A" w:rsidRPr="00BD175A">
        <w:rPr>
          <w:rFonts w:ascii="Arial" w:hAnsi="Arial" w:cs="Arial"/>
          <w:spacing w:val="-3"/>
          <w:lang w:val="es-CO"/>
        </w:rPr>
        <w:t xml:space="preserve">na Serna Montoya, en su condición de Gerenta Regional Eje Cafetero de la Nueva </w:t>
      </w:r>
      <w:r w:rsidR="00DE5395" w:rsidRPr="00BD175A">
        <w:rPr>
          <w:rFonts w:ascii="Arial" w:hAnsi="Arial" w:cs="Arial"/>
          <w:spacing w:val="-3"/>
          <w:lang w:val="es-CO"/>
        </w:rPr>
        <w:t>EPS</w:t>
      </w:r>
      <w:r w:rsidR="00BD175A" w:rsidRPr="00BD175A">
        <w:rPr>
          <w:rFonts w:ascii="Arial" w:hAnsi="Arial" w:cs="Arial"/>
          <w:spacing w:val="-3"/>
          <w:lang w:val="es-CO"/>
        </w:rPr>
        <w:t xml:space="preserve">, </w:t>
      </w:r>
      <w:r w:rsidR="00E16B56">
        <w:rPr>
          <w:rFonts w:ascii="Arial" w:hAnsi="Arial" w:cs="Arial"/>
          <w:spacing w:val="-3"/>
          <w:lang w:val="es-CO"/>
        </w:rPr>
        <w:t>(ii) Q</w:t>
      </w:r>
      <w:r w:rsidR="00BD175A" w:rsidRPr="00BD175A">
        <w:rPr>
          <w:rFonts w:ascii="Arial" w:hAnsi="Arial" w:cs="Arial"/>
          <w:spacing w:val="-3"/>
          <w:lang w:val="es-CO"/>
        </w:rPr>
        <w:t xml:space="preserve">ue en el término de 48 horas, </w:t>
      </w:r>
      <w:r w:rsidR="00E16B56">
        <w:rPr>
          <w:rFonts w:ascii="Arial" w:hAnsi="Arial" w:cs="Arial"/>
          <w:spacing w:val="-3"/>
          <w:lang w:val="es-CO"/>
        </w:rPr>
        <w:t xml:space="preserve">(iii) </w:t>
      </w:r>
      <w:r w:rsidR="00BD175A" w:rsidRPr="00BD175A">
        <w:rPr>
          <w:rFonts w:ascii="Arial" w:hAnsi="Arial" w:cs="Arial"/>
          <w:spacing w:val="-3"/>
          <w:lang w:val="es-CO"/>
        </w:rPr>
        <w:t xml:space="preserve">respondiera la petición de la accionante radicada el día 12-11-2015 </w:t>
      </w:r>
      <w:r w:rsidR="0030758B">
        <w:rPr>
          <w:rFonts w:ascii="Arial" w:hAnsi="Arial" w:cs="Arial"/>
          <w:spacing w:val="-3"/>
          <w:szCs w:val="28"/>
          <w:lang w:val="es-CO"/>
        </w:rPr>
        <w:t xml:space="preserve">(Folio </w:t>
      </w:r>
      <w:r w:rsidR="00BD175A">
        <w:rPr>
          <w:rFonts w:ascii="Arial" w:hAnsi="Arial" w:cs="Arial"/>
          <w:spacing w:val="-3"/>
          <w:szCs w:val="28"/>
          <w:lang w:val="es-CO"/>
        </w:rPr>
        <w:t>8</w:t>
      </w:r>
      <w:r w:rsidR="0030758B">
        <w:rPr>
          <w:rFonts w:ascii="Arial" w:hAnsi="Arial" w:cs="Arial"/>
          <w:spacing w:val="-3"/>
          <w:szCs w:val="28"/>
          <w:lang w:val="es-CO"/>
        </w:rPr>
        <w:t>. cuaderno de tutela)</w:t>
      </w:r>
      <w:r w:rsidR="00DE5395">
        <w:rPr>
          <w:rFonts w:ascii="Arial" w:hAnsi="Arial" w:cs="Arial"/>
          <w:spacing w:val="-3"/>
          <w:szCs w:val="28"/>
          <w:lang w:val="es-CO"/>
        </w:rPr>
        <w:t>.</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E16B56" w:rsidRDefault="00E16B56"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hicieron varios requerimientos sin respuesta, bien se aprecia, vencidos los términos dados, aún sigue incumplido el fallo</w:t>
      </w:r>
      <w:r w:rsidRPr="00E73A55">
        <w:rPr>
          <w:rFonts w:ascii="Arial" w:hAnsi="Arial" w:cs="Arial"/>
          <w:spacing w:val="-3"/>
          <w:szCs w:val="28"/>
          <w:lang w:val="es-CO"/>
        </w:rPr>
        <w:t>.</w:t>
      </w:r>
      <w:r>
        <w:rPr>
          <w:rFonts w:ascii="Arial" w:hAnsi="Arial" w:cs="Arial"/>
          <w:spacing w:val="-3"/>
          <w:szCs w:val="28"/>
          <w:lang w:val="es-CO"/>
        </w:rPr>
        <w:t xml:space="preserve"> </w:t>
      </w:r>
    </w:p>
    <w:p w:rsidR="00E16B56" w:rsidRDefault="00E16B56" w:rsidP="00E16B56">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de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se advierte la desidia frente a la conducta debida, por cuanto en este trámite incidental, a pesar de haberse notificado en repetidas ocasiones (requerimiento y apertura del incidente), no ofreció una respuesta que justifique su tardanza. Entonces la sanción impuesta aparece fundada en la desatención a la sentencia de primera instancia.</w:t>
      </w:r>
      <w:r>
        <w:rPr>
          <w:rFonts w:ascii="Arial" w:hAnsi="Arial" w:cs="Arial"/>
          <w:spacing w:val="-3"/>
          <w:sz w:val="24"/>
          <w:lang w:val="es-CO"/>
        </w:rPr>
        <w:t xml:space="preserve"> </w:t>
      </w:r>
    </w:p>
    <w:p w:rsidR="005B1F83" w:rsidRDefault="005B1F83" w:rsidP="00E16B56">
      <w:pPr>
        <w:spacing w:line="360" w:lineRule="auto"/>
        <w:jc w:val="both"/>
        <w:rPr>
          <w:rFonts w:ascii="Arial" w:hAnsi="Arial" w:cs="Arial"/>
          <w:spacing w:val="-3"/>
          <w:sz w:val="24"/>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w:t>
      </w:r>
      <w:r w:rsidR="00E16B56">
        <w:rPr>
          <w:rFonts w:ascii="Arial" w:hAnsi="Arial" w:cs="Arial"/>
          <w:spacing w:val="-3"/>
          <w:sz w:val="24"/>
          <w:szCs w:val="28"/>
          <w:lang w:val="es-CO"/>
        </w:rPr>
        <w:t xml:space="preserve"> a la </w:t>
      </w:r>
      <w:r w:rsidR="00E16B56" w:rsidRPr="00BD175A">
        <w:rPr>
          <w:rFonts w:ascii="Arial" w:hAnsi="Arial" w:cs="Arial"/>
          <w:spacing w:val="-3"/>
          <w:sz w:val="24"/>
          <w:szCs w:val="24"/>
          <w:lang w:val="es-CO"/>
        </w:rPr>
        <w:t>Gerenta Regional Eje Cafetero de la Nueva EPS</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w:t>
      </w:r>
      <w:r w:rsidR="00E16B56">
        <w:rPr>
          <w:rFonts w:ascii="Arial" w:hAnsi="Arial" w:cs="Arial"/>
          <w:spacing w:val="-3"/>
          <w:sz w:val="24"/>
          <w:szCs w:val="24"/>
          <w:lang w:val="es-CO"/>
        </w:rPr>
        <w:t>el derecho fundamental</w:t>
      </w:r>
      <w:r w:rsidRPr="002449F9">
        <w:rPr>
          <w:rFonts w:ascii="Arial" w:hAnsi="Arial" w:cs="Arial"/>
          <w:spacing w:val="-3"/>
          <w:sz w:val="24"/>
          <w:szCs w:val="24"/>
          <w:lang w:val="es-CO"/>
        </w:rPr>
        <w:t xml:space="preserve"> </w:t>
      </w:r>
      <w:r w:rsidR="00E16B56">
        <w:rPr>
          <w:rFonts w:ascii="Arial" w:hAnsi="Arial" w:cs="Arial"/>
          <w:spacing w:val="-3"/>
          <w:sz w:val="24"/>
          <w:szCs w:val="24"/>
          <w:lang w:val="es-CO"/>
        </w:rPr>
        <w:t>constitucional que aparecía como violado</w:t>
      </w:r>
      <w:r w:rsidRPr="002449F9">
        <w:rPr>
          <w:rFonts w:ascii="Arial" w:hAnsi="Arial" w:cs="Arial"/>
          <w:spacing w:val="-3"/>
          <w:sz w:val="24"/>
          <w:szCs w:val="24"/>
          <w:lang w:val="es-CO"/>
        </w:rPr>
        <w:t xml:space="preserve"> por la</w:t>
      </w:r>
      <w:r w:rsidR="00E16B56">
        <w:rPr>
          <w:rFonts w:ascii="Arial" w:hAnsi="Arial" w:cs="Arial"/>
          <w:spacing w:val="-3"/>
          <w:sz w:val="24"/>
          <w:szCs w:val="24"/>
          <w:lang w:val="es-CO"/>
        </w:rPr>
        <w:t xml:space="preserve"> renuencia de la entidad, sigue</w:t>
      </w:r>
      <w:r w:rsidRPr="002449F9">
        <w:rPr>
          <w:rFonts w:ascii="Arial" w:hAnsi="Arial" w:cs="Arial"/>
          <w:spacing w:val="-3"/>
          <w:sz w:val="24"/>
          <w:szCs w:val="24"/>
          <w:lang w:val="es-CO"/>
        </w:rPr>
        <w:t xml:space="preserve"> en igual estado de vulneración desde el </w:t>
      </w:r>
      <w:r w:rsidR="00E16B56">
        <w:rPr>
          <w:rFonts w:ascii="Arial" w:hAnsi="Arial" w:cs="Arial"/>
          <w:spacing w:val="-3"/>
          <w:sz w:val="24"/>
          <w:szCs w:val="24"/>
          <w:lang w:val="es-CO"/>
        </w:rPr>
        <w:t xml:space="preserve">19-04-2016,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w:t>
      </w:r>
      <w:r w:rsidR="00E16B56">
        <w:rPr>
          <w:rFonts w:ascii="Arial" w:hAnsi="Arial" w:cs="Arial"/>
          <w:spacing w:val="-3"/>
          <w:sz w:val="24"/>
          <w:szCs w:val="24"/>
          <w:lang w:val="es-CO"/>
        </w:rPr>
        <w:t xml:space="preserve">de segunda instancia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691851" w:rsidRDefault="00E86DE3"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lastRenderedPageBreak/>
        <w:t xml:space="preserve">A pesar de </w:t>
      </w:r>
      <w:r w:rsidR="004D5B69">
        <w:rPr>
          <w:rFonts w:ascii="Arial" w:hAnsi="Arial" w:cs="Arial"/>
          <w:spacing w:val="-3"/>
          <w:szCs w:val="28"/>
          <w:lang w:val="es-CO"/>
        </w:rPr>
        <w:t xml:space="preserve">lo anterior, </w:t>
      </w:r>
      <w:r w:rsidR="00E16B56">
        <w:rPr>
          <w:rFonts w:ascii="Arial" w:hAnsi="Arial" w:cs="Arial"/>
          <w:spacing w:val="-3"/>
          <w:szCs w:val="28"/>
          <w:lang w:val="es-CO"/>
        </w:rPr>
        <w:t xml:space="preserve">considera la Sala </w:t>
      </w:r>
      <w:r w:rsidR="00691851">
        <w:rPr>
          <w:rFonts w:ascii="Arial" w:hAnsi="Arial" w:cs="Arial"/>
          <w:spacing w:val="-3"/>
          <w:szCs w:val="28"/>
          <w:lang w:val="es-CO"/>
        </w:rPr>
        <w:t xml:space="preserve">desacertada </w:t>
      </w:r>
      <w:r w:rsidR="00E16B56">
        <w:rPr>
          <w:rFonts w:ascii="Arial" w:hAnsi="Arial" w:cs="Arial"/>
          <w:spacing w:val="-3"/>
          <w:szCs w:val="28"/>
          <w:lang w:val="es-CO"/>
        </w:rPr>
        <w:t xml:space="preserve">la </w:t>
      </w:r>
      <w:r w:rsidR="00691851">
        <w:rPr>
          <w:rFonts w:ascii="Arial" w:hAnsi="Arial" w:cs="Arial"/>
          <w:spacing w:val="-3"/>
          <w:szCs w:val="28"/>
          <w:lang w:val="es-CO"/>
        </w:rPr>
        <w:t xml:space="preserve">decisión de la </w:t>
      </w:r>
      <w:r w:rsidR="00691851">
        <w:rPr>
          <w:rFonts w:ascii="Arial" w:hAnsi="Arial" w:cs="Arial"/>
          <w:i/>
          <w:spacing w:val="-3"/>
          <w:szCs w:val="28"/>
          <w:lang w:val="es-CO"/>
        </w:rPr>
        <w:t xml:space="preserve">a quo </w:t>
      </w:r>
      <w:r w:rsidR="00691851">
        <w:rPr>
          <w:rFonts w:ascii="Arial" w:hAnsi="Arial" w:cs="Arial"/>
          <w:spacing w:val="-3"/>
          <w:szCs w:val="28"/>
          <w:lang w:val="es-CO"/>
        </w:rPr>
        <w:t xml:space="preserve">en torno a imponer sanción por desacato </w:t>
      </w:r>
      <w:r w:rsidR="00E16B56">
        <w:rPr>
          <w:rFonts w:ascii="Arial" w:hAnsi="Arial" w:cs="Arial"/>
          <w:spacing w:val="-3"/>
          <w:szCs w:val="28"/>
          <w:lang w:val="es-CO"/>
        </w:rPr>
        <w:t xml:space="preserve">al doctor José Fernando Serna Montoya, en su calidad de Presidente de la Nueva EPS, puesto que </w:t>
      </w:r>
      <w:r w:rsidR="00691851">
        <w:rPr>
          <w:rFonts w:ascii="Arial" w:hAnsi="Arial" w:cs="Arial"/>
          <w:spacing w:val="-3"/>
          <w:szCs w:val="28"/>
          <w:lang w:val="es-CO"/>
        </w:rPr>
        <w:t xml:space="preserve">no dio </w:t>
      </w:r>
      <w:r w:rsidR="00E16B56">
        <w:rPr>
          <w:rFonts w:ascii="Arial" w:hAnsi="Arial" w:cs="Arial"/>
          <w:spacing w:val="-3"/>
          <w:szCs w:val="28"/>
          <w:lang w:val="es-CO"/>
        </w:rPr>
        <w:t xml:space="preserve">apertura del incidente en su contra, </w:t>
      </w:r>
      <w:r w:rsidR="00691851">
        <w:rPr>
          <w:rFonts w:ascii="Arial" w:hAnsi="Arial" w:cs="Arial"/>
          <w:spacing w:val="-3"/>
          <w:szCs w:val="28"/>
          <w:lang w:val="es-CO"/>
        </w:rPr>
        <w:t xml:space="preserve">sin que pueda considerarse que el requerimiento inicial que se </w:t>
      </w:r>
      <w:r w:rsidR="00E61053">
        <w:rPr>
          <w:rFonts w:ascii="Arial" w:hAnsi="Arial" w:cs="Arial"/>
          <w:spacing w:val="-3"/>
          <w:szCs w:val="28"/>
          <w:lang w:val="es-CO"/>
        </w:rPr>
        <w:t xml:space="preserve">le </w:t>
      </w:r>
      <w:r w:rsidR="00691851">
        <w:rPr>
          <w:rFonts w:ascii="Arial" w:hAnsi="Arial" w:cs="Arial"/>
          <w:spacing w:val="-3"/>
          <w:szCs w:val="28"/>
          <w:lang w:val="es-CO"/>
        </w:rPr>
        <w:t xml:space="preserve">hiciera supla </w:t>
      </w:r>
      <w:r w:rsidR="00E61053">
        <w:rPr>
          <w:rFonts w:ascii="Arial" w:hAnsi="Arial" w:cs="Arial"/>
          <w:spacing w:val="-3"/>
          <w:szCs w:val="28"/>
          <w:lang w:val="es-CO"/>
        </w:rPr>
        <w:t xml:space="preserve">la </w:t>
      </w:r>
      <w:r w:rsidR="00691851">
        <w:rPr>
          <w:rFonts w:ascii="Arial" w:hAnsi="Arial" w:cs="Arial"/>
          <w:spacing w:val="-3"/>
          <w:szCs w:val="28"/>
          <w:lang w:val="es-CO"/>
        </w:rPr>
        <w:t xml:space="preserve">actuación </w:t>
      </w:r>
      <w:r w:rsidR="00E61053">
        <w:rPr>
          <w:rFonts w:ascii="Arial" w:hAnsi="Arial" w:cs="Arial"/>
          <w:spacing w:val="-3"/>
          <w:szCs w:val="28"/>
          <w:lang w:val="es-CO"/>
        </w:rPr>
        <w:t>referida</w:t>
      </w:r>
      <w:r w:rsidR="00691851">
        <w:rPr>
          <w:rFonts w:ascii="Arial" w:hAnsi="Arial" w:cs="Arial"/>
          <w:spacing w:val="-3"/>
          <w:szCs w:val="28"/>
          <w:lang w:val="es-CO"/>
        </w:rPr>
        <w:t>, de manera que se revocará el proveído consultado en este aspecto.</w:t>
      </w:r>
    </w:p>
    <w:p w:rsidR="00691851" w:rsidRDefault="00691851" w:rsidP="001F02C2">
      <w:pPr>
        <w:spacing w:line="360" w:lineRule="auto"/>
        <w:jc w:val="both"/>
        <w:rPr>
          <w:rFonts w:ascii="Arial" w:hAnsi="Arial" w:cs="Arial"/>
          <w:sz w:val="24"/>
          <w:szCs w:val="24"/>
          <w:lang w:val="es-CO"/>
        </w:rPr>
      </w:pP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873E03">
        <w:rPr>
          <w:rFonts w:ascii="Arial" w:hAnsi="Arial" w:cs="Arial"/>
          <w:spacing w:val="-3"/>
          <w:sz w:val="24"/>
          <w:szCs w:val="24"/>
          <w:lang w:val="es-CO"/>
        </w:rPr>
        <w:t xml:space="preserve">la providencia sancionatoria </w:t>
      </w:r>
      <w:r w:rsidR="00532361" w:rsidRPr="001F02C2">
        <w:rPr>
          <w:rFonts w:ascii="Arial" w:hAnsi="Arial" w:cs="Arial"/>
          <w:spacing w:val="-3"/>
          <w:sz w:val="24"/>
          <w:szCs w:val="24"/>
          <w:lang w:val="es-CO"/>
        </w:rPr>
        <w:t xml:space="preserve">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 xml:space="preserve">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w:t>
      </w:r>
      <w:r w:rsidR="00533519">
        <w:rPr>
          <w:rFonts w:ascii="Arial" w:hAnsi="Arial" w:cs="Arial"/>
          <w:lang w:val="es-CO"/>
        </w:rPr>
        <w:t>(i) S</w:t>
      </w:r>
      <w:r w:rsidRPr="00C01A16">
        <w:rPr>
          <w:rFonts w:ascii="Arial" w:hAnsi="Arial" w:cs="Arial"/>
          <w:lang w:val="es-CO"/>
        </w:rPr>
        <w:t xml:space="preserve">e </w:t>
      </w:r>
      <w:r w:rsidR="00533519">
        <w:rPr>
          <w:rFonts w:ascii="Arial" w:hAnsi="Arial" w:cs="Arial"/>
          <w:lang w:val="es-CO"/>
        </w:rPr>
        <w:t xml:space="preserve">confirmará </w:t>
      </w:r>
      <w:r w:rsidR="00106E79">
        <w:rPr>
          <w:rFonts w:ascii="Arial" w:hAnsi="Arial" w:cs="Arial"/>
          <w:lang w:val="es-CO"/>
        </w:rPr>
        <w:t xml:space="preserve">parcialmente </w:t>
      </w:r>
      <w:r w:rsidR="00533519">
        <w:rPr>
          <w:rFonts w:ascii="Arial" w:hAnsi="Arial" w:cs="Arial"/>
          <w:lang w:val="es-CO"/>
        </w:rPr>
        <w:t>el proveído venido en consulta</w:t>
      </w:r>
      <w:r w:rsidR="00106E79">
        <w:rPr>
          <w:rFonts w:ascii="Arial" w:hAnsi="Arial" w:cs="Arial"/>
          <w:lang w:val="es-CO"/>
        </w:rPr>
        <w:t>; (ii) Se revocará su numeral 4º; y, (iii) Se adicionará el numeral 5º para ordenar la expedición de copias para cobro coactivo.</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sidR="00DF61F7">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106E79">
        <w:rPr>
          <w:rFonts w:ascii="Arial" w:hAnsi="Arial" w:cs="Arial"/>
          <w:sz w:val="24"/>
          <w:szCs w:val="24"/>
          <w:lang w:val="es-CO"/>
        </w:rPr>
        <w:t>el proveído fechado el 21-07</w:t>
      </w:r>
      <w:r w:rsidR="005E034C">
        <w:rPr>
          <w:rFonts w:ascii="Arial" w:hAnsi="Arial" w:cs="Arial"/>
          <w:sz w:val="24"/>
          <w:szCs w:val="24"/>
          <w:lang w:val="es-CO"/>
        </w:rPr>
        <w:t>-2016</w:t>
      </w:r>
      <w:r w:rsidR="00106E79">
        <w:rPr>
          <w:rFonts w:ascii="Arial" w:hAnsi="Arial" w:cs="Arial"/>
          <w:sz w:val="24"/>
          <w:szCs w:val="24"/>
          <w:lang w:val="es-CO"/>
        </w:rPr>
        <w:t>, emitido</w:t>
      </w:r>
      <w:r w:rsidRPr="005E034C">
        <w:rPr>
          <w:rFonts w:ascii="Arial" w:hAnsi="Arial" w:cs="Arial"/>
          <w:sz w:val="24"/>
          <w:szCs w:val="24"/>
          <w:lang w:val="es-CO"/>
        </w:rPr>
        <w:t xml:space="preserve"> por el Juzgado </w:t>
      </w:r>
      <w:r w:rsidR="00106E79">
        <w:rPr>
          <w:rFonts w:ascii="Arial" w:hAnsi="Arial" w:cs="Arial"/>
          <w:sz w:val="24"/>
          <w:szCs w:val="24"/>
          <w:lang w:val="es-CO"/>
        </w:rPr>
        <w:t>Segundo Civil del Circuito de Pereira</w:t>
      </w:r>
      <w:r w:rsidR="00873E03">
        <w:rPr>
          <w:rFonts w:ascii="Arial" w:hAnsi="Arial" w:cs="Arial"/>
          <w:sz w:val="24"/>
          <w:szCs w:val="24"/>
          <w:lang w:val="es-CO"/>
        </w:rPr>
        <w:t>, salvo el ordinal 4º</w:t>
      </w:r>
      <w:r w:rsidRPr="005E034C">
        <w:rPr>
          <w:rFonts w:ascii="Arial" w:hAnsi="Arial" w:cs="Arial"/>
          <w:sz w:val="24"/>
          <w:szCs w:val="24"/>
          <w:lang w:val="es-CO"/>
        </w:rPr>
        <w:t>.</w:t>
      </w:r>
    </w:p>
    <w:p w:rsidR="00530AB0" w:rsidRPr="00B3668B" w:rsidRDefault="00530AB0" w:rsidP="00B3668B">
      <w:pPr>
        <w:widowControl w:val="0"/>
        <w:spacing w:line="360" w:lineRule="auto"/>
        <w:jc w:val="both"/>
        <w:rPr>
          <w:rFonts w:ascii="Arial" w:hAnsi="Arial" w:cs="Arial"/>
          <w:szCs w:val="24"/>
          <w:lang w:val="es-CO"/>
        </w:rPr>
      </w:pPr>
    </w:p>
    <w:p w:rsidR="00106E79" w:rsidRDefault="00106E79" w:rsidP="00E0027C">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REVOCAR el numeral 4º del referido auto, conforme </w:t>
      </w:r>
      <w:r w:rsidR="00873E03">
        <w:rPr>
          <w:rFonts w:ascii="Arial" w:hAnsi="Arial" w:cs="Arial"/>
          <w:lang w:val="es-CO"/>
        </w:rPr>
        <w:t xml:space="preserve">a </w:t>
      </w:r>
      <w:r>
        <w:rPr>
          <w:rFonts w:ascii="Arial" w:hAnsi="Arial" w:cs="Arial"/>
          <w:lang w:val="es-CO"/>
        </w:rPr>
        <w:t>lo expuesto en esta providencia.</w:t>
      </w:r>
    </w:p>
    <w:p w:rsidR="00106E79" w:rsidRDefault="00106E79" w:rsidP="00106E79">
      <w:pPr>
        <w:pStyle w:val="Prrafodelista"/>
        <w:rPr>
          <w:rFonts w:ascii="Arial" w:hAnsi="Arial" w:cs="Arial"/>
          <w:lang w:val="es-CO"/>
        </w:rPr>
      </w:pPr>
    </w:p>
    <w:p w:rsidR="00532361" w:rsidRPr="005E034C" w:rsidRDefault="00532361" w:rsidP="00E0027C">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w:t>
      </w:r>
      <w:r w:rsidR="00B3668B" w:rsidRPr="005E034C">
        <w:rPr>
          <w:rFonts w:ascii="Arial" w:hAnsi="Arial" w:cs="Arial"/>
          <w:lang w:val="es-CO"/>
        </w:rPr>
        <w:t xml:space="preserve">el </w:t>
      </w:r>
      <w:r w:rsidRPr="005E034C">
        <w:rPr>
          <w:rFonts w:ascii="Arial" w:hAnsi="Arial" w:cs="Arial"/>
          <w:lang w:val="es-CO"/>
        </w:rPr>
        <w:t xml:space="preserve">numeral </w:t>
      </w:r>
      <w:r w:rsidR="00106E79">
        <w:rPr>
          <w:rFonts w:ascii="Arial" w:hAnsi="Arial" w:cs="Arial"/>
          <w:lang w:val="es-CO"/>
        </w:rPr>
        <w:t>5</w:t>
      </w:r>
      <w:r w:rsidR="00B3668B" w:rsidRPr="005E034C">
        <w:rPr>
          <w:rFonts w:ascii="Arial" w:hAnsi="Arial" w:cs="Arial"/>
          <w:lang w:val="es-CO"/>
        </w:rPr>
        <w:t>º</w:t>
      </w:r>
      <w:r w:rsidRPr="005E034C">
        <w:rPr>
          <w:rFonts w:ascii="Arial" w:hAnsi="Arial" w:cs="Arial"/>
          <w:lang w:val="es-CO"/>
        </w:rPr>
        <w:t xml:space="preserve"> de la citada providencia en el sentido </w:t>
      </w:r>
      <w:r w:rsidR="00B3668B" w:rsidRPr="005E034C">
        <w:rPr>
          <w:rFonts w:ascii="Arial" w:hAnsi="Arial" w:cs="Arial"/>
          <w:lang w:val="es-CO"/>
        </w:rPr>
        <w:t xml:space="preserve">de </w:t>
      </w:r>
      <w:r w:rsidRPr="005E034C">
        <w:rPr>
          <w:rFonts w:ascii="Arial" w:hAnsi="Arial" w:cs="Arial"/>
          <w:lang w:val="es-CO"/>
        </w:rPr>
        <w:t xml:space="preserve">disponer que </w:t>
      </w:r>
      <w:r w:rsidR="004A26B9" w:rsidRPr="005E034C">
        <w:rPr>
          <w:rFonts w:ascii="Arial" w:hAnsi="Arial" w:cs="Arial"/>
          <w:lang w:val="es-CO"/>
        </w:rPr>
        <w:t xml:space="preserve">en caso de no </w:t>
      </w:r>
      <w:r w:rsidRPr="005E034C">
        <w:rPr>
          <w:rFonts w:ascii="Arial" w:hAnsi="Arial" w:cs="Arial"/>
          <w:lang w:val="es-CO"/>
        </w:rPr>
        <w:t>ser pagada la multa</w:t>
      </w:r>
      <w:r w:rsidR="005E034C">
        <w:rPr>
          <w:rFonts w:ascii="Arial" w:hAnsi="Arial" w:cs="Arial"/>
          <w:lang w:val="es-CO"/>
        </w:rPr>
        <w:t xml:space="preserve"> impuesta</w:t>
      </w:r>
      <w:r w:rsidR="004A26B9" w:rsidRPr="005E034C">
        <w:rPr>
          <w:rFonts w:ascii="Arial" w:hAnsi="Arial" w:cs="Arial"/>
          <w:lang w:val="es-CO"/>
        </w:rPr>
        <w:t xml:space="preserve"> </w:t>
      </w:r>
      <w:r w:rsidRPr="005E034C">
        <w:rPr>
          <w:rFonts w:ascii="Arial" w:hAnsi="Arial" w:cs="Arial"/>
          <w:lang w:val="es-CO"/>
        </w:rPr>
        <w:t>en el plazo concedido, se remitirá copia de la providencia con sus respectivas constancias a la Dirección Ejecutiva de Administración Judicial local, con el fin de que se inicie el proceso de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rrafodelista"/>
        <w:spacing w:line="360" w:lineRule="auto"/>
        <w:ind w:left="360"/>
        <w:jc w:val="both"/>
        <w:rPr>
          <w:rFonts w:ascii="Arial" w:hAnsi="Arial" w:cs="Arial"/>
          <w:sz w:val="10"/>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p w:rsidR="008476D8" w:rsidRDefault="008476D8">
      <w:pPr>
        <w:spacing w:after="200" w:line="276" w:lineRule="auto"/>
        <w:rPr>
          <w:rFonts w:ascii="Arial" w:hAnsi="Arial" w:cs="Arial"/>
          <w:i/>
          <w:iCs/>
          <w:sz w:val="14"/>
          <w:szCs w:val="16"/>
          <w:lang w:val="en-US"/>
        </w:rPr>
      </w:pPr>
    </w:p>
    <w:sectPr w:rsidR="008476D8" w:rsidSect="000B589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34" w:rsidRDefault="00F52834" w:rsidP="0005223F">
      <w:r>
        <w:separator/>
      </w:r>
    </w:p>
  </w:endnote>
  <w:endnote w:type="continuationSeparator" w:id="0">
    <w:p w:rsidR="00F52834" w:rsidRDefault="00F5283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34" w:rsidRDefault="00F52834" w:rsidP="0005223F">
      <w:r>
        <w:separator/>
      </w:r>
    </w:p>
  </w:footnote>
  <w:footnote w:type="continuationSeparator" w:id="0">
    <w:p w:rsidR="00F52834" w:rsidRDefault="00F52834"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MP: Humberto Antonio Sierra Porto.</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MP: Humberto Antonio Sierra Porto.</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E1207" w:rsidRPr="00087130" w:rsidRDefault="007E1207" w:rsidP="007E1207">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087130" w:rsidRDefault="007E1207" w:rsidP="007E1207">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7E1207" w:rsidRPr="00563881"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BA3FDE" w:rsidRPr="00BA3FDE">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E1207">
      <w:rPr>
        <w:rFonts w:ascii="Calibri" w:hAnsi="Calibri" w:cs="Calibri"/>
        <w:i/>
        <w:iCs/>
        <w:lang w:val="es-CO"/>
      </w:rPr>
      <w:t>2016</w:t>
    </w:r>
    <w:r w:rsidR="00F07CB3">
      <w:rPr>
        <w:rFonts w:ascii="Calibri" w:hAnsi="Calibri" w:cs="Calibri"/>
        <w:i/>
        <w:iCs/>
        <w:lang w:val="es-CO"/>
      </w:rPr>
      <w:t>-</w:t>
    </w:r>
    <w:r w:rsidR="00E9069C">
      <w:rPr>
        <w:rFonts w:ascii="Calibri" w:hAnsi="Calibri" w:cs="Calibri"/>
        <w:i/>
        <w:iCs/>
        <w:lang w:val="es-CO"/>
      </w:rPr>
      <w:t>00236</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431"/>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5518"/>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3AE"/>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3FDE"/>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097F"/>
    <w:rsid w:val="00F51255"/>
    <w:rsid w:val="00F51686"/>
    <w:rsid w:val="00F52834"/>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D60C-16C7-44A1-9903-522D1E81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15</cp:revision>
  <cp:lastPrinted>2016-08-23T15:10:00Z</cp:lastPrinted>
  <dcterms:created xsi:type="dcterms:W3CDTF">2016-08-16T15:22:00Z</dcterms:created>
  <dcterms:modified xsi:type="dcterms:W3CDTF">2017-01-11T18:40:00Z</dcterms:modified>
</cp:coreProperties>
</file>