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8B" w:rsidRPr="00760671" w:rsidRDefault="004F3C8B" w:rsidP="004F3C8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2C01E6" w:rsidRPr="00743DB6" w:rsidRDefault="002C01E6" w:rsidP="002C01E6">
      <w:pPr>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b/>
          <w:sz w:val="18"/>
          <w:szCs w:val="18"/>
        </w:rPr>
        <w:t>Tema:</w:t>
      </w:r>
      <w:r w:rsidRPr="00743DB6">
        <w:rPr>
          <w:rFonts w:asciiTheme="minorHAnsi" w:hAnsiTheme="minorHAnsi"/>
          <w:b/>
          <w:sz w:val="18"/>
          <w:szCs w:val="18"/>
        </w:rPr>
        <w:tab/>
      </w:r>
      <w:r w:rsidRPr="00743DB6">
        <w:rPr>
          <w:rFonts w:asciiTheme="minorHAnsi" w:hAnsiTheme="minorHAnsi"/>
          <w:b/>
          <w:sz w:val="18"/>
          <w:szCs w:val="18"/>
        </w:rPr>
        <w:tab/>
      </w:r>
      <w:r w:rsidRPr="00743DB6">
        <w:rPr>
          <w:rFonts w:asciiTheme="minorHAnsi" w:hAnsiTheme="minorHAnsi"/>
          <w:b/>
          <w:sz w:val="18"/>
          <w:szCs w:val="18"/>
        </w:rPr>
        <w:tab/>
      </w:r>
      <w:r w:rsidRPr="00743DB6">
        <w:rPr>
          <w:rFonts w:asciiTheme="minorHAnsi" w:hAnsiTheme="minorHAnsi"/>
          <w:b/>
          <w:sz w:val="18"/>
          <w:szCs w:val="18"/>
        </w:rPr>
        <w:tab/>
        <w:t xml:space="preserve">PRINCIPIO DE DOBLE INSTANCIA NO ES ABSOLUTO / APELACIÓN AUTO / </w:t>
      </w:r>
      <w:proofErr w:type="spellStart"/>
      <w:r w:rsidRPr="00743DB6">
        <w:rPr>
          <w:rFonts w:asciiTheme="minorHAnsi" w:hAnsiTheme="minorHAnsi"/>
          <w:b/>
          <w:sz w:val="18"/>
          <w:szCs w:val="18"/>
        </w:rPr>
        <w:t>TAXATIVIDAD</w:t>
      </w:r>
      <w:proofErr w:type="spellEnd"/>
      <w:r w:rsidRPr="00743DB6">
        <w:rPr>
          <w:rFonts w:asciiTheme="minorHAnsi" w:hAnsiTheme="minorHAnsi"/>
          <w:b/>
          <w:sz w:val="18"/>
          <w:szCs w:val="18"/>
        </w:rPr>
        <w:t xml:space="preserve"> / “</w:t>
      </w:r>
      <w:r w:rsidRPr="00743DB6">
        <w:rPr>
          <w:rFonts w:asciiTheme="minorHAnsi" w:hAnsiTheme="minorHAnsi"/>
          <w:sz w:val="18"/>
          <w:szCs w:val="18"/>
        </w:rPr>
        <w:t xml:space="preserve">Es necesario anotar que aunque está vigente el </w:t>
      </w:r>
      <w:proofErr w:type="spellStart"/>
      <w:r w:rsidRPr="00743DB6">
        <w:rPr>
          <w:rFonts w:asciiTheme="minorHAnsi" w:hAnsiTheme="minorHAnsi"/>
          <w:sz w:val="18"/>
          <w:szCs w:val="18"/>
        </w:rPr>
        <w:t>CGP</w:t>
      </w:r>
      <w:proofErr w:type="spellEnd"/>
      <w:r w:rsidRPr="00743DB6">
        <w:rPr>
          <w:rFonts w:asciiTheme="minorHAnsi" w:hAnsiTheme="minorHAnsi"/>
          <w:sz w:val="18"/>
          <w:szCs w:val="18"/>
        </w:rPr>
        <w:t xml:space="preserve">, este asunto aún está sin hacer tránsito de legislación, por tratarse de un proceso ordinario en el que todavía no se ha emitido el auto de pruebas, es decir, cumple la regla estatuida en el artículo 625-1º-a) y por ello el estudio se hará conforme 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w:t>
      </w: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“Por sabido se tiene, en la literatura procesal contemporánea, que la </w:t>
      </w:r>
      <w:proofErr w:type="spellStart"/>
      <w:r w:rsidRPr="00743DB6">
        <w:rPr>
          <w:rFonts w:asciiTheme="minorHAnsi" w:hAnsiTheme="minorHAnsi"/>
          <w:sz w:val="18"/>
          <w:szCs w:val="18"/>
        </w:rPr>
        <w:t>taxatividad</w:t>
      </w:r>
      <w:proofErr w:type="spellEnd"/>
      <w:r w:rsidRPr="00743DB6">
        <w:rPr>
          <w:rFonts w:asciiTheme="minorHAnsi" w:hAnsiTheme="minorHAnsi"/>
          <w:sz w:val="18"/>
          <w:szCs w:val="18"/>
        </w:rPr>
        <w:t xml:space="preserve"> es una regla técnica de regulación del recurso de apelación, como aplicación del principio de economía procesal, y cuyo contenido consiste en señalar que es procedente solo cuando así lo disponga una norma en forma expresa. En 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 xml:space="preserve"> (Tal como lo hace el </w:t>
      </w:r>
      <w:proofErr w:type="spellStart"/>
      <w:r w:rsidRPr="00743DB6">
        <w:rPr>
          <w:rFonts w:asciiTheme="minorHAnsi" w:hAnsiTheme="minorHAnsi"/>
          <w:sz w:val="18"/>
          <w:szCs w:val="18"/>
        </w:rPr>
        <w:t>CGP</w:t>
      </w:r>
      <w:proofErr w:type="spellEnd"/>
      <w:r w:rsidRPr="00743DB6">
        <w:rPr>
          <w:rFonts w:asciiTheme="minorHAnsi" w:hAnsiTheme="minorHAnsi"/>
          <w:sz w:val="18"/>
          <w:szCs w:val="18"/>
        </w:rPr>
        <w:t xml:space="preserve">), opera la mencionada regla de especificidad, tal como lo reconocen los autores nacionales y la misma CSJ, Sala de Casación Civil. Así está consagrado en el artículo 351 del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 xml:space="preserve"> y fue establecido en el artículo 321 del </w:t>
      </w:r>
      <w:proofErr w:type="spellStart"/>
      <w:r w:rsidRPr="00743DB6">
        <w:rPr>
          <w:rFonts w:asciiTheme="minorHAnsi" w:hAnsiTheme="minorHAnsi"/>
          <w:sz w:val="18"/>
          <w:szCs w:val="18"/>
        </w:rPr>
        <w:t>CGP</w:t>
      </w:r>
      <w:proofErr w:type="spellEnd"/>
      <w:r w:rsidRPr="00743DB6">
        <w:rPr>
          <w:rFonts w:asciiTheme="minorHAnsi" w:hAnsiTheme="minorHAnsi"/>
          <w:sz w:val="18"/>
          <w:szCs w:val="18"/>
        </w:rPr>
        <w:t>.</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Para los asuntos tramitados en vigencia del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 xml:space="preserve">, en los que tiene lugar el llamamiento en garantía, la regulación sobre la alzada se debe observar desde dos regulaciones, la primera que refleja las normas generales para el llamamiento y/o denuncia que establece que el auto que lo acepte o niegue es apelable (Artículo 56-1º), y la segunda que taxativamente consagra los autos susceptibles de alzada, donde se dice que es objeto de esa impugnación, el auto que niega la intervención de sucesores procesales o de terceros (Artículo 351-2º). </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Como puede verse, ambas normas, concluyen en que la decisión apelable es aquella que resuelve la petición de llamamiento o intervención formulada, pero en modo alguno se refieren al auto que declaró </w:t>
      </w:r>
      <w:proofErr w:type="spellStart"/>
      <w:r w:rsidRPr="00743DB6">
        <w:rPr>
          <w:rFonts w:asciiTheme="minorHAnsi" w:hAnsiTheme="minorHAnsi"/>
          <w:sz w:val="18"/>
          <w:szCs w:val="18"/>
        </w:rPr>
        <w:t>precluido</w:t>
      </w:r>
      <w:proofErr w:type="spellEnd"/>
      <w:r w:rsidRPr="00743DB6">
        <w:rPr>
          <w:rFonts w:asciiTheme="minorHAnsi" w:hAnsiTheme="minorHAnsi"/>
          <w:sz w:val="18"/>
          <w:szCs w:val="18"/>
        </w:rPr>
        <w:t xml:space="preserve"> el término para la notificación del llamado o interviniente. Debe tenerse en cuenta también, que el artículo 56 ya mencionado, contempla que luego de admitido el llamamiento en garantía, se debe suspender el asunto, hasta por 90 días, para que se cite al llamado, pero si vencido ese plazo no se logró su citación, el proceso debe seguir, porque su presencia no es indispensable, sino que busca resolver, por economía procesal, esa relación jurídica, que bien puede decidirse sin esa parte.  </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Hecho el examen preliminar dispuesto por el artículo 358 del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 dentro de este proceso, para la Sala es claro que en esta ocasión la providencia recurrida, no encuadra en ninguna de las enunci</w:t>
      </w:r>
      <w:bookmarkStart w:id="0" w:name="_GoBack"/>
      <w:bookmarkEnd w:id="0"/>
      <w:r w:rsidRPr="00743DB6">
        <w:rPr>
          <w:rFonts w:asciiTheme="minorHAnsi" w:hAnsiTheme="minorHAnsi"/>
          <w:sz w:val="18"/>
          <w:szCs w:val="18"/>
        </w:rPr>
        <w:t xml:space="preserve">adas hipótesis, puesto que si bien acaeció que la sociedad </w:t>
      </w:r>
      <w:proofErr w:type="spellStart"/>
      <w:r w:rsidRPr="00743DB6">
        <w:rPr>
          <w:rFonts w:asciiTheme="minorHAnsi" w:hAnsiTheme="minorHAnsi"/>
          <w:sz w:val="18"/>
          <w:szCs w:val="18"/>
        </w:rPr>
        <w:t>Cartagüeña</w:t>
      </w:r>
      <w:proofErr w:type="spellEnd"/>
      <w:r w:rsidRPr="00743DB6">
        <w:rPr>
          <w:rFonts w:asciiTheme="minorHAnsi" w:hAnsiTheme="minorHAnsi"/>
          <w:sz w:val="18"/>
          <w:szCs w:val="18"/>
        </w:rPr>
        <w:t xml:space="preserve"> de Aseo Total </w:t>
      </w:r>
      <w:proofErr w:type="spellStart"/>
      <w:r w:rsidRPr="00743DB6">
        <w:rPr>
          <w:rFonts w:asciiTheme="minorHAnsi" w:hAnsiTheme="minorHAnsi"/>
          <w:sz w:val="18"/>
          <w:szCs w:val="18"/>
        </w:rPr>
        <w:t>ESP</w:t>
      </w:r>
      <w:proofErr w:type="spellEnd"/>
      <w:r w:rsidRPr="00743DB6">
        <w:rPr>
          <w:rFonts w:asciiTheme="minorHAnsi" w:hAnsiTheme="minorHAnsi"/>
          <w:sz w:val="18"/>
          <w:szCs w:val="18"/>
        </w:rPr>
        <w:t xml:space="preserve"> al contestar la demanda, llamó en garantía a la Aseguradora Solidaria de Colombia </w:t>
      </w:r>
      <w:proofErr w:type="spellStart"/>
      <w:r w:rsidRPr="00743DB6">
        <w:rPr>
          <w:rFonts w:asciiTheme="minorHAnsi" w:hAnsiTheme="minorHAnsi"/>
          <w:sz w:val="18"/>
          <w:szCs w:val="18"/>
        </w:rPr>
        <w:t>Ltda</w:t>
      </w:r>
      <w:proofErr w:type="spellEnd"/>
      <w:r w:rsidRPr="00743DB6">
        <w:rPr>
          <w:rFonts w:asciiTheme="minorHAnsi" w:hAnsiTheme="minorHAnsi"/>
          <w:sz w:val="18"/>
          <w:szCs w:val="18"/>
        </w:rPr>
        <w:t xml:space="preserve"> (Folios 1 a 7, cuaderno No.2), lo cierto es que con auto de 25-02-2015 se aceptó el llamamiento (Decisión objeto de alzada según las referidas normas) y también se dispuso, la suspensión del proceso por 90 días, a efectos que se practicara la notificación (Folio 8, cuaderno No.2), pero transcurrió el plazo sin que se hiciera, según se dejó sentado en el proveído que ahora se cuestiona y fechado 13-05-2016 (Folio 20, ídem). </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Así las cosas, se trata de una decisión diferente a aquella para la que está consagrada la impugnación y por lo tanto, es improcedente. Hay que agregar que esta posición ya fue adoptada en oportunidad anterior por otra Sala de la Especialidad, en caso semejante. </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 xml:space="preserve">No sobra decir, y aunque es un aspecto que no fue expresamente atacado por el impugnante (Folio 21, ib.), que el otro tema mencionado en el auto cuestiona, referente a dejar sin efectos la notificación, tampoco es una decisión que admita apelación, conforme el artículo 351 del </w:t>
      </w:r>
      <w:proofErr w:type="spellStart"/>
      <w:r w:rsidRPr="00743DB6">
        <w:rPr>
          <w:rFonts w:asciiTheme="minorHAnsi" w:hAnsiTheme="minorHAnsi"/>
          <w:sz w:val="18"/>
          <w:szCs w:val="18"/>
        </w:rPr>
        <w:t>CPC</w:t>
      </w:r>
      <w:proofErr w:type="spellEnd"/>
      <w:r w:rsidRPr="00743DB6">
        <w:rPr>
          <w:rFonts w:asciiTheme="minorHAnsi" w:hAnsiTheme="minorHAnsi"/>
          <w:sz w:val="18"/>
          <w:szCs w:val="18"/>
        </w:rPr>
        <w:t>.”</w:t>
      </w:r>
    </w:p>
    <w:p w:rsidR="00743DB6" w:rsidRPr="00743DB6" w:rsidRDefault="00743DB6" w:rsidP="00743DB6">
      <w:pPr>
        <w:pStyle w:val="Sinespaciado"/>
        <w:jc w:val="both"/>
        <w:rPr>
          <w:rFonts w:asciiTheme="minorHAnsi" w:hAnsiTheme="minorHAnsi"/>
          <w:sz w:val="18"/>
          <w:szCs w:val="18"/>
        </w:rPr>
      </w:pP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b/>
          <w:sz w:val="18"/>
          <w:szCs w:val="18"/>
        </w:rPr>
        <w:t>Citación jurisprudencial:</w:t>
      </w:r>
      <w:r w:rsidRPr="00743DB6">
        <w:rPr>
          <w:rFonts w:asciiTheme="minorHAnsi" w:hAnsiTheme="minorHAnsi"/>
          <w:sz w:val="18"/>
          <w:szCs w:val="18"/>
        </w:rPr>
        <w:t xml:space="preserve"> CSJ, Civil. Sentencia del 17-09-1992; </w:t>
      </w:r>
      <w:proofErr w:type="spellStart"/>
      <w:r w:rsidRPr="00743DB6">
        <w:rPr>
          <w:rFonts w:asciiTheme="minorHAnsi" w:hAnsiTheme="minorHAnsi"/>
          <w:sz w:val="18"/>
          <w:szCs w:val="18"/>
        </w:rPr>
        <w:t>MP</w:t>
      </w:r>
      <w:proofErr w:type="spellEnd"/>
      <w:r w:rsidRPr="00743DB6">
        <w:rPr>
          <w:rFonts w:asciiTheme="minorHAnsi" w:hAnsiTheme="minorHAnsi"/>
          <w:sz w:val="18"/>
          <w:szCs w:val="18"/>
        </w:rPr>
        <w:t xml:space="preserve">: Alberto Ospina Botero, publicado en Revista de Jurisprudencia y Doctrina, </w:t>
      </w:r>
      <w:proofErr w:type="spellStart"/>
      <w:r w:rsidRPr="00743DB6">
        <w:rPr>
          <w:rFonts w:asciiTheme="minorHAnsi" w:hAnsiTheme="minorHAnsi"/>
          <w:sz w:val="18"/>
          <w:szCs w:val="18"/>
        </w:rPr>
        <w:t>t.XXI</w:t>
      </w:r>
      <w:proofErr w:type="spellEnd"/>
      <w:r w:rsidRPr="00743DB6">
        <w:rPr>
          <w:rFonts w:asciiTheme="minorHAnsi" w:hAnsiTheme="minorHAnsi"/>
          <w:sz w:val="18"/>
          <w:szCs w:val="18"/>
        </w:rPr>
        <w:t xml:space="preserve">, núm.251, Bogotá, </w:t>
      </w:r>
      <w:proofErr w:type="spellStart"/>
      <w:r w:rsidRPr="00743DB6">
        <w:rPr>
          <w:rFonts w:asciiTheme="minorHAnsi" w:hAnsiTheme="minorHAnsi"/>
          <w:sz w:val="18"/>
          <w:szCs w:val="18"/>
        </w:rPr>
        <w:t>Legis</w:t>
      </w:r>
      <w:proofErr w:type="spellEnd"/>
      <w:r w:rsidRPr="00743DB6">
        <w:rPr>
          <w:rFonts w:asciiTheme="minorHAnsi" w:hAnsiTheme="minorHAnsi"/>
          <w:sz w:val="18"/>
          <w:szCs w:val="18"/>
        </w:rPr>
        <w:t xml:space="preserve">, p.1021 y 1022. / CSJ, Civil.  Providencia STC5273-2016, </w:t>
      </w:r>
      <w:proofErr w:type="spellStart"/>
      <w:r w:rsidRPr="00743DB6">
        <w:rPr>
          <w:rFonts w:asciiTheme="minorHAnsi" w:hAnsiTheme="minorHAnsi"/>
          <w:sz w:val="18"/>
          <w:szCs w:val="18"/>
        </w:rPr>
        <w:t>MP</w:t>
      </w:r>
      <w:proofErr w:type="spellEnd"/>
      <w:r w:rsidRPr="00743DB6">
        <w:rPr>
          <w:rFonts w:asciiTheme="minorHAnsi" w:hAnsiTheme="minorHAnsi"/>
          <w:sz w:val="18"/>
          <w:szCs w:val="18"/>
        </w:rPr>
        <w:t xml:space="preserve">: Ariel Salazar Ramírez. / CSJ, Civil.  Providencia del 29-02-2008, </w:t>
      </w:r>
      <w:proofErr w:type="spellStart"/>
      <w:r w:rsidRPr="00743DB6">
        <w:rPr>
          <w:rFonts w:asciiTheme="minorHAnsi" w:hAnsiTheme="minorHAnsi"/>
          <w:sz w:val="18"/>
          <w:szCs w:val="18"/>
        </w:rPr>
        <w:t>MP</w:t>
      </w:r>
      <w:proofErr w:type="spellEnd"/>
      <w:r w:rsidRPr="00743DB6">
        <w:rPr>
          <w:rFonts w:asciiTheme="minorHAnsi" w:hAnsiTheme="minorHAnsi"/>
          <w:sz w:val="18"/>
          <w:szCs w:val="18"/>
        </w:rPr>
        <w:t>: Edgardo Villamil Portilla.</w:t>
      </w:r>
    </w:p>
    <w:p w:rsidR="00743DB6" w:rsidRPr="00743DB6" w:rsidRDefault="00743DB6" w:rsidP="00743DB6">
      <w:pPr>
        <w:pStyle w:val="Sinespaciado"/>
        <w:jc w:val="both"/>
        <w:rPr>
          <w:rFonts w:asciiTheme="minorHAnsi" w:hAnsiTheme="minorHAnsi"/>
          <w:sz w:val="18"/>
          <w:szCs w:val="18"/>
        </w:rPr>
      </w:pPr>
      <w:r w:rsidRPr="00743DB6">
        <w:rPr>
          <w:rFonts w:asciiTheme="minorHAnsi" w:hAnsiTheme="minorHAnsi"/>
          <w:sz w:val="18"/>
          <w:szCs w:val="18"/>
        </w:rPr>
        <w:t>CC.  Sentencia C-153 de 1995. / CC.  Sentencia C-337 de 2016.</w:t>
      </w:r>
    </w:p>
    <w:p w:rsidR="00743DB6" w:rsidRPr="00743DB6" w:rsidRDefault="00743DB6" w:rsidP="00743DB6">
      <w:pPr>
        <w:pStyle w:val="Sinespaciado"/>
        <w:jc w:val="both"/>
        <w:rPr>
          <w:rFonts w:asciiTheme="minorHAnsi" w:hAnsiTheme="minorHAnsi"/>
          <w:sz w:val="18"/>
          <w:szCs w:val="18"/>
        </w:rPr>
      </w:pPr>
      <w:proofErr w:type="spellStart"/>
      <w:r w:rsidRPr="00743DB6">
        <w:rPr>
          <w:rFonts w:asciiTheme="minorHAnsi" w:hAnsiTheme="minorHAnsi"/>
          <w:sz w:val="18"/>
          <w:szCs w:val="18"/>
        </w:rPr>
        <w:t>TSP</w:t>
      </w:r>
      <w:proofErr w:type="spellEnd"/>
      <w:r w:rsidRPr="00743DB6">
        <w:rPr>
          <w:rFonts w:asciiTheme="minorHAnsi" w:hAnsiTheme="minorHAnsi"/>
          <w:sz w:val="18"/>
          <w:szCs w:val="18"/>
        </w:rPr>
        <w:t>, Sala Civil – Familia. Auto del 13-05-2011; MS: Jaime Alberto Saraza Naranjo, expediente No.2009-00410-01.</w:t>
      </w:r>
    </w:p>
    <w:p w:rsidR="004F3C8B" w:rsidRPr="00743DB6" w:rsidRDefault="004F3C8B" w:rsidP="004F3C8B">
      <w:pPr>
        <w:rPr>
          <w:rFonts w:asciiTheme="minorHAnsi" w:hAnsiTheme="minorHAnsi" w:cs="Tahoma"/>
          <w:b/>
          <w:sz w:val="18"/>
          <w:szCs w:val="18"/>
        </w:rPr>
      </w:pPr>
    </w:p>
    <w:p w:rsidR="00743DB6" w:rsidRPr="00743DB6" w:rsidRDefault="00743DB6" w:rsidP="00743DB6">
      <w:pPr>
        <w:jc w:val="center"/>
        <w:rPr>
          <w:rFonts w:asciiTheme="minorHAnsi" w:hAnsiTheme="minorHAnsi" w:cs="Tahoma"/>
          <w:b/>
          <w:sz w:val="18"/>
          <w:szCs w:val="18"/>
        </w:rPr>
      </w:pPr>
      <w:r w:rsidRPr="00743DB6">
        <w:rPr>
          <w:rFonts w:asciiTheme="minorHAnsi" w:hAnsiTheme="minorHAnsi" w:cs="Tahoma"/>
          <w:b/>
          <w:sz w:val="18"/>
          <w:szCs w:val="18"/>
        </w:rPr>
        <w:t>---------------------------------------------------------------------------</w:t>
      </w:r>
    </w:p>
    <w:p w:rsidR="000F4FD9" w:rsidRDefault="00FC0999" w:rsidP="00283F3B">
      <w:pPr>
        <w:pStyle w:val="Sinespaciado1"/>
        <w:spacing w:line="360" w:lineRule="auto"/>
        <w:jc w:val="center"/>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inespaciado"/>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D25B7E" w:rsidRDefault="000F4FD9" w:rsidP="0040704F">
      <w:pPr>
        <w:spacing w:line="360" w:lineRule="auto"/>
        <w:jc w:val="center"/>
        <w:rPr>
          <w:rFonts w:ascii="Arial" w:hAnsi="Arial" w:cs="Arial"/>
          <w:b/>
          <w:bCs/>
          <w:sz w:val="10"/>
          <w:szCs w:val="26"/>
        </w:rPr>
      </w:pPr>
    </w:p>
    <w:p w:rsidR="000F4FD9" w:rsidRPr="00BB695D" w:rsidRDefault="000F4FD9" w:rsidP="00681918">
      <w:pPr>
        <w:pStyle w:val="Textoindependien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BA3B52" w:rsidRDefault="00BA3B52" w:rsidP="00BA3B52">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w:t>
      </w:r>
      <w:r w:rsidR="00BA5979">
        <w:rPr>
          <w:rFonts w:ascii="Arial" w:hAnsi="Arial" w:cs="Arial"/>
          <w:sz w:val="22"/>
          <w:szCs w:val="22"/>
          <w:lang w:val="es-CO"/>
        </w:rPr>
        <w:t>Ordinario- Responsabilidad civil extracontractual</w:t>
      </w:r>
    </w:p>
    <w:p w:rsidR="00BA5979" w:rsidRDefault="00BA3B52" w:rsidP="00BA597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sidR="00BA5979">
        <w:rPr>
          <w:rFonts w:ascii="Arial" w:hAnsi="Arial" w:cs="Arial"/>
          <w:sz w:val="22"/>
          <w:szCs w:val="22"/>
          <w:lang w:val="es-CO"/>
        </w:rPr>
        <w:t xml:space="preserve">Demandante </w:t>
      </w:r>
      <w:r w:rsidR="00BA5979">
        <w:rPr>
          <w:rFonts w:ascii="Arial" w:hAnsi="Arial" w:cs="Arial"/>
          <w:sz w:val="22"/>
          <w:szCs w:val="22"/>
          <w:lang w:val="es-CO"/>
        </w:rPr>
        <w:tab/>
      </w:r>
      <w:r w:rsidR="00BA5979">
        <w:rPr>
          <w:rFonts w:ascii="Arial" w:hAnsi="Arial" w:cs="Arial"/>
          <w:sz w:val="22"/>
          <w:szCs w:val="22"/>
          <w:lang w:val="es-CO"/>
        </w:rPr>
        <w:tab/>
        <w:t>: Julio Alcides Arboleda Franco</w:t>
      </w:r>
    </w:p>
    <w:p w:rsidR="00BA5979" w:rsidRPr="00BA5979" w:rsidRDefault="00BA5979" w:rsidP="00BA597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Demandado</w:t>
      </w:r>
      <w:r>
        <w:rPr>
          <w:rFonts w:ascii="Arial" w:hAnsi="Arial" w:cs="Arial"/>
          <w:sz w:val="22"/>
          <w:szCs w:val="22"/>
          <w:lang w:val="es-CO"/>
        </w:rPr>
        <w:tab/>
      </w:r>
      <w:r>
        <w:rPr>
          <w:rFonts w:ascii="Arial" w:hAnsi="Arial" w:cs="Arial"/>
          <w:sz w:val="22"/>
          <w:szCs w:val="22"/>
          <w:lang w:val="es-CO"/>
        </w:rPr>
        <w:tab/>
        <w:t xml:space="preserve">: </w:t>
      </w:r>
      <w:proofErr w:type="spellStart"/>
      <w:r>
        <w:rPr>
          <w:rFonts w:ascii="Arial" w:hAnsi="Arial" w:cs="Arial"/>
          <w:sz w:val="22"/>
          <w:szCs w:val="22"/>
          <w:lang w:val="es-CO"/>
        </w:rPr>
        <w:t>Cartagüeña</w:t>
      </w:r>
      <w:proofErr w:type="spellEnd"/>
      <w:r>
        <w:rPr>
          <w:rFonts w:ascii="Arial" w:hAnsi="Arial" w:cs="Arial"/>
          <w:sz w:val="22"/>
          <w:szCs w:val="22"/>
          <w:lang w:val="es-CO"/>
        </w:rPr>
        <w:t xml:space="preserve"> de Aseo Total ESP</w:t>
      </w:r>
      <w:r w:rsidR="00AE5C38">
        <w:rPr>
          <w:rFonts w:ascii="Arial" w:hAnsi="Arial" w:cs="Arial"/>
          <w:sz w:val="22"/>
          <w:szCs w:val="22"/>
          <w:lang w:val="es-CO"/>
        </w:rPr>
        <w:t xml:space="preserve"> y otro</w:t>
      </w:r>
    </w:p>
    <w:p w:rsidR="00440173" w:rsidRPr="001F562E" w:rsidRDefault="00BA5979" w:rsidP="00BA597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440173" w:rsidRPr="001F562E">
        <w:rPr>
          <w:rFonts w:ascii="Arial" w:hAnsi="Arial" w:cs="Arial"/>
          <w:sz w:val="22"/>
          <w:szCs w:val="22"/>
        </w:rPr>
        <w:t xml:space="preserve">Procedencia </w:t>
      </w:r>
      <w:r w:rsidR="00440173" w:rsidRPr="001F562E">
        <w:rPr>
          <w:rFonts w:ascii="Arial" w:hAnsi="Arial" w:cs="Arial"/>
          <w:sz w:val="22"/>
          <w:szCs w:val="22"/>
        </w:rPr>
        <w:tab/>
      </w:r>
      <w:r w:rsidR="00440173" w:rsidRPr="001F562E">
        <w:rPr>
          <w:rFonts w:ascii="Arial" w:hAnsi="Arial" w:cs="Arial"/>
          <w:sz w:val="22"/>
          <w:szCs w:val="22"/>
        </w:rPr>
        <w:tab/>
        <w:t>: Juzgado</w:t>
      </w:r>
      <w:r w:rsidR="00BA3B52">
        <w:rPr>
          <w:rFonts w:ascii="Arial" w:hAnsi="Arial" w:cs="Arial"/>
          <w:sz w:val="22"/>
          <w:szCs w:val="22"/>
        </w:rPr>
        <w:t xml:space="preserve"> </w:t>
      </w:r>
      <w:r>
        <w:rPr>
          <w:rFonts w:ascii="Arial" w:hAnsi="Arial" w:cs="Arial"/>
          <w:sz w:val="22"/>
          <w:szCs w:val="22"/>
        </w:rPr>
        <w:t xml:space="preserve">Primero </w:t>
      </w:r>
      <w:r w:rsidR="00BA3B52">
        <w:rPr>
          <w:rFonts w:ascii="Arial" w:hAnsi="Arial" w:cs="Arial"/>
          <w:sz w:val="22"/>
          <w:szCs w:val="22"/>
        </w:rPr>
        <w:t>C</w:t>
      </w:r>
      <w:r w:rsidR="00577894">
        <w:rPr>
          <w:rFonts w:ascii="Arial" w:hAnsi="Arial" w:cs="Arial"/>
          <w:sz w:val="22"/>
          <w:szCs w:val="22"/>
        </w:rPr>
        <w:t xml:space="preserve">ivil del Circuito de </w:t>
      </w:r>
      <w:r w:rsidR="00C70242">
        <w:rPr>
          <w:rFonts w:ascii="Arial" w:hAnsi="Arial" w:cs="Arial"/>
          <w:sz w:val="22"/>
          <w:szCs w:val="22"/>
        </w:rPr>
        <w:t>Pereira</w:t>
      </w:r>
    </w:p>
    <w:p w:rsidR="00440173" w:rsidRDefault="00440173" w:rsidP="00440173">
      <w:pPr>
        <w:pStyle w:val="Textoindependien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5979">
        <w:rPr>
          <w:rFonts w:ascii="Arial" w:hAnsi="Arial" w:cs="Arial"/>
          <w:sz w:val="22"/>
          <w:szCs w:val="22"/>
        </w:rPr>
        <w:t>4</w:t>
      </w:r>
      <w:r>
        <w:rPr>
          <w:rFonts w:ascii="Arial" w:hAnsi="Arial" w:cs="Arial"/>
          <w:sz w:val="22"/>
          <w:szCs w:val="22"/>
        </w:rPr>
        <w:t>-00</w:t>
      </w:r>
      <w:r w:rsidR="00BA5979">
        <w:rPr>
          <w:rFonts w:ascii="Arial" w:hAnsi="Arial" w:cs="Arial"/>
          <w:sz w:val="22"/>
          <w:szCs w:val="22"/>
        </w:rPr>
        <w:t>156</w:t>
      </w:r>
      <w:r>
        <w:rPr>
          <w:rFonts w:ascii="Arial" w:hAnsi="Arial" w:cs="Arial"/>
          <w:sz w:val="22"/>
          <w:szCs w:val="22"/>
        </w:rPr>
        <w:t>-01</w:t>
      </w:r>
    </w:p>
    <w:p w:rsidR="000001CD" w:rsidRDefault="000001CD" w:rsidP="000001CD">
      <w:pPr>
        <w:spacing w:line="360" w:lineRule="auto"/>
        <w:ind w:left="708"/>
        <w:jc w:val="both"/>
        <w:rPr>
          <w:rFonts w:ascii="Arial" w:hAnsi="Arial" w:cs="Arial"/>
          <w:sz w:val="22"/>
          <w:szCs w:val="22"/>
        </w:rPr>
      </w:pPr>
      <w:r>
        <w:rPr>
          <w:rFonts w:ascii="Arial" w:hAnsi="Arial"/>
          <w:sz w:val="22"/>
          <w:szCs w:val="22"/>
        </w:rPr>
        <w:tab/>
      </w: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Procedencia de alzada - </w:t>
      </w:r>
      <w:proofErr w:type="spellStart"/>
      <w:r>
        <w:rPr>
          <w:rFonts w:ascii="Arial" w:hAnsi="Arial" w:cs="Arial"/>
          <w:sz w:val="22"/>
          <w:szCs w:val="22"/>
        </w:rPr>
        <w:t>Taxatividad</w:t>
      </w:r>
      <w:proofErr w:type="spellEnd"/>
    </w:p>
    <w:p w:rsidR="009D0B7B" w:rsidRPr="009D0B7B" w:rsidRDefault="009D0B7B" w:rsidP="00440173">
      <w:pPr>
        <w:pStyle w:val="Textoindependien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Pr="00D25B7E" w:rsidRDefault="000F4FD9" w:rsidP="00984E65">
      <w:pPr>
        <w:pStyle w:val="Textoindependiente"/>
        <w:pBdr>
          <w:bottom w:val="double" w:sz="6" w:space="1" w:color="auto"/>
        </w:pBdr>
        <w:spacing w:line="276" w:lineRule="auto"/>
        <w:jc w:val="center"/>
        <w:rPr>
          <w:rFonts w:ascii="Arial" w:hAnsi="Arial" w:cs="Arial"/>
          <w:sz w:val="16"/>
        </w:rPr>
      </w:pPr>
    </w:p>
    <w:p w:rsidR="000F4FD9" w:rsidRPr="0001641A" w:rsidRDefault="000F4FD9" w:rsidP="00A14F72">
      <w:pPr>
        <w:pStyle w:val="Textoindependiente"/>
        <w:spacing w:line="276" w:lineRule="auto"/>
        <w:jc w:val="center"/>
        <w:rPr>
          <w:rFonts w:ascii="Arial" w:hAnsi="Arial" w:cs="Arial"/>
          <w:szCs w:val="24"/>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812922">
        <w:rPr>
          <w:rFonts w:ascii="Arial" w:hAnsi="Arial" w:cs="Arial"/>
          <w:bCs/>
          <w:smallCaps/>
          <w:sz w:val="28"/>
          <w:szCs w:val="24"/>
          <w:lang w:val="es-CO"/>
        </w:rPr>
        <w:t>treinta y uno</w:t>
      </w:r>
      <w:r w:rsidR="002D58EA">
        <w:rPr>
          <w:rFonts w:ascii="Arial" w:hAnsi="Arial" w:cs="Arial"/>
          <w:bCs/>
          <w:smallCaps/>
          <w:sz w:val="28"/>
          <w:szCs w:val="24"/>
          <w:lang w:val="es-CO"/>
        </w:rPr>
        <w:t xml:space="preserve"> </w:t>
      </w:r>
      <w:r w:rsidRPr="000001CD">
        <w:rPr>
          <w:rFonts w:ascii="Arial" w:hAnsi="Arial" w:cs="Arial"/>
          <w:bCs/>
          <w:smallCaps/>
          <w:sz w:val="28"/>
          <w:szCs w:val="24"/>
          <w:lang w:val="es-CO"/>
        </w:rPr>
        <w:t>(</w:t>
      </w:r>
      <w:r w:rsidR="00812922">
        <w:rPr>
          <w:rFonts w:ascii="Arial" w:hAnsi="Arial" w:cs="Arial"/>
          <w:bCs/>
          <w:smallCaps/>
          <w:sz w:val="28"/>
          <w:szCs w:val="24"/>
          <w:lang w:val="es-CO"/>
        </w:rPr>
        <w:t>31</w:t>
      </w:r>
      <w:r w:rsidRPr="000001CD">
        <w:rPr>
          <w:rFonts w:ascii="Arial" w:hAnsi="Arial" w:cs="Arial"/>
          <w:bCs/>
          <w:smallCaps/>
          <w:sz w:val="28"/>
          <w:szCs w:val="24"/>
          <w:lang w:val="es-CO"/>
        </w:rPr>
        <w:t xml:space="preserve">) de </w:t>
      </w:r>
      <w:r w:rsidR="0086554E">
        <w:rPr>
          <w:rFonts w:ascii="Arial" w:hAnsi="Arial" w:cs="Arial"/>
          <w:bCs/>
          <w:smallCaps/>
          <w:sz w:val="28"/>
          <w:szCs w:val="24"/>
          <w:lang w:val="es-CO"/>
        </w:rPr>
        <w:t>octubre</w:t>
      </w:r>
      <w:r w:rsidR="00BA3B52" w:rsidRPr="000001CD">
        <w:rPr>
          <w:rFonts w:ascii="Arial" w:hAnsi="Arial" w:cs="Arial"/>
          <w:bCs/>
          <w:smallCaps/>
          <w:sz w:val="28"/>
          <w:szCs w:val="24"/>
          <w:lang w:val="es-CO"/>
        </w:rPr>
        <w:t xml:space="preserve"> </w:t>
      </w:r>
      <w:r w:rsidRPr="000001CD">
        <w:rPr>
          <w:rFonts w:ascii="Arial" w:hAnsi="Arial" w:cs="Arial"/>
          <w:bCs/>
          <w:smallCaps/>
          <w:sz w:val="28"/>
          <w:szCs w:val="24"/>
          <w:lang w:val="es-CO"/>
        </w:rPr>
        <w:t xml:space="preserve">de dos mil </w:t>
      </w:r>
      <w:r w:rsidR="009D0B7B" w:rsidRPr="000001CD">
        <w:rPr>
          <w:rFonts w:ascii="Arial" w:hAnsi="Arial" w:cs="Arial"/>
          <w:bCs/>
          <w:smallCaps/>
          <w:sz w:val="28"/>
          <w:szCs w:val="24"/>
          <w:lang w:val="es-CO"/>
        </w:rPr>
        <w:t xml:space="preserve">dieciséis </w:t>
      </w:r>
      <w:r w:rsidRPr="000001CD">
        <w:rPr>
          <w:rFonts w:ascii="Arial" w:hAnsi="Arial" w:cs="Arial"/>
          <w:bCs/>
          <w:smallCaps/>
          <w:sz w:val="28"/>
          <w:szCs w:val="24"/>
          <w:lang w:val="es-CO"/>
        </w:rPr>
        <w:t>(201</w:t>
      </w:r>
      <w:r w:rsidR="009D0B7B" w:rsidRPr="000001CD">
        <w:rPr>
          <w:rFonts w:ascii="Arial" w:hAnsi="Arial" w:cs="Arial"/>
          <w:bCs/>
          <w:smallCaps/>
          <w:sz w:val="28"/>
          <w:szCs w:val="24"/>
          <w:lang w:val="es-CO"/>
        </w:rPr>
        <w:t>6</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inespaciado"/>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Puesto"/>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 xml:space="preserve">parte </w:t>
      </w:r>
      <w:r w:rsidR="00EB3B4C">
        <w:rPr>
          <w:rFonts w:ascii="Arial" w:hAnsi="Arial" w:cs="Arial"/>
          <w:sz w:val="24"/>
          <w:szCs w:val="24"/>
        </w:rPr>
        <w:t>actora</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013CC8">
        <w:rPr>
          <w:rFonts w:ascii="Arial" w:hAnsi="Arial" w:cs="Arial"/>
          <w:sz w:val="24"/>
          <w:szCs w:val="24"/>
        </w:rPr>
        <w:t>13-05</w:t>
      </w:r>
      <w:r w:rsidR="00BA3B52">
        <w:rPr>
          <w:rFonts w:ascii="Arial" w:hAnsi="Arial" w:cs="Arial"/>
          <w:sz w:val="24"/>
          <w:szCs w:val="24"/>
        </w:rPr>
        <w:t>-2016</w:t>
      </w:r>
      <w:r w:rsidR="000F4FD9" w:rsidRPr="00B40F83">
        <w:rPr>
          <w:rFonts w:ascii="Arial" w:hAnsi="Arial" w:cs="Arial"/>
          <w:sz w:val="24"/>
          <w:szCs w:val="24"/>
        </w:rPr>
        <w:t xml:space="preserve">, </w:t>
      </w:r>
      <w:r w:rsidR="00924E0B">
        <w:rPr>
          <w:rFonts w:ascii="Arial" w:hAnsi="Arial" w:cs="Arial"/>
          <w:sz w:val="24"/>
          <w:szCs w:val="24"/>
        </w:rPr>
        <w:t xml:space="preserve">que </w:t>
      </w:r>
      <w:r w:rsidR="00013CC8">
        <w:rPr>
          <w:rFonts w:ascii="Arial" w:hAnsi="Arial" w:cs="Arial"/>
          <w:sz w:val="24"/>
          <w:szCs w:val="24"/>
        </w:rPr>
        <w:t xml:space="preserve">dejó sin efecto </w:t>
      </w:r>
      <w:r w:rsidR="00EB3B4C">
        <w:rPr>
          <w:rFonts w:ascii="Arial" w:hAnsi="Arial" w:cs="Arial"/>
          <w:sz w:val="24"/>
          <w:szCs w:val="24"/>
        </w:rPr>
        <w:t xml:space="preserve">la </w:t>
      </w:r>
      <w:r w:rsidR="00013CC8">
        <w:rPr>
          <w:rFonts w:ascii="Arial" w:hAnsi="Arial" w:cs="Arial"/>
          <w:sz w:val="24"/>
          <w:szCs w:val="24"/>
        </w:rPr>
        <w:t xml:space="preserve">notificación del llamado en garantía y declaró </w:t>
      </w:r>
      <w:proofErr w:type="spellStart"/>
      <w:r w:rsidR="00013CC8">
        <w:rPr>
          <w:rFonts w:ascii="Arial" w:hAnsi="Arial" w:cs="Arial"/>
          <w:sz w:val="24"/>
          <w:szCs w:val="24"/>
        </w:rPr>
        <w:t>precluido</w:t>
      </w:r>
      <w:proofErr w:type="spellEnd"/>
      <w:r w:rsidR="00013CC8">
        <w:rPr>
          <w:rFonts w:ascii="Arial" w:hAnsi="Arial" w:cs="Arial"/>
          <w:sz w:val="24"/>
          <w:szCs w:val="24"/>
        </w:rPr>
        <w:t xml:space="preserve"> el término de suspensión para practicar esa diligencia</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BD12C5">
      <w:pPr>
        <w:pStyle w:val="Sinespaciado"/>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Default="000F4FD9" w:rsidP="00395DD3">
      <w:pPr>
        <w:spacing w:line="360" w:lineRule="auto"/>
        <w:jc w:val="both"/>
        <w:rPr>
          <w:rFonts w:ascii="Arial" w:hAnsi="Arial" w:cs="Arial"/>
          <w:sz w:val="24"/>
        </w:rPr>
      </w:pPr>
    </w:p>
    <w:p w:rsidR="00E15135" w:rsidRDefault="00DC20E9" w:rsidP="00E15135">
      <w:pPr>
        <w:spacing w:line="360" w:lineRule="auto"/>
        <w:jc w:val="both"/>
        <w:rPr>
          <w:rFonts w:ascii="Arial" w:hAnsi="Arial" w:cs="Arial"/>
          <w:sz w:val="24"/>
          <w:szCs w:val="22"/>
        </w:rPr>
      </w:pPr>
      <w:r>
        <w:rPr>
          <w:rFonts w:ascii="Arial" w:hAnsi="Arial"/>
          <w:sz w:val="24"/>
        </w:rPr>
        <w:t xml:space="preserve">Es necesario anotar </w:t>
      </w:r>
      <w:r w:rsidR="00E15135" w:rsidRPr="00E15135">
        <w:rPr>
          <w:rFonts w:ascii="Arial" w:hAnsi="Arial"/>
          <w:sz w:val="24"/>
        </w:rPr>
        <w:t>que</w:t>
      </w:r>
      <w:r w:rsidR="00013CC8">
        <w:rPr>
          <w:rFonts w:ascii="Arial" w:hAnsi="Arial"/>
          <w:sz w:val="24"/>
        </w:rPr>
        <w:t xml:space="preserve"> aunque </w:t>
      </w:r>
      <w:r>
        <w:rPr>
          <w:rFonts w:ascii="Arial" w:hAnsi="Arial"/>
          <w:sz w:val="24"/>
        </w:rPr>
        <w:t xml:space="preserve">está </w:t>
      </w:r>
      <w:r w:rsidR="00013CC8">
        <w:rPr>
          <w:rFonts w:ascii="Arial" w:hAnsi="Arial"/>
          <w:sz w:val="24"/>
        </w:rPr>
        <w:t>vigen</w:t>
      </w:r>
      <w:r>
        <w:rPr>
          <w:rFonts w:ascii="Arial" w:hAnsi="Arial"/>
          <w:sz w:val="24"/>
        </w:rPr>
        <w:t>te</w:t>
      </w:r>
      <w:r w:rsidR="00013CC8">
        <w:rPr>
          <w:rFonts w:ascii="Arial" w:hAnsi="Arial"/>
          <w:sz w:val="24"/>
        </w:rPr>
        <w:t xml:space="preserve"> el </w:t>
      </w:r>
      <w:r w:rsidR="00E15135" w:rsidRPr="00E15135">
        <w:rPr>
          <w:rFonts w:ascii="Arial" w:hAnsi="Arial"/>
          <w:sz w:val="24"/>
        </w:rPr>
        <w:t>CG</w:t>
      </w:r>
      <w:r w:rsidR="00E478D3">
        <w:rPr>
          <w:rFonts w:ascii="Arial" w:hAnsi="Arial"/>
          <w:sz w:val="24"/>
        </w:rPr>
        <w:t>P</w:t>
      </w:r>
      <w:r w:rsidR="00013CC8">
        <w:rPr>
          <w:rFonts w:ascii="Arial" w:hAnsi="Arial"/>
          <w:sz w:val="24"/>
        </w:rPr>
        <w:t xml:space="preserve">, este asunto aún </w:t>
      </w:r>
      <w:r w:rsidR="009F2C33">
        <w:rPr>
          <w:rFonts w:ascii="Arial" w:hAnsi="Arial"/>
          <w:sz w:val="24"/>
        </w:rPr>
        <w:t xml:space="preserve">está sin hacer </w:t>
      </w:r>
      <w:r w:rsidR="00013CC8">
        <w:rPr>
          <w:rFonts w:ascii="Arial" w:hAnsi="Arial"/>
          <w:sz w:val="24"/>
        </w:rPr>
        <w:t>tránsito de legislación</w:t>
      </w:r>
      <w:r>
        <w:rPr>
          <w:rFonts w:ascii="Arial" w:hAnsi="Arial"/>
          <w:sz w:val="24"/>
        </w:rPr>
        <w:t xml:space="preserve">, por tratarse de un proceso ordinario en el que </w:t>
      </w:r>
      <w:r w:rsidR="009F2C33">
        <w:rPr>
          <w:rFonts w:ascii="Arial" w:hAnsi="Arial"/>
          <w:sz w:val="24"/>
        </w:rPr>
        <w:t>todavía</w:t>
      </w:r>
      <w:r>
        <w:rPr>
          <w:rFonts w:ascii="Arial" w:hAnsi="Arial"/>
          <w:sz w:val="24"/>
        </w:rPr>
        <w:t xml:space="preserve"> no se ha emitido el auto de pruebas, es decir, cumple la regla estatuida en el artículo 625-1º-a) y por ello el estudio se hará conforme el CPC</w:t>
      </w:r>
      <w:r w:rsidR="00E15135" w:rsidRPr="00E15135">
        <w:rPr>
          <w:rFonts w:ascii="Arial" w:hAnsi="Arial" w:cs="Arial"/>
          <w:sz w:val="24"/>
          <w:szCs w:val="22"/>
        </w:rPr>
        <w:t>.</w:t>
      </w:r>
    </w:p>
    <w:p w:rsidR="00013CC8" w:rsidRDefault="00013CC8" w:rsidP="00E15135">
      <w:pPr>
        <w:spacing w:line="360" w:lineRule="auto"/>
        <w:jc w:val="both"/>
        <w:rPr>
          <w:rFonts w:ascii="Arial" w:hAnsi="Arial" w:cs="Arial"/>
          <w:sz w:val="24"/>
          <w:szCs w:val="22"/>
        </w:rPr>
      </w:pPr>
    </w:p>
    <w:p w:rsidR="00DC20E9" w:rsidRPr="002E1265" w:rsidRDefault="00DC20E9" w:rsidP="00DC20E9">
      <w:pPr>
        <w:spacing w:line="360" w:lineRule="auto"/>
        <w:jc w:val="both"/>
        <w:rPr>
          <w:rFonts w:ascii="Arial" w:hAnsi="Arial" w:cs="Arial"/>
          <w:sz w:val="24"/>
          <w:szCs w:val="24"/>
        </w:rPr>
      </w:pPr>
      <w:r>
        <w:rPr>
          <w:rFonts w:ascii="Arial" w:hAnsi="Arial"/>
          <w:sz w:val="24"/>
        </w:rPr>
        <w:t xml:space="preserve">A partir de ese contexto, debe tenerse en cuenta que </w:t>
      </w:r>
      <w:r w:rsidRPr="002E1265">
        <w:rPr>
          <w:rFonts w:ascii="Arial" w:hAnsi="Arial" w:cs="Arial"/>
          <w:sz w:val="24"/>
          <w:szCs w:val="24"/>
        </w:rPr>
        <w:t>desde la óptica procesal, en presencia de los recursos, deben siempre concurrir los llamados presupuestos de viabilidad</w:t>
      </w:r>
      <w:r>
        <w:rPr>
          <w:rFonts w:ascii="Arial" w:hAnsi="Arial" w:cs="Arial"/>
          <w:sz w:val="24"/>
          <w:szCs w:val="24"/>
        </w:rPr>
        <w:t xml:space="preserve"> o trámite del recurso</w:t>
      </w:r>
      <w:r w:rsidRPr="002E1265">
        <w:rPr>
          <w:rFonts w:ascii="Arial" w:hAnsi="Arial" w:cs="Arial"/>
          <w:sz w:val="24"/>
          <w:szCs w:val="24"/>
        </w:rPr>
        <w:t>, al decir de la doctrina 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2E1265">
        <w:rPr>
          <w:rFonts w:ascii="Arial" w:hAnsi="Arial" w:cs="Arial"/>
          <w:sz w:val="24"/>
          <w:szCs w:val="24"/>
        </w:rPr>
        <w:t>, a efecto</w:t>
      </w:r>
      <w:r>
        <w:rPr>
          <w:rFonts w:ascii="Arial" w:hAnsi="Arial" w:cs="Arial"/>
          <w:sz w:val="24"/>
          <w:szCs w:val="24"/>
        </w:rPr>
        <w:t xml:space="preserve">s de examinar el tema de apelación, </w:t>
      </w:r>
      <w:r w:rsidRPr="00DC20E9">
        <w:rPr>
          <w:rFonts w:ascii="Arial" w:hAnsi="Arial" w:cs="Arial"/>
          <w:sz w:val="24"/>
          <w:szCs w:val="24"/>
        </w:rPr>
        <w:t xml:space="preserve">puesto que se dice que son ellos una serie de exigencias normativas formales que permiten su trámite y aseguran su decisión.  </w:t>
      </w:r>
      <w:r>
        <w:rPr>
          <w:rFonts w:ascii="Arial" w:hAnsi="Arial" w:cs="Arial"/>
          <w:sz w:val="24"/>
          <w:szCs w:val="24"/>
        </w:rPr>
        <w:t>.</w:t>
      </w:r>
    </w:p>
    <w:p w:rsidR="00DC20E9" w:rsidRPr="00B27CC5" w:rsidRDefault="00DC20E9" w:rsidP="00DC20E9">
      <w:pPr>
        <w:pStyle w:val="Sinespaciado"/>
        <w:spacing w:line="360" w:lineRule="auto"/>
        <w:jc w:val="both"/>
        <w:rPr>
          <w:rFonts w:ascii="Arial" w:hAnsi="Arial" w:cs="Arial"/>
        </w:rPr>
      </w:pPr>
    </w:p>
    <w:p w:rsidR="00DC20E9" w:rsidRDefault="00DC20E9" w:rsidP="00DC20E9">
      <w:pPr>
        <w:pStyle w:val="Sinespaciado"/>
        <w:spacing w:line="360" w:lineRule="auto"/>
        <w:jc w:val="both"/>
        <w:rPr>
          <w:rFonts w:ascii="Arial" w:hAnsi="Arial" w:cs="Arial"/>
        </w:rPr>
      </w:pPr>
      <w:r>
        <w:rPr>
          <w:rFonts w:ascii="Arial" w:hAnsi="Arial" w:cs="Arial"/>
        </w:rPr>
        <w:t xml:space="preserve">Así lo </w:t>
      </w:r>
      <w:r w:rsidRPr="00B27CC5">
        <w:rPr>
          <w:rFonts w:ascii="Arial" w:hAnsi="Arial" w:cs="Arial"/>
        </w:rPr>
        <w:t>anota el profesor López Blanco: “</w:t>
      </w:r>
      <w:r w:rsidRPr="00B27CC5">
        <w:rPr>
          <w:rFonts w:ascii="Arial" w:hAnsi="Arial" w:cs="Arial"/>
          <w:i/>
          <w:sz w:val="22"/>
        </w:rPr>
        <w:t>En todo caso sin estar reunidos los requisitos de viabilidad del recurso jamás se podrá tener éxito en el mismo por constituir un precedente necesario para decidirlo</w:t>
      </w:r>
      <w:r w:rsidRPr="00B27CC5">
        <w:rPr>
          <w:rFonts w:ascii="Arial" w:hAnsi="Arial" w:cs="Arial"/>
          <w:i/>
        </w:rPr>
        <w:t>.</w:t>
      </w:r>
      <w:r w:rsidRPr="00B27CC5">
        <w:rPr>
          <w:rFonts w:ascii="Arial" w:hAnsi="Arial" w:cs="Arial"/>
        </w:rPr>
        <w:t>”</w:t>
      </w:r>
      <w:r w:rsidRPr="00B27CC5">
        <w:rPr>
          <w:rFonts w:ascii="Arial" w:hAnsi="Arial" w:cs="Arial"/>
          <w:vertAlign w:val="superscript"/>
        </w:rPr>
        <w:footnoteReference w:id="3"/>
      </w:r>
      <w:r w:rsidRPr="00B27CC5">
        <w:rPr>
          <w:rFonts w:ascii="Arial" w:hAnsi="Arial" w:cs="Arial"/>
        </w:rPr>
        <w:t xml:space="preserve">. </w:t>
      </w:r>
      <w:r>
        <w:rPr>
          <w:rFonts w:ascii="Arial" w:hAnsi="Arial" w:cs="Arial"/>
        </w:rPr>
        <w:t>Y lo e</w:t>
      </w:r>
      <w:r w:rsidRPr="00B27CC5">
        <w:rPr>
          <w:rFonts w:ascii="Arial" w:hAnsi="Arial" w:cs="Arial"/>
        </w:rPr>
        <w:t>xplica el profesor Rojas Gómez</w:t>
      </w:r>
      <w:r w:rsidRPr="00B27CC5">
        <w:rPr>
          <w:rStyle w:val="Refdenotaalpie"/>
          <w:rFonts w:ascii="Arial" w:hAnsi="Arial" w:cs="Arial"/>
        </w:rPr>
        <w:footnoteReference w:id="4"/>
      </w:r>
      <w:r w:rsidRPr="00B27CC5">
        <w:rPr>
          <w:rFonts w:ascii="Arial" w:hAnsi="Arial" w:cs="Arial"/>
        </w:rPr>
        <w:t xml:space="preserve"> en su obra: “</w:t>
      </w:r>
      <w:r w:rsidRPr="008569C4">
        <w:rPr>
          <w:rFonts w:ascii="Arial" w:hAnsi="Arial" w:cs="Arial"/>
          <w:i/>
          <w:sz w:val="22"/>
        </w:rPr>
        <w:t>(…) para que la impugnación pueda ser tramitada hasta establecer si debe prosperar han de cumplirse unos precisos requisitos.  En ausencia de ellos no debe dársele curso a</w:t>
      </w:r>
      <w:r>
        <w:rPr>
          <w:rFonts w:ascii="Arial" w:hAnsi="Arial" w:cs="Arial"/>
          <w:i/>
          <w:sz w:val="22"/>
        </w:rPr>
        <w:t xml:space="preserve"> </w:t>
      </w:r>
      <w:r w:rsidRPr="008569C4">
        <w:rPr>
          <w:rFonts w:ascii="Arial" w:hAnsi="Arial" w:cs="Arial"/>
          <w:i/>
          <w:sz w:val="22"/>
        </w:rPr>
        <w:t>l</w:t>
      </w:r>
      <w:r>
        <w:rPr>
          <w:rFonts w:ascii="Arial" w:hAnsi="Arial" w:cs="Arial"/>
          <w:i/>
          <w:sz w:val="22"/>
        </w:rPr>
        <w:t>a</w:t>
      </w:r>
      <w:r w:rsidRPr="008569C4">
        <w:rPr>
          <w:rFonts w:ascii="Arial" w:hAnsi="Arial" w:cs="Arial"/>
          <w:i/>
          <w:sz w:val="22"/>
        </w:rPr>
        <w:t xml:space="preserve"> impugnación, o el trámite queda trunco, si ya se inició.</w:t>
      </w:r>
      <w:r>
        <w:rPr>
          <w:rFonts w:ascii="Arial" w:hAnsi="Arial" w:cs="Arial"/>
        </w:rPr>
        <w:t>”.</w:t>
      </w:r>
    </w:p>
    <w:p w:rsidR="00DC20E9" w:rsidRDefault="00DC20E9" w:rsidP="00DC20E9">
      <w:pPr>
        <w:pStyle w:val="Sinespaciado"/>
        <w:spacing w:line="360" w:lineRule="auto"/>
        <w:jc w:val="both"/>
        <w:rPr>
          <w:rFonts w:ascii="Arial" w:hAnsi="Arial" w:cs="Arial"/>
        </w:rPr>
      </w:pPr>
    </w:p>
    <w:p w:rsidR="00DC20E9" w:rsidRDefault="00DC20E9" w:rsidP="00DC20E9">
      <w:pPr>
        <w:pStyle w:val="Sinespaciado"/>
        <w:spacing w:line="360" w:lineRule="auto"/>
        <w:jc w:val="both"/>
        <w:rPr>
          <w:rFonts w:ascii="Bookman Old Style" w:hAnsi="Bookman Old Style"/>
          <w:i/>
          <w:color w:val="2D2D2D"/>
          <w:szCs w:val="24"/>
          <w:shd w:val="clear" w:color="auto" w:fill="FFFFFF"/>
        </w:rPr>
      </w:pPr>
      <w:r w:rsidRPr="002E1265">
        <w:rPr>
          <w:rFonts w:ascii="Arial" w:hAnsi="Arial" w:cs="Arial"/>
        </w:rPr>
        <w:t xml:space="preserve">Los </w:t>
      </w:r>
      <w:r>
        <w:rPr>
          <w:rFonts w:ascii="Arial" w:hAnsi="Arial" w:cs="Arial"/>
        </w:rPr>
        <w:t xml:space="preserve">mencionados </w:t>
      </w:r>
      <w:r w:rsidRPr="002E1265">
        <w:rPr>
          <w:rFonts w:ascii="Arial" w:hAnsi="Arial" w:cs="Arial"/>
        </w:rPr>
        <w:t xml:space="preserve">requisitos son concurrentes y necesarios, ausente uno se malogra el </w:t>
      </w:r>
      <w:r w:rsidRPr="002E1265">
        <w:rPr>
          <w:rFonts w:ascii="Arial" w:hAnsi="Arial" w:cs="Arial"/>
        </w:rPr>
        <w:lastRenderedPageBreak/>
        <w:t>estudio de la impugnación.</w:t>
      </w:r>
      <w:r>
        <w:rPr>
          <w:rFonts w:ascii="Arial" w:hAnsi="Arial" w:cs="Arial"/>
        </w:rPr>
        <w:t xml:space="preserve">  La misma CSJ</w:t>
      </w:r>
      <w:r w:rsidR="00812922">
        <w:rPr>
          <w:rStyle w:val="Refdenotaalpie"/>
          <w:rFonts w:ascii="Arial" w:hAnsi="Arial"/>
        </w:rPr>
        <w:footnoteReference w:id="5"/>
      </w:r>
      <w:r>
        <w:rPr>
          <w:rFonts w:ascii="Arial" w:hAnsi="Arial" w:cs="Arial"/>
        </w:rPr>
        <w:t xml:space="preserve"> así lo ha enseñado: “</w:t>
      </w:r>
      <w:r w:rsidRPr="00647802">
        <w:rPr>
          <w:rFonts w:ascii="Arial" w:hAnsi="Arial" w:cs="Arial"/>
          <w:i/>
          <w:sz w:val="22"/>
        </w:rPr>
        <w:t>(…) al recibir el expediente, dentro del examen preliminar que le corresponde hacer (C. de P.C.,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Pr>
          <w:rFonts w:ascii="Arial" w:hAnsi="Arial" w:cs="Arial"/>
        </w:rPr>
        <w:t>”. Y en reciente decisión (2016)</w:t>
      </w:r>
      <w:r>
        <w:rPr>
          <w:rStyle w:val="Refdenotaalpie"/>
          <w:rFonts w:ascii="Arial" w:hAnsi="Arial"/>
        </w:rPr>
        <w:footnoteReference w:id="6"/>
      </w:r>
      <w:r>
        <w:rPr>
          <w:rFonts w:ascii="Arial" w:hAnsi="Arial" w:cs="Arial"/>
        </w:rPr>
        <w:t xml:space="preserve"> recordó: </w:t>
      </w:r>
      <w:r w:rsidRPr="00686829">
        <w:rPr>
          <w:rFonts w:ascii="Arial" w:hAnsi="Arial" w:cs="Arial"/>
          <w:sz w:val="22"/>
          <w:szCs w:val="22"/>
        </w:rPr>
        <w:t xml:space="preserve">“(…) </w:t>
      </w:r>
      <w:r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Pr>
          <w:rFonts w:ascii="Arial" w:hAnsi="Arial" w:cs="Arial"/>
          <w:i/>
          <w:color w:val="2D2D2D"/>
          <w:sz w:val="22"/>
          <w:szCs w:val="22"/>
          <w:shd w:val="clear" w:color="auto" w:fill="FFFFFF"/>
        </w:rPr>
        <w:t>.</w:t>
      </w:r>
    </w:p>
    <w:p w:rsidR="00DC20E9" w:rsidRDefault="00DC20E9" w:rsidP="00DC20E9">
      <w:pPr>
        <w:pStyle w:val="Sinespaciado"/>
        <w:spacing w:line="360" w:lineRule="auto"/>
        <w:jc w:val="both"/>
        <w:rPr>
          <w:rFonts w:ascii="Arial" w:hAnsi="Arial" w:cs="Arial"/>
        </w:rPr>
      </w:pPr>
    </w:p>
    <w:p w:rsidR="00DC20E9" w:rsidRDefault="00DC20E9" w:rsidP="00DC20E9">
      <w:pPr>
        <w:pStyle w:val="Sinespaciado"/>
        <w:spacing w:line="360" w:lineRule="auto"/>
        <w:jc w:val="both"/>
        <w:rPr>
          <w:rFonts w:ascii="Arial" w:hAnsi="Arial" w:cs="Arial"/>
        </w:rPr>
      </w:pPr>
      <w:r>
        <w:rPr>
          <w:rFonts w:ascii="Arial" w:hAnsi="Arial" w:cs="Arial"/>
        </w:rPr>
        <w:t xml:space="preserve">Para el </w:t>
      </w:r>
      <w:r w:rsidRPr="002A4492">
        <w:rPr>
          <w:rFonts w:ascii="Arial" w:hAnsi="Arial" w:cs="Arial"/>
          <w:i/>
        </w:rPr>
        <w:t>sub lite</w:t>
      </w:r>
      <w:r w:rsidRPr="002E1265">
        <w:rPr>
          <w:rFonts w:ascii="Arial" w:hAnsi="Arial" w:cs="Arial"/>
        </w:rPr>
        <w:t xml:space="preserve"> son legitimación, oportunidad, procedencia y sustentación.</w:t>
      </w:r>
      <w:r>
        <w:rPr>
          <w:rFonts w:ascii="Arial" w:hAnsi="Arial" w:cs="Arial"/>
        </w:rPr>
        <w:t xml:space="preserve">  En particular se echa de menos en este caso la procedencia, entendida como la expresa autorización normativa para atacar la decisión por vía de alzada.</w:t>
      </w:r>
      <w:r w:rsidRPr="00965470">
        <w:rPr>
          <w:rFonts w:ascii="Arial" w:hAnsi="Arial" w:cs="Arial"/>
        </w:rPr>
        <w:t xml:space="preserve"> </w:t>
      </w:r>
    </w:p>
    <w:p w:rsidR="00965470" w:rsidRDefault="00965470" w:rsidP="00965470">
      <w:pPr>
        <w:pStyle w:val="Sinespaciado"/>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inespaciado"/>
        <w:spacing w:line="360" w:lineRule="auto"/>
        <w:jc w:val="both"/>
        <w:rPr>
          <w:rFonts w:ascii="Arial" w:hAnsi="Arial" w:cs="Arial"/>
        </w:rPr>
      </w:pPr>
    </w:p>
    <w:p w:rsidR="00073C11" w:rsidRPr="002240F3" w:rsidRDefault="00073C11" w:rsidP="00073C11">
      <w:pPr>
        <w:pStyle w:val="Sinespaciado"/>
        <w:spacing w:line="360" w:lineRule="auto"/>
        <w:jc w:val="both"/>
        <w:rPr>
          <w:rFonts w:ascii="Arial" w:hAnsi="Arial" w:cs="Arial"/>
        </w:rPr>
      </w:pPr>
      <w:r w:rsidRPr="002240F3">
        <w:rPr>
          <w:rFonts w:ascii="Arial" w:hAnsi="Arial" w:cs="Arial"/>
        </w:rPr>
        <w:t>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w:t>
      </w:r>
      <w:r w:rsidRPr="002240F3">
        <w:rPr>
          <w:rStyle w:val="Refdenotaalpie"/>
          <w:rFonts w:ascii="Arial" w:hAnsi="Arial"/>
        </w:rPr>
        <w:footnoteReference w:id="7"/>
      </w:r>
      <w:r w:rsidRPr="002240F3">
        <w:rPr>
          <w:rFonts w:ascii="Arial" w:hAnsi="Arial" w:cs="Arial"/>
        </w:rPr>
        <w:t xml:space="preserve"> hasta nuestros días (201</w:t>
      </w:r>
      <w:r w:rsidR="005D6D82">
        <w:rPr>
          <w:rFonts w:ascii="Arial" w:hAnsi="Arial" w:cs="Arial"/>
        </w:rPr>
        <w:t>6</w:t>
      </w:r>
      <w:r w:rsidRPr="002240F3">
        <w:rPr>
          <w:rFonts w:ascii="Arial" w:hAnsi="Arial" w:cs="Arial"/>
        </w:rPr>
        <w:t>)</w:t>
      </w:r>
      <w:r w:rsidR="00F601E9" w:rsidRPr="002240F3">
        <w:rPr>
          <w:rStyle w:val="Refdenotaalpie"/>
          <w:rFonts w:ascii="Arial" w:hAnsi="Arial"/>
        </w:rPr>
        <w:footnoteReference w:id="8"/>
      </w:r>
      <w:r w:rsidRPr="002240F3">
        <w:rPr>
          <w:rFonts w:ascii="Arial" w:hAnsi="Arial" w:cs="Arial"/>
        </w:rPr>
        <w:t xml:space="preserve">; en esta reciente decisión, también se declaró exequible </w:t>
      </w:r>
      <w:r w:rsidR="008E29B6" w:rsidRPr="008E29B6">
        <w:rPr>
          <w:rFonts w:ascii="Arial" w:hAnsi="Arial" w:cs="Arial"/>
        </w:rPr>
        <w:t xml:space="preserve">la expresión </w:t>
      </w:r>
      <w:r w:rsidR="008E29B6" w:rsidRPr="008E29B6">
        <w:rPr>
          <w:rFonts w:ascii="Arial" w:hAnsi="Arial" w:cs="Arial"/>
          <w:i/>
          <w:sz w:val="22"/>
        </w:rPr>
        <w:t>"(…) si el apelante no asiste a la audiencia, se declarará desierto el recurso (…)"</w:t>
      </w:r>
      <w:r w:rsidR="008E29B6" w:rsidRPr="008E29B6">
        <w:rPr>
          <w:rFonts w:ascii="Arial" w:hAnsi="Arial" w:cs="Arial"/>
        </w:rPr>
        <w:t xml:space="preserve"> d</w:t>
      </w:r>
      <w:r w:rsidRPr="002240F3">
        <w:rPr>
          <w:rFonts w:ascii="Arial" w:hAnsi="Arial" w:cs="Arial"/>
        </w:rPr>
        <w:t xml:space="preserve">el artículo </w:t>
      </w:r>
      <w:r w:rsidR="008E29B6">
        <w:rPr>
          <w:rFonts w:ascii="Arial" w:hAnsi="Arial" w:cs="Arial"/>
        </w:rPr>
        <w:t xml:space="preserve">192 de la </w:t>
      </w:r>
      <w:r w:rsidR="00812922">
        <w:rPr>
          <w:rFonts w:ascii="Arial" w:hAnsi="Arial" w:cs="Arial"/>
        </w:rPr>
        <w:t xml:space="preserve">Ley </w:t>
      </w:r>
      <w:r w:rsidR="008E29B6">
        <w:rPr>
          <w:rFonts w:ascii="Arial" w:hAnsi="Arial" w:cs="Arial"/>
        </w:rPr>
        <w:t>1437</w:t>
      </w:r>
      <w:r w:rsidRPr="002240F3">
        <w:rPr>
          <w:rFonts w:ascii="Arial" w:hAnsi="Arial" w:cs="Arial"/>
        </w:rPr>
        <w:t>.</w:t>
      </w:r>
    </w:p>
    <w:p w:rsidR="00073C11" w:rsidRDefault="00073C11" w:rsidP="00073C11">
      <w:pPr>
        <w:pStyle w:val="Sinespaciado"/>
        <w:spacing w:line="360" w:lineRule="auto"/>
        <w:jc w:val="both"/>
        <w:rPr>
          <w:rFonts w:ascii="Arial" w:hAnsi="Arial" w:cs="Arial"/>
        </w:rPr>
      </w:pPr>
    </w:p>
    <w:p w:rsidR="00073C11" w:rsidRPr="00545527" w:rsidRDefault="00073C11" w:rsidP="00073C11">
      <w:pPr>
        <w:pStyle w:val="Sinespaciado"/>
        <w:spacing w:line="360" w:lineRule="auto"/>
        <w:jc w:val="both"/>
        <w:rPr>
          <w:rFonts w:ascii="Arial" w:hAnsi="Arial" w:cs="Arial"/>
          <w:szCs w:val="24"/>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w:t>
      </w:r>
      <w:r w:rsidR="004A043E">
        <w:rPr>
          <w:rFonts w:ascii="Arial" w:hAnsi="Arial" w:cs="Arial"/>
        </w:rPr>
        <w:t xml:space="preserve">En el </w:t>
      </w:r>
      <w:r w:rsidR="008E29B6">
        <w:rPr>
          <w:rFonts w:ascii="Arial" w:hAnsi="Arial" w:cs="Arial"/>
        </w:rPr>
        <w:t xml:space="preserve">CPC </w:t>
      </w:r>
      <w:r w:rsidR="004A043E">
        <w:rPr>
          <w:rFonts w:ascii="Arial" w:hAnsi="Arial" w:cs="Arial"/>
        </w:rPr>
        <w:t>(Tal como lo ha</w:t>
      </w:r>
      <w:r w:rsidR="00E55386">
        <w:rPr>
          <w:rFonts w:ascii="Arial" w:hAnsi="Arial" w:cs="Arial"/>
        </w:rPr>
        <w:t>ce</w:t>
      </w:r>
      <w:r w:rsidR="004A043E">
        <w:rPr>
          <w:rFonts w:ascii="Arial" w:hAnsi="Arial" w:cs="Arial"/>
        </w:rPr>
        <w:t xml:space="preserve"> el </w:t>
      </w:r>
      <w:r w:rsidR="008E29B6" w:rsidRPr="00545527">
        <w:rPr>
          <w:rFonts w:ascii="Arial" w:hAnsi="Arial" w:cs="Arial"/>
        </w:rPr>
        <w:t>C</w:t>
      </w:r>
      <w:r w:rsidR="008E29B6">
        <w:rPr>
          <w:rFonts w:ascii="Arial" w:hAnsi="Arial" w:cs="Arial"/>
        </w:rPr>
        <w:t>GP</w:t>
      </w:r>
      <w:r w:rsidR="004A043E">
        <w:rPr>
          <w:rFonts w:ascii="Arial" w:hAnsi="Arial" w:cs="Arial"/>
        </w:rPr>
        <w:t>),</w:t>
      </w:r>
      <w:r w:rsidRPr="00545527">
        <w:rPr>
          <w:rFonts w:ascii="Arial" w:hAnsi="Arial" w:cs="Arial"/>
        </w:rPr>
        <w:t xml:space="preserve"> opera la mencionada regla de especificidad, tal como lo reconocen los autores nacionales</w:t>
      </w:r>
      <w:r w:rsidRPr="00545527">
        <w:rPr>
          <w:rStyle w:val="Refdenotaalpie"/>
          <w:rFonts w:ascii="Arial" w:hAnsi="Arial" w:cs="Arial"/>
          <w:szCs w:val="24"/>
        </w:rPr>
        <w:footnoteReference w:id="9"/>
      </w:r>
      <w:r w:rsidRPr="00545527">
        <w:rPr>
          <w:rFonts w:ascii="Arial" w:hAnsi="Arial" w:cs="Arial"/>
          <w:szCs w:val="24"/>
          <w:vertAlign w:val="superscript"/>
        </w:rPr>
        <w:t>-</w:t>
      </w:r>
      <w:r w:rsidRPr="00545527">
        <w:rPr>
          <w:rStyle w:val="Refdenotaalpie"/>
          <w:rFonts w:ascii="Arial" w:hAnsi="Arial" w:cs="Arial"/>
          <w:szCs w:val="24"/>
        </w:rPr>
        <w:footnoteReference w:id="10"/>
      </w:r>
      <w:r w:rsidRPr="00545527">
        <w:rPr>
          <w:rFonts w:ascii="Arial" w:hAnsi="Arial" w:cs="Arial"/>
          <w:szCs w:val="24"/>
          <w:vertAlign w:val="superscript"/>
        </w:rPr>
        <w:t>-</w:t>
      </w:r>
      <w:r w:rsidRPr="00545527">
        <w:rPr>
          <w:rStyle w:val="Refdenotaalpie"/>
          <w:rFonts w:ascii="Arial" w:hAnsi="Arial" w:cs="Arial"/>
          <w:szCs w:val="24"/>
        </w:rPr>
        <w:footnoteReference w:id="11"/>
      </w:r>
      <w:r w:rsidRPr="00545527">
        <w:rPr>
          <w:rFonts w:ascii="Arial" w:hAnsi="Arial" w:cs="Arial"/>
          <w:szCs w:val="24"/>
        </w:rPr>
        <w:t xml:space="preserve"> y la misma CSJ, Sala de Casación Civil</w:t>
      </w:r>
      <w:r w:rsidRPr="00545527">
        <w:rPr>
          <w:rFonts w:ascii="Arial" w:hAnsi="Arial"/>
          <w:vertAlign w:val="superscript"/>
        </w:rPr>
        <w:footnoteReference w:id="12"/>
      </w:r>
      <w:r w:rsidRPr="00545527">
        <w:rPr>
          <w:rFonts w:ascii="Arial" w:hAnsi="Arial" w:cs="Arial"/>
          <w:szCs w:val="24"/>
        </w:rPr>
        <w:t>.</w:t>
      </w:r>
      <w:r w:rsidR="00EC4BBA">
        <w:rPr>
          <w:rFonts w:ascii="Arial" w:hAnsi="Arial" w:cs="Arial"/>
          <w:szCs w:val="24"/>
        </w:rPr>
        <w:t xml:space="preserve"> </w:t>
      </w:r>
      <w:r w:rsidR="008E29B6">
        <w:rPr>
          <w:rFonts w:ascii="Arial" w:hAnsi="Arial" w:cs="Arial"/>
          <w:szCs w:val="24"/>
        </w:rPr>
        <w:t xml:space="preserve">Así está consagrado en el artículo 351 del CPC y </w:t>
      </w:r>
      <w:r w:rsidR="008E29B6" w:rsidRPr="008E29B6">
        <w:rPr>
          <w:rFonts w:ascii="Arial" w:hAnsi="Arial" w:cs="Arial"/>
          <w:szCs w:val="24"/>
        </w:rPr>
        <w:t xml:space="preserve">fue </w:t>
      </w:r>
      <w:r w:rsidR="004A043E" w:rsidRPr="00C0469A">
        <w:rPr>
          <w:rFonts w:ascii="Arial" w:hAnsi="Arial" w:cs="Arial"/>
          <w:szCs w:val="24"/>
        </w:rPr>
        <w:t xml:space="preserve">establecido </w:t>
      </w:r>
      <w:r w:rsidR="00812922">
        <w:rPr>
          <w:rFonts w:ascii="Arial" w:hAnsi="Arial" w:cs="Arial"/>
          <w:szCs w:val="24"/>
        </w:rPr>
        <w:t>en</w:t>
      </w:r>
      <w:r w:rsidR="004A043E" w:rsidRPr="00C0469A">
        <w:rPr>
          <w:rFonts w:ascii="Arial" w:hAnsi="Arial" w:cs="Arial"/>
          <w:szCs w:val="24"/>
        </w:rPr>
        <w:t xml:space="preserve"> </w:t>
      </w:r>
      <w:r w:rsidR="00EC4BBA" w:rsidRPr="00C0469A">
        <w:rPr>
          <w:rFonts w:ascii="Arial" w:hAnsi="Arial" w:cs="Arial"/>
          <w:szCs w:val="24"/>
        </w:rPr>
        <w:t xml:space="preserve">el </w:t>
      </w:r>
      <w:r w:rsidR="004A043E" w:rsidRPr="00C0469A">
        <w:rPr>
          <w:rFonts w:ascii="Arial" w:hAnsi="Arial" w:cs="Arial"/>
          <w:szCs w:val="24"/>
        </w:rPr>
        <w:t>artículo 321 del CGP</w:t>
      </w:r>
      <w:r w:rsidR="003C771A" w:rsidRPr="00C0469A">
        <w:rPr>
          <w:rFonts w:ascii="Arial" w:hAnsi="Arial" w:cs="Arial"/>
          <w:szCs w:val="24"/>
          <w:lang w:val="es-MX"/>
        </w:rPr>
        <w:t>.</w:t>
      </w:r>
    </w:p>
    <w:p w:rsidR="005D1B31" w:rsidRPr="00D574B8" w:rsidRDefault="005D1B31" w:rsidP="00965470">
      <w:pPr>
        <w:pStyle w:val="Sinespaciado"/>
        <w:spacing w:line="360" w:lineRule="auto"/>
        <w:jc w:val="both"/>
        <w:rPr>
          <w:rFonts w:ascii="Arial" w:hAnsi="Arial" w:cs="Arial"/>
        </w:rPr>
      </w:pPr>
    </w:p>
    <w:p w:rsidR="00C0469A" w:rsidRDefault="00C0469A" w:rsidP="00C0469A">
      <w:pPr>
        <w:pStyle w:val="Sinespaciado"/>
        <w:spacing w:line="360" w:lineRule="auto"/>
        <w:jc w:val="both"/>
        <w:rPr>
          <w:rFonts w:ascii="Arial" w:hAnsi="Arial" w:cs="Arial"/>
        </w:rPr>
      </w:pPr>
      <w:r>
        <w:rPr>
          <w:rFonts w:ascii="Arial" w:hAnsi="Arial" w:cs="Arial"/>
        </w:rPr>
        <w:t xml:space="preserve">Para los asuntos tramitados en vigencia del CPC, en los que tiene lugar el llamamiento en garantía, la regulación sobre la alzada se debe </w:t>
      </w:r>
      <w:r w:rsidR="0002392F">
        <w:rPr>
          <w:rFonts w:ascii="Arial" w:hAnsi="Arial" w:cs="Arial"/>
        </w:rPr>
        <w:t xml:space="preserve">observar desde dos regulaciones, la primera que refleja las normas generales para el llamamiento y/o denuncia </w:t>
      </w:r>
      <w:r>
        <w:rPr>
          <w:rFonts w:ascii="Arial" w:hAnsi="Arial" w:cs="Arial"/>
        </w:rPr>
        <w:t xml:space="preserve">que establece que el </w:t>
      </w:r>
      <w:r>
        <w:rPr>
          <w:rFonts w:ascii="Arial" w:hAnsi="Arial" w:cs="Arial"/>
        </w:rPr>
        <w:lastRenderedPageBreak/>
        <w:t>auto que lo acepte o niegue es apelable</w:t>
      </w:r>
      <w:r w:rsidR="0002392F">
        <w:rPr>
          <w:rFonts w:ascii="Arial" w:hAnsi="Arial" w:cs="Arial"/>
        </w:rPr>
        <w:t xml:space="preserve"> (Artículo 56-1º), </w:t>
      </w:r>
      <w:r w:rsidR="00333483">
        <w:rPr>
          <w:rFonts w:ascii="Arial" w:hAnsi="Arial" w:cs="Arial"/>
        </w:rPr>
        <w:t xml:space="preserve">y </w:t>
      </w:r>
      <w:r w:rsidR="0002392F">
        <w:rPr>
          <w:rFonts w:ascii="Arial" w:hAnsi="Arial" w:cs="Arial"/>
        </w:rPr>
        <w:t>la segunda que taxativamente consagra los autos susceptibles de alzada, donde se dice que es objeto de esa impugnación, el auto que niega la intervención de sucesores procesales o de terceros (Artículo 351-2º)</w:t>
      </w:r>
      <w:r>
        <w:rPr>
          <w:rFonts w:ascii="Arial" w:hAnsi="Arial" w:cs="Arial"/>
        </w:rPr>
        <w:t xml:space="preserve">. </w:t>
      </w:r>
    </w:p>
    <w:p w:rsidR="00C0469A" w:rsidRPr="005D1B31" w:rsidRDefault="00C0469A" w:rsidP="00C0469A">
      <w:pPr>
        <w:pStyle w:val="Sinespaciado"/>
        <w:spacing w:line="360" w:lineRule="auto"/>
        <w:jc w:val="both"/>
        <w:rPr>
          <w:rFonts w:ascii="Arial" w:hAnsi="Arial" w:cs="Arial"/>
        </w:rPr>
      </w:pPr>
    </w:p>
    <w:p w:rsidR="00B32AB0" w:rsidRPr="00A3098E" w:rsidRDefault="0002392F" w:rsidP="00B32AB0">
      <w:pPr>
        <w:pStyle w:val="Sinespaciado"/>
        <w:spacing w:line="360" w:lineRule="auto"/>
        <w:jc w:val="both"/>
        <w:rPr>
          <w:rFonts w:ascii="Arial" w:hAnsi="Arial" w:cs="Arial"/>
        </w:rPr>
      </w:pPr>
      <w:r>
        <w:rPr>
          <w:rFonts w:ascii="Arial" w:hAnsi="Arial" w:cs="Arial"/>
        </w:rPr>
        <w:t xml:space="preserve">Como puede verse, ambas normas, concluyen en que la decisión apelable es aquella que resuelve la petición de llamamiento o intervención formulada, pero en modo alguno se refieren al auto que declaró </w:t>
      </w:r>
      <w:proofErr w:type="spellStart"/>
      <w:r>
        <w:rPr>
          <w:rFonts w:ascii="Arial" w:hAnsi="Arial" w:cs="Arial"/>
        </w:rPr>
        <w:t>precluido</w:t>
      </w:r>
      <w:proofErr w:type="spellEnd"/>
      <w:r>
        <w:rPr>
          <w:rFonts w:ascii="Arial" w:hAnsi="Arial" w:cs="Arial"/>
        </w:rPr>
        <w:t xml:space="preserve"> el término para la notificaci</w:t>
      </w:r>
      <w:r w:rsidR="00064928">
        <w:rPr>
          <w:rFonts w:ascii="Arial" w:hAnsi="Arial" w:cs="Arial"/>
        </w:rPr>
        <w:t>ón del llamado o interviniente.</w:t>
      </w:r>
      <w:r w:rsidR="00A3098E">
        <w:rPr>
          <w:rFonts w:ascii="Arial" w:hAnsi="Arial" w:cs="Arial"/>
        </w:rPr>
        <w:t xml:space="preserve"> Debe </w:t>
      </w:r>
      <w:r w:rsidR="00B32AB0">
        <w:rPr>
          <w:rFonts w:ascii="Arial" w:hAnsi="Arial" w:cs="Arial"/>
        </w:rPr>
        <w:t xml:space="preserve">tenerse en cuenta también, que </w:t>
      </w:r>
      <w:r w:rsidR="00B32AB0" w:rsidRPr="00A3098E">
        <w:rPr>
          <w:rFonts w:ascii="Arial" w:hAnsi="Arial" w:cs="Arial"/>
        </w:rPr>
        <w:t>el artículo 56 ya mencionado</w:t>
      </w:r>
      <w:r w:rsidR="00A3098E">
        <w:rPr>
          <w:rFonts w:ascii="Arial" w:hAnsi="Arial" w:cs="Arial"/>
        </w:rPr>
        <w:t>,</w:t>
      </w:r>
      <w:r w:rsidR="00B32AB0" w:rsidRPr="00A3098E">
        <w:rPr>
          <w:rFonts w:ascii="Arial" w:hAnsi="Arial" w:cs="Arial"/>
        </w:rPr>
        <w:t xml:space="preserve"> contempla que luego de admitido el llamamiento en garantía, se debe suspender</w:t>
      </w:r>
      <w:r w:rsidR="00A3098E">
        <w:rPr>
          <w:rFonts w:ascii="Arial" w:hAnsi="Arial" w:cs="Arial"/>
        </w:rPr>
        <w:t xml:space="preserve"> </w:t>
      </w:r>
      <w:r w:rsidR="00A3098E" w:rsidRPr="00A3098E">
        <w:rPr>
          <w:rFonts w:ascii="Arial" w:hAnsi="Arial" w:cs="Arial"/>
        </w:rPr>
        <w:t>el asunto</w:t>
      </w:r>
      <w:r w:rsidR="00A3098E">
        <w:rPr>
          <w:rFonts w:ascii="Arial" w:hAnsi="Arial" w:cs="Arial"/>
        </w:rPr>
        <w:t>,</w:t>
      </w:r>
      <w:r w:rsidR="00B32AB0" w:rsidRPr="00A3098E">
        <w:rPr>
          <w:rFonts w:ascii="Arial" w:hAnsi="Arial" w:cs="Arial"/>
        </w:rPr>
        <w:t xml:space="preserve"> hasta por 90 días, </w:t>
      </w:r>
      <w:r w:rsidR="00A3098E">
        <w:rPr>
          <w:rFonts w:ascii="Arial" w:hAnsi="Arial" w:cs="Arial"/>
        </w:rPr>
        <w:t>para que</w:t>
      </w:r>
      <w:r w:rsidR="00B32AB0" w:rsidRPr="00A3098E">
        <w:rPr>
          <w:rFonts w:ascii="Arial" w:hAnsi="Arial" w:cs="Arial"/>
        </w:rPr>
        <w:t xml:space="preserve"> se cite al llamado, </w:t>
      </w:r>
      <w:r w:rsidR="00A3098E" w:rsidRPr="00A3098E">
        <w:rPr>
          <w:rFonts w:ascii="Arial" w:hAnsi="Arial" w:cs="Arial"/>
        </w:rPr>
        <w:t xml:space="preserve">pero si vencido ese plazo </w:t>
      </w:r>
      <w:r w:rsidR="00B32AB0" w:rsidRPr="00A3098E">
        <w:rPr>
          <w:rFonts w:ascii="Arial" w:hAnsi="Arial" w:cs="Arial"/>
        </w:rPr>
        <w:t xml:space="preserve">no se logró su citación, el proceso </w:t>
      </w:r>
      <w:r w:rsidR="00A3098E" w:rsidRPr="00A3098E">
        <w:rPr>
          <w:rFonts w:ascii="Arial" w:hAnsi="Arial" w:cs="Arial"/>
        </w:rPr>
        <w:t xml:space="preserve">debe </w:t>
      </w:r>
      <w:r w:rsidR="00B32AB0" w:rsidRPr="00A3098E">
        <w:rPr>
          <w:rFonts w:ascii="Arial" w:hAnsi="Arial" w:cs="Arial"/>
        </w:rPr>
        <w:t>seguir</w:t>
      </w:r>
      <w:r w:rsidR="00812922">
        <w:rPr>
          <w:rFonts w:ascii="Arial" w:hAnsi="Arial" w:cs="Arial"/>
        </w:rPr>
        <w:t>, porque su presencia no es indispensable, sino que busca resolver, por economía procesal, esa relación jurídica, que bien puede decidirse sin esa parte</w:t>
      </w:r>
      <w:r w:rsidR="00A3098E">
        <w:rPr>
          <w:rFonts w:ascii="Arial" w:hAnsi="Arial" w:cs="Arial"/>
        </w:rPr>
        <w:t xml:space="preserve">.  </w:t>
      </w:r>
    </w:p>
    <w:p w:rsidR="00B32AB0" w:rsidRDefault="00B32AB0" w:rsidP="00B32AB0">
      <w:pPr>
        <w:spacing w:line="360" w:lineRule="auto"/>
        <w:jc w:val="both"/>
        <w:rPr>
          <w:rFonts w:ascii="Century Gothic" w:hAnsi="Century Gothic"/>
          <w:sz w:val="26"/>
          <w:szCs w:val="26"/>
          <w:lang w:val="es-MX"/>
        </w:rPr>
      </w:pPr>
      <w:r w:rsidRPr="00B80F5B">
        <w:rPr>
          <w:rFonts w:ascii="Century Gothic" w:hAnsi="Century Gothic"/>
          <w:sz w:val="26"/>
          <w:szCs w:val="26"/>
          <w:lang w:val="es-MX"/>
        </w:rPr>
        <w:t xml:space="preserve">  </w:t>
      </w:r>
      <w:r w:rsidRPr="00B80F5B">
        <w:rPr>
          <w:rFonts w:ascii="Century Gothic" w:hAnsi="Century Gothic"/>
          <w:sz w:val="26"/>
          <w:szCs w:val="26"/>
          <w:lang w:val="es-MX"/>
        </w:rPr>
        <w:tab/>
      </w:r>
      <w:r w:rsidRPr="00B80F5B">
        <w:rPr>
          <w:rFonts w:ascii="Century Gothic" w:hAnsi="Century Gothic"/>
          <w:sz w:val="26"/>
          <w:szCs w:val="26"/>
          <w:lang w:val="es-MX"/>
        </w:rPr>
        <w:tab/>
      </w:r>
      <w:r w:rsidRPr="00B80F5B">
        <w:rPr>
          <w:rFonts w:ascii="Century Gothic" w:hAnsi="Century Gothic"/>
          <w:sz w:val="26"/>
          <w:szCs w:val="26"/>
          <w:lang w:val="es-MX"/>
        </w:rPr>
        <w:tab/>
      </w:r>
      <w:r w:rsidRPr="00B80F5B">
        <w:rPr>
          <w:rFonts w:ascii="Century Gothic" w:hAnsi="Century Gothic"/>
          <w:sz w:val="26"/>
          <w:szCs w:val="26"/>
          <w:lang w:val="es-MX"/>
        </w:rPr>
        <w:tab/>
      </w:r>
    </w:p>
    <w:p w:rsidR="0002392F" w:rsidRDefault="0083733B" w:rsidP="00C0469A">
      <w:pPr>
        <w:pStyle w:val="Sinespaciado"/>
        <w:spacing w:line="360" w:lineRule="auto"/>
        <w:jc w:val="both"/>
        <w:rPr>
          <w:rFonts w:ascii="Arial" w:hAnsi="Arial" w:cs="Arial"/>
        </w:rPr>
      </w:pPr>
      <w:r>
        <w:rPr>
          <w:rFonts w:ascii="Arial" w:hAnsi="Arial" w:cs="Arial"/>
        </w:rPr>
        <w:t xml:space="preserve">Hecho el examen preliminar </w:t>
      </w:r>
      <w:r w:rsidRPr="001F088A">
        <w:rPr>
          <w:rFonts w:ascii="Arial" w:hAnsi="Arial" w:cs="Arial"/>
          <w:szCs w:val="24"/>
        </w:rPr>
        <w:t xml:space="preserve">dispuesto por el artículo 358 del </w:t>
      </w:r>
      <w:proofErr w:type="spellStart"/>
      <w:r w:rsidRPr="001F088A">
        <w:rPr>
          <w:rFonts w:ascii="Arial" w:hAnsi="Arial" w:cs="Arial"/>
          <w:szCs w:val="24"/>
        </w:rPr>
        <w:t>CPC</w:t>
      </w:r>
      <w:proofErr w:type="spellEnd"/>
      <w:r w:rsidRPr="001F088A">
        <w:rPr>
          <w:rFonts w:ascii="Arial" w:hAnsi="Arial" w:cs="Arial"/>
          <w:szCs w:val="24"/>
        </w:rPr>
        <w:t xml:space="preserve">, </w:t>
      </w:r>
      <w:r>
        <w:rPr>
          <w:rFonts w:ascii="Arial" w:hAnsi="Arial" w:cs="Arial"/>
          <w:szCs w:val="24"/>
        </w:rPr>
        <w:t xml:space="preserve">dentro de este proceso, </w:t>
      </w:r>
      <w:r>
        <w:rPr>
          <w:rFonts w:ascii="Arial" w:hAnsi="Arial" w:cs="Arial"/>
        </w:rPr>
        <w:t xml:space="preserve">para la Sala es claro que en esta ocasión la providencia recurrida, no encuadra en ninguna de las enunciadas hipótesis, puesto que si bien acaeció que </w:t>
      </w:r>
      <w:r w:rsidR="003823CC">
        <w:rPr>
          <w:rFonts w:ascii="Arial" w:hAnsi="Arial" w:cs="Arial"/>
        </w:rPr>
        <w:t xml:space="preserve">la sociedad </w:t>
      </w:r>
      <w:proofErr w:type="spellStart"/>
      <w:r w:rsidR="00064928" w:rsidRPr="00064928">
        <w:rPr>
          <w:rFonts w:ascii="Arial" w:hAnsi="Arial" w:cs="Arial"/>
          <w:szCs w:val="22"/>
          <w:lang w:val="es-CO"/>
        </w:rPr>
        <w:t>Cartag</w:t>
      </w:r>
      <w:r w:rsidR="00064928">
        <w:rPr>
          <w:rFonts w:ascii="Arial" w:hAnsi="Arial" w:cs="Arial"/>
          <w:szCs w:val="22"/>
          <w:lang w:val="es-CO"/>
        </w:rPr>
        <w:t>üeña</w:t>
      </w:r>
      <w:proofErr w:type="spellEnd"/>
      <w:r w:rsidR="00064928">
        <w:rPr>
          <w:rFonts w:ascii="Arial" w:hAnsi="Arial" w:cs="Arial"/>
          <w:szCs w:val="22"/>
          <w:lang w:val="es-CO"/>
        </w:rPr>
        <w:t xml:space="preserve"> de Aseo Total ESP al contestar la demanda, llamó en garantía a la Aseguradora Solidaria de Colombia </w:t>
      </w:r>
      <w:proofErr w:type="spellStart"/>
      <w:r w:rsidR="00064928">
        <w:rPr>
          <w:rFonts w:ascii="Arial" w:hAnsi="Arial" w:cs="Arial"/>
          <w:szCs w:val="22"/>
          <w:lang w:val="es-CO"/>
        </w:rPr>
        <w:t>Ltda</w:t>
      </w:r>
      <w:proofErr w:type="spellEnd"/>
      <w:r w:rsidR="00064928">
        <w:rPr>
          <w:rFonts w:ascii="Arial" w:hAnsi="Arial" w:cs="Arial"/>
          <w:szCs w:val="22"/>
          <w:lang w:val="es-CO"/>
        </w:rPr>
        <w:t xml:space="preserve"> (Folios 1 a 7, cuaderno No.2), l</w:t>
      </w:r>
      <w:r>
        <w:rPr>
          <w:rFonts w:ascii="Arial" w:hAnsi="Arial" w:cs="Arial"/>
          <w:szCs w:val="22"/>
          <w:lang w:val="es-CO"/>
        </w:rPr>
        <w:t>o cierto es que con</w:t>
      </w:r>
      <w:r w:rsidR="00064928">
        <w:rPr>
          <w:rFonts w:ascii="Arial" w:hAnsi="Arial" w:cs="Arial"/>
          <w:szCs w:val="22"/>
          <w:lang w:val="es-CO"/>
        </w:rPr>
        <w:t xml:space="preserve"> auto de 25-02-2015 </w:t>
      </w:r>
      <w:r w:rsidR="00064928" w:rsidRPr="00064928">
        <w:rPr>
          <w:rFonts w:ascii="Arial" w:hAnsi="Arial" w:cs="Arial"/>
          <w:szCs w:val="22"/>
          <w:u w:val="single"/>
          <w:lang w:val="es-CO"/>
        </w:rPr>
        <w:t>se aceptó el llamamiento</w:t>
      </w:r>
      <w:r>
        <w:rPr>
          <w:rFonts w:ascii="Arial" w:hAnsi="Arial" w:cs="Arial"/>
          <w:szCs w:val="22"/>
          <w:lang w:val="es-CO"/>
        </w:rPr>
        <w:t xml:space="preserve"> (Decisión objeto de alzada según las referidas normas) y también </w:t>
      </w:r>
      <w:r w:rsidR="00064928">
        <w:rPr>
          <w:rFonts w:ascii="Arial" w:hAnsi="Arial" w:cs="Arial"/>
          <w:szCs w:val="22"/>
          <w:lang w:val="es-CO"/>
        </w:rPr>
        <w:t>se dispuso, la suspensión del proceso por 90 días, a efectos que se practicar</w:t>
      </w:r>
      <w:r w:rsidR="00812922">
        <w:rPr>
          <w:rFonts w:ascii="Arial" w:hAnsi="Arial" w:cs="Arial"/>
          <w:szCs w:val="22"/>
          <w:lang w:val="es-CO"/>
        </w:rPr>
        <w:t>a</w:t>
      </w:r>
      <w:r w:rsidR="00064928">
        <w:rPr>
          <w:rFonts w:ascii="Arial" w:hAnsi="Arial" w:cs="Arial"/>
          <w:szCs w:val="22"/>
          <w:lang w:val="es-CO"/>
        </w:rPr>
        <w:t xml:space="preserve"> la notificación (Folio 8, cuaderno No.2)</w:t>
      </w:r>
      <w:r w:rsidR="00B32AB0">
        <w:rPr>
          <w:rFonts w:ascii="Arial" w:hAnsi="Arial" w:cs="Arial"/>
          <w:szCs w:val="22"/>
          <w:lang w:val="es-CO"/>
        </w:rPr>
        <w:t xml:space="preserve">, pero transcurrió el plazo sin que se hiciera, según se dejó sentado en el proveído </w:t>
      </w:r>
      <w:r w:rsidR="00A3098E">
        <w:rPr>
          <w:rFonts w:ascii="Arial" w:hAnsi="Arial" w:cs="Arial"/>
          <w:szCs w:val="22"/>
          <w:lang w:val="es-CO"/>
        </w:rPr>
        <w:t xml:space="preserve">que ahora se cuestiona y fechado </w:t>
      </w:r>
      <w:r w:rsidR="00B32AB0">
        <w:rPr>
          <w:rFonts w:ascii="Arial" w:hAnsi="Arial" w:cs="Arial"/>
          <w:szCs w:val="22"/>
          <w:lang w:val="es-CO"/>
        </w:rPr>
        <w:t xml:space="preserve">13-05-2016 (Folio 20, ídem). </w:t>
      </w:r>
    </w:p>
    <w:p w:rsidR="0002392F" w:rsidRDefault="0002392F" w:rsidP="00C0469A">
      <w:pPr>
        <w:pStyle w:val="Sinespaciado"/>
        <w:spacing w:line="360" w:lineRule="auto"/>
        <w:jc w:val="both"/>
        <w:rPr>
          <w:rFonts w:ascii="Arial" w:hAnsi="Arial" w:cs="Arial"/>
        </w:rPr>
      </w:pPr>
    </w:p>
    <w:p w:rsidR="00CA3121" w:rsidRDefault="00A3098E" w:rsidP="00C0469A">
      <w:pPr>
        <w:pStyle w:val="Sinespaciado"/>
        <w:spacing w:line="360" w:lineRule="auto"/>
        <w:jc w:val="both"/>
        <w:rPr>
          <w:rFonts w:ascii="Arial" w:hAnsi="Arial" w:cs="Arial"/>
          <w:spacing w:val="-3"/>
          <w:szCs w:val="24"/>
        </w:rPr>
      </w:pPr>
      <w:r>
        <w:rPr>
          <w:rFonts w:ascii="Arial" w:hAnsi="Arial" w:cs="Arial"/>
        </w:rPr>
        <w:t xml:space="preserve">Así las cosas, se trata de una decisión diferente a aquella para la que está consagrada la </w:t>
      </w:r>
      <w:r w:rsidR="00812922">
        <w:rPr>
          <w:rFonts w:ascii="Arial" w:hAnsi="Arial" w:cs="Arial"/>
        </w:rPr>
        <w:t xml:space="preserve">impugnación </w:t>
      </w:r>
      <w:r>
        <w:rPr>
          <w:rFonts w:ascii="Arial" w:hAnsi="Arial" w:cs="Arial"/>
        </w:rPr>
        <w:t>y por lo tanto, es improcedente</w:t>
      </w:r>
      <w:r w:rsidR="00C0469A">
        <w:rPr>
          <w:rFonts w:ascii="Arial" w:hAnsi="Arial" w:cs="Arial"/>
        </w:rPr>
        <w:t xml:space="preserve">. Hay que agregar que </w:t>
      </w:r>
      <w:r>
        <w:rPr>
          <w:rFonts w:ascii="Arial" w:hAnsi="Arial" w:cs="Arial"/>
        </w:rPr>
        <w:t xml:space="preserve">esta posición </w:t>
      </w:r>
      <w:r>
        <w:rPr>
          <w:rFonts w:ascii="Arial" w:hAnsi="Arial" w:cs="Arial"/>
          <w:color w:val="000000"/>
          <w:szCs w:val="24"/>
        </w:rPr>
        <w:t>ya fue adoptada en oportunidad anterior por otra Sala de la Especialidad</w:t>
      </w:r>
      <w:r w:rsidR="00C0469A" w:rsidRPr="00883240">
        <w:rPr>
          <w:rStyle w:val="Refdenotaalpie"/>
          <w:rFonts w:ascii="Arial" w:hAnsi="Arial" w:cs="Arial"/>
          <w:spacing w:val="-3"/>
          <w:szCs w:val="24"/>
          <w:lang w:val="es-CO"/>
        </w:rPr>
        <w:footnoteReference w:id="13"/>
      </w:r>
      <w:r w:rsidR="00812922">
        <w:rPr>
          <w:rFonts w:ascii="Arial" w:hAnsi="Arial" w:cs="Arial"/>
          <w:color w:val="000000"/>
          <w:szCs w:val="24"/>
        </w:rPr>
        <w:t>, en caso semejante</w:t>
      </w:r>
      <w:r w:rsidR="00C0469A">
        <w:rPr>
          <w:rFonts w:ascii="Arial" w:hAnsi="Arial" w:cs="Arial"/>
          <w:spacing w:val="-3"/>
          <w:szCs w:val="24"/>
        </w:rPr>
        <w:t>.</w:t>
      </w:r>
      <w:r w:rsidR="00CA3121">
        <w:rPr>
          <w:rFonts w:ascii="Arial" w:hAnsi="Arial" w:cs="Arial"/>
          <w:spacing w:val="-3"/>
          <w:szCs w:val="24"/>
        </w:rPr>
        <w:t xml:space="preserve"> </w:t>
      </w:r>
    </w:p>
    <w:p w:rsidR="00CA3121" w:rsidRDefault="00CA3121" w:rsidP="00C0469A">
      <w:pPr>
        <w:pStyle w:val="Sinespaciado"/>
        <w:spacing w:line="360" w:lineRule="auto"/>
        <w:jc w:val="both"/>
        <w:rPr>
          <w:rFonts w:ascii="Arial" w:hAnsi="Arial" w:cs="Arial"/>
          <w:spacing w:val="-3"/>
          <w:szCs w:val="24"/>
        </w:rPr>
      </w:pPr>
    </w:p>
    <w:p w:rsidR="00C0469A" w:rsidRDefault="00CA3121" w:rsidP="00C0469A">
      <w:pPr>
        <w:pStyle w:val="Sinespaciado"/>
        <w:spacing w:line="360" w:lineRule="auto"/>
        <w:jc w:val="both"/>
        <w:rPr>
          <w:rFonts w:ascii="Arial" w:hAnsi="Arial" w:cs="Arial"/>
        </w:rPr>
      </w:pPr>
      <w:r>
        <w:rPr>
          <w:rFonts w:ascii="Arial" w:hAnsi="Arial" w:cs="Arial"/>
          <w:spacing w:val="-3"/>
          <w:szCs w:val="24"/>
        </w:rPr>
        <w:t xml:space="preserve">No sobra decir, y aunque es un aspecto que no fue expresamente atacado por el impugnante (Folio 21, ib.), que el otro tema mencionado en el auto cuestiona, referente a dejar sin efectos la notificación, tampoco es una decisión que admita apelación, conforme el artículo 351 del CPC. </w:t>
      </w:r>
    </w:p>
    <w:p w:rsidR="00C0469A" w:rsidRPr="005D1B31" w:rsidRDefault="00C0469A" w:rsidP="00C0469A">
      <w:pPr>
        <w:pStyle w:val="Sinespaciado"/>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764410" w:rsidRDefault="001D1A4A" w:rsidP="001D1A4A">
      <w:pPr>
        <w:pStyle w:val="Textoindependiente"/>
        <w:spacing w:line="360" w:lineRule="auto"/>
        <w:ind w:right="51"/>
        <w:rPr>
          <w:rFonts w:ascii="Arial" w:hAnsi="Arial"/>
          <w:szCs w:val="22"/>
          <w:lang w:val="es-CO"/>
        </w:rPr>
      </w:pPr>
    </w:p>
    <w:p w:rsidR="001D1A4A" w:rsidRDefault="001D1A4A" w:rsidP="00575FFF">
      <w:pPr>
        <w:pStyle w:val="Textoindependien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improcedencia, como atrás se dijera.</w:t>
      </w:r>
    </w:p>
    <w:p w:rsidR="00BC2E4F" w:rsidRPr="00575FFF" w:rsidRDefault="00BC2E4F" w:rsidP="00575FFF">
      <w:pPr>
        <w:pStyle w:val="Textoindependiente"/>
        <w:spacing w:line="360" w:lineRule="auto"/>
        <w:rPr>
          <w:rFonts w:ascii="Arial" w:hAnsi="Arial" w:cs="Arial"/>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83733B" w:rsidRDefault="00575FFF" w:rsidP="00575FFF">
      <w:pPr>
        <w:autoSpaceDE w:val="0"/>
        <w:autoSpaceDN w:val="0"/>
        <w:adjustRightInd w:val="0"/>
        <w:spacing w:line="360" w:lineRule="auto"/>
        <w:jc w:val="both"/>
        <w:rPr>
          <w:rFonts w:ascii="Arial" w:hAnsi="Arial" w:cs="Arial"/>
          <w:sz w:val="24"/>
          <w:szCs w:val="24"/>
          <w:lang w:val="es-ES_tradnl"/>
        </w:rPr>
      </w:pPr>
    </w:p>
    <w:p w:rsidR="000F4FD9" w:rsidRPr="0083733B" w:rsidRDefault="000F4FD9" w:rsidP="00310452">
      <w:pPr>
        <w:pStyle w:val="Sinespaciado"/>
        <w:spacing w:line="360" w:lineRule="auto"/>
        <w:jc w:val="center"/>
        <w:rPr>
          <w:rFonts w:ascii="Arial" w:hAnsi="Arial" w:cs="Arial"/>
          <w:szCs w:val="24"/>
        </w:rPr>
      </w:pPr>
      <w:r w:rsidRPr="0083733B">
        <w:rPr>
          <w:rFonts w:ascii="Arial" w:hAnsi="Arial" w:cs="Arial"/>
          <w:szCs w:val="24"/>
        </w:rPr>
        <w:t>R E S U E L V E,</w:t>
      </w:r>
    </w:p>
    <w:p w:rsidR="000F4FD9" w:rsidRPr="0083733B" w:rsidRDefault="000F4FD9" w:rsidP="00310452">
      <w:pPr>
        <w:pStyle w:val="Sinespaciado"/>
        <w:spacing w:line="360" w:lineRule="auto"/>
        <w:jc w:val="center"/>
        <w:rPr>
          <w:rFonts w:ascii="Arial" w:hAnsi="Arial" w:cs="Arial"/>
          <w:szCs w:val="24"/>
        </w:rPr>
      </w:pPr>
    </w:p>
    <w:p w:rsidR="000F4FD9" w:rsidRPr="0083733B" w:rsidRDefault="000F4FD9" w:rsidP="00310452">
      <w:pPr>
        <w:pStyle w:val="Textopredeterminado"/>
        <w:numPr>
          <w:ilvl w:val="0"/>
          <w:numId w:val="2"/>
        </w:numPr>
        <w:spacing w:line="360" w:lineRule="auto"/>
        <w:jc w:val="both"/>
        <w:rPr>
          <w:rFonts w:ascii="Arial" w:hAnsi="Arial" w:cs="Arial"/>
          <w:szCs w:val="24"/>
        </w:rPr>
      </w:pPr>
      <w:r w:rsidRPr="0083733B">
        <w:rPr>
          <w:rFonts w:ascii="Arial" w:hAnsi="Arial" w:cs="Arial"/>
          <w:szCs w:val="24"/>
        </w:rPr>
        <w:t xml:space="preserve">DECLARAR inadmisible el recurso de apelación formulado </w:t>
      </w:r>
      <w:r w:rsidR="00504903" w:rsidRPr="0083733B">
        <w:rPr>
          <w:rFonts w:ascii="Arial" w:hAnsi="Arial" w:cs="Arial"/>
          <w:szCs w:val="24"/>
        </w:rPr>
        <w:t>c</w:t>
      </w:r>
      <w:r w:rsidRPr="0083733B">
        <w:rPr>
          <w:rFonts w:ascii="Arial" w:hAnsi="Arial" w:cs="Arial"/>
          <w:szCs w:val="24"/>
        </w:rPr>
        <w:t xml:space="preserve">ontra </w:t>
      </w:r>
      <w:r w:rsidR="008B5602" w:rsidRPr="0083733B">
        <w:rPr>
          <w:rFonts w:ascii="Arial" w:hAnsi="Arial" w:cs="Arial"/>
          <w:szCs w:val="24"/>
        </w:rPr>
        <w:t xml:space="preserve">el auto del </w:t>
      </w:r>
      <w:r w:rsidR="00C0469A" w:rsidRPr="0083733B">
        <w:rPr>
          <w:rFonts w:ascii="Arial" w:hAnsi="Arial" w:cs="Arial"/>
          <w:szCs w:val="24"/>
        </w:rPr>
        <w:t>13-05</w:t>
      </w:r>
      <w:r w:rsidR="00FA7F1C" w:rsidRPr="0083733B">
        <w:rPr>
          <w:rFonts w:ascii="Arial" w:hAnsi="Arial" w:cs="Arial"/>
          <w:szCs w:val="24"/>
        </w:rPr>
        <w:t>-2016</w:t>
      </w:r>
      <w:r w:rsidRPr="0083733B">
        <w:rPr>
          <w:rFonts w:ascii="Arial" w:hAnsi="Arial" w:cs="Arial"/>
          <w:szCs w:val="24"/>
        </w:rPr>
        <w:t xml:space="preserve">, por falta de </w:t>
      </w:r>
      <w:r w:rsidR="00276AAF" w:rsidRPr="0083733B">
        <w:rPr>
          <w:rFonts w:ascii="Arial" w:hAnsi="Arial" w:cs="Arial"/>
          <w:szCs w:val="24"/>
        </w:rPr>
        <w:t>procedencia</w:t>
      </w:r>
      <w:r w:rsidRPr="0083733B">
        <w:rPr>
          <w:rFonts w:ascii="Arial" w:hAnsi="Arial" w:cs="Arial"/>
          <w:szCs w:val="24"/>
        </w:rPr>
        <w:t>.</w:t>
      </w:r>
    </w:p>
    <w:p w:rsidR="00CF2413" w:rsidRPr="0083733B" w:rsidRDefault="00CF2413" w:rsidP="00CF2413">
      <w:pPr>
        <w:pStyle w:val="Textopredeterminado"/>
        <w:spacing w:line="360" w:lineRule="auto"/>
        <w:ind w:left="360"/>
        <w:jc w:val="both"/>
        <w:rPr>
          <w:rFonts w:ascii="Arial" w:hAnsi="Arial" w:cs="Arial"/>
          <w:szCs w:val="24"/>
        </w:rPr>
      </w:pPr>
    </w:p>
    <w:p w:rsidR="000F4FD9" w:rsidRPr="0083733B" w:rsidRDefault="000F4FD9" w:rsidP="00504903">
      <w:pPr>
        <w:pStyle w:val="Textopredeterminado"/>
        <w:numPr>
          <w:ilvl w:val="0"/>
          <w:numId w:val="2"/>
        </w:numPr>
        <w:spacing w:line="360" w:lineRule="auto"/>
        <w:jc w:val="both"/>
        <w:rPr>
          <w:rFonts w:ascii="Arial" w:hAnsi="Arial" w:cs="Arial"/>
          <w:szCs w:val="24"/>
        </w:rPr>
      </w:pPr>
      <w:r w:rsidRPr="0083733B">
        <w:rPr>
          <w:rFonts w:ascii="Arial" w:hAnsi="Arial" w:cs="Arial"/>
          <w:szCs w:val="24"/>
        </w:rPr>
        <w:t xml:space="preserve">DEVOLVER el expediente al Juzgado </w:t>
      </w:r>
      <w:r w:rsidR="00C0469A" w:rsidRPr="0083733B">
        <w:rPr>
          <w:rFonts w:ascii="Arial" w:hAnsi="Arial" w:cs="Arial"/>
          <w:szCs w:val="24"/>
        </w:rPr>
        <w:t xml:space="preserve">Primero </w:t>
      </w:r>
      <w:r w:rsidR="000B0522" w:rsidRPr="0083733B">
        <w:rPr>
          <w:rFonts w:ascii="Arial" w:hAnsi="Arial" w:cs="Arial"/>
          <w:szCs w:val="24"/>
        </w:rPr>
        <w:t xml:space="preserve">Civil </w:t>
      </w:r>
      <w:r w:rsidR="00504903" w:rsidRPr="0083733B">
        <w:rPr>
          <w:rFonts w:ascii="Arial" w:hAnsi="Arial" w:cs="Arial"/>
          <w:szCs w:val="24"/>
        </w:rPr>
        <w:t xml:space="preserve">del Circuito de </w:t>
      </w:r>
      <w:r w:rsidR="00FB3A23" w:rsidRPr="0083733B">
        <w:rPr>
          <w:rFonts w:ascii="Arial" w:hAnsi="Arial" w:cs="Arial"/>
          <w:szCs w:val="24"/>
        </w:rPr>
        <w:t>esta ciudad</w:t>
      </w:r>
      <w:r w:rsidRPr="0083733B">
        <w:rPr>
          <w:rFonts w:ascii="Arial" w:hAnsi="Arial" w:cs="Arial"/>
          <w:szCs w:val="24"/>
        </w:rPr>
        <w:t>.</w:t>
      </w:r>
    </w:p>
    <w:p w:rsidR="0049796A" w:rsidRPr="0083733B" w:rsidRDefault="0049796A" w:rsidP="00D25B7E">
      <w:pPr>
        <w:pStyle w:val="Textopredeterminado"/>
        <w:spacing w:line="360" w:lineRule="auto"/>
        <w:ind w:left="360"/>
        <w:jc w:val="both"/>
        <w:rPr>
          <w:rFonts w:ascii="Arial" w:hAnsi="Arial" w:cs="Arial"/>
          <w:szCs w:val="24"/>
        </w:rPr>
      </w:pPr>
    </w:p>
    <w:p w:rsidR="00BC2E4F" w:rsidRPr="0083733B" w:rsidRDefault="00BC2E4F" w:rsidP="00BC2E4F">
      <w:pPr>
        <w:pStyle w:val="Textopredeterminado"/>
        <w:numPr>
          <w:ilvl w:val="0"/>
          <w:numId w:val="2"/>
        </w:numPr>
        <w:spacing w:line="360" w:lineRule="auto"/>
        <w:jc w:val="both"/>
        <w:rPr>
          <w:rFonts w:ascii="Arial" w:hAnsi="Arial" w:cs="Arial"/>
          <w:szCs w:val="24"/>
        </w:rPr>
      </w:pPr>
      <w:r w:rsidRPr="0083733B">
        <w:rPr>
          <w:rFonts w:ascii="Arial" w:hAnsi="Arial" w:cs="Arial"/>
          <w:szCs w:val="24"/>
        </w:rPr>
        <w:t>ADVERTIR que contra esta providencia no procede recurso alguno.</w:t>
      </w:r>
    </w:p>
    <w:p w:rsidR="00BC2E4F" w:rsidRPr="0083733B" w:rsidRDefault="00BC2E4F" w:rsidP="00D25B7E">
      <w:pPr>
        <w:pStyle w:val="Textopredeterminado"/>
        <w:spacing w:line="360" w:lineRule="auto"/>
        <w:ind w:left="360"/>
        <w:jc w:val="both"/>
        <w:rPr>
          <w:rFonts w:ascii="Arial" w:hAnsi="Arial" w:cs="Arial"/>
          <w:szCs w:val="24"/>
        </w:rPr>
      </w:pPr>
    </w:p>
    <w:p w:rsidR="000F4FD9" w:rsidRPr="0083733B" w:rsidRDefault="000F4FD9" w:rsidP="00310452">
      <w:pPr>
        <w:pStyle w:val="Textopredeterminado"/>
        <w:spacing w:line="360" w:lineRule="auto"/>
        <w:jc w:val="center"/>
        <w:rPr>
          <w:rFonts w:ascii="Arial" w:hAnsi="Arial" w:cs="Arial"/>
          <w:sz w:val="28"/>
          <w:szCs w:val="24"/>
          <w:lang w:val="en-US"/>
        </w:rPr>
      </w:pPr>
      <w:proofErr w:type="spellStart"/>
      <w:r w:rsidRPr="0083733B">
        <w:rPr>
          <w:rFonts w:ascii="Arial" w:hAnsi="Arial" w:cs="Arial"/>
          <w:smallCaps/>
          <w:sz w:val="28"/>
          <w:szCs w:val="24"/>
          <w:lang w:val="en-US"/>
        </w:rPr>
        <w:t>Notifíquese</w:t>
      </w:r>
      <w:proofErr w:type="spellEnd"/>
      <w:r w:rsidRPr="0083733B">
        <w:rPr>
          <w:rFonts w:ascii="Arial" w:hAnsi="Arial" w:cs="Arial"/>
          <w:smallCaps/>
          <w:sz w:val="28"/>
          <w:szCs w:val="24"/>
          <w:lang w:val="en-US"/>
        </w:rPr>
        <w:t>,</w:t>
      </w:r>
    </w:p>
    <w:p w:rsidR="000F4FD9" w:rsidRPr="0083733B" w:rsidRDefault="000F4FD9" w:rsidP="002E11FF">
      <w:pPr>
        <w:pStyle w:val="Sinespaciado"/>
        <w:spacing w:line="360" w:lineRule="auto"/>
        <w:jc w:val="center"/>
        <w:rPr>
          <w:rFonts w:ascii="Arial" w:hAnsi="Arial" w:cs="Arial"/>
          <w:spacing w:val="20"/>
          <w:w w:val="150"/>
          <w:sz w:val="28"/>
          <w:szCs w:val="24"/>
          <w:lang w:val="en-US"/>
        </w:rPr>
      </w:pPr>
    </w:p>
    <w:p w:rsidR="0021526B" w:rsidRPr="0083733B" w:rsidRDefault="0021526B" w:rsidP="00310452">
      <w:pPr>
        <w:pStyle w:val="Textopredeterminado"/>
        <w:spacing w:line="360" w:lineRule="auto"/>
        <w:jc w:val="center"/>
        <w:rPr>
          <w:rFonts w:ascii="Arial" w:hAnsi="Arial" w:cs="Arial"/>
          <w:caps/>
          <w:spacing w:val="20"/>
          <w:w w:val="150"/>
          <w:sz w:val="28"/>
          <w:szCs w:val="24"/>
          <w:lang w:val="en-US"/>
        </w:rPr>
      </w:pPr>
    </w:p>
    <w:p w:rsidR="000F4FD9" w:rsidRPr="0083733B" w:rsidRDefault="000F4FD9" w:rsidP="00310452">
      <w:pPr>
        <w:pStyle w:val="Textopredeterminado"/>
        <w:spacing w:line="360" w:lineRule="auto"/>
        <w:jc w:val="center"/>
        <w:rPr>
          <w:rFonts w:ascii="Arial" w:hAnsi="Arial" w:cs="Arial"/>
          <w:caps/>
          <w:spacing w:val="20"/>
          <w:w w:val="150"/>
          <w:lang w:val="en-US"/>
        </w:rPr>
      </w:pPr>
      <w:r w:rsidRPr="0083733B">
        <w:rPr>
          <w:rFonts w:ascii="Arial" w:hAnsi="Arial" w:cs="Arial"/>
          <w:caps/>
          <w:spacing w:val="20"/>
          <w:w w:val="150"/>
          <w:sz w:val="32"/>
          <w:lang w:val="en-US"/>
        </w:rPr>
        <w:t xml:space="preserve"> D</w:t>
      </w:r>
      <w:r w:rsidRPr="0083733B">
        <w:rPr>
          <w:rFonts w:ascii="Arial" w:hAnsi="Arial" w:cs="Arial"/>
          <w:caps/>
          <w:spacing w:val="20"/>
          <w:w w:val="150"/>
          <w:sz w:val="20"/>
          <w:lang w:val="en-US"/>
        </w:rPr>
        <w:t xml:space="preserve">UBERNEY </w:t>
      </w:r>
      <w:r w:rsidRPr="0083733B">
        <w:rPr>
          <w:rFonts w:ascii="Arial" w:hAnsi="Arial" w:cs="Arial"/>
          <w:caps/>
          <w:spacing w:val="20"/>
          <w:w w:val="150"/>
          <w:sz w:val="32"/>
          <w:lang w:val="en-US"/>
        </w:rPr>
        <w:t>G</w:t>
      </w:r>
      <w:r w:rsidRPr="0083733B">
        <w:rPr>
          <w:rFonts w:ascii="Arial" w:hAnsi="Arial" w:cs="Arial"/>
          <w:caps/>
          <w:spacing w:val="20"/>
          <w:w w:val="150"/>
          <w:sz w:val="20"/>
          <w:lang w:val="en-US"/>
        </w:rPr>
        <w:t xml:space="preserve">RISALES </w:t>
      </w:r>
      <w:r w:rsidRPr="0083733B">
        <w:rPr>
          <w:rFonts w:ascii="Arial" w:hAnsi="Arial" w:cs="Arial"/>
          <w:caps/>
          <w:spacing w:val="20"/>
          <w:w w:val="150"/>
          <w:sz w:val="32"/>
          <w:lang w:val="en-US"/>
        </w:rPr>
        <w:t>H</w:t>
      </w:r>
      <w:r w:rsidRPr="0083733B">
        <w:rPr>
          <w:rFonts w:ascii="Arial" w:hAnsi="Arial" w:cs="Arial"/>
          <w:caps/>
          <w:spacing w:val="20"/>
          <w:w w:val="150"/>
          <w:sz w:val="20"/>
          <w:lang w:val="en-US"/>
        </w:rPr>
        <w:t>ERRERA</w:t>
      </w:r>
    </w:p>
    <w:p w:rsidR="00504903" w:rsidRPr="0083733B" w:rsidRDefault="000F4FD9" w:rsidP="00F76CAD">
      <w:pPr>
        <w:spacing w:line="360" w:lineRule="auto"/>
        <w:jc w:val="center"/>
        <w:rPr>
          <w:rFonts w:ascii="Arial" w:hAnsi="Arial" w:cs="Arial"/>
          <w:sz w:val="16"/>
          <w:szCs w:val="12"/>
          <w:lang w:val="en-US"/>
        </w:rPr>
      </w:pPr>
      <w:r w:rsidRPr="0083733B">
        <w:rPr>
          <w:rFonts w:ascii="Arial" w:hAnsi="Arial" w:cs="Arial"/>
          <w:caps/>
          <w:spacing w:val="20"/>
          <w:w w:val="150"/>
          <w:sz w:val="24"/>
          <w:lang w:val="en-US"/>
        </w:rPr>
        <w:t xml:space="preserve">M </w:t>
      </w:r>
      <w:r w:rsidRPr="0083733B">
        <w:rPr>
          <w:rFonts w:ascii="Arial" w:hAnsi="Arial" w:cs="Arial"/>
          <w:caps/>
          <w:spacing w:val="20"/>
          <w:w w:val="150"/>
          <w:lang w:val="en-US"/>
        </w:rPr>
        <w:t>A G I S T R A D O</w:t>
      </w:r>
      <w:r w:rsidR="00F76CAD" w:rsidRPr="0083733B">
        <w:rPr>
          <w:rFonts w:ascii="Arial" w:hAnsi="Arial" w:cs="Arial"/>
          <w:caps/>
          <w:spacing w:val="20"/>
          <w:w w:val="150"/>
          <w:lang w:val="en-US"/>
        </w:rPr>
        <w:t xml:space="preserve"> </w:t>
      </w:r>
    </w:p>
    <w:p w:rsidR="00B7680C" w:rsidRDefault="00B7680C" w:rsidP="00B7680C">
      <w:pPr>
        <w:pStyle w:val="Sinespaciado"/>
        <w:spacing w:line="360" w:lineRule="auto"/>
        <w:jc w:val="right"/>
        <w:rPr>
          <w:rFonts w:ascii="Arial" w:hAnsi="Arial" w:cs="Arial"/>
          <w:spacing w:val="20"/>
          <w:w w:val="150"/>
          <w:lang w:val="en-US"/>
        </w:rPr>
      </w:pPr>
      <w:r w:rsidRPr="00F10094">
        <w:rPr>
          <w:rFonts w:ascii="Arial" w:hAnsi="Arial" w:cs="Arial"/>
          <w:sz w:val="12"/>
          <w:szCs w:val="12"/>
          <w:lang w:val="en-US"/>
        </w:rPr>
        <w:t>DGH /</w:t>
      </w:r>
      <w:r>
        <w:rPr>
          <w:rFonts w:ascii="Arial" w:hAnsi="Arial" w:cs="Arial"/>
          <w:sz w:val="12"/>
          <w:szCs w:val="12"/>
          <w:lang w:val="en-US"/>
        </w:rPr>
        <w:t>DGD/</w:t>
      </w:r>
      <w:r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83733B" w:rsidP="00147B6F">
      <w:pPr>
        <w:pStyle w:val="Sinespaciado"/>
        <w:spacing w:line="360" w:lineRule="auto"/>
        <w:ind w:firstLine="708"/>
        <w:jc w:val="right"/>
        <w:rPr>
          <w:rFonts w:ascii="Arial" w:hAnsi="Arial" w:cs="Arial"/>
          <w:sz w:val="12"/>
          <w:szCs w:val="16"/>
          <w:lang w:val="en-US"/>
        </w:rPr>
      </w:pPr>
      <w:r w:rsidRPr="006A1BB2">
        <w:rPr>
          <w:noProof/>
        </w:rPr>
        <mc:AlternateContent>
          <mc:Choice Requires="wps">
            <w:drawing>
              <wp:anchor distT="0" distB="0" distL="114300" distR="114300" simplePos="0" relativeHeight="251660288" behindDoc="0" locked="0" layoutInCell="1" allowOverlap="1" wp14:anchorId="325A3289" wp14:editId="49517415">
                <wp:simplePos x="0" y="0"/>
                <wp:positionH relativeFrom="margin">
                  <wp:posOffset>1877272</wp:posOffset>
                </wp:positionH>
                <wp:positionV relativeFrom="paragraph">
                  <wp:posOffset>181398</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3289" id="Rectangle 7" o:spid="_x0000_s1026" style="position:absolute;left:0;text-align:left;margin-left:147.8pt;margin-top:14.3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p>
    <w:sectPr w:rsidR="000F4FD9" w:rsidSect="002E0779">
      <w:headerReference w:type="default" r:id="rId9"/>
      <w:footerReference w:type="default" r:id="rId10"/>
      <w:pgSz w:w="12242" w:h="18722" w:code="121"/>
      <w:pgMar w:top="1134" w:right="1134" w:bottom="1134" w:left="1418" w:header="284"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7C" w:rsidRDefault="0031107C" w:rsidP="00934BB4">
      <w:r>
        <w:separator/>
      </w:r>
    </w:p>
  </w:endnote>
  <w:endnote w:type="continuationSeparator" w:id="0">
    <w:p w:rsidR="0031107C" w:rsidRDefault="0031107C"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7C" w:rsidRDefault="0031107C" w:rsidP="00934BB4">
      <w:r>
        <w:separator/>
      </w:r>
    </w:p>
  </w:footnote>
  <w:footnote w:type="continuationSeparator" w:id="0">
    <w:p w:rsidR="0031107C" w:rsidRDefault="0031107C" w:rsidP="00934BB4">
      <w:r>
        <w:continuationSeparator/>
      </w:r>
    </w:p>
  </w:footnote>
  <w:footnote w:id="1">
    <w:p w:rsidR="00DC20E9" w:rsidRPr="00932873" w:rsidRDefault="00DC20E9" w:rsidP="00DC20E9">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LÓPEZ BLANCO, Hernán Fabio. Procedimiento civil colombiano, parte general, 2012, 11ª edición, </w:t>
      </w:r>
      <w:proofErr w:type="spellStart"/>
      <w:r w:rsidRPr="00932873">
        <w:rPr>
          <w:rFonts w:asciiTheme="minorHAnsi" w:hAnsiTheme="minorHAnsi" w:cs="Calibri"/>
        </w:rPr>
        <w:t>Dupré</w:t>
      </w:r>
      <w:proofErr w:type="spellEnd"/>
      <w:r w:rsidRPr="00932873">
        <w:rPr>
          <w:rFonts w:asciiTheme="minorHAnsi" w:hAnsiTheme="minorHAnsi" w:cs="Calibri"/>
        </w:rPr>
        <w:t xml:space="preserve"> Editores, p.765.</w:t>
      </w:r>
    </w:p>
  </w:footnote>
  <w:footnote w:id="2">
    <w:p w:rsidR="00DC20E9" w:rsidRPr="00932873" w:rsidRDefault="00DC20E9" w:rsidP="00DC20E9">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PARRA QUIJANO, Jairo. Derecho procesal civil, tomo I, Santafé de Bogotá D.C., Temis, 1992, p.276.</w:t>
      </w:r>
    </w:p>
  </w:footnote>
  <w:footnote w:id="3">
    <w:p w:rsidR="00DC20E9" w:rsidRPr="00932873" w:rsidRDefault="00DC20E9" w:rsidP="00DC20E9">
      <w:pPr>
        <w:pStyle w:val="Sinespaciado"/>
        <w:jc w:val="both"/>
        <w:rPr>
          <w:rFonts w:asciiTheme="minorHAnsi" w:hAnsiTheme="minorHAnsi"/>
        </w:rPr>
      </w:pPr>
      <w:r w:rsidRPr="00932873">
        <w:rPr>
          <w:rFonts w:asciiTheme="minorHAnsi" w:hAnsiTheme="minorHAnsi" w:cs="Calibri"/>
          <w:sz w:val="20"/>
          <w:vertAlign w:val="superscript"/>
        </w:rPr>
        <w:footnoteRef/>
      </w:r>
      <w:r w:rsidRPr="00932873">
        <w:rPr>
          <w:rFonts w:asciiTheme="minorHAnsi" w:hAnsiTheme="minorHAnsi" w:cs="Calibri"/>
          <w:sz w:val="20"/>
        </w:rPr>
        <w:t xml:space="preserve"> LÓPEZ BLANCO, Hernán Fabio. Ob. Cit., p.746. </w:t>
      </w:r>
    </w:p>
  </w:footnote>
  <w:footnote w:id="4">
    <w:p w:rsidR="00DC20E9" w:rsidRPr="00932873" w:rsidRDefault="00DC20E9" w:rsidP="00DC20E9">
      <w:pPr>
        <w:pStyle w:val="Textonotapie"/>
        <w:jc w:val="both"/>
        <w:rPr>
          <w:rFonts w:asciiTheme="minorHAnsi" w:hAnsiTheme="minorHAnsi" w:cs="Calibri"/>
          <w:lang w:val="es-CO"/>
        </w:rPr>
      </w:pPr>
      <w:r w:rsidRPr="00932873">
        <w:rPr>
          <w:rStyle w:val="Refdenotaalpie"/>
          <w:rFonts w:asciiTheme="minorHAnsi" w:hAnsiTheme="minorHAnsi" w:cs="Calibri"/>
        </w:rPr>
        <w:footnoteRef/>
      </w:r>
      <w:r w:rsidRPr="00932873">
        <w:rPr>
          <w:rFonts w:asciiTheme="minorHAnsi" w:hAnsiTheme="minorHAnsi"/>
        </w:rPr>
        <w:t xml:space="preserve"> </w:t>
      </w:r>
      <w:r w:rsidRPr="00932873">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812922" w:rsidRPr="004A043E" w:rsidRDefault="00812922" w:rsidP="00812922">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CSJ</w:t>
      </w:r>
      <w:r>
        <w:rPr>
          <w:rFonts w:asciiTheme="minorHAnsi" w:hAnsiTheme="minorHAnsi"/>
          <w:lang w:val="es-CO"/>
        </w:rPr>
        <w:t>,</w:t>
      </w:r>
      <w:r w:rsidRPr="004A043E">
        <w:rPr>
          <w:rFonts w:asciiTheme="minorHAnsi" w:hAnsiTheme="minorHAnsi"/>
          <w:lang w:val="es-CO"/>
        </w:rPr>
        <w:t xml:space="preserve"> </w:t>
      </w:r>
      <w:r w:rsidRPr="00717C18">
        <w:rPr>
          <w:rFonts w:asciiTheme="minorHAnsi" w:hAnsiTheme="minorHAnsi"/>
          <w:lang w:val="es-CO"/>
        </w:rPr>
        <w:t>Civil.</w:t>
      </w:r>
      <w:r>
        <w:rPr>
          <w:rFonts w:asciiTheme="minorHAnsi" w:hAnsiTheme="minorHAnsi"/>
          <w:lang w:val="es-CO"/>
        </w:rPr>
        <w:t xml:space="preserve"> </w:t>
      </w:r>
      <w:r w:rsidRPr="004A043E">
        <w:rPr>
          <w:rFonts w:asciiTheme="minorHAnsi" w:hAnsiTheme="minorHAnsi"/>
          <w:lang w:val="es-CO"/>
        </w:rPr>
        <w:t xml:space="preserve">Sentencia del 17-09-1992; MP: Alberto Ospina Botero,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núm.251,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6">
    <w:p w:rsidR="00DC20E9" w:rsidRPr="00686829" w:rsidRDefault="00DC20E9" w:rsidP="00DC20E9">
      <w:pPr>
        <w:pStyle w:val="Textonotapie"/>
        <w:rPr>
          <w:lang w:val="es-CO"/>
        </w:rPr>
      </w:pPr>
      <w:r>
        <w:rPr>
          <w:rStyle w:val="Refdenotaalpie"/>
        </w:rPr>
        <w:footnoteRef/>
      </w:r>
      <w:r>
        <w:t xml:space="preserve"> </w:t>
      </w:r>
      <w:r w:rsidRPr="00717C18">
        <w:rPr>
          <w:rFonts w:asciiTheme="minorHAnsi" w:hAnsiTheme="minorHAnsi"/>
          <w:lang w:val="es-CO"/>
        </w:rPr>
        <w:t>CSJ, Civil.  Providencia STC5</w:t>
      </w:r>
      <w:r>
        <w:rPr>
          <w:rFonts w:asciiTheme="minorHAnsi" w:hAnsiTheme="minorHAnsi"/>
          <w:lang w:val="es-CO"/>
        </w:rPr>
        <w:t>273</w:t>
      </w:r>
      <w:r w:rsidRPr="00717C18">
        <w:rPr>
          <w:rFonts w:asciiTheme="minorHAnsi" w:hAnsiTheme="minorHAnsi"/>
          <w:lang w:val="es-CO"/>
        </w:rPr>
        <w:t xml:space="preserve">-2016, MP: </w:t>
      </w:r>
      <w:r>
        <w:rPr>
          <w:rFonts w:asciiTheme="minorHAnsi" w:hAnsiTheme="minorHAnsi"/>
          <w:lang w:val="es-CO"/>
        </w:rPr>
        <w:t>Ariel Salazar Ramírez.</w:t>
      </w:r>
    </w:p>
  </w:footnote>
  <w:footnote w:id="7">
    <w:p w:rsidR="00073C11" w:rsidRPr="004A043E" w:rsidRDefault="00073C11"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CC.  Sentencia C-153 de 1995.</w:t>
      </w:r>
    </w:p>
  </w:footnote>
  <w:footnote w:id="8">
    <w:p w:rsidR="00F601E9" w:rsidRPr="004A043E" w:rsidRDefault="00F601E9"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CC.  Sentencia C-</w:t>
      </w:r>
      <w:r w:rsidR="008E29B6">
        <w:rPr>
          <w:rFonts w:asciiTheme="minorHAnsi" w:hAnsiTheme="minorHAnsi"/>
          <w:lang w:val="es-CO"/>
        </w:rPr>
        <w:t>337</w:t>
      </w:r>
      <w:r w:rsidRPr="004A043E">
        <w:rPr>
          <w:rFonts w:asciiTheme="minorHAnsi" w:hAnsiTheme="minorHAnsi"/>
          <w:lang w:val="es-CO"/>
        </w:rPr>
        <w:t xml:space="preserve"> de 201</w:t>
      </w:r>
      <w:r w:rsidR="005D6D82" w:rsidRPr="004A043E">
        <w:rPr>
          <w:rFonts w:asciiTheme="minorHAnsi" w:hAnsiTheme="minorHAnsi"/>
          <w:lang w:val="es-CO"/>
        </w:rPr>
        <w:t>6</w:t>
      </w:r>
      <w:r w:rsidRPr="004A043E">
        <w:rPr>
          <w:rFonts w:asciiTheme="minorHAnsi" w:hAnsiTheme="minorHAnsi"/>
          <w:lang w:val="es-CO"/>
        </w:rPr>
        <w:t>.</w:t>
      </w:r>
    </w:p>
  </w:footnote>
  <w:footnote w:id="9">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ROJAS GÓMEZ, Miguel Enrique. El proceso civil colombiano, parte general, Universidad Externado de Colombia, 1999, Bogotá D.C., p.260.</w:t>
      </w:r>
    </w:p>
  </w:footnote>
  <w:footnote w:id="10">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DEVIS ECHANDÍA, Hernando. El proceso civil, parte general, 1990, Bogotá DC, </w:t>
      </w:r>
      <w:proofErr w:type="spellStart"/>
      <w:r w:rsidRPr="00CE69D3">
        <w:rPr>
          <w:rFonts w:asciiTheme="minorHAnsi" w:hAnsiTheme="minorHAnsi" w:cstheme="minorHAnsi"/>
        </w:rPr>
        <w:t>Diké</w:t>
      </w:r>
      <w:proofErr w:type="spellEnd"/>
      <w:r w:rsidRPr="00CE69D3">
        <w:rPr>
          <w:rFonts w:asciiTheme="minorHAnsi" w:hAnsiTheme="minorHAnsi" w:cstheme="minorHAnsi"/>
        </w:rPr>
        <w:t>, p.341.</w:t>
      </w:r>
    </w:p>
  </w:footnote>
  <w:footnote w:id="11">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r w:rsidR="004A043E" w:rsidRPr="00CE69D3">
        <w:rPr>
          <w:rFonts w:asciiTheme="minorHAnsi" w:hAnsiTheme="minorHAnsi" w:cstheme="minorHAnsi"/>
          <w:lang w:val="es-CO"/>
        </w:rPr>
        <w:t xml:space="preserve">LÓPEZ BLANCO, Hernán Fabio. </w:t>
      </w:r>
      <w:r w:rsidR="004A043E" w:rsidRPr="00CE69D3">
        <w:rPr>
          <w:rFonts w:asciiTheme="minorHAnsi" w:hAnsiTheme="minorHAnsi" w:cstheme="minorHAnsi"/>
        </w:rPr>
        <w:t>Ob. cit.,</w:t>
      </w:r>
      <w:r w:rsidRPr="00CE69D3">
        <w:rPr>
          <w:rFonts w:asciiTheme="minorHAnsi" w:hAnsiTheme="minorHAnsi" w:cstheme="minorHAnsi"/>
        </w:rPr>
        <w:t xml:space="preserve"> p.7</w:t>
      </w:r>
      <w:r w:rsidR="00A16A37" w:rsidRPr="00CE69D3">
        <w:rPr>
          <w:rFonts w:asciiTheme="minorHAnsi" w:hAnsiTheme="minorHAnsi" w:cstheme="minorHAnsi"/>
        </w:rPr>
        <w:t>92</w:t>
      </w:r>
      <w:r w:rsidRPr="00CE69D3">
        <w:rPr>
          <w:rFonts w:asciiTheme="minorHAnsi" w:hAnsiTheme="minorHAnsi" w:cstheme="minorHAnsi"/>
        </w:rPr>
        <w:t>.</w:t>
      </w:r>
    </w:p>
  </w:footnote>
  <w:footnote w:id="12">
    <w:p w:rsidR="00073C11" w:rsidRPr="00CE69D3" w:rsidRDefault="00073C11" w:rsidP="00CE69D3">
      <w:pPr>
        <w:pStyle w:val="Textonotapie"/>
        <w:jc w:val="both"/>
        <w:rPr>
          <w:rFonts w:asciiTheme="minorHAnsi" w:hAnsiTheme="minorHAnsi" w:cstheme="minorHAnsi"/>
        </w:rPr>
      </w:pPr>
      <w:r w:rsidRPr="00CE69D3">
        <w:rPr>
          <w:rFonts w:asciiTheme="minorHAnsi" w:hAnsiTheme="minorHAnsi" w:cstheme="minorHAnsi"/>
          <w:vertAlign w:val="superscript"/>
        </w:rPr>
        <w:footnoteRef/>
      </w:r>
      <w:r w:rsidRPr="00CE69D3">
        <w:rPr>
          <w:rFonts w:asciiTheme="minorHAnsi" w:hAnsiTheme="minorHAnsi" w:cstheme="minorHAnsi"/>
        </w:rPr>
        <w:t xml:space="preserve"> </w:t>
      </w:r>
      <w:r w:rsidRPr="00CE69D3">
        <w:rPr>
          <w:rFonts w:asciiTheme="minorHAnsi" w:hAnsiTheme="minorHAnsi" w:cstheme="minorHAnsi"/>
          <w:lang w:val="es-CO"/>
        </w:rPr>
        <w:t>CSJ, Civil.  Providencia del 29-02-2008, MP: Edgardo Villamil Portilla.</w:t>
      </w:r>
    </w:p>
  </w:footnote>
  <w:footnote w:id="13">
    <w:p w:rsidR="00C0469A" w:rsidRPr="0063543E" w:rsidRDefault="00C0469A" w:rsidP="00C0469A">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rPr>
        <w:t xml:space="preserve"> </w:t>
      </w:r>
      <w:r w:rsidRPr="0063543E">
        <w:rPr>
          <w:rFonts w:asciiTheme="minorHAnsi" w:hAnsiTheme="minorHAnsi" w:cs="Calibri"/>
          <w:lang w:val="es-CO"/>
        </w:rPr>
        <w:t>TSP</w:t>
      </w:r>
      <w:r w:rsidR="0083733B">
        <w:rPr>
          <w:rFonts w:asciiTheme="minorHAnsi" w:hAnsiTheme="minorHAnsi" w:cs="Calibri"/>
          <w:lang w:val="es-CO"/>
        </w:rPr>
        <w:t>,</w:t>
      </w:r>
      <w:r w:rsidRPr="0063543E">
        <w:rPr>
          <w:rFonts w:asciiTheme="minorHAnsi" w:hAnsiTheme="minorHAnsi" w:cs="Calibri"/>
          <w:lang w:val="es-CO"/>
        </w:rPr>
        <w:t xml:space="preserve"> Sala Civil – Familia. </w:t>
      </w:r>
      <w:r w:rsidR="0083733B">
        <w:rPr>
          <w:rFonts w:asciiTheme="minorHAnsi" w:hAnsiTheme="minorHAnsi" w:cs="Calibri"/>
          <w:lang w:val="es-CO"/>
        </w:rPr>
        <w:t>Auto de</w:t>
      </w:r>
      <w:r w:rsidRPr="0063543E">
        <w:rPr>
          <w:rFonts w:asciiTheme="minorHAnsi" w:hAnsiTheme="minorHAnsi" w:cs="Calibri"/>
          <w:lang w:val="es-CO"/>
        </w:rPr>
        <w:t>l</w:t>
      </w:r>
      <w:r w:rsidRPr="0063543E">
        <w:rPr>
          <w:rFonts w:asciiTheme="minorHAnsi" w:hAnsiTheme="minorHAnsi" w:cs="Calibri"/>
        </w:rPr>
        <w:t xml:space="preserve"> </w:t>
      </w:r>
      <w:r w:rsidR="0083733B">
        <w:rPr>
          <w:rFonts w:asciiTheme="minorHAnsi" w:hAnsiTheme="minorHAnsi" w:cs="Calibri"/>
        </w:rPr>
        <w:t>13-05-2011</w:t>
      </w:r>
      <w:r w:rsidRPr="0063543E">
        <w:rPr>
          <w:rFonts w:asciiTheme="minorHAnsi" w:hAnsiTheme="minorHAnsi" w:cs="Calibri"/>
        </w:rPr>
        <w:t>; M</w:t>
      </w:r>
      <w:r w:rsidR="0083733B">
        <w:rPr>
          <w:rFonts w:asciiTheme="minorHAnsi" w:hAnsiTheme="minorHAnsi" w:cs="Calibri"/>
        </w:rPr>
        <w:t>S</w:t>
      </w:r>
      <w:r w:rsidRPr="0063543E">
        <w:rPr>
          <w:rFonts w:asciiTheme="minorHAnsi" w:hAnsiTheme="minorHAnsi" w:cs="Calibri"/>
        </w:rPr>
        <w:t xml:space="preserve">: </w:t>
      </w:r>
      <w:r w:rsidR="0083733B">
        <w:rPr>
          <w:rFonts w:asciiTheme="minorHAnsi" w:hAnsiTheme="minorHAnsi" w:cs="Calibri"/>
        </w:rPr>
        <w:t>Jaime Alberto Saraza Naranjo</w:t>
      </w:r>
      <w:r w:rsidRPr="0063543E">
        <w:rPr>
          <w:rFonts w:asciiTheme="minorHAnsi" w:hAnsiTheme="minorHAnsi" w:cs="Calibri"/>
        </w:rPr>
        <w:t>, expediente No.20</w:t>
      </w:r>
      <w:r w:rsidR="0083733B">
        <w:rPr>
          <w:rFonts w:asciiTheme="minorHAnsi" w:hAnsiTheme="minorHAnsi" w:cs="Calibri"/>
        </w:rPr>
        <w:t>09</w:t>
      </w:r>
      <w:r w:rsidRPr="0063543E">
        <w:rPr>
          <w:rFonts w:asciiTheme="minorHAnsi" w:hAnsiTheme="minorHAnsi" w:cs="Calibri"/>
        </w:rPr>
        <w:t>-00</w:t>
      </w:r>
      <w:r w:rsidR="0083733B">
        <w:rPr>
          <w:rFonts w:asciiTheme="minorHAnsi" w:hAnsiTheme="minorHAnsi" w:cs="Calibri"/>
        </w:rPr>
        <w:t>410-</w:t>
      </w:r>
      <w:r w:rsidRPr="0063543E">
        <w:rPr>
          <w:rFonts w:asciiTheme="minorHAnsi" w:hAnsiTheme="minorHAnsi" w:cs="Calibri"/>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743DB6" w:rsidRPr="00743DB6">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86554E">
      <w:rPr>
        <w:rFonts w:ascii="Calibri" w:hAnsi="Calibri" w:cs="Calibri"/>
        <w:i/>
      </w:rPr>
      <w:t>4</w:t>
    </w:r>
    <w:r w:rsidRPr="006F2303">
      <w:rPr>
        <w:rFonts w:ascii="Calibri" w:hAnsi="Calibri" w:cs="Calibri"/>
        <w:i/>
      </w:rPr>
      <w:t>-00</w:t>
    </w:r>
    <w:r w:rsidR="0086554E">
      <w:rPr>
        <w:rFonts w:ascii="Calibri" w:hAnsi="Calibri" w:cs="Calibri"/>
        <w:i/>
      </w:rPr>
      <w:t>156</w:t>
    </w:r>
    <w:r w:rsidRPr="006F2303">
      <w:rPr>
        <w:rFonts w:ascii="Calibri" w:hAnsi="Calibri" w:cs="Calibri"/>
        <w:i/>
      </w:rPr>
      <w:t>-01 LLRR</w:t>
    </w:r>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5CC9"/>
    <w:rsid w:val="00012F15"/>
    <w:rsid w:val="00013811"/>
    <w:rsid w:val="00013CC8"/>
    <w:rsid w:val="0001641A"/>
    <w:rsid w:val="0002124C"/>
    <w:rsid w:val="0002392F"/>
    <w:rsid w:val="00024513"/>
    <w:rsid w:val="00024962"/>
    <w:rsid w:val="00025385"/>
    <w:rsid w:val="000257D4"/>
    <w:rsid w:val="00026A0B"/>
    <w:rsid w:val="00026DE0"/>
    <w:rsid w:val="00027D12"/>
    <w:rsid w:val="00027D62"/>
    <w:rsid w:val="00030F6B"/>
    <w:rsid w:val="00031597"/>
    <w:rsid w:val="00032170"/>
    <w:rsid w:val="000335D9"/>
    <w:rsid w:val="00033C34"/>
    <w:rsid w:val="00035895"/>
    <w:rsid w:val="000378CE"/>
    <w:rsid w:val="0004057A"/>
    <w:rsid w:val="00041035"/>
    <w:rsid w:val="000426DF"/>
    <w:rsid w:val="00045583"/>
    <w:rsid w:val="000539EE"/>
    <w:rsid w:val="000557CF"/>
    <w:rsid w:val="000602F3"/>
    <w:rsid w:val="00064928"/>
    <w:rsid w:val="000653B9"/>
    <w:rsid w:val="00070885"/>
    <w:rsid w:val="00073C11"/>
    <w:rsid w:val="00073FC1"/>
    <w:rsid w:val="00077288"/>
    <w:rsid w:val="00082B69"/>
    <w:rsid w:val="0008352A"/>
    <w:rsid w:val="00084C89"/>
    <w:rsid w:val="0008686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2F43"/>
    <w:rsid w:val="002643C1"/>
    <w:rsid w:val="00266AD0"/>
    <w:rsid w:val="00267CB7"/>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1E6"/>
    <w:rsid w:val="002C082F"/>
    <w:rsid w:val="002C20A1"/>
    <w:rsid w:val="002C3054"/>
    <w:rsid w:val="002C3923"/>
    <w:rsid w:val="002C3D32"/>
    <w:rsid w:val="002C7062"/>
    <w:rsid w:val="002D58EA"/>
    <w:rsid w:val="002D7035"/>
    <w:rsid w:val="002D7BA0"/>
    <w:rsid w:val="002E0779"/>
    <w:rsid w:val="002E11FF"/>
    <w:rsid w:val="002E1265"/>
    <w:rsid w:val="002E672C"/>
    <w:rsid w:val="002F109A"/>
    <w:rsid w:val="002F17B8"/>
    <w:rsid w:val="002F3960"/>
    <w:rsid w:val="002F41F8"/>
    <w:rsid w:val="00300CA0"/>
    <w:rsid w:val="00302766"/>
    <w:rsid w:val="00305FA6"/>
    <w:rsid w:val="00305FD8"/>
    <w:rsid w:val="00310452"/>
    <w:rsid w:val="0031107C"/>
    <w:rsid w:val="003123B8"/>
    <w:rsid w:val="00313209"/>
    <w:rsid w:val="0031546B"/>
    <w:rsid w:val="00316338"/>
    <w:rsid w:val="00321EB0"/>
    <w:rsid w:val="0032336B"/>
    <w:rsid w:val="00323FAA"/>
    <w:rsid w:val="00324C60"/>
    <w:rsid w:val="003268AF"/>
    <w:rsid w:val="00332BA5"/>
    <w:rsid w:val="00333483"/>
    <w:rsid w:val="0033522A"/>
    <w:rsid w:val="003378C2"/>
    <w:rsid w:val="003421FC"/>
    <w:rsid w:val="00344B8C"/>
    <w:rsid w:val="00345277"/>
    <w:rsid w:val="003469CD"/>
    <w:rsid w:val="003475B0"/>
    <w:rsid w:val="00350513"/>
    <w:rsid w:val="003541E2"/>
    <w:rsid w:val="00354A55"/>
    <w:rsid w:val="00354BCB"/>
    <w:rsid w:val="00355021"/>
    <w:rsid w:val="00355163"/>
    <w:rsid w:val="00355D8A"/>
    <w:rsid w:val="00360E12"/>
    <w:rsid w:val="00361471"/>
    <w:rsid w:val="0036415A"/>
    <w:rsid w:val="00364A03"/>
    <w:rsid w:val="0036730D"/>
    <w:rsid w:val="003677FC"/>
    <w:rsid w:val="003821CD"/>
    <w:rsid w:val="003823CC"/>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25C7"/>
    <w:rsid w:val="00433CB1"/>
    <w:rsid w:val="00435A8C"/>
    <w:rsid w:val="00436600"/>
    <w:rsid w:val="00440071"/>
    <w:rsid w:val="00440173"/>
    <w:rsid w:val="0044659A"/>
    <w:rsid w:val="004466E8"/>
    <w:rsid w:val="00450514"/>
    <w:rsid w:val="004509D1"/>
    <w:rsid w:val="00453790"/>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759E"/>
    <w:rsid w:val="004F34F3"/>
    <w:rsid w:val="004F3C8B"/>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B1749"/>
    <w:rsid w:val="005B3F17"/>
    <w:rsid w:val="005B51AB"/>
    <w:rsid w:val="005B7C4B"/>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4F25"/>
    <w:rsid w:val="007260AC"/>
    <w:rsid w:val="00730E6F"/>
    <w:rsid w:val="00731292"/>
    <w:rsid w:val="00731A6A"/>
    <w:rsid w:val="007330BB"/>
    <w:rsid w:val="00733D58"/>
    <w:rsid w:val="007356FA"/>
    <w:rsid w:val="0073627E"/>
    <w:rsid w:val="00740B73"/>
    <w:rsid w:val="00740DD3"/>
    <w:rsid w:val="007436DF"/>
    <w:rsid w:val="00743DB6"/>
    <w:rsid w:val="0074466A"/>
    <w:rsid w:val="0075108E"/>
    <w:rsid w:val="0075535A"/>
    <w:rsid w:val="00756496"/>
    <w:rsid w:val="00764410"/>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2922"/>
    <w:rsid w:val="00815227"/>
    <w:rsid w:val="00815618"/>
    <w:rsid w:val="0083071A"/>
    <w:rsid w:val="00836EE1"/>
    <w:rsid w:val="0083733B"/>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4082"/>
    <w:rsid w:val="0086554E"/>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29B6"/>
    <w:rsid w:val="008E3261"/>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49E2"/>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951A3"/>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C33"/>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098E"/>
    <w:rsid w:val="00A31935"/>
    <w:rsid w:val="00A4213C"/>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E5C38"/>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2AB0"/>
    <w:rsid w:val="00B3707F"/>
    <w:rsid w:val="00B40A31"/>
    <w:rsid w:val="00B40F83"/>
    <w:rsid w:val="00B42356"/>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979"/>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469A"/>
    <w:rsid w:val="00C06FCD"/>
    <w:rsid w:val="00C10030"/>
    <w:rsid w:val="00C1702F"/>
    <w:rsid w:val="00C25D91"/>
    <w:rsid w:val="00C32A6F"/>
    <w:rsid w:val="00C34B6F"/>
    <w:rsid w:val="00C35F68"/>
    <w:rsid w:val="00C37B5C"/>
    <w:rsid w:val="00C42051"/>
    <w:rsid w:val="00C52CF4"/>
    <w:rsid w:val="00C6677A"/>
    <w:rsid w:val="00C66938"/>
    <w:rsid w:val="00C6731E"/>
    <w:rsid w:val="00C67CDE"/>
    <w:rsid w:val="00C70242"/>
    <w:rsid w:val="00C8450D"/>
    <w:rsid w:val="00C85F9E"/>
    <w:rsid w:val="00C861F3"/>
    <w:rsid w:val="00C9261A"/>
    <w:rsid w:val="00C93C5F"/>
    <w:rsid w:val="00C93D6D"/>
    <w:rsid w:val="00C95487"/>
    <w:rsid w:val="00CA2CF0"/>
    <w:rsid w:val="00CA3121"/>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E69D3"/>
    <w:rsid w:val="00CF06BF"/>
    <w:rsid w:val="00CF14B7"/>
    <w:rsid w:val="00CF2413"/>
    <w:rsid w:val="00CF259F"/>
    <w:rsid w:val="00CF2E47"/>
    <w:rsid w:val="00CF35A6"/>
    <w:rsid w:val="00CF3C6C"/>
    <w:rsid w:val="00CF7010"/>
    <w:rsid w:val="00CF7B32"/>
    <w:rsid w:val="00D155EF"/>
    <w:rsid w:val="00D20747"/>
    <w:rsid w:val="00D20E1A"/>
    <w:rsid w:val="00D23650"/>
    <w:rsid w:val="00D2586A"/>
    <w:rsid w:val="00D25B7E"/>
    <w:rsid w:val="00D2626D"/>
    <w:rsid w:val="00D26C55"/>
    <w:rsid w:val="00D279DF"/>
    <w:rsid w:val="00D30A13"/>
    <w:rsid w:val="00D32AA4"/>
    <w:rsid w:val="00D32E3D"/>
    <w:rsid w:val="00D34F81"/>
    <w:rsid w:val="00D37639"/>
    <w:rsid w:val="00D37BE3"/>
    <w:rsid w:val="00D41A3E"/>
    <w:rsid w:val="00D43B66"/>
    <w:rsid w:val="00D51FCF"/>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20E9"/>
    <w:rsid w:val="00DC4F12"/>
    <w:rsid w:val="00DC5A68"/>
    <w:rsid w:val="00DC703E"/>
    <w:rsid w:val="00DD1704"/>
    <w:rsid w:val="00DD3BD8"/>
    <w:rsid w:val="00DD7872"/>
    <w:rsid w:val="00DE0EBD"/>
    <w:rsid w:val="00DE1B52"/>
    <w:rsid w:val="00DF2360"/>
    <w:rsid w:val="00DF25A3"/>
    <w:rsid w:val="00DF2C89"/>
    <w:rsid w:val="00DF6816"/>
    <w:rsid w:val="00E0685A"/>
    <w:rsid w:val="00E06B96"/>
    <w:rsid w:val="00E07EEF"/>
    <w:rsid w:val="00E1029B"/>
    <w:rsid w:val="00E12383"/>
    <w:rsid w:val="00E15135"/>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86"/>
    <w:rsid w:val="00E55393"/>
    <w:rsid w:val="00E56401"/>
    <w:rsid w:val="00E56AAF"/>
    <w:rsid w:val="00E57A86"/>
    <w:rsid w:val="00E61687"/>
    <w:rsid w:val="00E619D8"/>
    <w:rsid w:val="00E61CFE"/>
    <w:rsid w:val="00E70E4B"/>
    <w:rsid w:val="00E72608"/>
    <w:rsid w:val="00E77EB2"/>
    <w:rsid w:val="00E811A7"/>
    <w:rsid w:val="00E81D28"/>
    <w:rsid w:val="00E86B83"/>
    <w:rsid w:val="00E920A7"/>
    <w:rsid w:val="00E94392"/>
    <w:rsid w:val="00E979D2"/>
    <w:rsid w:val="00EA34B4"/>
    <w:rsid w:val="00EA3DE4"/>
    <w:rsid w:val="00EA47A2"/>
    <w:rsid w:val="00EB19F3"/>
    <w:rsid w:val="00EB3B4C"/>
    <w:rsid w:val="00EB5793"/>
    <w:rsid w:val="00EB6074"/>
    <w:rsid w:val="00EB62D7"/>
    <w:rsid w:val="00EC0B17"/>
    <w:rsid w:val="00EC4B0F"/>
    <w:rsid w:val="00EC4BBA"/>
    <w:rsid w:val="00EC519C"/>
    <w:rsid w:val="00ED117C"/>
    <w:rsid w:val="00ED4349"/>
    <w:rsid w:val="00ED506C"/>
    <w:rsid w:val="00ED70B1"/>
    <w:rsid w:val="00EE1700"/>
    <w:rsid w:val="00EE186F"/>
    <w:rsid w:val="00EE2A4D"/>
    <w:rsid w:val="00EF0336"/>
    <w:rsid w:val="00EF73DE"/>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53F1"/>
    <w:rsid w:val="00F465E7"/>
    <w:rsid w:val="00F503EE"/>
    <w:rsid w:val="00F55497"/>
    <w:rsid w:val="00F601E9"/>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3A23"/>
    <w:rsid w:val="00FB49E3"/>
    <w:rsid w:val="00FC0999"/>
    <w:rsid w:val="00FC0BB6"/>
    <w:rsid w:val="00FC7BEE"/>
    <w:rsid w:val="00FD0691"/>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55430-D0DA-4693-B349-2BA65F3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 w:type="paragraph" w:styleId="Sangradetextonormal">
    <w:name w:val="Body Text Indent"/>
    <w:basedOn w:val="Normal"/>
    <w:link w:val="SangradetextonormalCar"/>
    <w:uiPriority w:val="99"/>
    <w:semiHidden/>
    <w:unhideWhenUsed/>
    <w:rsid w:val="00CE69D3"/>
    <w:pPr>
      <w:spacing w:after="120"/>
      <w:ind w:left="283"/>
    </w:pPr>
  </w:style>
  <w:style w:type="character" w:customStyle="1" w:styleId="SangradetextonormalCar">
    <w:name w:val="Sangría de texto normal Car"/>
    <w:basedOn w:val="Fuentedeprrafopredeter"/>
    <w:link w:val="Sangradetextonormal"/>
    <w:uiPriority w:val="99"/>
    <w:semiHidden/>
    <w:rsid w:val="00CE69D3"/>
    <w:rPr>
      <w:sz w:val="20"/>
      <w:szCs w:val="20"/>
      <w:lang w:val="es-ES" w:eastAsia="es-ES"/>
    </w:rPr>
  </w:style>
  <w:style w:type="paragraph" w:styleId="Textoindependiente2">
    <w:name w:val="Body Text 2"/>
    <w:basedOn w:val="Normal"/>
    <w:link w:val="Textoindependiente2Car"/>
    <w:uiPriority w:val="99"/>
    <w:semiHidden/>
    <w:unhideWhenUsed/>
    <w:rsid w:val="00CE69D3"/>
    <w:pPr>
      <w:spacing w:after="120" w:line="480" w:lineRule="auto"/>
    </w:pPr>
  </w:style>
  <w:style w:type="character" w:customStyle="1" w:styleId="Textoindependiente2Car">
    <w:name w:val="Texto independiente 2 Car"/>
    <w:basedOn w:val="Fuentedeprrafopredeter"/>
    <w:link w:val="Textoindependiente2"/>
    <w:uiPriority w:val="99"/>
    <w:semiHidden/>
    <w:rsid w:val="00CE69D3"/>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052999614">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A277-1B02-4AC3-B102-B3A021EC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16</cp:revision>
  <cp:lastPrinted>2016-10-31T15:59:00Z</cp:lastPrinted>
  <dcterms:created xsi:type="dcterms:W3CDTF">2016-10-28T15:24:00Z</dcterms:created>
  <dcterms:modified xsi:type="dcterms:W3CDTF">2017-01-11T16:08:00Z</dcterms:modified>
</cp:coreProperties>
</file>