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EC" w:rsidRDefault="00843046">
      <w:pPr>
        <w:pStyle w:val="Style1"/>
        <w:widowControl/>
        <w:jc w:val="right"/>
        <w:rPr>
          <w:rStyle w:val="FontStyle12"/>
          <w:lang w:val="es-ES_tradnl" w:eastAsia="es-ES_tradnl"/>
        </w:rPr>
      </w:pPr>
      <w:r>
        <w:rPr>
          <w:rStyle w:val="FontStyle12"/>
          <w:lang w:val="es-ES_tradnl" w:eastAsia="es-ES_tradnl"/>
        </w:rPr>
        <w:t xml:space="preserve">Página </w:t>
      </w:r>
      <w:r>
        <w:rPr>
          <w:rStyle w:val="FontStyle11"/>
          <w:lang w:val="es-ES_tradnl" w:eastAsia="es-ES_tradnl"/>
        </w:rPr>
        <w:t>/</w:t>
      </w:r>
      <w:r>
        <w:rPr>
          <w:rStyle w:val="FontStyle12"/>
          <w:lang w:val="es-ES_tradnl" w:eastAsia="es-ES_tradnl"/>
        </w:rPr>
        <w:t>1</w:t>
      </w:r>
    </w:p>
    <w:p w:rsidR="00CE19F6" w:rsidRPr="00CE19F6" w:rsidRDefault="00CE19F6" w:rsidP="00CE19F6">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CE19F6">
        <w:rPr>
          <w:rFonts w:ascii="Arial Narrow" w:hAnsi="Arial Narrow" w:cs="Tahoma"/>
          <w:color w:val="FF0000"/>
          <w:sz w:val="16"/>
          <w:szCs w:val="18"/>
        </w:rPr>
        <w:t>El siguiente es el docume</w:t>
      </w:r>
      <w:r w:rsidRPr="00CE19F6">
        <w:rPr>
          <w:rFonts w:ascii="Arial Narrow" w:hAnsi="Arial Narrow" w:cs="Tahoma"/>
          <w:color w:val="FF0000"/>
          <w:sz w:val="16"/>
          <w:szCs w:val="18"/>
        </w:rPr>
        <w:t>nto presentado por el Magistrado</w:t>
      </w:r>
      <w:r w:rsidRPr="00CE19F6">
        <w:rPr>
          <w:rFonts w:ascii="Arial Narrow" w:hAnsi="Arial Narrow" w:cs="Tahoma"/>
          <w:color w:val="FF0000"/>
          <w:sz w:val="16"/>
          <w:szCs w:val="18"/>
        </w:rPr>
        <w:t xml:space="preserve"> </w:t>
      </w:r>
      <w:r w:rsidRPr="00CE19F6">
        <w:rPr>
          <w:rFonts w:ascii="Arial Narrow" w:hAnsi="Arial Narrow" w:cs="Tahoma"/>
          <w:color w:val="FF0000"/>
          <w:sz w:val="16"/>
          <w:szCs w:val="18"/>
        </w:rPr>
        <w:t xml:space="preserve">en su Aclaración de voto </w:t>
      </w:r>
      <w:r w:rsidRPr="00CE19F6">
        <w:rPr>
          <w:rFonts w:ascii="Arial Narrow" w:hAnsi="Arial Narrow" w:cs="Tahoma"/>
          <w:color w:val="FF0000"/>
          <w:sz w:val="16"/>
          <w:szCs w:val="18"/>
        </w:rPr>
        <w:t xml:space="preserve">dentro del presente proceso. El contenido total y fiel de </w:t>
      </w:r>
      <w:r w:rsidRPr="00CE19F6">
        <w:rPr>
          <w:rFonts w:ascii="Arial Narrow" w:hAnsi="Arial Narrow" w:cs="Tahoma"/>
          <w:color w:val="FF0000"/>
          <w:sz w:val="16"/>
          <w:szCs w:val="18"/>
        </w:rPr>
        <w:t>su posición</w:t>
      </w:r>
      <w:r w:rsidRPr="00CE19F6">
        <w:rPr>
          <w:rFonts w:ascii="Arial Narrow" w:hAnsi="Arial Narrow" w:cs="Tahoma"/>
          <w:color w:val="FF0000"/>
          <w:sz w:val="16"/>
          <w:szCs w:val="18"/>
        </w:rPr>
        <w:t xml:space="preserve"> debe ser</w:t>
      </w:r>
      <w:r w:rsidRPr="00CE19F6">
        <w:rPr>
          <w:rFonts w:ascii="Arial Narrow" w:hAnsi="Arial Narrow" w:cs="Tahoma"/>
          <w:color w:val="FF0000"/>
          <w:sz w:val="16"/>
          <w:szCs w:val="18"/>
        </w:rPr>
        <w:t xml:space="preserve"> verificado</w:t>
      </w:r>
      <w:r w:rsidRPr="00CE19F6">
        <w:rPr>
          <w:rFonts w:ascii="Arial Narrow" w:hAnsi="Arial Narrow" w:cs="Tahoma"/>
          <w:color w:val="FF0000"/>
          <w:sz w:val="16"/>
          <w:szCs w:val="18"/>
        </w:rPr>
        <w:t xml:space="preserve"> en la Secretaría de esta Corporación.</w:t>
      </w:r>
    </w:p>
    <w:p w:rsidR="00CE19F6" w:rsidRPr="00CE19F6" w:rsidRDefault="00CE19F6" w:rsidP="00CE19F6">
      <w:pPr>
        <w:rPr>
          <w:rFonts w:ascii="Tahoma" w:hAnsi="Tahoma" w:cs="Tahoma"/>
          <w:b/>
          <w:sz w:val="18"/>
          <w:szCs w:val="18"/>
        </w:rPr>
      </w:pPr>
    </w:p>
    <w:p w:rsidR="00B42CEC" w:rsidRDefault="00B42CEC">
      <w:pPr>
        <w:pStyle w:val="Style2"/>
        <w:widowControl/>
        <w:spacing w:line="240" w:lineRule="exact"/>
        <w:ind w:left="3355"/>
        <w:rPr>
          <w:sz w:val="20"/>
          <w:szCs w:val="20"/>
        </w:rPr>
      </w:pPr>
    </w:p>
    <w:p w:rsidR="00B42CEC" w:rsidRDefault="00843046">
      <w:pPr>
        <w:pStyle w:val="Style2"/>
        <w:widowControl/>
        <w:spacing w:before="134"/>
        <w:ind w:left="3355"/>
        <w:rPr>
          <w:rStyle w:val="FontStyle13"/>
          <w:lang w:val="es-ES_tradnl" w:eastAsia="es-ES_tradnl"/>
        </w:rPr>
      </w:pPr>
      <w:r>
        <w:rPr>
          <w:rStyle w:val="FontStyle13"/>
          <w:lang w:val="es-ES_tradnl" w:eastAsia="es-ES_tradnl"/>
        </w:rPr>
        <w:t>Aclaración de voto</w:t>
      </w:r>
    </w:p>
    <w:p w:rsidR="00B42CEC" w:rsidRDefault="00B42CEC">
      <w:pPr>
        <w:pStyle w:val="Style4"/>
        <w:widowControl/>
        <w:spacing w:line="240" w:lineRule="exact"/>
        <w:ind w:left="1980"/>
        <w:rPr>
          <w:sz w:val="20"/>
          <w:szCs w:val="20"/>
        </w:rPr>
      </w:pPr>
    </w:p>
    <w:p w:rsidR="00B42CEC" w:rsidRDefault="00843046">
      <w:pPr>
        <w:pStyle w:val="Style4"/>
        <w:widowControl/>
        <w:tabs>
          <w:tab w:val="left" w:pos="4046"/>
        </w:tabs>
        <w:spacing w:before="178" w:line="374" w:lineRule="exact"/>
        <w:ind w:left="1980"/>
        <w:rPr>
          <w:rStyle w:val="FontStyle14"/>
          <w:lang w:val="es-ES_tradnl" w:eastAsia="es-ES_tradnl"/>
        </w:rPr>
      </w:pPr>
      <w:r>
        <w:rPr>
          <w:rStyle w:val="FontStyle14"/>
          <w:lang w:val="es-ES_tradnl" w:eastAsia="es-ES_tradnl"/>
        </w:rPr>
        <w:t>área</w:t>
      </w:r>
      <w:r>
        <w:rPr>
          <w:rStyle w:val="FontStyle14"/>
          <w:lang w:val="es-ES_tradnl" w:eastAsia="es-ES_tradnl"/>
        </w:rPr>
        <w:tab/>
        <w:t>: Familia- Liquidatorio de sociedad conyugal</w:t>
      </w:r>
    </w:p>
    <w:p w:rsidR="00B42CEC" w:rsidRDefault="00843046">
      <w:pPr>
        <w:pStyle w:val="Style4"/>
        <w:widowControl/>
        <w:tabs>
          <w:tab w:val="left" w:pos="4046"/>
        </w:tabs>
        <w:spacing w:line="374" w:lineRule="exact"/>
        <w:ind w:left="1980"/>
        <w:rPr>
          <w:rStyle w:val="FontStyle14"/>
          <w:lang w:val="es-ES_tradnl" w:eastAsia="es-ES_tradnl"/>
        </w:rPr>
      </w:pPr>
      <w:r>
        <w:rPr>
          <w:rStyle w:val="FontStyle14"/>
          <w:lang w:val="es-ES_tradnl" w:eastAsia="es-ES_tradnl"/>
        </w:rPr>
        <w:t>Asunto</w:t>
      </w:r>
      <w:r>
        <w:rPr>
          <w:rStyle w:val="FontStyle14"/>
          <w:lang w:val="es-ES_tradnl" w:eastAsia="es-ES_tradnl"/>
        </w:rPr>
        <w:tab/>
        <w:t>: Apelación sentencia aprobatoria partición</w:t>
      </w:r>
    </w:p>
    <w:p w:rsidR="00B42CEC" w:rsidRDefault="00843046">
      <w:pPr>
        <w:pStyle w:val="Style5"/>
        <w:widowControl/>
        <w:tabs>
          <w:tab w:val="left" w:pos="4046"/>
        </w:tabs>
        <w:spacing w:line="374" w:lineRule="exact"/>
        <w:ind w:left="1994"/>
        <w:rPr>
          <w:rStyle w:val="FontStyle14"/>
          <w:lang w:val="es-ES_tradnl" w:eastAsia="es-ES_tradnl"/>
        </w:rPr>
      </w:pPr>
      <w:r>
        <w:rPr>
          <w:rStyle w:val="FontStyle14"/>
          <w:lang w:val="es-ES_tradnl" w:eastAsia="es-ES_tradnl"/>
        </w:rPr>
        <w:t>Radicación</w:t>
      </w:r>
      <w:r>
        <w:rPr>
          <w:rStyle w:val="FontStyle14"/>
          <w:lang w:val="es-ES_tradnl" w:eastAsia="es-ES_tradnl"/>
        </w:rPr>
        <w:tab/>
        <w:t>: 66001-31-10-004-2012-00131-01</w:t>
      </w:r>
    </w:p>
    <w:p w:rsidR="00B42CEC" w:rsidRDefault="00843046">
      <w:pPr>
        <w:pStyle w:val="Style4"/>
        <w:widowControl/>
        <w:tabs>
          <w:tab w:val="left" w:pos="4046"/>
        </w:tabs>
        <w:spacing w:line="374" w:lineRule="exact"/>
        <w:ind w:left="1987"/>
        <w:rPr>
          <w:rStyle w:val="FontStyle14"/>
          <w:lang w:val="es-ES_tradnl" w:eastAsia="es-ES_tradnl"/>
        </w:rPr>
      </w:pPr>
      <w:r>
        <w:rPr>
          <w:rStyle w:val="FontStyle14"/>
          <w:lang w:val="es-ES_tradnl" w:eastAsia="es-ES_tradnl"/>
        </w:rPr>
        <w:t>Tema (s)</w:t>
      </w:r>
      <w:r>
        <w:rPr>
          <w:rStyle w:val="FontStyle14"/>
          <w:lang w:val="es-ES_tradnl" w:eastAsia="es-ES_tradnl"/>
        </w:rPr>
        <w:tab/>
        <w:t>: Sanción del artículo 1824, CC</w:t>
      </w:r>
      <w:bookmarkStart w:id="0" w:name="_GoBack"/>
      <w:bookmarkEnd w:id="0"/>
    </w:p>
    <w:p w:rsidR="00B42CEC" w:rsidRDefault="00843046">
      <w:pPr>
        <w:pStyle w:val="Style4"/>
        <w:widowControl/>
        <w:tabs>
          <w:tab w:val="left" w:pos="4046"/>
        </w:tabs>
        <w:spacing w:line="374" w:lineRule="exact"/>
        <w:ind w:left="1994"/>
        <w:rPr>
          <w:rStyle w:val="FontStyle14"/>
          <w:lang w:val="es-ES_tradnl" w:eastAsia="es-ES_tradnl"/>
        </w:rPr>
      </w:pPr>
      <w:r>
        <w:rPr>
          <w:rStyle w:val="FontStyle14"/>
          <w:lang w:val="es-ES_tradnl" w:eastAsia="es-ES_tradnl"/>
        </w:rPr>
        <w:t>Magistrada Ponente</w:t>
      </w:r>
      <w:r>
        <w:rPr>
          <w:rStyle w:val="FontStyle14"/>
          <w:lang w:val="es-ES_tradnl" w:eastAsia="es-ES_tradnl"/>
        </w:rPr>
        <w:tab/>
        <w:t>: Claudia María Arcíla Ríos</w:t>
      </w:r>
    </w:p>
    <w:p w:rsidR="00B42CEC" w:rsidRDefault="00B42CEC">
      <w:pPr>
        <w:pStyle w:val="Style6"/>
        <w:widowControl/>
        <w:spacing w:line="240" w:lineRule="exact"/>
        <w:ind w:left="554"/>
        <w:rPr>
          <w:sz w:val="20"/>
          <w:szCs w:val="20"/>
        </w:rPr>
      </w:pPr>
    </w:p>
    <w:p w:rsidR="00B42CEC" w:rsidRDefault="00B42CEC">
      <w:pPr>
        <w:pStyle w:val="Style6"/>
        <w:widowControl/>
        <w:spacing w:line="240" w:lineRule="exact"/>
        <w:ind w:left="554"/>
        <w:rPr>
          <w:sz w:val="20"/>
          <w:szCs w:val="20"/>
        </w:rPr>
      </w:pPr>
    </w:p>
    <w:p w:rsidR="00B42CEC" w:rsidRDefault="00B42CEC">
      <w:pPr>
        <w:pStyle w:val="Style6"/>
        <w:widowControl/>
        <w:spacing w:line="240" w:lineRule="exact"/>
        <w:ind w:left="554"/>
        <w:rPr>
          <w:sz w:val="20"/>
          <w:szCs w:val="20"/>
        </w:rPr>
      </w:pPr>
    </w:p>
    <w:p w:rsidR="00B42CEC" w:rsidRDefault="00843046">
      <w:pPr>
        <w:pStyle w:val="Style6"/>
        <w:widowControl/>
        <w:spacing w:before="166" w:line="410" w:lineRule="exact"/>
        <w:ind w:left="554"/>
        <w:rPr>
          <w:rStyle w:val="FontStyle15"/>
          <w:lang w:val="es-ES_tradnl" w:eastAsia="es-ES_tradnl"/>
        </w:rPr>
      </w:pPr>
      <w:r>
        <w:rPr>
          <w:rStyle w:val="FontStyle15"/>
          <w:lang w:val="es-ES_tradnl" w:eastAsia="es-ES_tradnl"/>
        </w:rPr>
        <w:t>Mi precisión consiste en que ha debido adicionarse a la afirmación sobre la imposibilidad jurídica de considerar la sanción sin previo proceso, en la hipótesis normativa dispuesta por el artículo 1824, CC, criterios jurisprudenciales sobre la temática, habida consideración del postulado de debida y motivación suficiente, pues bien se advierte que uno de los temas cardinales de la alzada fue ese, por manera que ameritaba un ejercicio de refutación con premisas completas; tampoco se imponía una disertación amplía y profusa, sino apenas unas referencias jurisprudenciales, para respaldar la afirmación hecha, que fueron aportadas para enriquecer el debate suscitado.</w:t>
      </w:r>
    </w:p>
    <w:p w:rsidR="00B42CEC" w:rsidRDefault="00B42CEC">
      <w:pPr>
        <w:pStyle w:val="Style6"/>
        <w:widowControl/>
        <w:spacing w:line="240" w:lineRule="exact"/>
        <w:ind w:left="562"/>
        <w:rPr>
          <w:sz w:val="20"/>
          <w:szCs w:val="20"/>
        </w:rPr>
      </w:pPr>
    </w:p>
    <w:p w:rsidR="00B42CEC" w:rsidRDefault="00843046">
      <w:pPr>
        <w:pStyle w:val="Style6"/>
        <w:widowControl/>
        <w:spacing w:before="170" w:line="410" w:lineRule="exact"/>
        <w:ind w:left="562"/>
        <w:rPr>
          <w:rStyle w:val="FontStyle15"/>
          <w:lang w:val="es-ES_tradnl" w:eastAsia="es-ES_tradnl"/>
        </w:rPr>
      </w:pPr>
      <w:r>
        <w:rPr>
          <w:rStyle w:val="FontStyle15"/>
          <w:lang w:val="es-ES_tradnl" w:eastAsia="es-ES_tradnl"/>
        </w:rPr>
        <w:t xml:space="preserve">Admití en la discusión del proyecto, ante la propuesta del Magistrado Edder Jimmy Sánchez C, que se anotara como respaldo jurídico-normativo, el artículo 5°-12, Decreto 2272 de 1989, y agrego que en conjunto con la sentencia de la CSJ, del 27-01-2000, radicado No.6177, bastan para inferir que se trata de un trámite, cuya competencia era de la justicia civil y no de familia, para aquella época, hoy esclarecido por el CGP (Artículo 22-22, que reza: </w:t>
      </w:r>
      <w:r>
        <w:rPr>
          <w:rStyle w:val="FontStyle16"/>
          <w:lang w:val="es-ES_tradnl" w:eastAsia="es-ES_tradnl"/>
        </w:rPr>
        <w:t xml:space="preserve">"Los jueces de familia conocen, en primera instancia, de los siguientes asuntos: 22. De la sanción prevista en el artículo 1824 del Código Civil", </w:t>
      </w:r>
      <w:r>
        <w:rPr>
          <w:rStyle w:val="FontStyle15"/>
          <w:lang w:val="es-ES_tradnl" w:eastAsia="es-ES_tradnl"/>
        </w:rPr>
        <w:t>que desde luego es inaplicable al caso, pero evidencia con razonabilidad, el tratamiento procedimental autónomo que es la razón de la conclusión ofrecida como argumento para rebatir la censura en sede de apelación. Más recientemente está la sentencia SC2379-2016, del 28-04-2016 de la CSJ, que también envíe con el primer fallo aquí citado, para el respectivo análisis.</w:t>
      </w:r>
    </w:p>
    <w:p w:rsidR="00B42CEC" w:rsidRDefault="00B42CEC">
      <w:pPr>
        <w:pStyle w:val="Style6"/>
        <w:widowControl/>
        <w:spacing w:line="240" w:lineRule="exact"/>
        <w:ind w:left="569"/>
        <w:rPr>
          <w:sz w:val="20"/>
          <w:szCs w:val="20"/>
        </w:rPr>
      </w:pPr>
    </w:p>
    <w:p w:rsidR="00B42CEC" w:rsidRDefault="00B42CEC">
      <w:pPr>
        <w:pStyle w:val="Style6"/>
        <w:widowControl/>
        <w:spacing w:line="240" w:lineRule="exact"/>
        <w:ind w:left="569"/>
        <w:rPr>
          <w:sz w:val="20"/>
          <w:szCs w:val="20"/>
        </w:rPr>
      </w:pPr>
    </w:p>
    <w:p w:rsidR="00B42CEC" w:rsidRDefault="00843046">
      <w:pPr>
        <w:pStyle w:val="Style6"/>
        <w:widowControl/>
        <w:spacing w:before="82" w:line="240" w:lineRule="auto"/>
        <w:ind w:left="569"/>
        <w:rPr>
          <w:rStyle w:val="FontStyle15"/>
          <w:lang w:val="es-ES_tradnl" w:eastAsia="es-ES_tradnl"/>
        </w:rPr>
      </w:pPr>
      <w:r>
        <w:rPr>
          <w:rStyle w:val="FontStyle15"/>
          <w:lang w:val="es-ES_tradnl" w:eastAsia="es-ES_tradnl"/>
        </w:rPr>
        <w:t>Pereira, Rda., 25 de octubre de 2016</w:t>
      </w:r>
    </w:p>
    <w:p w:rsidR="00B42CEC" w:rsidRDefault="00D530B6">
      <w:pPr>
        <w:widowControl/>
        <w:spacing w:before="468"/>
        <w:ind w:right="4018"/>
      </w:pPr>
      <w:r>
        <w:rPr>
          <w:noProof/>
        </w:rPr>
        <w:drawing>
          <wp:inline distT="0" distB="0" distL="0" distR="0">
            <wp:extent cx="3762375" cy="1343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2375" cy="1343025"/>
                    </a:xfrm>
                    <a:prstGeom prst="rect">
                      <a:avLst/>
                    </a:prstGeom>
                    <a:noFill/>
                    <a:ln>
                      <a:noFill/>
                    </a:ln>
                  </pic:spPr>
                </pic:pic>
              </a:graphicData>
            </a:graphic>
          </wp:inline>
        </w:drawing>
      </w:r>
    </w:p>
    <w:p w:rsidR="00B42CEC" w:rsidRDefault="00B42CEC">
      <w:pPr>
        <w:pStyle w:val="Style3"/>
        <w:widowControl/>
        <w:spacing w:line="240" w:lineRule="exact"/>
        <w:ind w:left="5760"/>
        <w:rPr>
          <w:sz w:val="20"/>
          <w:szCs w:val="20"/>
        </w:rPr>
      </w:pPr>
    </w:p>
    <w:p w:rsidR="00B42CEC" w:rsidRDefault="00B42CEC">
      <w:pPr>
        <w:pStyle w:val="Style3"/>
        <w:widowControl/>
        <w:spacing w:line="240" w:lineRule="exact"/>
        <w:ind w:left="5760"/>
        <w:rPr>
          <w:sz w:val="20"/>
          <w:szCs w:val="20"/>
        </w:rPr>
      </w:pPr>
    </w:p>
    <w:p w:rsidR="00B42CEC" w:rsidRDefault="00B42CEC">
      <w:pPr>
        <w:pStyle w:val="Style3"/>
        <w:widowControl/>
        <w:spacing w:line="240" w:lineRule="exact"/>
        <w:ind w:left="5760"/>
        <w:rPr>
          <w:sz w:val="20"/>
          <w:szCs w:val="20"/>
        </w:rPr>
      </w:pPr>
    </w:p>
    <w:p w:rsidR="00B42CEC" w:rsidRDefault="00B42CEC">
      <w:pPr>
        <w:pStyle w:val="Style3"/>
        <w:widowControl/>
        <w:spacing w:line="240" w:lineRule="exact"/>
        <w:ind w:left="5760"/>
        <w:rPr>
          <w:sz w:val="20"/>
          <w:szCs w:val="20"/>
        </w:rPr>
      </w:pPr>
    </w:p>
    <w:p w:rsidR="00B42CEC" w:rsidRDefault="00B42CEC">
      <w:pPr>
        <w:pStyle w:val="Style3"/>
        <w:widowControl/>
        <w:spacing w:line="240" w:lineRule="exact"/>
        <w:ind w:left="5760"/>
        <w:rPr>
          <w:sz w:val="20"/>
          <w:szCs w:val="20"/>
        </w:rPr>
      </w:pPr>
    </w:p>
    <w:p w:rsidR="00843046" w:rsidRDefault="00843046">
      <w:pPr>
        <w:pStyle w:val="Style3"/>
        <w:widowControl/>
        <w:spacing w:before="67"/>
        <w:ind w:left="5760"/>
        <w:rPr>
          <w:rStyle w:val="FontStyle17"/>
          <w:lang w:val="es-ES_tradnl" w:eastAsia="es-ES_tradnl"/>
        </w:rPr>
      </w:pPr>
      <w:r>
        <w:rPr>
          <w:rStyle w:val="FontStyle17"/>
          <w:lang w:val="es-ES_tradnl" w:eastAsia="es-ES_tradnl"/>
        </w:rPr>
        <w:t xml:space="preserve">"Tribunal Superior de F*ereira mg   dubérney </w:t>
      </w:r>
      <w:r>
        <w:rPr>
          <w:rStyle w:val="FontStyle17"/>
          <w:spacing w:val="-10"/>
          <w:lang w:val="es-ES_tradnl" w:eastAsia="es-ES_tradnl"/>
        </w:rPr>
        <w:t>&lt;3</w:t>
      </w:r>
      <w:r>
        <w:rPr>
          <w:rStyle w:val="FontStyle17"/>
          <w:lang w:val="es-ES_tradnl" w:eastAsia="es-ES_tradnl"/>
        </w:rPr>
        <w:t xml:space="preserve"> risales herrera</w:t>
      </w:r>
    </w:p>
    <w:sectPr w:rsidR="00843046">
      <w:type w:val="continuous"/>
      <w:pgSz w:w="12240" w:h="18720"/>
      <w:pgMar w:top="630" w:right="1156" w:bottom="64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35C" w:rsidRDefault="00C3235C">
      <w:r>
        <w:separator/>
      </w:r>
    </w:p>
  </w:endnote>
  <w:endnote w:type="continuationSeparator" w:id="0">
    <w:p w:rsidR="00C3235C" w:rsidRDefault="00C3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35C" w:rsidRDefault="00C3235C">
      <w:r>
        <w:separator/>
      </w:r>
    </w:p>
  </w:footnote>
  <w:footnote w:type="continuationSeparator" w:id="0">
    <w:p w:rsidR="00C3235C" w:rsidRDefault="00C32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B6"/>
    <w:rsid w:val="00843046"/>
    <w:rsid w:val="00B42CEC"/>
    <w:rsid w:val="00C3235C"/>
    <w:rsid w:val="00CE19F6"/>
    <w:rsid w:val="00D530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6071E3-4FD1-457E-957C-0D2A510B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216" w:lineRule="exact"/>
      <w:jc w:val="right"/>
    </w:p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413" w:lineRule="exact"/>
      <w:jc w:val="both"/>
    </w:pPr>
  </w:style>
  <w:style w:type="character" w:customStyle="1" w:styleId="FontStyle11">
    <w:name w:val="Font Style11"/>
    <w:basedOn w:val="Fuentedeprrafopredeter"/>
    <w:uiPriority w:val="99"/>
    <w:rPr>
      <w:rFonts w:ascii="Arial" w:hAnsi="Arial" w:cs="Arial"/>
      <w:b/>
      <w:bCs/>
      <w:color w:val="000000"/>
      <w:sz w:val="20"/>
      <w:szCs w:val="20"/>
    </w:rPr>
  </w:style>
  <w:style w:type="character" w:customStyle="1" w:styleId="FontStyle12">
    <w:name w:val="Font Style12"/>
    <w:basedOn w:val="Fuentedeprrafopredeter"/>
    <w:uiPriority w:val="99"/>
    <w:rPr>
      <w:rFonts w:ascii="Arial" w:hAnsi="Arial" w:cs="Arial"/>
      <w:i/>
      <w:iCs/>
      <w:color w:val="000000"/>
      <w:spacing w:val="70"/>
      <w:sz w:val="20"/>
      <w:szCs w:val="20"/>
    </w:rPr>
  </w:style>
  <w:style w:type="character" w:customStyle="1" w:styleId="FontStyle13">
    <w:name w:val="Font Style13"/>
    <w:basedOn w:val="Fuentedeprrafopredeter"/>
    <w:uiPriority w:val="99"/>
    <w:rPr>
      <w:rFonts w:ascii="Arial" w:hAnsi="Arial" w:cs="Arial"/>
      <w:smallCaps/>
      <w:color w:val="000000"/>
      <w:spacing w:val="10"/>
      <w:w w:val="150"/>
      <w:sz w:val="24"/>
      <w:szCs w:val="24"/>
    </w:rPr>
  </w:style>
  <w:style w:type="character" w:customStyle="1" w:styleId="FontStyle14">
    <w:name w:val="Font Style14"/>
    <w:basedOn w:val="Fuentedeprrafopredeter"/>
    <w:uiPriority w:val="99"/>
    <w:rPr>
      <w:rFonts w:ascii="Arial" w:hAnsi="Arial" w:cs="Arial"/>
      <w:smallCaps/>
      <w:color w:val="000000"/>
      <w:sz w:val="20"/>
      <w:szCs w:val="20"/>
    </w:rPr>
  </w:style>
  <w:style w:type="character" w:customStyle="1" w:styleId="FontStyle15">
    <w:name w:val="Font Style15"/>
    <w:basedOn w:val="Fuentedeprrafopredeter"/>
    <w:uiPriority w:val="99"/>
    <w:rPr>
      <w:rFonts w:ascii="Arial" w:hAnsi="Arial" w:cs="Arial"/>
      <w:color w:val="000000"/>
      <w:sz w:val="20"/>
      <w:szCs w:val="20"/>
    </w:rPr>
  </w:style>
  <w:style w:type="character" w:customStyle="1" w:styleId="FontStyle16">
    <w:name w:val="Font Style16"/>
    <w:basedOn w:val="Fuentedeprrafopredeter"/>
    <w:uiPriority w:val="99"/>
    <w:rPr>
      <w:rFonts w:ascii="Arial" w:hAnsi="Arial" w:cs="Arial"/>
      <w:i/>
      <w:iCs/>
      <w:color w:val="000000"/>
      <w:sz w:val="20"/>
      <w:szCs w:val="20"/>
    </w:rPr>
  </w:style>
  <w:style w:type="character" w:customStyle="1" w:styleId="FontStyle17">
    <w:name w:val="Font Style17"/>
    <w:basedOn w:val="Fuentedeprrafopredeter"/>
    <w:uiPriority w:val="99"/>
    <w:rPr>
      <w:rFonts w:ascii="Arial" w:hAnsi="Arial" w:cs="Arial"/>
      <w:smallCaps/>
      <w:color w:val="000000"/>
      <w:spacing w:val="20"/>
      <w:w w:val="200"/>
      <w:sz w:val="10"/>
      <w:szCs w:val="10"/>
    </w:rPr>
  </w:style>
  <w:style w:type="character" w:styleId="Hipervnculo">
    <w:name w:val="Hyperlink"/>
    <w:basedOn w:val="Fuentedeprrafopredeter"/>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1885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2016-12-14T14:29:00Z</dcterms:created>
  <dcterms:modified xsi:type="dcterms:W3CDTF">2017-01-11T13:37:00Z</dcterms:modified>
</cp:coreProperties>
</file>