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601" w:rsidRPr="00B32804" w:rsidRDefault="00812601" w:rsidP="00812601">
      <w:pPr>
        <w:pBdr>
          <w:top w:val="single" w:sz="4" w:space="1" w:color="auto"/>
          <w:left w:val="single" w:sz="4" w:space="4" w:color="auto"/>
          <w:bottom w:val="single" w:sz="4" w:space="1" w:color="auto"/>
          <w:right w:val="single" w:sz="4" w:space="4" w:color="auto"/>
        </w:pBdr>
        <w:shd w:val="clear" w:color="auto" w:fill="FFFFFF"/>
        <w:jc w:val="center"/>
        <w:rPr>
          <w:rFonts w:cs="Times New Roman"/>
          <w:color w:val="222222"/>
          <w:lang w:val="es-CO" w:eastAsia="fr-FR"/>
        </w:rPr>
      </w:pPr>
      <w:r w:rsidRPr="00B32804">
        <w:rPr>
          <w:rFonts w:ascii="Arial Narrow" w:hAnsi="Arial Narrow" w:cs="Times New Roman"/>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Corporación.</w:t>
      </w:r>
      <w:r w:rsidRPr="00B32804">
        <w:rPr>
          <w:rFonts w:ascii="Calibri" w:hAnsi="Calibri" w:cs="Calibri"/>
          <w:color w:val="222222"/>
          <w:sz w:val="18"/>
          <w:szCs w:val="18"/>
          <w:lang w:val="es-CO" w:eastAsia="fr-FR"/>
        </w:rPr>
        <w:t> </w:t>
      </w:r>
    </w:p>
    <w:p w:rsidR="00812601" w:rsidRDefault="00812601" w:rsidP="00812601">
      <w:pPr>
        <w:shd w:val="clear" w:color="auto" w:fill="FFFFFF"/>
        <w:rPr>
          <w:rFonts w:ascii="Calibri" w:hAnsi="Calibri" w:cs="Calibri"/>
          <w:color w:val="222222"/>
          <w:sz w:val="18"/>
          <w:szCs w:val="18"/>
          <w:lang w:val="es-CO" w:eastAsia="fr-FR"/>
        </w:rPr>
      </w:pPr>
    </w:p>
    <w:p w:rsidR="006E005D" w:rsidRPr="006E005D" w:rsidRDefault="006E005D" w:rsidP="006E005D">
      <w:pPr>
        <w:pStyle w:val="Sansinterligne"/>
        <w:rPr>
          <w:rFonts w:asciiTheme="minorHAnsi" w:hAnsiTheme="minorHAnsi" w:cstheme="minorHAnsi"/>
          <w:sz w:val="18"/>
          <w:szCs w:val="18"/>
        </w:rPr>
      </w:pPr>
      <w:r>
        <w:rPr>
          <w:rFonts w:asciiTheme="minorHAnsi" w:hAnsiTheme="minorHAnsi" w:cstheme="minorHAnsi"/>
          <w:sz w:val="18"/>
          <w:szCs w:val="18"/>
        </w:rPr>
        <w:t>Asunto</w:t>
      </w:r>
      <w:r w:rsidRPr="006E005D">
        <w:rPr>
          <w:rFonts w:asciiTheme="minorHAnsi" w:hAnsiTheme="minorHAnsi" w:cstheme="minorHAnsi"/>
          <w:sz w:val="18"/>
          <w:szCs w:val="18"/>
        </w:rPr>
        <w:t xml:space="preserve">: </w:t>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sidR="007E1340" w:rsidRPr="006E005D">
        <w:rPr>
          <w:rFonts w:asciiTheme="minorHAnsi" w:hAnsiTheme="minorHAnsi" w:cstheme="minorHAnsi"/>
          <w:sz w:val="18"/>
          <w:szCs w:val="18"/>
          <w:lang w:val="es-CO"/>
        </w:rPr>
        <w:t>Sentencia de tutela</w:t>
      </w:r>
      <w:r w:rsidRPr="006E005D">
        <w:rPr>
          <w:rFonts w:asciiTheme="minorHAnsi" w:hAnsiTheme="minorHAnsi" w:cstheme="minorHAnsi"/>
          <w:sz w:val="18"/>
          <w:szCs w:val="18"/>
          <w:lang w:val="es-CO"/>
        </w:rPr>
        <w:t xml:space="preserve"> – 1ª </w:t>
      </w:r>
      <w:r w:rsidR="007E1340" w:rsidRPr="006E005D">
        <w:rPr>
          <w:rFonts w:asciiTheme="minorHAnsi" w:hAnsiTheme="minorHAnsi" w:cstheme="minorHAnsi"/>
          <w:sz w:val="18"/>
          <w:szCs w:val="18"/>
          <w:lang w:val="es-CO"/>
        </w:rPr>
        <w:t xml:space="preserve"> instancia</w:t>
      </w:r>
      <w:r w:rsidRPr="006E005D">
        <w:rPr>
          <w:rFonts w:asciiTheme="minorHAnsi" w:hAnsiTheme="minorHAnsi" w:cstheme="minorHAnsi"/>
          <w:sz w:val="18"/>
          <w:szCs w:val="18"/>
          <w:lang w:val="es-CO"/>
        </w:rPr>
        <w:t xml:space="preserve"> – </w:t>
      </w:r>
      <w:r>
        <w:rPr>
          <w:rFonts w:asciiTheme="minorHAnsi" w:hAnsiTheme="minorHAnsi" w:cstheme="minorHAnsi"/>
          <w:sz w:val="18"/>
          <w:szCs w:val="18"/>
          <w:lang w:val="es-CO"/>
        </w:rPr>
        <w:t>4</w:t>
      </w:r>
      <w:r w:rsidRPr="006E005D">
        <w:rPr>
          <w:rFonts w:asciiTheme="minorHAnsi" w:hAnsiTheme="minorHAnsi" w:cstheme="minorHAnsi"/>
          <w:sz w:val="18"/>
          <w:szCs w:val="18"/>
          <w:lang w:val="es-CO"/>
        </w:rPr>
        <w:t xml:space="preserve"> de noviembre de 2016</w:t>
      </w:r>
    </w:p>
    <w:p w:rsidR="006E005D" w:rsidRPr="006E005D" w:rsidRDefault="006E005D" w:rsidP="006E005D">
      <w:pPr>
        <w:pStyle w:val="Sansinterligne"/>
        <w:rPr>
          <w:rFonts w:asciiTheme="minorHAnsi" w:hAnsiTheme="minorHAnsi" w:cstheme="minorHAnsi"/>
          <w:sz w:val="18"/>
          <w:szCs w:val="18"/>
        </w:rPr>
      </w:pPr>
      <w:r>
        <w:rPr>
          <w:rFonts w:asciiTheme="minorHAnsi" w:hAnsiTheme="minorHAnsi" w:cstheme="minorHAnsi"/>
          <w:sz w:val="18"/>
          <w:szCs w:val="18"/>
        </w:rPr>
        <w:t>Radicación</w:t>
      </w:r>
      <w:r w:rsidRPr="006E005D">
        <w:rPr>
          <w:rFonts w:asciiTheme="minorHAnsi" w:hAnsiTheme="minorHAnsi" w:cstheme="minorHAnsi"/>
          <w:sz w:val="18"/>
          <w:szCs w:val="18"/>
        </w:rPr>
        <w:t xml:space="preserve">: </w:t>
      </w:r>
      <w:r>
        <w:rPr>
          <w:rFonts w:asciiTheme="minorHAnsi" w:hAnsiTheme="minorHAnsi" w:cstheme="minorHAnsi"/>
          <w:sz w:val="18"/>
          <w:szCs w:val="18"/>
        </w:rPr>
        <w:tab/>
      </w:r>
      <w:r>
        <w:rPr>
          <w:rFonts w:asciiTheme="minorHAnsi" w:hAnsiTheme="minorHAnsi" w:cstheme="minorHAnsi"/>
          <w:sz w:val="18"/>
          <w:szCs w:val="18"/>
        </w:rPr>
        <w:tab/>
      </w:r>
      <w:r w:rsidRPr="006E005D">
        <w:rPr>
          <w:rFonts w:asciiTheme="minorHAnsi" w:hAnsiTheme="minorHAnsi" w:cstheme="minorHAnsi"/>
          <w:sz w:val="18"/>
          <w:szCs w:val="18"/>
        </w:rPr>
        <w:t xml:space="preserve">2016-00979-00 (Interna </w:t>
      </w:r>
      <w:proofErr w:type="spellStart"/>
      <w:r w:rsidRPr="006E005D">
        <w:rPr>
          <w:rFonts w:asciiTheme="minorHAnsi" w:hAnsiTheme="minorHAnsi" w:cstheme="minorHAnsi"/>
          <w:sz w:val="18"/>
          <w:szCs w:val="18"/>
        </w:rPr>
        <w:t>No.979</w:t>
      </w:r>
      <w:proofErr w:type="spellEnd"/>
      <w:r w:rsidRPr="006E005D">
        <w:rPr>
          <w:rFonts w:asciiTheme="minorHAnsi" w:hAnsiTheme="minorHAnsi" w:cstheme="minorHAnsi"/>
          <w:sz w:val="18"/>
          <w:szCs w:val="18"/>
        </w:rPr>
        <w:t>)</w:t>
      </w:r>
    </w:p>
    <w:p w:rsidR="006E005D" w:rsidRPr="006E005D" w:rsidRDefault="006E005D" w:rsidP="006E005D">
      <w:pPr>
        <w:pStyle w:val="Sansinterligne"/>
        <w:rPr>
          <w:rFonts w:asciiTheme="minorHAnsi" w:hAnsiTheme="minorHAnsi" w:cstheme="minorHAnsi"/>
          <w:sz w:val="18"/>
          <w:szCs w:val="18"/>
        </w:rPr>
      </w:pPr>
      <w:r>
        <w:rPr>
          <w:rFonts w:asciiTheme="minorHAnsi" w:hAnsiTheme="minorHAnsi" w:cstheme="minorHAnsi"/>
          <w:sz w:val="18"/>
          <w:szCs w:val="18"/>
        </w:rPr>
        <w:t>Accionante</w:t>
      </w:r>
      <w:r w:rsidRPr="006E005D">
        <w:rPr>
          <w:rFonts w:asciiTheme="minorHAnsi" w:hAnsiTheme="minorHAnsi" w:cstheme="minorHAnsi"/>
          <w:sz w:val="18"/>
          <w:szCs w:val="18"/>
        </w:rPr>
        <w:t xml:space="preserve">: </w:t>
      </w:r>
      <w:r>
        <w:rPr>
          <w:rFonts w:asciiTheme="minorHAnsi" w:hAnsiTheme="minorHAnsi" w:cstheme="minorHAnsi"/>
          <w:sz w:val="18"/>
          <w:szCs w:val="18"/>
        </w:rPr>
        <w:tab/>
      </w:r>
      <w:r>
        <w:rPr>
          <w:rFonts w:asciiTheme="minorHAnsi" w:hAnsiTheme="minorHAnsi" w:cstheme="minorHAnsi"/>
          <w:sz w:val="18"/>
          <w:szCs w:val="18"/>
        </w:rPr>
        <w:tab/>
      </w:r>
      <w:r w:rsidRPr="006E005D">
        <w:rPr>
          <w:rFonts w:asciiTheme="minorHAnsi" w:hAnsiTheme="minorHAnsi" w:cstheme="minorHAnsi"/>
          <w:sz w:val="18"/>
          <w:szCs w:val="18"/>
        </w:rPr>
        <w:t xml:space="preserve">JAVIER ELÍAS ARIAS </w:t>
      </w:r>
      <w:proofErr w:type="spellStart"/>
      <w:r w:rsidRPr="006E005D">
        <w:rPr>
          <w:rFonts w:asciiTheme="minorHAnsi" w:hAnsiTheme="minorHAnsi" w:cstheme="minorHAnsi"/>
          <w:sz w:val="18"/>
          <w:szCs w:val="18"/>
        </w:rPr>
        <w:t>IDÁRRAGA</w:t>
      </w:r>
      <w:proofErr w:type="spellEnd"/>
    </w:p>
    <w:p w:rsidR="006E005D" w:rsidRDefault="006E005D" w:rsidP="006E005D">
      <w:pPr>
        <w:pStyle w:val="Sansinterligne"/>
        <w:ind w:left="2832" w:hanging="2832"/>
        <w:rPr>
          <w:rFonts w:asciiTheme="minorHAnsi" w:hAnsiTheme="minorHAnsi" w:cstheme="minorHAnsi"/>
          <w:sz w:val="18"/>
          <w:szCs w:val="18"/>
        </w:rPr>
      </w:pPr>
      <w:r>
        <w:rPr>
          <w:rFonts w:asciiTheme="minorHAnsi" w:hAnsiTheme="minorHAnsi" w:cstheme="minorHAnsi"/>
          <w:sz w:val="18"/>
          <w:szCs w:val="18"/>
        </w:rPr>
        <w:t>Accionado</w:t>
      </w:r>
      <w:r w:rsidRPr="006E005D">
        <w:rPr>
          <w:rFonts w:asciiTheme="minorHAnsi" w:hAnsiTheme="minorHAnsi" w:cstheme="minorHAnsi"/>
          <w:sz w:val="18"/>
          <w:szCs w:val="18"/>
        </w:rPr>
        <w:t xml:space="preserve">: </w:t>
      </w:r>
      <w:r>
        <w:rPr>
          <w:rFonts w:asciiTheme="minorHAnsi" w:hAnsiTheme="minorHAnsi" w:cstheme="minorHAnsi"/>
          <w:sz w:val="18"/>
          <w:szCs w:val="18"/>
        </w:rPr>
        <w:t xml:space="preserve">                               </w:t>
      </w:r>
      <w:r w:rsidRPr="006E005D">
        <w:rPr>
          <w:rFonts w:asciiTheme="minorHAnsi" w:hAnsiTheme="minorHAnsi" w:cstheme="minorHAnsi"/>
          <w:sz w:val="18"/>
          <w:szCs w:val="18"/>
        </w:rPr>
        <w:t>JUZGADO CUARTO CIVIL DEL CIRCUITO DE PEREIRA Y OTRA</w:t>
      </w:r>
    </w:p>
    <w:p w:rsidR="00B70155" w:rsidRPr="006E005D" w:rsidRDefault="00B70155" w:rsidP="00B70155">
      <w:pPr>
        <w:pStyle w:val="Sansinterligne"/>
        <w:ind w:left="2127" w:hanging="2127"/>
        <w:rPr>
          <w:rFonts w:asciiTheme="minorHAnsi" w:hAnsiTheme="minorHAnsi" w:cstheme="minorHAnsi"/>
          <w:sz w:val="18"/>
          <w:szCs w:val="18"/>
        </w:rPr>
      </w:pPr>
      <w:r>
        <w:rPr>
          <w:rFonts w:asciiTheme="minorHAnsi" w:hAnsiTheme="minorHAnsi" w:cstheme="minorHAnsi"/>
          <w:sz w:val="18"/>
          <w:szCs w:val="18"/>
        </w:rPr>
        <w:t xml:space="preserve">Proceso:                                    </w:t>
      </w:r>
      <w:r>
        <w:rPr>
          <w:rFonts w:asciiTheme="minorHAnsi" w:hAnsiTheme="minorHAnsi" w:cstheme="minorHAnsi"/>
          <w:sz w:val="18"/>
          <w:szCs w:val="18"/>
        </w:rPr>
        <w:tab/>
        <w:t xml:space="preserve">Acción de tutela  </w:t>
      </w:r>
      <w:r w:rsidR="00812601">
        <w:rPr>
          <w:rFonts w:asciiTheme="minorHAnsi" w:hAnsiTheme="minorHAnsi" w:cstheme="minorHAnsi"/>
          <w:sz w:val="18"/>
          <w:szCs w:val="18"/>
        </w:rPr>
        <w:t>- Declara improcedente la tutela</w:t>
      </w:r>
      <w:r>
        <w:rPr>
          <w:rFonts w:asciiTheme="minorHAnsi" w:hAnsiTheme="minorHAnsi" w:cstheme="minorHAnsi"/>
          <w:sz w:val="18"/>
          <w:szCs w:val="18"/>
        </w:rPr>
        <w:t xml:space="preserve"> contra los accionados y niega el amparo contra </w:t>
      </w:r>
      <w:proofErr w:type="spellStart"/>
      <w:r>
        <w:rPr>
          <w:rFonts w:asciiTheme="minorHAnsi" w:hAnsiTheme="minorHAnsi" w:cstheme="minorHAnsi"/>
          <w:sz w:val="18"/>
          <w:szCs w:val="18"/>
        </w:rPr>
        <w:t>EPS</w:t>
      </w:r>
      <w:proofErr w:type="spellEnd"/>
      <w:r>
        <w:rPr>
          <w:rFonts w:asciiTheme="minorHAnsi" w:hAnsiTheme="minorHAnsi" w:cstheme="minorHAnsi"/>
          <w:sz w:val="18"/>
          <w:szCs w:val="18"/>
        </w:rPr>
        <w:t xml:space="preserve"> SURA</w:t>
      </w:r>
      <w:r>
        <w:rPr>
          <w:rFonts w:asciiTheme="minorHAnsi" w:hAnsiTheme="minorHAnsi" w:cstheme="minorHAnsi"/>
          <w:sz w:val="18"/>
          <w:szCs w:val="18"/>
        </w:rPr>
        <w:tab/>
      </w:r>
    </w:p>
    <w:p w:rsidR="006E005D" w:rsidRDefault="006E005D" w:rsidP="006E005D">
      <w:pPr>
        <w:pStyle w:val="Sansinterligne"/>
        <w:rPr>
          <w:rFonts w:asciiTheme="minorHAnsi" w:hAnsiTheme="minorHAnsi" w:cstheme="minorHAnsi"/>
          <w:smallCaps/>
          <w:sz w:val="18"/>
          <w:szCs w:val="18"/>
        </w:rPr>
      </w:pPr>
      <w:r>
        <w:rPr>
          <w:rFonts w:asciiTheme="minorHAnsi" w:hAnsiTheme="minorHAnsi" w:cstheme="minorHAnsi"/>
          <w:sz w:val="18"/>
          <w:szCs w:val="18"/>
        </w:rPr>
        <w:t>Magistrado Ponente</w:t>
      </w:r>
      <w:r w:rsidRPr="006E005D">
        <w:rPr>
          <w:rFonts w:asciiTheme="minorHAnsi" w:hAnsiTheme="minorHAnsi" w:cstheme="minorHAnsi"/>
          <w:sz w:val="18"/>
          <w:szCs w:val="18"/>
        </w:rPr>
        <w:t xml:space="preserve">: </w:t>
      </w:r>
      <w:r>
        <w:rPr>
          <w:rFonts w:asciiTheme="minorHAnsi" w:hAnsiTheme="minorHAnsi" w:cstheme="minorHAnsi"/>
          <w:sz w:val="18"/>
          <w:szCs w:val="18"/>
        </w:rPr>
        <w:tab/>
      </w:r>
      <w:proofErr w:type="spellStart"/>
      <w:r w:rsidRPr="006E005D">
        <w:rPr>
          <w:rFonts w:asciiTheme="minorHAnsi" w:hAnsiTheme="minorHAnsi" w:cstheme="minorHAnsi"/>
          <w:smallCaps/>
          <w:sz w:val="18"/>
          <w:szCs w:val="18"/>
        </w:rPr>
        <w:t>DUBERNEY</w:t>
      </w:r>
      <w:proofErr w:type="spellEnd"/>
      <w:r w:rsidRPr="006E005D">
        <w:rPr>
          <w:rFonts w:asciiTheme="minorHAnsi" w:hAnsiTheme="minorHAnsi" w:cstheme="minorHAnsi"/>
          <w:smallCaps/>
          <w:sz w:val="18"/>
          <w:szCs w:val="18"/>
        </w:rPr>
        <w:t xml:space="preserve"> GRISALES HERRERA</w:t>
      </w:r>
    </w:p>
    <w:p w:rsidR="00D80FA1" w:rsidRDefault="00D80FA1" w:rsidP="00B70155">
      <w:pPr>
        <w:pStyle w:val="Notedebasdepage"/>
        <w:jc w:val="both"/>
        <w:rPr>
          <w:rFonts w:asciiTheme="minorHAnsi" w:hAnsiTheme="minorHAnsi" w:cstheme="minorHAnsi"/>
          <w:b/>
          <w:bCs/>
          <w:sz w:val="18"/>
          <w:szCs w:val="18"/>
          <w:lang w:val="es-CO"/>
        </w:rPr>
      </w:pPr>
    </w:p>
    <w:p w:rsidR="00B70155" w:rsidRPr="00B70155" w:rsidRDefault="00B70155" w:rsidP="00B70155">
      <w:pPr>
        <w:pStyle w:val="Notedebasdepage"/>
        <w:jc w:val="both"/>
        <w:rPr>
          <w:rFonts w:asciiTheme="minorHAnsi" w:hAnsiTheme="minorHAnsi" w:cstheme="minorHAnsi"/>
          <w:b/>
          <w:bCs/>
          <w:sz w:val="18"/>
          <w:szCs w:val="18"/>
          <w:lang w:val="es-CO"/>
        </w:rPr>
      </w:pPr>
      <w:r>
        <w:rPr>
          <w:rFonts w:asciiTheme="minorHAnsi" w:hAnsiTheme="minorHAnsi" w:cstheme="minorHAnsi"/>
          <w:b/>
          <w:bCs/>
          <w:sz w:val="18"/>
          <w:szCs w:val="18"/>
          <w:lang w:val="es-CO"/>
        </w:rPr>
        <w:t>Tema</w:t>
      </w:r>
      <w:r w:rsidR="00D80FA1">
        <w:rPr>
          <w:rFonts w:asciiTheme="minorHAnsi" w:hAnsiTheme="minorHAnsi" w:cstheme="minorHAnsi"/>
          <w:b/>
          <w:bCs/>
          <w:sz w:val="18"/>
          <w:szCs w:val="18"/>
          <w:lang w:val="es-CO"/>
        </w:rPr>
        <w:t>s</w:t>
      </w:r>
      <w:r>
        <w:rPr>
          <w:rFonts w:asciiTheme="minorHAnsi" w:hAnsiTheme="minorHAnsi" w:cstheme="minorHAnsi"/>
          <w:b/>
          <w:bCs/>
          <w:sz w:val="18"/>
          <w:szCs w:val="18"/>
          <w:lang w:val="es-CO"/>
        </w:rPr>
        <w:t xml:space="preserve">: </w:t>
      </w:r>
      <w:r>
        <w:rPr>
          <w:rFonts w:asciiTheme="minorHAnsi" w:hAnsiTheme="minorHAnsi" w:cstheme="minorHAnsi"/>
          <w:b/>
          <w:bCs/>
          <w:sz w:val="18"/>
          <w:szCs w:val="18"/>
          <w:lang w:val="es-CO"/>
        </w:rPr>
        <w:tab/>
      </w:r>
      <w:r>
        <w:rPr>
          <w:rFonts w:asciiTheme="minorHAnsi" w:hAnsiTheme="minorHAnsi" w:cstheme="minorHAnsi"/>
          <w:b/>
          <w:bCs/>
          <w:sz w:val="18"/>
          <w:szCs w:val="18"/>
          <w:lang w:val="es-CO"/>
        </w:rPr>
        <w:tab/>
      </w:r>
      <w:r>
        <w:rPr>
          <w:rFonts w:asciiTheme="minorHAnsi" w:hAnsiTheme="minorHAnsi" w:cstheme="minorHAnsi"/>
          <w:b/>
          <w:bCs/>
          <w:sz w:val="18"/>
          <w:szCs w:val="18"/>
          <w:lang w:val="es-CO"/>
        </w:rPr>
        <w:tab/>
      </w:r>
      <w:r w:rsidRPr="00B70155">
        <w:rPr>
          <w:rFonts w:asciiTheme="minorHAnsi" w:hAnsiTheme="minorHAnsi" w:cstheme="minorHAnsi"/>
          <w:b/>
          <w:bCs/>
          <w:sz w:val="18"/>
          <w:szCs w:val="18"/>
          <w:lang w:val="es-CO"/>
        </w:rPr>
        <w:t>DEBIDO PROCESO / TUTELA CONTRA PROVIDENCIA JUDICIAL / IMPROCEDENTE / SUBSIDIARIDAD /</w:t>
      </w:r>
      <w:r w:rsidRPr="00B70155">
        <w:rPr>
          <w:rFonts w:asciiTheme="minorHAnsi" w:hAnsiTheme="minorHAnsi" w:cstheme="minorHAnsi"/>
          <w:sz w:val="18"/>
          <w:szCs w:val="18"/>
        </w:rPr>
        <w:t xml:space="preserve"> </w:t>
      </w:r>
      <w:r w:rsidRPr="00B70155">
        <w:rPr>
          <w:rFonts w:asciiTheme="minorHAnsi" w:hAnsiTheme="minorHAnsi" w:cstheme="minorHAnsi"/>
          <w:b/>
          <w:bCs/>
          <w:sz w:val="18"/>
          <w:szCs w:val="18"/>
          <w:lang w:val="es-CO"/>
        </w:rPr>
        <w:t>Acción de tutela no es una instancia adicional.</w:t>
      </w:r>
      <w:r w:rsidRPr="00B70155">
        <w:rPr>
          <w:rFonts w:asciiTheme="minorHAnsi" w:hAnsiTheme="minorHAnsi" w:cstheme="minorHAnsi"/>
          <w:sz w:val="18"/>
          <w:szCs w:val="18"/>
        </w:rPr>
        <w:t xml:space="preserve"> “</w:t>
      </w:r>
      <w:r w:rsidRPr="00B70155">
        <w:rPr>
          <w:rFonts w:asciiTheme="minorHAnsi" w:hAnsiTheme="minorHAnsi" w:cstheme="minorHAnsi"/>
          <w:bCs/>
          <w:sz w:val="18"/>
          <w:szCs w:val="18"/>
        </w:rPr>
        <w:t>[E]l accionante omitió impugnar (Artículo 36, Ley 472), el proveído mediante el cual se accedió al desistimiento de la queja formulada por la parte pasiva</w:t>
      </w:r>
      <w:r w:rsidRPr="00B70155">
        <w:rPr>
          <w:rFonts w:asciiTheme="minorHAnsi" w:hAnsiTheme="minorHAnsi" w:cstheme="minorHAnsi"/>
          <w:bCs/>
          <w:sz w:val="18"/>
          <w:szCs w:val="18"/>
          <w:lang w:val="es-CO"/>
        </w:rPr>
        <w:t xml:space="preserve">, </w:t>
      </w:r>
      <w:r w:rsidRPr="00B70155">
        <w:rPr>
          <w:rFonts w:asciiTheme="minorHAnsi" w:hAnsiTheme="minorHAnsi" w:cstheme="minorHAnsi"/>
          <w:bCs/>
          <w:sz w:val="18"/>
          <w:szCs w:val="18"/>
        </w:rPr>
        <w:t xml:space="preserve">cuando ese era el mecanismo ordinario y expedito que tenía para procurar que el estrado judicial valorara la posibilidad de condenar en costas, como lo pretende en el petitorio de tutela. Tampoco obra escrito alguno formulando aquel pedimento. </w:t>
      </w:r>
      <w:r w:rsidRPr="00B70155">
        <w:rPr>
          <w:rFonts w:asciiTheme="minorHAnsi" w:hAnsiTheme="minorHAnsi" w:cstheme="minorHAnsi"/>
          <w:bCs/>
          <w:sz w:val="18"/>
          <w:szCs w:val="18"/>
          <w:lang w:val="es-ES_tradnl"/>
        </w:rPr>
        <w:t xml:space="preserve">Evidente, entonces, es la falta de agotamiento del supuesto de subsidiariedad, como ha explicado </w:t>
      </w:r>
      <w:r w:rsidRPr="00B70155">
        <w:rPr>
          <w:rFonts w:asciiTheme="minorHAnsi" w:hAnsiTheme="minorHAnsi" w:cstheme="minorHAnsi"/>
          <w:bCs/>
          <w:sz w:val="18"/>
          <w:szCs w:val="18"/>
        </w:rPr>
        <w:t xml:space="preserve">la Corte Constitucional, que reiteradamente ha referido que la acción de tutela mal puede implementarse como medio para sustituir los mecanismos ordinarios de defensa, cuando por negligencia, descuido o incuria no fueron utilizados. Cabe acotar que nada se arguyó, y menos acreditó por parte del accionante, de forma que pudiera estimarse </w:t>
      </w:r>
      <w:r w:rsidRPr="00B70155">
        <w:rPr>
          <w:rFonts w:asciiTheme="minorHAnsi" w:hAnsiTheme="minorHAnsi" w:cstheme="minorHAnsi"/>
          <w:bCs/>
          <w:sz w:val="18"/>
          <w:szCs w:val="18"/>
          <w:lang w:val="es-CO"/>
        </w:rPr>
        <w:t xml:space="preserve">que es una persona que requiere de protección reforzada o que estaba en una situación de imposibilidad para recurrir los mencionados autos, de tal modo que amerite un análisis flexible del requisito de </w:t>
      </w:r>
      <w:proofErr w:type="spellStart"/>
      <w:r w:rsidRPr="00B70155">
        <w:rPr>
          <w:rFonts w:asciiTheme="minorHAnsi" w:hAnsiTheme="minorHAnsi" w:cstheme="minorHAnsi"/>
          <w:bCs/>
          <w:sz w:val="18"/>
          <w:szCs w:val="18"/>
          <w:lang w:val="es-CO"/>
        </w:rPr>
        <w:t>procedibilidad</w:t>
      </w:r>
      <w:proofErr w:type="spellEnd"/>
      <w:r w:rsidRPr="00B70155">
        <w:rPr>
          <w:rFonts w:asciiTheme="minorHAnsi" w:hAnsiTheme="minorHAnsi" w:cstheme="minorHAnsi"/>
          <w:bCs/>
          <w:sz w:val="18"/>
          <w:szCs w:val="18"/>
          <w:lang w:val="es-CO"/>
        </w:rPr>
        <w:t xml:space="preserve"> echado de menos, </w:t>
      </w:r>
      <w:r w:rsidRPr="00B70155">
        <w:rPr>
          <w:rFonts w:asciiTheme="minorHAnsi" w:hAnsiTheme="minorHAnsi" w:cstheme="minorHAnsi"/>
          <w:bCs/>
          <w:sz w:val="18"/>
          <w:szCs w:val="18"/>
        </w:rPr>
        <w:t>por ende, solo a la parte le es imputable tal descuido.”</w:t>
      </w:r>
      <w:r w:rsidRPr="00B70155">
        <w:rPr>
          <w:rFonts w:asciiTheme="minorHAnsi" w:hAnsiTheme="minorHAnsi" w:cstheme="minorHAnsi"/>
          <w:bCs/>
          <w:sz w:val="18"/>
          <w:szCs w:val="18"/>
          <w:lang w:val="es-CO"/>
        </w:rPr>
        <w:t>.</w:t>
      </w:r>
      <w:r w:rsidRPr="00B70155">
        <w:rPr>
          <w:rFonts w:asciiTheme="minorHAnsi" w:hAnsiTheme="minorHAnsi" w:cstheme="minorHAnsi"/>
          <w:b/>
          <w:bCs/>
          <w:sz w:val="18"/>
          <w:szCs w:val="18"/>
          <w:lang w:val="es-CO"/>
        </w:rPr>
        <w:t xml:space="preserve"> </w:t>
      </w:r>
    </w:p>
    <w:p w:rsidR="00B70155" w:rsidRPr="00B70155" w:rsidRDefault="00B70155" w:rsidP="00B70155">
      <w:pPr>
        <w:pStyle w:val="Notedebasdepage"/>
        <w:jc w:val="both"/>
        <w:rPr>
          <w:rFonts w:asciiTheme="minorHAnsi" w:hAnsiTheme="minorHAnsi" w:cstheme="minorHAnsi"/>
          <w:sz w:val="18"/>
          <w:szCs w:val="18"/>
          <w:lang w:val="es-CO" w:eastAsia="fr-FR"/>
        </w:rPr>
      </w:pPr>
    </w:p>
    <w:p w:rsidR="00B70155" w:rsidRPr="00B70155" w:rsidRDefault="00B70155" w:rsidP="00B70155">
      <w:pPr>
        <w:pStyle w:val="Notedebasdepage"/>
        <w:jc w:val="both"/>
        <w:rPr>
          <w:rFonts w:asciiTheme="minorHAnsi" w:hAnsiTheme="minorHAnsi" w:cstheme="minorHAnsi"/>
          <w:sz w:val="18"/>
          <w:szCs w:val="18"/>
          <w:lang w:val="es-CO"/>
        </w:rPr>
      </w:pPr>
      <w:r w:rsidRPr="00B70155">
        <w:rPr>
          <w:rFonts w:asciiTheme="minorHAnsi" w:hAnsiTheme="minorHAnsi" w:cstheme="minorHAnsi"/>
          <w:b/>
          <w:sz w:val="18"/>
          <w:szCs w:val="18"/>
          <w:lang w:val="es-CO" w:eastAsia="fr-FR"/>
        </w:rPr>
        <w:t xml:space="preserve">Citación jurisprudencial: </w:t>
      </w:r>
      <w:r w:rsidRPr="00B70155">
        <w:rPr>
          <w:rFonts w:asciiTheme="minorHAnsi" w:hAnsiTheme="minorHAnsi" w:cstheme="minorHAnsi"/>
          <w:sz w:val="18"/>
          <w:szCs w:val="18"/>
          <w:lang w:val="es-MX"/>
        </w:rPr>
        <w:t xml:space="preserve">CORTE CONSTITUCIONAL, Sentencia T-917 de 2011, Sentencia C-590 de 2005, Sentencias </w:t>
      </w:r>
      <w:r w:rsidRPr="00B70155">
        <w:rPr>
          <w:rFonts w:asciiTheme="minorHAnsi" w:hAnsiTheme="minorHAnsi" w:cstheme="minorHAnsi"/>
          <w:bCs/>
          <w:sz w:val="18"/>
          <w:szCs w:val="18"/>
          <w:lang w:val="es-CO"/>
        </w:rPr>
        <w:t xml:space="preserve">T-107 de 2016, Sentencia </w:t>
      </w:r>
      <w:r w:rsidRPr="00B70155">
        <w:rPr>
          <w:rFonts w:asciiTheme="minorHAnsi" w:hAnsiTheme="minorHAnsi" w:cstheme="minorHAnsi"/>
          <w:sz w:val="18"/>
          <w:szCs w:val="18"/>
          <w:lang w:val="es-MX"/>
        </w:rPr>
        <w:t xml:space="preserve">T-064 de 2015, Sentencia T-307 de 2015, </w:t>
      </w:r>
      <w:r w:rsidRPr="00B70155">
        <w:rPr>
          <w:rFonts w:asciiTheme="minorHAnsi" w:hAnsiTheme="minorHAnsi" w:cstheme="minorHAnsi"/>
          <w:sz w:val="18"/>
          <w:szCs w:val="18"/>
          <w:lang w:val="es-CO"/>
        </w:rPr>
        <w:t>Sentencia T-134 de 1994 / Sentencia T-103 de 2014 / Sentencia T-567 de 1998 / Sentencia T-662 de 2013 /</w:t>
      </w:r>
      <w:r w:rsidRPr="00B70155">
        <w:rPr>
          <w:rFonts w:asciiTheme="minorHAnsi" w:hAnsiTheme="minorHAnsi" w:cstheme="minorHAnsi"/>
          <w:b/>
          <w:bCs/>
          <w:color w:val="2D2D2D"/>
          <w:sz w:val="18"/>
          <w:szCs w:val="18"/>
          <w:bdr w:val="none" w:sz="0" w:space="0" w:color="auto" w:frame="1"/>
          <w:shd w:val="clear" w:color="auto" w:fill="FFFFFF"/>
          <w:lang w:val="es-CO"/>
        </w:rPr>
        <w:t xml:space="preserve"> </w:t>
      </w:r>
      <w:r w:rsidRPr="00B70155">
        <w:rPr>
          <w:rFonts w:asciiTheme="minorHAnsi" w:hAnsiTheme="minorHAnsi" w:cstheme="minorHAnsi"/>
          <w:bCs/>
          <w:sz w:val="18"/>
          <w:szCs w:val="18"/>
          <w:bdr w:val="none" w:sz="0" w:space="0" w:color="auto" w:frame="1"/>
          <w:shd w:val="clear" w:color="auto" w:fill="FFFFFF"/>
          <w:lang w:val="es-CO"/>
        </w:rPr>
        <w:t xml:space="preserve">Sentencia T-037 de 2016 / Sentencia T-120 de 2016 / </w:t>
      </w:r>
      <w:r w:rsidRPr="00B70155">
        <w:rPr>
          <w:rFonts w:asciiTheme="minorHAnsi" w:hAnsiTheme="minorHAnsi" w:cstheme="minorHAnsi"/>
          <w:sz w:val="18"/>
          <w:szCs w:val="18"/>
          <w:lang w:val="es-CO"/>
        </w:rPr>
        <w:t>Sentencia T-231 de 1994 / Sentencia T-831 de 2012 / Sentencia T-573 de 1997 / Sentencia T-001 de 1999 / S</w:t>
      </w:r>
      <w:proofErr w:type="spellStart"/>
      <w:r w:rsidRPr="00B70155">
        <w:rPr>
          <w:rFonts w:asciiTheme="minorHAnsi" w:hAnsiTheme="minorHAnsi" w:cstheme="minorHAnsi"/>
          <w:sz w:val="18"/>
          <w:szCs w:val="18"/>
          <w:lang w:val="es-MX"/>
        </w:rPr>
        <w:t>entencia</w:t>
      </w:r>
      <w:proofErr w:type="spellEnd"/>
      <w:r w:rsidRPr="00B70155">
        <w:rPr>
          <w:rFonts w:asciiTheme="minorHAnsi" w:hAnsiTheme="minorHAnsi" w:cstheme="minorHAnsi"/>
          <w:sz w:val="18"/>
          <w:szCs w:val="18"/>
          <w:lang w:val="es-MX"/>
        </w:rPr>
        <w:t xml:space="preserve"> SU-949 de 2014 / Sentencia T-192 de 2015 / </w:t>
      </w:r>
      <w:r w:rsidRPr="00B70155">
        <w:rPr>
          <w:rFonts w:asciiTheme="minorHAnsi" w:hAnsiTheme="minorHAnsi" w:cstheme="minorHAnsi"/>
          <w:sz w:val="18"/>
          <w:szCs w:val="18"/>
          <w:lang w:val="es-CO"/>
        </w:rPr>
        <w:t xml:space="preserve">Sentencia T-193 de 2008 / Sentencia T-185 de 2013 / Sentencia </w:t>
      </w:r>
      <w:r w:rsidRPr="00B70155">
        <w:rPr>
          <w:rFonts w:asciiTheme="minorHAnsi" w:hAnsiTheme="minorHAnsi" w:cstheme="minorHAnsi"/>
          <w:bCs/>
          <w:sz w:val="18"/>
          <w:szCs w:val="18"/>
          <w:lang w:val="es-CO"/>
        </w:rPr>
        <w:t>SU-240 de 2015</w:t>
      </w:r>
      <w:r w:rsidRPr="00B70155">
        <w:rPr>
          <w:rFonts w:asciiTheme="minorHAnsi" w:hAnsiTheme="minorHAnsi" w:cstheme="minorHAnsi"/>
          <w:sz w:val="18"/>
          <w:szCs w:val="18"/>
          <w:lang w:val="es-CO"/>
        </w:rPr>
        <w:t xml:space="preserve"> / Sentencia </w:t>
      </w:r>
      <w:r w:rsidRPr="00B70155">
        <w:rPr>
          <w:rFonts w:asciiTheme="minorHAnsi" w:hAnsiTheme="minorHAnsi" w:cstheme="minorHAnsi"/>
          <w:bCs/>
          <w:sz w:val="18"/>
          <w:szCs w:val="18"/>
          <w:lang w:val="es-CO"/>
        </w:rPr>
        <w:t>T-001 de 2016 /</w:t>
      </w:r>
      <w:r w:rsidRPr="00B70155">
        <w:rPr>
          <w:rFonts w:asciiTheme="minorHAnsi" w:hAnsiTheme="minorHAnsi" w:cstheme="minorHAnsi"/>
          <w:sz w:val="18"/>
          <w:szCs w:val="18"/>
          <w:lang w:val="es-CO"/>
        </w:rPr>
        <w:t xml:space="preserve"> Sentencia T-057 de 2016 / Sentencia T-095 de 2015 / Sentencia T-717 de 2011 / Sentencia T-429 de 2011 / Sentencia T-184 de 2005 / Sentencia T-443 de 1995 / Sentencia T-149 de 1995 / Sentencia T-308 de 1995 / Sentencia T-001 de 1997 / Sentencia T-560 de 2009.</w:t>
      </w:r>
    </w:p>
    <w:p w:rsidR="00B70155" w:rsidRPr="00B70155" w:rsidRDefault="00B70155" w:rsidP="00B70155">
      <w:pPr>
        <w:pStyle w:val="Notedebasdepage"/>
        <w:jc w:val="both"/>
        <w:rPr>
          <w:rFonts w:asciiTheme="minorHAnsi" w:hAnsiTheme="minorHAnsi" w:cstheme="minorHAnsi"/>
          <w:b/>
          <w:sz w:val="18"/>
          <w:szCs w:val="18"/>
          <w:lang w:val="es-CO" w:eastAsia="fr-FR"/>
        </w:rPr>
      </w:pPr>
    </w:p>
    <w:p w:rsidR="00B70155" w:rsidRPr="00B70155" w:rsidRDefault="00B70155" w:rsidP="00B70155">
      <w:pPr>
        <w:pStyle w:val="Notedebasdepage"/>
        <w:jc w:val="both"/>
        <w:rPr>
          <w:rFonts w:asciiTheme="minorHAnsi" w:hAnsiTheme="minorHAnsi" w:cstheme="minorHAnsi"/>
          <w:sz w:val="18"/>
          <w:szCs w:val="18"/>
          <w:lang w:val="es-CO"/>
        </w:rPr>
      </w:pPr>
      <w:r w:rsidRPr="00B70155">
        <w:rPr>
          <w:rFonts w:asciiTheme="minorHAnsi" w:hAnsiTheme="minorHAnsi" w:cstheme="minorHAnsi"/>
          <w:sz w:val="18"/>
          <w:szCs w:val="18"/>
          <w:lang w:val="es-CO"/>
        </w:rPr>
        <w:t xml:space="preserve">CORTE SUPREMA DE JUSTICIA, </w:t>
      </w:r>
      <w:proofErr w:type="spellStart"/>
      <w:r w:rsidRPr="00B70155">
        <w:rPr>
          <w:rFonts w:asciiTheme="minorHAnsi" w:hAnsiTheme="minorHAnsi" w:cstheme="minorHAnsi"/>
          <w:sz w:val="18"/>
          <w:szCs w:val="18"/>
          <w:lang w:val="es-CO"/>
        </w:rPr>
        <w:t>SCC</w:t>
      </w:r>
      <w:proofErr w:type="spellEnd"/>
      <w:r w:rsidRPr="00B70155">
        <w:rPr>
          <w:rFonts w:asciiTheme="minorHAnsi" w:hAnsiTheme="minorHAnsi" w:cstheme="minorHAnsi"/>
          <w:sz w:val="18"/>
          <w:szCs w:val="18"/>
          <w:lang w:val="es-CO"/>
        </w:rPr>
        <w:t xml:space="preserve">, Sentencia del 02 de septiembre de 2014, Rad. 23001-22-14-000-2014-00097-01 / Providencia </w:t>
      </w:r>
      <w:proofErr w:type="spellStart"/>
      <w:r w:rsidRPr="00B70155">
        <w:rPr>
          <w:rFonts w:asciiTheme="minorHAnsi" w:hAnsiTheme="minorHAnsi" w:cstheme="minorHAnsi"/>
          <w:sz w:val="18"/>
          <w:szCs w:val="18"/>
          <w:lang w:val="es-CO"/>
        </w:rPr>
        <w:t>STC6121</w:t>
      </w:r>
      <w:proofErr w:type="spellEnd"/>
      <w:r w:rsidRPr="00B70155">
        <w:rPr>
          <w:rFonts w:asciiTheme="minorHAnsi" w:hAnsiTheme="minorHAnsi" w:cstheme="minorHAnsi"/>
          <w:sz w:val="18"/>
          <w:szCs w:val="18"/>
          <w:lang w:val="es-CO"/>
        </w:rPr>
        <w:t xml:space="preserve">-2015 / Providencia </w:t>
      </w:r>
      <w:proofErr w:type="spellStart"/>
      <w:r w:rsidRPr="00B70155">
        <w:rPr>
          <w:rFonts w:asciiTheme="minorHAnsi" w:hAnsiTheme="minorHAnsi" w:cstheme="minorHAnsi"/>
          <w:sz w:val="18"/>
          <w:szCs w:val="18"/>
          <w:lang w:val="es-CO"/>
        </w:rPr>
        <w:t>STC3931</w:t>
      </w:r>
      <w:proofErr w:type="spellEnd"/>
      <w:r w:rsidRPr="00B70155">
        <w:rPr>
          <w:rFonts w:asciiTheme="minorHAnsi" w:hAnsiTheme="minorHAnsi" w:cstheme="minorHAnsi"/>
          <w:sz w:val="18"/>
          <w:szCs w:val="18"/>
          <w:lang w:val="es-CO"/>
        </w:rPr>
        <w:t xml:space="preserve">-2016 / Sentencia </w:t>
      </w:r>
      <w:proofErr w:type="spellStart"/>
      <w:r w:rsidRPr="00B70155">
        <w:rPr>
          <w:rFonts w:asciiTheme="minorHAnsi" w:hAnsiTheme="minorHAnsi" w:cstheme="minorHAnsi"/>
          <w:sz w:val="18"/>
          <w:szCs w:val="18"/>
          <w:lang w:val="es-CO"/>
        </w:rPr>
        <w:t>STC11747</w:t>
      </w:r>
      <w:proofErr w:type="spellEnd"/>
      <w:r w:rsidRPr="00B70155">
        <w:rPr>
          <w:rFonts w:asciiTheme="minorHAnsi" w:hAnsiTheme="minorHAnsi" w:cstheme="minorHAnsi"/>
          <w:sz w:val="18"/>
          <w:szCs w:val="18"/>
          <w:lang w:val="es-CO"/>
        </w:rPr>
        <w:t xml:space="preserve">-2016 / Sentencia </w:t>
      </w:r>
      <w:proofErr w:type="spellStart"/>
      <w:r w:rsidRPr="00B70155">
        <w:rPr>
          <w:rFonts w:asciiTheme="minorHAnsi" w:hAnsiTheme="minorHAnsi" w:cstheme="minorHAnsi"/>
          <w:sz w:val="18"/>
          <w:szCs w:val="18"/>
          <w:lang w:val="es-CO"/>
        </w:rPr>
        <w:t>STC7545</w:t>
      </w:r>
      <w:proofErr w:type="spellEnd"/>
      <w:r w:rsidRPr="00B70155">
        <w:rPr>
          <w:rFonts w:asciiTheme="minorHAnsi" w:hAnsiTheme="minorHAnsi" w:cstheme="minorHAnsi"/>
          <w:sz w:val="18"/>
          <w:szCs w:val="18"/>
          <w:lang w:val="es-CO"/>
        </w:rPr>
        <w:t xml:space="preserve">-2016 / Sentencia </w:t>
      </w:r>
      <w:proofErr w:type="spellStart"/>
      <w:r w:rsidRPr="00B70155">
        <w:rPr>
          <w:rFonts w:asciiTheme="minorHAnsi" w:hAnsiTheme="minorHAnsi" w:cstheme="minorHAnsi"/>
          <w:sz w:val="18"/>
          <w:szCs w:val="18"/>
          <w:lang w:val="es-CO"/>
        </w:rPr>
        <w:t>STC10685</w:t>
      </w:r>
      <w:proofErr w:type="spellEnd"/>
      <w:r w:rsidRPr="00B70155">
        <w:rPr>
          <w:rFonts w:asciiTheme="minorHAnsi" w:hAnsiTheme="minorHAnsi" w:cstheme="minorHAnsi"/>
          <w:sz w:val="18"/>
          <w:szCs w:val="18"/>
          <w:lang w:val="es-CO"/>
        </w:rPr>
        <w:t xml:space="preserve">-2016 / Sentencia </w:t>
      </w:r>
      <w:proofErr w:type="spellStart"/>
      <w:r w:rsidRPr="00B70155">
        <w:rPr>
          <w:rFonts w:asciiTheme="minorHAnsi" w:hAnsiTheme="minorHAnsi" w:cstheme="minorHAnsi"/>
          <w:sz w:val="18"/>
          <w:szCs w:val="18"/>
          <w:lang w:val="es-CO"/>
        </w:rPr>
        <w:t>STC12859</w:t>
      </w:r>
      <w:proofErr w:type="spellEnd"/>
      <w:r w:rsidRPr="00B70155">
        <w:rPr>
          <w:rFonts w:asciiTheme="minorHAnsi" w:hAnsiTheme="minorHAnsi" w:cstheme="minorHAnsi"/>
          <w:sz w:val="18"/>
          <w:szCs w:val="18"/>
          <w:lang w:val="es-CO"/>
        </w:rPr>
        <w:t>-2016.</w:t>
      </w:r>
    </w:p>
    <w:p w:rsidR="00B70155" w:rsidRPr="00B70155" w:rsidRDefault="00B70155" w:rsidP="00B70155">
      <w:pPr>
        <w:pStyle w:val="Notedebasdepage"/>
        <w:jc w:val="both"/>
        <w:rPr>
          <w:rFonts w:asciiTheme="minorHAnsi" w:hAnsiTheme="minorHAnsi" w:cstheme="minorHAnsi"/>
          <w:sz w:val="18"/>
          <w:szCs w:val="18"/>
          <w:lang w:val="es-CO"/>
        </w:rPr>
      </w:pPr>
    </w:p>
    <w:p w:rsidR="00B70155" w:rsidRPr="00B70155" w:rsidRDefault="00B70155" w:rsidP="00B70155">
      <w:pPr>
        <w:pStyle w:val="Notedebasdepage"/>
        <w:jc w:val="both"/>
        <w:rPr>
          <w:rFonts w:asciiTheme="minorHAnsi" w:hAnsiTheme="minorHAnsi" w:cstheme="minorHAnsi"/>
          <w:sz w:val="18"/>
          <w:szCs w:val="18"/>
          <w:lang w:val="es-CO"/>
        </w:rPr>
      </w:pPr>
      <w:r w:rsidRPr="00B70155">
        <w:rPr>
          <w:rFonts w:asciiTheme="minorHAnsi" w:hAnsiTheme="minorHAnsi" w:cstheme="minorHAnsi"/>
          <w:sz w:val="18"/>
          <w:szCs w:val="18"/>
          <w:lang w:val="es-CO"/>
        </w:rPr>
        <w:t>TRIBUNAL SUPERIOR DE PEREIRA, Sala Civil-Familia, Sentencia del 28 de marzo de 2016, Rad. 2016-00289-00 / Sentencia del 30 de junio de 2016,  Rad. 2016-00554-00 / Sentencia del 11 de agosto de 2016, Rad. 2016-00750-00.</w:t>
      </w:r>
    </w:p>
    <w:p w:rsidR="00B70155" w:rsidRPr="00B70155" w:rsidRDefault="00B70155" w:rsidP="006E005D">
      <w:pPr>
        <w:pStyle w:val="Sansinterligne"/>
        <w:rPr>
          <w:rFonts w:asciiTheme="minorHAnsi" w:hAnsiTheme="minorHAnsi" w:cstheme="minorHAnsi"/>
          <w:sz w:val="18"/>
          <w:szCs w:val="18"/>
          <w:lang w:val="es-CO"/>
        </w:rPr>
      </w:pPr>
    </w:p>
    <w:p w:rsidR="006E005D" w:rsidRDefault="006E005D" w:rsidP="002403C8">
      <w:pPr>
        <w:pStyle w:val="Sansinterligne"/>
        <w:tabs>
          <w:tab w:val="left" w:pos="3579"/>
        </w:tabs>
        <w:spacing w:line="360" w:lineRule="auto"/>
        <w:jc w:val="center"/>
        <w:rPr>
          <w:rFonts w:ascii="Arial" w:hAnsi="Arial" w:cs="Arial"/>
          <w:w w:val="140"/>
          <w:sz w:val="14"/>
        </w:rPr>
      </w:pPr>
    </w:p>
    <w:p w:rsidR="006E005D" w:rsidRDefault="00D0509A" w:rsidP="002403C8">
      <w:pPr>
        <w:pStyle w:val="Sansinterligne"/>
        <w:tabs>
          <w:tab w:val="left" w:pos="3579"/>
        </w:tabs>
        <w:spacing w:line="360" w:lineRule="auto"/>
        <w:jc w:val="center"/>
        <w:rPr>
          <w:rFonts w:ascii="Arial" w:hAnsi="Arial" w:cs="Arial"/>
          <w:w w:val="140"/>
          <w:sz w:val="14"/>
        </w:rPr>
      </w:pPr>
      <w:r>
        <w:rPr>
          <w:noProof/>
          <w:lang w:val="fr-FR" w:eastAsia="fr-FR"/>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p>
    <w:p w:rsidR="00486062" w:rsidRPr="00055048" w:rsidRDefault="00E27305" w:rsidP="002403C8">
      <w:pPr>
        <w:pStyle w:val="Sansinterligne"/>
        <w:tabs>
          <w:tab w:val="left" w:pos="3579"/>
        </w:tabs>
        <w:spacing w:line="360" w:lineRule="auto"/>
        <w:jc w:val="center"/>
        <w:rPr>
          <w:rFonts w:ascii="Arial" w:hAnsi="Arial" w:cs="Arial"/>
          <w:w w:val="140"/>
          <w:sz w:val="14"/>
        </w:rPr>
      </w:pPr>
      <w:r>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ansinterligne"/>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ansinterligne"/>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ansinterligne"/>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ansinterligne"/>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009C1B3A">
        <w:rPr>
          <w:rFonts w:ascii="Arial" w:hAnsi="Arial" w:cs="Arial"/>
          <w:w w:val="140"/>
          <w:sz w:val="16"/>
          <w:szCs w:val="18"/>
        </w:rPr>
        <w:t>E</w:t>
      </w:r>
      <w:r w:rsidRPr="00E4399D">
        <w:rPr>
          <w:rFonts w:ascii="Arial" w:hAnsi="Arial" w:cs="Arial"/>
          <w:w w:val="140"/>
          <w:sz w:val="16"/>
          <w:szCs w:val="18"/>
        </w:rPr>
        <w:t xml:space="preserve"> </w:t>
      </w:r>
      <w:r w:rsidRPr="00FC5EB6">
        <w:rPr>
          <w:rFonts w:ascii="Arial" w:hAnsi="Arial" w:cs="Arial"/>
          <w:w w:val="140"/>
          <w:sz w:val="18"/>
          <w:szCs w:val="18"/>
        </w:rPr>
        <w:t>R</w:t>
      </w:r>
      <w:r w:rsidRPr="00E4399D">
        <w:rPr>
          <w:rFonts w:ascii="Arial" w:hAnsi="Arial" w:cs="Arial"/>
          <w:w w:val="140"/>
          <w:sz w:val="16"/>
          <w:szCs w:val="18"/>
        </w:rPr>
        <w:t>ISARALDA</w:t>
      </w:r>
    </w:p>
    <w:p w:rsidR="00486062" w:rsidRPr="007B5232" w:rsidRDefault="00486062" w:rsidP="00ED7F33">
      <w:pPr>
        <w:spacing w:line="360" w:lineRule="auto"/>
        <w:jc w:val="center"/>
        <w:rPr>
          <w:rFonts w:ascii="Arial" w:hAnsi="Arial" w:cs="Arial"/>
          <w:w w:val="140"/>
          <w:sz w:val="20"/>
          <w:szCs w:val="18"/>
        </w:rPr>
      </w:pPr>
    </w:p>
    <w:p w:rsidR="0099045D" w:rsidRPr="002060F5" w:rsidRDefault="00970930" w:rsidP="00F560C3">
      <w:pPr>
        <w:pStyle w:val="Corpsdetex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964618" w:rsidRPr="00964618" w:rsidRDefault="00964618" w:rsidP="00964618">
      <w:pPr>
        <w:pStyle w:val="Corpsdetexte"/>
        <w:spacing w:line="360" w:lineRule="auto"/>
        <w:ind w:left="1416"/>
        <w:rPr>
          <w:rFonts w:ascii="Arial" w:hAnsi="Arial" w:cs="Arial"/>
          <w:sz w:val="22"/>
        </w:rPr>
      </w:pPr>
      <w:r w:rsidRPr="00964618">
        <w:rPr>
          <w:rFonts w:ascii="Arial" w:hAnsi="Arial" w:cs="Arial"/>
          <w:sz w:val="22"/>
        </w:rPr>
        <w:t>Accionante</w:t>
      </w:r>
      <w:r w:rsidRPr="00964618">
        <w:rPr>
          <w:rFonts w:ascii="Arial" w:hAnsi="Arial" w:cs="Arial"/>
          <w:sz w:val="22"/>
        </w:rPr>
        <w:tab/>
      </w:r>
      <w:r w:rsidRPr="00964618">
        <w:rPr>
          <w:rFonts w:ascii="Arial" w:hAnsi="Arial" w:cs="Arial"/>
          <w:sz w:val="22"/>
        </w:rPr>
        <w:tab/>
        <w:t xml:space="preserve">: </w:t>
      </w:r>
      <w:r w:rsidR="00D11143">
        <w:rPr>
          <w:rFonts w:ascii="Arial" w:hAnsi="Arial" w:cs="Arial"/>
          <w:sz w:val="22"/>
        </w:rPr>
        <w:t xml:space="preserve">Javier Elías Arias </w:t>
      </w:r>
      <w:proofErr w:type="spellStart"/>
      <w:r w:rsidR="00D11143">
        <w:rPr>
          <w:rFonts w:ascii="Arial" w:hAnsi="Arial" w:cs="Arial"/>
          <w:sz w:val="22"/>
        </w:rPr>
        <w:t>Idárraga</w:t>
      </w:r>
      <w:proofErr w:type="spellEnd"/>
    </w:p>
    <w:p w:rsidR="00964618" w:rsidRPr="00964618" w:rsidRDefault="00964618" w:rsidP="00964618">
      <w:pPr>
        <w:pStyle w:val="Corpsdetexte"/>
        <w:spacing w:line="360" w:lineRule="auto"/>
        <w:ind w:left="1416"/>
        <w:rPr>
          <w:rFonts w:ascii="Arial" w:hAnsi="Arial" w:cs="Arial"/>
          <w:sz w:val="22"/>
        </w:rPr>
      </w:pPr>
      <w:r w:rsidRPr="00964618">
        <w:rPr>
          <w:rFonts w:ascii="Arial" w:hAnsi="Arial" w:cs="Arial"/>
          <w:sz w:val="22"/>
        </w:rPr>
        <w:t>Accionado (s)</w:t>
      </w:r>
      <w:r w:rsidRPr="00964618">
        <w:rPr>
          <w:rFonts w:ascii="Arial" w:hAnsi="Arial" w:cs="Arial"/>
          <w:sz w:val="22"/>
        </w:rPr>
        <w:tab/>
      </w:r>
      <w:r w:rsidRPr="00964618">
        <w:rPr>
          <w:rFonts w:ascii="Arial" w:hAnsi="Arial" w:cs="Arial"/>
          <w:sz w:val="22"/>
        </w:rPr>
        <w:tab/>
        <w:t xml:space="preserve">: Juzgado </w:t>
      </w:r>
      <w:r w:rsidR="00934393">
        <w:rPr>
          <w:rFonts w:ascii="Arial" w:hAnsi="Arial" w:cs="Arial"/>
          <w:sz w:val="22"/>
        </w:rPr>
        <w:t>Cuarto</w:t>
      </w:r>
      <w:r w:rsidR="00F7395A">
        <w:rPr>
          <w:rFonts w:ascii="Arial" w:hAnsi="Arial" w:cs="Arial"/>
          <w:sz w:val="22"/>
        </w:rPr>
        <w:t xml:space="preserve"> </w:t>
      </w:r>
      <w:r w:rsidRPr="00964618">
        <w:rPr>
          <w:rFonts w:ascii="Arial" w:hAnsi="Arial" w:cs="Arial"/>
          <w:sz w:val="22"/>
        </w:rPr>
        <w:t>Civil del Circuito de Pereira</w:t>
      </w:r>
      <w:r w:rsidR="00D11143">
        <w:rPr>
          <w:rFonts w:ascii="Arial" w:hAnsi="Arial" w:cs="Arial"/>
          <w:sz w:val="22"/>
        </w:rPr>
        <w:t xml:space="preserve"> y otra</w:t>
      </w:r>
    </w:p>
    <w:p w:rsidR="00964618" w:rsidRPr="00964618" w:rsidRDefault="00964618" w:rsidP="00964618">
      <w:pPr>
        <w:pStyle w:val="Corpsdetexte"/>
        <w:spacing w:line="360" w:lineRule="auto"/>
        <w:ind w:left="3544" w:hanging="2126"/>
        <w:rPr>
          <w:rFonts w:ascii="Arial" w:hAnsi="Arial" w:cs="Arial"/>
          <w:sz w:val="22"/>
          <w:szCs w:val="22"/>
        </w:rPr>
      </w:pPr>
      <w:r w:rsidRPr="00964618">
        <w:rPr>
          <w:rFonts w:ascii="Arial" w:hAnsi="Arial" w:cs="Arial"/>
          <w:sz w:val="22"/>
          <w:szCs w:val="22"/>
        </w:rPr>
        <w:t>Vinculado (s)</w:t>
      </w:r>
      <w:r w:rsidRPr="00964618">
        <w:rPr>
          <w:rFonts w:ascii="Arial" w:hAnsi="Arial" w:cs="Arial"/>
          <w:sz w:val="22"/>
          <w:szCs w:val="22"/>
        </w:rPr>
        <w:tab/>
      </w:r>
      <w:r>
        <w:rPr>
          <w:rFonts w:ascii="Arial" w:hAnsi="Arial" w:cs="Arial"/>
          <w:sz w:val="22"/>
          <w:szCs w:val="22"/>
        </w:rPr>
        <w:tab/>
      </w:r>
      <w:r w:rsidRPr="00964618">
        <w:rPr>
          <w:rFonts w:ascii="Arial" w:hAnsi="Arial" w:cs="Arial"/>
          <w:sz w:val="22"/>
          <w:szCs w:val="22"/>
        </w:rPr>
        <w:t xml:space="preserve">: </w:t>
      </w:r>
      <w:r w:rsidR="00934393">
        <w:rPr>
          <w:rFonts w:ascii="Arial" w:hAnsi="Arial" w:cs="Arial"/>
          <w:sz w:val="22"/>
          <w:szCs w:val="22"/>
        </w:rPr>
        <w:t>EPS SURA -calle 15 No.13-110 oficina 302 Pereira- y otros</w:t>
      </w:r>
    </w:p>
    <w:p w:rsidR="00964618" w:rsidRPr="00964618" w:rsidRDefault="00964618" w:rsidP="00964618">
      <w:pPr>
        <w:pStyle w:val="Corpsdetexte"/>
        <w:spacing w:line="360" w:lineRule="auto"/>
        <w:ind w:left="1416"/>
        <w:rPr>
          <w:rFonts w:ascii="Arial" w:hAnsi="Arial" w:cs="Arial"/>
          <w:sz w:val="22"/>
        </w:rPr>
      </w:pPr>
      <w:r w:rsidRPr="00964618">
        <w:rPr>
          <w:rFonts w:ascii="Arial" w:hAnsi="Arial" w:cs="Arial"/>
          <w:sz w:val="22"/>
        </w:rPr>
        <w:t>Radicación</w:t>
      </w:r>
      <w:r w:rsidRPr="00964618">
        <w:rPr>
          <w:rFonts w:ascii="Arial" w:hAnsi="Arial" w:cs="Arial"/>
          <w:sz w:val="22"/>
        </w:rPr>
        <w:tab/>
      </w:r>
      <w:r w:rsidRPr="00964618">
        <w:rPr>
          <w:rFonts w:ascii="Arial" w:hAnsi="Arial" w:cs="Arial"/>
          <w:sz w:val="22"/>
        </w:rPr>
        <w:tab/>
        <w:t xml:space="preserve">: </w:t>
      </w:r>
      <w:r w:rsidR="00934393">
        <w:rPr>
          <w:rFonts w:ascii="Arial" w:hAnsi="Arial" w:cs="Arial"/>
          <w:sz w:val="22"/>
        </w:rPr>
        <w:t>2016-00979-00 (Interna No.979)</w:t>
      </w:r>
    </w:p>
    <w:p w:rsidR="008E5334" w:rsidRPr="00211546" w:rsidRDefault="00970930" w:rsidP="008E5334">
      <w:pPr>
        <w:pStyle w:val="Corpsdetexte"/>
        <w:spacing w:line="360" w:lineRule="auto"/>
        <w:rPr>
          <w:rFonts w:ascii="Arial" w:hAnsi="Arial" w:cs="Arial"/>
          <w:sz w:val="22"/>
          <w:szCs w:val="22"/>
        </w:rPr>
      </w:pPr>
      <w:r w:rsidRPr="002060F5">
        <w:rPr>
          <w:rFonts w:ascii="Arial" w:hAnsi="Arial" w:cs="Arial"/>
          <w:sz w:val="22"/>
          <w:szCs w:val="22"/>
        </w:rPr>
        <w:tab/>
      </w:r>
      <w:r w:rsidR="00D70A1B" w:rsidRPr="002060F5">
        <w:rPr>
          <w:rFonts w:ascii="Arial" w:hAnsi="Arial" w:cs="Arial"/>
          <w:sz w:val="22"/>
          <w:szCs w:val="22"/>
        </w:rPr>
        <w:tab/>
      </w:r>
      <w:r w:rsidR="00C82923" w:rsidRPr="002060F5">
        <w:rPr>
          <w:rFonts w:ascii="Arial" w:hAnsi="Arial" w:cs="Arial"/>
          <w:sz w:val="22"/>
          <w:szCs w:val="22"/>
        </w:rPr>
        <w:t>Tema</w:t>
      </w:r>
      <w:r w:rsidR="004736C3">
        <w:rPr>
          <w:rFonts w:ascii="Arial" w:hAnsi="Arial" w:cs="Arial"/>
          <w:sz w:val="22"/>
          <w:szCs w:val="22"/>
        </w:rPr>
        <w:t>s</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t>:</w:t>
      </w:r>
      <w:r w:rsidR="009C1B3A">
        <w:rPr>
          <w:rFonts w:ascii="Arial" w:hAnsi="Arial" w:cs="Arial"/>
          <w:sz w:val="22"/>
          <w:szCs w:val="22"/>
        </w:rPr>
        <w:t xml:space="preserve"> </w:t>
      </w:r>
      <w:r w:rsidR="001F36A0">
        <w:rPr>
          <w:rFonts w:ascii="Arial" w:hAnsi="Arial" w:cs="Arial"/>
          <w:sz w:val="22"/>
          <w:szCs w:val="22"/>
        </w:rPr>
        <w:t>Subsidiariedad – Sin recursos – Cosa juzgada constitucional</w:t>
      </w:r>
    </w:p>
    <w:p w:rsidR="0099045D" w:rsidRPr="002060F5" w:rsidRDefault="008E5334" w:rsidP="008E5334">
      <w:pPr>
        <w:pStyle w:val="Corpsdetex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r w:rsidR="0099045D" w:rsidRPr="002060F5">
        <w:rPr>
          <w:rFonts w:ascii="Arial" w:hAnsi="Arial"/>
          <w:smallCaps/>
          <w:sz w:val="22"/>
          <w:szCs w:val="22"/>
        </w:rPr>
        <w:t>Duberney Grisales Herrera</w:t>
      </w:r>
    </w:p>
    <w:p w:rsidR="00026BFF" w:rsidRPr="002060F5" w:rsidRDefault="00026BFF" w:rsidP="00026BFF">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Pr="002060F5">
        <w:rPr>
          <w:rFonts w:ascii="Arial" w:hAnsi="Arial"/>
          <w:sz w:val="22"/>
          <w:szCs w:val="22"/>
        </w:rPr>
        <w:tab/>
        <w:t>:</w:t>
      </w:r>
      <w:r w:rsidR="003561E9">
        <w:rPr>
          <w:rFonts w:ascii="Arial" w:hAnsi="Arial"/>
          <w:sz w:val="22"/>
          <w:szCs w:val="22"/>
        </w:rPr>
        <w:t xml:space="preserve"> 529 del 04-11-2016</w:t>
      </w:r>
      <w:r w:rsidRPr="002060F5">
        <w:rPr>
          <w:rFonts w:ascii="Arial" w:hAnsi="Arial"/>
          <w:sz w:val="22"/>
          <w:szCs w:val="22"/>
        </w:rPr>
        <w:t xml:space="preserve"> </w:t>
      </w:r>
    </w:p>
    <w:p w:rsidR="002060F5" w:rsidRPr="007B5232" w:rsidRDefault="002060F5" w:rsidP="002060F5">
      <w:pPr>
        <w:pBdr>
          <w:bottom w:val="double" w:sz="6" w:space="1" w:color="auto"/>
        </w:pBdr>
        <w:spacing w:line="360" w:lineRule="auto"/>
        <w:jc w:val="center"/>
        <w:rPr>
          <w:rFonts w:ascii="Arial" w:hAnsi="Arial" w:cs="Arial"/>
          <w:b/>
          <w:bCs/>
          <w:sz w:val="18"/>
          <w:szCs w:val="22"/>
        </w:rPr>
      </w:pPr>
    </w:p>
    <w:p w:rsidR="00D809D6" w:rsidRPr="007B5232" w:rsidRDefault="00D809D6" w:rsidP="00F373C4">
      <w:pPr>
        <w:spacing w:line="360" w:lineRule="auto"/>
        <w:jc w:val="center"/>
        <w:rPr>
          <w:rFonts w:ascii="Arial" w:hAnsi="Arial" w:cs="Arial"/>
          <w:b/>
          <w:bCs/>
          <w:sz w:val="20"/>
          <w:szCs w:val="22"/>
        </w:rPr>
      </w:pPr>
    </w:p>
    <w:p w:rsidR="00026BFF" w:rsidRPr="00D11143" w:rsidRDefault="00026BFF" w:rsidP="000C5EA2">
      <w:pPr>
        <w:spacing w:line="360" w:lineRule="auto"/>
        <w:jc w:val="center"/>
        <w:rPr>
          <w:rFonts w:ascii="Arial" w:hAnsi="Arial" w:cs="Arial"/>
          <w:iCs/>
          <w:smallCaps/>
          <w:sz w:val="28"/>
          <w:szCs w:val="28"/>
          <w:lang w:val="es-CO"/>
        </w:rPr>
      </w:pPr>
      <w:r w:rsidRPr="00D11143">
        <w:rPr>
          <w:rFonts w:ascii="Arial" w:hAnsi="Arial" w:cs="Arial"/>
          <w:iCs/>
          <w:smallCaps/>
          <w:sz w:val="28"/>
          <w:szCs w:val="28"/>
          <w:lang w:val="es-CO"/>
        </w:rPr>
        <w:t xml:space="preserve">Pereira, </w:t>
      </w:r>
      <w:r w:rsidR="00F7395A" w:rsidRPr="00D11143">
        <w:rPr>
          <w:rFonts w:ascii="Arial" w:hAnsi="Arial" w:cs="Arial"/>
          <w:iCs/>
          <w:smallCaps/>
          <w:sz w:val="28"/>
          <w:szCs w:val="28"/>
          <w:lang w:val="es-CO"/>
        </w:rPr>
        <w:t>R.</w:t>
      </w:r>
      <w:r w:rsidRPr="00D11143">
        <w:rPr>
          <w:rFonts w:ascii="Arial" w:hAnsi="Arial" w:cs="Arial"/>
          <w:iCs/>
          <w:smallCaps/>
          <w:sz w:val="28"/>
          <w:szCs w:val="28"/>
          <w:lang w:val="es-CO"/>
        </w:rPr>
        <w:t xml:space="preserve">, </w:t>
      </w:r>
      <w:r w:rsidR="003561E9">
        <w:rPr>
          <w:rFonts w:ascii="Arial" w:hAnsi="Arial" w:cs="Arial"/>
          <w:iCs/>
          <w:smallCaps/>
          <w:sz w:val="28"/>
          <w:szCs w:val="28"/>
          <w:lang w:val="es-CO"/>
        </w:rPr>
        <w:t>cuatro</w:t>
      </w:r>
      <w:r w:rsidR="00934393">
        <w:rPr>
          <w:rFonts w:ascii="Arial" w:hAnsi="Arial" w:cs="Arial"/>
          <w:iCs/>
          <w:smallCaps/>
          <w:sz w:val="28"/>
          <w:szCs w:val="28"/>
          <w:lang w:val="es-CO"/>
        </w:rPr>
        <w:t xml:space="preserve"> </w:t>
      </w:r>
      <w:r w:rsidRPr="00D11143">
        <w:rPr>
          <w:rFonts w:ascii="Arial" w:hAnsi="Arial" w:cs="Arial"/>
          <w:iCs/>
          <w:smallCaps/>
          <w:sz w:val="28"/>
          <w:szCs w:val="28"/>
          <w:lang w:val="es-CO"/>
        </w:rPr>
        <w:t>(</w:t>
      </w:r>
      <w:r w:rsidR="003561E9">
        <w:rPr>
          <w:rFonts w:ascii="Arial" w:hAnsi="Arial" w:cs="Arial"/>
          <w:iCs/>
          <w:smallCaps/>
          <w:sz w:val="28"/>
          <w:szCs w:val="28"/>
          <w:lang w:val="es-CO"/>
        </w:rPr>
        <w:t>4</w:t>
      </w:r>
      <w:r w:rsidRPr="00D11143">
        <w:rPr>
          <w:rFonts w:ascii="Arial" w:hAnsi="Arial" w:cs="Arial"/>
          <w:iCs/>
          <w:smallCaps/>
          <w:sz w:val="28"/>
          <w:szCs w:val="28"/>
          <w:lang w:val="es-CO"/>
        </w:rPr>
        <w:t xml:space="preserve">) de </w:t>
      </w:r>
      <w:r w:rsidR="00934393">
        <w:rPr>
          <w:rFonts w:ascii="Arial" w:hAnsi="Arial" w:cs="Arial"/>
          <w:iCs/>
          <w:smallCaps/>
          <w:sz w:val="28"/>
          <w:szCs w:val="28"/>
          <w:lang w:val="es-CO"/>
        </w:rPr>
        <w:t xml:space="preserve">noviembre </w:t>
      </w:r>
      <w:r w:rsidRPr="00D11143">
        <w:rPr>
          <w:rFonts w:ascii="Arial" w:hAnsi="Arial" w:cs="Arial"/>
          <w:iCs/>
          <w:smallCaps/>
          <w:sz w:val="28"/>
          <w:szCs w:val="28"/>
          <w:lang w:val="es-CO"/>
        </w:rPr>
        <w:t xml:space="preserve">de dos mil </w:t>
      </w:r>
      <w:r w:rsidR="000C5EA2" w:rsidRPr="00D11143">
        <w:rPr>
          <w:rFonts w:ascii="Arial" w:hAnsi="Arial" w:cs="Arial"/>
          <w:iCs/>
          <w:smallCaps/>
          <w:sz w:val="28"/>
          <w:szCs w:val="28"/>
          <w:lang w:val="es-CO"/>
        </w:rPr>
        <w:t xml:space="preserve">dieciséis </w:t>
      </w:r>
      <w:r w:rsidRPr="00D11143">
        <w:rPr>
          <w:rFonts w:ascii="Arial" w:hAnsi="Arial" w:cs="Arial"/>
          <w:iCs/>
          <w:smallCaps/>
          <w:sz w:val="28"/>
          <w:szCs w:val="28"/>
          <w:lang w:val="es-CO"/>
        </w:rPr>
        <w:t>(</w:t>
      </w:r>
      <w:r w:rsidR="000C5EA2" w:rsidRPr="00D11143">
        <w:rPr>
          <w:rFonts w:ascii="Arial" w:hAnsi="Arial" w:cs="Arial"/>
          <w:iCs/>
          <w:smallCaps/>
          <w:sz w:val="28"/>
          <w:szCs w:val="28"/>
          <w:lang w:val="es-CO"/>
        </w:rPr>
        <w:t>2016</w:t>
      </w:r>
      <w:r w:rsidRPr="00D11143">
        <w:rPr>
          <w:rFonts w:ascii="Arial" w:hAnsi="Arial" w:cs="Arial"/>
          <w:iCs/>
          <w:smallCaps/>
          <w:sz w:val="28"/>
          <w:szCs w:val="28"/>
          <w:lang w:val="es-CO"/>
        </w:rPr>
        <w:t>)</w:t>
      </w:r>
      <w:r w:rsidRPr="00D11143">
        <w:rPr>
          <w:rFonts w:ascii="Arial" w:hAnsi="Arial" w:cs="Arial"/>
          <w:iCs/>
          <w:sz w:val="28"/>
          <w:szCs w:val="28"/>
          <w:lang w:val="es-CO"/>
        </w:rPr>
        <w:t>.</w:t>
      </w:r>
    </w:p>
    <w:p w:rsidR="000147A2" w:rsidRPr="007B5232" w:rsidRDefault="000147A2" w:rsidP="0099045D">
      <w:pPr>
        <w:spacing w:line="360" w:lineRule="auto"/>
        <w:jc w:val="center"/>
        <w:rPr>
          <w:rFonts w:ascii="Arial" w:hAnsi="Arial" w:cs="Arial"/>
          <w:b/>
          <w:bCs/>
          <w:lang w:val="es-CO"/>
        </w:rPr>
      </w:pPr>
    </w:p>
    <w:p w:rsidR="00CB272A" w:rsidRPr="00934393" w:rsidRDefault="00934393" w:rsidP="00CB272A">
      <w:pPr>
        <w:pStyle w:val="Corpsdetexte"/>
        <w:numPr>
          <w:ilvl w:val="0"/>
          <w:numId w:val="1"/>
        </w:numPr>
        <w:spacing w:line="360" w:lineRule="auto"/>
        <w:rPr>
          <w:rFonts w:ascii="Arial" w:hAnsi="Arial"/>
          <w:smallCaps/>
          <w:sz w:val="28"/>
          <w:szCs w:val="24"/>
        </w:rPr>
      </w:pPr>
      <w:r>
        <w:rPr>
          <w:rFonts w:ascii="Arial" w:hAnsi="Arial"/>
          <w:smallCaps/>
          <w:sz w:val="28"/>
          <w:szCs w:val="24"/>
        </w:rPr>
        <w:lastRenderedPageBreak/>
        <w:t>E</w:t>
      </w:r>
      <w:r w:rsidRPr="00934393">
        <w:rPr>
          <w:rFonts w:ascii="Arial" w:hAnsi="Arial"/>
          <w:smallCaps/>
          <w:sz w:val="28"/>
          <w:szCs w:val="24"/>
        </w:rPr>
        <w:t>l asunto por decidir</w:t>
      </w:r>
    </w:p>
    <w:p w:rsidR="00CB272A" w:rsidRPr="00F9418E" w:rsidRDefault="00CB272A" w:rsidP="00CB272A">
      <w:pPr>
        <w:pStyle w:val="Corpsdetexte"/>
        <w:spacing w:line="360" w:lineRule="auto"/>
        <w:rPr>
          <w:rFonts w:ascii="Arial" w:hAnsi="Arial"/>
          <w:szCs w:val="24"/>
        </w:rPr>
      </w:pPr>
    </w:p>
    <w:p w:rsidR="00CB272A" w:rsidRDefault="00934393" w:rsidP="00CB272A">
      <w:pPr>
        <w:pStyle w:val="Corpsdetexte"/>
        <w:spacing w:line="360" w:lineRule="auto"/>
        <w:rPr>
          <w:rFonts w:ascii="Arial" w:hAnsi="Arial"/>
          <w:szCs w:val="24"/>
        </w:rPr>
      </w:pPr>
      <w:r>
        <w:rPr>
          <w:rFonts w:ascii="Arial" w:hAnsi="Arial"/>
          <w:szCs w:val="24"/>
        </w:rPr>
        <w:t xml:space="preserve">El amparo constitucional de la referencia, </w:t>
      </w:r>
      <w:r w:rsidR="00CB272A">
        <w:rPr>
          <w:rFonts w:ascii="Arial" w:hAnsi="Arial"/>
          <w:szCs w:val="24"/>
        </w:rPr>
        <w:t xml:space="preserve">adelantadas </w:t>
      </w:r>
      <w:r w:rsidR="00CB272A" w:rsidRPr="00F9418E">
        <w:rPr>
          <w:rFonts w:ascii="Arial" w:hAnsi="Arial"/>
          <w:szCs w:val="24"/>
        </w:rPr>
        <w:t>la</w:t>
      </w:r>
      <w:r w:rsidR="00CB272A">
        <w:rPr>
          <w:rFonts w:ascii="Arial" w:hAnsi="Arial"/>
          <w:szCs w:val="24"/>
        </w:rPr>
        <w:t>s</w:t>
      </w:r>
      <w:r w:rsidR="00CB272A" w:rsidRPr="00F9418E">
        <w:rPr>
          <w:rFonts w:ascii="Arial" w:hAnsi="Arial"/>
          <w:szCs w:val="24"/>
        </w:rPr>
        <w:t xml:space="preserve"> </w:t>
      </w:r>
      <w:r w:rsidR="00CB272A">
        <w:rPr>
          <w:rFonts w:ascii="Arial" w:hAnsi="Arial"/>
          <w:szCs w:val="24"/>
        </w:rPr>
        <w:t xml:space="preserve">debidas </w:t>
      </w:r>
      <w:r w:rsidR="00CB272A" w:rsidRPr="00F9418E">
        <w:rPr>
          <w:rFonts w:ascii="Arial" w:hAnsi="Arial"/>
          <w:szCs w:val="24"/>
        </w:rPr>
        <w:t>actuaci</w:t>
      </w:r>
      <w:r w:rsidR="00CB272A">
        <w:rPr>
          <w:rFonts w:ascii="Arial" w:hAnsi="Arial"/>
          <w:szCs w:val="24"/>
        </w:rPr>
        <w:t>ones</w:t>
      </w:r>
      <w:r w:rsidR="00CB272A" w:rsidRPr="00F9418E">
        <w:rPr>
          <w:rFonts w:ascii="Arial" w:hAnsi="Arial"/>
          <w:szCs w:val="24"/>
        </w:rPr>
        <w:t xml:space="preserve"> con el</w:t>
      </w:r>
      <w:r w:rsidR="00CB272A">
        <w:rPr>
          <w:rFonts w:ascii="Arial" w:hAnsi="Arial"/>
          <w:szCs w:val="24"/>
        </w:rPr>
        <w:t xml:space="preserve"> </w:t>
      </w:r>
      <w:r w:rsidR="00CB272A" w:rsidRPr="00F9418E">
        <w:rPr>
          <w:rFonts w:ascii="Arial" w:hAnsi="Arial"/>
          <w:szCs w:val="24"/>
        </w:rPr>
        <w:t xml:space="preserve">trámite preferente y sumario, sin que se </w:t>
      </w:r>
      <w:r w:rsidR="00CB272A">
        <w:rPr>
          <w:rFonts w:ascii="Arial" w:hAnsi="Arial"/>
          <w:szCs w:val="24"/>
        </w:rPr>
        <w:t xml:space="preserve">evidencien </w:t>
      </w:r>
      <w:r w:rsidR="00CB272A" w:rsidRPr="00F9418E">
        <w:rPr>
          <w:rFonts w:ascii="Arial" w:hAnsi="Arial"/>
          <w:szCs w:val="24"/>
        </w:rPr>
        <w:t xml:space="preserve">causales de nulidad que </w:t>
      </w:r>
      <w:r>
        <w:rPr>
          <w:rFonts w:ascii="Arial" w:hAnsi="Arial"/>
          <w:szCs w:val="24"/>
        </w:rPr>
        <w:t>lo invalide</w:t>
      </w:r>
      <w:r w:rsidR="00CB272A" w:rsidRPr="00F9418E">
        <w:rPr>
          <w:rFonts w:ascii="Arial" w:hAnsi="Arial"/>
          <w:szCs w:val="24"/>
        </w:rPr>
        <w:t>.</w:t>
      </w:r>
    </w:p>
    <w:p w:rsidR="00CB272A" w:rsidRPr="00BA69B4" w:rsidRDefault="00CB272A" w:rsidP="00CB272A">
      <w:pPr>
        <w:pStyle w:val="Corpsdetexte"/>
        <w:spacing w:line="360" w:lineRule="auto"/>
        <w:rPr>
          <w:rFonts w:ascii="Arial" w:hAnsi="Arial"/>
          <w:szCs w:val="24"/>
        </w:rPr>
      </w:pPr>
    </w:p>
    <w:p w:rsidR="00CB272A" w:rsidRPr="00934393" w:rsidRDefault="00934393" w:rsidP="00CB272A">
      <w:pPr>
        <w:pStyle w:val="Corpsdetexte"/>
        <w:numPr>
          <w:ilvl w:val="0"/>
          <w:numId w:val="1"/>
        </w:numPr>
        <w:spacing w:line="360" w:lineRule="auto"/>
        <w:rPr>
          <w:rFonts w:ascii="Arial" w:hAnsi="Arial"/>
          <w:smallCaps/>
          <w:szCs w:val="24"/>
        </w:rPr>
      </w:pPr>
      <w:r w:rsidRPr="00934393">
        <w:rPr>
          <w:rFonts w:ascii="Arial" w:hAnsi="Arial"/>
          <w:smallCaps/>
          <w:sz w:val="28"/>
          <w:szCs w:val="24"/>
        </w:rPr>
        <w:t>La síntesis de los supuestos fácticos relevantes</w:t>
      </w:r>
    </w:p>
    <w:p w:rsidR="00CB272A" w:rsidRDefault="00CB272A" w:rsidP="00CB272A">
      <w:pPr>
        <w:pStyle w:val="Corpsdetexte"/>
        <w:spacing w:line="360" w:lineRule="auto"/>
        <w:rPr>
          <w:rFonts w:ascii="Arial" w:hAnsi="Arial" w:cs="Arial"/>
          <w:szCs w:val="24"/>
        </w:rPr>
      </w:pPr>
    </w:p>
    <w:p w:rsidR="00CB272A" w:rsidRDefault="00CB272A" w:rsidP="00CB272A">
      <w:pPr>
        <w:spacing w:line="360" w:lineRule="auto"/>
        <w:jc w:val="both"/>
        <w:rPr>
          <w:rFonts w:ascii="Arial" w:hAnsi="Arial" w:cs="Arial"/>
        </w:rPr>
      </w:pPr>
      <w:r>
        <w:rPr>
          <w:rFonts w:ascii="Arial" w:hAnsi="Arial" w:cs="Arial"/>
        </w:rPr>
        <w:t xml:space="preserve">Indicó el actor que presentó ante </w:t>
      </w:r>
      <w:r w:rsidR="00343F0C">
        <w:rPr>
          <w:rFonts w:ascii="Arial" w:hAnsi="Arial" w:cs="Arial"/>
        </w:rPr>
        <w:t>el juzgado</w:t>
      </w:r>
      <w:r>
        <w:rPr>
          <w:rFonts w:ascii="Arial" w:hAnsi="Arial" w:cs="Arial"/>
        </w:rPr>
        <w:t xml:space="preserve">, </w:t>
      </w:r>
      <w:r w:rsidR="00934393">
        <w:rPr>
          <w:rFonts w:ascii="Arial" w:hAnsi="Arial" w:cs="Arial"/>
        </w:rPr>
        <w:t>la acción popular radicada al No.2015-00190-00</w:t>
      </w:r>
      <w:r w:rsidR="0075088B">
        <w:rPr>
          <w:rFonts w:ascii="Arial" w:hAnsi="Arial" w:cs="Arial"/>
        </w:rPr>
        <w:t>,</w:t>
      </w:r>
      <w:r>
        <w:rPr>
          <w:rFonts w:ascii="Arial" w:hAnsi="Arial" w:cs="Arial"/>
        </w:rPr>
        <w:t xml:space="preserve"> </w:t>
      </w:r>
      <w:r w:rsidR="00934393">
        <w:rPr>
          <w:rFonts w:ascii="Arial" w:hAnsi="Arial" w:cs="Arial"/>
        </w:rPr>
        <w:t>que se profirió</w:t>
      </w:r>
      <w:r w:rsidR="00343F0C">
        <w:rPr>
          <w:rFonts w:ascii="Arial" w:hAnsi="Arial" w:cs="Arial"/>
        </w:rPr>
        <w:t xml:space="preserve"> </w:t>
      </w:r>
      <w:r w:rsidR="00934393">
        <w:rPr>
          <w:rFonts w:ascii="Arial" w:hAnsi="Arial" w:cs="Arial"/>
        </w:rPr>
        <w:t>sentencia</w:t>
      </w:r>
      <w:r w:rsidR="00D11143">
        <w:rPr>
          <w:rFonts w:ascii="Arial" w:hAnsi="Arial" w:cs="Arial"/>
        </w:rPr>
        <w:t xml:space="preserve"> </w:t>
      </w:r>
      <w:r w:rsidR="00343F0C">
        <w:rPr>
          <w:rFonts w:ascii="Arial" w:hAnsi="Arial" w:cs="Arial"/>
        </w:rPr>
        <w:t xml:space="preserve">y se </w:t>
      </w:r>
      <w:r w:rsidR="00934393">
        <w:rPr>
          <w:rFonts w:ascii="Arial" w:hAnsi="Arial" w:cs="Arial"/>
        </w:rPr>
        <w:t>concedió la alzada</w:t>
      </w:r>
      <w:r w:rsidR="00D11143">
        <w:rPr>
          <w:rFonts w:ascii="Arial" w:hAnsi="Arial" w:cs="Arial"/>
        </w:rPr>
        <w:t xml:space="preserve"> que presentó</w:t>
      </w:r>
      <w:r w:rsidR="00934393">
        <w:rPr>
          <w:rFonts w:ascii="Arial" w:hAnsi="Arial" w:cs="Arial"/>
        </w:rPr>
        <w:t xml:space="preserve"> en el efecto devolutivo</w:t>
      </w:r>
      <w:r w:rsidR="00D11143">
        <w:rPr>
          <w:rFonts w:ascii="Arial" w:hAnsi="Arial" w:cs="Arial"/>
        </w:rPr>
        <w:t xml:space="preserve">, pese a que </w:t>
      </w:r>
      <w:r w:rsidR="00934393">
        <w:rPr>
          <w:rFonts w:ascii="Arial" w:hAnsi="Arial" w:cs="Arial"/>
        </w:rPr>
        <w:t>debió hacerse en el suspensivo, además de que lo multó por no pagar las copias</w:t>
      </w:r>
      <w:r w:rsidR="00343F0C">
        <w:rPr>
          <w:rFonts w:ascii="Arial" w:hAnsi="Arial" w:cs="Arial"/>
        </w:rPr>
        <w:t xml:space="preserve"> </w:t>
      </w:r>
      <w:r w:rsidRPr="00AF753A">
        <w:rPr>
          <w:rFonts w:ascii="Arial" w:hAnsi="Arial" w:cs="Arial"/>
        </w:rPr>
        <w:t>(Folio</w:t>
      </w:r>
      <w:r>
        <w:rPr>
          <w:rFonts w:ascii="Arial" w:hAnsi="Arial" w:cs="Arial"/>
        </w:rPr>
        <w:t xml:space="preserve"> 1</w:t>
      </w:r>
      <w:r w:rsidR="00934393">
        <w:rPr>
          <w:rFonts w:ascii="Arial" w:hAnsi="Arial" w:cs="Arial"/>
        </w:rPr>
        <w:t>,</w:t>
      </w:r>
      <w:r w:rsidRPr="00AF753A">
        <w:rPr>
          <w:rFonts w:ascii="Arial" w:hAnsi="Arial" w:cs="Arial"/>
        </w:rPr>
        <w:t xml:space="preserve"> </w:t>
      </w:r>
      <w:r>
        <w:rPr>
          <w:rFonts w:ascii="Arial" w:hAnsi="Arial" w:cs="Arial"/>
        </w:rPr>
        <w:t>del cuaderno No.1)</w:t>
      </w:r>
      <w:r w:rsidRPr="00AF753A">
        <w:rPr>
          <w:rFonts w:ascii="Arial" w:hAnsi="Arial" w:cs="Arial"/>
        </w:rPr>
        <w:t xml:space="preserve">. </w:t>
      </w:r>
    </w:p>
    <w:p w:rsidR="00CB272A" w:rsidRPr="00BA69B4" w:rsidRDefault="00CB272A" w:rsidP="0099045D">
      <w:pPr>
        <w:pStyle w:val="Corpsdetexte"/>
        <w:spacing w:line="360" w:lineRule="auto"/>
        <w:rPr>
          <w:rFonts w:ascii="Arial" w:hAnsi="Arial"/>
          <w:szCs w:val="24"/>
          <w:lang w:val="es-CO"/>
        </w:rPr>
      </w:pPr>
    </w:p>
    <w:p w:rsidR="0099045D" w:rsidRPr="00934393" w:rsidRDefault="00934393" w:rsidP="0099045D">
      <w:pPr>
        <w:pStyle w:val="Corpsdetexte"/>
        <w:numPr>
          <w:ilvl w:val="0"/>
          <w:numId w:val="1"/>
        </w:numPr>
        <w:spacing w:line="360" w:lineRule="auto"/>
        <w:rPr>
          <w:rFonts w:ascii="Arial" w:hAnsi="Arial"/>
          <w:smallCaps/>
          <w:szCs w:val="24"/>
        </w:rPr>
      </w:pPr>
      <w:r>
        <w:rPr>
          <w:rFonts w:ascii="Arial" w:hAnsi="Arial"/>
          <w:smallCaps/>
          <w:sz w:val="28"/>
          <w:szCs w:val="24"/>
        </w:rPr>
        <w:t>L</w:t>
      </w:r>
      <w:r w:rsidRPr="00934393">
        <w:rPr>
          <w:rFonts w:ascii="Arial" w:hAnsi="Arial"/>
          <w:smallCaps/>
          <w:sz w:val="28"/>
          <w:szCs w:val="24"/>
        </w:rPr>
        <w:t>os derechos invocados</w:t>
      </w:r>
    </w:p>
    <w:p w:rsidR="00800EF6" w:rsidRDefault="00800EF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505404" w:rsidRDefault="003F77C9"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r>
        <w:rPr>
          <w:rFonts w:ascii="Arial" w:hAnsi="Arial" w:cs="Arial"/>
          <w:spacing w:val="-3"/>
          <w:lang w:val="es-ES_tradnl"/>
        </w:rPr>
        <w:t xml:space="preserve">El </w:t>
      </w:r>
      <w:r w:rsidR="00B07E5C">
        <w:rPr>
          <w:rFonts w:ascii="Arial" w:hAnsi="Arial" w:cs="Arial"/>
          <w:spacing w:val="-3"/>
          <w:lang w:val="es-ES_tradnl"/>
        </w:rPr>
        <w:t>ac</w:t>
      </w:r>
      <w:r w:rsidR="0012749A">
        <w:rPr>
          <w:rFonts w:ascii="Arial" w:hAnsi="Arial" w:cs="Arial"/>
          <w:spacing w:val="-3"/>
          <w:lang w:val="es-ES_tradnl"/>
        </w:rPr>
        <w:t>cionante</w:t>
      </w:r>
      <w:r w:rsidR="00B07E5C">
        <w:rPr>
          <w:rFonts w:ascii="Arial" w:hAnsi="Arial" w:cs="Arial"/>
          <w:spacing w:val="-3"/>
          <w:lang w:val="es-ES_tradnl"/>
        </w:rPr>
        <w:t xml:space="preserve"> </w:t>
      </w:r>
      <w:r>
        <w:rPr>
          <w:rFonts w:ascii="Arial" w:hAnsi="Arial" w:cs="Arial"/>
          <w:spacing w:val="-3"/>
          <w:lang w:val="es-ES_tradnl"/>
        </w:rPr>
        <w:t xml:space="preserve">considera </w:t>
      </w:r>
      <w:r w:rsidR="00FC5F6F">
        <w:rPr>
          <w:rFonts w:ascii="Arial" w:hAnsi="Arial" w:cs="Arial"/>
          <w:spacing w:val="-3"/>
          <w:lang w:val="es-ES_tradnl"/>
        </w:rPr>
        <w:t xml:space="preserve">que se </w:t>
      </w:r>
      <w:r w:rsidR="00B07E5C">
        <w:rPr>
          <w:rFonts w:ascii="Arial" w:hAnsi="Arial" w:cs="Arial"/>
          <w:spacing w:val="-3"/>
          <w:lang w:val="es-ES_tradnl"/>
        </w:rPr>
        <w:t xml:space="preserve">le </w:t>
      </w:r>
      <w:r w:rsidR="00FC5F6F">
        <w:rPr>
          <w:rFonts w:ascii="Arial" w:hAnsi="Arial" w:cs="Arial"/>
          <w:spacing w:val="-3"/>
          <w:lang w:val="es-ES_tradnl"/>
        </w:rPr>
        <w:t>vulnera</w:t>
      </w:r>
      <w:r w:rsidR="00C8311A">
        <w:rPr>
          <w:rFonts w:ascii="Arial" w:hAnsi="Arial" w:cs="Arial"/>
          <w:spacing w:val="-3"/>
          <w:lang w:val="es-ES_tradnl"/>
        </w:rPr>
        <w:t>n</w:t>
      </w:r>
      <w:r w:rsidR="008259FB">
        <w:rPr>
          <w:rFonts w:ascii="Arial" w:hAnsi="Arial" w:cs="Arial"/>
          <w:spacing w:val="-3"/>
          <w:lang w:val="es-ES_tradnl"/>
        </w:rPr>
        <w:t xml:space="preserve"> </w:t>
      </w:r>
      <w:r w:rsidR="009C1B3A">
        <w:rPr>
          <w:rFonts w:ascii="Arial" w:hAnsi="Arial" w:cs="Arial"/>
          <w:spacing w:val="-3"/>
          <w:lang w:val="es-ES_tradnl"/>
        </w:rPr>
        <w:t>los derechos fundamentales a</w:t>
      </w:r>
      <w:r w:rsidR="00C8311A">
        <w:rPr>
          <w:rFonts w:ascii="Arial" w:hAnsi="Arial" w:cs="Arial"/>
          <w:spacing w:val="-3"/>
          <w:lang w:val="es-ES_tradnl"/>
        </w:rPr>
        <w:t>l</w:t>
      </w:r>
      <w:r w:rsidR="009C1B3A">
        <w:rPr>
          <w:rFonts w:ascii="Arial" w:hAnsi="Arial" w:cs="Arial"/>
          <w:spacing w:val="-3"/>
          <w:lang w:val="es-ES_tradnl"/>
        </w:rPr>
        <w:t xml:space="preserve"> </w:t>
      </w:r>
      <w:r w:rsidR="00C8311A">
        <w:rPr>
          <w:rFonts w:ascii="Arial" w:hAnsi="Arial" w:cs="Arial"/>
          <w:spacing w:val="-3"/>
          <w:lang w:val="es-ES_tradnl"/>
        </w:rPr>
        <w:t>debido proceso</w:t>
      </w:r>
      <w:r w:rsidR="009C1B3A">
        <w:rPr>
          <w:rFonts w:ascii="Arial" w:hAnsi="Arial" w:cs="Arial"/>
          <w:spacing w:val="-3"/>
          <w:lang w:val="es-ES_tradnl"/>
        </w:rPr>
        <w:t xml:space="preserve">, </w:t>
      </w:r>
      <w:r w:rsidR="000C5128">
        <w:rPr>
          <w:rFonts w:ascii="Arial" w:hAnsi="Arial" w:cs="Arial"/>
          <w:spacing w:val="-3"/>
          <w:lang w:val="es-ES_tradnl"/>
        </w:rPr>
        <w:t>igualdad y</w:t>
      </w:r>
      <w:r w:rsidR="00C8311A">
        <w:rPr>
          <w:rFonts w:ascii="Arial" w:hAnsi="Arial" w:cs="Arial"/>
          <w:spacing w:val="-3"/>
          <w:lang w:val="es-ES_tradnl"/>
        </w:rPr>
        <w:t xml:space="preserve"> la debida administración de justicia</w:t>
      </w:r>
      <w:r w:rsidR="009C1B3A">
        <w:rPr>
          <w:rFonts w:ascii="Arial" w:hAnsi="Arial" w:cs="Arial"/>
          <w:spacing w:val="-3"/>
          <w:lang w:val="es-ES_tradnl"/>
        </w:rPr>
        <w:t xml:space="preserve"> </w:t>
      </w:r>
      <w:r w:rsidR="001B6BBA" w:rsidRPr="00AF753A">
        <w:rPr>
          <w:rFonts w:ascii="Arial" w:hAnsi="Arial" w:cs="Arial"/>
        </w:rPr>
        <w:t>(Folio</w:t>
      </w:r>
      <w:r w:rsidR="003D2D95">
        <w:rPr>
          <w:rFonts w:ascii="Arial" w:hAnsi="Arial" w:cs="Arial"/>
        </w:rPr>
        <w:t xml:space="preserve"> 1</w:t>
      </w:r>
      <w:r w:rsidR="001B6BBA" w:rsidRPr="00AF753A">
        <w:rPr>
          <w:rFonts w:ascii="Arial" w:hAnsi="Arial" w:cs="Arial"/>
        </w:rPr>
        <w:t xml:space="preserve">, </w:t>
      </w:r>
      <w:r w:rsidR="001B6BBA">
        <w:rPr>
          <w:rFonts w:ascii="Arial" w:hAnsi="Arial" w:cs="Arial"/>
        </w:rPr>
        <w:t>del cuaderno No.1)</w:t>
      </w:r>
      <w:r w:rsidR="001B6BBA" w:rsidRPr="00AF753A">
        <w:rPr>
          <w:rFonts w:ascii="Arial" w:hAnsi="Arial" w:cs="Arial"/>
        </w:rPr>
        <w:t>.</w:t>
      </w:r>
    </w:p>
    <w:p w:rsidR="003D2D95" w:rsidRDefault="003D2D95"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p>
    <w:p w:rsidR="0099045D" w:rsidRDefault="0099045D" w:rsidP="0099045D">
      <w:pPr>
        <w:pStyle w:val="Corpsdetexte"/>
        <w:numPr>
          <w:ilvl w:val="0"/>
          <w:numId w:val="1"/>
        </w:numPr>
        <w:spacing w:line="360" w:lineRule="auto"/>
        <w:rPr>
          <w:rFonts w:ascii="Arial" w:hAnsi="Arial"/>
          <w:szCs w:val="24"/>
        </w:rPr>
      </w:pPr>
      <w:r w:rsidRPr="00C37681">
        <w:rPr>
          <w:rFonts w:ascii="Arial" w:hAnsi="Arial"/>
          <w:szCs w:val="24"/>
        </w:rPr>
        <w:t>LA PETICIÓN DE PROTECCIÓN</w:t>
      </w:r>
    </w:p>
    <w:p w:rsidR="00BA69B4" w:rsidRPr="009C04FD" w:rsidRDefault="00BA69B4" w:rsidP="00BA69B4">
      <w:pPr>
        <w:pStyle w:val="Corpsdetexte"/>
        <w:spacing w:line="360" w:lineRule="auto"/>
        <w:ind w:left="360"/>
        <w:rPr>
          <w:rFonts w:ascii="Arial" w:hAnsi="Arial"/>
          <w:sz w:val="22"/>
          <w:szCs w:val="24"/>
        </w:rPr>
      </w:pPr>
    </w:p>
    <w:p w:rsidR="00006C6E" w:rsidRDefault="003A3B20" w:rsidP="00006C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rPr>
        <w:t>Solicit</w:t>
      </w:r>
      <w:r w:rsidR="00CA5A96">
        <w:rPr>
          <w:rFonts w:ascii="Arial" w:hAnsi="Arial" w:cs="Arial"/>
        </w:rPr>
        <w:t>ó</w:t>
      </w:r>
      <w:r>
        <w:rPr>
          <w:rFonts w:ascii="Arial" w:hAnsi="Arial" w:cs="Arial"/>
        </w:rPr>
        <w:t xml:space="preserve"> </w:t>
      </w:r>
      <w:r w:rsidR="003F77C9">
        <w:rPr>
          <w:rFonts w:ascii="Arial" w:hAnsi="Arial" w:cs="Arial"/>
        </w:rPr>
        <w:t xml:space="preserve">que: </w:t>
      </w:r>
      <w:r w:rsidR="00C53410">
        <w:rPr>
          <w:rFonts w:ascii="Arial" w:hAnsi="Arial" w:cs="Arial"/>
        </w:rPr>
        <w:t xml:space="preserve">(i) Se tutelen los derechos invocados; </w:t>
      </w:r>
      <w:r w:rsidR="003F77C9">
        <w:rPr>
          <w:rFonts w:ascii="Arial" w:hAnsi="Arial" w:cs="Arial"/>
        </w:rPr>
        <w:t>(</w:t>
      </w:r>
      <w:r w:rsidR="00C53410">
        <w:rPr>
          <w:rFonts w:ascii="Arial" w:hAnsi="Arial" w:cs="Arial"/>
        </w:rPr>
        <w:t>i</w:t>
      </w:r>
      <w:r w:rsidR="003F77C9">
        <w:rPr>
          <w:rFonts w:ascii="Arial" w:hAnsi="Arial" w:cs="Arial"/>
        </w:rPr>
        <w:t xml:space="preserve">i) Se ordene al accionado </w:t>
      </w:r>
      <w:r w:rsidR="00934393">
        <w:rPr>
          <w:rFonts w:ascii="Arial" w:hAnsi="Arial" w:cs="Arial"/>
        </w:rPr>
        <w:t xml:space="preserve">condenar en costas a la parte pasiva de la acción popular porque perdió la queja que presentó y </w:t>
      </w:r>
      <w:r w:rsidR="00343F0C">
        <w:rPr>
          <w:rFonts w:ascii="Arial" w:hAnsi="Arial" w:cs="Arial"/>
        </w:rPr>
        <w:t xml:space="preserve">conceder </w:t>
      </w:r>
      <w:r w:rsidR="00934393">
        <w:rPr>
          <w:rFonts w:ascii="Arial" w:hAnsi="Arial" w:cs="Arial"/>
        </w:rPr>
        <w:t>en el efecto suspensivo la alzada</w:t>
      </w:r>
      <w:r w:rsidR="003F77C9">
        <w:rPr>
          <w:rFonts w:ascii="Arial" w:hAnsi="Arial" w:cs="Arial"/>
        </w:rPr>
        <w:t xml:space="preserve">; </w:t>
      </w:r>
      <w:r w:rsidR="001B6BBA">
        <w:rPr>
          <w:rFonts w:ascii="Arial" w:hAnsi="Arial" w:cs="Arial"/>
        </w:rPr>
        <w:t>(iii)</w:t>
      </w:r>
      <w:r w:rsidR="00343F0C">
        <w:rPr>
          <w:rFonts w:ascii="Arial" w:hAnsi="Arial" w:cs="Arial"/>
        </w:rPr>
        <w:t xml:space="preserve"> </w:t>
      </w:r>
      <w:r w:rsidR="00343F0C" w:rsidRPr="005C4C0F">
        <w:rPr>
          <w:rFonts w:ascii="Arial" w:hAnsi="Arial" w:cs="Arial"/>
        </w:rPr>
        <w:t xml:space="preserve">Se envíe copia escaneada de esta acción </w:t>
      </w:r>
      <w:r w:rsidR="00343F0C">
        <w:rPr>
          <w:rFonts w:ascii="Arial" w:hAnsi="Arial" w:cs="Arial"/>
        </w:rPr>
        <w:t xml:space="preserve">a su </w:t>
      </w:r>
      <w:r w:rsidR="00343F0C" w:rsidRPr="005C4C0F">
        <w:rPr>
          <w:rFonts w:ascii="Arial" w:hAnsi="Arial" w:cs="Arial"/>
        </w:rPr>
        <w:t>correo electrónico</w:t>
      </w:r>
      <w:r w:rsidR="00343F0C">
        <w:rPr>
          <w:rFonts w:ascii="Arial" w:hAnsi="Arial" w:cs="Arial"/>
        </w:rPr>
        <w:t xml:space="preserve"> y se le haga entrega de copia física; y, </w:t>
      </w:r>
      <w:r w:rsidR="007E36F9">
        <w:rPr>
          <w:rFonts w:ascii="Arial" w:hAnsi="Arial" w:cs="Arial"/>
        </w:rPr>
        <w:t xml:space="preserve">(iv) </w:t>
      </w:r>
      <w:r w:rsidR="00343F0C">
        <w:rPr>
          <w:rFonts w:ascii="Arial" w:hAnsi="Arial" w:cs="Arial"/>
        </w:rPr>
        <w:t xml:space="preserve">Se determine si la Defensoría del Pueblo de Caldas incumple su deber </w:t>
      </w:r>
      <w:r w:rsidR="007E36F9">
        <w:rPr>
          <w:rFonts w:ascii="Arial" w:hAnsi="Arial" w:cs="Arial"/>
        </w:rPr>
        <w:t xml:space="preserve">legal </w:t>
      </w:r>
      <w:r w:rsidR="00343F0C">
        <w:rPr>
          <w:rFonts w:ascii="Arial" w:hAnsi="Arial" w:cs="Arial"/>
        </w:rPr>
        <w:t xml:space="preserve">al negarse a impetrar acciones de tutela a su favor </w:t>
      </w:r>
      <w:r w:rsidR="00006C6E" w:rsidRPr="00AF753A">
        <w:rPr>
          <w:rFonts w:ascii="Arial" w:hAnsi="Arial" w:cs="Arial"/>
        </w:rPr>
        <w:t>(Folio</w:t>
      </w:r>
      <w:r w:rsidR="00006C6E">
        <w:rPr>
          <w:rFonts w:ascii="Arial" w:hAnsi="Arial" w:cs="Arial"/>
        </w:rPr>
        <w:t xml:space="preserve"> 1</w:t>
      </w:r>
      <w:r w:rsidR="00006C6E" w:rsidRPr="00AF753A">
        <w:rPr>
          <w:rFonts w:ascii="Arial" w:hAnsi="Arial" w:cs="Arial"/>
        </w:rPr>
        <w:t xml:space="preserve">, </w:t>
      </w:r>
      <w:r w:rsidR="00006C6E">
        <w:rPr>
          <w:rFonts w:ascii="Arial" w:hAnsi="Arial" w:cs="Arial"/>
        </w:rPr>
        <w:t>del cuaderno No.1)</w:t>
      </w:r>
      <w:r w:rsidR="00006C6E" w:rsidRPr="00AF753A">
        <w:rPr>
          <w:rFonts w:ascii="Arial" w:hAnsi="Arial" w:cs="Arial"/>
        </w:rPr>
        <w:t>.</w:t>
      </w:r>
    </w:p>
    <w:p w:rsidR="003A2CB1" w:rsidRPr="009C04FD" w:rsidRDefault="003A2CB1" w:rsidP="000145EA">
      <w:pPr>
        <w:pStyle w:val="Sansinterligne"/>
        <w:spacing w:line="360" w:lineRule="auto"/>
        <w:jc w:val="both"/>
        <w:rPr>
          <w:rFonts w:ascii="Arial" w:hAnsi="Arial" w:cs="Arial"/>
          <w:sz w:val="22"/>
          <w:szCs w:val="24"/>
        </w:rPr>
      </w:pPr>
    </w:p>
    <w:p w:rsidR="0099045D" w:rsidRPr="00704D44" w:rsidRDefault="0099045D" w:rsidP="00101AE0">
      <w:pPr>
        <w:pStyle w:val="Sansinterligne"/>
        <w:numPr>
          <w:ilvl w:val="0"/>
          <w:numId w:val="1"/>
        </w:numPr>
        <w:spacing w:line="360" w:lineRule="auto"/>
        <w:jc w:val="both"/>
        <w:rPr>
          <w:rFonts w:ascii="Arial" w:hAnsi="Arial"/>
          <w:szCs w:val="24"/>
        </w:rPr>
      </w:pPr>
      <w:r w:rsidRPr="00704D44">
        <w:rPr>
          <w:rFonts w:ascii="Arial" w:hAnsi="Arial"/>
          <w:szCs w:val="24"/>
        </w:rPr>
        <w:t>LA SÍNTESIS DE LA CRÓNICA PROCESAL</w:t>
      </w:r>
    </w:p>
    <w:p w:rsidR="0035297D" w:rsidRPr="00704D44" w:rsidRDefault="0035297D" w:rsidP="00704D44">
      <w:pPr>
        <w:pStyle w:val="Sansinterligne"/>
        <w:tabs>
          <w:tab w:val="left" w:pos="1200"/>
        </w:tabs>
        <w:spacing w:line="360" w:lineRule="auto"/>
        <w:jc w:val="both"/>
        <w:rPr>
          <w:rFonts w:ascii="Arial" w:hAnsi="Arial"/>
          <w:szCs w:val="24"/>
        </w:rPr>
      </w:pPr>
    </w:p>
    <w:p w:rsidR="00B41B34" w:rsidRDefault="001B6BBA" w:rsidP="00E51070">
      <w:pPr>
        <w:spacing w:line="360" w:lineRule="auto"/>
        <w:jc w:val="both"/>
        <w:rPr>
          <w:rFonts w:ascii="Arial" w:hAnsi="Arial"/>
        </w:rPr>
      </w:pPr>
      <w:r w:rsidRPr="00B74361">
        <w:rPr>
          <w:rFonts w:ascii="Arial" w:hAnsi="Arial"/>
        </w:rPr>
        <w:t xml:space="preserve">En reparto ordinario del día </w:t>
      </w:r>
      <w:r w:rsidR="007E36F9">
        <w:rPr>
          <w:rFonts w:ascii="Arial" w:hAnsi="Arial"/>
        </w:rPr>
        <w:t>25-10</w:t>
      </w:r>
      <w:r>
        <w:rPr>
          <w:rFonts w:ascii="Arial" w:hAnsi="Arial"/>
        </w:rPr>
        <w:t xml:space="preserve">-2016 </w:t>
      </w:r>
      <w:r w:rsidR="007E36F9">
        <w:rPr>
          <w:rFonts w:ascii="Arial" w:hAnsi="Arial"/>
        </w:rPr>
        <w:t xml:space="preserve">correspondió </w:t>
      </w:r>
      <w:r w:rsidRPr="00B74361">
        <w:rPr>
          <w:rFonts w:ascii="Arial" w:hAnsi="Arial"/>
        </w:rPr>
        <w:t>a este Despacho</w:t>
      </w:r>
      <w:r w:rsidR="007E36F9">
        <w:rPr>
          <w:rFonts w:ascii="Arial" w:hAnsi="Arial"/>
        </w:rPr>
        <w:t xml:space="preserve"> y</w:t>
      </w:r>
      <w:r>
        <w:rPr>
          <w:rFonts w:ascii="Arial" w:hAnsi="Arial"/>
        </w:rPr>
        <w:t xml:space="preserve"> </w:t>
      </w:r>
      <w:r w:rsidRPr="00B74361">
        <w:rPr>
          <w:rFonts w:ascii="Arial" w:hAnsi="Arial"/>
        </w:rPr>
        <w:t>con providencia</w:t>
      </w:r>
      <w:r w:rsidRPr="008E5A62">
        <w:rPr>
          <w:rFonts w:ascii="Arial" w:hAnsi="Arial"/>
        </w:rPr>
        <w:t xml:space="preserve"> de</w:t>
      </w:r>
      <w:r>
        <w:rPr>
          <w:rFonts w:ascii="Arial" w:hAnsi="Arial"/>
        </w:rPr>
        <w:t xml:space="preserve">l </w:t>
      </w:r>
      <w:r w:rsidR="00343F0C">
        <w:rPr>
          <w:rFonts w:ascii="Arial" w:hAnsi="Arial"/>
          <w:lang w:val="es-CO"/>
        </w:rPr>
        <w:t xml:space="preserve">día hábil siguiente </w:t>
      </w:r>
      <w:r w:rsidRPr="008E5A62">
        <w:rPr>
          <w:rFonts w:ascii="Arial" w:hAnsi="Arial"/>
        </w:rPr>
        <w:t xml:space="preserve">se </w:t>
      </w:r>
      <w:r>
        <w:rPr>
          <w:rFonts w:ascii="Arial" w:hAnsi="Arial"/>
        </w:rPr>
        <w:t>admitieron</w:t>
      </w:r>
      <w:r w:rsidRPr="008E5A62">
        <w:rPr>
          <w:rFonts w:ascii="Arial" w:hAnsi="Arial"/>
        </w:rPr>
        <w:t xml:space="preserve">, se vinculó a </w:t>
      </w:r>
      <w:r>
        <w:rPr>
          <w:rFonts w:ascii="Arial" w:hAnsi="Arial"/>
        </w:rPr>
        <w:t>quienes se estimó conveniente</w:t>
      </w:r>
      <w:r w:rsidRPr="008E5A62">
        <w:rPr>
          <w:rFonts w:ascii="Arial" w:hAnsi="Arial"/>
        </w:rPr>
        <w:t xml:space="preserve"> y se dispuso notificar a la partes, entre otros ordenamientos</w:t>
      </w:r>
      <w:r w:rsidR="009C1B3A" w:rsidRPr="00D55E5A">
        <w:rPr>
          <w:rFonts w:ascii="Arial" w:hAnsi="Arial"/>
        </w:rPr>
        <w:t xml:space="preserve"> (Folio</w:t>
      </w:r>
      <w:r w:rsidR="00C01E52">
        <w:rPr>
          <w:rFonts w:ascii="Arial" w:hAnsi="Arial"/>
        </w:rPr>
        <w:t>s</w:t>
      </w:r>
      <w:r w:rsidR="009C1B3A" w:rsidRPr="00D55E5A">
        <w:rPr>
          <w:rFonts w:ascii="Arial" w:hAnsi="Arial"/>
        </w:rPr>
        <w:t xml:space="preserve"> </w:t>
      </w:r>
      <w:r w:rsidR="007E36F9">
        <w:rPr>
          <w:rFonts w:ascii="Arial" w:hAnsi="Arial"/>
        </w:rPr>
        <w:t>4 y 5</w:t>
      </w:r>
      <w:r w:rsidR="00006C6E">
        <w:rPr>
          <w:rFonts w:ascii="Arial" w:hAnsi="Arial"/>
        </w:rPr>
        <w:t>, ibídem</w:t>
      </w:r>
      <w:r w:rsidR="009C1B3A" w:rsidRPr="00D55E5A">
        <w:rPr>
          <w:rFonts w:ascii="Arial" w:hAnsi="Arial"/>
        </w:rPr>
        <w:t xml:space="preserve">). Fueron </w:t>
      </w:r>
      <w:r w:rsidR="009C1B3A">
        <w:rPr>
          <w:rFonts w:ascii="Arial" w:hAnsi="Arial"/>
        </w:rPr>
        <w:t xml:space="preserve">debidamente </w:t>
      </w:r>
      <w:r w:rsidR="009C1B3A" w:rsidRPr="00D55E5A">
        <w:rPr>
          <w:rFonts w:ascii="Arial" w:hAnsi="Arial"/>
        </w:rPr>
        <w:t>notificados los extremos de la acción (Folio</w:t>
      </w:r>
      <w:r w:rsidR="00343F0C">
        <w:rPr>
          <w:rFonts w:ascii="Arial" w:hAnsi="Arial"/>
        </w:rPr>
        <w:t xml:space="preserve">s </w:t>
      </w:r>
      <w:r w:rsidR="00CC34A9">
        <w:rPr>
          <w:rFonts w:ascii="Arial" w:hAnsi="Arial"/>
        </w:rPr>
        <w:t>6 a 8</w:t>
      </w:r>
      <w:r w:rsidR="009C1B3A" w:rsidRPr="00D55E5A">
        <w:rPr>
          <w:rFonts w:ascii="Arial" w:hAnsi="Arial"/>
        </w:rPr>
        <w:t xml:space="preserve">, </w:t>
      </w:r>
      <w:r w:rsidR="00006C6E">
        <w:rPr>
          <w:rFonts w:ascii="Arial" w:hAnsi="Arial"/>
        </w:rPr>
        <w:t>ibídem</w:t>
      </w:r>
      <w:r w:rsidR="009C1B3A" w:rsidRPr="00D55E5A">
        <w:rPr>
          <w:rFonts w:ascii="Arial" w:hAnsi="Arial"/>
        </w:rPr>
        <w:t xml:space="preserve">). </w:t>
      </w:r>
      <w:r w:rsidR="0012749A" w:rsidRPr="008E5A62">
        <w:rPr>
          <w:rFonts w:ascii="Arial" w:hAnsi="Arial"/>
        </w:rPr>
        <w:t xml:space="preserve">Contestaron </w:t>
      </w:r>
      <w:r w:rsidR="007B5232">
        <w:rPr>
          <w:rFonts w:ascii="Arial" w:hAnsi="Arial" w:cs="Arial"/>
          <w:spacing w:val="3"/>
        </w:rPr>
        <w:t xml:space="preserve">la </w:t>
      </w:r>
      <w:r w:rsidR="00CC34A9">
        <w:rPr>
          <w:rFonts w:ascii="Arial" w:hAnsi="Arial" w:cs="Arial"/>
          <w:spacing w:val="3"/>
        </w:rPr>
        <w:t>EPS SURA (Folios 44 a 46</w:t>
      </w:r>
      <w:r w:rsidR="007B5232">
        <w:rPr>
          <w:rFonts w:ascii="Arial" w:hAnsi="Arial" w:cs="Arial"/>
          <w:spacing w:val="3"/>
        </w:rPr>
        <w:t xml:space="preserve">, </w:t>
      </w:r>
      <w:r w:rsidR="00997858">
        <w:rPr>
          <w:rFonts w:ascii="Arial" w:hAnsi="Arial" w:cs="Arial"/>
          <w:spacing w:val="3"/>
        </w:rPr>
        <w:t>ibídem</w:t>
      </w:r>
      <w:r w:rsidR="007B5232">
        <w:rPr>
          <w:rFonts w:ascii="Arial" w:hAnsi="Arial" w:cs="Arial"/>
          <w:spacing w:val="3"/>
        </w:rPr>
        <w:t>.)</w:t>
      </w:r>
      <w:r w:rsidR="00997858">
        <w:rPr>
          <w:rFonts w:ascii="Arial" w:hAnsi="Arial" w:cs="Arial"/>
          <w:spacing w:val="3"/>
        </w:rPr>
        <w:t xml:space="preserve">, </w:t>
      </w:r>
      <w:r w:rsidR="00CC34A9">
        <w:rPr>
          <w:rFonts w:ascii="Arial" w:hAnsi="Arial" w:cs="Arial"/>
          <w:spacing w:val="3"/>
        </w:rPr>
        <w:t>la Procuraduría General de la Nación, Regional Risaralda (Folio</w:t>
      </w:r>
      <w:r w:rsidR="00997858">
        <w:rPr>
          <w:rFonts w:ascii="Arial" w:hAnsi="Arial" w:cs="Arial"/>
          <w:spacing w:val="3"/>
        </w:rPr>
        <w:t xml:space="preserve"> </w:t>
      </w:r>
      <w:r w:rsidR="00CC34A9">
        <w:rPr>
          <w:rFonts w:ascii="Arial" w:hAnsi="Arial" w:cs="Arial"/>
          <w:spacing w:val="3"/>
        </w:rPr>
        <w:t>49</w:t>
      </w:r>
      <w:r w:rsidR="00997858">
        <w:rPr>
          <w:rFonts w:ascii="Arial" w:hAnsi="Arial" w:cs="Arial"/>
          <w:spacing w:val="3"/>
        </w:rPr>
        <w:t>, ib.);</w:t>
      </w:r>
      <w:r w:rsidR="00CC34A9">
        <w:rPr>
          <w:rFonts w:ascii="Arial" w:hAnsi="Arial" w:cs="Arial"/>
          <w:spacing w:val="3"/>
        </w:rPr>
        <w:t xml:space="preserve"> y,</w:t>
      </w:r>
      <w:r w:rsidR="00997858">
        <w:rPr>
          <w:rFonts w:ascii="Arial" w:hAnsi="Arial" w:cs="Arial"/>
          <w:spacing w:val="3"/>
        </w:rPr>
        <w:t xml:space="preserve"> </w:t>
      </w:r>
      <w:r w:rsidR="00CC34A9">
        <w:rPr>
          <w:rFonts w:ascii="Arial" w:hAnsi="Arial" w:cs="Arial"/>
          <w:spacing w:val="3"/>
        </w:rPr>
        <w:t xml:space="preserve">el municipio de Pereira </w:t>
      </w:r>
      <w:r w:rsidR="00997858">
        <w:rPr>
          <w:rFonts w:ascii="Arial" w:hAnsi="Arial" w:cs="Arial"/>
          <w:spacing w:val="3"/>
        </w:rPr>
        <w:t>(</w:t>
      </w:r>
      <w:r w:rsidR="00CC34A9">
        <w:rPr>
          <w:rFonts w:ascii="Arial" w:hAnsi="Arial" w:cs="Arial"/>
          <w:spacing w:val="3"/>
        </w:rPr>
        <w:t>Folios 53 a 55, ib.)</w:t>
      </w:r>
      <w:r w:rsidR="00997858">
        <w:rPr>
          <w:rFonts w:ascii="Arial" w:hAnsi="Arial" w:cs="Arial"/>
          <w:spacing w:val="3"/>
        </w:rPr>
        <w:t>. E</w:t>
      </w:r>
      <w:r w:rsidR="00DF42B6">
        <w:rPr>
          <w:rFonts w:ascii="Arial" w:hAnsi="Arial" w:cs="Arial"/>
          <w:spacing w:val="3"/>
        </w:rPr>
        <w:t xml:space="preserve">l Juzgado accionado </w:t>
      </w:r>
      <w:r w:rsidR="00006C6E">
        <w:rPr>
          <w:rFonts w:ascii="Arial" w:hAnsi="Arial" w:cs="Arial"/>
          <w:spacing w:val="3"/>
        </w:rPr>
        <w:t xml:space="preserve">arrimó </w:t>
      </w:r>
      <w:r w:rsidR="00997858">
        <w:rPr>
          <w:rFonts w:ascii="Arial" w:hAnsi="Arial" w:cs="Arial"/>
          <w:spacing w:val="3"/>
        </w:rPr>
        <w:t xml:space="preserve">los documentos </w:t>
      </w:r>
      <w:r w:rsidR="00006C6E">
        <w:rPr>
          <w:rFonts w:ascii="Arial" w:hAnsi="Arial" w:cs="Arial"/>
          <w:spacing w:val="3"/>
        </w:rPr>
        <w:t>requeri</w:t>
      </w:r>
      <w:r w:rsidR="00997858">
        <w:rPr>
          <w:rFonts w:ascii="Arial" w:hAnsi="Arial" w:cs="Arial"/>
          <w:spacing w:val="3"/>
        </w:rPr>
        <w:t>dos</w:t>
      </w:r>
      <w:r w:rsidR="00006C6E">
        <w:rPr>
          <w:rFonts w:ascii="Arial" w:hAnsi="Arial" w:cs="Arial"/>
          <w:spacing w:val="3"/>
        </w:rPr>
        <w:t xml:space="preserve"> </w:t>
      </w:r>
      <w:r w:rsidR="00DF42B6">
        <w:rPr>
          <w:rFonts w:ascii="Arial" w:hAnsi="Arial" w:cs="Arial"/>
          <w:spacing w:val="3"/>
        </w:rPr>
        <w:t>(</w:t>
      </w:r>
      <w:r w:rsidR="00CC34A9">
        <w:rPr>
          <w:rFonts w:ascii="Arial" w:hAnsi="Arial" w:cs="Arial"/>
          <w:spacing w:val="3"/>
        </w:rPr>
        <w:t>Folios 9 a 43</w:t>
      </w:r>
      <w:r w:rsidR="00997858">
        <w:rPr>
          <w:rFonts w:ascii="Arial" w:hAnsi="Arial" w:cs="Arial"/>
          <w:spacing w:val="3"/>
        </w:rPr>
        <w:t xml:space="preserve">, </w:t>
      </w:r>
      <w:r w:rsidR="00006C6E">
        <w:rPr>
          <w:rFonts w:ascii="Arial" w:hAnsi="Arial" w:cs="Arial"/>
          <w:spacing w:val="3"/>
        </w:rPr>
        <w:t>ib</w:t>
      </w:r>
      <w:r w:rsidR="00DC1B10">
        <w:rPr>
          <w:rFonts w:ascii="Arial" w:hAnsi="Arial" w:cs="Arial"/>
          <w:spacing w:val="3"/>
        </w:rPr>
        <w:t>.</w:t>
      </w:r>
      <w:r w:rsidR="00006C6E">
        <w:rPr>
          <w:rFonts w:ascii="Arial" w:hAnsi="Arial" w:cs="Arial"/>
          <w:spacing w:val="3"/>
        </w:rPr>
        <w:t>)</w:t>
      </w:r>
      <w:r w:rsidR="00C01E52">
        <w:rPr>
          <w:rFonts w:ascii="Arial" w:hAnsi="Arial" w:cs="Arial"/>
          <w:spacing w:val="3"/>
        </w:rPr>
        <w:t>.</w:t>
      </w:r>
    </w:p>
    <w:p w:rsidR="003A2CB1" w:rsidRPr="009C04FD" w:rsidRDefault="003A2CB1" w:rsidP="00B50331">
      <w:pPr>
        <w:spacing w:line="360" w:lineRule="auto"/>
        <w:jc w:val="both"/>
        <w:rPr>
          <w:rFonts w:ascii="Arial" w:hAnsi="Arial"/>
          <w:sz w:val="22"/>
        </w:rPr>
      </w:pPr>
    </w:p>
    <w:p w:rsidR="003A2CB1" w:rsidRPr="00CC34A9" w:rsidRDefault="00CC34A9" w:rsidP="003A2CB1">
      <w:pPr>
        <w:numPr>
          <w:ilvl w:val="0"/>
          <w:numId w:val="18"/>
        </w:numPr>
        <w:spacing w:line="360" w:lineRule="auto"/>
        <w:jc w:val="both"/>
        <w:rPr>
          <w:rFonts w:ascii="Arial" w:hAnsi="Arial"/>
          <w:smallCaps/>
          <w:sz w:val="28"/>
        </w:rPr>
      </w:pPr>
      <w:r>
        <w:rPr>
          <w:rFonts w:ascii="Arial" w:hAnsi="Arial"/>
          <w:smallCaps/>
          <w:sz w:val="28"/>
        </w:rPr>
        <w:t>L</w:t>
      </w:r>
      <w:r w:rsidRPr="00CC34A9">
        <w:rPr>
          <w:rFonts w:ascii="Arial" w:hAnsi="Arial"/>
          <w:smallCaps/>
          <w:sz w:val="28"/>
        </w:rPr>
        <w:t>a sinopsis de las respuestas</w:t>
      </w:r>
    </w:p>
    <w:p w:rsidR="00CC34A9" w:rsidRPr="00CC34A9" w:rsidRDefault="00CC34A9" w:rsidP="00CC34A9">
      <w:pPr>
        <w:pStyle w:val="Paragraphedeliste"/>
        <w:numPr>
          <w:ilvl w:val="1"/>
          <w:numId w:val="18"/>
        </w:numPr>
        <w:spacing w:line="360" w:lineRule="auto"/>
        <w:jc w:val="both"/>
        <w:rPr>
          <w:rFonts w:ascii="Arial" w:hAnsi="Arial"/>
          <w:smallCaps/>
        </w:rPr>
      </w:pPr>
      <w:r>
        <w:rPr>
          <w:rFonts w:ascii="Arial" w:hAnsi="Arial"/>
          <w:smallCaps/>
        </w:rPr>
        <w:lastRenderedPageBreak/>
        <w:t xml:space="preserve">La </w:t>
      </w:r>
      <w:proofErr w:type="spellStart"/>
      <w:r>
        <w:rPr>
          <w:rFonts w:ascii="Arial" w:hAnsi="Arial"/>
          <w:smallCaps/>
        </w:rPr>
        <w:t>EPS</w:t>
      </w:r>
      <w:proofErr w:type="spellEnd"/>
      <w:r>
        <w:rPr>
          <w:rFonts w:ascii="Arial" w:hAnsi="Arial"/>
          <w:smallCaps/>
        </w:rPr>
        <w:t xml:space="preserve"> SURA</w:t>
      </w:r>
    </w:p>
    <w:p w:rsidR="0070519A" w:rsidRDefault="0070519A" w:rsidP="0070519A">
      <w:pPr>
        <w:spacing w:line="360" w:lineRule="auto"/>
        <w:jc w:val="both"/>
        <w:rPr>
          <w:rFonts w:ascii="Arial" w:hAnsi="Arial"/>
          <w:sz w:val="22"/>
          <w:highlight w:val="yellow"/>
        </w:rPr>
      </w:pPr>
    </w:p>
    <w:p w:rsidR="0070519A" w:rsidRPr="006B77A1" w:rsidRDefault="0070519A" w:rsidP="0070519A">
      <w:pPr>
        <w:spacing w:line="360" w:lineRule="auto"/>
        <w:jc w:val="both"/>
        <w:rPr>
          <w:rFonts w:ascii="Arial" w:hAnsi="Arial"/>
        </w:rPr>
      </w:pPr>
      <w:r w:rsidRPr="006B77A1">
        <w:rPr>
          <w:rFonts w:ascii="Arial" w:hAnsi="Arial"/>
        </w:rPr>
        <w:t>Arguyó que carece de legitimación en la causa por pasiva porque no realizó conducta alguna generadora de violación de los derechos fundamentales del accionante</w:t>
      </w:r>
      <w:r>
        <w:rPr>
          <w:rFonts w:ascii="Arial" w:hAnsi="Arial"/>
        </w:rPr>
        <w:t xml:space="preserve"> y </w:t>
      </w:r>
      <w:r w:rsidRPr="006B77A1">
        <w:rPr>
          <w:rFonts w:ascii="Arial" w:hAnsi="Arial"/>
        </w:rPr>
        <w:t>que el amparo es improcedente por insistencia de vulneración</w:t>
      </w:r>
      <w:r>
        <w:rPr>
          <w:rFonts w:ascii="Arial" w:hAnsi="Arial"/>
        </w:rPr>
        <w:t xml:space="preserve">; también expuso que previamente el accionante había presentado las acciones de tutela 20166-00844-00 y 2016-00954-00 por los mismos hechos y pretensiones </w:t>
      </w:r>
      <w:r w:rsidRPr="006B77A1">
        <w:rPr>
          <w:rFonts w:ascii="Arial" w:hAnsi="Arial"/>
        </w:rPr>
        <w:t xml:space="preserve">(Folios </w:t>
      </w:r>
      <w:r>
        <w:rPr>
          <w:rFonts w:ascii="Arial" w:hAnsi="Arial"/>
        </w:rPr>
        <w:t>44 a 46</w:t>
      </w:r>
      <w:r w:rsidRPr="006B77A1">
        <w:rPr>
          <w:rFonts w:ascii="Arial" w:hAnsi="Arial"/>
        </w:rPr>
        <w:t>, ib.).</w:t>
      </w:r>
    </w:p>
    <w:p w:rsidR="00CC34A9" w:rsidRDefault="00CC34A9" w:rsidP="003A2CB1">
      <w:pPr>
        <w:spacing w:line="360" w:lineRule="auto"/>
        <w:jc w:val="both"/>
        <w:rPr>
          <w:rFonts w:ascii="Arial" w:hAnsi="Arial"/>
        </w:rPr>
      </w:pPr>
    </w:p>
    <w:p w:rsidR="007B5232" w:rsidRPr="0070519A" w:rsidRDefault="007B5232" w:rsidP="007B5232">
      <w:pPr>
        <w:pStyle w:val="Paragraphedeliste"/>
        <w:numPr>
          <w:ilvl w:val="1"/>
          <w:numId w:val="18"/>
        </w:numPr>
        <w:spacing w:line="360" w:lineRule="auto"/>
        <w:jc w:val="both"/>
        <w:rPr>
          <w:rFonts w:ascii="Arial" w:hAnsi="Arial"/>
          <w:smallCaps/>
        </w:rPr>
      </w:pPr>
      <w:r w:rsidRPr="0070519A">
        <w:rPr>
          <w:rFonts w:ascii="Arial" w:hAnsi="Arial"/>
          <w:smallCaps/>
        </w:rPr>
        <w:t>La Procuraduría General de la Nación, Regional Risaralda</w:t>
      </w:r>
    </w:p>
    <w:p w:rsidR="00DF42B6" w:rsidRDefault="00DF42B6" w:rsidP="003A2CB1">
      <w:pPr>
        <w:spacing w:line="360" w:lineRule="auto"/>
        <w:jc w:val="both"/>
        <w:rPr>
          <w:rFonts w:ascii="Arial" w:hAnsi="Arial"/>
        </w:rPr>
      </w:pPr>
    </w:p>
    <w:p w:rsidR="005E2ED4" w:rsidRDefault="005E2ED4" w:rsidP="005E2ED4">
      <w:pPr>
        <w:spacing w:line="360" w:lineRule="auto"/>
        <w:jc w:val="both"/>
        <w:rPr>
          <w:rFonts w:ascii="Arial" w:hAnsi="Arial"/>
        </w:rPr>
      </w:pPr>
      <w:r w:rsidRPr="00FD594D">
        <w:rPr>
          <w:rFonts w:ascii="Arial" w:hAnsi="Arial"/>
        </w:rPr>
        <w:t xml:space="preserve">Rememoró su papel en las acciones populares, </w:t>
      </w:r>
      <w:r>
        <w:rPr>
          <w:rFonts w:ascii="Arial" w:hAnsi="Arial"/>
        </w:rPr>
        <w:t xml:space="preserve">adujo que no las promovió y </w:t>
      </w:r>
      <w:r w:rsidR="00997858">
        <w:rPr>
          <w:rFonts w:ascii="Arial" w:hAnsi="Arial"/>
        </w:rPr>
        <w:t>estimó</w:t>
      </w:r>
      <w:r w:rsidRPr="00FD594D">
        <w:rPr>
          <w:rFonts w:ascii="Arial" w:hAnsi="Arial"/>
        </w:rPr>
        <w:t xml:space="preserve"> que la situación alegada, es ajena a su función, de allí que solicitó su desvinculación (Folio </w:t>
      </w:r>
      <w:r w:rsidR="0070519A">
        <w:rPr>
          <w:rFonts w:ascii="Arial" w:hAnsi="Arial"/>
        </w:rPr>
        <w:t>49</w:t>
      </w:r>
      <w:r>
        <w:rPr>
          <w:rFonts w:ascii="Arial" w:hAnsi="Arial"/>
        </w:rPr>
        <w:t xml:space="preserve">, </w:t>
      </w:r>
      <w:r w:rsidRPr="00FD594D">
        <w:rPr>
          <w:rFonts w:ascii="Arial" w:hAnsi="Arial"/>
        </w:rPr>
        <w:t xml:space="preserve">ib.). </w:t>
      </w:r>
    </w:p>
    <w:p w:rsidR="00997858" w:rsidRDefault="00997858" w:rsidP="00997858">
      <w:pPr>
        <w:spacing w:line="360" w:lineRule="auto"/>
        <w:jc w:val="both"/>
        <w:rPr>
          <w:rFonts w:ascii="Arial" w:hAnsi="Arial"/>
        </w:rPr>
      </w:pPr>
    </w:p>
    <w:p w:rsidR="00997858" w:rsidRPr="0070519A" w:rsidRDefault="00997858" w:rsidP="00997858">
      <w:pPr>
        <w:pStyle w:val="Paragraphedeliste"/>
        <w:numPr>
          <w:ilvl w:val="1"/>
          <w:numId w:val="18"/>
        </w:numPr>
        <w:spacing w:line="360" w:lineRule="auto"/>
        <w:jc w:val="both"/>
        <w:rPr>
          <w:rFonts w:ascii="Arial" w:hAnsi="Arial"/>
          <w:smallCaps/>
        </w:rPr>
      </w:pPr>
      <w:r w:rsidRPr="0070519A">
        <w:rPr>
          <w:rFonts w:ascii="Arial" w:hAnsi="Arial"/>
          <w:smallCaps/>
        </w:rPr>
        <w:t>La Alcaldía de Pereira</w:t>
      </w:r>
    </w:p>
    <w:p w:rsidR="00997858" w:rsidRDefault="00997858" w:rsidP="00997858">
      <w:pPr>
        <w:pStyle w:val="Paragraphedeliste"/>
        <w:spacing w:line="360" w:lineRule="auto"/>
        <w:ind w:left="720"/>
        <w:jc w:val="both"/>
        <w:rPr>
          <w:rFonts w:ascii="Arial" w:hAnsi="Arial"/>
        </w:rPr>
      </w:pPr>
    </w:p>
    <w:p w:rsidR="00997858" w:rsidRDefault="00997858" w:rsidP="00997858">
      <w:pPr>
        <w:spacing w:line="360" w:lineRule="auto"/>
        <w:jc w:val="both"/>
        <w:rPr>
          <w:rFonts w:ascii="Arial" w:hAnsi="Arial"/>
        </w:rPr>
      </w:pPr>
      <w:r>
        <w:rPr>
          <w:rFonts w:ascii="Arial" w:hAnsi="Arial"/>
        </w:rPr>
        <w:t>Consideró que no está legitimada en el extremo pasivo de esta acción,</w:t>
      </w:r>
      <w:r w:rsidRPr="00FF4929">
        <w:rPr>
          <w:rFonts w:ascii="Arial" w:hAnsi="Arial"/>
        </w:rPr>
        <w:t xml:space="preserve"> porque la presunta vulneración le es solo atribuible al accionado</w:t>
      </w:r>
      <w:r>
        <w:rPr>
          <w:rFonts w:ascii="Arial" w:hAnsi="Arial"/>
        </w:rPr>
        <w:t>, por lo que solicitó ser desvinculada</w:t>
      </w:r>
      <w:r w:rsidR="0070519A">
        <w:rPr>
          <w:rFonts w:ascii="Arial" w:hAnsi="Arial"/>
        </w:rPr>
        <w:t xml:space="preserve"> y que se condene en costas al accionante por el obstinado abuso de este amparo </w:t>
      </w:r>
      <w:r>
        <w:rPr>
          <w:rFonts w:ascii="Arial" w:hAnsi="Arial"/>
        </w:rPr>
        <w:t xml:space="preserve">(Folios </w:t>
      </w:r>
      <w:r w:rsidR="0070519A">
        <w:rPr>
          <w:rFonts w:ascii="Arial" w:hAnsi="Arial"/>
        </w:rPr>
        <w:t>53 a 55</w:t>
      </w:r>
      <w:r>
        <w:rPr>
          <w:rFonts w:ascii="Arial" w:hAnsi="Arial"/>
        </w:rPr>
        <w:t>, ib.).</w:t>
      </w:r>
    </w:p>
    <w:p w:rsidR="00CC281A" w:rsidRDefault="00CC281A" w:rsidP="00997858">
      <w:pPr>
        <w:spacing w:line="360" w:lineRule="auto"/>
        <w:jc w:val="both"/>
        <w:rPr>
          <w:rFonts w:ascii="Arial" w:hAnsi="Arial"/>
        </w:rPr>
      </w:pPr>
    </w:p>
    <w:p w:rsidR="00CF429F" w:rsidRPr="0070519A" w:rsidRDefault="0070519A" w:rsidP="00CF429F">
      <w:pPr>
        <w:pStyle w:val="Corpsdetexte"/>
        <w:numPr>
          <w:ilvl w:val="0"/>
          <w:numId w:val="18"/>
        </w:numPr>
        <w:spacing w:line="360" w:lineRule="auto"/>
        <w:rPr>
          <w:rFonts w:ascii="Arial" w:hAnsi="Arial"/>
          <w:smallCaps/>
          <w:sz w:val="28"/>
          <w:szCs w:val="24"/>
        </w:rPr>
      </w:pPr>
      <w:r>
        <w:rPr>
          <w:rFonts w:ascii="Arial" w:hAnsi="Arial"/>
          <w:smallCaps/>
          <w:sz w:val="28"/>
          <w:szCs w:val="24"/>
        </w:rPr>
        <w:t>L</w:t>
      </w:r>
      <w:r w:rsidRPr="0070519A">
        <w:rPr>
          <w:rFonts w:ascii="Arial" w:hAnsi="Arial"/>
          <w:smallCaps/>
          <w:sz w:val="28"/>
          <w:szCs w:val="24"/>
        </w:rPr>
        <w:t>a fundamentación jurídica para decidir</w:t>
      </w:r>
    </w:p>
    <w:p w:rsidR="00F134D6" w:rsidRPr="00AE73C7" w:rsidRDefault="00F134D6" w:rsidP="00F134D6">
      <w:pPr>
        <w:pStyle w:val="Corpsdetexte"/>
        <w:spacing w:line="360" w:lineRule="auto"/>
        <w:ind w:left="400"/>
        <w:rPr>
          <w:rFonts w:ascii="Arial" w:hAnsi="Arial"/>
          <w:szCs w:val="24"/>
        </w:rPr>
      </w:pPr>
    </w:p>
    <w:p w:rsidR="00CF429F" w:rsidRPr="0070519A" w:rsidRDefault="00CF429F" w:rsidP="00CF429F">
      <w:pPr>
        <w:pStyle w:val="Corpsdetexte"/>
        <w:numPr>
          <w:ilvl w:val="1"/>
          <w:numId w:val="18"/>
        </w:numPr>
        <w:tabs>
          <w:tab w:val="clear" w:pos="708"/>
          <w:tab w:val="left" w:pos="709"/>
        </w:tabs>
        <w:spacing w:line="360" w:lineRule="auto"/>
        <w:rPr>
          <w:rFonts w:ascii="Arial" w:hAnsi="Arial"/>
          <w:smallCaps/>
          <w:szCs w:val="24"/>
        </w:rPr>
      </w:pPr>
      <w:r w:rsidRPr="0070519A">
        <w:rPr>
          <w:rFonts w:ascii="Arial" w:hAnsi="Arial"/>
          <w:smallCaps/>
          <w:szCs w:val="24"/>
        </w:rPr>
        <w:t>La competencia</w:t>
      </w:r>
    </w:p>
    <w:p w:rsidR="00A50109" w:rsidRPr="00AE73C7" w:rsidRDefault="00A50109" w:rsidP="00A50109">
      <w:pPr>
        <w:pStyle w:val="Corpsdetexte"/>
        <w:tabs>
          <w:tab w:val="clear" w:pos="708"/>
          <w:tab w:val="left" w:pos="709"/>
        </w:tabs>
        <w:spacing w:line="360" w:lineRule="auto"/>
        <w:ind w:left="720"/>
        <w:rPr>
          <w:rFonts w:ascii="Arial" w:hAnsi="Arial"/>
          <w:szCs w:val="24"/>
        </w:rPr>
      </w:pPr>
    </w:p>
    <w:p w:rsidR="00CF429F" w:rsidRPr="00AE73C7" w:rsidRDefault="005427D5" w:rsidP="00CF429F">
      <w:pPr>
        <w:pStyle w:val="Retraitcorpsdetexte2"/>
        <w:spacing w:after="0" w:line="360" w:lineRule="auto"/>
        <w:ind w:left="0"/>
        <w:jc w:val="both"/>
        <w:rPr>
          <w:rFonts w:ascii="Arial" w:hAnsi="Arial" w:cs="Arial"/>
          <w:sz w:val="24"/>
          <w:szCs w:val="24"/>
        </w:rPr>
      </w:pPr>
      <w:r w:rsidRPr="00AE73C7">
        <w:rPr>
          <w:rFonts w:ascii="Arial" w:hAnsi="Arial" w:cs="Arial"/>
          <w:sz w:val="24"/>
          <w:szCs w:val="24"/>
        </w:rPr>
        <w:t xml:space="preserve">Este Tribunal es competente para conocer la acción en razón a que es el superior jerárquico del accionado, el Juzgado </w:t>
      </w:r>
      <w:r w:rsidR="00934393">
        <w:rPr>
          <w:rFonts w:ascii="Arial" w:hAnsi="Arial" w:cs="Arial"/>
          <w:sz w:val="24"/>
          <w:szCs w:val="24"/>
        </w:rPr>
        <w:t>Cuarto</w:t>
      </w:r>
      <w:r w:rsidR="000B5596">
        <w:rPr>
          <w:rFonts w:ascii="Arial" w:hAnsi="Arial" w:cs="Arial"/>
          <w:sz w:val="24"/>
          <w:szCs w:val="24"/>
        </w:rPr>
        <w:t xml:space="preserve"> </w:t>
      </w:r>
      <w:r w:rsidRPr="00AE73C7">
        <w:rPr>
          <w:rFonts w:ascii="Arial" w:hAnsi="Arial" w:cs="Arial"/>
          <w:sz w:val="24"/>
          <w:szCs w:val="24"/>
        </w:rPr>
        <w:t xml:space="preserve">Civil del Circuito de </w:t>
      </w:r>
      <w:r w:rsidR="00F404A1" w:rsidRPr="00AE73C7">
        <w:rPr>
          <w:rFonts w:ascii="Arial" w:hAnsi="Arial" w:cs="Arial"/>
          <w:sz w:val="24"/>
          <w:szCs w:val="24"/>
        </w:rPr>
        <w:t>Pereira</w:t>
      </w:r>
      <w:r w:rsidR="00DC1B10">
        <w:rPr>
          <w:rFonts w:ascii="Arial" w:hAnsi="Arial" w:cs="Arial"/>
          <w:sz w:val="24"/>
          <w:szCs w:val="24"/>
        </w:rPr>
        <w:t xml:space="preserve"> (Artículos 86 de la CP y </w:t>
      </w:r>
      <w:r w:rsidRPr="00AE73C7">
        <w:rPr>
          <w:rFonts w:ascii="Arial" w:hAnsi="Arial" w:cs="Arial"/>
          <w:sz w:val="24"/>
          <w:szCs w:val="24"/>
        </w:rPr>
        <w:t>37 del Decreto 2591 de 1991).</w:t>
      </w:r>
    </w:p>
    <w:p w:rsidR="00A44325" w:rsidRPr="00AE73C7" w:rsidRDefault="00A44325" w:rsidP="00CF429F">
      <w:pPr>
        <w:pStyle w:val="Retraitcorpsdetexte2"/>
        <w:spacing w:after="0" w:line="360" w:lineRule="auto"/>
        <w:ind w:left="0"/>
        <w:jc w:val="both"/>
        <w:rPr>
          <w:rFonts w:ascii="Arial" w:hAnsi="Arial" w:cs="Arial"/>
          <w:sz w:val="24"/>
          <w:szCs w:val="24"/>
        </w:rPr>
      </w:pPr>
    </w:p>
    <w:p w:rsidR="00CF429F" w:rsidRPr="0070519A" w:rsidRDefault="00CF429F" w:rsidP="00CF429F">
      <w:pPr>
        <w:pStyle w:val="Corpsdetexte"/>
        <w:numPr>
          <w:ilvl w:val="1"/>
          <w:numId w:val="18"/>
        </w:numPr>
        <w:spacing w:line="360" w:lineRule="auto"/>
        <w:rPr>
          <w:rFonts w:ascii="Arial" w:hAnsi="Arial"/>
          <w:smallCaps/>
          <w:szCs w:val="24"/>
        </w:rPr>
      </w:pPr>
      <w:r w:rsidRPr="0070519A">
        <w:rPr>
          <w:rFonts w:ascii="Arial" w:hAnsi="Arial"/>
          <w:smallCaps/>
          <w:szCs w:val="24"/>
        </w:rPr>
        <w:t>El problema jurídico a resolver</w:t>
      </w:r>
    </w:p>
    <w:p w:rsidR="00984EE4" w:rsidRPr="00AE73C7" w:rsidRDefault="00984EE4" w:rsidP="00CF429F">
      <w:pPr>
        <w:pStyle w:val="Corpsdetexte"/>
        <w:tabs>
          <w:tab w:val="clear" w:pos="708"/>
          <w:tab w:val="clear" w:pos="1416"/>
          <w:tab w:val="left" w:pos="709"/>
          <w:tab w:val="left" w:pos="1418"/>
        </w:tabs>
        <w:spacing w:line="360" w:lineRule="auto"/>
        <w:rPr>
          <w:rFonts w:ascii="Arial" w:hAnsi="Arial"/>
          <w:szCs w:val="24"/>
        </w:rPr>
      </w:pPr>
    </w:p>
    <w:p w:rsidR="005427D5" w:rsidRPr="00AE73C7"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AE73C7">
        <w:rPr>
          <w:rFonts w:ascii="Arial" w:hAnsi="Arial" w:cs="Arial"/>
          <w:spacing w:val="-3"/>
          <w:lang w:val="es-ES_tradnl"/>
        </w:rPr>
        <w:t xml:space="preserve">¿El </w:t>
      </w:r>
      <w:r w:rsidRPr="00AE73C7">
        <w:rPr>
          <w:rFonts w:ascii="Arial" w:hAnsi="Arial" w:cs="Arial"/>
        </w:rPr>
        <w:t xml:space="preserve">Juzgado </w:t>
      </w:r>
      <w:r w:rsidR="00934393">
        <w:rPr>
          <w:rFonts w:ascii="Arial" w:hAnsi="Arial" w:cs="Arial"/>
        </w:rPr>
        <w:t>Cuarto</w:t>
      </w:r>
      <w:r w:rsidR="000B5596">
        <w:rPr>
          <w:rFonts w:ascii="Arial" w:hAnsi="Arial" w:cs="Arial"/>
        </w:rPr>
        <w:t xml:space="preserve"> </w:t>
      </w:r>
      <w:r w:rsidR="005F0330" w:rsidRPr="00AE73C7">
        <w:rPr>
          <w:rFonts w:ascii="Arial" w:hAnsi="Arial" w:cs="Arial"/>
        </w:rPr>
        <w:t>Civil del Circuito de Pereira</w:t>
      </w:r>
      <w:r w:rsidR="005F0330" w:rsidRPr="00AE73C7">
        <w:rPr>
          <w:rFonts w:ascii="Arial" w:hAnsi="Arial" w:cs="Arial"/>
          <w:spacing w:val="-3"/>
          <w:lang w:val="es-ES_tradnl"/>
        </w:rPr>
        <w:t xml:space="preserve"> </w:t>
      </w:r>
      <w:r w:rsidRPr="00AE73C7">
        <w:rPr>
          <w:rFonts w:ascii="Arial" w:hAnsi="Arial" w:cs="Arial"/>
          <w:spacing w:val="-3"/>
          <w:lang w:val="es-ES_tradnl"/>
        </w:rPr>
        <w:t>ha vulnerado o amenazado los derechos fundamentales del accionante con ocasión de</w:t>
      </w:r>
      <w:r w:rsidR="005F0330" w:rsidRPr="00AE73C7">
        <w:rPr>
          <w:rFonts w:ascii="Arial" w:hAnsi="Arial" w:cs="Arial"/>
          <w:spacing w:val="-3"/>
          <w:lang w:val="es-ES_tradnl"/>
        </w:rPr>
        <w:t xml:space="preserve"> </w:t>
      </w:r>
      <w:r w:rsidR="00703126" w:rsidRPr="00AE73C7">
        <w:rPr>
          <w:rFonts w:ascii="Arial" w:hAnsi="Arial" w:cs="Arial"/>
          <w:spacing w:val="-3"/>
          <w:lang w:val="es-ES_tradnl"/>
        </w:rPr>
        <w:t xml:space="preserve">no haber resuelto </w:t>
      </w:r>
      <w:r w:rsidR="00A44325" w:rsidRPr="00AE73C7">
        <w:rPr>
          <w:rFonts w:ascii="Arial" w:hAnsi="Arial" w:cs="Arial"/>
          <w:spacing w:val="-3"/>
          <w:lang w:val="es-ES_tradnl"/>
        </w:rPr>
        <w:t>sobre la admisi</w:t>
      </w:r>
      <w:r w:rsidR="0093201B">
        <w:rPr>
          <w:rFonts w:ascii="Arial" w:hAnsi="Arial" w:cs="Arial"/>
          <w:spacing w:val="-3"/>
          <w:lang w:val="es-ES_tradnl"/>
        </w:rPr>
        <w:t xml:space="preserve">bilidad </w:t>
      </w:r>
      <w:r w:rsidR="00A44325" w:rsidRPr="00AE73C7">
        <w:rPr>
          <w:rFonts w:ascii="Arial" w:hAnsi="Arial" w:cs="Arial"/>
          <w:spacing w:val="-3"/>
          <w:lang w:val="es-ES_tradnl"/>
        </w:rPr>
        <w:t>de la</w:t>
      </w:r>
      <w:r w:rsidR="008F6968">
        <w:rPr>
          <w:rFonts w:ascii="Arial" w:hAnsi="Arial" w:cs="Arial"/>
          <w:spacing w:val="-3"/>
          <w:lang w:val="es-ES_tradnl"/>
        </w:rPr>
        <w:t>s</w:t>
      </w:r>
      <w:r w:rsidR="00A44325" w:rsidRPr="00AE73C7">
        <w:rPr>
          <w:rFonts w:ascii="Arial" w:hAnsi="Arial" w:cs="Arial"/>
          <w:spacing w:val="-3"/>
          <w:lang w:val="es-ES_tradnl"/>
        </w:rPr>
        <w:t xml:space="preserve"> acci</w:t>
      </w:r>
      <w:r w:rsidR="008F6968">
        <w:rPr>
          <w:rFonts w:ascii="Arial" w:hAnsi="Arial" w:cs="Arial"/>
          <w:spacing w:val="-3"/>
          <w:lang w:val="es-ES_tradnl"/>
        </w:rPr>
        <w:t>ones</w:t>
      </w:r>
      <w:r w:rsidR="00A44325" w:rsidRPr="00AE73C7">
        <w:rPr>
          <w:rFonts w:ascii="Arial" w:hAnsi="Arial" w:cs="Arial"/>
          <w:spacing w:val="-3"/>
          <w:lang w:val="es-ES_tradnl"/>
        </w:rPr>
        <w:t xml:space="preserve"> popular</w:t>
      </w:r>
      <w:r w:rsidR="008F6968">
        <w:rPr>
          <w:rFonts w:ascii="Arial" w:hAnsi="Arial" w:cs="Arial"/>
          <w:spacing w:val="-3"/>
          <w:lang w:val="es-ES_tradnl"/>
        </w:rPr>
        <w:t>es</w:t>
      </w:r>
      <w:r w:rsidRPr="00AE73C7">
        <w:rPr>
          <w:rFonts w:ascii="Arial" w:hAnsi="Arial" w:cs="Arial"/>
          <w:spacing w:val="-3"/>
          <w:lang w:val="es-ES_tradnl"/>
        </w:rPr>
        <w:t>, según lo expuesto en l</w:t>
      </w:r>
      <w:r w:rsidR="008F6968">
        <w:rPr>
          <w:rFonts w:ascii="Arial" w:hAnsi="Arial" w:cs="Arial"/>
          <w:spacing w:val="-3"/>
          <w:lang w:val="es-ES_tradnl"/>
        </w:rPr>
        <w:t>os</w:t>
      </w:r>
      <w:r w:rsidRPr="00AE73C7">
        <w:rPr>
          <w:rFonts w:ascii="Arial" w:hAnsi="Arial" w:cs="Arial"/>
          <w:spacing w:val="-3"/>
          <w:lang w:val="es-ES_tradnl"/>
        </w:rPr>
        <w:t xml:space="preserve"> escrito</w:t>
      </w:r>
      <w:r w:rsidR="008F6968">
        <w:rPr>
          <w:rFonts w:ascii="Arial" w:hAnsi="Arial" w:cs="Arial"/>
          <w:spacing w:val="-3"/>
          <w:lang w:val="es-ES_tradnl"/>
        </w:rPr>
        <w:t>s</w:t>
      </w:r>
      <w:r w:rsidRPr="00AE73C7">
        <w:rPr>
          <w:rFonts w:ascii="Arial" w:hAnsi="Arial" w:cs="Arial"/>
          <w:spacing w:val="-3"/>
          <w:lang w:val="es-ES_tradnl"/>
        </w:rPr>
        <w:t xml:space="preserve"> de tutela?</w:t>
      </w:r>
    </w:p>
    <w:p w:rsidR="0084306F" w:rsidRPr="005041CA" w:rsidRDefault="0084306F" w:rsidP="008430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2"/>
          <w:lang w:val="es-ES_tradnl"/>
        </w:rPr>
      </w:pPr>
    </w:p>
    <w:p w:rsidR="0084306F" w:rsidRPr="0070519A" w:rsidRDefault="0084306F" w:rsidP="0084306F">
      <w:pPr>
        <w:pStyle w:val="Corpsdetexte"/>
        <w:numPr>
          <w:ilvl w:val="1"/>
          <w:numId w:val="18"/>
        </w:numPr>
        <w:tabs>
          <w:tab w:val="clear" w:pos="708"/>
          <w:tab w:val="clear" w:pos="1416"/>
          <w:tab w:val="left" w:pos="709"/>
          <w:tab w:val="left" w:pos="1418"/>
        </w:tabs>
        <w:spacing w:line="360" w:lineRule="auto"/>
        <w:rPr>
          <w:rFonts w:ascii="Arial" w:hAnsi="Arial"/>
          <w:smallCaps/>
          <w:szCs w:val="24"/>
        </w:rPr>
      </w:pPr>
      <w:r w:rsidRPr="0070519A">
        <w:rPr>
          <w:rFonts w:ascii="Arial" w:hAnsi="Arial"/>
          <w:smallCaps/>
          <w:szCs w:val="24"/>
        </w:rPr>
        <w:t>La resolución del problema jurídico</w:t>
      </w:r>
    </w:p>
    <w:p w:rsidR="0084306F" w:rsidRDefault="0084306F" w:rsidP="0084306F">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 w:val="22"/>
          <w:szCs w:val="24"/>
          <w:lang w:val="es-ES"/>
        </w:rPr>
      </w:pPr>
    </w:p>
    <w:p w:rsidR="00CC281A" w:rsidRDefault="00CC281A" w:rsidP="0084306F">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 w:val="22"/>
          <w:szCs w:val="24"/>
          <w:lang w:val="es-ES"/>
        </w:rPr>
      </w:pPr>
    </w:p>
    <w:p w:rsidR="00BF3A7D" w:rsidRPr="00AE73C7" w:rsidRDefault="00BF3A7D" w:rsidP="00BF3A7D">
      <w:pPr>
        <w:pStyle w:val="Corpsdetexte"/>
        <w:numPr>
          <w:ilvl w:val="2"/>
          <w:numId w:val="18"/>
        </w:numPr>
        <w:tabs>
          <w:tab w:val="clear" w:pos="0"/>
          <w:tab w:val="clear" w:pos="708"/>
          <w:tab w:val="clear" w:pos="1416"/>
          <w:tab w:val="left" w:pos="709"/>
        </w:tabs>
        <w:spacing w:line="360" w:lineRule="auto"/>
        <w:rPr>
          <w:rFonts w:ascii="Arial" w:hAnsi="Arial"/>
          <w:szCs w:val="24"/>
        </w:rPr>
      </w:pPr>
      <w:r w:rsidRPr="00AE73C7">
        <w:rPr>
          <w:rFonts w:ascii="Arial" w:hAnsi="Arial"/>
          <w:szCs w:val="24"/>
        </w:rPr>
        <w:lastRenderedPageBreak/>
        <w:t>La legitimación en la causa</w:t>
      </w:r>
    </w:p>
    <w:p w:rsidR="00BF3A7D" w:rsidRPr="00AE73C7" w:rsidRDefault="00BF3A7D" w:rsidP="00BF3A7D">
      <w:pPr>
        <w:pStyle w:val="Corpsdetexte"/>
        <w:spacing w:line="360" w:lineRule="auto"/>
        <w:rPr>
          <w:rFonts w:ascii="Arial" w:hAnsi="Arial" w:cs="Arial"/>
          <w:szCs w:val="24"/>
        </w:rPr>
      </w:pPr>
    </w:p>
    <w:p w:rsidR="0070519A" w:rsidRDefault="0070519A" w:rsidP="0070519A">
      <w:pPr>
        <w:pStyle w:val="Corpsdetexte"/>
        <w:spacing w:line="360" w:lineRule="auto"/>
        <w:rPr>
          <w:rFonts w:ascii="Arial" w:hAnsi="Arial" w:cs="Arial"/>
          <w:szCs w:val="24"/>
        </w:rPr>
      </w:pPr>
      <w:r w:rsidRPr="00D91A51">
        <w:rPr>
          <w:rFonts w:ascii="Arial" w:hAnsi="Arial" w:cs="Arial"/>
          <w:szCs w:val="24"/>
        </w:rPr>
        <w:t xml:space="preserve">Se cumple la legitimación por activa dado que </w:t>
      </w:r>
      <w:r>
        <w:rPr>
          <w:rFonts w:ascii="Arial" w:hAnsi="Arial" w:cs="Arial"/>
          <w:szCs w:val="24"/>
        </w:rPr>
        <w:t>el actor,</w:t>
      </w:r>
      <w:r w:rsidRPr="00CB3FF7">
        <w:rPr>
          <w:rFonts w:ascii="Arial" w:hAnsi="Arial" w:cs="Arial"/>
          <w:szCs w:val="24"/>
        </w:rPr>
        <w:t xml:space="preserve"> </w:t>
      </w:r>
      <w:r>
        <w:rPr>
          <w:rFonts w:ascii="Arial" w:hAnsi="Arial" w:cs="Arial"/>
          <w:szCs w:val="24"/>
        </w:rPr>
        <w:t>es el accionante en el proceso judicial que se reprocha la falta al debido proceso</w:t>
      </w:r>
      <w:r w:rsidRPr="00902F93">
        <w:rPr>
          <w:rFonts w:ascii="Arial" w:hAnsi="Arial" w:cs="Arial"/>
          <w:szCs w:val="24"/>
        </w:rPr>
        <w:t xml:space="preserve">. Y por pasiva, </w:t>
      </w:r>
      <w:r>
        <w:rPr>
          <w:rFonts w:ascii="Arial" w:hAnsi="Arial" w:cs="Arial"/>
          <w:szCs w:val="24"/>
        </w:rPr>
        <w:t>lo es el Juzgado Cuarto Civil del Circuito de Pereira, al ser</w:t>
      </w:r>
      <w:r w:rsidRPr="009A3C9D">
        <w:rPr>
          <w:rFonts w:ascii="Arial" w:hAnsi="Arial" w:cs="Arial"/>
          <w:szCs w:val="24"/>
        </w:rPr>
        <w:t xml:space="preserve"> la autoridad judicial que </w:t>
      </w:r>
      <w:r>
        <w:rPr>
          <w:rFonts w:ascii="Arial" w:hAnsi="Arial" w:cs="Arial"/>
          <w:szCs w:val="24"/>
        </w:rPr>
        <w:t>conoció del juicio.</w:t>
      </w:r>
    </w:p>
    <w:p w:rsidR="0070519A" w:rsidRPr="00F440D9" w:rsidRDefault="0070519A" w:rsidP="0070519A">
      <w:pPr>
        <w:pStyle w:val="Corpsdetexte"/>
        <w:spacing w:line="360" w:lineRule="auto"/>
        <w:rPr>
          <w:rFonts w:ascii="Arial" w:hAnsi="Arial" w:cs="Arial"/>
          <w:sz w:val="22"/>
          <w:szCs w:val="24"/>
        </w:rPr>
      </w:pPr>
    </w:p>
    <w:p w:rsidR="0070519A" w:rsidRDefault="0070519A" w:rsidP="0070519A">
      <w:pPr>
        <w:widowControl/>
        <w:spacing w:line="360" w:lineRule="auto"/>
        <w:jc w:val="both"/>
        <w:rPr>
          <w:rFonts w:ascii="Arial" w:hAnsi="Arial" w:cs="Arial"/>
        </w:rPr>
      </w:pPr>
      <w:r>
        <w:rPr>
          <w:rFonts w:ascii="Arial" w:hAnsi="Arial" w:cs="Arial"/>
        </w:rPr>
        <w:t>Como los litisconsortes vinculados a este trámite, la Defensoría del Pueblo y la Procuraduría General de la Nación, Regionales de Risaralda, y la Alcaldía y la Personería de Pereira no participaron en la acción popular dentro de la cual se alega la vulneración al debido proceso, carecen de legitimación, por ende</w:t>
      </w:r>
      <w:r w:rsidR="00B00405">
        <w:rPr>
          <w:rFonts w:ascii="Arial" w:hAnsi="Arial" w:cs="Arial"/>
        </w:rPr>
        <w:t>,</w:t>
      </w:r>
      <w:r>
        <w:rPr>
          <w:rFonts w:ascii="Arial" w:hAnsi="Arial" w:cs="Arial"/>
        </w:rPr>
        <w:t xml:space="preserve"> se declarará improcedente el amparo en su contra; asimismo</w:t>
      </w:r>
      <w:r w:rsidR="00B00405">
        <w:rPr>
          <w:rFonts w:ascii="Arial" w:hAnsi="Arial" w:cs="Arial"/>
        </w:rPr>
        <w:t>,</w:t>
      </w:r>
      <w:r>
        <w:rPr>
          <w:rFonts w:ascii="Arial" w:hAnsi="Arial" w:cs="Arial"/>
        </w:rPr>
        <w:t xml:space="preserve"> y como quiera que la EPS SURA SA sucursal calle 15 No.13-110 oficina 302 de Pereira, no incurrió en violación o amenaza alguna, se negará la tutela en su contra.</w:t>
      </w:r>
    </w:p>
    <w:p w:rsidR="00BF3A7D" w:rsidRPr="005041CA" w:rsidRDefault="00BF3A7D" w:rsidP="0084306F">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 w:val="22"/>
          <w:szCs w:val="24"/>
          <w:lang w:val="es-ES"/>
        </w:rPr>
      </w:pPr>
    </w:p>
    <w:p w:rsidR="00795CDC" w:rsidRDefault="00795CDC" w:rsidP="00795CDC">
      <w:pPr>
        <w:pStyle w:val="Corpsdetexte"/>
        <w:numPr>
          <w:ilvl w:val="3"/>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r w:rsidRPr="006A3AB9">
        <w:rPr>
          <w:rFonts w:ascii="Arial" w:hAnsi="Arial" w:cs="Arial"/>
          <w:szCs w:val="24"/>
        </w:rPr>
        <w:t xml:space="preserve">Las sub-reglas de análisis en la </w:t>
      </w:r>
      <w:proofErr w:type="spellStart"/>
      <w:r w:rsidRPr="006A3AB9">
        <w:rPr>
          <w:rFonts w:ascii="Arial" w:hAnsi="Arial" w:cs="Arial"/>
          <w:szCs w:val="24"/>
        </w:rPr>
        <w:t>procedibilidad</w:t>
      </w:r>
      <w:proofErr w:type="spellEnd"/>
      <w:r w:rsidRPr="006A3AB9">
        <w:rPr>
          <w:rFonts w:ascii="Arial" w:hAnsi="Arial" w:cs="Arial"/>
          <w:szCs w:val="24"/>
        </w:rPr>
        <w:t xml:space="preserve"> frente a decisiones judiciales</w:t>
      </w:r>
    </w:p>
    <w:p w:rsidR="00795CDC" w:rsidRPr="00C57632" w:rsidRDefault="00795CDC" w:rsidP="00795CDC">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ind w:left="720"/>
        <w:textAlignment w:val="auto"/>
        <w:rPr>
          <w:rFonts w:ascii="Arial" w:hAnsi="Arial" w:cs="Arial"/>
          <w:sz w:val="20"/>
          <w:szCs w:val="24"/>
        </w:rPr>
      </w:pPr>
    </w:p>
    <w:p w:rsidR="00795CDC" w:rsidRDefault="00795CDC" w:rsidP="00795CDC">
      <w:pPr>
        <w:pStyle w:val="Corpsdetexte"/>
        <w:spacing w:line="360" w:lineRule="auto"/>
        <w:rPr>
          <w:rFonts w:ascii="Arial" w:hAnsi="Arial" w:cs="Arial"/>
          <w:szCs w:val="24"/>
        </w:rPr>
      </w:pPr>
      <w:r>
        <w:rPr>
          <w:rFonts w:ascii="Arial" w:hAnsi="Arial" w:cs="Arial"/>
          <w:szCs w:val="24"/>
        </w:rPr>
        <w:t>A partir de</w:t>
      </w:r>
      <w:r w:rsidRPr="006A3AB9">
        <w:rPr>
          <w:rFonts w:ascii="Arial" w:hAnsi="Arial" w:cs="Arial"/>
          <w:szCs w:val="24"/>
        </w:rPr>
        <w:t xml:space="preserve"> la sentencia C-543 de 1992, mediante la cual se examinaron en sede de constitucionalidad, los artículos 11, 12 y 40 del Decreto 2591 de 1991, que se declararon ajustados a la Carta Política, se inicia la línea jurisprudencial en torno a la tutela contra providencias judiciales, que ha evolucionado hasta una re-definición dogmática </w:t>
      </w:r>
      <w:r>
        <w:rPr>
          <w:rFonts w:ascii="Arial" w:hAnsi="Arial" w:cs="Arial"/>
          <w:szCs w:val="24"/>
        </w:rPr>
        <w:t xml:space="preserve">entre </w:t>
      </w:r>
      <w:r w:rsidRPr="006A3AB9">
        <w:rPr>
          <w:rFonts w:ascii="Arial" w:hAnsi="Arial" w:cs="Arial"/>
          <w:szCs w:val="24"/>
        </w:rPr>
        <w:t>2003</w:t>
      </w:r>
      <w:r>
        <w:rPr>
          <w:rFonts w:ascii="Arial" w:hAnsi="Arial" w:cs="Arial"/>
          <w:szCs w:val="24"/>
        </w:rPr>
        <w:t xml:space="preserve"> y 2005</w:t>
      </w:r>
      <w:r w:rsidRPr="006A3AB9">
        <w:rPr>
          <w:rStyle w:val="Appelnotedebasdep"/>
          <w:rFonts w:ascii="Arial" w:hAnsi="Arial" w:cs="Arial"/>
          <w:szCs w:val="24"/>
        </w:rPr>
        <w:footnoteReference w:id="1"/>
      </w:r>
      <w:r w:rsidRPr="006A3AB9">
        <w:rPr>
          <w:rFonts w:ascii="Arial" w:hAnsi="Arial" w:cs="Arial"/>
          <w:szCs w:val="24"/>
        </w:rPr>
        <w:t xml:space="preserve">, que consistió básicamente en sustituir la expresión “vías de hecho” a la de “causales genéricas de </w:t>
      </w:r>
      <w:proofErr w:type="spellStart"/>
      <w:r w:rsidRPr="006A3AB9">
        <w:rPr>
          <w:rFonts w:ascii="Arial" w:hAnsi="Arial" w:cs="Arial"/>
          <w:szCs w:val="24"/>
        </w:rPr>
        <w:t>procedibilidad</w:t>
      </w:r>
      <w:proofErr w:type="spellEnd"/>
      <w:r w:rsidRPr="006A3AB9">
        <w:rPr>
          <w:rFonts w:ascii="Arial" w:hAnsi="Arial" w:cs="Arial"/>
          <w:szCs w:val="24"/>
        </w:rPr>
        <w:t>” y ensanchar las causales, pasando de cuatro (4) a ocho (8), es decir, las “causales especiales”, que deben reunirse para adentrarse en el estudio concreto del caso.</w:t>
      </w:r>
    </w:p>
    <w:p w:rsidR="00795CDC" w:rsidRDefault="00795CDC" w:rsidP="00795CDC">
      <w:pPr>
        <w:pStyle w:val="Corpsdetexte"/>
        <w:spacing w:line="360" w:lineRule="auto"/>
        <w:rPr>
          <w:rFonts w:ascii="Arial" w:hAnsi="Arial" w:cs="Arial"/>
          <w:szCs w:val="24"/>
        </w:rPr>
      </w:pPr>
    </w:p>
    <w:p w:rsidR="00795CDC" w:rsidRPr="006A3AB9" w:rsidRDefault="00795CDC" w:rsidP="00795CDC">
      <w:pPr>
        <w:pStyle w:val="Corpsdetexte"/>
        <w:spacing w:line="360" w:lineRule="auto"/>
        <w:rPr>
          <w:rFonts w:ascii="Arial" w:hAnsi="Arial" w:cs="Arial"/>
          <w:szCs w:val="24"/>
        </w:rPr>
      </w:pPr>
      <w:r w:rsidRPr="006A3AB9">
        <w:rPr>
          <w:rFonts w:ascii="Arial" w:hAnsi="Arial" w:cs="Arial"/>
          <w:szCs w:val="24"/>
        </w:rPr>
        <w:t xml:space="preserve">Ahora, </w:t>
      </w:r>
      <w:r>
        <w:rPr>
          <w:rFonts w:ascii="Arial" w:hAnsi="Arial" w:cs="Arial"/>
          <w:szCs w:val="24"/>
        </w:rPr>
        <w:t xml:space="preserve"> </w:t>
      </w:r>
      <w:r w:rsidRPr="006A3AB9">
        <w:rPr>
          <w:rFonts w:ascii="Arial" w:hAnsi="Arial" w:cs="Arial"/>
          <w:szCs w:val="24"/>
        </w:rPr>
        <w:t xml:space="preserve">en </w:t>
      </w:r>
      <w:r>
        <w:rPr>
          <w:rFonts w:ascii="Arial" w:hAnsi="Arial" w:cs="Arial"/>
          <w:szCs w:val="24"/>
        </w:rPr>
        <w:t xml:space="preserve"> </w:t>
      </w:r>
      <w:r w:rsidRPr="006A3AB9">
        <w:rPr>
          <w:rFonts w:ascii="Arial" w:hAnsi="Arial" w:cs="Arial"/>
          <w:szCs w:val="24"/>
        </w:rPr>
        <w:t xml:space="preserve">frente </w:t>
      </w:r>
      <w:r>
        <w:rPr>
          <w:rFonts w:ascii="Arial" w:hAnsi="Arial" w:cs="Arial"/>
          <w:szCs w:val="24"/>
        </w:rPr>
        <w:t xml:space="preserve"> </w:t>
      </w:r>
      <w:r w:rsidRPr="006A3AB9">
        <w:rPr>
          <w:rFonts w:ascii="Arial" w:hAnsi="Arial" w:cs="Arial"/>
          <w:szCs w:val="24"/>
        </w:rPr>
        <w:t xml:space="preserve">del </w:t>
      </w:r>
      <w:r>
        <w:rPr>
          <w:rFonts w:ascii="Arial" w:hAnsi="Arial" w:cs="Arial"/>
          <w:szCs w:val="24"/>
        </w:rPr>
        <w:t xml:space="preserve"> </w:t>
      </w:r>
      <w:r w:rsidRPr="006A3AB9">
        <w:rPr>
          <w:rFonts w:ascii="Arial" w:hAnsi="Arial" w:cs="Arial"/>
          <w:szCs w:val="24"/>
        </w:rPr>
        <w:t xml:space="preserve">examen que se reclama en sede constitucional, resulta de mayúscula trascendencia, precisar que </w:t>
      </w:r>
      <w:r w:rsidRPr="006A3AB9">
        <w:rPr>
          <w:rFonts w:ascii="Arial" w:hAnsi="Arial" w:cs="Arial"/>
          <w:szCs w:val="24"/>
          <w:u w:val="single"/>
        </w:rPr>
        <w:t>se trata de un juicio de validez y no de corrección</w:t>
      </w:r>
      <w:r w:rsidRPr="006A3AB9">
        <w:rPr>
          <w:rFonts w:ascii="Arial" w:hAnsi="Arial" w:cs="Arial"/>
          <w:szCs w:val="24"/>
        </w:rPr>
        <w:t xml:space="preserve">,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w:t>
      </w:r>
      <w:smartTag w:uri="urn:schemas-microsoft-com:office:smarttags" w:element="PersonName">
        <w:smartTagPr>
          <w:attr w:name="ProductID" w:val="la Colegiatura"/>
        </w:smartTagPr>
        <w:r w:rsidRPr="006A3AB9">
          <w:rPr>
            <w:rFonts w:ascii="Arial" w:hAnsi="Arial" w:cs="Arial"/>
            <w:szCs w:val="24"/>
          </w:rPr>
          <w:t>la Colegiatura</w:t>
        </w:r>
      </w:smartTag>
      <w:r w:rsidRPr="006A3AB9">
        <w:rPr>
          <w:rFonts w:ascii="Arial" w:hAnsi="Arial" w:cs="Arial"/>
          <w:szCs w:val="24"/>
        </w:rPr>
        <w:t xml:space="preserve"> constitucional</w:t>
      </w:r>
      <w:r w:rsidRPr="006A3AB9">
        <w:rPr>
          <w:rStyle w:val="Appelnotedebasdep"/>
          <w:rFonts w:ascii="Arial" w:hAnsi="Arial" w:cs="Arial"/>
          <w:szCs w:val="24"/>
        </w:rPr>
        <w:footnoteReference w:id="2"/>
      </w:r>
      <w:r w:rsidRPr="006A3AB9">
        <w:rPr>
          <w:rFonts w:ascii="Arial" w:hAnsi="Arial" w:cs="Arial"/>
          <w:szCs w:val="24"/>
        </w:rPr>
        <w:t>.</w:t>
      </w:r>
    </w:p>
    <w:p w:rsidR="00795CDC" w:rsidRPr="007251E6" w:rsidRDefault="00795CDC" w:rsidP="00795CDC">
      <w:pPr>
        <w:pStyle w:val="Corpsdetexte"/>
        <w:spacing w:line="360" w:lineRule="auto"/>
        <w:rPr>
          <w:rFonts w:ascii="Arial" w:hAnsi="Arial" w:cs="Arial"/>
          <w:sz w:val="20"/>
          <w:szCs w:val="24"/>
        </w:rPr>
      </w:pPr>
    </w:p>
    <w:p w:rsidR="00795CDC" w:rsidRDefault="00795CDC" w:rsidP="00795CDC">
      <w:pPr>
        <w:pStyle w:val="Corpsdetexte"/>
        <w:spacing w:line="360" w:lineRule="auto"/>
        <w:rPr>
          <w:rFonts w:ascii="Arial" w:hAnsi="Arial" w:cs="Arial"/>
          <w:szCs w:val="24"/>
        </w:rPr>
      </w:pPr>
      <w:r w:rsidRPr="006A3AB9">
        <w:rPr>
          <w:rFonts w:ascii="Arial" w:hAnsi="Arial" w:cs="Arial"/>
          <w:szCs w:val="24"/>
        </w:rPr>
        <w:t xml:space="preserve">Los requisitos generales de </w:t>
      </w:r>
      <w:proofErr w:type="spellStart"/>
      <w:r w:rsidRPr="006A3AB9">
        <w:rPr>
          <w:rFonts w:ascii="Arial" w:hAnsi="Arial" w:cs="Arial"/>
          <w:szCs w:val="24"/>
        </w:rPr>
        <w:t>procedibilidad</w:t>
      </w:r>
      <w:proofErr w:type="spellEnd"/>
      <w:r w:rsidRPr="006A3AB9">
        <w:rPr>
          <w:rFonts w:ascii="Arial" w:hAnsi="Arial" w:cs="Arial"/>
          <w:szCs w:val="24"/>
        </w:rPr>
        <w:t>, explicados en amplitud en la sentencia C-590 de 2005</w:t>
      </w:r>
      <w:r w:rsidRPr="006A3AB9">
        <w:rPr>
          <w:rStyle w:val="Appelnotedebasdep"/>
          <w:rFonts w:ascii="Arial" w:hAnsi="Arial" w:cs="Arial"/>
          <w:szCs w:val="24"/>
        </w:rPr>
        <w:footnoteReference w:id="3"/>
      </w:r>
      <w:r w:rsidRPr="006A3AB9">
        <w:rPr>
          <w:rFonts w:ascii="Arial" w:hAnsi="Arial" w:cs="Arial"/>
          <w:szCs w:val="24"/>
        </w:rPr>
        <w:t xml:space="preserve"> y reiterados en la consolidada línea jurisprudencial de la Corte Constitucional</w:t>
      </w:r>
      <w:r w:rsidRPr="006A3AB9">
        <w:rPr>
          <w:rStyle w:val="Appelnotedebasdep"/>
          <w:rFonts w:ascii="Arial" w:hAnsi="Arial" w:cs="Arial"/>
          <w:szCs w:val="24"/>
        </w:rPr>
        <w:footnoteReference w:id="4"/>
      </w:r>
      <w:r w:rsidRPr="006A3AB9">
        <w:rPr>
          <w:rFonts w:ascii="Arial" w:hAnsi="Arial" w:cs="Arial"/>
          <w:szCs w:val="24"/>
        </w:rPr>
        <w:t xml:space="preserve"> (</w:t>
      </w:r>
      <w:r>
        <w:rPr>
          <w:rFonts w:ascii="Arial" w:hAnsi="Arial" w:cs="Arial"/>
          <w:szCs w:val="24"/>
        </w:rPr>
        <w:t>2016</w:t>
      </w:r>
      <w:r w:rsidRPr="006A3AB9">
        <w:rPr>
          <w:rFonts w:ascii="Arial" w:hAnsi="Arial" w:cs="Arial"/>
          <w:szCs w:val="24"/>
        </w:rPr>
        <w:t xml:space="preserve">) son: (i) Que el asunto sea de relevancia constitucional; (ii) Que se hayan agotado </w:t>
      </w:r>
      <w:r w:rsidRPr="006A3AB9">
        <w:rPr>
          <w:rFonts w:ascii="Arial" w:hAnsi="Arial" w:cs="Arial"/>
          <w:szCs w:val="24"/>
        </w:rPr>
        <w:lastRenderedPageBreak/>
        <w:t>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w:t>
      </w:r>
      <w:r>
        <w:rPr>
          <w:rFonts w:ascii="Arial" w:hAnsi="Arial" w:cs="Arial"/>
          <w:szCs w:val="24"/>
        </w:rPr>
        <w:t>;</w:t>
      </w:r>
      <w:r w:rsidRPr="006A3AB9">
        <w:rPr>
          <w:rFonts w:ascii="Arial" w:hAnsi="Arial" w:cs="Arial"/>
          <w:szCs w:val="24"/>
        </w:rPr>
        <w:t xml:space="preserve"> (vi) De ser posible, los hubiere alegado en el proceso judicial en las oportunidades debidas; (vii) </w:t>
      </w:r>
      <w:r w:rsidRPr="00E77D52">
        <w:rPr>
          <w:rFonts w:ascii="Arial" w:hAnsi="Arial" w:cs="Arial"/>
          <w:szCs w:val="24"/>
        </w:rPr>
        <w:t xml:space="preserve">Que no se trate de </w:t>
      </w:r>
      <w:r>
        <w:rPr>
          <w:rFonts w:ascii="Arial" w:hAnsi="Arial" w:cs="Arial"/>
          <w:szCs w:val="24"/>
        </w:rPr>
        <w:t>tutela contra</w:t>
      </w:r>
      <w:r w:rsidRPr="00E77D52">
        <w:rPr>
          <w:rFonts w:ascii="Arial" w:hAnsi="Arial" w:cs="Arial"/>
          <w:szCs w:val="24"/>
        </w:rPr>
        <w:t xml:space="preserve"> tutela</w:t>
      </w:r>
      <w:r>
        <w:rPr>
          <w:rStyle w:val="Appelnotedebasdep"/>
          <w:rFonts w:ascii="Arial" w:hAnsi="Arial"/>
          <w:szCs w:val="24"/>
        </w:rPr>
        <w:footnoteReference w:id="5"/>
      </w:r>
      <w:r w:rsidRPr="006A3AB9">
        <w:rPr>
          <w:rFonts w:ascii="Arial" w:hAnsi="Arial" w:cs="Arial"/>
          <w:szCs w:val="24"/>
        </w:rPr>
        <w:t>.</w:t>
      </w:r>
    </w:p>
    <w:p w:rsidR="00795CDC" w:rsidRPr="00C57632" w:rsidRDefault="00795CDC" w:rsidP="00795CDC">
      <w:pPr>
        <w:pStyle w:val="Corpsdetexte"/>
        <w:spacing w:line="360" w:lineRule="auto"/>
        <w:rPr>
          <w:rFonts w:ascii="Arial" w:hAnsi="Arial" w:cs="Arial"/>
          <w:sz w:val="20"/>
          <w:szCs w:val="24"/>
        </w:rPr>
      </w:pPr>
    </w:p>
    <w:p w:rsidR="00795CDC" w:rsidRDefault="00795CDC" w:rsidP="00795CDC">
      <w:pPr>
        <w:pStyle w:val="Corpsdetexte"/>
        <w:spacing w:line="360" w:lineRule="auto"/>
        <w:rPr>
          <w:rFonts w:ascii="Arial" w:hAnsi="Arial" w:cs="Arial"/>
          <w:szCs w:val="24"/>
        </w:rPr>
      </w:pPr>
      <w:r w:rsidRPr="006A3AB9">
        <w:rPr>
          <w:rFonts w:ascii="Arial" w:hAnsi="Arial" w:cs="Arial"/>
          <w:szCs w:val="24"/>
        </w:rPr>
        <w:t xml:space="preserve">De otra parte, como requisitos o causales especiales de </w:t>
      </w:r>
      <w:proofErr w:type="spellStart"/>
      <w:r w:rsidRPr="006A3AB9">
        <w:rPr>
          <w:rFonts w:ascii="Arial" w:hAnsi="Arial" w:cs="Arial"/>
          <w:szCs w:val="24"/>
        </w:rPr>
        <w:t>procedibilidad</w:t>
      </w:r>
      <w:proofErr w:type="spellEnd"/>
      <w:r w:rsidRPr="006A3AB9">
        <w:rPr>
          <w:rFonts w:ascii="Arial" w:hAnsi="Arial" w:cs="Arial"/>
          <w:szCs w:val="24"/>
        </w:rPr>
        <w:t>,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6A3AB9">
        <w:rPr>
          <w:rFonts w:ascii="Arial" w:hAnsi="Arial" w:cs="Arial"/>
          <w:szCs w:val="24"/>
          <w:vertAlign w:val="superscript"/>
        </w:rPr>
        <w:footnoteReference w:id="6"/>
      </w:r>
      <w:r w:rsidRPr="006A3AB9">
        <w:rPr>
          <w:rFonts w:ascii="Arial" w:hAnsi="Arial" w:cs="Arial"/>
          <w:szCs w:val="24"/>
        </w:rPr>
        <w:t xml:space="preserve"> y </w:t>
      </w:r>
      <w:r w:rsidRPr="006A00CC">
        <w:rPr>
          <w:rFonts w:ascii="Arial" w:hAnsi="Arial" w:cs="Arial"/>
          <w:szCs w:val="24"/>
        </w:rPr>
        <w:t>Quinche Ramírez</w:t>
      </w:r>
      <w:r w:rsidRPr="006A00CC">
        <w:rPr>
          <w:rStyle w:val="Appelnotedebasdep"/>
          <w:rFonts w:ascii="Arial" w:hAnsi="Arial" w:cs="Arial"/>
          <w:szCs w:val="24"/>
        </w:rPr>
        <w:footnoteReference w:id="7"/>
      </w:r>
      <w:r w:rsidRPr="006A00CC">
        <w:rPr>
          <w:rFonts w:ascii="Arial" w:hAnsi="Arial" w:cs="Arial"/>
          <w:szCs w:val="24"/>
        </w:rPr>
        <w:t>.</w:t>
      </w:r>
    </w:p>
    <w:p w:rsidR="00795CDC" w:rsidRPr="00243795" w:rsidRDefault="00795CDC" w:rsidP="00795CDC">
      <w:pPr>
        <w:pStyle w:val="Corpsdetexte"/>
        <w:spacing w:line="360" w:lineRule="auto"/>
        <w:rPr>
          <w:rFonts w:ascii="Arial" w:hAnsi="Arial" w:cs="Arial"/>
          <w:sz w:val="20"/>
          <w:szCs w:val="24"/>
        </w:rPr>
      </w:pPr>
    </w:p>
    <w:p w:rsidR="00795CDC" w:rsidRDefault="00795CDC" w:rsidP="00795CDC">
      <w:pPr>
        <w:pStyle w:val="Corpsdetexte"/>
        <w:numPr>
          <w:ilvl w:val="3"/>
          <w:numId w:val="18"/>
        </w:numPr>
        <w:tabs>
          <w:tab w:val="clear" w:pos="0"/>
          <w:tab w:val="clear" w:pos="708"/>
          <w:tab w:val="left" w:pos="993"/>
        </w:tabs>
        <w:suppressAutoHyphens w:val="0"/>
        <w:overflowPunct/>
        <w:autoSpaceDE/>
        <w:adjustRightInd/>
        <w:spacing w:line="360" w:lineRule="auto"/>
        <w:textAlignment w:val="auto"/>
        <w:rPr>
          <w:rFonts w:ascii="Arial" w:hAnsi="Arial" w:cs="Arial"/>
          <w:szCs w:val="24"/>
        </w:rPr>
      </w:pPr>
      <w:r>
        <w:rPr>
          <w:rFonts w:ascii="Arial" w:hAnsi="Arial" w:cs="Arial"/>
          <w:szCs w:val="24"/>
        </w:rPr>
        <w:t>El carácter subsidiario de la acción de tutela</w:t>
      </w:r>
      <w:r>
        <w:rPr>
          <w:rFonts w:ascii="Arial" w:hAnsi="Arial" w:cs="Arial"/>
          <w:szCs w:val="24"/>
        </w:rPr>
        <w:tab/>
      </w:r>
    </w:p>
    <w:p w:rsidR="00795CDC" w:rsidRPr="00243795" w:rsidRDefault="00795CDC" w:rsidP="00795CDC">
      <w:pPr>
        <w:pStyle w:val="Corpsdetexte"/>
        <w:tabs>
          <w:tab w:val="clear" w:pos="0"/>
        </w:tabs>
        <w:spacing w:line="360" w:lineRule="auto"/>
        <w:rPr>
          <w:rFonts w:ascii="Arial" w:hAnsi="Arial" w:cs="Arial"/>
          <w:sz w:val="20"/>
          <w:szCs w:val="24"/>
        </w:rPr>
      </w:pPr>
    </w:p>
    <w:p w:rsidR="00795CDC" w:rsidRDefault="00795CDC" w:rsidP="00795CDC">
      <w:pPr>
        <w:pStyle w:val="Corpsdetexte"/>
        <w:tabs>
          <w:tab w:val="clear" w:pos="0"/>
        </w:tabs>
        <w:spacing w:line="360" w:lineRule="auto"/>
        <w:rPr>
          <w:rFonts w:ascii="Arial" w:hAnsi="Arial" w:cs="Arial"/>
          <w:sz w:val="22"/>
          <w:szCs w:val="22"/>
          <w:u w:val="single"/>
        </w:rPr>
      </w:pPr>
      <w:r>
        <w:rPr>
          <w:rFonts w:ascii="Arial" w:hAnsi="Arial" w:cs="Arial"/>
          <w:szCs w:val="24"/>
        </w:rPr>
        <w:t xml:space="preserve">La acción de tutela, se halla prescrita en el artículo 86 de la Constitución Nacional, definiendo la regla general sobre la procedencia de la acción, al consagrar en el inciso 3° que  </w:t>
      </w:r>
      <w:r>
        <w:rPr>
          <w:rFonts w:ascii="Arial" w:hAnsi="Arial" w:cs="Arial"/>
          <w:sz w:val="22"/>
          <w:szCs w:val="22"/>
        </w:rPr>
        <w:t>“</w:t>
      </w:r>
      <w:r>
        <w:rPr>
          <w:rFonts w:ascii="Arial" w:hAnsi="Arial" w:cs="Arial"/>
          <w:i/>
          <w:sz w:val="22"/>
          <w:szCs w:val="22"/>
        </w:rPr>
        <w:t xml:space="preserve">Esta acción solo procederá </w:t>
      </w:r>
      <w:r>
        <w:rPr>
          <w:rFonts w:ascii="Arial" w:hAnsi="Arial" w:cs="Arial"/>
          <w:i/>
          <w:sz w:val="22"/>
          <w:szCs w:val="22"/>
          <w:u w:val="single"/>
        </w:rPr>
        <w:t>cuando el afectado no disponga de otro medio de defensa judicial, salvo que aquella se utilice como mecanismo transitorio para evitar un perjuicio irremediable</w:t>
      </w:r>
      <w:r>
        <w:rPr>
          <w:rFonts w:ascii="Arial" w:hAnsi="Arial" w:cs="Arial"/>
          <w:sz w:val="22"/>
          <w:szCs w:val="22"/>
          <w:u w:val="single"/>
        </w:rPr>
        <w:t xml:space="preserve">”. </w:t>
      </w:r>
    </w:p>
    <w:p w:rsidR="00795CDC" w:rsidRPr="00243795" w:rsidRDefault="00795CDC" w:rsidP="00795CDC">
      <w:pPr>
        <w:pStyle w:val="Corpsdetexte"/>
        <w:tabs>
          <w:tab w:val="clear" w:pos="0"/>
        </w:tabs>
        <w:spacing w:line="360" w:lineRule="auto"/>
        <w:rPr>
          <w:rFonts w:ascii="Arial" w:hAnsi="Arial" w:cs="Arial"/>
          <w:sz w:val="20"/>
          <w:szCs w:val="24"/>
          <w:u w:val="single"/>
        </w:rPr>
      </w:pPr>
    </w:p>
    <w:p w:rsidR="00795CDC" w:rsidRDefault="00795CDC" w:rsidP="00795CDC">
      <w:pPr>
        <w:pStyle w:val="Corpsdetexte"/>
        <w:tabs>
          <w:tab w:val="clear" w:pos="0"/>
        </w:tabs>
        <w:spacing w:line="360" w:lineRule="auto"/>
        <w:rPr>
          <w:rFonts w:ascii="Arial" w:hAnsi="Arial" w:cs="Arial"/>
          <w:i/>
          <w:sz w:val="22"/>
          <w:szCs w:val="22"/>
        </w:rPr>
      </w:pPr>
      <w:r>
        <w:rPr>
          <w:rFonts w:ascii="Arial" w:hAnsi="Arial" w:cs="Arial"/>
          <w:szCs w:val="24"/>
        </w:rPr>
        <w:t>Es por ello que la acción de tutela es subsidiaria, en razón a que su procedencia está sometida al agotamiento de los medios ordinarios y extraordinarios de defensa por el accionante o a la demostración de su inexistencia; al respecto la Corte ha señalado</w:t>
      </w:r>
      <w:r>
        <w:rPr>
          <w:rFonts w:ascii="Arial" w:hAnsi="Arial" w:cs="Arial"/>
          <w:i/>
          <w:szCs w:val="24"/>
        </w:rPr>
        <w:t>:</w:t>
      </w:r>
      <w:r>
        <w:rPr>
          <w:rFonts w:ascii="Arial" w:hAnsi="Arial" w:cs="Arial"/>
          <w:i/>
        </w:rPr>
        <w:t xml:space="preserve"> </w:t>
      </w:r>
      <w:r>
        <w:rPr>
          <w:rFonts w:ascii="Arial" w:hAnsi="Arial" w:cs="Arial"/>
          <w:i/>
          <w:sz w:val="22"/>
          <w:szCs w:val="22"/>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Pr>
          <w:rStyle w:val="Appelnotedebasdep"/>
          <w:rFonts w:ascii="Arial" w:hAnsi="Arial" w:cs="Arial"/>
          <w:i/>
          <w:sz w:val="22"/>
          <w:szCs w:val="22"/>
        </w:rPr>
        <w:footnoteReference w:id="8"/>
      </w:r>
      <w:r>
        <w:rPr>
          <w:rFonts w:ascii="Arial" w:hAnsi="Arial" w:cs="Arial"/>
          <w:i/>
          <w:sz w:val="22"/>
          <w:szCs w:val="22"/>
        </w:rPr>
        <w:t>.</w:t>
      </w:r>
    </w:p>
    <w:p w:rsidR="00795CDC" w:rsidRPr="00243795" w:rsidRDefault="00795CDC" w:rsidP="00795CDC">
      <w:pPr>
        <w:widowControl/>
        <w:autoSpaceDE/>
        <w:adjustRightInd/>
        <w:spacing w:line="360" w:lineRule="auto"/>
        <w:jc w:val="both"/>
        <w:rPr>
          <w:rFonts w:ascii="Arial" w:hAnsi="Arial" w:cs="Arial"/>
          <w:sz w:val="20"/>
          <w:szCs w:val="22"/>
          <w:lang w:val="es-ES_tradnl"/>
        </w:rPr>
      </w:pPr>
    </w:p>
    <w:p w:rsidR="00795CDC" w:rsidRDefault="00795CDC" w:rsidP="00795CDC">
      <w:pPr>
        <w:widowControl/>
        <w:autoSpaceDE/>
        <w:adjustRightInd/>
        <w:spacing w:line="360" w:lineRule="auto"/>
        <w:jc w:val="both"/>
        <w:rPr>
          <w:rFonts w:ascii="Arial" w:hAnsi="Arial" w:cs="Arial"/>
          <w:lang w:val="es-ES_tradnl"/>
        </w:rPr>
      </w:pPr>
      <w:r>
        <w:rPr>
          <w:rFonts w:ascii="Arial" w:hAnsi="Arial" w:cs="Arial"/>
          <w:lang w:val="es-ES_tradnl"/>
        </w:rPr>
        <w:t>La Corte Constitucional</w:t>
      </w:r>
      <w:r>
        <w:rPr>
          <w:rStyle w:val="Appelnotedebasdep"/>
          <w:rFonts w:ascii="Arial" w:hAnsi="Arial"/>
          <w:color w:val="000000"/>
          <w:shd w:val="clear" w:color="auto" w:fill="FFFFFF"/>
        </w:rPr>
        <w:footnoteReference w:id="9"/>
      </w:r>
      <w:r>
        <w:rPr>
          <w:rFonts w:ascii="Arial" w:hAnsi="Arial" w:cs="Arial"/>
          <w:lang w:val="es-ES_tradnl"/>
        </w:rPr>
        <w:t xml:space="preserve"> en su jurisprudencia ha destacado la importancia de preservar el principio de subsidiariedad en el amparo constitucional:</w:t>
      </w:r>
    </w:p>
    <w:p w:rsidR="00795CDC" w:rsidRPr="00636F79" w:rsidRDefault="00795CDC" w:rsidP="00795CDC">
      <w:pPr>
        <w:widowControl/>
        <w:overflowPunct w:val="0"/>
        <w:spacing w:line="360" w:lineRule="auto"/>
        <w:ind w:left="540" w:right="560"/>
        <w:jc w:val="both"/>
        <w:textAlignment w:val="baseline"/>
        <w:rPr>
          <w:rFonts w:ascii="Arial" w:hAnsi="Arial" w:cs="Arial"/>
          <w:i/>
          <w:iCs/>
          <w:sz w:val="20"/>
          <w:lang w:val="es-ES_tradnl"/>
        </w:rPr>
      </w:pPr>
    </w:p>
    <w:p w:rsidR="00795CDC" w:rsidRDefault="00795CDC" w:rsidP="00795CDC">
      <w:pPr>
        <w:pStyle w:val="Corpsdetexte"/>
        <w:tabs>
          <w:tab w:val="clear" w:pos="0"/>
        </w:tabs>
        <w:spacing w:line="240" w:lineRule="auto"/>
        <w:ind w:left="567" w:right="567"/>
        <w:rPr>
          <w:rFonts w:ascii="Arial" w:hAnsi="Arial" w:cs="Arial"/>
          <w:color w:val="000000"/>
          <w:szCs w:val="24"/>
          <w:shd w:val="clear" w:color="auto" w:fill="FFFFFF"/>
        </w:rPr>
      </w:pPr>
      <w:r>
        <w:rPr>
          <w:rFonts w:ascii="Arial" w:hAnsi="Arial" w:cs="Arial"/>
          <w:color w:val="000000"/>
          <w:szCs w:val="24"/>
          <w:shd w:val="clear" w:color="auto" w:fill="FFFFFF"/>
        </w:rPr>
        <w:t xml:space="preserve">En efecto, el carácter subsidiario de la acción de tutela impone al interesado la obligación de desplegar todo su actuar dirigido a poner en marcha los medios ordinarios de defensa ofrecidos dentro del ordenamiento jurídico para la </w:t>
      </w:r>
      <w:r>
        <w:rPr>
          <w:rFonts w:ascii="Arial" w:hAnsi="Arial" w:cs="Arial"/>
          <w:color w:val="000000"/>
          <w:szCs w:val="24"/>
          <w:shd w:val="clear" w:color="auto" w:fill="FFFFFF"/>
        </w:rPr>
        <w:lastRenderedPageBreak/>
        <w:t>protección de sus derechos fundamentales. Tal imperativo constitucional pone de relieve que para acudir a la acción de tutela el peticionario debe haber actuado con diligencia en los procesos y procedimientos ordinarios, pero también que la falta injustificada de agotamiento de los recursos legales deviene en la improcedencia del mecanismo de amparo establecido en el artículo 86 Superior.</w:t>
      </w:r>
    </w:p>
    <w:p w:rsidR="00795CDC" w:rsidRDefault="00795CDC" w:rsidP="00795CDC">
      <w:pPr>
        <w:pStyle w:val="Corpsdetexte"/>
        <w:tabs>
          <w:tab w:val="clear" w:pos="0"/>
        </w:tabs>
        <w:spacing w:line="360" w:lineRule="auto"/>
        <w:rPr>
          <w:rFonts w:ascii="Arial" w:hAnsi="Arial" w:cs="Arial"/>
          <w:szCs w:val="24"/>
        </w:rPr>
      </w:pPr>
    </w:p>
    <w:p w:rsidR="00795CDC" w:rsidRDefault="00795CDC" w:rsidP="00795CDC">
      <w:pPr>
        <w:pStyle w:val="Corpsdetexte"/>
        <w:tabs>
          <w:tab w:val="clear" w:pos="0"/>
        </w:tabs>
        <w:spacing w:line="360" w:lineRule="auto"/>
        <w:rPr>
          <w:rFonts w:ascii="Arial" w:hAnsi="Arial" w:cs="Arial"/>
          <w:szCs w:val="24"/>
        </w:rPr>
      </w:pPr>
      <w:r>
        <w:rPr>
          <w:rFonts w:ascii="Arial" w:hAnsi="Arial" w:cs="Arial"/>
          <w:szCs w:val="24"/>
        </w:rPr>
        <w:t>Conforme a lo sostenido por la Corte, deben agotarse los recursos ordinarios de defensa, toda vez que la tutela no fue creada ni destinada a suplir los procedimientos ordinarios ni para enmendar los errores o descuidos de las partes en el proceso; dentro del mismo ámbito la doctrina constitucional enseña</w:t>
      </w:r>
      <w:r>
        <w:rPr>
          <w:rFonts w:ascii="Arial" w:hAnsi="Arial" w:cs="Arial"/>
        </w:rPr>
        <w:t xml:space="preserve">: </w:t>
      </w:r>
      <w:r>
        <w:rPr>
          <w:rFonts w:ascii="Arial" w:hAnsi="Arial" w:cs="Arial"/>
          <w:i/>
          <w:sz w:val="22"/>
          <w:szCs w:val="22"/>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Pr>
          <w:rStyle w:val="Appelnotedebasdep"/>
          <w:rFonts w:ascii="Arial" w:hAnsi="Arial" w:cs="Arial"/>
          <w:sz w:val="22"/>
          <w:szCs w:val="22"/>
        </w:rPr>
        <w:footnoteReference w:id="10"/>
      </w:r>
      <w:r>
        <w:rPr>
          <w:rFonts w:ascii="Arial" w:hAnsi="Arial" w:cs="Arial"/>
          <w:sz w:val="22"/>
          <w:szCs w:val="22"/>
        </w:rPr>
        <w:t>.</w:t>
      </w:r>
      <w:r>
        <w:rPr>
          <w:rFonts w:ascii="Arial" w:hAnsi="Arial" w:cs="Arial"/>
          <w:szCs w:val="24"/>
        </w:rPr>
        <w:t xml:space="preserve"> Además, la Corte ha sido reiterativa en su criterio</w:t>
      </w:r>
      <w:r>
        <w:rPr>
          <w:rStyle w:val="Appelnotedebasdep"/>
          <w:rFonts w:ascii="Arial" w:hAnsi="Arial"/>
          <w:szCs w:val="24"/>
        </w:rPr>
        <w:footnoteReference w:id="11"/>
      </w:r>
      <w:r>
        <w:rPr>
          <w:rFonts w:ascii="Arial" w:hAnsi="Arial" w:cs="Arial"/>
          <w:szCs w:val="24"/>
        </w:rPr>
        <w:t>(2016)</w:t>
      </w:r>
      <w:r>
        <w:rPr>
          <w:rStyle w:val="Appelnotedebasdep"/>
          <w:rFonts w:ascii="Arial" w:hAnsi="Arial"/>
          <w:szCs w:val="24"/>
        </w:rPr>
        <w:footnoteReference w:id="12"/>
      </w:r>
      <w:r>
        <w:rPr>
          <w:rFonts w:ascii="Arial" w:hAnsi="Arial" w:cs="Arial"/>
          <w:szCs w:val="24"/>
        </w:rPr>
        <w:t>.</w:t>
      </w:r>
    </w:p>
    <w:p w:rsidR="00795CDC" w:rsidRPr="00243795" w:rsidRDefault="00795CDC" w:rsidP="00795CDC">
      <w:pPr>
        <w:pStyle w:val="Corpsdetexte"/>
        <w:tabs>
          <w:tab w:val="clear" w:pos="0"/>
        </w:tabs>
        <w:spacing w:line="360" w:lineRule="auto"/>
        <w:rPr>
          <w:rFonts w:ascii="Arial" w:hAnsi="Arial" w:cs="Arial"/>
          <w:sz w:val="20"/>
          <w:szCs w:val="24"/>
        </w:rPr>
      </w:pPr>
    </w:p>
    <w:p w:rsidR="00795CDC" w:rsidRDefault="00795CDC" w:rsidP="00795CDC">
      <w:pPr>
        <w:spacing w:line="360" w:lineRule="auto"/>
        <w:jc w:val="both"/>
        <w:rPr>
          <w:rFonts w:ascii="Arial" w:hAnsi="Arial" w:cs="Arial"/>
          <w:lang w:val="es-ES_tradnl"/>
        </w:rPr>
      </w:pPr>
      <w:r>
        <w:rPr>
          <w:rFonts w:ascii="Arial" w:hAnsi="Arial" w:cs="Arial"/>
          <w:lang w:val="es-ES_tradnl"/>
        </w:rPr>
        <w:t xml:space="preserve">También la </w:t>
      </w:r>
      <w:r w:rsidR="003561E9">
        <w:rPr>
          <w:rFonts w:ascii="Arial" w:hAnsi="Arial" w:cs="Arial"/>
          <w:lang w:val="es-ES_tradnl"/>
        </w:rPr>
        <w:t>CSJ</w:t>
      </w:r>
      <w:r>
        <w:rPr>
          <w:rFonts w:ascii="Arial" w:hAnsi="Arial" w:cs="Arial"/>
          <w:lang w:val="es-ES_tradnl"/>
        </w:rPr>
        <w:t xml:space="preserve"> se ha referido al tema</w:t>
      </w:r>
      <w:r>
        <w:rPr>
          <w:rStyle w:val="Appelnotedebasdep"/>
          <w:rFonts w:ascii="Arial" w:hAnsi="Arial" w:cs="Arial"/>
        </w:rPr>
        <w:footnoteReference w:id="13"/>
      </w:r>
      <w:r>
        <w:rPr>
          <w:rFonts w:ascii="Arial" w:hAnsi="Arial" w:cs="Arial"/>
          <w:vertAlign w:val="superscript"/>
          <w:lang w:val="es-ES_tradnl"/>
        </w:rPr>
        <w:t>-</w:t>
      </w:r>
      <w:r>
        <w:rPr>
          <w:rStyle w:val="Appelnotedebasdep"/>
          <w:rFonts w:ascii="Arial" w:hAnsi="Arial"/>
        </w:rPr>
        <w:footnoteReference w:id="14"/>
      </w:r>
      <w:r>
        <w:rPr>
          <w:rFonts w:ascii="Arial" w:hAnsi="Arial" w:cs="Arial"/>
          <w:lang w:val="es-ES_tradnl"/>
        </w:rPr>
        <w:t xml:space="preserve"> (2016)</w:t>
      </w:r>
      <w:r>
        <w:rPr>
          <w:rStyle w:val="Appelnotedebasdep"/>
          <w:rFonts w:ascii="Arial" w:hAnsi="Arial"/>
        </w:rPr>
        <w:footnoteReference w:id="15"/>
      </w:r>
      <w:r>
        <w:rPr>
          <w:rFonts w:ascii="Arial" w:hAnsi="Arial" w:cs="Arial"/>
          <w:lang w:val="es-ES_tradnl"/>
        </w:rPr>
        <w:t xml:space="preserve">, </w:t>
      </w:r>
      <w:proofErr w:type="spellStart"/>
      <w:r>
        <w:rPr>
          <w:rFonts w:ascii="Arial" w:hAnsi="Arial" w:cs="Arial"/>
          <w:lang w:val="es-ES_tradnl"/>
        </w:rPr>
        <w:t>prohija</w:t>
      </w:r>
      <w:proofErr w:type="spellEnd"/>
      <w:r>
        <w:rPr>
          <w:rFonts w:ascii="Arial" w:hAnsi="Arial" w:cs="Arial"/>
          <w:lang w:val="es-ES_tradnl"/>
        </w:rPr>
        <w:t xml:space="preserve"> la improcedencia de la tutela por aplicación del principio de subsidiariedad.</w:t>
      </w:r>
    </w:p>
    <w:p w:rsidR="00BF3A7D" w:rsidRDefault="00BF3A7D" w:rsidP="00BF3A7D">
      <w:pPr>
        <w:pStyle w:val="Corpsdetexte"/>
        <w:spacing w:line="360" w:lineRule="auto"/>
        <w:rPr>
          <w:rFonts w:ascii="Arial" w:hAnsi="Arial" w:cs="Arial"/>
          <w:szCs w:val="24"/>
        </w:rPr>
      </w:pPr>
    </w:p>
    <w:p w:rsidR="00795CDC" w:rsidRPr="00FE5FF3" w:rsidRDefault="00795CDC" w:rsidP="00795CDC">
      <w:pPr>
        <w:pStyle w:val="Corpsdetexte"/>
        <w:numPr>
          <w:ilvl w:val="2"/>
          <w:numId w:val="18"/>
        </w:numPr>
        <w:tabs>
          <w:tab w:val="clear" w:pos="708"/>
          <w:tab w:val="left" w:pos="709"/>
        </w:tabs>
        <w:spacing w:line="360" w:lineRule="auto"/>
        <w:rPr>
          <w:rFonts w:ascii="Arial" w:hAnsi="Arial" w:cs="Arial"/>
          <w:smallCaps/>
          <w:szCs w:val="24"/>
        </w:rPr>
      </w:pPr>
      <w:r w:rsidRPr="00FE5FF3">
        <w:rPr>
          <w:rFonts w:ascii="Arial" w:hAnsi="Arial"/>
          <w:smallCaps/>
          <w:szCs w:val="24"/>
        </w:rPr>
        <w:t>Los supuestos de la acción de tutela temeraria y la cosa juzgada constitucional</w:t>
      </w:r>
    </w:p>
    <w:p w:rsidR="00CC281A" w:rsidRDefault="00CC281A" w:rsidP="00795CDC">
      <w:pPr>
        <w:pStyle w:val="Corpsdetexte"/>
        <w:tabs>
          <w:tab w:val="clear" w:pos="708"/>
          <w:tab w:val="left" w:pos="709"/>
        </w:tabs>
        <w:spacing w:line="360" w:lineRule="auto"/>
        <w:rPr>
          <w:rFonts w:ascii="Arial" w:hAnsi="Arial" w:cs="Arial"/>
          <w:szCs w:val="22"/>
          <w:lang w:val="es-CO"/>
        </w:rPr>
      </w:pPr>
    </w:p>
    <w:p w:rsidR="00795CDC" w:rsidRDefault="00795CDC" w:rsidP="00795CDC">
      <w:pPr>
        <w:pStyle w:val="Corpsdetexte"/>
        <w:tabs>
          <w:tab w:val="clear" w:pos="708"/>
          <w:tab w:val="left" w:pos="709"/>
        </w:tabs>
        <w:spacing w:line="360" w:lineRule="auto"/>
        <w:rPr>
          <w:rFonts w:ascii="Arial" w:hAnsi="Arial"/>
        </w:rPr>
      </w:pPr>
      <w:r w:rsidRPr="00556F7F">
        <w:rPr>
          <w:rFonts w:ascii="Arial" w:hAnsi="Arial" w:cs="Arial"/>
          <w:szCs w:val="22"/>
          <w:lang w:val="es-CO"/>
        </w:rPr>
        <w:t xml:space="preserve">Conforme el artículo 38 del Decreto 2591 de 1991 la actuación es temeraria cuando </w:t>
      </w:r>
      <w:r w:rsidRPr="00556F7F">
        <w:rPr>
          <w:rFonts w:ascii="Arial" w:hAnsi="Arial" w:cs="Arial"/>
          <w:i/>
          <w:sz w:val="22"/>
          <w:szCs w:val="22"/>
          <w:lang w:val="es-CO"/>
        </w:rPr>
        <w:t>“</w:t>
      </w:r>
      <w:r w:rsidRPr="00556F7F">
        <w:rPr>
          <w:rFonts w:ascii="Arial" w:hAnsi="Arial" w:cs="Arial"/>
          <w:i/>
          <w:iCs/>
          <w:sz w:val="22"/>
          <w:szCs w:val="22"/>
          <w:lang w:val="es-CO"/>
        </w:rPr>
        <w:t>sin motivo expresamente justificado, la misma acción de tutela sea presentada por la misma persona o su representante ante varios jueces o tribunales</w:t>
      </w:r>
      <w:r w:rsidRPr="00556F7F">
        <w:rPr>
          <w:rFonts w:ascii="Arial" w:hAnsi="Arial" w:cs="Arial"/>
          <w:sz w:val="22"/>
          <w:szCs w:val="22"/>
          <w:lang w:val="es-CO"/>
        </w:rPr>
        <w:t>”</w:t>
      </w:r>
      <w:r w:rsidRPr="00556F7F">
        <w:rPr>
          <w:rFonts w:ascii="Arial" w:hAnsi="Arial" w:cs="Arial"/>
          <w:szCs w:val="22"/>
          <w:lang w:val="es-CO"/>
        </w:rPr>
        <w:t>, y su comprobación da lugar al rechazo y a la decisión desfavorable de todas las solicitude</w:t>
      </w:r>
      <w:r w:rsidRPr="00556F7F">
        <w:rPr>
          <w:rFonts w:ascii="Arial" w:hAnsi="Arial" w:cs="Arial"/>
          <w:i/>
          <w:iCs/>
          <w:szCs w:val="22"/>
          <w:lang w:val="es-CO"/>
        </w:rPr>
        <w:t xml:space="preserve">s. </w:t>
      </w:r>
      <w:r w:rsidRPr="00556F7F">
        <w:rPr>
          <w:rFonts w:ascii="Arial" w:hAnsi="Arial" w:cs="Arial"/>
          <w:iCs/>
          <w:szCs w:val="22"/>
          <w:lang w:val="es-CO"/>
        </w:rPr>
        <w:t>Asimismo</w:t>
      </w:r>
      <w:r w:rsidRPr="00556F7F">
        <w:rPr>
          <w:rFonts w:ascii="Arial" w:hAnsi="Arial" w:cs="Arial"/>
          <w:szCs w:val="22"/>
          <w:lang w:val="es-CO"/>
        </w:rPr>
        <w:t>, el profesional del derecho que así proceda será sancionado</w:t>
      </w:r>
      <w:r w:rsidRPr="00556F7F">
        <w:rPr>
          <w:rFonts w:ascii="Arial" w:hAnsi="Arial" w:cs="Arial"/>
          <w:i/>
          <w:iCs/>
          <w:szCs w:val="22"/>
          <w:lang w:val="es-CO"/>
        </w:rPr>
        <w:t>.</w:t>
      </w:r>
      <w:r w:rsidRPr="00E051C3">
        <w:rPr>
          <w:rStyle w:val="Appelnotedebasdep"/>
          <w:rFonts w:ascii="Arial" w:hAnsi="Arial"/>
        </w:rPr>
        <w:t xml:space="preserve"> </w:t>
      </w:r>
    </w:p>
    <w:p w:rsidR="00795CDC" w:rsidRPr="00FE5FF3" w:rsidRDefault="00795CDC" w:rsidP="00795CDC">
      <w:pPr>
        <w:pStyle w:val="Corpsdetexte"/>
        <w:tabs>
          <w:tab w:val="clear" w:pos="0"/>
          <w:tab w:val="clear" w:pos="708"/>
          <w:tab w:val="left" w:pos="709"/>
        </w:tabs>
        <w:spacing w:line="360" w:lineRule="auto"/>
        <w:rPr>
          <w:rFonts w:ascii="Arial" w:hAnsi="Arial" w:cs="Arial"/>
          <w:sz w:val="20"/>
          <w:szCs w:val="22"/>
        </w:rPr>
      </w:pPr>
    </w:p>
    <w:p w:rsidR="00795CDC" w:rsidRPr="00556F7F" w:rsidRDefault="00795CDC" w:rsidP="00795CDC">
      <w:pPr>
        <w:pStyle w:val="Corpsdetexte"/>
        <w:tabs>
          <w:tab w:val="clear" w:pos="0"/>
          <w:tab w:val="clear" w:pos="708"/>
          <w:tab w:val="left" w:pos="709"/>
        </w:tabs>
        <w:spacing w:line="360" w:lineRule="auto"/>
        <w:rPr>
          <w:rFonts w:ascii="Arial" w:hAnsi="Arial" w:cs="Arial"/>
          <w:sz w:val="22"/>
          <w:szCs w:val="22"/>
        </w:rPr>
      </w:pPr>
      <w:r w:rsidRPr="00556F7F">
        <w:rPr>
          <w:rFonts w:ascii="Arial" w:hAnsi="Arial" w:cs="Arial"/>
          <w:szCs w:val="22"/>
        </w:rPr>
        <w:t xml:space="preserve">Para </w:t>
      </w:r>
      <w:r>
        <w:rPr>
          <w:rFonts w:ascii="Arial" w:hAnsi="Arial" w:cs="Arial"/>
          <w:szCs w:val="22"/>
        </w:rPr>
        <w:t xml:space="preserve"> </w:t>
      </w:r>
      <w:r w:rsidRPr="00556F7F">
        <w:rPr>
          <w:rFonts w:ascii="Arial" w:hAnsi="Arial" w:cs="Arial"/>
          <w:szCs w:val="22"/>
        </w:rPr>
        <w:t xml:space="preserve">efectos </w:t>
      </w:r>
      <w:r>
        <w:rPr>
          <w:rFonts w:ascii="Arial" w:hAnsi="Arial" w:cs="Arial"/>
          <w:szCs w:val="22"/>
        </w:rPr>
        <w:t xml:space="preserve"> </w:t>
      </w:r>
      <w:r w:rsidRPr="00556F7F">
        <w:rPr>
          <w:rFonts w:ascii="Arial" w:hAnsi="Arial" w:cs="Arial"/>
          <w:szCs w:val="22"/>
        </w:rPr>
        <w:t xml:space="preserve">de </w:t>
      </w:r>
      <w:r>
        <w:rPr>
          <w:rFonts w:ascii="Arial" w:hAnsi="Arial" w:cs="Arial"/>
          <w:szCs w:val="22"/>
        </w:rPr>
        <w:t xml:space="preserve"> </w:t>
      </w:r>
      <w:r w:rsidRPr="00556F7F">
        <w:rPr>
          <w:rFonts w:ascii="Arial" w:hAnsi="Arial" w:cs="Arial"/>
          <w:szCs w:val="22"/>
        </w:rPr>
        <w:t xml:space="preserve">determinar </w:t>
      </w:r>
      <w:r>
        <w:rPr>
          <w:rFonts w:ascii="Arial" w:hAnsi="Arial" w:cs="Arial"/>
          <w:szCs w:val="22"/>
        </w:rPr>
        <w:t xml:space="preserve"> </w:t>
      </w:r>
      <w:r w:rsidRPr="00556F7F">
        <w:rPr>
          <w:rFonts w:ascii="Arial" w:hAnsi="Arial" w:cs="Arial"/>
          <w:szCs w:val="22"/>
        </w:rPr>
        <w:t xml:space="preserve">si </w:t>
      </w:r>
      <w:r>
        <w:rPr>
          <w:rFonts w:ascii="Arial" w:hAnsi="Arial" w:cs="Arial"/>
          <w:szCs w:val="22"/>
        </w:rPr>
        <w:t xml:space="preserve"> </w:t>
      </w:r>
      <w:r w:rsidRPr="00556F7F">
        <w:rPr>
          <w:rFonts w:ascii="Arial" w:hAnsi="Arial" w:cs="Arial"/>
          <w:szCs w:val="22"/>
        </w:rPr>
        <w:t xml:space="preserve">se </w:t>
      </w:r>
      <w:r>
        <w:rPr>
          <w:rFonts w:ascii="Arial" w:hAnsi="Arial" w:cs="Arial"/>
          <w:szCs w:val="22"/>
        </w:rPr>
        <w:t xml:space="preserve"> </w:t>
      </w:r>
      <w:r w:rsidRPr="00556F7F">
        <w:rPr>
          <w:rFonts w:ascii="Arial" w:hAnsi="Arial" w:cs="Arial"/>
          <w:szCs w:val="22"/>
        </w:rPr>
        <w:t xml:space="preserve">ha </w:t>
      </w:r>
      <w:r>
        <w:rPr>
          <w:rFonts w:ascii="Arial" w:hAnsi="Arial" w:cs="Arial"/>
          <w:szCs w:val="22"/>
        </w:rPr>
        <w:t xml:space="preserve"> </w:t>
      </w:r>
      <w:r w:rsidRPr="00556F7F">
        <w:rPr>
          <w:rFonts w:ascii="Arial" w:hAnsi="Arial" w:cs="Arial"/>
          <w:szCs w:val="22"/>
        </w:rPr>
        <w:t>configurado la temeridad en la presentación de una acción de tutela, habrán de confrontarse por el fallador, que concurran los siguientes presupuestos: (i) Identidad de partes, (ii) Identidad de causa para pedir, (iii) Identidad en la petición y en los derechos invocados, y</w:t>
      </w:r>
      <w:r w:rsidRPr="00556F7F">
        <w:rPr>
          <w:rFonts w:ascii="Arial" w:hAnsi="Arial" w:cs="Arial"/>
          <w:sz w:val="22"/>
          <w:szCs w:val="22"/>
        </w:rPr>
        <w:t xml:space="preserve"> “</w:t>
      </w:r>
      <w:r w:rsidRPr="00556F7F">
        <w:rPr>
          <w:rFonts w:ascii="Arial" w:hAnsi="Arial" w:cs="Arial"/>
          <w:i/>
          <w:sz w:val="22"/>
          <w:szCs w:val="22"/>
        </w:rPr>
        <w:t>(iv) que la presentación de la nueva acción de tutela carezca de justificación válida y suficiente para su interposición, es decir, que no se pueda verificar la existencia de un argumento jurídicamente relevante que permita convalidar la duplicidad en el ejercicio del derecho de acción.”</w:t>
      </w:r>
      <w:r w:rsidRPr="00556F7F">
        <w:rPr>
          <w:rFonts w:ascii="Arial" w:hAnsi="Arial" w:cs="Arial"/>
          <w:i/>
          <w:sz w:val="20"/>
          <w:szCs w:val="22"/>
        </w:rPr>
        <w:t xml:space="preserve">, </w:t>
      </w:r>
      <w:r w:rsidRPr="00556F7F">
        <w:rPr>
          <w:rFonts w:ascii="Arial" w:hAnsi="Arial" w:cs="Arial"/>
          <w:szCs w:val="22"/>
        </w:rPr>
        <w:t>así ha doctrinado la Corte Constitucional</w:t>
      </w:r>
      <w:r w:rsidRPr="00556F7F">
        <w:rPr>
          <w:rStyle w:val="Appelnotedebasdep"/>
          <w:rFonts w:ascii="Arial" w:hAnsi="Arial"/>
          <w:szCs w:val="22"/>
        </w:rPr>
        <w:footnoteReference w:id="16"/>
      </w:r>
      <w:r w:rsidRPr="00556F7F">
        <w:rPr>
          <w:rFonts w:ascii="Arial" w:hAnsi="Arial" w:cs="Arial"/>
          <w:sz w:val="22"/>
          <w:szCs w:val="22"/>
        </w:rPr>
        <w:t>.</w:t>
      </w:r>
    </w:p>
    <w:p w:rsidR="00795CDC" w:rsidRPr="001971C0" w:rsidRDefault="00795CDC" w:rsidP="00795CDC">
      <w:pPr>
        <w:pStyle w:val="Corpsdetexte"/>
        <w:tabs>
          <w:tab w:val="clear" w:pos="708"/>
          <w:tab w:val="left" w:pos="709"/>
        </w:tabs>
        <w:spacing w:line="360" w:lineRule="auto"/>
        <w:rPr>
          <w:rFonts w:ascii="Arial" w:hAnsi="Arial"/>
          <w:sz w:val="20"/>
          <w:szCs w:val="24"/>
        </w:rPr>
      </w:pPr>
    </w:p>
    <w:p w:rsidR="00795CDC" w:rsidRDefault="00795CDC" w:rsidP="00795CDC">
      <w:pPr>
        <w:pStyle w:val="Corpsdetexte"/>
        <w:tabs>
          <w:tab w:val="clear" w:pos="0"/>
          <w:tab w:val="clear" w:pos="708"/>
          <w:tab w:val="left" w:pos="709"/>
        </w:tabs>
        <w:spacing w:line="360" w:lineRule="auto"/>
        <w:rPr>
          <w:rFonts w:ascii="Arial" w:hAnsi="Arial" w:cs="Arial"/>
          <w:szCs w:val="22"/>
        </w:rPr>
      </w:pPr>
      <w:r w:rsidRPr="00556F7F">
        <w:rPr>
          <w:rFonts w:ascii="Arial" w:hAnsi="Arial" w:cs="Arial"/>
          <w:szCs w:val="22"/>
        </w:rPr>
        <w:lastRenderedPageBreak/>
        <w:t>No obstante lo anterior, también ha dicho la jurisprudencia constitucional que no siempre ante una duplicidad de acciones se presenta la temeridad en el ejercicio de la tutela, criterio</w:t>
      </w:r>
      <w:r w:rsidR="00B70155">
        <w:rPr>
          <w:rFonts w:ascii="Arial" w:hAnsi="Arial" w:cs="Arial"/>
          <w:szCs w:val="22"/>
        </w:rPr>
        <w:t xml:space="preserve"> </w:t>
      </w:r>
      <w:r w:rsidRPr="00556F7F">
        <w:rPr>
          <w:rFonts w:ascii="Arial" w:hAnsi="Arial" w:cs="Arial"/>
          <w:szCs w:val="22"/>
        </w:rPr>
        <w:t>reiterado</w:t>
      </w:r>
      <w:r>
        <w:rPr>
          <w:rStyle w:val="Appelnotedebasdep"/>
          <w:rFonts w:ascii="Arial" w:hAnsi="Arial"/>
          <w:szCs w:val="22"/>
        </w:rPr>
        <w:footnoteReference w:id="17"/>
      </w:r>
      <w:r w:rsidRPr="00833A61">
        <w:rPr>
          <w:rFonts w:ascii="Arial" w:hAnsi="Arial" w:cs="Arial"/>
          <w:szCs w:val="22"/>
          <w:vertAlign w:val="superscript"/>
        </w:rPr>
        <w:t>-</w:t>
      </w:r>
      <w:r w:rsidRPr="00556F7F">
        <w:rPr>
          <w:rStyle w:val="Appelnotedebasdep"/>
          <w:rFonts w:ascii="Arial" w:hAnsi="Arial"/>
          <w:szCs w:val="22"/>
          <w:lang w:val="es-ES"/>
        </w:rPr>
        <w:footnoteReference w:id="18"/>
      </w:r>
      <w:r w:rsidRPr="00556F7F">
        <w:rPr>
          <w:rFonts w:ascii="Arial" w:hAnsi="Arial" w:cs="Arial"/>
          <w:szCs w:val="22"/>
        </w:rPr>
        <w:t xml:space="preserve"> en reciente pronunciamiento (</w:t>
      </w:r>
      <w:r>
        <w:rPr>
          <w:rFonts w:ascii="Arial" w:hAnsi="Arial" w:cs="Arial"/>
          <w:szCs w:val="22"/>
        </w:rPr>
        <w:t>2016</w:t>
      </w:r>
      <w:r w:rsidRPr="00556F7F">
        <w:rPr>
          <w:rFonts w:ascii="Arial" w:hAnsi="Arial" w:cs="Arial"/>
          <w:szCs w:val="22"/>
        </w:rPr>
        <w:t>)</w:t>
      </w:r>
      <w:r>
        <w:rPr>
          <w:rStyle w:val="Appelnotedebasdep"/>
          <w:rFonts w:ascii="Arial" w:hAnsi="Arial"/>
          <w:szCs w:val="22"/>
        </w:rPr>
        <w:footnoteReference w:id="19"/>
      </w:r>
      <w:r w:rsidRPr="00556F7F">
        <w:rPr>
          <w:rFonts w:ascii="Arial" w:hAnsi="Arial" w:cs="Arial"/>
          <w:szCs w:val="22"/>
        </w:rPr>
        <w:t>, pues sostiene:</w:t>
      </w:r>
    </w:p>
    <w:p w:rsidR="00795CDC" w:rsidRPr="00FE5FF3" w:rsidRDefault="00795CDC" w:rsidP="00795CDC">
      <w:pPr>
        <w:pStyle w:val="Corpsdetexte"/>
        <w:tabs>
          <w:tab w:val="clear" w:pos="0"/>
          <w:tab w:val="clear" w:pos="708"/>
          <w:tab w:val="left" w:pos="709"/>
        </w:tabs>
        <w:spacing w:line="360" w:lineRule="auto"/>
        <w:rPr>
          <w:rFonts w:ascii="Arial" w:hAnsi="Arial" w:cs="Arial"/>
          <w:sz w:val="16"/>
          <w:szCs w:val="22"/>
          <w:lang w:val="es-CO"/>
        </w:rPr>
      </w:pPr>
    </w:p>
    <w:p w:rsidR="00795CDC" w:rsidRPr="00556F7F" w:rsidRDefault="00795CDC" w:rsidP="00795CDC">
      <w:pPr>
        <w:widowControl/>
        <w:tabs>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ind w:left="567" w:right="618"/>
        <w:jc w:val="both"/>
        <w:textAlignment w:val="baseline"/>
        <w:rPr>
          <w:rFonts w:ascii="Arial" w:hAnsi="Arial" w:cs="Arial"/>
          <w:color w:val="000000"/>
        </w:rPr>
      </w:pPr>
      <w:r>
        <w:rPr>
          <w:rFonts w:ascii="Arial" w:hAnsi="Arial" w:cs="Arial"/>
          <w:color w:val="000000"/>
        </w:rPr>
        <w:t xml:space="preserve">… </w:t>
      </w:r>
      <w:r w:rsidRPr="00556F7F">
        <w:rPr>
          <w:rFonts w:ascii="Arial" w:hAnsi="Arial" w:cs="Arial"/>
          <w:color w:val="000000"/>
        </w:rPr>
        <w:t>es importante señalar que no se configura la temeridad a pesar de existir identidad de las partes, identidad de pretensiones e identidad de objeto, si la actuación se funda “</w:t>
      </w:r>
      <w:r w:rsidRPr="00556F7F">
        <w:rPr>
          <w:rFonts w:ascii="Arial" w:hAnsi="Arial" w:cs="Arial"/>
          <w:i/>
          <w:iCs/>
          <w:color w:val="000000"/>
        </w:rPr>
        <w:t>1) en las condiciones del actor que lo coloca en estado de ignorancia o de especial vulnerabilidad o indefensión en que actúa por miedo insuperable o la necesidad extrema de defender sus derechos, 2) en el asesoramiento equivocado de los profesionales del derecho, 3) en nuevos eventos que aparecen con posterioridad a la acción o que se omitieron en el trámite de la misma u otra situación que no se hubiere tomado como fundamento para decidir la tutela anterior que involucre la necesidad de protección de los derechos, y 4) en la presentación de una nueva acción ante la existencia de una sentencia de unificación de la Corte Constituciona</w:t>
      </w:r>
      <w:r w:rsidRPr="00556F7F">
        <w:rPr>
          <w:rFonts w:ascii="Arial" w:hAnsi="Arial" w:cs="Arial"/>
          <w:color w:val="000000"/>
        </w:rPr>
        <w:t>l.”</w:t>
      </w:r>
    </w:p>
    <w:p w:rsidR="00795CDC" w:rsidRPr="00FE5FF3" w:rsidRDefault="00795CDC" w:rsidP="00795CDC">
      <w:pPr>
        <w:widowControl/>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spacing w:val="-3"/>
          <w:szCs w:val="20"/>
          <w:lang w:val="es-ES_tradnl"/>
        </w:rPr>
      </w:pPr>
    </w:p>
    <w:p w:rsidR="00795CDC" w:rsidRDefault="00795CDC" w:rsidP="00795CDC">
      <w:pPr>
        <w:widowControl/>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spacing w:val="-3"/>
          <w:szCs w:val="20"/>
          <w:lang w:val="es-ES_tradnl"/>
        </w:rPr>
      </w:pPr>
      <w:r>
        <w:rPr>
          <w:rFonts w:ascii="Arial" w:hAnsi="Arial" w:cs="Times New Roman"/>
          <w:spacing w:val="-3"/>
          <w:szCs w:val="20"/>
          <w:lang w:val="es-ES_tradnl"/>
        </w:rPr>
        <w:t>Asimismo, es  preciso  señalar  conforme  al  criterio  de  la  doctora  Catalina Botero Marino</w:t>
      </w:r>
      <w:r>
        <w:rPr>
          <w:rStyle w:val="Appelnotedebasdep"/>
          <w:rFonts w:ascii="Arial" w:hAnsi="Arial"/>
          <w:spacing w:val="-3"/>
          <w:szCs w:val="20"/>
          <w:lang w:val="es-ES_tradnl"/>
        </w:rPr>
        <w:footnoteReference w:id="20"/>
      </w:r>
      <w:r>
        <w:rPr>
          <w:rFonts w:ascii="Arial" w:hAnsi="Arial" w:cs="Times New Roman"/>
          <w:spacing w:val="-3"/>
          <w:szCs w:val="20"/>
          <w:lang w:val="es-ES_tradnl"/>
        </w:rPr>
        <w:t xml:space="preserve"> que </w:t>
      </w:r>
      <w:r w:rsidRPr="00530413">
        <w:rPr>
          <w:rFonts w:ascii="Arial" w:hAnsi="Arial" w:cs="Times New Roman"/>
          <w:i/>
          <w:spacing w:val="-3"/>
          <w:sz w:val="22"/>
          <w:szCs w:val="20"/>
          <w:lang w:val="es-ES_tradnl"/>
        </w:rPr>
        <w:t>“</w:t>
      </w:r>
      <w:r>
        <w:rPr>
          <w:rFonts w:ascii="Arial" w:hAnsi="Arial" w:cs="Times New Roman"/>
          <w:i/>
          <w:spacing w:val="-3"/>
          <w:sz w:val="22"/>
          <w:szCs w:val="20"/>
          <w:lang w:val="es-ES_tradnl"/>
        </w:rPr>
        <w:t xml:space="preserve">(…) </w:t>
      </w:r>
      <w:r w:rsidRPr="00530413">
        <w:rPr>
          <w:rFonts w:ascii="Arial" w:hAnsi="Arial" w:cs="Times New Roman"/>
          <w:i/>
          <w:spacing w:val="-3"/>
          <w:sz w:val="22"/>
          <w:szCs w:val="20"/>
          <w:lang w:val="es-ES_tradnl"/>
        </w:rPr>
        <w:t>es fundamental tener en cuenta que la actuación temeraria, para serlo requiere de la mala fe del actor”</w:t>
      </w:r>
      <w:r>
        <w:rPr>
          <w:rFonts w:ascii="Arial" w:hAnsi="Arial" w:cs="Times New Roman"/>
          <w:spacing w:val="-3"/>
          <w:szCs w:val="20"/>
          <w:lang w:val="es-ES_tradnl"/>
        </w:rPr>
        <w:t xml:space="preserve">, de manera que, por virtud de la presunción de buena fe que le cobija; </w:t>
      </w:r>
      <w:r w:rsidRPr="00530413">
        <w:rPr>
          <w:rFonts w:ascii="Arial" w:hAnsi="Arial" w:cs="Times New Roman"/>
          <w:i/>
          <w:spacing w:val="-3"/>
          <w:sz w:val="22"/>
          <w:szCs w:val="20"/>
          <w:lang w:val="es-ES_tradnl"/>
        </w:rPr>
        <w:t>“</w:t>
      </w:r>
      <w:r>
        <w:rPr>
          <w:rFonts w:ascii="Arial" w:hAnsi="Arial" w:cs="Times New Roman"/>
          <w:i/>
          <w:spacing w:val="-3"/>
          <w:sz w:val="22"/>
          <w:szCs w:val="20"/>
          <w:lang w:val="es-ES_tradnl"/>
        </w:rPr>
        <w:t xml:space="preserve">(…) </w:t>
      </w:r>
      <w:r w:rsidRPr="00530413">
        <w:rPr>
          <w:rFonts w:ascii="Arial" w:hAnsi="Arial" w:cs="Times New Roman"/>
          <w:i/>
          <w:spacing w:val="-3"/>
          <w:sz w:val="22"/>
          <w:szCs w:val="20"/>
          <w:lang w:val="es-ES_tradnl"/>
        </w:rPr>
        <w:t>la conducta temeraria, es un hecho que debe ser probado y no presumido por el funcionario judicial”</w:t>
      </w:r>
      <w:r w:rsidRPr="00060A31">
        <w:rPr>
          <w:rFonts w:ascii="Arial" w:hAnsi="Arial" w:cs="Times New Roman"/>
          <w:spacing w:val="-3"/>
          <w:sz w:val="22"/>
          <w:szCs w:val="20"/>
          <w:lang w:val="es-ES_tradnl"/>
        </w:rPr>
        <w:t>.</w:t>
      </w:r>
      <w:r>
        <w:rPr>
          <w:rFonts w:ascii="Arial" w:hAnsi="Arial" w:cs="Times New Roman"/>
          <w:spacing w:val="-3"/>
          <w:szCs w:val="20"/>
          <w:lang w:val="es-ES_tradnl"/>
        </w:rPr>
        <w:t xml:space="preserve"> Criterio expuesto en decisiones de esta Sala de la Corporación</w:t>
      </w:r>
      <w:r>
        <w:rPr>
          <w:rStyle w:val="Appelnotedebasdep"/>
          <w:rFonts w:ascii="Arial" w:hAnsi="Arial"/>
          <w:spacing w:val="-3"/>
          <w:szCs w:val="20"/>
          <w:lang w:val="es-ES_tradnl"/>
        </w:rPr>
        <w:footnoteReference w:id="21"/>
      </w:r>
      <w:r>
        <w:rPr>
          <w:rFonts w:ascii="Arial" w:hAnsi="Arial" w:cs="Times New Roman"/>
          <w:spacing w:val="-3"/>
          <w:szCs w:val="20"/>
          <w:lang w:val="es-ES_tradnl"/>
        </w:rPr>
        <w:t>.</w:t>
      </w:r>
    </w:p>
    <w:p w:rsidR="00795CDC" w:rsidRPr="001971C0" w:rsidRDefault="00795CDC" w:rsidP="00795CDC">
      <w:pPr>
        <w:pStyle w:val="Corpsdetexte"/>
        <w:spacing w:line="360" w:lineRule="auto"/>
        <w:rPr>
          <w:rFonts w:ascii="Arial" w:hAnsi="Arial"/>
          <w:sz w:val="20"/>
          <w:szCs w:val="24"/>
        </w:rPr>
      </w:pPr>
    </w:p>
    <w:p w:rsidR="00795CDC" w:rsidRDefault="00795CDC" w:rsidP="00795CDC">
      <w:pPr>
        <w:spacing w:line="360" w:lineRule="auto"/>
        <w:ind w:right="51"/>
        <w:jc w:val="both"/>
        <w:rPr>
          <w:rFonts w:ascii="Arial" w:hAnsi="Arial" w:cs="Arial"/>
          <w:sz w:val="22"/>
          <w:lang w:val="es-ES_tradnl"/>
        </w:rPr>
      </w:pPr>
      <w:r>
        <w:rPr>
          <w:rFonts w:ascii="Arial" w:hAnsi="Arial" w:cs="Arial"/>
          <w:lang w:val="es-ES_tradnl"/>
        </w:rPr>
        <w:t xml:space="preserve">Por ello </w:t>
      </w:r>
      <w:r w:rsidRPr="007F030F">
        <w:rPr>
          <w:rFonts w:ascii="Arial" w:hAnsi="Arial" w:cs="Arial"/>
          <w:lang w:val="es-ES_tradnl"/>
        </w:rPr>
        <w:t xml:space="preserve">y conforme la </w:t>
      </w:r>
      <w:r>
        <w:rPr>
          <w:rFonts w:ascii="Arial" w:hAnsi="Arial" w:cs="Arial"/>
          <w:lang w:val="es-ES_tradnl"/>
        </w:rPr>
        <w:t>doctrina</w:t>
      </w:r>
      <w:r w:rsidRPr="007F030F">
        <w:rPr>
          <w:rFonts w:ascii="Arial" w:hAnsi="Arial" w:cs="Arial"/>
          <w:lang w:val="es-ES_tradnl"/>
        </w:rPr>
        <w:t xml:space="preserve"> constitucional, en presencia de varias acciones de tutela sucesivas debe </w:t>
      </w:r>
      <w:r>
        <w:rPr>
          <w:rFonts w:ascii="Arial" w:hAnsi="Arial" w:cs="Arial"/>
          <w:lang w:val="es-ES_tradnl"/>
        </w:rPr>
        <w:t xml:space="preserve">inicialmente </w:t>
      </w:r>
      <w:r w:rsidRPr="007F030F">
        <w:rPr>
          <w:rFonts w:ascii="Arial" w:hAnsi="Arial" w:cs="Arial"/>
          <w:lang w:val="es-ES_tradnl"/>
        </w:rPr>
        <w:t>estudiarse</w:t>
      </w:r>
      <w:r>
        <w:rPr>
          <w:rFonts w:ascii="Arial" w:hAnsi="Arial" w:cs="Arial"/>
          <w:lang w:val="es-ES_tradnl"/>
        </w:rPr>
        <w:t xml:space="preserve"> la cosa juzgada constitucional antes que </w:t>
      </w:r>
      <w:r w:rsidRPr="007F030F">
        <w:rPr>
          <w:rFonts w:ascii="Arial" w:hAnsi="Arial" w:cs="Arial"/>
          <w:lang w:val="es-ES_tradnl"/>
        </w:rPr>
        <w:t>la temeridad</w:t>
      </w:r>
      <w:r w:rsidRPr="007F030F">
        <w:rPr>
          <w:rStyle w:val="Appelnotedebasdep"/>
          <w:rFonts w:ascii="Arial" w:hAnsi="Arial" w:cs="Arial"/>
          <w:lang w:val="es-ES_tradnl"/>
        </w:rPr>
        <w:footnoteReference w:id="22"/>
      </w:r>
      <w:r w:rsidRPr="007F030F">
        <w:rPr>
          <w:rFonts w:ascii="Arial" w:hAnsi="Arial" w:cs="Arial"/>
          <w:lang w:val="es-ES_tradnl"/>
        </w:rPr>
        <w:t>. Y</w:t>
      </w:r>
      <w:r>
        <w:rPr>
          <w:rFonts w:ascii="Arial" w:hAnsi="Arial" w:cs="Arial"/>
          <w:lang w:val="es-ES_tradnl"/>
        </w:rPr>
        <w:t xml:space="preserve"> en</w:t>
      </w:r>
      <w:r w:rsidRPr="007F030F">
        <w:rPr>
          <w:rFonts w:ascii="Arial" w:hAnsi="Arial" w:cs="Arial"/>
          <w:lang w:val="es-ES_tradnl"/>
        </w:rPr>
        <w:t xml:space="preserve"> ese sentido </w:t>
      </w:r>
      <w:r>
        <w:rPr>
          <w:rFonts w:ascii="Arial" w:hAnsi="Arial" w:cs="Arial"/>
          <w:lang w:val="es-ES_tradnl"/>
        </w:rPr>
        <w:t xml:space="preserve">se </w:t>
      </w:r>
      <w:r w:rsidRPr="007F030F">
        <w:rPr>
          <w:rFonts w:ascii="Arial" w:hAnsi="Arial" w:cs="Arial"/>
          <w:lang w:val="es-ES_tradnl"/>
        </w:rPr>
        <w:t>advirtió</w:t>
      </w:r>
      <w:r w:rsidRPr="007F030F">
        <w:rPr>
          <w:rStyle w:val="Appelnotedebasdep"/>
          <w:rFonts w:ascii="Arial" w:hAnsi="Arial" w:cs="Arial"/>
          <w:i/>
          <w:iCs/>
          <w:color w:val="000000"/>
          <w:sz w:val="22"/>
        </w:rPr>
        <w:footnoteReference w:id="23"/>
      </w:r>
      <w:r w:rsidRPr="007F030F">
        <w:rPr>
          <w:rFonts w:ascii="Arial" w:hAnsi="Arial" w:cs="Arial"/>
          <w:lang w:val="es-ES_tradnl"/>
        </w:rPr>
        <w:t xml:space="preserve">: </w:t>
      </w:r>
      <w:r w:rsidRPr="007F030F">
        <w:rPr>
          <w:rFonts w:ascii="Arial" w:hAnsi="Arial" w:cs="Arial"/>
          <w:i/>
          <w:iCs/>
          <w:color w:val="000000"/>
          <w:sz w:val="22"/>
        </w:rPr>
        <w:t xml:space="preserve">“(…) cuando la decisión de un juez constitucional llega a instancia de la Corte, ésta se convierte en definitiva. En caso de ser seleccionada para su revisión, se produce la cosa juzgada constitucional con la ejecutoria del fallo de la corporación, de lo contrario, la misma opera a partir de la ejecutoria del auto que decide la no selección. </w:t>
      </w:r>
      <w:r w:rsidRPr="0053783F">
        <w:rPr>
          <w:rFonts w:ascii="Arial" w:hAnsi="Arial" w:cs="Arial"/>
          <w:i/>
          <w:iCs/>
          <w:color w:val="000000"/>
          <w:sz w:val="22"/>
          <w:u w:val="single"/>
        </w:rPr>
        <w:t>De esta manera, si se produce un nuevo pronunciamiento acerca del tema, este atentaría contra la seguridad jurídica, haciendo que cualquier demanda al respecto deba declararse improcedente</w:t>
      </w:r>
      <w:r w:rsidRPr="007F030F">
        <w:rPr>
          <w:rFonts w:ascii="Arial" w:hAnsi="Arial" w:cs="Arial"/>
          <w:i/>
          <w:iCs/>
          <w:color w:val="000000"/>
          <w:sz w:val="22"/>
        </w:rPr>
        <w:t>. (…)”</w:t>
      </w:r>
      <w:r>
        <w:rPr>
          <w:rFonts w:ascii="Arial" w:hAnsi="Arial" w:cs="Arial"/>
          <w:i/>
          <w:iCs/>
          <w:color w:val="000000"/>
          <w:sz w:val="22"/>
        </w:rPr>
        <w:t xml:space="preserve"> </w:t>
      </w:r>
      <w:r w:rsidRPr="0053783F">
        <w:rPr>
          <w:rFonts w:ascii="Arial" w:hAnsi="Arial" w:cs="Arial"/>
          <w:lang w:val="es-ES_tradnl"/>
        </w:rPr>
        <w:t>Subrayas de la Sala.</w:t>
      </w:r>
    </w:p>
    <w:p w:rsidR="00795CDC" w:rsidRPr="001971C0" w:rsidRDefault="00795CDC" w:rsidP="00795CDC">
      <w:pPr>
        <w:pStyle w:val="Corpsdetexte"/>
        <w:spacing w:line="360" w:lineRule="auto"/>
        <w:rPr>
          <w:rFonts w:ascii="Arial" w:hAnsi="Arial"/>
          <w:sz w:val="20"/>
          <w:szCs w:val="24"/>
        </w:rPr>
      </w:pPr>
    </w:p>
    <w:p w:rsidR="00795CDC" w:rsidRDefault="00795CDC" w:rsidP="00795CDC">
      <w:pPr>
        <w:spacing w:line="360" w:lineRule="auto"/>
        <w:ind w:right="51"/>
        <w:jc w:val="both"/>
        <w:rPr>
          <w:rFonts w:ascii="Arial" w:hAnsi="Arial" w:cs="Arial"/>
          <w:iCs/>
          <w:color w:val="000000"/>
        </w:rPr>
      </w:pPr>
      <w:r w:rsidRPr="00A4402B">
        <w:rPr>
          <w:rFonts w:ascii="Arial" w:hAnsi="Arial" w:cs="Arial"/>
          <w:iCs/>
          <w:color w:val="000000"/>
        </w:rPr>
        <w:t>Así entonces existe la pos</w:t>
      </w:r>
      <w:r>
        <w:rPr>
          <w:rFonts w:ascii="Arial" w:hAnsi="Arial" w:cs="Arial"/>
          <w:iCs/>
          <w:color w:val="000000"/>
        </w:rPr>
        <w:t>ibilidad de que se presenten las siguientes situaciones</w:t>
      </w:r>
      <w:r>
        <w:rPr>
          <w:rStyle w:val="Appelnotedebasdep"/>
          <w:rFonts w:ascii="Arial" w:hAnsi="Arial"/>
          <w:iCs/>
          <w:color w:val="000000"/>
        </w:rPr>
        <w:footnoteReference w:id="24"/>
      </w:r>
      <w:r>
        <w:rPr>
          <w:rFonts w:ascii="Arial" w:hAnsi="Arial" w:cs="Arial"/>
          <w:iCs/>
          <w:color w:val="000000"/>
        </w:rPr>
        <w:t xml:space="preserve">: (i) Cosa juzgada </w:t>
      </w:r>
      <w:r w:rsidRPr="00A4402B">
        <w:rPr>
          <w:rFonts w:ascii="Arial" w:hAnsi="Arial" w:cs="Arial"/>
          <w:iCs/>
          <w:color w:val="000000"/>
        </w:rPr>
        <w:t>y temeridad</w:t>
      </w:r>
      <w:r>
        <w:rPr>
          <w:rFonts w:ascii="Arial" w:hAnsi="Arial" w:cs="Arial"/>
          <w:iCs/>
          <w:color w:val="000000"/>
        </w:rPr>
        <w:t xml:space="preserve">, </w:t>
      </w:r>
      <w:r w:rsidRPr="00A4402B">
        <w:rPr>
          <w:rFonts w:ascii="Arial" w:hAnsi="Arial" w:cs="Arial"/>
          <w:iCs/>
          <w:color w:val="000000"/>
        </w:rPr>
        <w:t>cuando se presenta una tutela sobre un asunto ya decidido</w:t>
      </w:r>
      <w:r>
        <w:rPr>
          <w:rFonts w:ascii="Arial" w:hAnsi="Arial" w:cs="Arial"/>
          <w:iCs/>
          <w:color w:val="000000"/>
        </w:rPr>
        <w:t xml:space="preserve"> pero</w:t>
      </w:r>
      <w:r w:rsidRPr="00A4402B">
        <w:rPr>
          <w:rFonts w:ascii="Arial" w:hAnsi="Arial" w:cs="Arial"/>
          <w:iCs/>
          <w:color w:val="000000"/>
        </w:rPr>
        <w:t xml:space="preserve"> sin justificación para su presentación;</w:t>
      </w:r>
      <w:r>
        <w:rPr>
          <w:rFonts w:ascii="Arial" w:hAnsi="Arial" w:cs="Arial"/>
          <w:iCs/>
          <w:color w:val="000000"/>
        </w:rPr>
        <w:t xml:space="preserve"> (ii)</w:t>
      </w:r>
      <w:r w:rsidRPr="00A4402B">
        <w:rPr>
          <w:rFonts w:ascii="Arial" w:hAnsi="Arial" w:cs="Arial"/>
          <w:iCs/>
          <w:color w:val="000000"/>
        </w:rPr>
        <w:t xml:space="preserve"> </w:t>
      </w:r>
      <w:r>
        <w:rPr>
          <w:rFonts w:ascii="Arial" w:hAnsi="Arial" w:cs="Arial"/>
          <w:iCs/>
          <w:color w:val="000000"/>
        </w:rPr>
        <w:t>C</w:t>
      </w:r>
      <w:r w:rsidRPr="00A4402B">
        <w:rPr>
          <w:rFonts w:ascii="Arial" w:hAnsi="Arial" w:cs="Arial"/>
          <w:iCs/>
          <w:color w:val="000000"/>
        </w:rPr>
        <w:t xml:space="preserve">osa juzgada sin temeridad, cuando se interpone el amparo con expresa manifestación de que </w:t>
      </w:r>
      <w:r>
        <w:rPr>
          <w:rFonts w:ascii="Arial" w:hAnsi="Arial" w:cs="Arial"/>
          <w:iCs/>
          <w:color w:val="000000"/>
        </w:rPr>
        <w:t xml:space="preserve">se </w:t>
      </w:r>
      <w:r w:rsidRPr="00A4402B">
        <w:rPr>
          <w:rFonts w:ascii="Arial" w:hAnsi="Arial" w:cs="Arial"/>
          <w:iCs/>
          <w:color w:val="000000"/>
        </w:rPr>
        <w:t xml:space="preserve">hace por segunda vez y con </w:t>
      </w:r>
      <w:r w:rsidRPr="00A4402B">
        <w:rPr>
          <w:rFonts w:ascii="Arial" w:hAnsi="Arial" w:cs="Arial"/>
          <w:iCs/>
          <w:color w:val="000000"/>
        </w:rPr>
        <w:lastRenderedPageBreak/>
        <w:t xml:space="preserve">la convicción de que no ha operado el fenómeno de la cosa juzgada; y, </w:t>
      </w:r>
      <w:r>
        <w:rPr>
          <w:rFonts w:ascii="Arial" w:hAnsi="Arial" w:cs="Arial"/>
          <w:iCs/>
          <w:color w:val="000000"/>
        </w:rPr>
        <w:t>(iii) T</w:t>
      </w:r>
      <w:r w:rsidRPr="00A4402B">
        <w:rPr>
          <w:rFonts w:ascii="Arial" w:hAnsi="Arial" w:cs="Arial"/>
          <w:iCs/>
          <w:color w:val="000000"/>
        </w:rPr>
        <w:t>emeridad sin cosa juzgada, cuando se presenta simultaneidad entre dos o más solicitudes de amparo que presentan la trip</w:t>
      </w:r>
      <w:r>
        <w:rPr>
          <w:rFonts w:ascii="Arial" w:hAnsi="Arial" w:cs="Arial"/>
          <w:iCs/>
          <w:color w:val="000000"/>
        </w:rPr>
        <w:t>l</w:t>
      </w:r>
      <w:r w:rsidRPr="00A4402B">
        <w:rPr>
          <w:rFonts w:ascii="Arial" w:hAnsi="Arial" w:cs="Arial"/>
          <w:iCs/>
          <w:color w:val="000000"/>
        </w:rPr>
        <w:t>e identidad (</w:t>
      </w:r>
      <w:r>
        <w:rPr>
          <w:rFonts w:ascii="Arial" w:hAnsi="Arial" w:cs="Arial"/>
          <w:iCs/>
          <w:color w:val="000000"/>
        </w:rPr>
        <w:t>O</w:t>
      </w:r>
      <w:r w:rsidRPr="00A4402B">
        <w:rPr>
          <w:rFonts w:ascii="Arial" w:hAnsi="Arial" w:cs="Arial"/>
          <w:iCs/>
          <w:color w:val="000000"/>
        </w:rPr>
        <w:t xml:space="preserve">bjeto, causa y partes), sin que ninguna haya hecho tránsito a cosa juzgada. </w:t>
      </w:r>
    </w:p>
    <w:p w:rsidR="00795CDC" w:rsidRPr="001971C0" w:rsidRDefault="00795CDC" w:rsidP="00795CDC">
      <w:pPr>
        <w:pStyle w:val="Corpsdetexte"/>
        <w:spacing w:line="360" w:lineRule="auto"/>
        <w:rPr>
          <w:rFonts w:ascii="Arial" w:hAnsi="Arial"/>
          <w:sz w:val="20"/>
          <w:szCs w:val="24"/>
        </w:rPr>
      </w:pPr>
    </w:p>
    <w:p w:rsidR="00795CDC" w:rsidRPr="00A4402B" w:rsidRDefault="00795CDC" w:rsidP="00795CDC">
      <w:pPr>
        <w:spacing w:line="360" w:lineRule="auto"/>
        <w:ind w:right="51"/>
        <w:jc w:val="both"/>
        <w:rPr>
          <w:rFonts w:ascii="Arial" w:hAnsi="Arial" w:cs="Arial"/>
        </w:rPr>
      </w:pPr>
      <w:r>
        <w:rPr>
          <w:rFonts w:ascii="Arial" w:hAnsi="Arial" w:cs="Arial"/>
          <w:iCs/>
          <w:color w:val="000000"/>
        </w:rPr>
        <w:t xml:space="preserve">En síntesis, la concurrencia de la triple identidad </w:t>
      </w:r>
      <w:r>
        <w:rPr>
          <w:rFonts w:ascii="Arial" w:hAnsi="Arial" w:cs="Arial"/>
        </w:rPr>
        <w:t>es in</w:t>
      </w:r>
      <w:r w:rsidRPr="00A4402B">
        <w:rPr>
          <w:rFonts w:ascii="Arial" w:hAnsi="Arial" w:cs="Arial"/>
        </w:rPr>
        <w:t>suficiente para concluir que se trata de una actuación amañada o contraria al principio constitucional de buena fe</w:t>
      </w:r>
      <w:r>
        <w:rPr>
          <w:rFonts w:ascii="Arial" w:hAnsi="Arial" w:cs="Arial"/>
        </w:rPr>
        <w:t xml:space="preserve">, pero sí está afectada de improcedencia por el fenómeno de la </w:t>
      </w:r>
      <w:r w:rsidRPr="00104D5D">
        <w:rPr>
          <w:rFonts w:ascii="Arial" w:hAnsi="Arial" w:cs="Arial"/>
          <w:u w:val="single"/>
        </w:rPr>
        <w:t>cosa juzgada constitucional</w:t>
      </w:r>
      <w:r w:rsidRPr="00A4402B">
        <w:rPr>
          <w:rFonts w:ascii="Arial" w:hAnsi="Arial" w:cs="Arial"/>
        </w:rPr>
        <w:t>.</w:t>
      </w:r>
    </w:p>
    <w:p w:rsidR="007B26AC" w:rsidRDefault="007B26AC" w:rsidP="007B26AC">
      <w:pPr>
        <w:spacing w:line="360" w:lineRule="auto"/>
        <w:jc w:val="both"/>
        <w:rPr>
          <w:rFonts w:ascii="Arial" w:hAnsi="Arial"/>
          <w:lang w:val="es-ES_tradnl"/>
        </w:rPr>
      </w:pPr>
    </w:p>
    <w:p w:rsidR="007B26AC" w:rsidRPr="009724E3" w:rsidRDefault="009724E3" w:rsidP="007B26AC">
      <w:pPr>
        <w:pStyle w:val="Corpsdetexte"/>
        <w:numPr>
          <w:ilvl w:val="0"/>
          <w:numId w:val="18"/>
        </w:numPr>
        <w:tabs>
          <w:tab w:val="clear" w:pos="0"/>
          <w:tab w:val="clear" w:pos="1416"/>
        </w:tabs>
        <w:spacing w:line="360" w:lineRule="auto"/>
        <w:rPr>
          <w:rFonts w:ascii="Arial" w:hAnsi="Arial"/>
          <w:smallCaps/>
          <w:sz w:val="28"/>
          <w:szCs w:val="24"/>
        </w:rPr>
      </w:pPr>
      <w:r>
        <w:rPr>
          <w:rFonts w:ascii="Arial" w:hAnsi="Arial"/>
          <w:smallCaps/>
          <w:sz w:val="28"/>
          <w:szCs w:val="24"/>
        </w:rPr>
        <w:t>E</w:t>
      </w:r>
      <w:r w:rsidRPr="009724E3">
        <w:rPr>
          <w:rFonts w:ascii="Arial" w:hAnsi="Arial"/>
          <w:smallCaps/>
          <w:sz w:val="28"/>
          <w:szCs w:val="24"/>
        </w:rPr>
        <w:t>l caso concreto materia de análisis</w:t>
      </w:r>
    </w:p>
    <w:p w:rsidR="009724E3" w:rsidRDefault="009724E3" w:rsidP="009724E3">
      <w:pPr>
        <w:pStyle w:val="Corpsdetexte"/>
        <w:tabs>
          <w:tab w:val="clear" w:pos="0"/>
          <w:tab w:val="clear" w:pos="1416"/>
        </w:tabs>
        <w:spacing w:line="360" w:lineRule="auto"/>
        <w:ind w:left="400"/>
        <w:rPr>
          <w:rFonts w:ascii="Arial" w:hAnsi="Arial"/>
          <w:szCs w:val="24"/>
        </w:rPr>
      </w:pPr>
    </w:p>
    <w:p w:rsidR="001F36A0" w:rsidRPr="009724E3" w:rsidRDefault="001F36A0" w:rsidP="001F36A0">
      <w:pPr>
        <w:pStyle w:val="Corpsdetexte"/>
        <w:numPr>
          <w:ilvl w:val="1"/>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mallCaps/>
        </w:rPr>
      </w:pPr>
      <w:r w:rsidRPr="009724E3">
        <w:rPr>
          <w:rFonts w:ascii="Arial" w:hAnsi="Arial"/>
          <w:smallCaps/>
          <w:szCs w:val="24"/>
        </w:rPr>
        <w:t xml:space="preserve">La </w:t>
      </w:r>
      <w:proofErr w:type="spellStart"/>
      <w:r w:rsidRPr="009724E3">
        <w:rPr>
          <w:rFonts w:ascii="Arial" w:hAnsi="Arial" w:cs="Arial"/>
          <w:smallCaps/>
          <w:szCs w:val="24"/>
        </w:rPr>
        <w:t>procedibilidad</w:t>
      </w:r>
      <w:proofErr w:type="spellEnd"/>
      <w:r w:rsidRPr="009724E3">
        <w:rPr>
          <w:rFonts w:ascii="Arial" w:hAnsi="Arial" w:cs="Arial"/>
          <w:smallCaps/>
          <w:szCs w:val="24"/>
        </w:rPr>
        <w:t xml:space="preserve"> frente a decisiones judiciales (</w:t>
      </w:r>
      <w:r w:rsidRPr="009724E3">
        <w:rPr>
          <w:rFonts w:ascii="Arial" w:hAnsi="Arial" w:cs="Arial"/>
          <w:smallCaps/>
        </w:rPr>
        <w:t>Subsidiariedad)</w:t>
      </w:r>
    </w:p>
    <w:p w:rsidR="001F36A0" w:rsidRPr="00E606C4" w:rsidRDefault="001F36A0" w:rsidP="001F36A0">
      <w:pPr>
        <w:pStyle w:val="Corpsdetexte"/>
        <w:spacing w:line="360" w:lineRule="auto"/>
        <w:rPr>
          <w:rFonts w:ascii="Arial" w:hAnsi="Arial"/>
          <w:szCs w:val="24"/>
        </w:rPr>
      </w:pPr>
    </w:p>
    <w:p w:rsidR="001F36A0" w:rsidRDefault="001F36A0" w:rsidP="001F36A0">
      <w:pPr>
        <w:spacing w:line="360" w:lineRule="auto"/>
        <w:jc w:val="both"/>
        <w:rPr>
          <w:rFonts w:ascii="Arial" w:hAnsi="Arial" w:cs="Arial"/>
          <w:lang w:val="es-ES_tradnl"/>
        </w:rPr>
      </w:pPr>
      <w:r>
        <w:rPr>
          <w:rFonts w:ascii="Arial" w:hAnsi="Arial" w:cs="Arial"/>
          <w:lang w:val="es-ES_tradnl"/>
        </w:rPr>
        <w:t xml:space="preserve">Dado que los requisitos generales de </w:t>
      </w:r>
      <w:proofErr w:type="spellStart"/>
      <w:r>
        <w:rPr>
          <w:rFonts w:ascii="Arial" w:hAnsi="Arial" w:cs="Arial"/>
          <w:lang w:val="es-ES_tradnl"/>
        </w:rPr>
        <w:t>procedibilidad</w:t>
      </w:r>
      <w:proofErr w:type="spellEnd"/>
      <w:r>
        <w:rPr>
          <w:rFonts w:ascii="Arial" w:hAnsi="Arial" w:cs="Arial"/>
          <w:lang w:val="es-ES_tradnl"/>
        </w:rPr>
        <w:t xml:space="preserve"> son concurrentes, esto es, incumplido uno, se torna inane el examen de los demás, menos podrían revisarse los supuestos especiales, el análisis que sigue se concentrará en la subsidiariedad, porque es el elemento que se echa de menos y resulta suficiente para el fracaso de los amparos.</w:t>
      </w:r>
    </w:p>
    <w:p w:rsidR="001F36A0" w:rsidRPr="00D54497" w:rsidRDefault="001F36A0" w:rsidP="001F36A0">
      <w:pPr>
        <w:spacing w:line="360" w:lineRule="auto"/>
        <w:jc w:val="both"/>
        <w:rPr>
          <w:rFonts w:ascii="Arial" w:hAnsi="Arial" w:cs="Arial"/>
          <w:sz w:val="20"/>
          <w:lang w:val="es-ES_tradnl"/>
        </w:rPr>
      </w:pPr>
    </w:p>
    <w:p w:rsidR="001F36A0" w:rsidRDefault="001F36A0" w:rsidP="001F36A0">
      <w:pPr>
        <w:spacing w:line="360" w:lineRule="auto"/>
        <w:jc w:val="both"/>
        <w:rPr>
          <w:rFonts w:ascii="Arial" w:hAnsi="Arial" w:cs="Arial"/>
          <w:lang w:val="es-ES_tradnl"/>
        </w:rPr>
      </w:pPr>
      <w:r>
        <w:rPr>
          <w:rFonts w:ascii="Arial" w:hAnsi="Arial" w:cs="Arial"/>
          <w:lang w:val="es-ES_tradnl"/>
        </w:rPr>
        <w:t xml:space="preserve">La parte accionante </w:t>
      </w:r>
      <w:r w:rsidRPr="004802FE">
        <w:rPr>
          <w:rFonts w:ascii="Arial" w:hAnsi="Arial" w:cs="Arial"/>
          <w:lang w:val="es-ES_tradnl"/>
        </w:rPr>
        <w:t>se duele porque el</w:t>
      </w:r>
      <w:r>
        <w:rPr>
          <w:rFonts w:ascii="Arial" w:hAnsi="Arial" w:cs="Arial"/>
          <w:lang w:val="es-ES_tradnl"/>
        </w:rPr>
        <w:t xml:space="preserve"> juzgado </w:t>
      </w:r>
      <w:r w:rsidR="009724E3">
        <w:rPr>
          <w:rFonts w:ascii="Arial" w:hAnsi="Arial" w:cs="Arial"/>
          <w:lang w:val="es-ES_tradnl"/>
        </w:rPr>
        <w:t>no condenó en costas a la entidad accionada en la acción popular No.2015-00190-00, con ocasión de la pérdida del recurso de queja que había formulado</w:t>
      </w:r>
      <w:r>
        <w:rPr>
          <w:rFonts w:ascii="Arial" w:hAnsi="Arial" w:cs="Arial"/>
          <w:lang w:val="es-ES_tradnl"/>
        </w:rPr>
        <w:t>.</w:t>
      </w:r>
    </w:p>
    <w:p w:rsidR="001F36A0" w:rsidRPr="00D54497" w:rsidRDefault="001F36A0" w:rsidP="001F36A0">
      <w:pPr>
        <w:spacing w:line="360" w:lineRule="auto"/>
        <w:jc w:val="both"/>
        <w:rPr>
          <w:rFonts w:ascii="Arial" w:hAnsi="Arial" w:cs="Arial"/>
          <w:sz w:val="20"/>
          <w:lang w:val="es-ES_tradnl"/>
        </w:rPr>
      </w:pPr>
    </w:p>
    <w:p w:rsidR="009724E3" w:rsidRDefault="009724E3" w:rsidP="009724E3">
      <w:pPr>
        <w:spacing w:line="360" w:lineRule="auto"/>
        <w:jc w:val="both"/>
        <w:rPr>
          <w:rFonts w:ascii="Arial" w:hAnsi="Arial" w:cs="Arial"/>
        </w:rPr>
      </w:pPr>
      <w:r>
        <w:rPr>
          <w:rFonts w:ascii="Arial" w:hAnsi="Arial" w:cs="Arial"/>
        </w:rPr>
        <w:t xml:space="preserve">Conforme al acervo probatorio mediante proveído del 18-05-2016 se concedió en el efecto devolutivo la alzada presentada por el accionante y no se tuvo en cuenta la formulada por la EPS SURA por extemporánea (Folios 30 y 31, ib.); </w:t>
      </w:r>
      <w:r w:rsidR="003D6185">
        <w:rPr>
          <w:rFonts w:ascii="Arial" w:hAnsi="Arial" w:cs="Arial"/>
        </w:rPr>
        <w:t xml:space="preserve">seguidamente la entidad accionada con escrito del 24-05-2016 recurrió </w:t>
      </w:r>
      <w:r>
        <w:rPr>
          <w:rFonts w:ascii="Arial" w:hAnsi="Arial" w:cs="Arial"/>
        </w:rPr>
        <w:t>en reposición y en subsidio queja</w:t>
      </w:r>
      <w:r w:rsidR="003D6185">
        <w:rPr>
          <w:rFonts w:ascii="Arial" w:hAnsi="Arial" w:cs="Arial"/>
        </w:rPr>
        <w:t xml:space="preserve"> (Folios 34 a 37, ib.), no obstante, desistió de ellos con memorial del 27-05-2016 (Folio 38, ib.), a lo que accedió la </w:t>
      </w:r>
      <w:r w:rsidR="003D6185" w:rsidRPr="003D6185">
        <w:rPr>
          <w:rFonts w:ascii="Arial" w:hAnsi="Arial" w:cs="Arial"/>
          <w:i/>
        </w:rPr>
        <w:t>a quo</w:t>
      </w:r>
      <w:r w:rsidR="003D6185">
        <w:rPr>
          <w:rFonts w:ascii="Arial" w:hAnsi="Arial" w:cs="Arial"/>
        </w:rPr>
        <w:t xml:space="preserve"> </w:t>
      </w:r>
      <w:r>
        <w:rPr>
          <w:rFonts w:ascii="Arial" w:hAnsi="Arial" w:cs="Arial"/>
        </w:rPr>
        <w:t xml:space="preserve">con auto del 01-06-2016 (Folio </w:t>
      </w:r>
      <w:r w:rsidR="003D6185">
        <w:rPr>
          <w:rFonts w:ascii="Arial" w:hAnsi="Arial" w:cs="Arial"/>
        </w:rPr>
        <w:t>39</w:t>
      </w:r>
      <w:r>
        <w:rPr>
          <w:rFonts w:ascii="Arial" w:hAnsi="Arial" w:cs="Arial"/>
        </w:rPr>
        <w:t xml:space="preserve">, ib.), </w:t>
      </w:r>
      <w:r w:rsidR="003D6185">
        <w:rPr>
          <w:rFonts w:ascii="Arial" w:hAnsi="Arial" w:cs="Arial"/>
        </w:rPr>
        <w:t>notificado por estado del día 02-06-2016 y quedó debidamente ejecutoriado el 08-06-2016 (Folio 39 vto., ib.)</w:t>
      </w:r>
      <w:r>
        <w:rPr>
          <w:rFonts w:ascii="Arial" w:hAnsi="Arial" w:cs="Arial"/>
        </w:rPr>
        <w:t xml:space="preserve">, sin que el actor </w:t>
      </w:r>
      <w:r w:rsidR="003D6185">
        <w:rPr>
          <w:rFonts w:ascii="Arial" w:hAnsi="Arial" w:cs="Arial"/>
        </w:rPr>
        <w:t xml:space="preserve">lo recurriera o hiciera manifestación alguna alusiva a la ausencia de sanción en costas a cargo de la entidad accionada por causa de la interposición del recurso de queja, </w:t>
      </w:r>
      <w:r>
        <w:rPr>
          <w:rFonts w:ascii="Arial" w:hAnsi="Arial" w:cs="Arial"/>
        </w:rPr>
        <w:t xml:space="preserve">es decir, adquirió firmeza, pues pretermitió agotar el recurso de reposición (Artículo 36, Ley 472). </w:t>
      </w:r>
    </w:p>
    <w:p w:rsidR="006455AA" w:rsidRDefault="006455AA" w:rsidP="001F36A0">
      <w:pPr>
        <w:spacing w:line="360" w:lineRule="auto"/>
        <w:jc w:val="both"/>
        <w:rPr>
          <w:rFonts w:ascii="Arial" w:hAnsi="Arial" w:cs="Arial"/>
        </w:rPr>
      </w:pPr>
    </w:p>
    <w:p w:rsidR="008B6D9B" w:rsidRDefault="006455AA" w:rsidP="001F36A0">
      <w:pPr>
        <w:spacing w:line="360" w:lineRule="auto"/>
        <w:jc w:val="both"/>
        <w:rPr>
          <w:rFonts w:ascii="Arial" w:hAnsi="Arial" w:cs="Arial"/>
        </w:rPr>
      </w:pPr>
      <w:r>
        <w:rPr>
          <w:rFonts w:ascii="Arial" w:hAnsi="Arial" w:cs="Arial"/>
        </w:rPr>
        <w:t xml:space="preserve">En ese orden de ideas, se tiene que el accionante </w:t>
      </w:r>
      <w:r w:rsidR="00A156CD">
        <w:rPr>
          <w:rFonts w:ascii="Arial" w:hAnsi="Arial" w:cs="Arial"/>
        </w:rPr>
        <w:t>omitió</w:t>
      </w:r>
      <w:r>
        <w:rPr>
          <w:rFonts w:ascii="Arial" w:hAnsi="Arial" w:cs="Arial"/>
        </w:rPr>
        <w:t xml:space="preserve"> </w:t>
      </w:r>
      <w:r w:rsidR="00B00405">
        <w:rPr>
          <w:rFonts w:ascii="Arial" w:hAnsi="Arial" w:cs="Arial"/>
        </w:rPr>
        <w:t>impugnar</w:t>
      </w:r>
      <w:r w:rsidR="008B6D9B">
        <w:rPr>
          <w:rFonts w:ascii="Arial" w:hAnsi="Arial" w:cs="Arial"/>
        </w:rPr>
        <w:t xml:space="preserve"> (Artículo 36, Ley 472)</w:t>
      </w:r>
      <w:r>
        <w:rPr>
          <w:rFonts w:ascii="Arial" w:hAnsi="Arial" w:cs="Arial"/>
        </w:rPr>
        <w:t xml:space="preserve">, </w:t>
      </w:r>
      <w:r w:rsidR="00A156CD">
        <w:rPr>
          <w:rFonts w:ascii="Arial" w:hAnsi="Arial" w:cs="Arial"/>
        </w:rPr>
        <w:t xml:space="preserve">el </w:t>
      </w:r>
      <w:r w:rsidR="003D6185">
        <w:rPr>
          <w:rFonts w:ascii="Arial" w:hAnsi="Arial" w:cs="Arial"/>
        </w:rPr>
        <w:t>proveído mediante el cual se accedió al desistimiento de la queja formulada por la parte pasiva</w:t>
      </w:r>
      <w:r w:rsidR="008B6D9B">
        <w:rPr>
          <w:rFonts w:ascii="Arial" w:hAnsi="Arial" w:cs="Arial"/>
          <w:bCs/>
          <w:lang w:val="es-CO"/>
        </w:rPr>
        <w:t xml:space="preserve">, </w:t>
      </w:r>
      <w:r w:rsidR="008B6D9B" w:rsidRPr="00483001">
        <w:rPr>
          <w:rFonts w:ascii="Arial" w:hAnsi="Arial" w:cs="Arial"/>
        </w:rPr>
        <w:t xml:space="preserve">cuando </w:t>
      </w:r>
      <w:r w:rsidR="008B6D9B">
        <w:rPr>
          <w:rFonts w:ascii="Arial" w:hAnsi="Arial" w:cs="Arial"/>
        </w:rPr>
        <w:t>ese</w:t>
      </w:r>
      <w:r w:rsidR="008B6D9B" w:rsidRPr="00483001">
        <w:rPr>
          <w:rFonts w:ascii="Arial" w:hAnsi="Arial" w:cs="Arial"/>
        </w:rPr>
        <w:t xml:space="preserve"> era el mecanismo ordinario y expedito que tenía para </w:t>
      </w:r>
      <w:r w:rsidR="008B6D9B">
        <w:rPr>
          <w:rFonts w:ascii="Arial" w:hAnsi="Arial" w:cs="Arial"/>
        </w:rPr>
        <w:lastRenderedPageBreak/>
        <w:t xml:space="preserve">procurar que el estrado judicial </w:t>
      </w:r>
      <w:r w:rsidR="003D6185">
        <w:rPr>
          <w:rFonts w:ascii="Arial" w:hAnsi="Arial" w:cs="Arial"/>
        </w:rPr>
        <w:t>valorara la posibilidad de condenar en costas, como lo pretende en el petitorio de tutela</w:t>
      </w:r>
      <w:r>
        <w:rPr>
          <w:rFonts w:ascii="Arial" w:hAnsi="Arial" w:cs="Arial"/>
        </w:rPr>
        <w:t xml:space="preserve">. Tampoco </w:t>
      </w:r>
      <w:r w:rsidR="003D6185">
        <w:rPr>
          <w:rFonts w:ascii="Arial" w:hAnsi="Arial" w:cs="Arial"/>
        </w:rPr>
        <w:t>obra escrito alguno formulando aquel pedimento</w:t>
      </w:r>
      <w:r w:rsidR="008B6D9B">
        <w:rPr>
          <w:rFonts w:ascii="Arial" w:hAnsi="Arial" w:cs="Arial"/>
        </w:rPr>
        <w:t>.</w:t>
      </w:r>
      <w:r>
        <w:rPr>
          <w:rFonts w:ascii="Arial" w:hAnsi="Arial" w:cs="Arial"/>
        </w:rPr>
        <w:t xml:space="preserve"> </w:t>
      </w:r>
    </w:p>
    <w:p w:rsidR="006455AA" w:rsidRDefault="006455AA" w:rsidP="001F36A0">
      <w:pPr>
        <w:spacing w:line="360" w:lineRule="auto"/>
        <w:jc w:val="both"/>
        <w:rPr>
          <w:rFonts w:ascii="Arial" w:hAnsi="Arial" w:cs="Arial"/>
        </w:rPr>
      </w:pPr>
    </w:p>
    <w:p w:rsidR="001F36A0" w:rsidRDefault="001F36A0" w:rsidP="001F36A0">
      <w:pPr>
        <w:spacing w:line="360" w:lineRule="auto"/>
        <w:jc w:val="both"/>
        <w:rPr>
          <w:rFonts w:ascii="Arial" w:hAnsi="Arial" w:cs="Arial"/>
          <w:sz w:val="22"/>
          <w:szCs w:val="22"/>
        </w:rPr>
      </w:pPr>
      <w:r>
        <w:rPr>
          <w:rFonts w:ascii="Arial" w:hAnsi="Arial" w:cs="Arial"/>
          <w:lang w:val="es-ES_tradnl"/>
        </w:rPr>
        <w:t>Evidente</w:t>
      </w:r>
      <w:r w:rsidRPr="00483001">
        <w:rPr>
          <w:rFonts w:ascii="Arial" w:hAnsi="Arial" w:cs="Arial"/>
          <w:lang w:val="es-ES_tradnl"/>
        </w:rPr>
        <w:t xml:space="preserve">, </w:t>
      </w:r>
      <w:r w:rsidRPr="00AF14C3">
        <w:rPr>
          <w:rFonts w:ascii="Arial" w:hAnsi="Arial" w:cs="Arial"/>
          <w:lang w:val="es-ES_tradnl"/>
        </w:rPr>
        <w:t xml:space="preserve">entonces, </w:t>
      </w:r>
      <w:r>
        <w:rPr>
          <w:rFonts w:ascii="Arial" w:hAnsi="Arial" w:cs="Arial"/>
          <w:lang w:val="es-ES_tradnl"/>
        </w:rPr>
        <w:t xml:space="preserve">es la </w:t>
      </w:r>
      <w:r w:rsidRPr="00AF14C3">
        <w:rPr>
          <w:rFonts w:ascii="Arial" w:hAnsi="Arial" w:cs="Arial"/>
          <w:lang w:val="es-ES_tradnl"/>
        </w:rPr>
        <w:t xml:space="preserve">falta </w:t>
      </w:r>
      <w:r>
        <w:rPr>
          <w:rFonts w:ascii="Arial" w:hAnsi="Arial" w:cs="Arial"/>
          <w:lang w:val="es-ES_tradnl"/>
        </w:rPr>
        <w:t xml:space="preserve">de agotamiento del supuesto de </w:t>
      </w:r>
      <w:r w:rsidRPr="00AF14C3">
        <w:rPr>
          <w:rFonts w:ascii="Arial" w:hAnsi="Arial" w:cs="Arial"/>
          <w:lang w:val="es-ES_tradnl"/>
        </w:rPr>
        <w:t>subsidiari</w:t>
      </w:r>
      <w:r>
        <w:rPr>
          <w:rFonts w:ascii="Arial" w:hAnsi="Arial" w:cs="Arial"/>
          <w:lang w:val="es-ES_tradnl"/>
        </w:rPr>
        <w:t>e</w:t>
      </w:r>
      <w:r w:rsidRPr="00AF14C3">
        <w:rPr>
          <w:rFonts w:ascii="Arial" w:hAnsi="Arial" w:cs="Arial"/>
          <w:lang w:val="es-ES_tradnl"/>
        </w:rPr>
        <w:t>dad</w:t>
      </w:r>
      <w:r>
        <w:rPr>
          <w:rFonts w:ascii="Arial" w:hAnsi="Arial" w:cs="Arial"/>
          <w:lang w:val="es-ES_tradnl"/>
        </w:rPr>
        <w:t xml:space="preserve">, como ha explicado </w:t>
      </w:r>
      <w:r>
        <w:rPr>
          <w:rFonts w:ascii="Arial" w:hAnsi="Arial"/>
        </w:rPr>
        <w:t xml:space="preserve">la Corte Constitucional, que reiteradamente ha referido que la acción de tutela </w:t>
      </w:r>
      <w:r w:rsidR="00EE5838">
        <w:rPr>
          <w:rFonts w:ascii="Arial" w:hAnsi="Arial"/>
        </w:rPr>
        <w:t>mal</w:t>
      </w:r>
      <w:r>
        <w:rPr>
          <w:rFonts w:ascii="Arial" w:hAnsi="Arial"/>
        </w:rPr>
        <w:t xml:space="preserve"> puede implementarse como medio para sustituir los mecanismos ordinarios de defensa, cuando por negligencia, descuido o incuria no fueron utilizados</w:t>
      </w:r>
      <w:r w:rsidRPr="00FF4929">
        <w:rPr>
          <w:rStyle w:val="Appelnotedebasdep"/>
          <w:rFonts w:ascii="Arial" w:hAnsi="Arial" w:cs="Arial"/>
          <w:sz w:val="22"/>
          <w:szCs w:val="22"/>
        </w:rPr>
        <w:footnoteReference w:id="25"/>
      </w:r>
      <w:r w:rsidRPr="00FF4929">
        <w:rPr>
          <w:rFonts w:ascii="Arial" w:hAnsi="Arial" w:cs="Arial"/>
          <w:sz w:val="22"/>
          <w:szCs w:val="22"/>
        </w:rPr>
        <w:t>.</w:t>
      </w:r>
    </w:p>
    <w:p w:rsidR="001F36A0" w:rsidRPr="00D54497" w:rsidRDefault="001F36A0" w:rsidP="001F36A0">
      <w:pPr>
        <w:spacing w:line="360" w:lineRule="auto"/>
        <w:jc w:val="both"/>
        <w:rPr>
          <w:rFonts w:ascii="Arial" w:hAnsi="Arial" w:cs="Arial"/>
          <w:bCs/>
          <w:sz w:val="20"/>
          <w:lang w:val="es-CO"/>
        </w:rPr>
      </w:pPr>
    </w:p>
    <w:p w:rsidR="001F36A0" w:rsidRDefault="001F36A0" w:rsidP="001F36A0">
      <w:pPr>
        <w:spacing w:line="360" w:lineRule="auto"/>
        <w:ind w:right="51"/>
        <w:jc w:val="both"/>
        <w:rPr>
          <w:rFonts w:ascii="Arial" w:hAnsi="Arial"/>
        </w:rPr>
      </w:pPr>
      <w:r>
        <w:rPr>
          <w:rFonts w:ascii="Arial" w:hAnsi="Arial"/>
        </w:rPr>
        <w:t xml:space="preserve">Cabe </w:t>
      </w:r>
      <w:r w:rsidRPr="008B43C6">
        <w:rPr>
          <w:rFonts w:ascii="Arial" w:hAnsi="Arial"/>
        </w:rPr>
        <w:t>acotar que nada se arguyó</w:t>
      </w:r>
      <w:r w:rsidR="00B00405">
        <w:rPr>
          <w:rFonts w:ascii="Arial" w:hAnsi="Arial"/>
        </w:rPr>
        <w:t>,</w:t>
      </w:r>
      <w:r w:rsidRPr="008B43C6">
        <w:rPr>
          <w:rFonts w:ascii="Arial" w:hAnsi="Arial"/>
        </w:rPr>
        <w:t xml:space="preserve"> y menos acreditó por parte del ac</w:t>
      </w:r>
      <w:r>
        <w:rPr>
          <w:rFonts w:ascii="Arial" w:hAnsi="Arial"/>
        </w:rPr>
        <w:t>cionante</w:t>
      </w:r>
      <w:r w:rsidRPr="008B43C6">
        <w:rPr>
          <w:rFonts w:ascii="Arial" w:hAnsi="Arial"/>
        </w:rPr>
        <w:t xml:space="preserve">, de forma que pudiera estimarse </w:t>
      </w:r>
      <w:r w:rsidRPr="008B43C6">
        <w:rPr>
          <w:rFonts w:ascii="Arial" w:hAnsi="Arial" w:cs="Arial"/>
          <w:bCs/>
          <w:szCs w:val="22"/>
          <w:lang w:val="es-CO"/>
        </w:rPr>
        <w:t>que es una persona que requiere de protección reforzada</w:t>
      </w:r>
      <w:r w:rsidRPr="008B43C6">
        <w:rPr>
          <w:rStyle w:val="Appelnotedebasdep"/>
          <w:rFonts w:ascii="Arial" w:hAnsi="Arial"/>
          <w:bCs/>
          <w:szCs w:val="22"/>
          <w:lang w:val="es-CO"/>
        </w:rPr>
        <w:footnoteReference w:id="26"/>
      </w:r>
      <w:r w:rsidRPr="008B43C6">
        <w:rPr>
          <w:rFonts w:ascii="Arial" w:hAnsi="Arial" w:cs="Arial"/>
          <w:bCs/>
          <w:szCs w:val="22"/>
          <w:lang w:val="es-CO"/>
        </w:rPr>
        <w:t xml:space="preserve"> o que estaba en una situación de imposibilidad para recurrir </w:t>
      </w:r>
      <w:r>
        <w:rPr>
          <w:rFonts w:ascii="Arial" w:hAnsi="Arial" w:cs="Arial"/>
          <w:bCs/>
          <w:szCs w:val="22"/>
          <w:lang w:val="es-CO"/>
        </w:rPr>
        <w:t xml:space="preserve">los mencionados </w:t>
      </w:r>
      <w:r w:rsidRPr="008B43C6">
        <w:rPr>
          <w:rFonts w:ascii="Arial" w:hAnsi="Arial" w:cs="Arial"/>
          <w:bCs/>
          <w:szCs w:val="22"/>
          <w:lang w:val="es-CO"/>
        </w:rPr>
        <w:t>auto</w:t>
      </w:r>
      <w:r>
        <w:rPr>
          <w:rFonts w:ascii="Arial" w:hAnsi="Arial" w:cs="Arial"/>
          <w:bCs/>
          <w:szCs w:val="22"/>
          <w:lang w:val="es-CO"/>
        </w:rPr>
        <w:t>s</w:t>
      </w:r>
      <w:r w:rsidRPr="008B43C6">
        <w:rPr>
          <w:rStyle w:val="Appelnotedebasdep"/>
          <w:rFonts w:ascii="Arial" w:hAnsi="Arial"/>
          <w:bCs/>
          <w:szCs w:val="22"/>
          <w:lang w:val="es-CO"/>
        </w:rPr>
        <w:footnoteReference w:id="27"/>
      </w:r>
      <w:r w:rsidRPr="008B43C6">
        <w:rPr>
          <w:rFonts w:ascii="Arial" w:hAnsi="Arial" w:cs="Arial"/>
          <w:bCs/>
          <w:szCs w:val="22"/>
          <w:lang w:val="es-CO"/>
        </w:rPr>
        <w:t xml:space="preserve">, de tal modo que amerite un análisis flexible del requisito de </w:t>
      </w:r>
      <w:proofErr w:type="spellStart"/>
      <w:r w:rsidRPr="008B43C6">
        <w:rPr>
          <w:rFonts w:ascii="Arial" w:hAnsi="Arial" w:cs="Arial"/>
          <w:bCs/>
          <w:szCs w:val="22"/>
          <w:lang w:val="es-CO"/>
        </w:rPr>
        <w:t>procedibilidad</w:t>
      </w:r>
      <w:proofErr w:type="spellEnd"/>
      <w:r w:rsidRPr="008B43C6">
        <w:rPr>
          <w:rFonts w:ascii="Arial" w:hAnsi="Arial" w:cs="Arial"/>
          <w:bCs/>
          <w:szCs w:val="22"/>
          <w:lang w:val="es-CO"/>
        </w:rPr>
        <w:t xml:space="preserve"> echado de menos</w:t>
      </w:r>
      <w:r>
        <w:rPr>
          <w:rFonts w:ascii="Arial" w:hAnsi="Arial" w:cs="Arial"/>
          <w:bCs/>
          <w:szCs w:val="22"/>
          <w:lang w:val="es-CO"/>
        </w:rPr>
        <w:t xml:space="preserve">, </w:t>
      </w:r>
      <w:r>
        <w:rPr>
          <w:rFonts w:ascii="Arial" w:hAnsi="Arial"/>
        </w:rPr>
        <w:t>por ende</w:t>
      </w:r>
      <w:r w:rsidR="00B00405">
        <w:rPr>
          <w:rFonts w:ascii="Arial" w:hAnsi="Arial"/>
        </w:rPr>
        <w:t>,</w:t>
      </w:r>
      <w:r>
        <w:rPr>
          <w:rFonts w:ascii="Arial" w:hAnsi="Arial"/>
        </w:rPr>
        <w:t xml:space="preserve"> solo a la parte le es imputable tal descuido.</w:t>
      </w:r>
    </w:p>
    <w:p w:rsidR="001F36A0" w:rsidRPr="00D54497" w:rsidRDefault="001F36A0" w:rsidP="001F36A0">
      <w:pPr>
        <w:spacing w:line="360" w:lineRule="auto"/>
        <w:ind w:right="51"/>
        <w:jc w:val="both"/>
        <w:rPr>
          <w:rFonts w:ascii="Arial" w:hAnsi="Arial"/>
          <w:sz w:val="20"/>
        </w:rPr>
      </w:pPr>
    </w:p>
    <w:p w:rsidR="001F36A0" w:rsidRDefault="001F36A0" w:rsidP="001F36A0">
      <w:pPr>
        <w:spacing w:line="360" w:lineRule="auto"/>
        <w:ind w:right="51"/>
        <w:jc w:val="both"/>
        <w:rPr>
          <w:rFonts w:ascii="Arial" w:hAnsi="Arial"/>
        </w:rPr>
      </w:pPr>
      <w:r w:rsidRPr="00F572A7">
        <w:rPr>
          <w:rFonts w:ascii="Arial" w:hAnsi="Arial" w:cs="Arial"/>
          <w:lang w:val="es-ES_tradnl"/>
        </w:rPr>
        <w:t xml:space="preserve">En ese contexto, </w:t>
      </w:r>
      <w:r w:rsidR="006455AA">
        <w:rPr>
          <w:rFonts w:ascii="Arial" w:hAnsi="Arial"/>
        </w:rPr>
        <w:t xml:space="preserve">las </w:t>
      </w:r>
      <w:r w:rsidRPr="00486763">
        <w:rPr>
          <w:rFonts w:ascii="Arial" w:hAnsi="Arial"/>
        </w:rPr>
        <w:t>presente</w:t>
      </w:r>
      <w:r w:rsidR="006455AA">
        <w:rPr>
          <w:rFonts w:ascii="Arial" w:hAnsi="Arial"/>
        </w:rPr>
        <w:t>s</w:t>
      </w:r>
      <w:r w:rsidRPr="00486763">
        <w:rPr>
          <w:rFonts w:ascii="Arial" w:hAnsi="Arial"/>
        </w:rPr>
        <w:t xml:space="preserve"> </w:t>
      </w:r>
      <w:r w:rsidR="006455AA">
        <w:rPr>
          <w:rFonts w:ascii="Arial" w:hAnsi="Arial"/>
        </w:rPr>
        <w:t xml:space="preserve">acciones </w:t>
      </w:r>
      <w:r w:rsidRPr="00486763">
        <w:rPr>
          <w:rFonts w:ascii="Arial" w:hAnsi="Arial"/>
        </w:rPr>
        <w:t>de tutela</w:t>
      </w:r>
      <w:r w:rsidR="006455AA">
        <w:rPr>
          <w:rFonts w:ascii="Arial" w:hAnsi="Arial"/>
        </w:rPr>
        <w:t>s</w:t>
      </w:r>
      <w:r w:rsidRPr="00486763">
        <w:rPr>
          <w:rFonts w:ascii="Arial" w:hAnsi="Arial"/>
        </w:rPr>
        <w:t xml:space="preserve"> </w:t>
      </w:r>
      <w:r w:rsidR="006455AA">
        <w:rPr>
          <w:rFonts w:ascii="Arial" w:hAnsi="Arial"/>
        </w:rPr>
        <w:t xml:space="preserve">son </w:t>
      </w:r>
      <w:r w:rsidRPr="00486763">
        <w:rPr>
          <w:rFonts w:ascii="Arial" w:hAnsi="Arial"/>
        </w:rPr>
        <w:t>improcedente</w:t>
      </w:r>
      <w:r w:rsidR="006455AA">
        <w:rPr>
          <w:rFonts w:ascii="Arial" w:hAnsi="Arial"/>
        </w:rPr>
        <w:t>s</w:t>
      </w:r>
      <w:r w:rsidRPr="00486763">
        <w:rPr>
          <w:rFonts w:ascii="Arial" w:hAnsi="Arial"/>
        </w:rPr>
        <w:t xml:space="preserve"> toda vez que </w:t>
      </w:r>
      <w:r>
        <w:rPr>
          <w:rFonts w:ascii="Arial" w:hAnsi="Arial"/>
        </w:rPr>
        <w:t>se</w:t>
      </w:r>
      <w:r w:rsidRPr="00486763">
        <w:rPr>
          <w:rFonts w:ascii="Arial" w:hAnsi="Arial"/>
        </w:rPr>
        <w:t xml:space="preserve"> </w:t>
      </w:r>
      <w:r>
        <w:rPr>
          <w:rFonts w:ascii="Arial" w:hAnsi="Arial"/>
        </w:rPr>
        <w:t>in</w:t>
      </w:r>
      <w:r w:rsidRPr="00486763">
        <w:rPr>
          <w:rFonts w:ascii="Arial" w:hAnsi="Arial"/>
        </w:rPr>
        <w:t xml:space="preserve">cumple con uno de los </w:t>
      </w:r>
      <w:r>
        <w:rPr>
          <w:rFonts w:ascii="Arial" w:hAnsi="Arial"/>
        </w:rPr>
        <w:t>siete</w:t>
      </w:r>
      <w:r w:rsidRPr="00486763">
        <w:rPr>
          <w:rFonts w:ascii="Arial" w:hAnsi="Arial"/>
        </w:rPr>
        <w:t xml:space="preserve"> (</w:t>
      </w:r>
      <w:r>
        <w:rPr>
          <w:rFonts w:ascii="Arial" w:hAnsi="Arial"/>
        </w:rPr>
        <w:t>7</w:t>
      </w:r>
      <w:r w:rsidRPr="00486763">
        <w:rPr>
          <w:rFonts w:ascii="Arial" w:hAnsi="Arial"/>
        </w:rPr>
        <w:t xml:space="preserve">) requisitos generales de </w:t>
      </w:r>
      <w:proofErr w:type="spellStart"/>
      <w:r w:rsidRPr="00486763">
        <w:rPr>
          <w:rFonts w:ascii="Arial" w:hAnsi="Arial"/>
        </w:rPr>
        <w:t>procedibilidad</w:t>
      </w:r>
      <w:proofErr w:type="spellEnd"/>
      <w:r w:rsidRPr="00486763">
        <w:rPr>
          <w:rFonts w:ascii="Arial" w:hAnsi="Arial"/>
        </w:rPr>
        <w:t>, como lo es el de la subsidiariedad</w:t>
      </w:r>
      <w:r>
        <w:rPr>
          <w:rFonts w:ascii="Arial" w:hAnsi="Arial"/>
        </w:rPr>
        <w:t>, pues no se formularon los recursos ordinarios</w:t>
      </w:r>
      <w:r w:rsidR="006455AA">
        <w:rPr>
          <w:rFonts w:ascii="Arial" w:hAnsi="Arial"/>
        </w:rPr>
        <w:t xml:space="preserve"> y las acciones populares se están tramitando</w:t>
      </w:r>
      <w:r>
        <w:rPr>
          <w:rFonts w:ascii="Arial" w:hAnsi="Arial"/>
        </w:rPr>
        <w:t>.</w:t>
      </w:r>
    </w:p>
    <w:p w:rsidR="001F36A0" w:rsidRDefault="001F36A0" w:rsidP="001F36A0">
      <w:pPr>
        <w:spacing w:line="360" w:lineRule="auto"/>
        <w:ind w:right="51"/>
        <w:jc w:val="both"/>
        <w:rPr>
          <w:rFonts w:ascii="Arial" w:hAnsi="Arial"/>
        </w:rPr>
      </w:pPr>
    </w:p>
    <w:p w:rsidR="003D6185" w:rsidRPr="00927F25" w:rsidRDefault="003D6185" w:rsidP="003D6185">
      <w:pPr>
        <w:pStyle w:val="Corpsdetexte"/>
        <w:numPr>
          <w:ilvl w:val="1"/>
          <w:numId w:val="18"/>
        </w:numPr>
        <w:spacing w:line="360" w:lineRule="auto"/>
        <w:rPr>
          <w:rFonts w:ascii="Arial" w:hAnsi="Arial" w:cs="Arial"/>
          <w:smallCaps/>
          <w:sz w:val="26"/>
          <w:szCs w:val="26"/>
        </w:rPr>
      </w:pPr>
      <w:r w:rsidRPr="00927F25">
        <w:rPr>
          <w:rFonts w:ascii="Arial" w:hAnsi="Arial" w:cs="Arial"/>
          <w:smallCaps/>
          <w:sz w:val="26"/>
          <w:szCs w:val="26"/>
        </w:rPr>
        <w:t>La temeridad y la cosa juzgada constitucional</w:t>
      </w:r>
    </w:p>
    <w:p w:rsidR="003561E9" w:rsidRDefault="003561E9" w:rsidP="003D6185">
      <w:pPr>
        <w:pStyle w:val="Corpsdetexte"/>
        <w:spacing w:line="360" w:lineRule="auto"/>
        <w:rPr>
          <w:rFonts w:ascii="Arial" w:hAnsi="Arial" w:cs="Arial"/>
          <w:szCs w:val="24"/>
        </w:rPr>
      </w:pPr>
    </w:p>
    <w:p w:rsidR="003D6185" w:rsidRPr="002128C2" w:rsidRDefault="003D6185" w:rsidP="003D6185">
      <w:pPr>
        <w:pStyle w:val="Corpsdetexte"/>
        <w:spacing w:line="360" w:lineRule="auto"/>
        <w:rPr>
          <w:rFonts w:ascii="Arial" w:hAnsi="Arial" w:cs="Arial"/>
          <w:szCs w:val="24"/>
        </w:rPr>
      </w:pPr>
      <w:r w:rsidRPr="002128C2">
        <w:rPr>
          <w:rFonts w:ascii="Arial" w:hAnsi="Arial" w:cs="Arial"/>
          <w:szCs w:val="24"/>
        </w:rPr>
        <w:t xml:space="preserve">De </w:t>
      </w:r>
      <w:r w:rsidR="003561E9">
        <w:rPr>
          <w:rFonts w:ascii="Arial" w:hAnsi="Arial" w:cs="Arial"/>
          <w:szCs w:val="24"/>
        </w:rPr>
        <w:t xml:space="preserve"> </w:t>
      </w:r>
      <w:r w:rsidRPr="002128C2">
        <w:rPr>
          <w:rFonts w:ascii="Arial" w:hAnsi="Arial" w:cs="Arial"/>
          <w:szCs w:val="24"/>
        </w:rPr>
        <w:t xml:space="preserve">otro </w:t>
      </w:r>
      <w:r w:rsidR="003561E9">
        <w:rPr>
          <w:rFonts w:ascii="Arial" w:hAnsi="Arial" w:cs="Arial"/>
          <w:szCs w:val="24"/>
        </w:rPr>
        <w:t xml:space="preserve"> </w:t>
      </w:r>
      <w:r w:rsidRPr="002128C2">
        <w:rPr>
          <w:rFonts w:ascii="Arial" w:hAnsi="Arial" w:cs="Arial"/>
          <w:szCs w:val="24"/>
        </w:rPr>
        <w:t xml:space="preserve">lado, se duele el actor </w:t>
      </w:r>
      <w:r>
        <w:rPr>
          <w:rFonts w:ascii="Arial" w:hAnsi="Arial" w:cs="Arial"/>
          <w:szCs w:val="24"/>
        </w:rPr>
        <w:t xml:space="preserve">también de que el juzgado accionado concediera en el efecto devolutivo la alzada que presentó contra la sentencia de primera instancia y </w:t>
      </w:r>
      <w:r w:rsidRPr="002128C2">
        <w:rPr>
          <w:rFonts w:ascii="Arial" w:hAnsi="Arial" w:cs="Arial"/>
          <w:szCs w:val="24"/>
        </w:rPr>
        <w:t xml:space="preserve">de la renuencia de la Defensoría del Pueblo, Regional de Caldas en la formulación a su nombre de acciones de tutela destinadas a proteger los derechos fundamentales que considera afectados en las acciones populares por él interpuestas. </w:t>
      </w:r>
    </w:p>
    <w:p w:rsidR="003D6185" w:rsidRPr="007B7681" w:rsidRDefault="003D6185" w:rsidP="003D6185">
      <w:pPr>
        <w:pStyle w:val="Corpsdetexte"/>
        <w:spacing w:line="360" w:lineRule="auto"/>
        <w:rPr>
          <w:rFonts w:ascii="Arial" w:hAnsi="Arial" w:cs="Arial"/>
          <w:sz w:val="20"/>
          <w:szCs w:val="24"/>
        </w:rPr>
      </w:pPr>
    </w:p>
    <w:p w:rsidR="003D6185" w:rsidRDefault="003D6185" w:rsidP="003D6185">
      <w:pPr>
        <w:pStyle w:val="Corpsdetexte"/>
        <w:spacing w:line="360" w:lineRule="auto"/>
        <w:rPr>
          <w:rFonts w:ascii="Arial" w:hAnsi="Arial"/>
          <w:b/>
          <w:szCs w:val="24"/>
          <w:lang w:val="es-ES"/>
        </w:rPr>
      </w:pPr>
      <w:r w:rsidRPr="002128C2">
        <w:rPr>
          <w:rFonts w:ascii="Arial" w:hAnsi="Arial"/>
          <w:szCs w:val="24"/>
        </w:rPr>
        <w:t xml:space="preserve">Necesario es advertir que no es del caso estudiar de fondo el asunto puesto que previamente y en varias acciones de tutela, esta Corporación se ha pronunciado respecto de idénticas causas, pretensiones, derechos y partes, formuladas por el accionante. </w:t>
      </w:r>
      <w:r w:rsidR="00300E34">
        <w:rPr>
          <w:rFonts w:ascii="Arial" w:hAnsi="Arial"/>
          <w:szCs w:val="24"/>
        </w:rPr>
        <w:t xml:space="preserve">En efecto, en cuanto a la primera de las pretensiones, existe la sentencia dictada el 22-07-2016 en la tutela radicada 2016-00674-00, y respecto de la segunda, se hallan </w:t>
      </w:r>
      <w:r w:rsidRPr="002128C2">
        <w:rPr>
          <w:rFonts w:ascii="Arial" w:hAnsi="Arial"/>
          <w:szCs w:val="24"/>
        </w:rPr>
        <w:t>la</w:t>
      </w:r>
      <w:r>
        <w:rPr>
          <w:rFonts w:ascii="Arial" w:hAnsi="Arial"/>
          <w:szCs w:val="24"/>
        </w:rPr>
        <w:t>s</w:t>
      </w:r>
      <w:r w:rsidRPr="002128C2">
        <w:rPr>
          <w:rFonts w:ascii="Arial" w:hAnsi="Arial"/>
          <w:szCs w:val="24"/>
        </w:rPr>
        <w:t xml:space="preserve"> </w:t>
      </w:r>
      <w:r w:rsidR="00931BC0">
        <w:rPr>
          <w:rFonts w:ascii="Arial" w:hAnsi="Arial"/>
          <w:szCs w:val="24"/>
        </w:rPr>
        <w:t>proferidas</w:t>
      </w:r>
      <w:r w:rsidR="00300E34">
        <w:rPr>
          <w:rFonts w:ascii="Arial" w:hAnsi="Arial"/>
          <w:szCs w:val="24"/>
        </w:rPr>
        <w:t xml:space="preserve"> los días </w:t>
      </w:r>
      <w:r w:rsidR="00300E34" w:rsidRPr="002128C2">
        <w:rPr>
          <w:rFonts w:ascii="Arial" w:hAnsi="Arial"/>
          <w:szCs w:val="24"/>
        </w:rPr>
        <w:t>11-05-2016</w:t>
      </w:r>
      <w:r w:rsidR="00300E34">
        <w:rPr>
          <w:rFonts w:ascii="Arial" w:hAnsi="Arial"/>
          <w:szCs w:val="24"/>
        </w:rPr>
        <w:t xml:space="preserve">, 30-06-2016 y </w:t>
      </w:r>
      <w:r w:rsidR="00B00405">
        <w:rPr>
          <w:rFonts w:ascii="Arial" w:hAnsi="Arial"/>
          <w:szCs w:val="24"/>
        </w:rPr>
        <w:t>1</w:t>
      </w:r>
      <w:r w:rsidR="00300E34">
        <w:rPr>
          <w:rFonts w:ascii="Arial" w:hAnsi="Arial"/>
          <w:szCs w:val="24"/>
        </w:rPr>
        <w:t xml:space="preserve">1-08-2016 en los amparos radicados </w:t>
      </w:r>
      <w:r>
        <w:rPr>
          <w:rFonts w:ascii="Arial" w:hAnsi="Arial"/>
          <w:szCs w:val="24"/>
        </w:rPr>
        <w:t>2016-</w:t>
      </w:r>
      <w:r>
        <w:rPr>
          <w:rFonts w:ascii="Arial" w:hAnsi="Arial"/>
          <w:szCs w:val="24"/>
        </w:rPr>
        <w:lastRenderedPageBreak/>
        <w:t xml:space="preserve">00526-00, </w:t>
      </w:r>
      <w:r w:rsidRPr="00C16F88">
        <w:rPr>
          <w:rFonts w:ascii="Arial" w:hAnsi="Arial"/>
          <w:szCs w:val="24"/>
        </w:rPr>
        <w:t>2016</w:t>
      </w:r>
      <w:r>
        <w:rPr>
          <w:rFonts w:ascii="Arial" w:hAnsi="Arial"/>
          <w:szCs w:val="24"/>
        </w:rPr>
        <w:t>-</w:t>
      </w:r>
      <w:r w:rsidRPr="00C16F88">
        <w:rPr>
          <w:rFonts w:ascii="Arial" w:hAnsi="Arial"/>
          <w:szCs w:val="24"/>
        </w:rPr>
        <w:t>00554</w:t>
      </w:r>
      <w:r>
        <w:rPr>
          <w:rFonts w:ascii="Arial" w:hAnsi="Arial"/>
          <w:szCs w:val="24"/>
        </w:rPr>
        <w:t>-00 y 2016-00750-00</w:t>
      </w:r>
      <w:r w:rsidR="00300E34">
        <w:rPr>
          <w:rFonts w:ascii="Arial" w:hAnsi="Arial"/>
          <w:szCs w:val="24"/>
        </w:rPr>
        <w:t>, todas</w:t>
      </w:r>
      <w:r w:rsidRPr="002128C2">
        <w:rPr>
          <w:rFonts w:ascii="Arial" w:hAnsi="Arial"/>
          <w:szCs w:val="24"/>
        </w:rPr>
        <w:t xml:space="preserve"> confirmada</w:t>
      </w:r>
      <w:r>
        <w:rPr>
          <w:rFonts w:ascii="Arial" w:hAnsi="Arial"/>
          <w:szCs w:val="24"/>
        </w:rPr>
        <w:t>s</w:t>
      </w:r>
      <w:r w:rsidRPr="002128C2">
        <w:rPr>
          <w:rFonts w:ascii="Arial" w:hAnsi="Arial"/>
          <w:szCs w:val="24"/>
        </w:rPr>
        <w:t xml:space="preserve"> por la CSJ</w:t>
      </w:r>
      <w:r w:rsidR="00300E34">
        <w:rPr>
          <w:rStyle w:val="Appelnotedebasdep"/>
          <w:rFonts w:ascii="Arial" w:hAnsi="Arial"/>
          <w:szCs w:val="24"/>
        </w:rPr>
        <w:footnoteReference w:id="28"/>
      </w:r>
      <w:r w:rsidR="00931BC0">
        <w:rPr>
          <w:rFonts w:ascii="Arial" w:hAnsi="Arial"/>
          <w:szCs w:val="24"/>
        </w:rPr>
        <w:t xml:space="preserve"> (Folio 63 vto., ib.)</w:t>
      </w:r>
      <w:r w:rsidRPr="00C16F88">
        <w:rPr>
          <w:rFonts w:ascii="Arial" w:hAnsi="Arial"/>
          <w:szCs w:val="24"/>
          <w:lang w:val="es-ES"/>
        </w:rPr>
        <w:t>.</w:t>
      </w:r>
      <w:r>
        <w:rPr>
          <w:rFonts w:ascii="Arial" w:hAnsi="Arial"/>
          <w:b/>
          <w:szCs w:val="24"/>
          <w:lang w:val="es-ES"/>
        </w:rPr>
        <w:t xml:space="preserve"> </w:t>
      </w:r>
    </w:p>
    <w:p w:rsidR="003D6185" w:rsidRPr="007B7681" w:rsidRDefault="003D6185" w:rsidP="003D6185">
      <w:pPr>
        <w:pStyle w:val="Corpsdetexte"/>
        <w:spacing w:line="360" w:lineRule="auto"/>
        <w:rPr>
          <w:rFonts w:ascii="Arial" w:hAnsi="Arial"/>
          <w:sz w:val="20"/>
          <w:szCs w:val="24"/>
        </w:rPr>
      </w:pPr>
    </w:p>
    <w:p w:rsidR="00931BC0" w:rsidRDefault="003D6185" w:rsidP="003D6185">
      <w:pPr>
        <w:pStyle w:val="Corpsdetexte"/>
        <w:spacing w:line="360" w:lineRule="auto"/>
        <w:rPr>
          <w:rFonts w:ascii="Arial" w:hAnsi="Arial" w:cs="Arial"/>
        </w:rPr>
      </w:pPr>
      <w:r>
        <w:rPr>
          <w:rFonts w:ascii="Arial" w:hAnsi="Arial"/>
          <w:szCs w:val="24"/>
        </w:rPr>
        <w:t xml:space="preserve">Confrontados el escrito petitorio y </w:t>
      </w:r>
      <w:r w:rsidR="00300E34">
        <w:rPr>
          <w:rFonts w:ascii="Arial" w:hAnsi="Arial"/>
          <w:szCs w:val="24"/>
        </w:rPr>
        <w:t xml:space="preserve">la primera de las referidas </w:t>
      </w:r>
      <w:r>
        <w:rPr>
          <w:rFonts w:ascii="Arial" w:hAnsi="Arial"/>
          <w:szCs w:val="24"/>
        </w:rPr>
        <w:t xml:space="preserve">providencias, mediante </w:t>
      </w:r>
      <w:r w:rsidR="00300E34">
        <w:rPr>
          <w:rFonts w:ascii="Arial" w:hAnsi="Arial"/>
          <w:szCs w:val="24"/>
        </w:rPr>
        <w:t xml:space="preserve">la cual se declaró improcedente el amparo </w:t>
      </w:r>
      <w:r w:rsidR="00300E34" w:rsidRPr="009D78C0">
        <w:rPr>
          <w:rFonts w:ascii="Arial" w:hAnsi="Arial" w:cs="Arial"/>
        </w:rPr>
        <w:t>por haberse incumplido el requisito de subsidiariedad</w:t>
      </w:r>
      <w:r w:rsidR="00300E34">
        <w:rPr>
          <w:rFonts w:ascii="Arial" w:hAnsi="Arial" w:cs="Arial"/>
        </w:rPr>
        <w:t xml:space="preserve">, pues no agotó los recursos ordinarios con que disponía para atacar el proveído que declaró desierta la alzada, se tiene que el accionante ya había solicitado que se ordenara conceder la </w:t>
      </w:r>
      <w:r w:rsidR="00931BC0">
        <w:rPr>
          <w:rFonts w:ascii="Arial" w:hAnsi="Arial" w:cs="Arial"/>
        </w:rPr>
        <w:t>apelación en el efecto suspensivo sin que se le exigiera el pago de copias.</w:t>
      </w:r>
    </w:p>
    <w:p w:rsidR="00300E34" w:rsidRDefault="00300E34" w:rsidP="003D6185">
      <w:pPr>
        <w:pStyle w:val="Corpsdetexte"/>
        <w:spacing w:line="360" w:lineRule="auto"/>
        <w:rPr>
          <w:rFonts w:ascii="Arial" w:hAnsi="Arial"/>
          <w:szCs w:val="24"/>
        </w:rPr>
      </w:pPr>
    </w:p>
    <w:p w:rsidR="003D6185" w:rsidRDefault="00931BC0" w:rsidP="003D6185">
      <w:pPr>
        <w:pStyle w:val="Corpsdetexte"/>
        <w:spacing w:line="360" w:lineRule="auto"/>
        <w:rPr>
          <w:rFonts w:ascii="Arial" w:hAnsi="Arial"/>
          <w:iCs/>
          <w:szCs w:val="24"/>
        </w:rPr>
      </w:pPr>
      <w:r>
        <w:rPr>
          <w:rFonts w:ascii="Arial" w:hAnsi="Arial"/>
          <w:szCs w:val="24"/>
        </w:rPr>
        <w:t xml:space="preserve">Igual sucede con relación a la pretensión contra la Defensoría, pues en las mentadas providencias se </w:t>
      </w:r>
      <w:r w:rsidR="003D6185">
        <w:rPr>
          <w:rFonts w:ascii="Arial" w:hAnsi="Arial"/>
          <w:szCs w:val="24"/>
        </w:rPr>
        <w:t xml:space="preserve">negó el amparo porque </w:t>
      </w:r>
      <w:r w:rsidR="003D6185" w:rsidRPr="0029693F">
        <w:rPr>
          <w:rFonts w:ascii="Arial" w:hAnsi="Arial"/>
          <w:i/>
          <w:sz w:val="22"/>
          <w:szCs w:val="24"/>
        </w:rPr>
        <w:t xml:space="preserve">“(…) </w:t>
      </w:r>
      <w:r w:rsidR="003D6185" w:rsidRPr="0029693F">
        <w:rPr>
          <w:rFonts w:ascii="Arial" w:hAnsi="Arial" w:cs="Arial"/>
          <w:i/>
          <w:iCs/>
          <w:color w:val="000000"/>
          <w:sz w:val="22"/>
          <w:szCs w:val="24"/>
          <w:lang w:eastAsia="es-CO"/>
        </w:rPr>
        <w:t>se carece de prueba sobre la renuencia para formular acciones de tutela a favor del actor (…)”</w:t>
      </w:r>
      <w:r w:rsidR="003D6185">
        <w:rPr>
          <w:rFonts w:ascii="Arial" w:hAnsi="Arial"/>
          <w:szCs w:val="24"/>
        </w:rPr>
        <w:t xml:space="preserve">, </w:t>
      </w:r>
      <w:r>
        <w:rPr>
          <w:rFonts w:ascii="Arial" w:hAnsi="Arial"/>
          <w:szCs w:val="24"/>
        </w:rPr>
        <w:t xml:space="preserve">de manera que </w:t>
      </w:r>
      <w:r w:rsidR="003D6185">
        <w:rPr>
          <w:rFonts w:ascii="Arial" w:hAnsi="Arial"/>
          <w:szCs w:val="24"/>
        </w:rPr>
        <w:t xml:space="preserve">ya había procurado la declaratoria de la vulneración de sus derechos fundamentales con base en que </w:t>
      </w:r>
      <w:r>
        <w:rPr>
          <w:rFonts w:ascii="Arial" w:hAnsi="Arial"/>
          <w:szCs w:val="24"/>
        </w:rPr>
        <w:t xml:space="preserve">la </w:t>
      </w:r>
      <w:r w:rsidR="003D6185">
        <w:rPr>
          <w:rFonts w:ascii="Arial" w:hAnsi="Arial"/>
          <w:szCs w:val="24"/>
        </w:rPr>
        <w:t xml:space="preserve">accionada </w:t>
      </w:r>
      <w:r w:rsidR="003D6185" w:rsidRPr="0029693F">
        <w:rPr>
          <w:rFonts w:ascii="Arial" w:hAnsi="Arial"/>
          <w:iCs/>
        </w:rPr>
        <w:t>se negó a formular demandas constitucionales</w:t>
      </w:r>
      <w:r w:rsidR="003D6185">
        <w:rPr>
          <w:rFonts w:ascii="Arial" w:hAnsi="Arial"/>
          <w:iCs/>
        </w:rPr>
        <w:t xml:space="preserve">, situación que no ha </w:t>
      </w:r>
      <w:r w:rsidR="003D6185" w:rsidRPr="00F2155F">
        <w:rPr>
          <w:rFonts w:ascii="Arial" w:hAnsi="Arial"/>
          <w:iCs/>
          <w:szCs w:val="24"/>
        </w:rPr>
        <w:t>variado pues, tal cual se advirtió en aquellas providencias, en el presente caso se desconoce si hizo alguna petición, lo que modificaría las causas de la tutela.</w:t>
      </w:r>
      <w:r w:rsidR="003D6185">
        <w:rPr>
          <w:rFonts w:ascii="Arial" w:hAnsi="Arial"/>
          <w:iCs/>
          <w:szCs w:val="24"/>
        </w:rPr>
        <w:t xml:space="preserve"> </w:t>
      </w:r>
    </w:p>
    <w:p w:rsidR="003D6185" w:rsidRPr="007B7681" w:rsidRDefault="003D6185" w:rsidP="003D6185">
      <w:pPr>
        <w:pStyle w:val="Corpsdetexte"/>
        <w:spacing w:line="360" w:lineRule="auto"/>
        <w:rPr>
          <w:rFonts w:ascii="Arial" w:hAnsi="Arial"/>
          <w:sz w:val="20"/>
          <w:szCs w:val="24"/>
        </w:rPr>
      </w:pPr>
    </w:p>
    <w:p w:rsidR="003D6185" w:rsidRPr="00F2155F" w:rsidRDefault="003D6185" w:rsidP="003D6185">
      <w:pPr>
        <w:spacing w:line="360" w:lineRule="auto"/>
        <w:jc w:val="both"/>
        <w:rPr>
          <w:rFonts w:ascii="Arial" w:hAnsi="Arial"/>
        </w:rPr>
      </w:pPr>
      <w:r w:rsidRPr="00F2155F">
        <w:rPr>
          <w:rFonts w:ascii="Arial" w:hAnsi="Arial"/>
        </w:rPr>
        <w:t>Pero el análisis para declarar la existencia de la temeridad, impone que se verifique la ausencia de las siguientes situaciones, ya previstas por la Corte Constitucional</w:t>
      </w:r>
      <w:r w:rsidRPr="00F2155F">
        <w:rPr>
          <w:rStyle w:val="Appelnotedebasdep"/>
          <w:rFonts w:ascii="Arial" w:hAnsi="Arial"/>
        </w:rPr>
        <w:footnoteReference w:id="29"/>
      </w:r>
      <w:r w:rsidRPr="00F2155F">
        <w:rPr>
          <w:rFonts w:ascii="Arial" w:hAnsi="Arial"/>
        </w:rPr>
        <w:t xml:space="preserve"> reiterada recientemente (2016)</w:t>
      </w:r>
      <w:r w:rsidRPr="00F2155F">
        <w:rPr>
          <w:rStyle w:val="Appelnotedebasdep"/>
          <w:rFonts w:ascii="Arial" w:hAnsi="Arial"/>
        </w:rPr>
        <w:footnoteReference w:id="30"/>
      </w:r>
      <w:r w:rsidRPr="00F2155F">
        <w:rPr>
          <w:rFonts w:ascii="Arial" w:hAnsi="Arial"/>
        </w:rPr>
        <w:t>, así:</w:t>
      </w:r>
    </w:p>
    <w:p w:rsidR="003D6185" w:rsidRPr="000848B7" w:rsidRDefault="003D6185" w:rsidP="003D6185">
      <w:pPr>
        <w:ind w:left="567" w:right="567"/>
        <w:jc w:val="both"/>
        <w:rPr>
          <w:rFonts w:ascii="Arial" w:hAnsi="Arial" w:cs="Arial"/>
          <w:b/>
          <w:bCs/>
          <w:sz w:val="2"/>
          <w:szCs w:val="22"/>
        </w:rPr>
      </w:pPr>
    </w:p>
    <w:p w:rsidR="003D6185" w:rsidRPr="00D54497" w:rsidRDefault="003D6185" w:rsidP="003D6185">
      <w:pPr>
        <w:ind w:left="567" w:right="567"/>
        <w:jc w:val="both"/>
        <w:rPr>
          <w:rFonts w:ascii="Arial" w:hAnsi="Arial" w:cs="Arial"/>
          <w:b/>
          <w:bCs/>
          <w:sz w:val="22"/>
        </w:rPr>
      </w:pPr>
    </w:p>
    <w:p w:rsidR="003D6185" w:rsidRPr="00F2155F" w:rsidRDefault="003D6185" w:rsidP="003D6185">
      <w:pPr>
        <w:ind w:left="567" w:right="567"/>
        <w:jc w:val="both"/>
        <w:rPr>
          <w:rFonts w:ascii="Arial" w:hAnsi="Arial" w:cs="Arial"/>
          <w:iCs/>
        </w:rPr>
      </w:pPr>
      <w:r w:rsidRPr="00F2155F">
        <w:rPr>
          <w:rFonts w:ascii="Arial" w:hAnsi="Arial" w:cs="Arial"/>
          <w:b/>
          <w:bCs/>
        </w:rPr>
        <w:t xml:space="preserve">6. </w:t>
      </w:r>
      <w:r w:rsidRPr="00F2155F">
        <w:rPr>
          <w:rFonts w:ascii="Arial" w:hAnsi="Arial" w:cs="Arial"/>
        </w:rPr>
        <w:t xml:space="preserve">Ahora bien, la jurisprudencia constitucional ha considerado que la actuación temeraria prevista en el artículo 38 del Decreto 2591 de 1991, además de otorgarle al juez de instancia la facultad de rechazar o decidir desfavorablemente </w:t>
      </w:r>
      <w:r w:rsidRPr="00F2155F">
        <w:rPr>
          <w:rFonts w:ascii="Arial" w:hAnsi="Arial" w:cs="Arial"/>
          <w:i/>
          <w:iCs/>
        </w:rPr>
        <w:t>“todas las solicitudes”</w:t>
      </w:r>
      <w:r w:rsidRPr="00F2155F">
        <w:rPr>
          <w:rFonts w:ascii="Arial" w:hAnsi="Arial" w:cs="Arial"/>
        </w:rPr>
        <w:t>, le habilita -en armonía con lo previsto en los artículos 72 y 73 del Código de Procedimiento Civil</w:t>
      </w:r>
      <w:r w:rsidRPr="00F2155F">
        <w:rPr>
          <w:rStyle w:val="Appelnotedebasdep"/>
          <w:rFonts w:ascii="Arial" w:hAnsi="Arial" w:cs="Arial"/>
        </w:rPr>
        <w:footnoteReference w:id="31"/>
      </w:r>
      <w:r w:rsidRPr="00F2155F">
        <w:rPr>
          <w:rFonts w:ascii="Arial" w:hAnsi="Arial" w:cs="Arial"/>
        </w:rPr>
        <w:t>-,  para sancionar pecuniariamente a los responsables</w:t>
      </w:r>
      <w:r w:rsidRPr="00F2155F">
        <w:rPr>
          <w:rStyle w:val="Appelnotedebasdep"/>
          <w:rFonts w:ascii="Arial" w:hAnsi="Arial" w:cs="Arial"/>
        </w:rPr>
        <w:footnoteReference w:id="32"/>
      </w:r>
      <w:r w:rsidRPr="00F2155F">
        <w:rPr>
          <w:rFonts w:ascii="Arial" w:hAnsi="Arial" w:cs="Arial"/>
        </w:rPr>
        <w:t xml:space="preserve">, </w:t>
      </w:r>
      <w:r w:rsidRPr="00F2155F">
        <w:rPr>
          <w:rFonts w:ascii="Arial" w:hAnsi="Arial" w:cs="Arial"/>
          <w:u w:val="single"/>
        </w:rPr>
        <w:t>siempre que la presentación de más de una acción de amparo constitucional entre las mismas partes, por los mismos hechos y con el mismo objeto</w:t>
      </w:r>
      <w:r w:rsidRPr="00F2155F">
        <w:rPr>
          <w:rFonts w:ascii="Arial" w:hAnsi="Arial" w:cs="Arial"/>
        </w:rPr>
        <w:t xml:space="preserve"> </w:t>
      </w:r>
      <w:r w:rsidRPr="00F2155F">
        <w:rPr>
          <w:rFonts w:ascii="Arial" w:hAnsi="Arial" w:cs="Arial"/>
          <w:u w:val="single"/>
        </w:rPr>
        <w:t>(i) envuelva una actuación amañada, reservando para cada acción aquellos argumentos o pruebas que convaliden sus pretensiones</w:t>
      </w:r>
      <w:r w:rsidRPr="00F2155F">
        <w:rPr>
          <w:rStyle w:val="Appelnotedebasdep"/>
          <w:rFonts w:ascii="Arial" w:hAnsi="Arial" w:cs="Arial"/>
          <w:u w:val="single"/>
        </w:rPr>
        <w:footnoteReference w:id="33"/>
      </w:r>
      <w:r w:rsidRPr="00F2155F">
        <w:rPr>
          <w:rFonts w:ascii="Arial" w:hAnsi="Arial" w:cs="Arial"/>
          <w:u w:val="single"/>
        </w:rPr>
        <w:t xml:space="preserve">; (ii) denote el propósito desleal de </w:t>
      </w:r>
      <w:r w:rsidRPr="00F2155F">
        <w:rPr>
          <w:rFonts w:ascii="Arial" w:hAnsi="Arial" w:cs="Arial"/>
          <w:i/>
          <w:iCs/>
          <w:u w:val="single"/>
        </w:rPr>
        <w:t>“obtener la satisfacción del interés individual a toda costa, jugando con la eventualidad de una interpretación judicial que, entre varias, pudiera resultar favorable”</w:t>
      </w:r>
      <w:r w:rsidRPr="00F2155F">
        <w:rPr>
          <w:rStyle w:val="Appelnotedebasdep"/>
          <w:rFonts w:ascii="Arial" w:hAnsi="Arial" w:cs="Arial"/>
          <w:u w:val="single"/>
        </w:rPr>
        <w:footnoteReference w:id="34"/>
      </w:r>
      <w:r w:rsidRPr="00F2155F">
        <w:rPr>
          <w:rFonts w:ascii="Arial" w:hAnsi="Arial" w:cs="Arial"/>
          <w:u w:val="single"/>
        </w:rPr>
        <w:t xml:space="preserve">; (iii) deje al descubierto el </w:t>
      </w:r>
      <w:r w:rsidRPr="00F2155F">
        <w:rPr>
          <w:rFonts w:ascii="Arial" w:hAnsi="Arial" w:cs="Arial"/>
          <w:i/>
          <w:iCs/>
          <w:u w:val="single"/>
        </w:rPr>
        <w:t>"abuso del derecho porque deliberadamente y sin tener razón, de mala fe se instaura la acción”</w:t>
      </w:r>
      <w:r w:rsidRPr="00F2155F">
        <w:rPr>
          <w:rStyle w:val="Appelnotedebasdep"/>
          <w:rFonts w:ascii="Arial" w:hAnsi="Arial" w:cs="Arial"/>
          <w:u w:val="single"/>
        </w:rPr>
        <w:footnoteReference w:id="35"/>
      </w:r>
      <w:r w:rsidRPr="00F2155F">
        <w:rPr>
          <w:rFonts w:ascii="Arial" w:hAnsi="Arial" w:cs="Arial"/>
          <w:u w:val="single"/>
        </w:rPr>
        <w:t xml:space="preserve">; o finalmente (iv) se pretenda a través de personas inescrupulosas asaltar la </w:t>
      </w:r>
      <w:r w:rsidRPr="00F2155F">
        <w:rPr>
          <w:rFonts w:ascii="Arial" w:hAnsi="Arial" w:cs="Arial"/>
          <w:i/>
          <w:iCs/>
          <w:u w:val="single"/>
        </w:rPr>
        <w:lastRenderedPageBreak/>
        <w:t>“buena fe de los administradores de justicia</w:t>
      </w:r>
      <w:r w:rsidRPr="00F2155F">
        <w:rPr>
          <w:rFonts w:ascii="Arial" w:hAnsi="Arial" w:cs="Arial"/>
          <w:i/>
          <w:iCs/>
        </w:rPr>
        <w:t>”</w:t>
      </w:r>
      <w:r w:rsidRPr="00F2155F">
        <w:rPr>
          <w:rStyle w:val="Appelnotedebasdep"/>
          <w:rFonts w:ascii="Arial" w:hAnsi="Arial" w:cs="Arial"/>
        </w:rPr>
        <w:footnoteReference w:id="36"/>
      </w:r>
      <w:r w:rsidRPr="00F2155F">
        <w:rPr>
          <w:rFonts w:ascii="Arial" w:hAnsi="Arial" w:cs="Arial"/>
          <w:i/>
          <w:iCs/>
        </w:rPr>
        <w:t>.</w:t>
      </w:r>
      <w:r w:rsidRPr="00F2155F">
        <w:rPr>
          <w:rFonts w:ascii="Arial" w:hAnsi="Arial" w:cs="Arial"/>
          <w:iCs/>
        </w:rPr>
        <w:t xml:space="preserve">  El resaltado es propio de esta Colegiatura.</w:t>
      </w:r>
    </w:p>
    <w:p w:rsidR="003D6185" w:rsidRDefault="003D6185" w:rsidP="003D6185">
      <w:pPr>
        <w:spacing w:line="360" w:lineRule="auto"/>
        <w:ind w:right="51"/>
        <w:jc w:val="both"/>
        <w:rPr>
          <w:rFonts w:ascii="Arial" w:hAnsi="Arial"/>
        </w:rPr>
      </w:pPr>
    </w:p>
    <w:p w:rsidR="003D6185" w:rsidRPr="00F2155F" w:rsidRDefault="003D6185" w:rsidP="003D6185">
      <w:pPr>
        <w:spacing w:line="360" w:lineRule="auto"/>
        <w:ind w:right="51"/>
        <w:jc w:val="both"/>
        <w:rPr>
          <w:rFonts w:ascii="Arial" w:hAnsi="Arial"/>
        </w:rPr>
      </w:pPr>
      <w:r w:rsidRPr="00F2155F">
        <w:rPr>
          <w:rFonts w:ascii="Arial" w:hAnsi="Arial"/>
        </w:rPr>
        <w:t xml:space="preserve">En el caso que se ventila, no se aprecia la concurrencia de alguna de las circunstancias transcritas, y más bien se nota una falta de conocimiento, por ende habrá de declararse la improcedencia de la acción, pero sin la imposición de las sanciones dinerarias referidas por el artículo 38 del Decreto 2591 de 1991.  </w:t>
      </w:r>
    </w:p>
    <w:p w:rsidR="003D6185" w:rsidRPr="007B7681" w:rsidRDefault="003D6185" w:rsidP="003D6185">
      <w:pPr>
        <w:pStyle w:val="Corpsdetexte"/>
        <w:spacing w:line="360" w:lineRule="auto"/>
        <w:rPr>
          <w:rFonts w:ascii="Arial" w:hAnsi="Arial" w:cs="Arial"/>
          <w:sz w:val="20"/>
          <w:szCs w:val="24"/>
        </w:rPr>
      </w:pPr>
    </w:p>
    <w:p w:rsidR="003D6185" w:rsidRPr="00104D5D" w:rsidRDefault="003D6185" w:rsidP="003D6185">
      <w:pPr>
        <w:spacing w:line="360" w:lineRule="auto"/>
        <w:ind w:right="51"/>
        <w:jc w:val="both"/>
        <w:rPr>
          <w:rFonts w:ascii="Arial" w:hAnsi="Arial" w:cs="Arial"/>
        </w:rPr>
      </w:pPr>
      <w:r w:rsidRPr="00F2155F">
        <w:rPr>
          <w:rFonts w:ascii="Arial" w:hAnsi="Arial"/>
        </w:rPr>
        <w:t>Sobre el punto tiene dicho el máximo órgano de cierre en asuntos constitucionales</w:t>
      </w:r>
      <w:r w:rsidRPr="00F2155F">
        <w:rPr>
          <w:rStyle w:val="Appelnotedebasdep"/>
          <w:rFonts w:ascii="Arial" w:hAnsi="Arial"/>
        </w:rPr>
        <w:footnoteReference w:id="37"/>
      </w:r>
      <w:r w:rsidRPr="00F2155F">
        <w:rPr>
          <w:rFonts w:ascii="Arial" w:hAnsi="Arial" w:cs="Arial"/>
        </w:rPr>
        <w:t>:</w:t>
      </w:r>
      <w:r w:rsidRPr="00F2155F">
        <w:rPr>
          <w:rFonts w:ascii="Arial" w:hAnsi="Arial" w:cs="Arial"/>
          <w:i/>
        </w:rPr>
        <w:t xml:space="preserve"> </w:t>
      </w:r>
      <w:r w:rsidRPr="00F2155F">
        <w:rPr>
          <w:rFonts w:ascii="Arial" w:hAnsi="Arial" w:cs="Arial"/>
          <w:i/>
          <w:sz w:val="22"/>
        </w:rPr>
        <w:t>“</w:t>
      </w:r>
      <w:r>
        <w:rPr>
          <w:rFonts w:ascii="Arial" w:hAnsi="Arial" w:cs="Arial"/>
          <w:i/>
          <w:sz w:val="22"/>
        </w:rPr>
        <w:t xml:space="preserve">(…) </w:t>
      </w:r>
      <w:r w:rsidRPr="00F2155F">
        <w:rPr>
          <w:rFonts w:ascii="Arial" w:hAnsi="Arial" w:cs="Arial"/>
          <w:i/>
          <w:sz w:val="22"/>
        </w:rPr>
        <w:t xml:space="preserve">En estos casos, si bien lo procedente es la declaratoria de </w:t>
      </w:r>
      <w:r w:rsidRPr="00F2155F">
        <w:rPr>
          <w:rFonts w:ascii="Arial" w:hAnsi="Arial" w:cs="Arial"/>
          <w:i/>
          <w:iCs/>
          <w:sz w:val="22"/>
        </w:rPr>
        <w:t>“improcedencia”</w:t>
      </w:r>
      <w:r w:rsidRPr="00F2155F">
        <w:rPr>
          <w:rFonts w:ascii="Arial" w:hAnsi="Arial" w:cs="Arial"/>
          <w:i/>
          <w:sz w:val="22"/>
        </w:rPr>
        <w:t xml:space="preserve"> de las acciones de tutela indebidamente interpuestas, la actuación no se considera </w:t>
      </w:r>
      <w:r w:rsidRPr="00F2155F">
        <w:rPr>
          <w:rFonts w:ascii="Arial" w:hAnsi="Arial" w:cs="Arial"/>
          <w:i/>
          <w:iCs/>
          <w:sz w:val="22"/>
        </w:rPr>
        <w:t>“temeraria”</w:t>
      </w:r>
      <w:r w:rsidRPr="00F2155F">
        <w:rPr>
          <w:rFonts w:ascii="Arial" w:hAnsi="Arial" w:cs="Arial"/>
          <w:i/>
          <w:sz w:val="22"/>
        </w:rPr>
        <w:t xml:space="preserve"> y, por los mismo, no conduce a la imposición de sanción alguna en contra del </w:t>
      </w:r>
      <w:proofErr w:type="spellStart"/>
      <w:r w:rsidRPr="00F2155F">
        <w:rPr>
          <w:rFonts w:ascii="Arial" w:hAnsi="Arial" w:cs="Arial"/>
          <w:i/>
          <w:sz w:val="22"/>
        </w:rPr>
        <w:t>tutelante</w:t>
      </w:r>
      <w:proofErr w:type="spellEnd"/>
      <w:r>
        <w:rPr>
          <w:rFonts w:ascii="Arial" w:hAnsi="Arial" w:cs="Arial"/>
          <w:i/>
          <w:sz w:val="22"/>
        </w:rPr>
        <w:t xml:space="preserve"> (…)</w:t>
      </w:r>
      <w:r w:rsidRPr="00F2155F">
        <w:rPr>
          <w:rFonts w:ascii="Arial" w:hAnsi="Arial" w:cs="Arial"/>
          <w:sz w:val="22"/>
        </w:rPr>
        <w:t>”</w:t>
      </w:r>
      <w:r w:rsidRPr="00F2155F">
        <w:rPr>
          <w:rFonts w:ascii="Arial" w:hAnsi="Arial" w:cs="Arial"/>
        </w:rPr>
        <w:t>.</w:t>
      </w:r>
      <w:r>
        <w:rPr>
          <w:rFonts w:ascii="Arial" w:hAnsi="Arial" w:cs="Arial"/>
        </w:rPr>
        <w:t xml:space="preserve"> Criterio que la CSJ</w:t>
      </w:r>
      <w:r>
        <w:rPr>
          <w:rStyle w:val="Appelnotedebasdep"/>
          <w:rFonts w:ascii="Arial" w:hAnsi="Arial"/>
        </w:rPr>
        <w:footnoteReference w:id="38"/>
      </w:r>
      <w:r>
        <w:rPr>
          <w:rFonts w:ascii="Arial" w:hAnsi="Arial" w:cs="Arial"/>
        </w:rPr>
        <w:t xml:space="preserve"> comparte en su jurisprudencia. También precedente horizontal de esta Corporación</w:t>
      </w:r>
      <w:r>
        <w:rPr>
          <w:rStyle w:val="Appelnotedebasdep"/>
          <w:rFonts w:ascii="Arial" w:hAnsi="Arial"/>
        </w:rPr>
        <w:footnoteReference w:id="39"/>
      </w:r>
      <w:r>
        <w:rPr>
          <w:rFonts w:ascii="Arial" w:hAnsi="Arial" w:cs="Arial"/>
          <w:vertAlign w:val="superscript"/>
        </w:rPr>
        <w:t>-</w:t>
      </w:r>
      <w:r>
        <w:rPr>
          <w:rStyle w:val="Appelnotedebasdep"/>
          <w:rFonts w:ascii="Arial" w:hAnsi="Arial"/>
        </w:rPr>
        <w:footnoteReference w:id="40"/>
      </w:r>
      <w:r>
        <w:rPr>
          <w:rFonts w:ascii="Arial" w:hAnsi="Arial" w:cs="Arial"/>
        </w:rPr>
        <w:t xml:space="preserve">. </w:t>
      </w:r>
    </w:p>
    <w:p w:rsidR="003D6185" w:rsidRPr="007B7681" w:rsidRDefault="003D6185" w:rsidP="003D6185">
      <w:pPr>
        <w:pStyle w:val="Textopredeterminado"/>
        <w:spacing w:line="360" w:lineRule="auto"/>
        <w:jc w:val="both"/>
        <w:rPr>
          <w:rFonts w:ascii="Arial" w:hAnsi="Arial" w:cs="Arial"/>
          <w:color w:val="auto"/>
          <w:spacing w:val="-3"/>
          <w:sz w:val="20"/>
          <w:szCs w:val="24"/>
          <w:lang w:val="es-ES_tradnl"/>
        </w:rPr>
      </w:pPr>
    </w:p>
    <w:p w:rsidR="003D6185" w:rsidRDefault="003D6185" w:rsidP="003D6185">
      <w:pPr>
        <w:spacing w:line="360" w:lineRule="auto"/>
        <w:ind w:right="51"/>
        <w:jc w:val="both"/>
        <w:rPr>
          <w:rFonts w:ascii="Arial" w:hAnsi="Arial" w:cs="Arial"/>
        </w:rPr>
      </w:pPr>
      <w:r>
        <w:rPr>
          <w:rFonts w:ascii="Arial" w:hAnsi="Arial" w:cs="Arial"/>
        </w:rPr>
        <w:t xml:space="preserve">Finalmente con relación a la entrega de copia física de toda la actuación surtida, se considera que con la orden impartida en el proveído del día </w:t>
      </w:r>
      <w:r w:rsidR="003E253D">
        <w:rPr>
          <w:rFonts w:ascii="Arial" w:hAnsi="Arial" w:cs="Arial"/>
        </w:rPr>
        <w:t>26-10</w:t>
      </w:r>
      <w:r>
        <w:rPr>
          <w:rFonts w:ascii="Arial" w:hAnsi="Arial" w:cs="Arial"/>
        </w:rPr>
        <w:t xml:space="preserve">-2016 </w:t>
      </w:r>
      <w:r>
        <w:rPr>
          <w:rFonts w:ascii="Arial" w:hAnsi="Arial" w:cs="Arial"/>
          <w:iCs/>
          <w:color w:val="000000"/>
          <w:lang w:eastAsia="es-CO"/>
        </w:rPr>
        <w:t xml:space="preserve">(Folios </w:t>
      </w:r>
      <w:r w:rsidR="003E253D">
        <w:rPr>
          <w:rFonts w:ascii="Arial" w:hAnsi="Arial" w:cs="Arial"/>
          <w:iCs/>
          <w:color w:val="000000"/>
          <w:lang w:eastAsia="es-CO"/>
        </w:rPr>
        <w:t>4 y 5</w:t>
      </w:r>
      <w:r>
        <w:rPr>
          <w:rFonts w:ascii="Arial" w:hAnsi="Arial" w:cs="Arial"/>
          <w:iCs/>
          <w:color w:val="000000"/>
          <w:lang w:eastAsia="es-CO"/>
        </w:rPr>
        <w:t>, ib.)</w:t>
      </w:r>
      <w:r>
        <w:rPr>
          <w:rFonts w:ascii="Arial" w:hAnsi="Arial" w:cs="Arial"/>
        </w:rPr>
        <w:t xml:space="preserve">, en el sentido de escanearlas y remitirlas a su correo electrónico, se cumplió dicho pedimento. </w:t>
      </w:r>
    </w:p>
    <w:p w:rsidR="000B5596" w:rsidRDefault="000B5596" w:rsidP="00BC3C80">
      <w:pPr>
        <w:pStyle w:val="Textopredeterminado"/>
        <w:spacing w:line="360" w:lineRule="auto"/>
        <w:jc w:val="both"/>
        <w:rPr>
          <w:rFonts w:ascii="Arial" w:hAnsi="Arial"/>
          <w:szCs w:val="24"/>
        </w:rPr>
      </w:pPr>
    </w:p>
    <w:p w:rsidR="006E3281" w:rsidRPr="003E253D" w:rsidRDefault="003E253D" w:rsidP="003E253D">
      <w:pPr>
        <w:pStyle w:val="Corpsdetexte"/>
        <w:numPr>
          <w:ilvl w:val="0"/>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mallCaps/>
          <w:szCs w:val="24"/>
        </w:rPr>
      </w:pPr>
      <w:r>
        <w:rPr>
          <w:rFonts w:ascii="Arial" w:hAnsi="Arial" w:cs="Arial"/>
          <w:smallCaps/>
          <w:sz w:val="28"/>
          <w:szCs w:val="24"/>
        </w:rPr>
        <w:t>L</w:t>
      </w:r>
      <w:r w:rsidRPr="003E253D">
        <w:rPr>
          <w:rFonts w:ascii="Arial" w:hAnsi="Arial" w:cs="Arial"/>
          <w:smallCaps/>
          <w:sz w:val="28"/>
          <w:szCs w:val="24"/>
        </w:rPr>
        <w:t xml:space="preserve">as conclusiones </w:t>
      </w:r>
    </w:p>
    <w:p w:rsidR="006E3281" w:rsidRPr="000F5F85" w:rsidRDefault="006E3281" w:rsidP="006E3281">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 w:val="22"/>
          <w:szCs w:val="24"/>
        </w:rPr>
      </w:pPr>
    </w:p>
    <w:p w:rsidR="00BF72EF" w:rsidRDefault="006E3281" w:rsidP="00BF72E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r w:rsidRPr="00951700">
        <w:rPr>
          <w:rFonts w:ascii="Arial" w:hAnsi="Arial"/>
        </w:rPr>
        <w:t>En armonía con las premisas expuestas en los acápites anteriores</w:t>
      </w:r>
      <w:r w:rsidR="00BF72EF" w:rsidRPr="00E538DC">
        <w:rPr>
          <w:rFonts w:ascii="Arial" w:hAnsi="Arial" w:cs="Arial"/>
        </w:rPr>
        <w:t xml:space="preserve">: (i) Se declarará improcedente </w:t>
      </w:r>
      <w:r w:rsidR="003E253D">
        <w:rPr>
          <w:rFonts w:ascii="Arial" w:hAnsi="Arial" w:cs="Arial"/>
        </w:rPr>
        <w:t xml:space="preserve">la acción </w:t>
      </w:r>
      <w:r w:rsidR="00BF72EF" w:rsidRPr="00E538DC">
        <w:rPr>
          <w:rFonts w:ascii="Arial" w:hAnsi="Arial" w:cs="Arial"/>
        </w:rPr>
        <w:t xml:space="preserve">constitucional frente al Juzgado </w:t>
      </w:r>
      <w:r w:rsidR="00934393">
        <w:rPr>
          <w:rFonts w:ascii="Arial" w:hAnsi="Arial" w:cs="Arial"/>
        </w:rPr>
        <w:t>Cuarto</w:t>
      </w:r>
      <w:r w:rsidR="00BF72EF" w:rsidRPr="00E538DC">
        <w:rPr>
          <w:rFonts w:ascii="Arial" w:hAnsi="Arial" w:cs="Arial"/>
        </w:rPr>
        <w:t xml:space="preserve"> Civil del Circuito de Pereira con estribo en que se incumplió el presupuesto de subsidiariedad;</w:t>
      </w:r>
      <w:r w:rsidR="00BF72EF">
        <w:rPr>
          <w:rFonts w:ascii="Arial" w:hAnsi="Arial" w:cs="Arial"/>
        </w:rPr>
        <w:t xml:space="preserve"> (ii) </w:t>
      </w:r>
      <w:r w:rsidR="003E253D">
        <w:rPr>
          <w:rFonts w:ascii="Arial" w:hAnsi="Arial" w:cs="Arial"/>
        </w:rPr>
        <w:t xml:space="preserve">Se declarará improcedente frente a </w:t>
      </w:r>
      <w:r w:rsidR="00BF72EF">
        <w:rPr>
          <w:rFonts w:ascii="Arial" w:hAnsi="Arial" w:cs="Arial"/>
        </w:rPr>
        <w:t xml:space="preserve">la Defensoría del Pueblo, Regional Caldas </w:t>
      </w:r>
      <w:r w:rsidR="003E253D">
        <w:rPr>
          <w:rFonts w:ascii="Arial" w:hAnsi="Arial" w:cs="Arial"/>
        </w:rPr>
        <w:t xml:space="preserve">y el aludido despacho judicial </w:t>
      </w:r>
      <w:r w:rsidR="00BF72EF" w:rsidRPr="002128C2">
        <w:rPr>
          <w:rFonts w:ascii="Arial" w:hAnsi="Arial"/>
        </w:rPr>
        <w:t>por haberse verificado la duplicidad de la acciones de tutela, sin que haya lugar a imponer multa, según se anotó</w:t>
      </w:r>
      <w:r w:rsidR="003E253D">
        <w:rPr>
          <w:rFonts w:ascii="Arial" w:hAnsi="Arial" w:cs="Arial"/>
        </w:rPr>
        <w:t xml:space="preserve">; </w:t>
      </w:r>
      <w:r w:rsidR="00BF72EF">
        <w:rPr>
          <w:rFonts w:ascii="Arial" w:hAnsi="Arial" w:cs="Arial"/>
        </w:rPr>
        <w:t xml:space="preserve">(iii) </w:t>
      </w:r>
      <w:r w:rsidR="003E253D">
        <w:rPr>
          <w:rFonts w:ascii="Arial" w:hAnsi="Arial" w:cs="Arial"/>
        </w:rPr>
        <w:t xml:space="preserve">Se declarará improcedente contra </w:t>
      </w:r>
      <w:r w:rsidR="00BF72EF" w:rsidRPr="00E538DC">
        <w:rPr>
          <w:rFonts w:ascii="Arial" w:hAnsi="Arial" w:cs="Arial"/>
        </w:rPr>
        <w:t xml:space="preserve">la Procuraduría General de la Nación y la Defensoría del Pueblo, Regionales de </w:t>
      </w:r>
      <w:r w:rsidR="00BF72EF">
        <w:rPr>
          <w:rFonts w:ascii="Arial" w:hAnsi="Arial" w:cs="Arial"/>
        </w:rPr>
        <w:t>Risaralda</w:t>
      </w:r>
      <w:r w:rsidR="00BF72EF" w:rsidRPr="00E538DC">
        <w:rPr>
          <w:rFonts w:ascii="Arial" w:hAnsi="Arial" w:cs="Arial"/>
        </w:rPr>
        <w:t xml:space="preserve">, y, la Alcaldía y Personería de </w:t>
      </w:r>
      <w:r w:rsidR="00BF72EF">
        <w:rPr>
          <w:rFonts w:ascii="Arial" w:hAnsi="Arial" w:cs="Arial"/>
        </w:rPr>
        <w:t xml:space="preserve">Pereira, por carecer de </w:t>
      </w:r>
      <w:r w:rsidR="008C1E61">
        <w:rPr>
          <w:rFonts w:ascii="Arial" w:hAnsi="Arial" w:cs="Arial"/>
        </w:rPr>
        <w:t>legitimación; y, (iv) Se negará</w:t>
      </w:r>
      <w:r w:rsidR="00BF72EF">
        <w:rPr>
          <w:rFonts w:ascii="Arial" w:hAnsi="Arial" w:cs="Arial"/>
        </w:rPr>
        <w:t xml:space="preserve"> respecto </w:t>
      </w:r>
      <w:r w:rsidR="008C1E61">
        <w:rPr>
          <w:rFonts w:ascii="Arial" w:hAnsi="Arial" w:cs="Arial"/>
        </w:rPr>
        <w:t>de la EPS SURA</w:t>
      </w:r>
      <w:r w:rsidR="00BF72EF">
        <w:rPr>
          <w:rFonts w:ascii="Arial" w:hAnsi="Arial" w:cs="Arial"/>
        </w:rPr>
        <w:t xml:space="preserve"> conforme lo dicho en el acápite de legitimación.</w:t>
      </w:r>
    </w:p>
    <w:p w:rsidR="00D07BE1" w:rsidRPr="00A30437" w:rsidRDefault="00D07BE1" w:rsidP="00D07BE1">
      <w:pPr>
        <w:spacing w:line="360" w:lineRule="auto"/>
        <w:ind w:right="51"/>
        <w:jc w:val="both"/>
        <w:rPr>
          <w:rFonts w:ascii="Arial" w:hAnsi="Arial" w:cs="Arial"/>
        </w:rPr>
      </w:pPr>
    </w:p>
    <w:p w:rsidR="006E3281" w:rsidRDefault="006E3281" w:rsidP="006E3281">
      <w:pPr>
        <w:tabs>
          <w:tab w:val="left" w:pos="-720"/>
        </w:tabs>
        <w:suppressAutoHyphens/>
        <w:spacing w:line="360" w:lineRule="auto"/>
        <w:jc w:val="both"/>
        <w:rPr>
          <w:rFonts w:ascii="Arial" w:hAnsi="Arial" w:cs="Arial"/>
        </w:rPr>
      </w:pPr>
      <w:r w:rsidRPr="00D108C2">
        <w:rPr>
          <w:rFonts w:ascii="Arial" w:hAnsi="Arial" w:cs="Arial"/>
        </w:rPr>
        <w:t xml:space="preserve">En mérito de lo expuesto, el </w:t>
      </w:r>
      <w:r w:rsidRPr="00D108C2">
        <w:rPr>
          <w:rFonts w:ascii="Arial" w:hAnsi="Arial" w:cs="Arial"/>
          <w:bCs/>
          <w:smallCaps/>
        </w:rPr>
        <w:t xml:space="preserve">Tribunal Superior del Distrito Judicial de </w:t>
      </w:r>
      <w:r>
        <w:rPr>
          <w:rFonts w:ascii="Arial" w:hAnsi="Arial" w:cs="Arial"/>
          <w:bCs/>
          <w:smallCaps/>
        </w:rPr>
        <w:t>P</w:t>
      </w:r>
      <w:r w:rsidRPr="00D108C2">
        <w:rPr>
          <w:rFonts w:ascii="Arial" w:hAnsi="Arial" w:cs="Arial"/>
          <w:bCs/>
          <w:smallCaps/>
        </w:rPr>
        <w:t>e</w:t>
      </w:r>
      <w:r>
        <w:rPr>
          <w:rFonts w:ascii="Arial" w:hAnsi="Arial" w:cs="Arial"/>
          <w:bCs/>
          <w:smallCaps/>
        </w:rPr>
        <w:t xml:space="preserve">reira, </w:t>
      </w:r>
      <w:r w:rsidRPr="00D108C2">
        <w:rPr>
          <w:rFonts w:ascii="Arial" w:hAnsi="Arial" w:cs="Arial"/>
          <w:bCs/>
          <w:smallCaps/>
        </w:rPr>
        <w:t>Sala de Decisión</w:t>
      </w:r>
      <w:r>
        <w:rPr>
          <w:rFonts w:ascii="Arial" w:hAnsi="Arial" w:cs="Arial"/>
          <w:bCs/>
          <w:smallCaps/>
        </w:rPr>
        <w:t xml:space="preserve"> Civil -Familia</w:t>
      </w:r>
      <w:r w:rsidRPr="00D108C2">
        <w:rPr>
          <w:rFonts w:ascii="Arial" w:hAnsi="Arial" w:cs="Arial"/>
        </w:rPr>
        <w:t>, administrando Justicia, en nombre de la República y por autoridad de la Ley,</w:t>
      </w:r>
    </w:p>
    <w:p w:rsidR="006E3281" w:rsidRPr="006E3281" w:rsidRDefault="006E3281" w:rsidP="006E3281">
      <w:pPr>
        <w:pStyle w:val="Corpsdetexte"/>
        <w:spacing w:line="360" w:lineRule="auto"/>
        <w:jc w:val="center"/>
        <w:rPr>
          <w:rFonts w:ascii="Arial" w:hAnsi="Arial" w:cs="Arial"/>
          <w:bCs/>
          <w:smallCaps/>
          <w:szCs w:val="24"/>
        </w:rPr>
      </w:pPr>
      <w:r w:rsidRPr="006E3281">
        <w:rPr>
          <w:rFonts w:ascii="Arial" w:hAnsi="Arial" w:cs="Arial"/>
          <w:bCs/>
          <w:smallCaps/>
          <w:szCs w:val="24"/>
        </w:rPr>
        <w:lastRenderedPageBreak/>
        <w:t xml:space="preserve">F A L </w:t>
      </w:r>
      <w:proofErr w:type="spellStart"/>
      <w:r w:rsidRPr="006E3281">
        <w:rPr>
          <w:rFonts w:ascii="Arial" w:hAnsi="Arial" w:cs="Arial"/>
          <w:bCs/>
          <w:smallCaps/>
          <w:szCs w:val="24"/>
        </w:rPr>
        <w:t>L</w:t>
      </w:r>
      <w:proofErr w:type="spellEnd"/>
      <w:r w:rsidRPr="006E3281">
        <w:rPr>
          <w:rFonts w:ascii="Arial" w:hAnsi="Arial" w:cs="Arial"/>
          <w:bCs/>
          <w:smallCaps/>
          <w:szCs w:val="24"/>
        </w:rPr>
        <w:t xml:space="preserve"> A,</w:t>
      </w:r>
    </w:p>
    <w:p w:rsidR="006E3281" w:rsidRPr="006E3281" w:rsidRDefault="006E3281" w:rsidP="006E3281">
      <w:pPr>
        <w:pStyle w:val="Corpsdetexte"/>
        <w:spacing w:line="360" w:lineRule="auto"/>
        <w:jc w:val="center"/>
        <w:rPr>
          <w:rFonts w:ascii="Arial" w:hAnsi="Arial" w:cs="Arial"/>
          <w:bCs/>
          <w:smallCaps/>
          <w:szCs w:val="24"/>
        </w:rPr>
      </w:pPr>
    </w:p>
    <w:p w:rsidR="006E3281" w:rsidRPr="00F04FAF" w:rsidRDefault="00BF72EF" w:rsidP="00F04FAF">
      <w:pPr>
        <w:pStyle w:val="Paragraphedeliste"/>
        <w:numPr>
          <w:ilvl w:val="0"/>
          <w:numId w:val="6"/>
        </w:numPr>
        <w:tabs>
          <w:tab w:val="clear" w:pos="786"/>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Pr>
          <w:rFonts w:ascii="Arial" w:hAnsi="Arial" w:cs="Arial"/>
        </w:rPr>
        <w:t xml:space="preserve">DECLARAR improcedentes las tutelas propuestas por el señor Javier Elías Arias </w:t>
      </w:r>
      <w:proofErr w:type="spellStart"/>
      <w:r>
        <w:rPr>
          <w:rFonts w:ascii="Arial" w:hAnsi="Arial" w:cs="Arial"/>
        </w:rPr>
        <w:t>Idárraga</w:t>
      </w:r>
      <w:proofErr w:type="spellEnd"/>
      <w:r>
        <w:rPr>
          <w:rFonts w:ascii="Arial" w:hAnsi="Arial" w:cs="Arial"/>
        </w:rPr>
        <w:t xml:space="preserve"> contra el Juzgado </w:t>
      </w:r>
      <w:r w:rsidR="00934393">
        <w:rPr>
          <w:rFonts w:ascii="Arial" w:hAnsi="Arial" w:cs="Arial"/>
        </w:rPr>
        <w:t>Cuarto</w:t>
      </w:r>
      <w:r>
        <w:rPr>
          <w:rFonts w:ascii="Arial" w:hAnsi="Arial" w:cs="Arial"/>
        </w:rPr>
        <w:t xml:space="preserve"> Civil del Circuito de Pereira, la Defensoría del Pueblo, Regional Caldas, la Defensoría del Pueblo y la Procuraduría General de la Nación, Regionales de Risaralda, y, la Alcaldía y Personería de Pereira</w:t>
      </w:r>
      <w:r w:rsidR="006E3281" w:rsidRPr="00BF1DAC">
        <w:rPr>
          <w:rFonts w:ascii="Arial" w:hAnsi="Arial" w:cs="Arial"/>
        </w:rPr>
        <w:t>.</w:t>
      </w:r>
    </w:p>
    <w:p w:rsidR="00976AB5" w:rsidRPr="000F5F85" w:rsidRDefault="00976AB5" w:rsidP="006E3281">
      <w:pPr>
        <w:pStyle w:val="Paragraphedeliste"/>
        <w:widowControl/>
        <w:tabs>
          <w:tab w:val="left" w:pos="0"/>
          <w:tab w:val="left" w:pos="142"/>
          <w:tab w:val="num" w:pos="720"/>
          <w:tab w:val="left" w:pos="4956"/>
          <w:tab w:val="left" w:pos="5664"/>
          <w:tab w:val="left" w:pos="6372"/>
          <w:tab w:val="left" w:pos="7080"/>
          <w:tab w:val="left" w:pos="7788"/>
          <w:tab w:val="left" w:pos="7920"/>
        </w:tabs>
        <w:suppressAutoHyphens/>
        <w:overflowPunct w:val="0"/>
        <w:autoSpaceDE/>
        <w:autoSpaceDN/>
        <w:adjustRightInd/>
        <w:spacing w:line="360" w:lineRule="auto"/>
        <w:ind w:left="0"/>
        <w:contextualSpacing/>
        <w:jc w:val="both"/>
        <w:textAlignment w:val="baseline"/>
        <w:rPr>
          <w:rFonts w:ascii="Arial" w:hAnsi="Arial"/>
          <w:spacing w:val="-3"/>
          <w:sz w:val="22"/>
          <w:lang w:val="es-ES_tradnl"/>
        </w:rPr>
      </w:pPr>
    </w:p>
    <w:p w:rsidR="00976AB5" w:rsidRPr="003C1983" w:rsidRDefault="00BF72EF" w:rsidP="00976AB5">
      <w:pPr>
        <w:pStyle w:val="Corpsdetexte"/>
        <w:numPr>
          <w:ilvl w:val="0"/>
          <w:numId w:val="6"/>
        </w:numPr>
        <w:tabs>
          <w:tab w:val="clear" w:pos="708"/>
          <w:tab w:val="clear" w:pos="786"/>
          <w:tab w:val="num" w:pos="360"/>
        </w:tabs>
        <w:spacing w:line="360" w:lineRule="auto"/>
        <w:ind w:left="360"/>
        <w:rPr>
          <w:rFonts w:ascii="Arial" w:hAnsi="Arial" w:cs="Arial"/>
          <w:szCs w:val="24"/>
        </w:rPr>
      </w:pPr>
      <w:r>
        <w:rPr>
          <w:rFonts w:ascii="Arial" w:hAnsi="Arial" w:cs="Arial"/>
        </w:rPr>
        <w:t xml:space="preserve">NEGAR los amparos constitucionales frente </w:t>
      </w:r>
      <w:r w:rsidR="008C1E61">
        <w:rPr>
          <w:rFonts w:ascii="Arial" w:hAnsi="Arial" w:cs="Arial"/>
        </w:rPr>
        <w:t>a la EPS SURA</w:t>
      </w:r>
      <w:r w:rsidR="00976AB5" w:rsidRPr="003C1983">
        <w:rPr>
          <w:rFonts w:ascii="Arial" w:hAnsi="Arial" w:cs="Arial"/>
          <w:szCs w:val="24"/>
        </w:rPr>
        <w:t>.</w:t>
      </w:r>
    </w:p>
    <w:p w:rsidR="000827E2" w:rsidRPr="00F04FAF" w:rsidRDefault="000827E2" w:rsidP="00F04FAF">
      <w:pPr>
        <w:rPr>
          <w:rFonts w:ascii="Arial" w:hAnsi="Arial" w:cs="Arial"/>
        </w:rPr>
      </w:pPr>
    </w:p>
    <w:p w:rsidR="006E3281" w:rsidRPr="000F5F85" w:rsidRDefault="006E3281" w:rsidP="000F5F85">
      <w:pPr>
        <w:pStyle w:val="Paragraphedeliste"/>
        <w:widowControl/>
        <w:numPr>
          <w:ilvl w:val="0"/>
          <w:numId w:val="6"/>
        </w:numPr>
        <w:tabs>
          <w:tab w:val="left" w:pos="0"/>
          <w:tab w:val="left" w:pos="142"/>
          <w:tab w:val="num" w:pos="360"/>
          <w:tab w:val="num" w:pos="426"/>
          <w:tab w:val="left" w:pos="4956"/>
          <w:tab w:val="left" w:pos="5664"/>
          <w:tab w:val="left" w:pos="6372"/>
          <w:tab w:val="left" w:pos="7080"/>
          <w:tab w:val="left" w:pos="7788"/>
          <w:tab w:val="left" w:pos="7920"/>
        </w:tabs>
        <w:suppressAutoHyphens/>
        <w:overflowPunct w:val="0"/>
        <w:autoSpaceDE/>
        <w:autoSpaceDN/>
        <w:adjustRightInd/>
        <w:spacing w:line="360" w:lineRule="auto"/>
        <w:ind w:left="0" w:firstLine="0"/>
        <w:contextualSpacing/>
        <w:jc w:val="both"/>
        <w:textAlignment w:val="baseline"/>
        <w:rPr>
          <w:rFonts w:ascii="Arial" w:hAnsi="Arial"/>
          <w:spacing w:val="-3"/>
          <w:lang w:val="es-ES_tradnl"/>
        </w:rPr>
      </w:pPr>
      <w:r w:rsidRPr="000F5F85">
        <w:rPr>
          <w:rFonts w:ascii="Arial" w:hAnsi="Arial"/>
          <w:spacing w:val="-3"/>
          <w:lang w:val="es-ES_tradnl"/>
        </w:rPr>
        <w:t>NOTIFICAR esta decisión a todas las partes, por el medio más expedito y eficaz.</w:t>
      </w:r>
    </w:p>
    <w:p w:rsidR="006E3281" w:rsidRPr="000F5F85" w:rsidRDefault="006E3281" w:rsidP="000F5F85">
      <w:pPr>
        <w:pStyle w:val="Paragraphedeliste"/>
        <w:widowControl/>
        <w:tabs>
          <w:tab w:val="left" w:pos="0"/>
          <w:tab w:val="left" w:pos="142"/>
          <w:tab w:val="num" w:pos="426"/>
          <w:tab w:val="left" w:pos="4956"/>
          <w:tab w:val="left" w:pos="5664"/>
          <w:tab w:val="left" w:pos="6372"/>
          <w:tab w:val="left" w:pos="7080"/>
          <w:tab w:val="left" w:pos="7788"/>
          <w:tab w:val="left" w:pos="7920"/>
        </w:tabs>
        <w:suppressAutoHyphens/>
        <w:overflowPunct w:val="0"/>
        <w:autoSpaceDE/>
        <w:autoSpaceDN/>
        <w:adjustRightInd/>
        <w:spacing w:line="360" w:lineRule="auto"/>
        <w:ind w:left="0"/>
        <w:contextualSpacing/>
        <w:jc w:val="both"/>
        <w:textAlignment w:val="baseline"/>
        <w:rPr>
          <w:rFonts w:ascii="Arial" w:hAnsi="Arial"/>
          <w:spacing w:val="-3"/>
          <w:sz w:val="22"/>
          <w:lang w:val="es-ES_tradnl"/>
        </w:rPr>
      </w:pPr>
    </w:p>
    <w:p w:rsidR="006E3281" w:rsidRDefault="006E3281" w:rsidP="000F5F85">
      <w:pPr>
        <w:pStyle w:val="Paragraphedeliste"/>
        <w:widowControl/>
        <w:numPr>
          <w:ilvl w:val="0"/>
          <w:numId w:val="6"/>
        </w:numPr>
        <w:tabs>
          <w:tab w:val="left" w:pos="0"/>
          <w:tab w:val="left" w:pos="142"/>
          <w:tab w:val="num" w:pos="360"/>
          <w:tab w:val="num" w:pos="426"/>
          <w:tab w:val="left" w:pos="4956"/>
          <w:tab w:val="left" w:pos="5664"/>
          <w:tab w:val="left" w:pos="6372"/>
          <w:tab w:val="left" w:pos="7080"/>
          <w:tab w:val="left" w:pos="7788"/>
          <w:tab w:val="left" w:pos="7920"/>
        </w:tabs>
        <w:suppressAutoHyphens/>
        <w:overflowPunct w:val="0"/>
        <w:autoSpaceDE/>
        <w:autoSpaceDN/>
        <w:adjustRightInd/>
        <w:spacing w:line="360" w:lineRule="auto"/>
        <w:ind w:left="0" w:firstLine="0"/>
        <w:contextualSpacing/>
        <w:jc w:val="both"/>
        <w:textAlignment w:val="baseline"/>
        <w:rPr>
          <w:rFonts w:ascii="Arial" w:hAnsi="Arial"/>
          <w:spacing w:val="-3"/>
          <w:lang w:val="es-ES_tradnl"/>
        </w:rPr>
      </w:pPr>
      <w:r w:rsidRPr="000F5F85">
        <w:rPr>
          <w:rFonts w:ascii="Arial" w:hAnsi="Arial"/>
          <w:spacing w:val="-3"/>
          <w:lang w:val="es-ES_tradnl"/>
        </w:rPr>
        <w:t>REMITIR este expediente, a la Corte Constitucional para su eventual revisión.</w:t>
      </w:r>
    </w:p>
    <w:p w:rsidR="00023B2D" w:rsidRPr="00023B2D" w:rsidRDefault="00023B2D" w:rsidP="00023B2D">
      <w:pPr>
        <w:pStyle w:val="Paragraphedeliste"/>
        <w:rPr>
          <w:rFonts w:ascii="Arial" w:hAnsi="Arial"/>
          <w:spacing w:val="-3"/>
          <w:lang w:val="es-ES_tradnl"/>
        </w:rPr>
      </w:pPr>
    </w:p>
    <w:p w:rsidR="001F4C1B" w:rsidRPr="000F5F85" w:rsidRDefault="001F4C1B" w:rsidP="000F5F85">
      <w:pPr>
        <w:pStyle w:val="Paragraphedeliste"/>
        <w:widowControl/>
        <w:numPr>
          <w:ilvl w:val="0"/>
          <w:numId w:val="6"/>
        </w:numPr>
        <w:tabs>
          <w:tab w:val="left" w:pos="0"/>
          <w:tab w:val="left" w:pos="142"/>
          <w:tab w:val="num" w:pos="360"/>
          <w:tab w:val="num" w:pos="426"/>
          <w:tab w:val="left" w:pos="4956"/>
          <w:tab w:val="left" w:pos="5664"/>
          <w:tab w:val="left" w:pos="6372"/>
          <w:tab w:val="left" w:pos="7080"/>
          <w:tab w:val="left" w:pos="7788"/>
          <w:tab w:val="left" w:pos="7920"/>
        </w:tabs>
        <w:suppressAutoHyphens/>
        <w:overflowPunct w:val="0"/>
        <w:autoSpaceDE/>
        <w:autoSpaceDN/>
        <w:adjustRightInd/>
        <w:spacing w:line="360" w:lineRule="auto"/>
        <w:ind w:left="0" w:firstLine="0"/>
        <w:contextualSpacing/>
        <w:jc w:val="both"/>
        <w:textAlignment w:val="baseline"/>
        <w:rPr>
          <w:rFonts w:ascii="Arial" w:hAnsi="Arial"/>
          <w:spacing w:val="-3"/>
          <w:lang w:val="es-ES_tradnl"/>
        </w:rPr>
      </w:pPr>
      <w:r w:rsidRPr="000F5F85">
        <w:rPr>
          <w:rFonts w:ascii="Arial" w:hAnsi="Arial"/>
          <w:spacing w:val="-3"/>
          <w:lang w:val="es-ES_tradnl"/>
        </w:rPr>
        <w:t>ORDENAR el archivo del expediente, surtidos los trámites anteriores.</w:t>
      </w:r>
    </w:p>
    <w:p w:rsidR="00984EE4" w:rsidRPr="00FB72A5" w:rsidRDefault="00984EE4" w:rsidP="00126266">
      <w:pPr>
        <w:pStyle w:val="Corpsdetexte"/>
        <w:spacing w:line="360" w:lineRule="auto"/>
        <w:jc w:val="center"/>
        <w:rPr>
          <w:rFonts w:ascii="Arial" w:hAnsi="Arial"/>
          <w:smallCaps/>
          <w:sz w:val="20"/>
          <w:szCs w:val="24"/>
        </w:rPr>
      </w:pPr>
    </w:p>
    <w:p w:rsidR="00126266" w:rsidRPr="001B6BBA" w:rsidRDefault="00126266" w:rsidP="00126266">
      <w:pPr>
        <w:pStyle w:val="Corpsdetexte"/>
        <w:spacing w:line="360" w:lineRule="auto"/>
        <w:jc w:val="center"/>
        <w:rPr>
          <w:rFonts w:ascii="Arial" w:hAnsi="Arial"/>
          <w:smallCaps/>
          <w:szCs w:val="24"/>
          <w:lang w:val="en-US"/>
        </w:rPr>
      </w:pPr>
      <w:proofErr w:type="spellStart"/>
      <w:r w:rsidRPr="001B6BBA">
        <w:rPr>
          <w:rFonts w:ascii="Arial" w:hAnsi="Arial"/>
          <w:smallCaps/>
          <w:szCs w:val="24"/>
          <w:lang w:val="en-US"/>
        </w:rPr>
        <w:t>Notifíquese</w:t>
      </w:r>
      <w:proofErr w:type="spellEnd"/>
      <w:r w:rsidRPr="001B6BBA">
        <w:rPr>
          <w:rFonts w:ascii="Arial" w:hAnsi="Arial"/>
          <w:smallCaps/>
          <w:szCs w:val="24"/>
          <w:lang w:val="en-US"/>
        </w:rPr>
        <w:t>,</w:t>
      </w:r>
    </w:p>
    <w:p w:rsidR="000848A3" w:rsidRPr="001B6BBA" w:rsidRDefault="000848A3" w:rsidP="00C641FE">
      <w:pPr>
        <w:pStyle w:val="Corpsdetexte"/>
        <w:spacing w:line="360" w:lineRule="auto"/>
        <w:jc w:val="center"/>
        <w:rPr>
          <w:rFonts w:ascii="Arial" w:hAnsi="Arial"/>
          <w:lang w:val="en-US"/>
        </w:rPr>
      </w:pPr>
    </w:p>
    <w:p w:rsidR="000006D6" w:rsidRPr="006E005D" w:rsidRDefault="000006D6" w:rsidP="00017666">
      <w:pPr>
        <w:pStyle w:val="Corpsdetexte"/>
        <w:spacing w:line="360" w:lineRule="auto"/>
        <w:rPr>
          <w:sz w:val="36"/>
          <w:lang w:val="en-GB"/>
        </w:rPr>
      </w:pPr>
    </w:p>
    <w:p w:rsidR="00951517" w:rsidRPr="001B6BBA"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n-US"/>
        </w:rPr>
      </w:pPr>
      <w:proofErr w:type="spellStart"/>
      <w:r w:rsidRPr="001B6BBA">
        <w:rPr>
          <w:rFonts w:ascii="Arial" w:hAnsi="Arial" w:cs="Arial"/>
          <w:i/>
          <w:spacing w:val="-3"/>
          <w:w w:val="150"/>
          <w:sz w:val="28"/>
          <w:lang w:val="en-US"/>
        </w:rPr>
        <w:t>D</w:t>
      </w:r>
      <w:r w:rsidRPr="001B6BBA">
        <w:rPr>
          <w:rFonts w:ascii="Arial" w:hAnsi="Arial" w:cs="Arial"/>
          <w:i/>
          <w:spacing w:val="-3"/>
          <w:w w:val="150"/>
          <w:sz w:val="18"/>
          <w:szCs w:val="16"/>
          <w:lang w:val="en-US"/>
        </w:rPr>
        <w:t>UBERNEY</w:t>
      </w:r>
      <w:proofErr w:type="spellEnd"/>
      <w:r w:rsidRPr="001B6BBA">
        <w:rPr>
          <w:rFonts w:ascii="Arial" w:hAnsi="Arial" w:cs="Arial"/>
          <w:i/>
          <w:spacing w:val="-3"/>
          <w:w w:val="150"/>
          <w:sz w:val="18"/>
          <w:szCs w:val="16"/>
          <w:lang w:val="en-US"/>
        </w:rPr>
        <w:t xml:space="preserve"> </w:t>
      </w:r>
      <w:proofErr w:type="spellStart"/>
      <w:r w:rsidRPr="001B6BBA">
        <w:rPr>
          <w:rFonts w:ascii="Arial" w:hAnsi="Arial" w:cs="Arial"/>
          <w:i/>
          <w:spacing w:val="-3"/>
          <w:w w:val="150"/>
          <w:sz w:val="28"/>
          <w:lang w:val="en-US"/>
        </w:rPr>
        <w:t>G</w:t>
      </w:r>
      <w:r w:rsidRPr="001B6BBA">
        <w:rPr>
          <w:rFonts w:ascii="Arial" w:hAnsi="Arial" w:cs="Arial"/>
          <w:i/>
          <w:spacing w:val="-3"/>
          <w:w w:val="150"/>
          <w:sz w:val="18"/>
          <w:szCs w:val="16"/>
          <w:lang w:val="en-US"/>
        </w:rPr>
        <w:t>RISALES</w:t>
      </w:r>
      <w:proofErr w:type="spellEnd"/>
      <w:r w:rsidRPr="001B6BBA">
        <w:rPr>
          <w:rFonts w:ascii="Arial" w:hAnsi="Arial" w:cs="Arial"/>
          <w:i/>
          <w:spacing w:val="-3"/>
          <w:w w:val="150"/>
          <w:sz w:val="18"/>
          <w:szCs w:val="16"/>
          <w:lang w:val="en-US"/>
        </w:rPr>
        <w:t xml:space="preserve"> </w:t>
      </w:r>
      <w:r w:rsidRPr="001B6BBA">
        <w:rPr>
          <w:rFonts w:ascii="Arial" w:hAnsi="Arial" w:cs="Arial"/>
          <w:i/>
          <w:spacing w:val="-3"/>
          <w:w w:val="150"/>
          <w:sz w:val="28"/>
          <w:lang w:val="en-US"/>
        </w:rPr>
        <w:t>H</w:t>
      </w:r>
      <w:r w:rsidRPr="001B6BBA">
        <w:rPr>
          <w:rFonts w:ascii="Arial" w:hAnsi="Arial" w:cs="Arial"/>
          <w:i/>
          <w:spacing w:val="-3"/>
          <w:w w:val="150"/>
          <w:sz w:val="18"/>
          <w:szCs w:val="16"/>
          <w:lang w:val="en-US"/>
        </w:rPr>
        <w:t>ERRERA</w:t>
      </w:r>
    </w:p>
    <w:p w:rsidR="00951517" w:rsidRPr="001B6BBA"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n-US"/>
        </w:rPr>
      </w:pPr>
      <w:r w:rsidRPr="001B6BBA">
        <w:rPr>
          <w:rFonts w:ascii="Arial" w:hAnsi="Arial" w:cs="Arial"/>
          <w:i/>
          <w:spacing w:val="-3"/>
          <w:w w:val="150"/>
          <w:sz w:val="28"/>
          <w:lang w:val="en-US"/>
        </w:rPr>
        <w:t>M</w:t>
      </w:r>
      <w:r w:rsidRPr="001B6BBA">
        <w:rPr>
          <w:rFonts w:ascii="Arial" w:hAnsi="Arial" w:cs="Arial"/>
          <w:i/>
          <w:spacing w:val="-3"/>
          <w:w w:val="150"/>
          <w:lang w:val="en-US"/>
        </w:rPr>
        <w:t xml:space="preserve"> </w:t>
      </w:r>
      <w:r w:rsidRPr="001B6BBA">
        <w:rPr>
          <w:rFonts w:ascii="Arial" w:hAnsi="Arial" w:cs="Arial"/>
          <w:i/>
          <w:spacing w:val="-3"/>
          <w:w w:val="150"/>
          <w:sz w:val="18"/>
          <w:szCs w:val="20"/>
          <w:lang w:val="en-US"/>
        </w:rPr>
        <w:t>A G I S T R A D O</w:t>
      </w:r>
    </w:p>
    <w:p w:rsidR="000848A3" w:rsidRPr="00EE5838" w:rsidRDefault="000848A3"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36"/>
          <w:szCs w:val="18"/>
          <w:lang w:val="en-US"/>
        </w:rPr>
      </w:pPr>
    </w:p>
    <w:p w:rsidR="00017666" w:rsidRPr="003561E9" w:rsidRDefault="00017666"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32"/>
          <w:szCs w:val="18"/>
          <w:lang w:val="en-US"/>
        </w:rPr>
      </w:pPr>
    </w:p>
    <w:p w:rsidR="00951517" w:rsidRPr="001B6BBA"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n-US"/>
        </w:rPr>
      </w:pPr>
      <w:r w:rsidRPr="001B6BBA">
        <w:rPr>
          <w:rFonts w:ascii="Arial" w:hAnsi="Arial"/>
          <w:i/>
          <w:w w:val="150"/>
          <w:sz w:val="28"/>
          <w:szCs w:val="18"/>
          <w:lang w:val="en-US"/>
        </w:rPr>
        <w:t>E</w:t>
      </w:r>
      <w:r w:rsidRPr="001B6BBA">
        <w:rPr>
          <w:rFonts w:ascii="Arial" w:hAnsi="Arial"/>
          <w:i/>
          <w:w w:val="150"/>
          <w:sz w:val="18"/>
          <w:szCs w:val="18"/>
          <w:lang w:val="en-US"/>
        </w:rPr>
        <w:t>DDER</w:t>
      </w:r>
      <w:r w:rsidRPr="001B6BBA">
        <w:rPr>
          <w:rFonts w:ascii="Arial" w:hAnsi="Arial"/>
          <w:i/>
          <w:w w:val="150"/>
          <w:sz w:val="18"/>
          <w:lang w:val="en-US"/>
        </w:rPr>
        <w:t xml:space="preserve"> </w:t>
      </w:r>
      <w:r w:rsidRPr="001B6BBA">
        <w:rPr>
          <w:rFonts w:ascii="Arial" w:hAnsi="Arial"/>
          <w:i/>
          <w:w w:val="150"/>
          <w:sz w:val="28"/>
          <w:lang w:val="en-US"/>
        </w:rPr>
        <w:t>J</w:t>
      </w:r>
      <w:r w:rsidRPr="001B6BBA">
        <w:rPr>
          <w:rFonts w:ascii="Arial" w:hAnsi="Arial"/>
          <w:i/>
          <w:w w:val="150"/>
          <w:sz w:val="18"/>
          <w:szCs w:val="18"/>
          <w:lang w:val="en-US"/>
        </w:rPr>
        <w:t xml:space="preserve">IMMY </w:t>
      </w:r>
      <w:r w:rsidRPr="001B6BBA">
        <w:rPr>
          <w:rFonts w:ascii="Arial" w:hAnsi="Arial"/>
          <w:i/>
          <w:w w:val="150"/>
          <w:sz w:val="28"/>
          <w:lang w:val="en-US"/>
        </w:rPr>
        <w:t>S</w:t>
      </w:r>
      <w:r w:rsidRPr="001B6BBA">
        <w:rPr>
          <w:rFonts w:ascii="Arial" w:hAnsi="Arial"/>
          <w:i/>
          <w:w w:val="150"/>
          <w:sz w:val="18"/>
          <w:szCs w:val="18"/>
          <w:lang w:val="en-US"/>
        </w:rPr>
        <w:t xml:space="preserve">ÁNCHEZ </w:t>
      </w:r>
      <w:r w:rsidRPr="001B6BBA">
        <w:rPr>
          <w:rFonts w:ascii="Arial" w:hAnsi="Arial"/>
          <w:i/>
          <w:w w:val="150"/>
          <w:sz w:val="28"/>
          <w:szCs w:val="18"/>
          <w:lang w:val="en-US"/>
        </w:rPr>
        <w:t>C.</w:t>
      </w:r>
      <w:r w:rsidRPr="001B6BBA">
        <w:rPr>
          <w:rFonts w:ascii="Arial" w:hAnsi="Arial"/>
          <w:i/>
          <w:w w:val="150"/>
          <w:sz w:val="28"/>
          <w:szCs w:val="18"/>
          <w:lang w:val="en-US"/>
        </w:rPr>
        <w:tab/>
      </w:r>
      <w:r w:rsidRPr="001B6BBA">
        <w:rPr>
          <w:rFonts w:ascii="Arial" w:hAnsi="Arial"/>
          <w:i/>
          <w:w w:val="150"/>
          <w:sz w:val="28"/>
          <w:szCs w:val="18"/>
          <w:lang w:val="en-US"/>
        </w:rPr>
        <w:tab/>
      </w:r>
      <w:r w:rsidRPr="001B6BBA">
        <w:rPr>
          <w:rFonts w:ascii="Arial" w:hAnsi="Arial" w:cs="Arial"/>
          <w:i/>
          <w:spacing w:val="-3"/>
          <w:w w:val="150"/>
          <w:sz w:val="28"/>
          <w:szCs w:val="18"/>
          <w:lang w:val="en-US"/>
        </w:rPr>
        <w:t>J</w:t>
      </w:r>
      <w:r w:rsidRPr="001B6BBA">
        <w:rPr>
          <w:rFonts w:ascii="Arial" w:hAnsi="Arial" w:cs="Arial"/>
          <w:i/>
          <w:spacing w:val="-3"/>
          <w:w w:val="150"/>
          <w:sz w:val="18"/>
          <w:szCs w:val="18"/>
          <w:lang w:val="en-US"/>
        </w:rPr>
        <w:t xml:space="preserve">AIME </w:t>
      </w:r>
      <w:r w:rsidRPr="001B6BBA">
        <w:rPr>
          <w:rFonts w:ascii="Arial" w:hAnsi="Arial" w:cs="Arial"/>
          <w:i/>
          <w:spacing w:val="-3"/>
          <w:w w:val="150"/>
          <w:sz w:val="28"/>
          <w:szCs w:val="18"/>
          <w:lang w:val="en-US"/>
        </w:rPr>
        <w:t>A</w:t>
      </w:r>
      <w:r w:rsidRPr="001B6BBA">
        <w:rPr>
          <w:rFonts w:ascii="Arial" w:hAnsi="Arial"/>
          <w:i/>
          <w:w w:val="150"/>
          <w:sz w:val="18"/>
          <w:szCs w:val="18"/>
          <w:lang w:val="en-US"/>
        </w:rPr>
        <w:t xml:space="preserve">LBERTO </w:t>
      </w:r>
      <w:r w:rsidRPr="001B6BBA">
        <w:rPr>
          <w:rFonts w:ascii="Arial" w:hAnsi="Arial" w:cs="Arial"/>
          <w:i/>
          <w:spacing w:val="-3"/>
          <w:w w:val="150"/>
          <w:sz w:val="28"/>
          <w:szCs w:val="18"/>
          <w:lang w:val="en-US"/>
        </w:rPr>
        <w:t>S</w:t>
      </w:r>
      <w:r w:rsidRPr="001B6BBA">
        <w:rPr>
          <w:rFonts w:ascii="Arial" w:hAnsi="Arial" w:cs="Arial"/>
          <w:i/>
          <w:spacing w:val="-3"/>
          <w:w w:val="150"/>
          <w:sz w:val="18"/>
          <w:szCs w:val="16"/>
          <w:lang w:val="en-US"/>
        </w:rPr>
        <w:t xml:space="preserve">ARAZA </w:t>
      </w:r>
      <w:r w:rsidRPr="001B6BBA">
        <w:rPr>
          <w:rFonts w:ascii="Arial" w:hAnsi="Arial" w:cs="Arial"/>
          <w:i/>
          <w:spacing w:val="-3"/>
          <w:w w:val="150"/>
          <w:sz w:val="28"/>
          <w:szCs w:val="18"/>
          <w:lang w:val="en-US"/>
        </w:rPr>
        <w:t>N.</w:t>
      </w:r>
    </w:p>
    <w:p w:rsidR="00671332" w:rsidRDefault="00951517" w:rsidP="00984E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1B6BBA">
        <w:rPr>
          <w:rFonts w:ascii="Arial" w:hAnsi="Arial" w:cs="Arial"/>
          <w:i/>
          <w:w w:val="150"/>
          <w:sz w:val="28"/>
          <w:lang w:val="en-US"/>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p>
    <w:p w:rsidR="00B65814" w:rsidRPr="00DA0621" w:rsidRDefault="00C16956" w:rsidP="00DA0621">
      <w:pPr>
        <w:pStyle w:val="Corpsdetexte"/>
        <w:spacing w:line="360" w:lineRule="auto"/>
        <w:jc w:val="right"/>
        <w:rPr>
          <w:rFonts w:ascii="Arial" w:hAnsi="Arial"/>
          <w:sz w:val="22"/>
        </w:rPr>
      </w:pPr>
      <w:bookmarkStart w:id="0" w:name="_GoBack"/>
      <w:bookmarkEnd w:id="0"/>
      <w:r w:rsidRPr="003C77B1">
        <w:rPr>
          <w:rFonts w:ascii="Arial" w:hAnsi="Arial"/>
          <w:w w:val="150"/>
          <w:sz w:val="8"/>
          <w:szCs w:val="10"/>
          <w:lang w:val="es-CO"/>
        </w:rPr>
        <w:t>DGH/</w:t>
      </w:r>
      <w:r w:rsidR="00F04FAF" w:rsidRPr="003C77B1">
        <w:rPr>
          <w:rFonts w:ascii="Arial" w:hAnsi="Arial"/>
          <w:w w:val="150"/>
          <w:sz w:val="8"/>
          <w:szCs w:val="10"/>
          <w:lang w:val="es-CO"/>
        </w:rPr>
        <w:t>ODCD</w:t>
      </w:r>
      <w:r w:rsidR="004E4D7B" w:rsidRPr="003C77B1">
        <w:rPr>
          <w:rFonts w:ascii="Arial" w:hAnsi="Arial"/>
          <w:w w:val="150"/>
          <w:sz w:val="8"/>
          <w:szCs w:val="10"/>
          <w:lang w:val="es-CO"/>
        </w:rPr>
        <w:t>/</w:t>
      </w:r>
      <w:r w:rsidR="00F04FAF" w:rsidRPr="003C77B1">
        <w:rPr>
          <w:rFonts w:ascii="Arial" w:hAnsi="Arial"/>
          <w:w w:val="150"/>
          <w:sz w:val="8"/>
          <w:szCs w:val="10"/>
          <w:lang w:val="es-CO"/>
        </w:rPr>
        <w:t>2016</w:t>
      </w:r>
    </w:p>
    <w:sectPr w:rsidR="00B65814" w:rsidRPr="00DA0621" w:rsidSect="00C52552">
      <w:headerReference w:type="default" r:id="rId10"/>
      <w:footerReference w:type="default" r:id="rId11"/>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2F6" w:rsidRDefault="004962F6" w:rsidP="0099045D">
      <w:r>
        <w:separator/>
      </w:r>
    </w:p>
  </w:endnote>
  <w:endnote w:type="continuationSeparator" w:id="0">
    <w:p w:rsidR="004962F6" w:rsidRDefault="004962F6"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1AE" w:rsidRDefault="00CC51AE" w:rsidP="0013771A">
    <w:pPr>
      <w:pStyle w:val="Pieddepage"/>
      <w:pBdr>
        <w:bottom w:val="double" w:sz="6" w:space="1" w:color="auto"/>
      </w:pBdr>
      <w:spacing w:line="360" w:lineRule="auto"/>
      <w:jc w:val="right"/>
      <w:rPr>
        <w:rFonts w:ascii="Arial" w:hAnsi="Arial" w:cs="Arial"/>
        <w:spacing w:val="20"/>
        <w:w w:val="200"/>
        <w:sz w:val="14"/>
        <w:szCs w:val="10"/>
        <w:lang w:val="es-CO"/>
      </w:rPr>
    </w:pPr>
  </w:p>
  <w:p w:rsidR="00CC51AE" w:rsidRDefault="00CC51AE" w:rsidP="0013771A">
    <w:pPr>
      <w:pStyle w:val="Pieddepage"/>
      <w:spacing w:line="360" w:lineRule="auto"/>
      <w:jc w:val="right"/>
      <w:rPr>
        <w:rFonts w:ascii="Arial" w:hAnsi="Arial" w:cs="Arial"/>
        <w:spacing w:val="20"/>
        <w:w w:val="200"/>
        <w:sz w:val="14"/>
        <w:szCs w:val="10"/>
        <w:lang w:val="es-CO"/>
      </w:rPr>
    </w:pPr>
  </w:p>
  <w:p w:rsidR="00CC51AE" w:rsidRPr="003E18D8" w:rsidRDefault="00CC51AE" w:rsidP="0013771A">
    <w:pPr>
      <w:pStyle w:val="Pieddepage"/>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CC51AE" w:rsidRPr="007F7D49" w:rsidRDefault="00CC51AE" w:rsidP="0013771A">
    <w:pPr>
      <w:pStyle w:val="Pieddepage"/>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2F6" w:rsidRDefault="004962F6" w:rsidP="0099045D">
      <w:r>
        <w:separator/>
      </w:r>
    </w:p>
  </w:footnote>
  <w:footnote w:type="continuationSeparator" w:id="0">
    <w:p w:rsidR="004962F6" w:rsidRDefault="004962F6" w:rsidP="0099045D">
      <w:r>
        <w:continuationSeparator/>
      </w:r>
    </w:p>
  </w:footnote>
  <w:footnote w:id="1">
    <w:p w:rsidR="00795CDC" w:rsidRDefault="00795CDC" w:rsidP="00795CDC">
      <w:pPr>
        <w:pStyle w:val="Notedebasdepage"/>
        <w:jc w:val="both"/>
      </w:pPr>
      <w:r w:rsidRPr="00567558">
        <w:rPr>
          <w:rStyle w:val="Appelnotedebasdep"/>
          <w:rFonts w:ascii="Calibri" w:hAnsi="Calibri" w:cs="Calibri"/>
        </w:rPr>
        <w:footnoteRef/>
      </w:r>
      <w:r w:rsidRPr="00567558">
        <w:rPr>
          <w:rFonts w:ascii="Calibri" w:hAnsi="Calibri" w:cs="Calibri"/>
        </w:rPr>
        <w:t xml:space="preserve"> QUINCHE RAMÍREZ, Manuel Fernando. </w:t>
      </w:r>
      <w:r>
        <w:rPr>
          <w:rFonts w:ascii="Calibri" w:hAnsi="Calibri" w:cs="Calibri"/>
        </w:rPr>
        <w:t>Vías de hecho, acción de tutela contra providencias</w:t>
      </w:r>
      <w:r w:rsidRPr="00567558">
        <w:rPr>
          <w:rFonts w:ascii="Calibri" w:hAnsi="Calibri" w:cs="Calibri"/>
        </w:rPr>
        <w:t xml:space="preserve">, </w:t>
      </w:r>
      <w:r>
        <w:rPr>
          <w:rFonts w:ascii="Calibri" w:hAnsi="Calibri" w:cs="Calibri"/>
        </w:rPr>
        <w:t xml:space="preserve">Editorial Temis SA, </w:t>
      </w:r>
      <w:r w:rsidRPr="00567558">
        <w:rPr>
          <w:rFonts w:ascii="Calibri" w:hAnsi="Calibri" w:cs="Calibri"/>
        </w:rPr>
        <w:t>Bogotá</w:t>
      </w:r>
      <w:r>
        <w:rPr>
          <w:rFonts w:ascii="Calibri" w:hAnsi="Calibri" w:cs="Calibri"/>
        </w:rPr>
        <w:t>,</w:t>
      </w:r>
      <w:r w:rsidRPr="00567558">
        <w:rPr>
          <w:rFonts w:ascii="Calibri" w:hAnsi="Calibri" w:cs="Calibri"/>
        </w:rPr>
        <w:t xml:space="preserve"> 201</w:t>
      </w:r>
      <w:r>
        <w:rPr>
          <w:rFonts w:ascii="Calibri" w:hAnsi="Calibri" w:cs="Calibri"/>
        </w:rPr>
        <w:t>3</w:t>
      </w:r>
      <w:r w:rsidRPr="00567558">
        <w:rPr>
          <w:rFonts w:ascii="Calibri" w:hAnsi="Calibri" w:cs="Calibri"/>
        </w:rPr>
        <w:t>, p.</w:t>
      </w:r>
      <w:r>
        <w:rPr>
          <w:rFonts w:ascii="Calibri" w:hAnsi="Calibri" w:cs="Calibri"/>
        </w:rPr>
        <w:t>103</w:t>
      </w:r>
      <w:r w:rsidRPr="00567558">
        <w:rPr>
          <w:rFonts w:ascii="Calibri" w:hAnsi="Calibri" w:cs="Calibri"/>
        </w:rPr>
        <w:t>.</w:t>
      </w:r>
    </w:p>
  </w:footnote>
  <w:footnote w:id="2">
    <w:p w:rsidR="00795CDC" w:rsidRPr="00567558" w:rsidRDefault="00795CDC" w:rsidP="00795CDC">
      <w:pPr>
        <w:pStyle w:val="Notedebasdepage"/>
        <w:jc w:val="both"/>
        <w:rPr>
          <w:rFonts w:ascii="Calibri" w:hAnsi="Calibri"/>
        </w:rPr>
      </w:pPr>
      <w:r w:rsidRPr="00567558">
        <w:rPr>
          <w:rStyle w:val="Appelnotedebasdep"/>
          <w:rFonts w:ascii="Calibri" w:hAnsi="Calibri" w:cs="Calibri"/>
        </w:rPr>
        <w:footnoteRef/>
      </w:r>
      <w:r w:rsidRPr="00567558">
        <w:rPr>
          <w:rFonts w:ascii="Calibri" w:hAnsi="Calibri" w:cs="Calibri"/>
        </w:rPr>
        <w:t xml:space="preserve"> </w:t>
      </w:r>
      <w:r>
        <w:rPr>
          <w:rFonts w:ascii="Calibri" w:hAnsi="Calibri" w:cs="Calibri"/>
          <w:lang w:val="es-MX"/>
        </w:rPr>
        <w:t>CC</w:t>
      </w:r>
      <w:r w:rsidRPr="00567558">
        <w:rPr>
          <w:rFonts w:ascii="Calibri" w:hAnsi="Calibri" w:cs="Calibri"/>
          <w:lang w:val="es-MX"/>
        </w:rPr>
        <w:t>. Sentencia T-917 de</w:t>
      </w:r>
      <w:r>
        <w:rPr>
          <w:rFonts w:ascii="Calibri" w:hAnsi="Calibri" w:cs="Calibri"/>
          <w:lang w:val="es-MX"/>
        </w:rPr>
        <w:t xml:space="preserve"> </w:t>
      </w:r>
      <w:r w:rsidRPr="00567558">
        <w:rPr>
          <w:rFonts w:ascii="Calibri" w:hAnsi="Calibri" w:cs="Calibri"/>
          <w:lang w:val="es-MX"/>
        </w:rPr>
        <w:t>2011.</w:t>
      </w:r>
    </w:p>
  </w:footnote>
  <w:footnote w:id="3">
    <w:p w:rsidR="00795CDC" w:rsidRPr="00567558" w:rsidRDefault="00795CDC" w:rsidP="00795CDC">
      <w:pPr>
        <w:pStyle w:val="Notedebasdepage"/>
        <w:jc w:val="both"/>
        <w:rPr>
          <w:rFonts w:ascii="Calibri" w:hAnsi="Calibri"/>
        </w:rPr>
      </w:pPr>
      <w:r w:rsidRPr="00567558">
        <w:rPr>
          <w:rStyle w:val="Appelnotedebasdep"/>
          <w:rFonts w:ascii="Calibri" w:hAnsi="Calibri" w:cs="Calibri"/>
        </w:rPr>
        <w:footnoteRef/>
      </w:r>
      <w:r w:rsidRPr="00567558">
        <w:rPr>
          <w:rFonts w:ascii="Calibri" w:hAnsi="Calibri" w:cs="Calibri"/>
          <w:lang w:val="es-MX"/>
        </w:rPr>
        <w:t xml:space="preserve"> </w:t>
      </w:r>
      <w:r>
        <w:rPr>
          <w:rFonts w:ascii="Calibri" w:hAnsi="Calibri" w:cs="Calibri"/>
          <w:lang w:val="es-MX"/>
        </w:rPr>
        <w:t>CC</w:t>
      </w:r>
      <w:r w:rsidRPr="00567558">
        <w:rPr>
          <w:rFonts w:ascii="Calibri" w:hAnsi="Calibri" w:cs="Calibri"/>
          <w:lang w:val="es-MX"/>
        </w:rPr>
        <w:t>. Sentencia C-590 de 2005.</w:t>
      </w:r>
    </w:p>
  </w:footnote>
  <w:footnote w:id="4">
    <w:p w:rsidR="00795CDC" w:rsidRPr="00FF68BE" w:rsidRDefault="00795CDC" w:rsidP="00795CDC">
      <w:pPr>
        <w:pStyle w:val="Notedebasdepage"/>
        <w:jc w:val="both"/>
        <w:rPr>
          <w:rFonts w:ascii="Calibri" w:hAnsi="Calibri" w:cs="Calibri"/>
        </w:rPr>
      </w:pPr>
      <w:r w:rsidRPr="00567558">
        <w:rPr>
          <w:rStyle w:val="Appelnotedebasdep"/>
          <w:rFonts w:ascii="Calibri" w:hAnsi="Calibri" w:cs="Calibri"/>
        </w:rPr>
        <w:footnoteRef/>
      </w:r>
      <w:r w:rsidRPr="00567558">
        <w:rPr>
          <w:rFonts w:ascii="Calibri" w:hAnsi="Calibri" w:cs="Calibri"/>
          <w:lang w:val="es-MX"/>
        </w:rPr>
        <w:t xml:space="preserve"> </w:t>
      </w:r>
      <w:r>
        <w:rPr>
          <w:rFonts w:ascii="Calibri" w:hAnsi="Calibri" w:cs="Calibri"/>
          <w:lang w:val="es-MX"/>
        </w:rPr>
        <w:t>CC</w:t>
      </w:r>
      <w:r w:rsidRPr="00567558">
        <w:rPr>
          <w:rFonts w:ascii="Calibri" w:hAnsi="Calibri" w:cs="Calibri"/>
          <w:lang w:val="es-MX"/>
        </w:rPr>
        <w:t>. Sentencia</w:t>
      </w:r>
      <w:r>
        <w:rPr>
          <w:rFonts w:ascii="Calibri" w:hAnsi="Calibri" w:cs="Calibri"/>
          <w:lang w:val="es-MX"/>
        </w:rPr>
        <w:t>s</w:t>
      </w:r>
      <w:r w:rsidRPr="00567558">
        <w:rPr>
          <w:rFonts w:ascii="Calibri" w:hAnsi="Calibri" w:cs="Calibri"/>
          <w:lang w:val="es-MX"/>
        </w:rPr>
        <w:t xml:space="preserve"> </w:t>
      </w:r>
      <w:r w:rsidRPr="00FF68BE">
        <w:rPr>
          <w:rFonts w:ascii="Calibri" w:hAnsi="Calibri" w:cs="Calibri"/>
          <w:bCs/>
        </w:rPr>
        <w:t>T-107</w:t>
      </w:r>
      <w:r>
        <w:rPr>
          <w:rFonts w:ascii="Calibri" w:hAnsi="Calibri" w:cs="Calibri"/>
          <w:bCs/>
        </w:rPr>
        <w:t xml:space="preserve"> de 20</w:t>
      </w:r>
      <w:r w:rsidRPr="00FF68BE">
        <w:rPr>
          <w:rFonts w:ascii="Calibri" w:hAnsi="Calibri" w:cs="Calibri"/>
          <w:bCs/>
        </w:rPr>
        <w:t>16</w:t>
      </w:r>
      <w:r>
        <w:rPr>
          <w:rFonts w:ascii="Calibri" w:hAnsi="Calibri" w:cs="Calibri"/>
        </w:rPr>
        <w:t xml:space="preserve"> y </w:t>
      </w:r>
      <w:r>
        <w:rPr>
          <w:rFonts w:ascii="Calibri" w:hAnsi="Calibri" w:cs="Calibri"/>
          <w:lang w:val="es-MX"/>
        </w:rPr>
        <w:t>T-064</w:t>
      </w:r>
      <w:r w:rsidRPr="00567558">
        <w:rPr>
          <w:rFonts w:ascii="Calibri" w:hAnsi="Calibri" w:cs="Calibri"/>
          <w:lang w:val="es-MX"/>
        </w:rPr>
        <w:t xml:space="preserve"> de </w:t>
      </w:r>
      <w:r>
        <w:rPr>
          <w:rFonts w:ascii="Calibri" w:hAnsi="Calibri" w:cs="Calibri"/>
          <w:lang w:val="es-MX"/>
        </w:rPr>
        <w:t>2015, entre otras</w:t>
      </w:r>
      <w:r w:rsidRPr="00567558">
        <w:rPr>
          <w:rFonts w:ascii="Calibri" w:hAnsi="Calibri" w:cs="Calibri"/>
          <w:lang w:val="es-MX"/>
        </w:rPr>
        <w:t>.</w:t>
      </w:r>
    </w:p>
  </w:footnote>
  <w:footnote w:id="5">
    <w:p w:rsidR="00795CDC" w:rsidRPr="005D1B2D" w:rsidRDefault="00795CDC" w:rsidP="00795CDC">
      <w:pPr>
        <w:pStyle w:val="Notedebasdepage"/>
        <w:rPr>
          <w:lang w:val="es-CO"/>
        </w:rPr>
      </w:pPr>
      <w:r>
        <w:rPr>
          <w:rStyle w:val="Appelnotedebasdep"/>
        </w:rPr>
        <w:footnoteRef/>
      </w:r>
      <w:r>
        <w:t xml:space="preserve"> </w:t>
      </w:r>
      <w:r>
        <w:rPr>
          <w:rFonts w:ascii="Calibri" w:hAnsi="Calibri" w:cs="Calibri"/>
          <w:lang w:val="es-MX"/>
        </w:rPr>
        <w:t>CC</w:t>
      </w:r>
      <w:r w:rsidRPr="00567558">
        <w:rPr>
          <w:rFonts w:ascii="Calibri" w:hAnsi="Calibri" w:cs="Calibri"/>
          <w:lang w:val="es-MX"/>
        </w:rPr>
        <w:t xml:space="preserve">. Sentencia </w:t>
      </w:r>
      <w:r>
        <w:rPr>
          <w:rFonts w:ascii="Calibri" w:hAnsi="Calibri" w:cs="Calibri"/>
          <w:lang w:val="es-MX"/>
        </w:rPr>
        <w:t>T-307</w:t>
      </w:r>
      <w:r w:rsidRPr="00567558">
        <w:rPr>
          <w:rFonts w:ascii="Calibri" w:hAnsi="Calibri" w:cs="Calibri"/>
          <w:lang w:val="es-MX"/>
        </w:rPr>
        <w:t xml:space="preserve"> de </w:t>
      </w:r>
      <w:r>
        <w:rPr>
          <w:rFonts w:ascii="Calibri" w:hAnsi="Calibri" w:cs="Calibri"/>
          <w:lang w:val="es-MX"/>
        </w:rPr>
        <w:t>2015.</w:t>
      </w:r>
    </w:p>
  </w:footnote>
  <w:footnote w:id="6">
    <w:p w:rsidR="00795CDC" w:rsidRPr="00567558" w:rsidRDefault="00795CDC" w:rsidP="00795CDC">
      <w:pPr>
        <w:pStyle w:val="Notedebasdepage"/>
        <w:jc w:val="both"/>
        <w:rPr>
          <w:rFonts w:ascii="Calibri" w:hAnsi="Calibri"/>
        </w:rPr>
      </w:pPr>
      <w:r w:rsidRPr="00567558">
        <w:rPr>
          <w:rFonts w:ascii="Calibri" w:hAnsi="Calibri" w:cs="Calibri"/>
          <w:vertAlign w:val="superscript"/>
        </w:rPr>
        <w:footnoteRef/>
      </w:r>
      <w:r w:rsidRPr="00567558">
        <w:rPr>
          <w:rFonts w:ascii="Calibri" w:hAnsi="Calibri" w:cs="Calibri"/>
        </w:rPr>
        <w:t xml:space="preserve"> ESCUELA JUDICIAL RODRIGO LARA BONILLA. </w:t>
      </w:r>
      <w:r w:rsidRPr="00567558">
        <w:rPr>
          <w:rFonts w:ascii="Calibri" w:hAnsi="Calibri" w:cs="Calibri"/>
          <w:lang w:val="es-CO"/>
        </w:rPr>
        <w:t xml:space="preserve">La acción de tutela en el ordenamiento constitucional colombiano, Universidad Nacional de Colombia, Catalina Botero Marino, </w:t>
      </w:r>
      <w:proofErr w:type="spellStart"/>
      <w:r w:rsidRPr="00567558">
        <w:rPr>
          <w:rFonts w:ascii="Calibri" w:hAnsi="Calibri" w:cs="Calibri"/>
          <w:lang w:val="es-CO"/>
        </w:rPr>
        <w:t>Ediprime</w:t>
      </w:r>
      <w:proofErr w:type="spellEnd"/>
      <w:r w:rsidRPr="00567558">
        <w:rPr>
          <w:rFonts w:ascii="Calibri" w:hAnsi="Calibri" w:cs="Calibri"/>
          <w:lang w:val="es-CO"/>
        </w:rPr>
        <w:t xml:space="preserve"> Ltda., 2006, p.61-75.</w:t>
      </w:r>
    </w:p>
  </w:footnote>
  <w:footnote w:id="7">
    <w:p w:rsidR="00795CDC" w:rsidRDefault="00795CDC" w:rsidP="00795CDC">
      <w:pPr>
        <w:pStyle w:val="Notedebasdepage"/>
        <w:jc w:val="both"/>
      </w:pPr>
      <w:r w:rsidRPr="00567558">
        <w:rPr>
          <w:rStyle w:val="Appelnotedebasdep"/>
          <w:rFonts w:ascii="Calibri" w:hAnsi="Calibri" w:cs="Calibri"/>
        </w:rPr>
        <w:footnoteRef/>
      </w:r>
      <w:r w:rsidRPr="00567558">
        <w:rPr>
          <w:rFonts w:ascii="Calibri" w:hAnsi="Calibri" w:cs="Calibri"/>
        </w:rPr>
        <w:t xml:space="preserve"> QUINCHE RAMÍREZ, Manuel Fernando. La acción de tutela, el amparo en Colombia, Bogotá DC, 2011, p.233-285.</w:t>
      </w:r>
    </w:p>
  </w:footnote>
  <w:footnote w:id="8">
    <w:p w:rsidR="00795CDC" w:rsidRPr="006E005D" w:rsidRDefault="00795CDC" w:rsidP="00795CDC">
      <w:pPr>
        <w:pStyle w:val="Notedebasdepage"/>
        <w:jc w:val="both"/>
        <w:rPr>
          <w:lang w:val="fr-FR"/>
        </w:rPr>
      </w:pPr>
      <w:r>
        <w:rPr>
          <w:rStyle w:val="Appelnotedebasdep"/>
          <w:rFonts w:asciiTheme="minorHAnsi" w:hAnsiTheme="minorHAnsi"/>
        </w:rPr>
        <w:footnoteRef/>
      </w:r>
      <w:r w:rsidRPr="006E005D">
        <w:rPr>
          <w:rFonts w:asciiTheme="minorHAnsi" w:hAnsiTheme="minorHAnsi"/>
          <w:lang w:val="fr-FR"/>
        </w:rPr>
        <w:t xml:space="preserve"> </w:t>
      </w:r>
      <w:r w:rsidRPr="006E005D">
        <w:rPr>
          <w:rFonts w:asciiTheme="minorHAnsi" w:hAnsiTheme="minorHAnsi" w:cs="Calibri"/>
          <w:lang w:val="fr-FR"/>
        </w:rPr>
        <w:t xml:space="preserve">CC. Sentencia T-134 de 1994. </w:t>
      </w:r>
    </w:p>
  </w:footnote>
  <w:footnote w:id="9">
    <w:p w:rsidR="00795CDC" w:rsidRPr="006E005D" w:rsidRDefault="00795CDC" w:rsidP="00795CDC">
      <w:pPr>
        <w:pStyle w:val="Notedebasdepage"/>
        <w:rPr>
          <w:lang w:val="fr-FR"/>
        </w:rPr>
      </w:pPr>
      <w:r>
        <w:rPr>
          <w:rStyle w:val="Appelnotedebasdep"/>
        </w:rPr>
        <w:footnoteRef/>
      </w:r>
      <w:r w:rsidRPr="006E005D">
        <w:rPr>
          <w:lang w:val="fr-FR"/>
        </w:rPr>
        <w:t xml:space="preserve"> </w:t>
      </w:r>
      <w:r w:rsidRPr="006E005D">
        <w:rPr>
          <w:rFonts w:asciiTheme="minorHAnsi" w:hAnsiTheme="minorHAnsi" w:cs="Calibri"/>
          <w:lang w:val="fr-FR"/>
        </w:rPr>
        <w:t>CC. Sentencia T-103 de 2014.</w:t>
      </w:r>
    </w:p>
  </w:footnote>
  <w:footnote w:id="10">
    <w:p w:rsidR="00795CDC" w:rsidRPr="006E005D" w:rsidRDefault="00795CDC" w:rsidP="00795CDC">
      <w:pPr>
        <w:pStyle w:val="Notedebasdepage"/>
        <w:jc w:val="both"/>
        <w:rPr>
          <w:lang w:val="fr-FR"/>
        </w:rPr>
      </w:pPr>
      <w:r>
        <w:rPr>
          <w:rStyle w:val="Appelnotedebasdep"/>
          <w:rFonts w:asciiTheme="minorHAnsi" w:hAnsiTheme="minorHAnsi" w:cs="Calibri"/>
        </w:rPr>
        <w:footnoteRef/>
      </w:r>
      <w:r w:rsidRPr="006E005D">
        <w:rPr>
          <w:rFonts w:asciiTheme="minorHAnsi" w:hAnsiTheme="minorHAnsi" w:cs="Calibri"/>
          <w:lang w:val="fr-FR"/>
        </w:rPr>
        <w:t xml:space="preserve"> CC. Sentencia T-567 de 1998.</w:t>
      </w:r>
    </w:p>
  </w:footnote>
  <w:footnote w:id="11">
    <w:p w:rsidR="00795CDC" w:rsidRPr="006E005D" w:rsidRDefault="00795CDC" w:rsidP="00795CDC">
      <w:pPr>
        <w:pStyle w:val="Notedebasdepage"/>
        <w:jc w:val="both"/>
        <w:rPr>
          <w:lang w:val="fr-FR"/>
        </w:rPr>
      </w:pPr>
      <w:r>
        <w:rPr>
          <w:rStyle w:val="Appelnotedebasdep"/>
          <w:rFonts w:asciiTheme="minorHAnsi" w:hAnsiTheme="minorHAnsi"/>
        </w:rPr>
        <w:footnoteRef/>
      </w:r>
      <w:r w:rsidRPr="006E005D">
        <w:rPr>
          <w:rFonts w:asciiTheme="minorHAnsi" w:hAnsiTheme="minorHAnsi"/>
          <w:lang w:val="fr-FR"/>
        </w:rPr>
        <w:t xml:space="preserve"> </w:t>
      </w:r>
      <w:r w:rsidRPr="006E005D">
        <w:rPr>
          <w:rFonts w:asciiTheme="minorHAnsi" w:hAnsiTheme="minorHAnsi" w:cs="Calibri"/>
          <w:lang w:val="fr-FR"/>
        </w:rPr>
        <w:t>CC. Sentencia T-662 de 2013.</w:t>
      </w:r>
      <w:r w:rsidRPr="006E005D">
        <w:rPr>
          <w:b/>
          <w:bCs/>
          <w:color w:val="2D2D2D"/>
          <w:sz w:val="28"/>
          <w:szCs w:val="28"/>
          <w:bdr w:val="none" w:sz="0" w:space="0" w:color="auto" w:frame="1"/>
          <w:shd w:val="clear" w:color="auto" w:fill="FFFFFF"/>
          <w:lang w:val="fr-FR"/>
        </w:rPr>
        <w:t xml:space="preserve"> </w:t>
      </w:r>
    </w:p>
  </w:footnote>
  <w:footnote w:id="12">
    <w:p w:rsidR="00795CDC" w:rsidRPr="006E005D" w:rsidRDefault="00795CDC" w:rsidP="00795CDC">
      <w:pPr>
        <w:pStyle w:val="Notedebasdepage"/>
        <w:jc w:val="both"/>
        <w:rPr>
          <w:lang w:val="fr-FR"/>
        </w:rPr>
      </w:pPr>
      <w:r>
        <w:rPr>
          <w:rStyle w:val="Appelnotedebasdep"/>
        </w:rPr>
        <w:footnoteRef/>
      </w:r>
      <w:r w:rsidRPr="006E005D">
        <w:rPr>
          <w:lang w:val="fr-FR"/>
        </w:rPr>
        <w:t xml:space="preserve"> </w:t>
      </w:r>
      <w:r w:rsidRPr="006E005D">
        <w:rPr>
          <w:rFonts w:asciiTheme="minorHAnsi" w:hAnsiTheme="minorHAnsi" w:cs="Calibri"/>
          <w:lang w:val="fr-FR"/>
        </w:rPr>
        <w:t xml:space="preserve">CC. </w:t>
      </w:r>
      <w:r w:rsidRPr="006E005D">
        <w:rPr>
          <w:rFonts w:ascii="Calibri" w:hAnsi="Calibri"/>
          <w:bCs/>
          <w:bdr w:val="none" w:sz="0" w:space="0" w:color="auto" w:frame="1"/>
          <w:shd w:val="clear" w:color="auto" w:fill="FFFFFF"/>
          <w:lang w:val="fr-FR"/>
        </w:rPr>
        <w:t>Sentencia T-037 de 2016 y T-120 de 2016.</w:t>
      </w:r>
    </w:p>
  </w:footnote>
  <w:footnote w:id="13">
    <w:p w:rsidR="00795CDC" w:rsidRDefault="00795CDC" w:rsidP="00795CDC">
      <w:pPr>
        <w:pStyle w:val="Notedebasdepage"/>
        <w:jc w:val="both"/>
      </w:pPr>
      <w:r>
        <w:rPr>
          <w:rStyle w:val="Appelnotedebasdep"/>
          <w:rFonts w:asciiTheme="minorHAnsi" w:hAnsiTheme="minorHAnsi" w:cs="Calibri"/>
        </w:rPr>
        <w:footnoteRef/>
      </w:r>
      <w:r>
        <w:rPr>
          <w:rFonts w:asciiTheme="minorHAnsi" w:hAnsiTheme="minorHAnsi" w:cs="Calibri"/>
        </w:rPr>
        <w:t xml:space="preserve"> </w:t>
      </w:r>
      <w:r>
        <w:rPr>
          <w:rFonts w:asciiTheme="minorHAnsi" w:hAnsiTheme="minorHAnsi" w:cs="Calibri"/>
          <w:lang w:val="es-CO"/>
        </w:rPr>
        <w:t xml:space="preserve">CSJ, Sala Civil. Sentencia del 02-09-2014, MP: Margarita Cabello Blanco, </w:t>
      </w:r>
      <w:proofErr w:type="spellStart"/>
      <w:r>
        <w:rPr>
          <w:rFonts w:asciiTheme="minorHAnsi" w:hAnsiTheme="minorHAnsi" w:cs="Calibri"/>
          <w:lang w:val="es-CO"/>
        </w:rPr>
        <w:t>exp</w:t>
      </w:r>
      <w:proofErr w:type="spellEnd"/>
      <w:r>
        <w:rPr>
          <w:rFonts w:asciiTheme="minorHAnsi" w:hAnsiTheme="minorHAnsi" w:cs="Calibri"/>
          <w:lang w:val="es-CO"/>
        </w:rPr>
        <w:t>. No.23001-22-14-000-2014-00097-01</w:t>
      </w:r>
      <w:r>
        <w:rPr>
          <w:rFonts w:asciiTheme="minorHAnsi" w:hAnsiTheme="minorHAnsi" w:cs="Calibri"/>
          <w:w w:val="110"/>
          <w:lang w:val="es-CO"/>
        </w:rPr>
        <w:t>.</w:t>
      </w:r>
    </w:p>
  </w:footnote>
  <w:footnote w:id="14">
    <w:p w:rsidR="00795CDC" w:rsidRDefault="00795CDC" w:rsidP="00795CDC">
      <w:pPr>
        <w:pStyle w:val="Notedebasdepage"/>
        <w:jc w:val="both"/>
        <w:rPr>
          <w:rFonts w:ascii="Calibri" w:hAnsi="Calibri"/>
          <w:lang w:val="es-CO"/>
        </w:rPr>
      </w:pPr>
      <w:r>
        <w:rPr>
          <w:rStyle w:val="Appelnotedebasdep"/>
        </w:rPr>
        <w:footnoteRef/>
      </w:r>
      <w:r>
        <w:t xml:space="preserve"> </w:t>
      </w:r>
      <w:r>
        <w:rPr>
          <w:rFonts w:asciiTheme="minorHAnsi" w:hAnsiTheme="minorHAnsi" w:cs="Calibri"/>
          <w:lang w:val="es-CO"/>
        </w:rPr>
        <w:t>CSJ</w:t>
      </w:r>
      <w:r>
        <w:rPr>
          <w:rFonts w:ascii="Calibri" w:hAnsi="Calibri" w:cs="Calibri"/>
          <w:lang w:val="es-CO"/>
        </w:rPr>
        <w:t xml:space="preserve">, </w:t>
      </w:r>
      <w:r>
        <w:rPr>
          <w:rFonts w:ascii="Calibri" w:hAnsi="Calibri" w:cs="Calibri"/>
        </w:rPr>
        <w:t>Sala Civil. Providencia STC6121-2015.</w:t>
      </w:r>
    </w:p>
  </w:footnote>
  <w:footnote w:id="15">
    <w:p w:rsidR="00795CDC" w:rsidRDefault="00795CDC" w:rsidP="00795CDC">
      <w:pPr>
        <w:pStyle w:val="Notedebasdepage"/>
        <w:rPr>
          <w:rFonts w:ascii="Calibri" w:hAnsi="Calibri"/>
          <w:lang w:val="es-CO"/>
        </w:rPr>
      </w:pPr>
      <w:r>
        <w:rPr>
          <w:rStyle w:val="Appelnotedebasdep"/>
          <w:rFonts w:ascii="Calibri" w:hAnsi="Calibri"/>
        </w:rPr>
        <w:footnoteRef/>
      </w:r>
      <w:r>
        <w:rPr>
          <w:rFonts w:ascii="Calibri" w:hAnsi="Calibri"/>
        </w:rPr>
        <w:t xml:space="preserve"> </w:t>
      </w:r>
      <w:r>
        <w:rPr>
          <w:rFonts w:ascii="Calibri" w:hAnsi="Calibri" w:cs="Calibri"/>
          <w:lang w:val="es-CO"/>
        </w:rPr>
        <w:t xml:space="preserve">CSJ, </w:t>
      </w:r>
      <w:r>
        <w:rPr>
          <w:rFonts w:ascii="Calibri" w:hAnsi="Calibri" w:cs="Calibri"/>
        </w:rPr>
        <w:t xml:space="preserve">Sala Civil. Providencia </w:t>
      </w:r>
      <w:r>
        <w:rPr>
          <w:rFonts w:ascii="Calibri" w:hAnsi="Calibri"/>
          <w:lang w:val="es-CO"/>
        </w:rPr>
        <w:t>STC3931-2016.</w:t>
      </w:r>
    </w:p>
  </w:footnote>
  <w:footnote w:id="16">
    <w:p w:rsidR="00795CDC" w:rsidRPr="006E005D" w:rsidRDefault="00795CDC" w:rsidP="00795CDC">
      <w:pPr>
        <w:pStyle w:val="Notedebasdepage"/>
        <w:jc w:val="both"/>
        <w:rPr>
          <w:lang w:val="fr-FR"/>
        </w:rPr>
      </w:pPr>
      <w:r w:rsidRPr="00623B4F">
        <w:rPr>
          <w:rStyle w:val="Appelnotedebasdep"/>
          <w:rFonts w:asciiTheme="minorHAnsi" w:hAnsiTheme="minorHAnsi" w:cs="Calibri"/>
        </w:rPr>
        <w:footnoteRef/>
      </w:r>
      <w:r w:rsidRPr="006E005D">
        <w:rPr>
          <w:rFonts w:asciiTheme="minorHAnsi" w:hAnsiTheme="minorHAnsi" w:cs="Calibri"/>
          <w:lang w:val="fr-FR"/>
        </w:rPr>
        <w:t xml:space="preserve"> CC. Sentencia T-193 de 2008.</w:t>
      </w:r>
    </w:p>
  </w:footnote>
  <w:footnote w:id="17">
    <w:p w:rsidR="00795CDC" w:rsidRPr="006E005D" w:rsidRDefault="00795CDC" w:rsidP="00795CDC">
      <w:pPr>
        <w:pStyle w:val="Notedebasdepage"/>
        <w:rPr>
          <w:lang w:val="fr-FR"/>
        </w:rPr>
      </w:pPr>
      <w:r>
        <w:rPr>
          <w:rStyle w:val="Appelnotedebasdep"/>
        </w:rPr>
        <w:footnoteRef/>
      </w:r>
      <w:r w:rsidRPr="006E005D">
        <w:rPr>
          <w:lang w:val="fr-FR"/>
        </w:rPr>
        <w:t xml:space="preserve"> </w:t>
      </w:r>
      <w:r w:rsidRPr="006E005D">
        <w:rPr>
          <w:rFonts w:asciiTheme="minorHAnsi" w:hAnsiTheme="minorHAnsi" w:cs="Calibri"/>
          <w:lang w:val="fr-FR"/>
        </w:rPr>
        <w:t>CC. Sentencia T-185 de 2013.</w:t>
      </w:r>
    </w:p>
  </w:footnote>
  <w:footnote w:id="18">
    <w:p w:rsidR="00795CDC" w:rsidRPr="007B0994" w:rsidRDefault="00795CDC" w:rsidP="00795CDC">
      <w:pPr>
        <w:pStyle w:val="Notedebasdepage"/>
        <w:rPr>
          <w:lang w:val="es-CO"/>
        </w:rPr>
      </w:pPr>
      <w:r>
        <w:rPr>
          <w:rStyle w:val="Appelnotedebasdep"/>
        </w:rPr>
        <w:footnoteRef/>
      </w:r>
      <w:r>
        <w:t xml:space="preserve"> </w:t>
      </w:r>
      <w:r>
        <w:rPr>
          <w:rFonts w:asciiTheme="minorHAnsi" w:hAnsiTheme="minorHAnsi"/>
        </w:rPr>
        <w:t>CC</w:t>
      </w:r>
      <w:r w:rsidRPr="00CA12C8">
        <w:rPr>
          <w:rFonts w:asciiTheme="minorHAnsi" w:hAnsiTheme="minorHAnsi"/>
        </w:rPr>
        <w:t xml:space="preserve">. </w:t>
      </w:r>
      <w:r w:rsidRPr="00CA12C8">
        <w:rPr>
          <w:rFonts w:asciiTheme="minorHAnsi" w:hAnsiTheme="minorHAnsi"/>
          <w:lang w:val="es-CO"/>
        </w:rPr>
        <w:t>Sentencia</w:t>
      </w:r>
      <w:r w:rsidRPr="007B0994">
        <w:rPr>
          <w:rFonts w:asciiTheme="minorHAnsi" w:hAnsiTheme="minorHAnsi"/>
        </w:rPr>
        <w:t xml:space="preserve"> </w:t>
      </w:r>
      <w:r w:rsidRPr="007B0994">
        <w:rPr>
          <w:rFonts w:asciiTheme="minorHAnsi" w:hAnsiTheme="minorHAnsi"/>
          <w:bCs/>
        </w:rPr>
        <w:t>SU</w:t>
      </w:r>
      <w:r>
        <w:rPr>
          <w:rFonts w:asciiTheme="minorHAnsi" w:hAnsiTheme="minorHAnsi"/>
          <w:bCs/>
        </w:rPr>
        <w:t>-</w:t>
      </w:r>
      <w:r w:rsidRPr="007B0994">
        <w:rPr>
          <w:rFonts w:asciiTheme="minorHAnsi" w:hAnsiTheme="minorHAnsi"/>
          <w:bCs/>
        </w:rPr>
        <w:t>240 de 2015</w:t>
      </w:r>
      <w:r w:rsidRPr="007B0994">
        <w:rPr>
          <w:rFonts w:asciiTheme="minorHAnsi" w:hAnsiTheme="minorHAnsi"/>
        </w:rPr>
        <w:t>.</w:t>
      </w:r>
    </w:p>
  </w:footnote>
  <w:footnote w:id="19">
    <w:p w:rsidR="00795CDC" w:rsidRPr="00833A61" w:rsidRDefault="00795CDC" w:rsidP="00795CDC">
      <w:pPr>
        <w:pStyle w:val="Notedebasdepage"/>
        <w:rPr>
          <w:lang w:val="es-CO"/>
        </w:rPr>
      </w:pPr>
      <w:r>
        <w:rPr>
          <w:rStyle w:val="Appelnotedebasdep"/>
        </w:rPr>
        <w:footnoteRef/>
      </w:r>
      <w:r>
        <w:t xml:space="preserve"> </w:t>
      </w:r>
      <w:r>
        <w:rPr>
          <w:rFonts w:asciiTheme="minorHAnsi" w:hAnsiTheme="minorHAnsi"/>
        </w:rPr>
        <w:t>CC</w:t>
      </w:r>
      <w:r w:rsidRPr="00CA12C8">
        <w:rPr>
          <w:rFonts w:asciiTheme="minorHAnsi" w:hAnsiTheme="minorHAnsi"/>
        </w:rPr>
        <w:t xml:space="preserve">. </w:t>
      </w:r>
      <w:r w:rsidRPr="00CA12C8">
        <w:rPr>
          <w:rFonts w:asciiTheme="minorHAnsi" w:hAnsiTheme="minorHAnsi"/>
          <w:lang w:val="es-CO"/>
        </w:rPr>
        <w:t>Sentencia</w:t>
      </w:r>
      <w:r w:rsidRPr="007B0994">
        <w:rPr>
          <w:rFonts w:asciiTheme="minorHAnsi" w:hAnsiTheme="minorHAnsi"/>
        </w:rPr>
        <w:t xml:space="preserve"> </w:t>
      </w:r>
      <w:r>
        <w:rPr>
          <w:rFonts w:asciiTheme="minorHAnsi" w:hAnsiTheme="minorHAnsi"/>
          <w:bCs/>
        </w:rPr>
        <w:t>T-001 de 2016.</w:t>
      </w:r>
    </w:p>
  </w:footnote>
  <w:footnote w:id="20">
    <w:p w:rsidR="00795CDC" w:rsidRPr="00104D5D" w:rsidRDefault="00795CDC" w:rsidP="00795CDC">
      <w:pPr>
        <w:pStyle w:val="Notedebasdepage"/>
        <w:jc w:val="both"/>
        <w:rPr>
          <w:rFonts w:ascii="Calibri" w:hAnsi="Calibri"/>
          <w:lang w:val="es-CO"/>
        </w:rPr>
      </w:pPr>
      <w:r w:rsidRPr="008C531D">
        <w:rPr>
          <w:rStyle w:val="Appelnotedebasdep"/>
          <w:rFonts w:ascii="Calibri" w:hAnsi="Calibri"/>
        </w:rPr>
        <w:footnoteRef/>
      </w:r>
      <w:r w:rsidRPr="008C531D">
        <w:rPr>
          <w:rFonts w:ascii="Calibri" w:hAnsi="Calibri"/>
        </w:rPr>
        <w:t xml:space="preserve"> </w:t>
      </w:r>
      <w:r w:rsidRPr="008C531D">
        <w:rPr>
          <w:rFonts w:ascii="Calibri" w:hAnsi="Calibri" w:cs="Calibri"/>
        </w:rPr>
        <w:t xml:space="preserve">BOTERO MARINO, Catalina. La acción de tutela en el ordenamiento constitucional colombiano, </w:t>
      </w:r>
      <w:proofErr w:type="spellStart"/>
      <w:r w:rsidRPr="008C531D">
        <w:rPr>
          <w:rFonts w:ascii="Calibri" w:hAnsi="Calibri" w:cs="Calibri"/>
        </w:rPr>
        <w:t>Ediprime</w:t>
      </w:r>
      <w:proofErr w:type="spellEnd"/>
      <w:r w:rsidRPr="008C531D">
        <w:rPr>
          <w:rFonts w:ascii="Calibri" w:hAnsi="Calibri" w:cs="Calibri"/>
        </w:rPr>
        <w:t xml:space="preserve"> </w:t>
      </w:r>
      <w:proofErr w:type="spellStart"/>
      <w:r w:rsidRPr="008C531D">
        <w:rPr>
          <w:rFonts w:ascii="Calibri" w:hAnsi="Calibri" w:cs="Calibri"/>
        </w:rPr>
        <w:t>Ltda</w:t>
      </w:r>
      <w:proofErr w:type="spellEnd"/>
      <w:r w:rsidRPr="008C531D">
        <w:rPr>
          <w:rFonts w:ascii="Calibri" w:hAnsi="Calibri" w:cs="Calibri"/>
        </w:rPr>
        <w:t xml:space="preserve">, Bogotá, </w:t>
      </w:r>
      <w:r w:rsidRPr="00104D5D">
        <w:rPr>
          <w:rFonts w:ascii="Calibri" w:hAnsi="Calibri" w:cs="Calibri"/>
        </w:rPr>
        <w:t>2006, p.120.</w:t>
      </w:r>
    </w:p>
  </w:footnote>
  <w:footnote w:id="21">
    <w:p w:rsidR="00795CDC" w:rsidRPr="00104D5D" w:rsidRDefault="00795CDC" w:rsidP="00795CDC">
      <w:pPr>
        <w:pStyle w:val="Notedebasdepage"/>
        <w:jc w:val="both"/>
        <w:rPr>
          <w:lang w:val="es-CO"/>
        </w:rPr>
      </w:pPr>
      <w:r w:rsidRPr="00104D5D">
        <w:rPr>
          <w:rStyle w:val="Appelnotedebasdep"/>
          <w:rFonts w:ascii="Calibri" w:hAnsi="Calibri"/>
        </w:rPr>
        <w:footnoteRef/>
      </w:r>
      <w:r w:rsidRPr="00104D5D">
        <w:rPr>
          <w:rFonts w:ascii="Calibri" w:hAnsi="Calibri"/>
        </w:rPr>
        <w:t xml:space="preserve"> </w:t>
      </w:r>
      <w:r>
        <w:rPr>
          <w:rFonts w:ascii="Calibri" w:hAnsi="Calibri"/>
          <w:lang w:val="es-CO"/>
        </w:rPr>
        <w:t>TSP</w:t>
      </w:r>
      <w:r w:rsidRPr="00104D5D">
        <w:rPr>
          <w:rFonts w:ascii="Calibri" w:hAnsi="Calibri"/>
          <w:lang w:val="es-CO"/>
        </w:rPr>
        <w:t xml:space="preserve">, Sala Civil-Familia. Sentencia del 28-03-2016, </w:t>
      </w:r>
      <w:proofErr w:type="spellStart"/>
      <w:r w:rsidRPr="00104D5D">
        <w:rPr>
          <w:rFonts w:ascii="Calibri" w:hAnsi="Calibri"/>
          <w:lang w:val="es-CO"/>
        </w:rPr>
        <w:t>MP</w:t>
      </w:r>
      <w:proofErr w:type="spellEnd"/>
      <w:r w:rsidRPr="00104D5D">
        <w:rPr>
          <w:rFonts w:ascii="Calibri" w:hAnsi="Calibri"/>
          <w:lang w:val="es-CO"/>
        </w:rPr>
        <w:t xml:space="preserve"> </w:t>
      </w:r>
      <w:proofErr w:type="spellStart"/>
      <w:r w:rsidRPr="00104D5D">
        <w:rPr>
          <w:rFonts w:ascii="Calibri" w:hAnsi="Calibri"/>
          <w:lang w:val="es-CO"/>
        </w:rPr>
        <w:t>Dubermey</w:t>
      </w:r>
      <w:proofErr w:type="spellEnd"/>
      <w:r w:rsidRPr="00104D5D">
        <w:rPr>
          <w:rFonts w:ascii="Calibri" w:hAnsi="Calibri"/>
          <w:lang w:val="es-CO"/>
        </w:rPr>
        <w:t xml:space="preserve"> Grisales Herrera, expediente No.</w:t>
      </w:r>
      <w:r w:rsidRPr="00104D5D">
        <w:rPr>
          <w:rFonts w:ascii="Calibri" w:hAnsi="Calibri"/>
        </w:rPr>
        <w:t xml:space="preserve"> </w:t>
      </w:r>
      <w:r w:rsidRPr="00104D5D">
        <w:rPr>
          <w:rFonts w:ascii="Calibri" w:hAnsi="Calibri"/>
          <w:lang w:val="es-CO"/>
        </w:rPr>
        <w:t>2016-00289-00</w:t>
      </w:r>
      <w:r>
        <w:rPr>
          <w:rFonts w:ascii="Calibri" w:hAnsi="Calibri"/>
          <w:lang w:val="es-CO"/>
        </w:rPr>
        <w:t>.</w:t>
      </w:r>
    </w:p>
  </w:footnote>
  <w:footnote w:id="22">
    <w:p w:rsidR="00795CDC" w:rsidRPr="006E005D" w:rsidRDefault="00795CDC" w:rsidP="00795CDC">
      <w:pPr>
        <w:pStyle w:val="Notedebasdepage"/>
        <w:jc w:val="both"/>
        <w:rPr>
          <w:rFonts w:ascii="Calibri" w:hAnsi="Calibri"/>
          <w:lang w:val="fr-FR"/>
        </w:rPr>
      </w:pPr>
      <w:r w:rsidRPr="008C531D">
        <w:rPr>
          <w:rStyle w:val="Appelnotedebasdep"/>
          <w:rFonts w:ascii="Calibri" w:hAnsi="Calibri"/>
        </w:rPr>
        <w:footnoteRef/>
      </w:r>
      <w:r w:rsidRPr="006E005D">
        <w:rPr>
          <w:rFonts w:ascii="Calibri" w:hAnsi="Calibri"/>
          <w:lang w:val="fr-FR"/>
        </w:rPr>
        <w:t xml:space="preserve"> CC. Sentencia T-057 de 2016.</w:t>
      </w:r>
    </w:p>
  </w:footnote>
  <w:footnote w:id="23">
    <w:p w:rsidR="00795CDC" w:rsidRPr="006E005D" w:rsidRDefault="00795CDC" w:rsidP="00795CDC">
      <w:pPr>
        <w:pStyle w:val="Notedebasdepage"/>
        <w:jc w:val="both"/>
        <w:rPr>
          <w:rFonts w:ascii="Calibri" w:hAnsi="Calibri"/>
          <w:lang w:val="fr-FR"/>
        </w:rPr>
      </w:pPr>
      <w:r w:rsidRPr="008C531D">
        <w:rPr>
          <w:rStyle w:val="Appelnotedebasdep"/>
          <w:rFonts w:ascii="Calibri" w:hAnsi="Calibri"/>
        </w:rPr>
        <w:footnoteRef/>
      </w:r>
      <w:r w:rsidRPr="006E005D">
        <w:rPr>
          <w:rFonts w:ascii="Calibri" w:hAnsi="Calibri"/>
          <w:lang w:val="fr-FR"/>
        </w:rPr>
        <w:t xml:space="preserve"> CC. Sentencia T-095 de 2015.</w:t>
      </w:r>
    </w:p>
  </w:footnote>
  <w:footnote w:id="24">
    <w:p w:rsidR="00795CDC" w:rsidRPr="00A4402B" w:rsidRDefault="00795CDC" w:rsidP="00795CDC">
      <w:pPr>
        <w:pStyle w:val="Notedebasdepage"/>
        <w:jc w:val="both"/>
        <w:rPr>
          <w:lang w:val="es-CO"/>
        </w:rPr>
      </w:pPr>
      <w:r w:rsidRPr="008C531D">
        <w:rPr>
          <w:rStyle w:val="Appelnotedebasdep"/>
          <w:rFonts w:ascii="Calibri" w:hAnsi="Calibri"/>
        </w:rPr>
        <w:footnoteRef/>
      </w:r>
      <w:r w:rsidRPr="008C531D">
        <w:rPr>
          <w:rFonts w:ascii="Calibri" w:hAnsi="Calibri"/>
        </w:rPr>
        <w:t xml:space="preserve"> </w:t>
      </w:r>
      <w:r>
        <w:rPr>
          <w:rFonts w:ascii="Calibri" w:hAnsi="Calibri"/>
        </w:rPr>
        <w:t>CC</w:t>
      </w:r>
      <w:r w:rsidRPr="008C531D">
        <w:rPr>
          <w:rFonts w:ascii="Calibri" w:hAnsi="Calibri"/>
        </w:rPr>
        <w:t>. Sentencia</w:t>
      </w:r>
      <w:r w:rsidRPr="008C531D">
        <w:rPr>
          <w:rFonts w:ascii="Calibri" w:hAnsi="Calibri"/>
          <w:lang w:val="es-CO"/>
        </w:rPr>
        <w:t xml:space="preserve"> T-560 de 2009, reiterada en las sentencias T-185 de 2013 y T-001 de 2016, entre otras.</w:t>
      </w:r>
    </w:p>
  </w:footnote>
  <w:footnote w:id="25">
    <w:p w:rsidR="001F36A0" w:rsidRPr="006E005D" w:rsidRDefault="001F36A0" w:rsidP="001F36A0">
      <w:pPr>
        <w:pStyle w:val="Notedebasdepage"/>
        <w:jc w:val="both"/>
        <w:rPr>
          <w:lang w:val="fr-FR"/>
        </w:rPr>
      </w:pPr>
      <w:r w:rsidRPr="0088104A">
        <w:rPr>
          <w:rStyle w:val="Appelnotedebasdep"/>
          <w:rFonts w:asciiTheme="minorHAnsi" w:hAnsiTheme="minorHAnsi" w:cs="Calibri"/>
        </w:rPr>
        <w:footnoteRef/>
      </w:r>
      <w:r w:rsidRPr="006E005D">
        <w:rPr>
          <w:rFonts w:asciiTheme="minorHAnsi" w:hAnsiTheme="minorHAnsi" w:cs="Calibri"/>
          <w:lang w:val="fr-FR"/>
        </w:rPr>
        <w:t xml:space="preserve"> </w:t>
      </w:r>
      <w:r w:rsidR="00EE5838" w:rsidRPr="006E005D">
        <w:rPr>
          <w:rFonts w:asciiTheme="minorHAnsi" w:hAnsiTheme="minorHAnsi" w:cs="Calibri"/>
          <w:lang w:val="fr-FR"/>
        </w:rPr>
        <w:t>CC</w:t>
      </w:r>
      <w:r w:rsidRPr="006E005D">
        <w:rPr>
          <w:rFonts w:asciiTheme="minorHAnsi" w:hAnsiTheme="minorHAnsi" w:cs="Calibri"/>
          <w:lang w:val="fr-FR"/>
        </w:rPr>
        <w:t>.  Sentencia T-567 de 1998.</w:t>
      </w:r>
    </w:p>
  </w:footnote>
  <w:footnote w:id="26">
    <w:p w:rsidR="001F36A0" w:rsidRPr="006E005D" w:rsidRDefault="001F36A0" w:rsidP="001F36A0">
      <w:pPr>
        <w:pStyle w:val="Notedebasdepage"/>
        <w:rPr>
          <w:lang w:val="fr-FR"/>
        </w:rPr>
      </w:pPr>
      <w:r>
        <w:rPr>
          <w:rStyle w:val="Appelnotedebasdep"/>
        </w:rPr>
        <w:footnoteRef/>
      </w:r>
      <w:r w:rsidRPr="006E005D">
        <w:rPr>
          <w:lang w:val="fr-FR"/>
        </w:rPr>
        <w:t xml:space="preserve"> </w:t>
      </w:r>
      <w:r w:rsidR="00EE5838" w:rsidRPr="006E005D">
        <w:rPr>
          <w:rFonts w:asciiTheme="minorHAnsi" w:hAnsiTheme="minorHAnsi" w:cs="Calibri"/>
          <w:lang w:val="fr-FR"/>
        </w:rPr>
        <w:t>CC</w:t>
      </w:r>
      <w:r w:rsidRPr="006E005D">
        <w:rPr>
          <w:rFonts w:asciiTheme="minorHAnsi" w:hAnsiTheme="minorHAnsi" w:cs="Calibri"/>
          <w:lang w:val="fr-FR"/>
        </w:rPr>
        <w:t>.  Sentencia T-717 de 22-09-2011.</w:t>
      </w:r>
    </w:p>
  </w:footnote>
  <w:footnote w:id="27">
    <w:p w:rsidR="001F36A0" w:rsidRPr="006E005D" w:rsidRDefault="001F36A0" w:rsidP="001F36A0">
      <w:pPr>
        <w:pStyle w:val="Notedebasdepage"/>
        <w:rPr>
          <w:lang w:val="fr-FR"/>
        </w:rPr>
      </w:pPr>
      <w:r>
        <w:rPr>
          <w:rStyle w:val="Appelnotedebasdep"/>
        </w:rPr>
        <w:footnoteRef/>
      </w:r>
      <w:r w:rsidRPr="006E005D">
        <w:rPr>
          <w:lang w:val="fr-FR"/>
        </w:rPr>
        <w:t xml:space="preserve"> </w:t>
      </w:r>
      <w:r w:rsidR="00EE5838" w:rsidRPr="006E005D">
        <w:rPr>
          <w:rFonts w:asciiTheme="minorHAnsi" w:hAnsiTheme="minorHAnsi" w:cs="Calibri"/>
          <w:lang w:val="fr-FR"/>
        </w:rPr>
        <w:t>CC</w:t>
      </w:r>
      <w:r w:rsidRPr="006E005D">
        <w:rPr>
          <w:rFonts w:asciiTheme="minorHAnsi" w:hAnsiTheme="minorHAnsi" w:cs="Calibri"/>
          <w:lang w:val="fr-FR"/>
        </w:rPr>
        <w:t>.  Sentencia T-429 de 19-05-2011.</w:t>
      </w:r>
    </w:p>
  </w:footnote>
  <w:footnote w:id="28">
    <w:p w:rsidR="00300E34" w:rsidRPr="00300E34" w:rsidRDefault="00300E34" w:rsidP="00300E34">
      <w:pPr>
        <w:pStyle w:val="Notedebasdepage"/>
        <w:jc w:val="both"/>
        <w:rPr>
          <w:rFonts w:ascii="Calibri" w:hAnsi="Calibri"/>
          <w:lang w:val="es-CO"/>
        </w:rPr>
      </w:pPr>
      <w:r w:rsidRPr="00300E34">
        <w:rPr>
          <w:rStyle w:val="Appelnotedebasdep"/>
          <w:rFonts w:ascii="Calibri" w:hAnsi="Calibri"/>
        </w:rPr>
        <w:footnoteRef/>
      </w:r>
      <w:r w:rsidRPr="00300E34">
        <w:rPr>
          <w:rFonts w:ascii="Calibri" w:hAnsi="Calibri"/>
        </w:rPr>
        <w:t xml:space="preserve"> </w:t>
      </w:r>
      <w:r w:rsidRPr="00300E34">
        <w:rPr>
          <w:rFonts w:ascii="Calibri" w:hAnsi="Calibri"/>
          <w:lang w:val="es-CO"/>
        </w:rPr>
        <w:t xml:space="preserve">CSJ, Civil. Sentencias STC11747-2016, </w:t>
      </w:r>
      <w:r w:rsidRPr="00300E34">
        <w:rPr>
          <w:rFonts w:ascii="Calibri" w:hAnsi="Calibri"/>
          <w:szCs w:val="24"/>
        </w:rPr>
        <w:t>STC7545-2016, STC10685-2016 y STC12859-2016, respectivamente</w:t>
      </w:r>
    </w:p>
  </w:footnote>
  <w:footnote w:id="29">
    <w:p w:rsidR="003D6185" w:rsidRPr="006E005D" w:rsidRDefault="003D6185" w:rsidP="003D6185">
      <w:pPr>
        <w:pStyle w:val="Notedebasdepage"/>
        <w:jc w:val="both"/>
        <w:rPr>
          <w:lang w:val="fr-FR"/>
        </w:rPr>
      </w:pPr>
      <w:r w:rsidRPr="00623B4F">
        <w:rPr>
          <w:rStyle w:val="Appelnotedebasdep"/>
          <w:rFonts w:asciiTheme="minorHAnsi" w:hAnsiTheme="minorHAnsi" w:cs="Calibri"/>
        </w:rPr>
        <w:footnoteRef/>
      </w:r>
      <w:r w:rsidRPr="006E005D">
        <w:rPr>
          <w:rFonts w:asciiTheme="minorHAnsi" w:hAnsiTheme="minorHAnsi" w:cs="Calibri"/>
          <w:lang w:val="fr-FR"/>
        </w:rPr>
        <w:t xml:space="preserve"> CC. Sentencia T-184 de 2005.</w:t>
      </w:r>
    </w:p>
  </w:footnote>
  <w:footnote w:id="30">
    <w:p w:rsidR="003D6185" w:rsidRPr="006E005D" w:rsidRDefault="003D6185" w:rsidP="003D6185">
      <w:pPr>
        <w:pStyle w:val="Notedebasdepage"/>
        <w:rPr>
          <w:lang w:val="fr-FR"/>
        </w:rPr>
      </w:pPr>
      <w:r>
        <w:rPr>
          <w:rStyle w:val="Appelnotedebasdep"/>
        </w:rPr>
        <w:footnoteRef/>
      </w:r>
      <w:r w:rsidRPr="006E005D">
        <w:rPr>
          <w:lang w:val="fr-FR"/>
        </w:rPr>
        <w:t xml:space="preserve"> </w:t>
      </w:r>
      <w:r w:rsidRPr="006E005D">
        <w:rPr>
          <w:rFonts w:asciiTheme="minorHAnsi" w:hAnsiTheme="minorHAnsi" w:cs="Calibri"/>
          <w:lang w:val="fr-FR"/>
        </w:rPr>
        <w:t>CC. Sentencia T-001 de 2016</w:t>
      </w:r>
      <w:r w:rsidRPr="006E005D">
        <w:rPr>
          <w:rFonts w:ascii="Verdana" w:hAnsi="Verdana"/>
          <w:bCs/>
          <w:color w:val="000000"/>
          <w:sz w:val="22"/>
          <w:szCs w:val="22"/>
          <w:lang w:val="fr-FR"/>
        </w:rPr>
        <w:t>.</w:t>
      </w:r>
    </w:p>
  </w:footnote>
  <w:footnote w:id="31">
    <w:p w:rsidR="003D6185" w:rsidRDefault="003D6185" w:rsidP="003D6185">
      <w:pPr>
        <w:pStyle w:val="Notedebasdepage"/>
        <w:jc w:val="both"/>
      </w:pPr>
      <w:r w:rsidRPr="00623B4F">
        <w:rPr>
          <w:rStyle w:val="Appelnotedebasdep"/>
          <w:rFonts w:asciiTheme="minorHAnsi" w:hAnsiTheme="minorHAnsi" w:cs="Calibri"/>
        </w:rPr>
        <w:footnoteRef/>
      </w:r>
      <w:r w:rsidRPr="00623B4F">
        <w:rPr>
          <w:rFonts w:asciiTheme="minorHAnsi" w:hAnsiTheme="minorHAnsi" w:cs="Calibri"/>
        </w:rPr>
        <w:t xml:space="preserve"> Dispone el artículo 4° del Decreto 306 de 1992: </w:t>
      </w:r>
      <w:r w:rsidRPr="00623B4F">
        <w:rPr>
          <w:rFonts w:asciiTheme="minorHAnsi" w:hAnsiTheme="minorHAnsi" w:cs="Calibri"/>
          <w:i/>
          <w:iCs/>
        </w:rPr>
        <w:t>“Para la interpretación de las disposiciones sobre trámite de la acción de tutela previstas por el Decreto 2591 de 1991 se aplicarán los principios generales del Código de Procedimiento Civil, en todo aquello que no sean contrarios a dicho decreto (...)”.</w:t>
      </w:r>
    </w:p>
  </w:footnote>
  <w:footnote w:id="32">
    <w:p w:rsidR="003D6185" w:rsidRPr="006E005D" w:rsidRDefault="003D6185" w:rsidP="003D6185">
      <w:pPr>
        <w:pStyle w:val="Notedebasdepage"/>
        <w:jc w:val="both"/>
        <w:rPr>
          <w:lang w:val="fr-FR"/>
        </w:rPr>
      </w:pPr>
      <w:r w:rsidRPr="00623B4F">
        <w:rPr>
          <w:rStyle w:val="Appelnotedebasdep"/>
          <w:rFonts w:asciiTheme="minorHAnsi" w:hAnsiTheme="minorHAnsi" w:cs="Calibri"/>
        </w:rPr>
        <w:footnoteRef/>
      </w:r>
      <w:r w:rsidRPr="006E005D">
        <w:rPr>
          <w:rFonts w:asciiTheme="minorHAnsi" w:hAnsiTheme="minorHAnsi" w:cs="Calibri"/>
          <w:lang w:val="fr-FR"/>
        </w:rPr>
        <w:t xml:space="preserve"> CC. Sentencia T-443 de 1995.</w:t>
      </w:r>
    </w:p>
  </w:footnote>
  <w:footnote w:id="33">
    <w:p w:rsidR="003D6185" w:rsidRPr="006E005D" w:rsidRDefault="003D6185" w:rsidP="003D6185">
      <w:pPr>
        <w:pStyle w:val="Notedebasdepage"/>
        <w:jc w:val="both"/>
        <w:rPr>
          <w:lang w:val="fr-FR"/>
        </w:rPr>
      </w:pPr>
      <w:r w:rsidRPr="00623B4F">
        <w:rPr>
          <w:rStyle w:val="Appelnotedebasdep"/>
          <w:rFonts w:asciiTheme="minorHAnsi" w:hAnsiTheme="minorHAnsi" w:cs="Calibri"/>
        </w:rPr>
        <w:footnoteRef/>
      </w:r>
      <w:r w:rsidRPr="006E005D">
        <w:rPr>
          <w:rFonts w:asciiTheme="minorHAnsi" w:hAnsiTheme="minorHAnsi" w:cs="Calibri"/>
          <w:lang w:val="fr-FR"/>
        </w:rPr>
        <w:t xml:space="preserve"> CC. Sentencia T-149 de 1995.</w:t>
      </w:r>
    </w:p>
  </w:footnote>
  <w:footnote w:id="34">
    <w:p w:rsidR="003D6185" w:rsidRPr="006E005D" w:rsidRDefault="003D6185" w:rsidP="003D6185">
      <w:pPr>
        <w:pStyle w:val="Notedebasdepage"/>
        <w:jc w:val="both"/>
        <w:rPr>
          <w:lang w:val="fr-FR"/>
        </w:rPr>
      </w:pPr>
      <w:r w:rsidRPr="00623B4F">
        <w:rPr>
          <w:rStyle w:val="Appelnotedebasdep"/>
          <w:rFonts w:asciiTheme="minorHAnsi" w:hAnsiTheme="minorHAnsi" w:cs="Calibri"/>
        </w:rPr>
        <w:footnoteRef/>
      </w:r>
      <w:r w:rsidRPr="006E005D">
        <w:rPr>
          <w:rFonts w:asciiTheme="minorHAnsi" w:hAnsiTheme="minorHAnsi" w:cs="Calibri"/>
          <w:lang w:val="fr-FR"/>
        </w:rPr>
        <w:t xml:space="preserve"> CC. Sentencia T-308 de 1995.</w:t>
      </w:r>
    </w:p>
  </w:footnote>
  <w:footnote w:id="35">
    <w:p w:rsidR="003D6185" w:rsidRPr="006E005D" w:rsidRDefault="003D6185" w:rsidP="003D6185">
      <w:pPr>
        <w:pStyle w:val="Notedebasdepage"/>
        <w:jc w:val="both"/>
        <w:rPr>
          <w:lang w:val="fr-FR"/>
        </w:rPr>
      </w:pPr>
      <w:r w:rsidRPr="00623B4F">
        <w:rPr>
          <w:rStyle w:val="Appelnotedebasdep"/>
          <w:rFonts w:asciiTheme="minorHAnsi" w:hAnsiTheme="minorHAnsi" w:cs="Calibri"/>
        </w:rPr>
        <w:footnoteRef/>
      </w:r>
      <w:r w:rsidRPr="006E005D">
        <w:rPr>
          <w:rFonts w:asciiTheme="minorHAnsi" w:hAnsiTheme="minorHAnsi" w:cs="Calibri"/>
          <w:lang w:val="fr-FR"/>
        </w:rPr>
        <w:t xml:space="preserve"> CC. Sentencia T-443 de 1995.</w:t>
      </w:r>
    </w:p>
  </w:footnote>
  <w:footnote w:id="36">
    <w:p w:rsidR="003D6185" w:rsidRPr="006E005D" w:rsidRDefault="003D6185" w:rsidP="003D6185">
      <w:pPr>
        <w:pStyle w:val="Notedebasdepage"/>
        <w:jc w:val="both"/>
        <w:rPr>
          <w:lang w:val="fr-FR"/>
        </w:rPr>
      </w:pPr>
      <w:r w:rsidRPr="00623B4F">
        <w:rPr>
          <w:rStyle w:val="Appelnotedebasdep"/>
          <w:rFonts w:asciiTheme="minorHAnsi" w:hAnsiTheme="minorHAnsi" w:cs="Calibri"/>
        </w:rPr>
        <w:footnoteRef/>
      </w:r>
      <w:r w:rsidRPr="006E005D">
        <w:rPr>
          <w:rFonts w:asciiTheme="minorHAnsi" w:hAnsiTheme="minorHAnsi" w:cs="Calibri"/>
          <w:lang w:val="fr-FR"/>
        </w:rPr>
        <w:t xml:space="preserve"> CC. Sentencia T-001 de 1997.</w:t>
      </w:r>
    </w:p>
  </w:footnote>
  <w:footnote w:id="37">
    <w:p w:rsidR="003D6185" w:rsidRPr="006E005D" w:rsidRDefault="003D6185" w:rsidP="003D6185">
      <w:pPr>
        <w:pStyle w:val="Notedebasdepage"/>
        <w:jc w:val="both"/>
        <w:rPr>
          <w:rFonts w:ascii="Calibri" w:hAnsi="Calibri"/>
          <w:lang w:val="fr-FR"/>
        </w:rPr>
      </w:pPr>
      <w:r w:rsidRPr="00D54497">
        <w:rPr>
          <w:rStyle w:val="Appelnotedebasdep"/>
          <w:rFonts w:ascii="Calibri" w:hAnsi="Calibri" w:cs="Calibri"/>
        </w:rPr>
        <w:footnoteRef/>
      </w:r>
      <w:r w:rsidRPr="006E005D">
        <w:rPr>
          <w:rFonts w:ascii="Calibri" w:hAnsi="Calibri" w:cs="Calibri"/>
          <w:lang w:val="fr-FR"/>
        </w:rPr>
        <w:t xml:space="preserve"> CC. Sentencia T-184 de 2005.</w:t>
      </w:r>
    </w:p>
  </w:footnote>
  <w:footnote w:id="38">
    <w:p w:rsidR="003D6185" w:rsidRPr="00D54497" w:rsidRDefault="003D6185" w:rsidP="003D6185">
      <w:pPr>
        <w:pStyle w:val="Notedebasdepage"/>
        <w:jc w:val="both"/>
        <w:rPr>
          <w:rFonts w:ascii="Calibri" w:hAnsi="Calibri"/>
          <w:lang w:val="es-CO"/>
        </w:rPr>
      </w:pPr>
      <w:r w:rsidRPr="00D54497">
        <w:rPr>
          <w:rStyle w:val="Appelnotedebasdep"/>
          <w:rFonts w:ascii="Calibri" w:hAnsi="Calibri"/>
        </w:rPr>
        <w:footnoteRef/>
      </w:r>
      <w:r w:rsidRPr="00D54497">
        <w:rPr>
          <w:rFonts w:ascii="Calibri" w:hAnsi="Calibri"/>
        </w:rPr>
        <w:t xml:space="preserve"> </w:t>
      </w:r>
      <w:r>
        <w:rPr>
          <w:rFonts w:ascii="Calibri" w:hAnsi="Calibri"/>
          <w:lang w:val="es-CO"/>
        </w:rPr>
        <w:t xml:space="preserve">CSJ, Sala </w:t>
      </w:r>
      <w:r w:rsidRPr="00D54497">
        <w:rPr>
          <w:rFonts w:ascii="Calibri" w:hAnsi="Calibri"/>
          <w:lang w:val="es-CO"/>
        </w:rPr>
        <w:t>Civil. Sentencia STC7600-2016.</w:t>
      </w:r>
    </w:p>
  </w:footnote>
  <w:footnote w:id="39">
    <w:p w:rsidR="003D6185" w:rsidRPr="00D54497" w:rsidRDefault="003D6185" w:rsidP="003D6185">
      <w:pPr>
        <w:pStyle w:val="Notedebasdepage"/>
        <w:jc w:val="both"/>
        <w:rPr>
          <w:rFonts w:ascii="Calibri" w:hAnsi="Calibri"/>
          <w:lang w:val="es-CO"/>
        </w:rPr>
      </w:pPr>
      <w:r w:rsidRPr="00D54497">
        <w:rPr>
          <w:rStyle w:val="Appelnotedebasdep"/>
          <w:rFonts w:ascii="Calibri" w:hAnsi="Calibri"/>
        </w:rPr>
        <w:footnoteRef/>
      </w:r>
      <w:r w:rsidRPr="00D54497">
        <w:rPr>
          <w:rFonts w:ascii="Calibri" w:hAnsi="Calibri"/>
        </w:rPr>
        <w:t xml:space="preserve"> </w:t>
      </w:r>
      <w:r>
        <w:rPr>
          <w:rFonts w:ascii="Calibri" w:hAnsi="Calibri"/>
          <w:lang w:val="es-CO"/>
        </w:rPr>
        <w:t>TSP</w:t>
      </w:r>
      <w:r w:rsidRPr="00D54497">
        <w:rPr>
          <w:rFonts w:ascii="Calibri" w:hAnsi="Calibri"/>
          <w:lang w:val="es-CO"/>
        </w:rPr>
        <w:t xml:space="preserve">, Sala Civil – Familia. Sentencia del 30-06-2016, </w:t>
      </w:r>
      <w:proofErr w:type="spellStart"/>
      <w:r w:rsidRPr="00D54497">
        <w:rPr>
          <w:rFonts w:ascii="Calibri" w:hAnsi="Calibri"/>
          <w:lang w:val="es-CO"/>
        </w:rPr>
        <w:t>exp</w:t>
      </w:r>
      <w:proofErr w:type="spellEnd"/>
      <w:r w:rsidRPr="00D54497">
        <w:rPr>
          <w:rFonts w:ascii="Calibri" w:hAnsi="Calibri"/>
          <w:lang w:val="es-CO"/>
        </w:rPr>
        <w:t>.</w:t>
      </w:r>
      <w:r w:rsidRPr="00D54497">
        <w:rPr>
          <w:rFonts w:ascii="Calibri" w:hAnsi="Calibri" w:cs="Arial"/>
          <w:sz w:val="22"/>
          <w:szCs w:val="22"/>
        </w:rPr>
        <w:t xml:space="preserve"> </w:t>
      </w:r>
      <w:proofErr w:type="spellStart"/>
      <w:r>
        <w:rPr>
          <w:rFonts w:ascii="Calibri" w:hAnsi="Calibri" w:cs="Arial"/>
          <w:sz w:val="22"/>
          <w:szCs w:val="22"/>
        </w:rPr>
        <w:t>No.</w:t>
      </w:r>
      <w:r w:rsidRPr="00D54497">
        <w:rPr>
          <w:rFonts w:ascii="Calibri" w:hAnsi="Calibri"/>
        </w:rPr>
        <w:t>2016</w:t>
      </w:r>
      <w:proofErr w:type="spellEnd"/>
      <w:r w:rsidRPr="00D54497">
        <w:rPr>
          <w:rFonts w:ascii="Calibri" w:hAnsi="Calibri"/>
        </w:rPr>
        <w:t xml:space="preserve">-00554-00, </w:t>
      </w:r>
      <w:proofErr w:type="spellStart"/>
      <w:r w:rsidRPr="00D54497">
        <w:rPr>
          <w:rFonts w:ascii="Calibri" w:hAnsi="Calibri"/>
        </w:rPr>
        <w:t>MP</w:t>
      </w:r>
      <w:proofErr w:type="spellEnd"/>
      <w:r>
        <w:rPr>
          <w:rFonts w:ascii="Calibri" w:hAnsi="Calibri"/>
        </w:rPr>
        <w:t>:</w:t>
      </w:r>
      <w:r w:rsidRPr="00D54497">
        <w:rPr>
          <w:rFonts w:ascii="Calibri" w:hAnsi="Calibri"/>
        </w:rPr>
        <w:t xml:space="preserve"> </w:t>
      </w:r>
      <w:proofErr w:type="spellStart"/>
      <w:r w:rsidRPr="00D54497">
        <w:rPr>
          <w:rFonts w:ascii="Calibri" w:hAnsi="Calibri"/>
        </w:rPr>
        <w:t>Duberney</w:t>
      </w:r>
      <w:proofErr w:type="spellEnd"/>
      <w:r w:rsidRPr="00D54497">
        <w:rPr>
          <w:rFonts w:ascii="Calibri" w:hAnsi="Calibri"/>
        </w:rPr>
        <w:t xml:space="preserve"> Grisales Herrera.</w:t>
      </w:r>
    </w:p>
  </w:footnote>
  <w:footnote w:id="40">
    <w:p w:rsidR="003D6185" w:rsidRPr="00D54497" w:rsidRDefault="003D6185" w:rsidP="003D6185">
      <w:pPr>
        <w:pStyle w:val="Notedebasdepage"/>
        <w:jc w:val="both"/>
        <w:rPr>
          <w:lang w:val="es-CO"/>
        </w:rPr>
      </w:pPr>
      <w:r w:rsidRPr="00D54497">
        <w:rPr>
          <w:rStyle w:val="Appelnotedebasdep"/>
          <w:rFonts w:ascii="Calibri" w:hAnsi="Calibri"/>
        </w:rPr>
        <w:footnoteRef/>
      </w:r>
      <w:r w:rsidRPr="00D54497">
        <w:rPr>
          <w:rFonts w:ascii="Calibri" w:hAnsi="Calibri"/>
        </w:rPr>
        <w:t xml:space="preserve"> </w:t>
      </w:r>
      <w:r>
        <w:rPr>
          <w:rFonts w:ascii="Calibri" w:hAnsi="Calibri"/>
          <w:lang w:val="es-CO"/>
        </w:rPr>
        <w:t>TSP</w:t>
      </w:r>
      <w:r w:rsidRPr="00D54497">
        <w:rPr>
          <w:rFonts w:ascii="Calibri" w:hAnsi="Calibri"/>
          <w:lang w:val="es-CO"/>
        </w:rPr>
        <w:t xml:space="preserve">, Sala Civil – Familia. Sentencia del 11-08-2016, </w:t>
      </w:r>
      <w:proofErr w:type="spellStart"/>
      <w:r w:rsidRPr="00D54497">
        <w:rPr>
          <w:rFonts w:ascii="Calibri" w:hAnsi="Calibri"/>
          <w:lang w:val="es-CO"/>
        </w:rPr>
        <w:t>exp</w:t>
      </w:r>
      <w:proofErr w:type="spellEnd"/>
      <w:r w:rsidRPr="00D54497">
        <w:rPr>
          <w:rFonts w:ascii="Calibri" w:hAnsi="Calibri"/>
          <w:lang w:val="es-CO"/>
        </w:rPr>
        <w:t>.</w:t>
      </w:r>
      <w:r w:rsidRPr="00D54497">
        <w:rPr>
          <w:rFonts w:ascii="Calibri" w:hAnsi="Calibri" w:cs="Arial"/>
          <w:sz w:val="22"/>
          <w:szCs w:val="22"/>
        </w:rPr>
        <w:t xml:space="preserve"> </w:t>
      </w:r>
      <w:proofErr w:type="spellStart"/>
      <w:r>
        <w:rPr>
          <w:rFonts w:ascii="Calibri" w:hAnsi="Calibri" w:cs="Arial"/>
          <w:sz w:val="22"/>
          <w:szCs w:val="22"/>
        </w:rPr>
        <w:t>No.</w:t>
      </w:r>
      <w:r w:rsidRPr="00D54497">
        <w:rPr>
          <w:rFonts w:ascii="Calibri" w:hAnsi="Calibri"/>
        </w:rPr>
        <w:t>2016</w:t>
      </w:r>
      <w:proofErr w:type="spellEnd"/>
      <w:r w:rsidRPr="00D54497">
        <w:rPr>
          <w:rFonts w:ascii="Calibri" w:hAnsi="Calibri"/>
        </w:rPr>
        <w:t xml:space="preserve">-00750-00, </w:t>
      </w:r>
      <w:proofErr w:type="spellStart"/>
      <w:r w:rsidRPr="00D54497">
        <w:rPr>
          <w:rFonts w:ascii="Calibri" w:hAnsi="Calibri"/>
        </w:rPr>
        <w:t>MP</w:t>
      </w:r>
      <w:proofErr w:type="spellEnd"/>
      <w:r>
        <w:rPr>
          <w:rFonts w:ascii="Calibri" w:hAnsi="Calibri"/>
        </w:rPr>
        <w:t>:</w:t>
      </w:r>
      <w:r w:rsidRPr="00D54497">
        <w:rPr>
          <w:rFonts w:ascii="Calibri" w:hAnsi="Calibri"/>
        </w:rPr>
        <w:t xml:space="preserve"> </w:t>
      </w:r>
      <w:proofErr w:type="spellStart"/>
      <w:r w:rsidRPr="00D54497">
        <w:rPr>
          <w:rFonts w:ascii="Calibri" w:hAnsi="Calibri"/>
        </w:rPr>
        <w:t>Duberney</w:t>
      </w:r>
      <w:proofErr w:type="spellEnd"/>
      <w:r w:rsidRPr="00D54497">
        <w:rPr>
          <w:rFonts w:ascii="Calibri" w:hAnsi="Calibri"/>
        </w:rPr>
        <w:t xml:space="preserve"> Grisales Herrera.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1AE" w:rsidRPr="006414F7" w:rsidRDefault="00CC51AE" w:rsidP="00F7395A">
    <w:pPr>
      <w:pStyle w:val="En-tte"/>
      <w:pBdr>
        <w:bottom w:val="single" w:sz="4" w:space="2"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0092217F" w:rsidRPr="006414F7">
      <w:rPr>
        <w:rFonts w:ascii="Calibri" w:hAnsi="Calibri" w:cs="Calibri"/>
        <w:i/>
        <w:sz w:val="20"/>
      </w:rPr>
      <w:fldChar w:fldCharType="begin"/>
    </w:r>
    <w:r w:rsidRPr="006414F7">
      <w:rPr>
        <w:rFonts w:ascii="Calibri" w:hAnsi="Calibri" w:cs="Calibri"/>
        <w:i/>
        <w:sz w:val="20"/>
      </w:rPr>
      <w:instrText xml:space="preserve"> PAGE   \* MERGEFORMAT </w:instrText>
    </w:r>
    <w:r w:rsidR="0092217F" w:rsidRPr="006414F7">
      <w:rPr>
        <w:rFonts w:ascii="Calibri" w:hAnsi="Calibri" w:cs="Calibri"/>
        <w:i/>
        <w:sz w:val="20"/>
      </w:rPr>
      <w:fldChar w:fldCharType="separate"/>
    </w:r>
    <w:r w:rsidR="00CC281A">
      <w:rPr>
        <w:rFonts w:ascii="Calibri" w:hAnsi="Calibri" w:cs="Calibri"/>
        <w:i/>
        <w:noProof/>
        <w:sz w:val="20"/>
      </w:rPr>
      <w:t>12</w:t>
    </w:r>
    <w:r w:rsidR="0092217F" w:rsidRPr="006414F7">
      <w:rPr>
        <w:rFonts w:ascii="Calibri" w:hAnsi="Calibri" w:cs="Calibri"/>
        <w:i/>
        <w:sz w:val="20"/>
      </w:rPr>
      <w:fldChar w:fldCharType="end"/>
    </w:r>
  </w:p>
  <w:p w:rsidR="000B5596" w:rsidRPr="002A70E1" w:rsidRDefault="000B5596" w:rsidP="000B5596">
    <w:pPr>
      <w:pStyle w:val="En-tte"/>
      <w:ind w:right="360"/>
      <w:jc w:val="both"/>
      <w:rPr>
        <w:rFonts w:asciiTheme="minorHAnsi" w:hAnsiTheme="minorHAnsi"/>
        <w:b/>
        <w:bCs/>
        <w:i/>
        <w:sz w:val="22"/>
      </w:rPr>
    </w:pPr>
    <w:r w:rsidRPr="006414F7">
      <w:rPr>
        <w:rFonts w:ascii="Calibri" w:hAnsi="Calibri" w:cs="Calibri"/>
        <w:i/>
        <w:sz w:val="20"/>
        <w:szCs w:val="22"/>
      </w:rPr>
      <w:t>EXPEDIENTE No.</w:t>
    </w:r>
    <w:r w:rsidR="00F7395A">
      <w:rPr>
        <w:rFonts w:ascii="Calibri" w:hAnsi="Calibri" w:cs="Calibri"/>
        <w:i/>
        <w:sz w:val="20"/>
        <w:szCs w:val="22"/>
      </w:rPr>
      <w:t>2016-</w:t>
    </w:r>
    <w:r w:rsidR="008217F2">
      <w:rPr>
        <w:rFonts w:ascii="Calibri" w:hAnsi="Calibri" w:cs="Calibri"/>
        <w:i/>
        <w:sz w:val="20"/>
        <w:szCs w:val="22"/>
      </w:rPr>
      <w:t>00979</w:t>
    </w:r>
    <w:r w:rsidR="00D11143">
      <w:rPr>
        <w:rFonts w:ascii="Calibri" w:hAnsi="Calibri" w:cs="Calibri"/>
        <w:i/>
        <w:sz w:val="20"/>
        <w:szCs w:val="22"/>
      </w:rPr>
      <w:t xml:space="preserve">-00 </w:t>
    </w:r>
    <w:r w:rsidR="00934393">
      <w:rPr>
        <w:rFonts w:ascii="Calibri" w:hAnsi="Calibri" w:cs="Calibri"/>
        <w:i/>
        <w:sz w:val="20"/>
        <w:szCs w:val="22"/>
      </w:rPr>
      <w:t>LLRR</w:t>
    </w:r>
  </w:p>
  <w:p w:rsidR="00CC51AE" w:rsidRPr="006414F7" w:rsidRDefault="00CC51AE" w:rsidP="00ED32C8">
    <w:pPr>
      <w:pStyle w:val="En-tte"/>
      <w:ind w:right="360"/>
      <w:jc w:val="both"/>
      <w:rPr>
        <w:rFonts w:ascii="Calibri" w:hAnsi="Calibri" w:cs="Calibri"/>
        <w:i/>
        <w:sz w:val="20"/>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A04"/>
    <w:multiLevelType w:val="hybridMultilevel"/>
    <w:tmpl w:val="BE928AD0"/>
    <w:lvl w:ilvl="0" w:tplc="FFFFFFFF">
      <w:start w:val="1"/>
      <w:numFmt w:val="decimal"/>
      <w:lvlText w:val="%1."/>
      <w:lvlJc w:val="left"/>
      <w:pPr>
        <w:tabs>
          <w:tab w:val="num" w:pos="786"/>
        </w:tabs>
        <w:ind w:left="786" w:hanging="360"/>
      </w:pPr>
      <w:rPr>
        <w:rFonts w:cs="Times New Roman"/>
      </w:rPr>
    </w:lvl>
    <w:lvl w:ilvl="1" w:tplc="FFFFFFFF" w:tentative="1">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1F177100"/>
    <w:multiLevelType w:val="multilevel"/>
    <w:tmpl w:val="BE6848E8"/>
    <w:lvl w:ilvl="0">
      <w:start w:val="7"/>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2AB803A5"/>
    <w:multiLevelType w:val="multilevel"/>
    <w:tmpl w:val="0296A5D4"/>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65B0F5A"/>
    <w:multiLevelType w:val="hybridMultilevel"/>
    <w:tmpl w:val="1DAA708A"/>
    <w:lvl w:ilvl="0" w:tplc="E3A82958">
      <w:start w:val="1"/>
      <w:numFmt w:val="decimal"/>
      <w:lvlText w:val="%1."/>
      <w:lvlJc w:val="left"/>
      <w:pPr>
        <w:ind w:left="720" w:hanging="360"/>
      </w:pPr>
      <w:rPr>
        <w:rFonts w:ascii="Arial" w:hAnsi="Arial" w:cs="Arial" w:hint="default"/>
        <w:b w:val="0"/>
        <w:i w:val="0"/>
        <w:sz w:val="24"/>
        <w:szCs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5">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4BCB7FC1"/>
    <w:multiLevelType w:val="multilevel"/>
    <w:tmpl w:val="EA960A10"/>
    <w:lvl w:ilvl="0">
      <w:start w:val="7"/>
      <w:numFmt w:val="decimal"/>
      <w:lvlText w:val="%1."/>
      <w:lvlJc w:val="left"/>
      <w:pPr>
        <w:ind w:left="585" w:hanging="585"/>
      </w:pPr>
      <w:rPr>
        <w:rFonts w:cs="Times New Roman" w:hint="default"/>
      </w:rPr>
    </w:lvl>
    <w:lvl w:ilvl="1">
      <w:start w:val="3"/>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2">
    <w:nsid w:val="4E0C6B0C"/>
    <w:multiLevelType w:val="multilevel"/>
    <w:tmpl w:val="187E0CAE"/>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2A42A00"/>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6">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B1A578A"/>
    <w:multiLevelType w:val="hybridMultilevel"/>
    <w:tmpl w:val="B162A5CA"/>
    <w:lvl w:ilvl="0" w:tplc="A4827C38">
      <w:start w:val="1"/>
      <w:numFmt w:val="decimal"/>
      <w:lvlText w:val="%1."/>
      <w:lvlJc w:val="left"/>
      <w:pPr>
        <w:tabs>
          <w:tab w:val="num" w:pos="360"/>
        </w:tabs>
        <w:ind w:left="360" w:hanging="360"/>
      </w:pPr>
      <w:rPr>
        <w:rFonts w:cs="Times New Roman" w:hint="default"/>
        <w:sz w:val="28"/>
        <w:szCs w:val="28"/>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8"/>
  </w:num>
  <w:num w:numId="2">
    <w:abstractNumId w:val="14"/>
  </w:num>
  <w:num w:numId="3">
    <w:abstractNumId w:val="13"/>
  </w:num>
  <w:num w:numId="4">
    <w:abstractNumId w:val="2"/>
  </w:num>
  <w:num w:numId="5">
    <w:abstractNumId w:val="26"/>
  </w:num>
  <w:num w:numId="6">
    <w:abstractNumId w:val="0"/>
  </w:num>
  <w:num w:numId="7">
    <w:abstractNumId w:val="20"/>
  </w:num>
  <w:num w:numId="8">
    <w:abstractNumId w:val="1"/>
  </w:num>
  <w:num w:numId="9">
    <w:abstractNumId w:val="27"/>
  </w:num>
  <w:num w:numId="10">
    <w:abstractNumId w:val="21"/>
  </w:num>
  <w:num w:numId="11">
    <w:abstractNumId w:val="17"/>
  </w:num>
  <w:num w:numId="12">
    <w:abstractNumId w:val="25"/>
  </w:num>
  <w:num w:numId="13">
    <w:abstractNumId w:val="9"/>
  </w:num>
  <w:num w:numId="14">
    <w:abstractNumId w:val="10"/>
  </w:num>
  <w:num w:numId="15">
    <w:abstractNumId w:val="15"/>
  </w:num>
  <w:num w:numId="16">
    <w:abstractNumId w:val="4"/>
  </w:num>
  <w:num w:numId="17">
    <w:abstractNumId w:val="16"/>
  </w:num>
  <w:num w:numId="18">
    <w:abstractNumId w:val="7"/>
  </w:num>
  <w:num w:numId="19">
    <w:abstractNumId w:val="5"/>
  </w:num>
  <w:num w:numId="20">
    <w:abstractNumId w:val="11"/>
  </w:num>
  <w:num w:numId="21">
    <w:abstractNumId w:val="18"/>
  </w:num>
  <w:num w:numId="22">
    <w:abstractNumId w:val="24"/>
  </w:num>
  <w:num w:numId="23">
    <w:abstractNumId w:val="6"/>
  </w:num>
  <w:num w:numId="24">
    <w:abstractNumId w:val="22"/>
  </w:num>
  <w:num w:numId="25">
    <w:abstractNumId w:val="3"/>
  </w:num>
  <w:num w:numId="26">
    <w:abstractNumId w:val="12"/>
  </w:num>
  <w:num w:numId="27">
    <w:abstractNumId w:val="23"/>
  </w:num>
  <w:num w:numId="28">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06D6"/>
    <w:rsid w:val="00001094"/>
    <w:rsid w:val="00001684"/>
    <w:rsid w:val="00001715"/>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C6E"/>
    <w:rsid w:val="00006D07"/>
    <w:rsid w:val="00007C0C"/>
    <w:rsid w:val="000103BF"/>
    <w:rsid w:val="00010589"/>
    <w:rsid w:val="00012205"/>
    <w:rsid w:val="000127B0"/>
    <w:rsid w:val="00013352"/>
    <w:rsid w:val="00013748"/>
    <w:rsid w:val="00013F3E"/>
    <w:rsid w:val="000145EA"/>
    <w:rsid w:val="000147A2"/>
    <w:rsid w:val="00014AAD"/>
    <w:rsid w:val="00014D85"/>
    <w:rsid w:val="00015039"/>
    <w:rsid w:val="00015311"/>
    <w:rsid w:val="000158E3"/>
    <w:rsid w:val="00016253"/>
    <w:rsid w:val="000174DA"/>
    <w:rsid w:val="00017666"/>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3B2D"/>
    <w:rsid w:val="000240A4"/>
    <w:rsid w:val="00024136"/>
    <w:rsid w:val="000243C4"/>
    <w:rsid w:val="00024442"/>
    <w:rsid w:val="000247B3"/>
    <w:rsid w:val="00024831"/>
    <w:rsid w:val="00024FF0"/>
    <w:rsid w:val="000256AC"/>
    <w:rsid w:val="00025EDE"/>
    <w:rsid w:val="00026116"/>
    <w:rsid w:val="00026255"/>
    <w:rsid w:val="000267D2"/>
    <w:rsid w:val="00026BFF"/>
    <w:rsid w:val="00026E86"/>
    <w:rsid w:val="000271AD"/>
    <w:rsid w:val="00027398"/>
    <w:rsid w:val="00027A6F"/>
    <w:rsid w:val="00030686"/>
    <w:rsid w:val="000311D1"/>
    <w:rsid w:val="00032C42"/>
    <w:rsid w:val="0003401F"/>
    <w:rsid w:val="000341E2"/>
    <w:rsid w:val="00034A23"/>
    <w:rsid w:val="00035E46"/>
    <w:rsid w:val="00036D33"/>
    <w:rsid w:val="00037093"/>
    <w:rsid w:val="00040D5C"/>
    <w:rsid w:val="0004100F"/>
    <w:rsid w:val="00041210"/>
    <w:rsid w:val="00042D53"/>
    <w:rsid w:val="00043741"/>
    <w:rsid w:val="00043BB5"/>
    <w:rsid w:val="000449B2"/>
    <w:rsid w:val="000454FB"/>
    <w:rsid w:val="00045578"/>
    <w:rsid w:val="00046FFB"/>
    <w:rsid w:val="000474A6"/>
    <w:rsid w:val="0004780D"/>
    <w:rsid w:val="000501A9"/>
    <w:rsid w:val="000503C6"/>
    <w:rsid w:val="00050733"/>
    <w:rsid w:val="00050EF2"/>
    <w:rsid w:val="00051418"/>
    <w:rsid w:val="0005233B"/>
    <w:rsid w:val="00052EDD"/>
    <w:rsid w:val="00053152"/>
    <w:rsid w:val="0005410F"/>
    <w:rsid w:val="0005443E"/>
    <w:rsid w:val="00054679"/>
    <w:rsid w:val="000547E1"/>
    <w:rsid w:val="00055048"/>
    <w:rsid w:val="00055173"/>
    <w:rsid w:val="00055FDD"/>
    <w:rsid w:val="00057125"/>
    <w:rsid w:val="00057150"/>
    <w:rsid w:val="00060303"/>
    <w:rsid w:val="000605AB"/>
    <w:rsid w:val="00060C31"/>
    <w:rsid w:val="00060CFD"/>
    <w:rsid w:val="00060ED4"/>
    <w:rsid w:val="000615A1"/>
    <w:rsid w:val="000616FF"/>
    <w:rsid w:val="00061774"/>
    <w:rsid w:val="00062560"/>
    <w:rsid w:val="00062806"/>
    <w:rsid w:val="00062885"/>
    <w:rsid w:val="0006557F"/>
    <w:rsid w:val="00065A60"/>
    <w:rsid w:val="00066166"/>
    <w:rsid w:val="00066AAA"/>
    <w:rsid w:val="00066E83"/>
    <w:rsid w:val="00066FAC"/>
    <w:rsid w:val="0006709B"/>
    <w:rsid w:val="00067566"/>
    <w:rsid w:val="00067A15"/>
    <w:rsid w:val="00070840"/>
    <w:rsid w:val="000708C1"/>
    <w:rsid w:val="00070DF7"/>
    <w:rsid w:val="000710BC"/>
    <w:rsid w:val="00071118"/>
    <w:rsid w:val="000717F8"/>
    <w:rsid w:val="000723F4"/>
    <w:rsid w:val="00072496"/>
    <w:rsid w:val="00073248"/>
    <w:rsid w:val="000735CB"/>
    <w:rsid w:val="00073953"/>
    <w:rsid w:val="00074032"/>
    <w:rsid w:val="0007464B"/>
    <w:rsid w:val="000756CD"/>
    <w:rsid w:val="000769E5"/>
    <w:rsid w:val="000774AE"/>
    <w:rsid w:val="000803A5"/>
    <w:rsid w:val="00080DED"/>
    <w:rsid w:val="00081F32"/>
    <w:rsid w:val="000827E2"/>
    <w:rsid w:val="00082813"/>
    <w:rsid w:val="000833E9"/>
    <w:rsid w:val="000844E0"/>
    <w:rsid w:val="000848A3"/>
    <w:rsid w:val="00085345"/>
    <w:rsid w:val="00085349"/>
    <w:rsid w:val="00085633"/>
    <w:rsid w:val="00085E66"/>
    <w:rsid w:val="00086468"/>
    <w:rsid w:val="000865B7"/>
    <w:rsid w:val="000865F3"/>
    <w:rsid w:val="000866B3"/>
    <w:rsid w:val="00086D9B"/>
    <w:rsid w:val="000878C7"/>
    <w:rsid w:val="000878F4"/>
    <w:rsid w:val="000879AA"/>
    <w:rsid w:val="00090BD7"/>
    <w:rsid w:val="00091B3D"/>
    <w:rsid w:val="00091D44"/>
    <w:rsid w:val="0009208D"/>
    <w:rsid w:val="00092B1F"/>
    <w:rsid w:val="0009333F"/>
    <w:rsid w:val="000938B9"/>
    <w:rsid w:val="00093C3D"/>
    <w:rsid w:val="00095EAB"/>
    <w:rsid w:val="000965B3"/>
    <w:rsid w:val="00096A82"/>
    <w:rsid w:val="000970D6"/>
    <w:rsid w:val="0009797E"/>
    <w:rsid w:val="00097C7C"/>
    <w:rsid w:val="000A0704"/>
    <w:rsid w:val="000A07E3"/>
    <w:rsid w:val="000A1196"/>
    <w:rsid w:val="000A131F"/>
    <w:rsid w:val="000A1B48"/>
    <w:rsid w:val="000A1D73"/>
    <w:rsid w:val="000A24D0"/>
    <w:rsid w:val="000A2503"/>
    <w:rsid w:val="000A2572"/>
    <w:rsid w:val="000A2A13"/>
    <w:rsid w:val="000A40B6"/>
    <w:rsid w:val="000A532A"/>
    <w:rsid w:val="000A537E"/>
    <w:rsid w:val="000A5381"/>
    <w:rsid w:val="000A59B5"/>
    <w:rsid w:val="000A5BE2"/>
    <w:rsid w:val="000A5D15"/>
    <w:rsid w:val="000A62DD"/>
    <w:rsid w:val="000A6331"/>
    <w:rsid w:val="000A6668"/>
    <w:rsid w:val="000A6800"/>
    <w:rsid w:val="000B0256"/>
    <w:rsid w:val="000B133E"/>
    <w:rsid w:val="000B1B8C"/>
    <w:rsid w:val="000B2347"/>
    <w:rsid w:val="000B2478"/>
    <w:rsid w:val="000B247F"/>
    <w:rsid w:val="000B2D52"/>
    <w:rsid w:val="000B329C"/>
    <w:rsid w:val="000B4029"/>
    <w:rsid w:val="000B415F"/>
    <w:rsid w:val="000B52B9"/>
    <w:rsid w:val="000B5596"/>
    <w:rsid w:val="000B5E81"/>
    <w:rsid w:val="000B6E18"/>
    <w:rsid w:val="000B7061"/>
    <w:rsid w:val="000B7519"/>
    <w:rsid w:val="000B7527"/>
    <w:rsid w:val="000B7969"/>
    <w:rsid w:val="000B7B23"/>
    <w:rsid w:val="000B7C77"/>
    <w:rsid w:val="000B7F7C"/>
    <w:rsid w:val="000C0320"/>
    <w:rsid w:val="000C0986"/>
    <w:rsid w:val="000C09C4"/>
    <w:rsid w:val="000C134E"/>
    <w:rsid w:val="000C185C"/>
    <w:rsid w:val="000C1994"/>
    <w:rsid w:val="000C3702"/>
    <w:rsid w:val="000C3A32"/>
    <w:rsid w:val="000C401A"/>
    <w:rsid w:val="000C5052"/>
    <w:rsid w:val="000C5128"/>
    <w:rsid w:val="000C585F"/>
    <w:rsid w:val="000C5EA2"/>
    <w:rsid w:val="000C69DD"/>
    <w:rsid w:val="000C71EA"/>
    <w:rsid w:val="000C74DD"/>
    <w:rsid w:val="000D1189"/>
    <w:rsid w:val="000D152C"/>
    <w:rsid w:val="000D1769"/>
    <w:rsid w:val="000D2B3D"/>
    <w:rsid w:val="000D2D98"/>
    <w:rsid w:val="000D31B6"/>
    <w:rsid w:val="000D364C"/>
    <w:rsid w:val="000D3948"/>
    <w:rsid w:val="000D3F22"/>
    <w:rsid w:val="000D41CB"/>
    <w:rsid w:val="000D6276"/>
    <w:rsid w:val="000D763A"/>
    <w:rsid w:val="000D78F8"/>
    <w:rsid w:val="000D7C4A"/>
    <w:rsid w:val="000D7DD7"/>
    <w:rsid w:val="000E0370"/>
    <w:rsid w:val="000E042C"/>
    <w:rsid w:val="000E12BC"/>
    <w:rsid w:val="000E1D50"/>
    <w:rsid w:val="000E24A9"/>
    <w:rsid w:val="000E29AA"/>
    <w:rsid w:val="000E2EA2"/>
    <w:rsid w:val="000E3231"/>
    <w:rsid w:val="000E3403"/>
    <w:rsid w:val="000E34BB"/>
    <w:rsid w:val="000E34BD"/>
    <w:rsid w:val="000E34CA"/>
    <w:rsid w:val="000E3874"/>
    <w:rsid w:val="000E3E05"/>
    <w:rsid w:val="000E60BB"/>
    <w:rsid w:val="000E63B0"/>
    <w:rsid w:val="000E6695"/>
    <w:rsid w:val="000E69FE"/>
    <w:rsid w:val="000E6B90"/>
    <w:rsid w:val="000E6F57"/>
    <w:rsid w:val="000F116A"/>
    <w:rsid w:val="000F195F"/>
    <w:rsid w:val="000F1D48"/>
    <w:rsid w:val="000F1FDE"/>
    <w:rsid w:val="000F33DC"/>
    <w:rsid w:val="000F3C5A"/>
    <w:rsid w:val="000F3CF5"/>
    <w:rsid w:val="000F4326"/>
    <w:rsid w:val="000F5F85"/>
    <w:rsid w:val="000F6280"/>
    <w:rsid w:val="000F715E"/>
    <w:rsid w:val="000F7E6A"/>
    <w:rsid w:val="000F7FE2"/>
    <w:rsid w:val="001002BA"/>
    <w:rsid w:val="00100C47"/>
    <w:rsid w:val="00100C96"/>
    <w:rsid w:val="00100DAC"/>
    <w:rsid w:val="00100F9F"/>
    <w:rsid w:val="00100FFF"/>
    <w:rsid w:val="00101AE0"/>
    <w:rsid w:val="00101AF2"/>
    <w:rsid w:val="00101EF3"/>
    <w:rsid w:val="001022A9"/>
    <w:rsid w:val="00102604"/>
    <w:rsid w:val="00102C9B"/>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C68"/>
    <w:rsid w:val="00107D7D"/>
    <w:rsid w:val="00110496"/>
    <w:rsid w:val="001108F7"/>
    <w:rsid w:val="00111321"/>
    <w:rsid w:val="001113DC"/>
    <w:rsid w:val="00111806"/>
    <w:rsid w:val="00111ABC"/>
    <w:rsid w:val="00111CAB"/>
    <w:rsid w:val="0011273E"/>
    <w:rsid w:val="0011285C"/>
    <w:rsid w:val="00112A21"/>
    <w:rsid w:val="00112BB3"/>
    <w:rsid w:val="001141F6"/>
    <w:rsid w:val="001144AE"/>
    <w:rsid w:val="001149F2"/>
    <w:rsid w:val="00114A7D"/>
    <w:rsid w:val="00114CED"/>
    <w:rsid w:val="00115830"/>
    <w:rsid w:val="001178D1"/>
    <w:rsid w:val="00120C3E"/>
    <w:rsid w:val="0012140E"/>
    <w:rsid w:val="001214F8"/>
    <w:rsid w:val="00121D78"/>
    <w:rsid w:val="00122552"/>
    <w:rsid w:val="001229DE"/>
    <w:rsid w:val="00122B6C"/>
    <w:rsid w:val="0012348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49A"/>
    <w:rsid w:val="00127568"/>
    <w:rsid w:val="00127F19"/>
    <w:rsid w:val="001300AF"/>
    <w:rsid w:val="0013082E"/>
    <w:rsid w:val="00130941"/>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6E0"/>
    <w:rsid w:val="0014590D"/>
    <w:rsid w:val="001459B9"/>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D0"/>
    <w:rsid w:val="001537AB"/>
    <w:rsid w:val="001537F8"/>
    <w:rsid w:val="001542B7"/>
    <w:rsid w:val="00155454"/>
    <w:rsid w:val="001556E9"/>
    <w:rsid w:val="00155AA8"/>
    <w:rsid w:val="001567C5"/>
    <w:rsid w:val="00156A18"/>
    <w:rsid w:val="00156B1A"/>
    <w:rsid w:val="00157109"/>
    <w:rsid w:val="00157336"/>
    <w:rsid w:val="0015776C"/>
    <w:rsid w:val="00157AC0"/>
    <w:rsid w:val="00157D2D"/>
    <w:rsid w:val="00160026"/>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B78"/>
    <w:rsid w:val="00165C60"/>
    <w:rsid w:val="0016605C"/>
    <w:rsid w:val="00166D62"/>
    <w:rsid w:val="001677E3"/>
    <w:rsid w:val="001678A1"/>
    <w:rsid w:val="00170F1F"/>
    <w:rsid w:val="00171238"/>
    <w:rsid w:val="0017157E"/>
    <w:rsid w:val="001730B1"/>
    <w:rsid w:val="00173831"/>
    <w:rsid w:val="001747C9"/>
    <w:rsid w:val="001753AB"/>
    <w:rsid w:val="00175C70"/>
    <w:rsid w:val="00175D2D"/>
    <w:rsid w:val="00176205"/>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995"/>
    <w:rsid w:val="00193D37"/>
    <w:rsid w:val="0019525B"/>
    <w:rsid w:val="00195D5E"/>
    <w:rsid w:val="0019739B"/>
    <w:rsid w:val="001A07E8"/>
    <w:rsid w:val="001A0924"/>
    <w:rsid w:val="001A0973"/>
    <w:rsid w:val="001A0BC5"/>
    <w:rsid w:val="001A122A"/>
    <w:rsid w:val="001A143F"/>
    <w:rsid w:val="001A1B54"/>
    <w:rsid w:val="001A1CE0"/>
    <w:rsid w:val="001A1EA0"/>
    <w:rsid w:val="001A1F48"/>
    <w:rsid w:val="001A2A8F"/>
    <w:rsid w:val="001A52A7"/>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BBA"/>
    <w:rsid w:val="001B6EE3"/>
    <w:rsid w:val="001B7C59"/>
    <w:rsid w:val="001B7FDA"/>
    <w:rsid w:val="001C08BC"/>
    <w:rsid w:val="001C0981"/>
    <w:rsid w:val="001C1220"/>
    <w:rsid w:val="001C1CCF"/>
    <w:rsid w:val="001C26D2"/>
    <w:rsid w:val="001C30A0"/>
    <w:rsid w:val="001C3455"/>
    <w:rsid w:val="001C3481"/>
    <w:rsid w:val="001C3987"/>
    <w:rsid w:val="001C3B6F"/>
    <w:rsid w:val="001C3EE2"/>
    <w:rsid w:val="001C4890"/>
    <w:rsid w:val="001C4CEF"/>
    <w:rsid w:val="001C4ED0"/>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4BF"/>
    <w:rsid w:val="001E49C5"/>
    <w:rsid w:val="001E4A76"/>
    <w:rsid w:val="001E4AE8"/>
    <w:rsid w:val="001E4B56"/>
    <w:rsid w:val="001E4E61"/>
    <w:rsid w:val="001E585C"/>
    <w:rsid w:val="001E5A1F"/>
    <w:rsid w:val="001E66AE"/>
    <w:rsid w:val="001E672D"/>
    <w:rsid w:val="001E6E16"/>
    <w:rsid w:val="001E72A0"/>
    <w:rsid w:val="001E7412"/>
    <w:rsid w:val="001E7841"/>
    <w:rsid w:val="001E78FE"/>
    <w:rsid w:val="001E7A6A"/>
    <w:rsid w:val="001F083E"/>
    <w:rsid w:val="001F0A57"/>
    <w:rsid w:val="001F15C0"/>
    <w:rsid w:val="001F184A"/>
    <w:rsid w:val="001F1E16"/>
    <w:rsid w:val="001F25C3"/>
    <w:rsid w:val="001F347A"/>
    <w:rsid w:val="001F3588"/>
    <w:rsid w:val="001F36A0"/>
    <w:rsid w:val="001F36C2"/>
    <w:rsid w:val="001F4433"/>
    <w:rsid w:val="001F4532"/>
    <w:rsid w:val="001F464C"/>
    <w:rsid w:val="001F4656"/>
    <w:rsid w:val="001F4AEC"/>
    <w:rsid w:val="001F4C1B"/>
    <w:rsid w:val="001F4D67"/>
    <w:rsid w:val="001F5FAD"/>
    <w:rsid w:val="001F657C"/>
    <w:rsid w:val="001F6A2A"/>
    <w:rsid w:val="001F7109"/>
    <w:rsid w:val="001F71B3"/>
    <w:rsid w:val="001F7452"/>
    <w:rsid w:val="00200243"/>
    <w:rsid w:val="0020035E"/>
    <w:rsid w:val="0020048B"/>
    <w:rsid w:val="00200C1A"/>
    <w:rsid w:val="00201038"/>
    <w:rsid w:val="002010AF"/>
    <w:rsid w:val="00201462"/>
    <w:rsid w:val="00201608"/>
    <w:rsid w:val="00202E45"/>
    <w:rsid w:val="00202F72"/>
    <w:rsid w:val="002037E2"/>
    <w:rsid w:val="002056C9"/>
    <w:rsid w:val="00205B17"/>
    <w:rsid w:val="00205B8C"/>
    <w:rsid w:val="00205CAA"/>
    <w:rsid w:val="00205F8A"/>
    <w:rsid w:val="002060F5"/>
    <w:rsid w:val="002064F4"/>
    <w:rsid w:val="00206857"/>
    <w:rsid w:val="0020765B"/>
    <w:rsid w:val="002078C7"/>
    <w:rsid w:val="00210558"/>
    <w:rsid w:val="00211546"/>
    <w:rsid w:val="002117A8"/>
    <w:rsid w:val="00211BD4"/>
    <w:rsid w:val="00212487"/>
    <w:rsid w:val="00212561"/>
    <w:rsid w:val="00213147"/>
    <w:rsid w:val="00213459"/>
    <w:rsid w:val="00213B31"/>
    <w:rsid w:val="00213B67"/>
    <w:rsid w:val="00214D2E"/>
    <w:rsid w:val="00214E8E"/>
    <w:rsid w:val="002157EC"/>
    <w:rsid w:val="00215B86"/>
    <w:rsid w:val="00215BFF"/>
    <w:rsid w:val="0021628B"/>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6188"/>
    <w:rsid w:val="002365FF"/>
    <w:rsid w:val="00236A18"/>
    <w:rsid w:val="002376ED"/>
    <w:rsid w:val="00237783"/>
    <w:rsid w:val="002400D0"/>
    <w:rsid w:val="002403C8"/>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93"/>
    <w:rsid w:val="00250DA7"/>
    <w:rsid w:val="00250EAE"/>
    <w:rsid w:val="002516FA"/>
    <w:rsid w:val="002517C0"/>
    <w:rsid w:val="00251F84"/>
    <w:rsid w:val="002520E9"/>
    <w:rsid w:val="002526A9"/>
    <w:rsid w:val="002526F2"/>
    <w:rsid w:val="00252B82"/>
    <w:rsid w:val="00252D94"/>
    <w:rsid w:val="002533FF"/>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1F4"/>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9C"/>
    <w:rsid w:val="002763DE"/>
    <w:rsid w:val="002766E6"/>
    <w:rsid w:val="00277ACB"/>
    <w:rsid w:val="00277D77"/>
    <w:rsid w:val="00277FF1"/>
    <w:rsid w:val="002803AE"/>
    <w:rsid w:val="002804C6"/>
    <w:rsid w:val="00280657"/>
    <w:rsid w:val="002811E7"/>
    <w:rsid w:val="00281930"/>
    <w:rsid w:val="002821C2"/>
    <w:rsid w:val="0028314C"/>
    <w:rsid w:val="00283B13"/>
    <w:rsid w:val="00283CD0"/>
    <w:rsid w:val="0028437A"/>
    <w:rsid w:val="002843E7"/>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33"/>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9F1"/>
    <w:rsid w:val="002D061F"/>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307C"/>
    <w:rsid w:val="002F37F9"/>
    <w:rsid w:val="002F3875"/>
    <w:rsid w:val="002F3E1D"/>
    <w:rsid w:val="002F413A"/>
    <w:rsid w:val="002F4C69"/>
    <w:rsid w:val="002F55D1"/>
    <w:rsid w:val="002F5CFC"/>
    <w:rsid w:val="002F6CFE"/>
    <w:rsid w:val="0030086F"/>
    <w:rsid w:val="00300E34"/>
    <w:rsid w:val="00301345"/>
    <w:rsid w:val="00301699"/>
    <w:rsid w:val="00302001"/>
    <w:rsid w:val="00302228"/>
    <w:rsid w:val="0030262F"/>
    <w:rsid w:val="00303DD9"/>
    <w:rsid w:val="0030430B"/>
    <w:rsid w:val="00304C7E"/>
    <w:rsid w:val="00305B90"/>
    <w:rsid w:val="003065E0"/>
    <w:rsid w:val="00307BEF"/>
    <w:rsid w:val="00307D28"/>
    <w:rsid w:val="003109EF"/>
    <w:rsid w:val="003120B9"/>
    <w:rsid w:val="00312A94"/>
    <w:rsid w:val="0031379C"/>
    <w:rsid w:val="00313D5F"/>
    <w:rsid w:val="00313E08"/>
    <w:rsid w:val="0031408F"/>
    <w:rsid w:val="0031464A"/>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1E4"/>
    <w:rsid w:val="003266C0"/>
    <w:rsid w:val="00326A31"/>
    <w:rsid w:val="00326BCE"/>
    <w:rsid w:val="00326C60"/>
    <w:rsid w:val="00326CD4"/>
    <w:rsid w:val="003271C1"/>
    <w:rsid w:val="00327614"/>
    <w:rsid w:val="00327DDB"/>
    <w:rsid w:val="00330025"/>
    <w:rsid w:val="003327BC"/>
    <w:rsid w:val="00333FB6"/>
    <w:rsid w:val="00334539"/>
    <w:rsid w:val="00334A5D"/>
    <w:rsid w:val="00334C3A"/>
    <w:rsid w:val="00335FCF"/>
    <w:rsid w:val="00336AC5"/>
    <w:rsid w:val="00336ADF"/>
    <w:rsid w:val="00337AED"/>
    <w:rsid w:val="00337F22"/>
    <w:rsid w:val="00340361"/>
    <w:rsid w:val="00340F08"/>
    <w:rsid w:val="00341465"/>
    <w:rsid w:val="00341EE9"/>
    <w:rsid w:val="00342323"/>
    <w:rsid w:val="003428A4"/>
    <w:rsid w:val="003434C5"/>
    <w:rsid w:val="003437ED"/>
    <w:rsid w:val="00343B48"/>
    <w:rsid w:val="00343F0C"/>
    <w:rsid w:val="003449E4"/>
    <w:rsid w:val="00344DAF"/>
    <w:rsid w:val="003451E1"/>
    <w:rsid w:val="0034557F"/>
    <w:rsid w:val="00345CC6"/>
    <w:rsid w:val="00345F28"/>
    <w:rsid w:val="00346FBC"/>
    <w:rsid w:val="003472EC"/>
    <w:rsid w:val="00347373"/>
    <w:rsid w:val="00347381"/>
    <w:rsid w:val="003473C6"/>
    <w:rsid w:val="00350667"/>
    <w:rsid w:val="00350E31"/>
    <w:rsid w:val="00350F45"/>
    <w:rsid w:val="00352556"/>
    <w:rsid w:val="00352603"/>
    <w:rsid w:val="0035297D"/>
    <w:rsid w:val="003540DB"/>
    <w:rsid w:val="00354170"/>
    <w:rsid w:val="003543EA"/>
    <w:rsid w:val="00354628"/>
    <w:rsid w:val="00354C2E"/>
    <w:rsid w:val="0035568B"/>
    <w:rsid w:val="0035583A"/>
    <w:rsid w:val="003561E9"/>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E29"/>
    <w:rsid w:val="0036612F"/>
    <w:rsid w:val="00367643"/>
    <w:rsid w:val="00370D1D"/>
    <w:rsid w:val="0037217E"/>
    <w:rsid w:val="003722A2"/>
    <w:rsid w:val="00372BC7"/>
    <w:rsid w:val="003733E2"/>
    <w:rsid w:val="0037348A"/>
    <w:rsid w:val="003739B4"/>
    <w:rsid w:val="00374B7E"/>
    <w:rsid w:val="0037599F"/>
    <w:rsid w:val="00375AAF"/>
    <w:rsid w:val="00375F7E"/>
    <w:rsid w:val="003764EE"/>
    <w:rsid w:val="003767EE"/>
    <w:rsid w:val="00376E1F"/>
    <w:rsid w:val="00376F2B"/>
    <w:rsid w:val="00376F61"/>
    <w:rsid w:val="00377B0C"/>
    <w:rsid w:val="00380193"/>
    <w:rsid w:val="003802BA"/>
    <w:rsid w:val="0038072C"/>
    <w:rsid w:val="00380A4B"/>
    <w:rsid w:val="00380A7B"/>
    <w:rsid w:val="00381CF1"/>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F23"/>
    <w:rsid w:val="003931C4"/>
    <w:rsid w:val="0039383D"/>
    <w:rsid w:val="003938A6"/>
    <w:rsid w:val="00395005"/>
    <w:rsid w:val="00395650"/>
    <w:rsid w:val="003968B3"/>
    <w:rsid w:val="00396F58"/>
    <w:rsid w:val="00396F9B"/>
    <w:rsid w:val="00397153"/>
    <w:rsid w:val="00397174"/>
    <w:rsid w:val="00397548"/>
    <w:rsid w:val="00397E40"/>
    <w:rsid w:val="003A04D5"/>
    <w:rsid w:val="003A0BE6"/>
    <w:rsid w:val="003A1A7C"/>
    <w:rsid w:val="003A1BF0"/>
    <w:rsid w:val="003A1D51"/>
    <w:rsid w:val="003A1DC4"/>
    <w:rsid w:val="003A20B4"/>
    <w:rsid w:val="003A2854"/>
    <w:rsid w:val="003A2B25"/>
    <w:rsid w:val="003A2CB1"/>
    <w:rsid w:val="003A34DF"/>
    <w:rsid w:val="003A3642"/>
    <w:rsid w:val="003A36E4"/>
    <w:rsid w:val="003A3B20"/>
    <w:rsid w:val="003A4170"/>
    <w:rsid w:val="003A4181"/>
    <w:rsid w:val="003A4A61"/>
    <w:rsid w:val="003A52DC"/>
    <w:rsid w:val="003A58B3"/>
    <w:rsid w:val="003A5B20"/>
    <w:rsid w:val="003A5BB2"/>
    <w:rsid w:val="003B08F5"/>
    <w:rsid w:val="003B0B82"/>
    <w:rsid w:val="003B0EE1"/>
    <w:rsid w:val="003B12FB"/>
    <w:rsid w:val="003B1C6C"/>
    <w:rsid w:val="003B3673"/>
    <w:rsid w:val="003B37F0"/>
    <w:rsid w:val="003B4005"/>
    <w:rsid w:val="003B50F3"/>
    <w:rsid w:val="003B5178"/>
    <w:rsid w:val="003B691D"/>
    <w:rsid w:val="003B6E96"/>
    <w:rsid w:val="003B7AD3"/>
    <w:rsid w:val="003C2862"/>
    <w:rsid w:val="003C2EB2"/>
    <w:rsid w:val="003C3200"/>
    <w:rsid w:val="003C3A12"/>
    <w:rsid w:val="003C4499"/>
    <w:rsid w:val="003C4B66"/>
    <w:rsid w:val="003C55A8"/>
    <w:rsid w:val="003C5876"/>
    <w:rsid w:val="003C613B"/>
    <w:rsid w:val="003C61F1"/>
    <w:rsid w:val="003C6E39"/>
    <w:rsid w:val="003C77B1"/>
    <w:rsid w:val="003C7F07"/>
    <w:rsid w:val="003D0EEE"/>
    <w:rsid w:val="003D2AE0"/>
    <w:rsid w:val="003D2BB1"/>
    <w:rsid w:val="003D2BDB"/>
    <w:rsid w:val="003D2D95"/>
    <w:rsid w:val="003D3318"/>
    <w:rsid w:val="003D33C9"/>
    <w:rsid w:val="003D3565"/>
    <w:rsid w:val="003D3663"/>
    <w:rsid w:val="003D3F60"/>
    <w:rsid w:val="003D4090"/>
    <w:rsid w:val="003D4557"/>
    <w:rsid w:val="003D45B1"/>
    <w:rsid w:val="003D46EB"/>
    <w:rsid w:val="003D475E"/>
    <w:rsid w:val="003D4FD9"/>
    <w:rsid w:val="003D5956"/>
    <w:rsid w:val="003D5FC6"/>
    <w:rsid w:val="003D6185"/>
    <w:rsid w:val="003D65B3"/>
    <w:rsid w:val="003D6763"/>
    <w:rsid w:val="003D6BEE"/>
    <w:rsid w:val="003E0939"/>
    <w:rsid w:val="003E0D08"/>
    <w:rsid w:val="003E0DA0"/>
    <w:rsid w:val="003E15C3"/>
    <w:rsid w:val="003E15EB"/>
    <w:rsid w:val="003E18D8"/>
    <w:rsid w:val="003E253D"/>
    <w:rsid w:val="003E2887"/>
    <w:rsid w:val="003E288D"/>
    <w:rsid w:val="003E35E2"/>
    <w:rsid w:val="003E3CD6"/>
    <w:rsid w:val="003E3F84"/>
    <w:rsid w:val="003E44F9"/>
    <w:rsid w:val="003E4897"/>
    <w:rsid w:val="003E5253"/>
    <w:rsid w:val="003E73B6"/>
    <w:rsid w:val="003F01B3"/>
    <w:rsid w:val="003F033C"/>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C9"/>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201EE"/>
    <w:rsid w:val="004201F5"/>
    <w:rsid w:val="004207C6"/>
    <w:rsid w:val="00420BC3"/>
    <w:rsid w:val="00420CC5"/>
    <w:rsid w:val="00420E3F"/>
    <w:rsid w:val="00420E76"/>
    <w:rsid w:val="0042110C"/>
    <w:rsid w:val="00421150"/>
    <w:rsid w:val="00421AB7"/>
    <w:rsid w:val="0042210D"/>
    <w:rsid w:val="00422745"/>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C1F"/>
    <w:rsid w:val="00437D07"/>
    <w:rsid w:val="00440090"/>
    <w:rsid w:val="004412CA"/>
    <w:rsid w:val="0044213C"/>
    <w:rsid w:val="004426A2"/>
    <w:rsid w:val="00443365"/>
    <w:rsid w:val="004434DF"/>
    <w:rsid w:val="00443C86"/>
    <w:rsid w:val="004442AF"/>
    <w:rsid w:val="00444613"/>
    <w:rsid w:val="004457BF"/>
    <w:rsid w:val="0044595C"/>
    <w:rsid w:val="00445B97"/>
    <w:rsid w:val="00446423"/>
    <w:rsid w:val="004465F5"/>
    <w:rsid w:val="00446A16"/>
    <w:rsid w:val="00446AD7"/>
    <w:rsid w:val="004471D7"/>
    <w:rsid w:val="0044784C"/>
    <w:rsid w:val="00447A55"/>
    <w:rsid w:val="00450A8F"/>
    <w:rsid w:val="00450F26"/>
    <w:rsid w:val="004513F3"/>
    <w:rsid w:val="00451431"/>
    <w:rsid w:val="00451F8A"/>
    <w:rsid w:val="00453189"/>
    <w:rsid w:val="00453E95"/>
    <w:rsid w:val="00453EC1"/>
    <w:rsid w:val="004548B6"/>
    <w:rsid w:val="004549AD"/>
    <w:rsid w:val="00454F83"/>
    <w:rsid w:val="004557D6"/>
    <w:rsid w:val="00455F07"/>
    <w:rsid w:val="00456151"/>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657E"/>
    <w:rsid w:val="0046667A"/>
    <w:rsid w:val="00466EA1"/>
    <w:rsid w:val="00467126"/>
    <w:rsid w:val="004673BB"/>
    <w:rsid w:val="00467960"/>
    <w:rsid w:val="00467C52"/>
    <w:rsid w:val="0047000C"/>
    <w:rsid w:val="00471369"/>
    <w:rsid w:val="004724CC"/>
    <w:rsid w:val="004733B9"/>
    <w:rsid w:val="004736C3"/>
    <w:rsid w:val="00473A60"/>
    <w:rsid w:val="00474292"/>
    <w:rsid w:val="00474605"/>
    <w:rsid w:val="004747EC"/>
    <w:rsid w:val="00474F23"/>
    <w:rsid w:val="0047578A"/>
    <w:rsid w:val="00475902"/>
    <w:rsid w:val="004764BB"/>
    <w:rsid w:val="0047677B"/>
    <w:rsid w:val="0047764E"/>
    <w:rsid w:val="004801CA"/>
    <w:rsid w:val="004808B0"/>
    <w:rsid w:val="00481DFA"/>
    <w:rsid w:val="004821B4"/>
    <w:rsid w:val="004824B8"/>
    <w:rsid w:val="004826F9"/>
    <w:rsid w:val="00483117"/>
    <w:rsid w:val="004834A5"/>
    <w:rsid w:val="004836C9"/>
    <w:rsid w:val="004839FC"/>
    <w:rsid w:val="00483A5C"/>
    <w:rsid w:val="004842E4"/>
    <w:rsid w:val="00484970"/>
    <w:rsid w:val="00484979"/>
    <w:rsid w:val="004855F2"/>
    <w:rsid w:val="00486062"/>
    <w:rsid w:val="00486355"/>
    <w:rsid w:val="0048666E"/>
    <w:rsid w:val="00486EDB"/>
    <w:rsid w:val="004877B5"/>
    <w:rsid w:val="0049027C"/>
    <w:rsid w:val="00491288"/>
    <w:rsid w:val="00491333"/>
    <w:rsid w:val="00491B8B"/>
    <w:rsid w:val="00491D39"/>
    <w:rsid w:val="004927CF"/>
    <w:rsid w:val="004935DB"/>
    <w:rsid w:val="00493D0E"/>
    <w:rsid w:val="004940D6"/>
    <w:rsid w:val="004940DE"/>
    <w:rsid w:val="00494F4B"/>
    <w:rsid w:val="00495FB0"/>
    <w:rsid w:val="004962F6"/>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76"/>
    <w:rsid w:val="004A6566"/>
    <w:rsid w:val="004B0FC2"/>
    <w:rsid w:val="004B115F"/>
    <w:rsid w:val="004B1986"/>
    <w:rsid w:val="004B1BC3"/>
    <w:rsid w:val="004B36EB"/>
    <w:rsid w:val="004B3732"/>
    <w:rsid w:val="004B3F03"/>
    <w:rsid w:val="004B3F1F"/>
    <w:rsid w:val="004B45E4"/>
    <w:rsid w:val="004B4FA9"/>
    <w:rsid w:val="004B7439"/>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1F8"/>
    <w:rsid w:val="004D221F"/>
    <w:rsid w:val="004D2734"/>
    <w:rsid w:val="004D3F22"/>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D12"/>
    <w:rsid w:val="004E42BD"/>
    <w:rsid w:val="004E4D09"/>
    <w:rsid w:val="004E4D7B"/>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21C1"/>
    <w:rsid w:val="00502928"/>
    <w:rsid w:val="00502C45"/>
    <w:rsid w:val="00502D19"/>
    <w:rsid w:val="005037C7"/>
    <w:rsid w:val="00505404"/>
    <w:rsid w:val="00505463"/>
    <w:rsid w:val="005062EF"/>
    <w:rsid w:val="00506822"/>
    <w:rsid w:val="0050746E"/>
    <w:rsid w:val="005075CB"/>
    <w:rsid w:val="00507B34"/>
    <w:rsid w:val="00510165"/>
    <w:rsid w:val="0051016F"/>
    <w:rsid w:val="005109D6"/>
    <w:rsid w:val="00511336"/>
    <w:rsid w:val="0051298F"/>
    <w:rsid w:val="00514033"/>
    <w:rsid w:val="0051508A"/>
    <w:rsid w:val="0051601E"/>
    <w:rsid w:val="005162E8"/>
    <w:rsid w:val="00516EC7"/>
    <w:rsid w:val="00517626"/>
    <w:rsid w:val="0051793C"/>
    <w:rsid w:val="005179A1"/>
    <w:rsid w:val="00517CB3"/>
    <w:rsid w:val="00517F75"/>
    <w:rsid w:val="005206C5"/>
    <w:rsid w:val="005208C0"/>
    <w:rsid w:val="00520ECF"/>
    <w:rsid w:val="005235D5"/>
    <w:rsid w:val="005246A7"/>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A9E"/>
    <w:rsid w:val="005410B8"/>
    <w:rsid w:val="0054167E"/>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80E"/>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5815"/>
    <w:rsid w:val="00575F20"/>
    <w:rsid w:val="00576247"/>
    <w:rsid w:val="00576899"/>
    <w:rsid w:val="005773D1"/>
    <w:rsid w:val="00577DAA"/>
    <w:rsid w:val="00580060"/>
    <w:rsid w:val="0058043E"/>
    <w:rsid w:val="005804C9"/>
    <w:rsid w:val="00580560"/>
    <w:rsid w:val="00580947"/>
    <w:rsid w:val="005842CF"/>
    <w:rsid w:val="005843B1"/>
    <w:rsid w:val="0058608C"/>
    <w:rsid w:val="00586D15"/>
    <w:rsid w:val="00587535"/>
    <w:rsid w:val="0058760B"/>
    <w:rsid w:val="005879EB"/>
    <w:rsid w:val="00587A58"/>
    <w:rsid w:val="00587E67"/>
    <w:rsid w:val="005900E8"/>
    <w:rsid w:val="005904EB"/>
    <w:rsid w:val="00590AD2"/>
    <w:rsid w:val="005912EB"/>
    <w:rsid w:val="00591A2D"/>
    <w:rsid w:val="00594584"/>
    <w:rsid w:val="00594F7E"/>
    <w:rsid w:val="00594FDC"/>
    <w:rsid w:val="0059514B"/>
    <w:rsid w:val="00595487"/>
    <w:rsid w:val="005955FF"/>
    <w:rsid w:val="00596A3B"/>
    <w:rsid w:val="00596DB4"/>
    <w:rsid w:val="005972FC"/>
    <w:rsid w:val="0059791D"/>
    <w:rsid w:val="005979AE"/>
    <w:rsid w:val="005A0B75"/>
    <w:rsid w:val="005A28DF"/>
    <w:rsid w:val="005A2A11"/>
    <w:rsid w:val="005A2EBC"/>
    <w:rsid w:val="005A2F5B"/>
    <w:rsid w:val="005A340F"/>
    <w:rsid w:val="005A3516"/>
    <w:rsid w:val="005A492B"/>
    <w:rsid w:val="005A4BD8"/>
    <w:rsid w:val="005A4EB0"/>
    <w:rsid w:val="005A4FEC"/>
    <w:rsid w:val="005A57A4"/>
    <w:rsid w:val="005A6143"/>
    <w:rsid w:val="005A6386"/>
    <w:rsid w:val="005A652C"/>
    <w:rsid w:val="005A6593"/>
    <w:rsid w:val="005A6932"/>
    <w:rsid w:val="005A6A71"/>
    <w:rsid w:val="005A7213"/>
    <w:rsid w:val="005A73B4"/>
    <w:rsid w:val="005A774B"/>
    <w:rsid w:val="005B0050"/>
    <w:rsid w:val="005B0C3F"/>
    <w:rsid w:val="005B117C"/>
    <w:rsid w:val="005B147B"/>
    <w:rsid w:val="005B14A2"/>
    <w:rsid w:val="005B161F"/>
    <w:rsid w:val="005B17A4"/>
    <w:rsid w:val="005B22C2"/>
    <w:rsid w:val="005B2951"/>
    <w:rsid w:val="005B2BC6"/>
    <w:rsid w:val="005B38CC"/>
    <w:rsid w:val="005B3C2E"/>
    <w:rsid w:val="005B3E44"/>
    <w:rsid w:val="005B3EFB"/>
    <w:rsid w:val="005B41D2"/>
    <w:rsid w:val="005B7137"/>
    <w:rsid w:val="005C053C"/>
    <w:rsid w:val="005C0A5A"/>
    <w:rsid w:val="005C14BE"/>
    <w:rsid w:val="005C1B37"/>
    <w:rsid w:val="005C1D46"/>
    <w:rsid w:val="005C20DF"/>
    <w:rsid w:val="005C274B"/>
    <w:rsid w:val="005C2D6E"/>
    <w:rsid w:val="005C2F15"/>
    <w:rsid w:val="005C3AA9"/>
    <w:rsid w:val="005C3B0E"/>
    <w:rsid w:val="005C5213"/>
    <w:rsid w:val="005C5879"/>
    <w:rsid w:val="005C59C2"/>
    <w:rsid w:val="005C65F4"/>
    <w:rsid w:val="005C6A5E"/>
    <w:rsid w:val="005C72B1"/>
    <w:rsid w:val="005D036A"/>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E006B"/>
    <w:rsid w:val="005E1750"/>
    <w:rsid w:val="005E19F3"/>
    <w:rsid w:val="005E2879"/>
    <w:rsid w:val="005E2C13"/>
    <w:rsid w:val="005E2ED4"/>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F0330"/>
    <w:rsid w:val="005F0692"/>
    <w:rsid w:val="005F0BA8"/>
    <w:rsid w:val="005F10FF"/>
    <w:rsid w:val="005F27EA"/>
    <w:rsid w:val="005F2D44"/>
    <w:rsid w:val="005F3125"/>
    <w:rsid w:val="005F3B66"/>
    <w:rsid w:val="005F3E08"/>
    <w:rsid w:val="005F474C"/>
    <w:rsid w:val="005F47CB"/>
    <w:rsid w:val="005F4905"/>
    <w:rsid w:val="005F4B0C"/>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51A"/>
    <w:rsid w:val="00604DD7"/>
    <w:rsid w:val="00606BB5"/>
    <w:rsid w:val="00606CB7"/>
    <w:rsid w:val="00607525"/>
    <w:rsid w:val="0060792A"/>
    <w:rsid w:val="00607B80"/>
    <w:rsid w:val="00607C97"/>
    <w:rsid w:val="006100B6"/>
    <w:rsid w:val="006104CC"/>
    <w:rsid w:val="00610788"/>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78DE"/>
    <w:rsid w:val="00617DA7"/>
    <w:rsid w:val="0062000C"/>
    <w:rsid w:val="00620B29"/>
    <w:rsid w:val="00621F30"/>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F9A"/>
    <w:rsid w:val="006320EA"/>
    <w:rsid w:val="00634C22"/>
    <w:rsid w:val="00634D43"/>
    <w:rsid w:val="00634FEE"/>
    <w:rsid w:val="00635741"/>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AA"/>
    <w:rsid w:val="006455D1"/>
    <w:rsid w:val="00646A50"/>
    <w:rsid w:val="006476DD"/>
    <w:rsid w:val="0064775E"/>
    <w:rsid w:val="00647913"/>
    <w:rsid w:val="006479A7"/>
    <w:rsid w:val="00650510"/>
    <w:rsid w:val="00650856"/>
    <w:rsid w:val="0065085F"/>
    <w:rsid w:val="00652120"/>
    <w:rsid w:val="006532D1"/>
    <w:rsid w:val="00653C27"/>
    <w:rsid w:val="00653C29"/>
    <w:rsid w:val="006542CC"/>
    <w:rsid w:val="006546C4"/>
    <w:rsid w:val="00654D0B"/>
    <w:rsid w:val="00654DB6"/>
    <w:rsid w:val="006557DB"/>
    <w:rsid w:val="00655E18"/>
    <w:rsid w:val="0065647E"/>
    <w:rsid w:val="00656E3D"/>
    <w:rsid w:val="006578F3"/>
    <w:rsid w:val="00660098"/>
    <w:rsid w:val="006603C7"/>
    <w:rsid w:val="006605EB"/>
    <w:rsid w:val="00660EA3"/>
    <w:rsid w:val="006617DD"/>
    <w:rsid w:val="0066271D"/>
    <w:rsid w:val="00662C36"/>
    <w:rsid w:val="00662CC5"/>
    <w:rsid w:val="00663838"/>
    <w:rsid w:val="00663C56"/>
    <w:rsid w:val="00664006"/>
    <w:rsid w:val="006642E1"/>
    <w:rsid w:val="00664903"/>
    <w:rsid w:val="00664DAF"/>
    <w:rsid w:val="0066535D"/>
    <w:rsid w:val="00665851"/>
    <w:rsid w:val="006662A7"/>
    <w:rsid w:val="00667E9D"/>
    <w:rsid w:val="00670818"/>
    <w:rsid w:val="00670D07"/>
    <w:rsid w:val="00671332"/>
    <w:rsid w:val="00671540"/>
    <w:rsid w:val="00671690"/>
    <w:rsid w:val="00671E37"/>
    <w:rsid w:val="00672D56"/>
    <w:rsid w:val="00673FCA"/>
    <w:rsid w:val="00674068"/>
    <w:rsid w:val="00674A79"/>
    <w:rsid w:val="0067589D"/>
    <w:rsid w:val="006758F9"/>
    <w:rsid w:val="00676248"/>
    <w:rsid w:val="00676E64"/>
    <w:rsid w:val="00677C1C"/>
    <w:rsid w:val="00681A85"/>
    <w:rsid w:val="006824C3"/>
    <w:rsid w:val="00682BD7"/>
    <w:rsid w:val="00683A69"/>
    <w:rsid w:val="00683DC4"/>
    <w:rsid w:val="00684255"/>
    <w:rsid w:val="00684CBB"/>
    <w:rsid w:val="00685170"/>
    <w:rsid w:val="006857EF"/>
    <w:rsid w:val="0068618F"/>
    <w:rsid w:val="006869C9"/>
    <w:rsid w:val="00686A03"/>
    <w:rsid w:val="00687E4B"/>
    <w:rsid w:val="00690466"/>
    <w:rsid w:val="00690473"/>
    <w:rsid w:val="00690658"/>
    <w:rsid w:val="0069134C"/>
    <w:rsid w:val="00691C48"/>
    <w:rsid w:val="00692A5A"/>
    <w:rsid w:val="00692D1E"/>
    <w:rsid w:val="00694204"/>
    <w:rsid w:val="006942B0"/>
    <w:rsid w:val="006947CB"/>
    <w:rsid w:val="00694C24"/>
    <w:rsid w:val="006959AC"/>
    <w:rsid w:val="006973FC"/>
    <w:rsid w:val="00697530"/>
    <w:rsid w:val="00697B2E"/>
    <w:rsid w:val="00697EBB"/>
    <w:rsid w:val="006A01C1"/>
    <w:rsid w:val="006A07B7"/>
    <w:rsid w:val="006A086C"/>
    <w:rsid w:val="006A153B"/>
    <w:rsid w:val="006A18BA"/>
    <w:rsid w:val="006A1A03"/>
    <w:rsid w:val="006A2212"/>
    <w:rsid w:val="006A2A73"/>
    <w:rsid w:val="006A5A53"/>
    <w:rsid w:val="006A64CC"/>
    <w:rsid w:val="006A7A1D"/>
    <w:rsid w:val="006A7CCB"/>
    <w:rsid w:val="006B0120"/>
    <w:rsid w:val="006B0770"/>
    <w:rsid w:val="006B0A6C"/>
    <w:rsid w:val="006B0E46"/>
    <w:rsid w:val="006B1091"/>
    <w:rsid w:val="006B1931"/>
    <w:rsid w:val="006B2B98"/>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C2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351"/>
    <w:rsid w:val="006D6594"/>
    <w:rsid w:val="006D748A"/>
    <w:rsid w:val="006D76E6"/>
    <w:rsid w:val="006D7AF8"/>
    <w:rsid w:val="006D7BA2"/>
    <w:rsid w:val="006D7EC3"/>
    <w:rsid w:val="006E005D"/>
    <w:rsid w:val="006E08F6"/>
    <w:rsid w:val="006E09B0"/>
    <w:rsid w:val="006E10FD"/>
    <w:rsid w:val="006E139F"/>
    <w:rsid w:val="006E13F2"/>
    <w:rsid w:val="006E1CC3"/>
    <w:rsid w:val="006E253B"/>
    <w:rsid w:val="006E2735"/>
    <w:rsid w:val="006E28D7"/>
    <w:rsid w:val="006E2EB4"/>
    <w:rsid w:val="006E3242"/>
    <w:rsid w:val="006E3281"/>
    <w:rsid w:val="006E392C"/>
    <w:rsid w:val="006E48D1"/>
    <w:rsid w:val="006E4A22"/>
    <w:rsid w:val="006E5F93"/>
    <w:rsid w:val="006E69BE"/>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6F7911"/>
    <w:rsid w:val="00700343"/>
    <w:rsid w:val="007004A9"/>
    <w:rsid w:val="00700E2B"/>
    <w:rsid w:val="007016AF"/>
    <w:rsid w:val="00701E3F"/>
    <w:rsid w:val="00701F8A"/>
    <w:rsid w:val="00701FD1"/>
    <w:rsid w:val="00702CDD"/>
    <w:rsid w:val="00702D00"/>
    <w:rsid w:val="00703126"/>
    <w:rsid w:val="0070347D"/>
    <w:rsid w:val="007049D2"/>
    <w:rsid w:val="00704CBD"/>
    <w:rsid w:val="00704D44"/>
    <w:rsid w:val="0070519A"/>
    <w:rsid w:val="00705F12"/>
    <w:rsid w:val="0070650E"/>
    <w:rsid w:val="007073D1"/>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1290"/>
    <w:rsid w:val="00722FB5"/>
    <w:rsid w:val="0072396F"/>
    <w:rsid w:val="0072424E"/>
    <w:rsid w:val="0072436C"/>
    <w:rsid w:val="007246DA"/>
    <w:rsid w:val="00724BAB"/>
    <w:rsid w:val="0072524B"/>
    <w:rsid w:val="00725E62"/>
    <w:rsid w:val="007263B2"/>
    <w:rsid w:val="007266D3"/>
    <w:rsid w:val="00726918"/>
    <w:rsid w:val="00727095"/>
    <w:rsid w:val="0073083F"/>
    <w:rsid w:val="00731783"/>
    <w:rsid w:val="00731BD2"/>
    <w:rsid w:val="00731BF6"/>
    <w:rsid w:val="00731DFD"/>
    <w:rsid w:val="00732540"/>
    <w:rsid w:val="0073284C"/>
    <w:rsid w:val="007334BF"/>
    <w:rsid w:val="007336C1"/>
    <w:rsid w:val="00733969"/>
    <w:rsid w:val="00733F1E"/>
    <w:rsid w:val="007346DF"/>
    <w:rsid w:val="00734D26"/>
    <w:rsid w:val="00736A93"/>
    <w:rsid w:val="00736D0F"/>
    <w:rsid w:val="007374A7"/>
    <w:rsid w:val="0073760C"/>
    <w:rsid w:val="00737D3F"/>
    <w:rsid w:val="007400D3"/>
    <w:rsid w:val="007418F2"/>
    <w:rsid w:val="007422AA"/>
    <w:rsid w:val="007422B7"/>
    <w:rsid w:val="007427BD"/>
    <w:rsid w:val="00742DAD"/>
    <w:rsid w:val="00742E38"/>
    <w:rsid w:val="00744FF6"/>
    <w:rsid w:val="00745751"/>
    <w:rsid w:val="00746514"/>
    <w:rsid w:val="00746707"/>
    <w:rsid w:val="00746775"/>
    <w:rsid w:val="00746A59"/>
    <w:rsid w:val="00747715"/>
    <w:rsid w:val="00747E14"/>
    <w:rsid w:val="00750723"/>
    <w:rsid w:val="007507D7"/>
    <w:rsid w:val="0075088B"/>
    <w:rsid w:val="007508C9"/>
    <w:rsid w:val="00750900"/>
    <w:rsid w:val="00750FB3"/>
    <w:rsid w:val="0075358D"/>
    <w:rsid w:val="00754365"/>
    <w:rsid w:val="007547A7"/>
    <w:rsid w:val="00754C5E"/>
    <w:rsid w:val="00755273"/>
    <w:rsid w:val="007561FF"/>
    <w:rsid w:val="00756584"/>
    <w:rsid w:val="00756756"/>
    <w:rsid w:val="00757AEF"/>
    <w:rsid w:val="00760440"/>
    <w:rsid w:val="00761605"/>
    <w:rsid w:val="00761D99"/>
    <w:rsid w:val="00761F1A"/>
    <w:rsid w:val="0076227A"/>
    <w:rsid w:val="00762B3A"/>
    <w:rsid w:val="0076340A"/>
    <w:rsid w:val="0076379F"/>
    <w:rsid w:val="0076398E"/>
    <w:rsid w:val="00763DE1"/>
    <w:rsid w:val="00764542"/>
    <w:rsid w:val="007645E0"/>
    <w:rsid w:val="00764C2F"/>
    <w:rsid w:val="00764D72"/>
    <w:rsid w:val="007651F3"/>
    <w:rsid w:val="00766077"/>
    <w:rsid w:val="007669B9"/>
    <w:rsid w:val="00767C23"/>
    <w:rsid w:val="00770620"/>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C46"/>
    <w:rsid w:val="00783061"/>
    <w:rsid w:val="00783425"/>
    <w:rsid w:val="00784E9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3D6"/>
    <w:rsid w:val="007914D3"/>
    <w:rsid w:val="007918DD"/>
    <w:rsid w:val="00791CDF"/>
    <w:rsid w:val="00792672"/>
    <w:rsid w:val="00792EF1"/>
    <w:rsid w:val="0079347A"/>
    <w:rsid w:val="0079385B"/>
    <w:rsid w:val="007942F5"/>
    <w:rsid w:val="00794BDC"/>
    <w:rsid w:val="00794E4D"/>
    <w:rsid w:val="00794F24"/>
    <w:rsid w:val="00795469"/>
    <w:rsid w:val="00795CDC"/>
    <w:rsid w:val="007965DD"/>
    <w:rsid w:val="00796B38"/>
    <w:rsid w:val="00796C75"/>
    <w:rsid w:val="007975AC"/>
    <w:rsid w:val="00797D75"/>
    <w:rsid w:val="007A0C32"/>
    <w:rsid w:val="007A0E06"/>
    <w:rsid w:val="007A0F51"/>
    <w:rsid w:val="007A0FCB"/>
    <w:rsid w:val="007A1D65"/>
    <w:rsid w:val="007A237B"/>
    <w:rsid w:val="007A3D83"/>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6AC"/>
    <w:rsid w:val="007B3A5B"/>
    <w:rsid w:val="007B43C4"/>
    <w:rsid w:val="007B4AC7"/>
    <w:rsid w:val="007B5232"/>
    <w:rsid w:val="007B534D"/>
    <w:rsid w:val="007B5BC5"/>
    <w:rsid w:val="007B5CAC"/>
    <w:rsid w:val="007B5DF3"/>
    <w:rsid w:val="007B6BF8"/>
    <w:rsid w:val="007B7F39"/>
    <w:rsid w:val="007C0320"/>
    <w:rsid w:val="007C0DC9"/>
    <w:rsid w:val="007C11F8"/>
    <w:rsid w:val="007C1CC5"/>
    <w:rsid w:val="007C251C"/>
    <w:rsid w:val="007C327C"/>
    <w:rsid w:val="007C3EEB"/>
    <w:rsid w:val="007C3F77"/>
    <w:rsid w:val="007C4EF3"/>
    <w:rsid w:val="007C5195"/>
    <w:rsid w:val="007C562D"/>
    <w:rsid w:val="007C6228"/>
    <w:rsid w:val="007C680F"/>
    <w:rsid w:val="007C6E0E"/>
    <w:rsid w:val="007C764F"/>
    <w:rsid w:val="007C7D97"/>
    <w:rsid w:val="007D066A"/>
    <w:rsid w:val="007D0B87"/>
    <w:rsid w:val="007D2261"/>
    <w:rsid w:val="007D2580"/>
    <w:rsid w:val="007D273C"/>
    <w:rsid w:val="007D4C9C"/>
    <w:rsid w:val="007D4D36"/>
    <w:rsid w:val="007D61B6"/>
    <w:rsid w:val="007D6C59"/>
    <w:rsid w:val="007D71DF"/>
    <w:rsid w:val="007D736D"/>
    <w:rsid w:val="007D7B1F"/>
    <w:rsid w:val="007D7C03"/>
    <w:rsid w:val="007D7D22"/>
    <w:rsid w:val="007E004A"/>
    <w:rsid w:val="007E0271"/>
    <w:rsid w:val="007E0930"/>
    <w:rsid w:val="007E12C5"/>
    <w:rsid w:val="007E1340"/>
    <w:rsid w:val="007E138F"/>
    <w:rsid w:val="007E1A99"/>
    <w:rsid w:val="007E1F07"/>
    <w:rsid w:val="007E247C"/>
    <w:rsid w:val="007E25A8"/>
    <w:rsid w:val="007E2877"/>
    <w:rsid w:val="007E293D"/>
    <w:rsid w:val="007E2E20"/>
    <w:rsid w:val="007E36F9"/>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8C8"/>
    <w:rsid w:val="008009A6"/>
    <w:rsid w:val="00800EF6"/>
    <w:rsid w:val="008017F5"/>
    <w:rsid w:val="00801DC1"/>
    <w:rsid w:val="00802D8F"/>
    <w:rsid w:val="00802EA3"/>
    <w:rsid w:val="008031C7"/>
    <w:rsid w:val="00803E05"/>
    <w:rsid w:val="00803EA2"/>
    <w:rsid w:val="00804242"/>
    <w:rsid w:val="00804404"/>
    <w:rsid w:val="00804C9F"/>
    <w:rsid w:val="00804F27"/>
    <w:rsid w:val="008052E8"/>
    <w:rsid w:val="00805E45"/>
    <w:rsid w:val="00806547"/>
    <w:rsid w:val="00806C68"/>
    <w:rsid w:val="00807080"/>
    <w:rsid w:val="008073AB"/>
    <w:rsid w:val="008075EB"/>
    <w:rsid w:val="00807BA9"/>
    <w:rsid w:val="0081161B"/>
    <w:rsid w:val="008119F0"/>
    <w:rsid w:val="00811A3A"/>
    <w:rsid w:val="00811CD1"/>
    <w:rsid w:val="00812556"/>
    <w:rsid w:val="00812601"/>
    <w:rsid w:val="0081322E"/>
    <w:rsid w:val="00813552"/>
    <w:rsid w:val="0081546B"/>
    <w:rsid w:val="008154F0"/>
    <w:rsid w:val="00815EF9"/>
    <w:rsid w:val="008163C1"/>
    <w:rsid w:val="00816781"/>
    <w:rsid w:val="008200A3"/>
    <w:rsid w:val="00820AFB"/>
    <w:rsid w:val="008216F7"/>
    <w:rsid w:val="008217F2"/>
    <w:rsid w:val="0082221D"/>
    <w:rsid w:val="00822D3B"/>
    <w:rsid w:val="00823DDB"/>
    <w:rsid w:val="00823F51"/>
    <w:rsid w:val="00824A43"/>
    <w:rsid w:val="0082564B"/>
    <w:rsid w:val="008259FB"/>
    <w:rsid w:val="00825E20"/>
    <w:rsid w:val="00826128"/>
    <w:rsid w:val="008268BB"/>
    <w:rsid w:val="008269E6"/>
    <w:rsid w:val="008271AC"/>
    <w:rsid w:val="008274C4"/>
    <w:rsid w:val="00827690"/>
    <w:rsid w:val="00827966"/>
    <w:rsid w:val="0083025D"/>
    <w:rsid w:val="008302DD"/>
    <w:rsid w:val="008305E9"/>
    <w:rsid w:val="00830EC6"/>
    <w:rsid w:val="008335F7"/>
    <w:rsid w:val="0083382D"/>
    <w:rsid w:val="008338A8"/>
    <w:rsid w:val="00833A49"/>
    <w:rsid w:val="00834BB8"/>
    <w:rsid w:val="00836314"/>
    <w:rsid w:val="00836EE1"/>
    <w:rsid w:val="008375BC"/>
    <w:rsid w:val="00837907"/>
    <w:rsid w:val="00837C04"/>
    <w:rsid w:val="00837DF1"/>
    <w:rsid w:val="00840071"/>
    <w:rsid w:val="00840115"/>
    <w:rsid w:val="00840E09"/>
    <w:rsid w:val="00841BFC"/>
    <w:rsid w:val="00841F94"/>
    <w:rsid w:val="008420D6"/>
    <w:rsid w:val="0084306F"/>
    <w:rsid w:val="00843758"/>
    <w:rsid w:val="00843A8E"/>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50AEE"/>
    <w:rsid w:val="00850C02"/>
    <w:rsid w:val="008511EE"/>
    <w:rsid w:val="00851402"/>
    <w:rsid w:val="0085168A"/>
    <w:rsid w:val="00851CB4"/>
    <w:rsid w:val="008520C1"/>
    <w:rsid w:val="008522BF"/>
    <w:rsid w:val="008524DF"/>
    <w:rsid w:val="0085265A"/>
    <w:rsid w:val="00852887"/>
    <w:rsid w:val="008531F1"/>
    <w:rsid w:val="00853956"/>
    <w:rsid w:val="00853E40"/>
    <w:rsid w:val="0085406F"/>
    <w:rsid w:val="00854E1C"/>
    <w:rsid w:val="00855A08"/>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72D"/>
    <w:rsid w:val="0087586A"/>
    <w:rsid w:val="00875F9C"/>
    <w:rsid w:val="0087641B"/>
    <w:rsid w:val="008766B4"/>
    <w:rsid w:val="0087677D"/>
    <w:rsid w:val="008772EE"/>
    <w:rsid w:val="0087775C"/>
    <w:rsid w:val="00880786"/>
    <w:rsid w:val="00880E10"/>
    <w:rsid w:val="008810AC"/>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3363"/>
    <w:rsid w:val="008A4F3D"/>
    <w:rsid w:val="008A59F2"/>
    <w:rsid w:val="008A616E"/>
    <w:rsid w:val="008A69A5"/>
    <w:rsid w:val="008A6EBD"/>
    <w:rsid w:val="008A7371"/>
    <w:rsid w:val="008A7CE9"/>
    <w:rsid w:val="008A7F47"/>
    <w:rsid w:val="008B0267"/>
    <w:rsid w:val="008B0423"/>
    <w:rsid w:val="008B20AF"/>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6D9B"/>
    <w:rsid w:val="008B7434"/>
    <w:rsid w:val="008B7596"/>
    <w:rsid w:val="008B77FC"/>
    <w:rsid w:val="008C049F"/>
    <w:rsid w:val="008C192F"/>
    <w:rsid w:val="008C197B"/>
    <w:rsid w:val="008C1E61"/>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E20DE"/>
    <w:rsid w:val="008E2633"/>
    <w:rsid w:val="008E2790"/>
    <w:rsid w:val="008E36DB"/>
    <w:rsid w:val="008E412D"/>
    <w:rsid w:val="008E5334"/>
    <w:rsid w:val="008E638B"/>
    <w:rsid w:val="008E6592"/>
    <w:rsid w:val="008E742B"/>
    <w:rsid w:val="008E747D"/>
    <w:rsid w:val="008E7763"/>
    <w:rsid w:val="008E7D5F"/>
    <w:rsid w:val="008F12F4"/>
    <w:rsid w:val="008F14F3"/>
    <w:rsid w:val="008F15C1"/>
    <w:rsid w:val="008F187F"/>
    <w:rsid w:val="008F1E3E"/>
    <w:rsid w:val="008F23F5"/>
    <w:rsid w:val="008F29C0"/>
    <w:rsid w:val="008F308D"/>
    <w:rsid w:val="008F30BF"/>
    <w:rsid w:val="008F375B"/>
    <w:rsid w:val="008F3A7B"/>
    <w:rsid w:val="008F4157"/>
    <w:rsid w:val="008F42D9"/>
    <w:rsid w:val="008F4FC8"/>
    <w:rsid w:val="008F59AB"/>
    <w:rsid w:val="008F5D8D"/>
    <w:rsid w:val="008F60E9"/>
    <w:rsid w:val="008F6968"/>
    <w:rsid w:val="008F699B"/>
    <w:rsid w:val="008F73B5"/>
    <w:rsid w:val="008F7558"/>
    <w:rsid w:val="008F7F4F"/>
    <w:rsid w:val="00900191"/>
    <w:rsid w:val="00901693"/>
    <w:rsid w:val="00901702"/>
    <w:rsid w:val="00901D27"/>
    <w:rsid w:val="0090228D"/>
    <w:rsid w:val="00902866"/>
    <w:rsid w:val="00902964"/>
    <w:rsid w:val="009033C4"/>
    <w:rsid w:val="009039C6"/>
    <w:rsid w:val="00903D0B"/>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695"/>
    <w:rsid w:val="009136B8"/>
    <w:rsid w:val="00914F54"/>
    <w:rsid w:val="00915072"/>
    <w:rsid w:val="009155CD"/>
    <w:rsid w:val="009161AF"/>
    <w:rsid w:val="00916382"/>
    <w:rsid w:val="00920533"/>
    <w:rsid w:val="00920BD9"/>
    <w:rsid w:val="009217C1"/>
    <w:rsid w:val="00921EBD"/>
    <w:rsid w:val="0092217F"/>
    <w:rsid w:val="00922BE1"/>
    <w:rsid w:val="0092303A"/>
    <w:rsid w:val="00923780"/>
    <w:rsid w:val="00924A60"/>
    <w:rsid w:val="00925BFB"/>
    <w:rsid w:val="00925F41"/>
    <w:rsid w:val="009261AA"/>
    <w:rsid w:val="009263E6"/>
    <w:rsid w:val="009267DD"/>
    <w:rsid w:val="00926FF0"/>
    <w:rsid w:val="0092718C"/>
    <w:rsid w:val="00927491"/>
    <w:rsid w:val="00930751"/>
    <w:rsid w:val="009307D1"/>
    <w:rsid w:val="00930A34"/>
    <w:rsid w:val="00930A64"/>
    <w:rsid w:val="00930CA4"/>
    <w:rsid w:val="00931BC0"/>
    <w:rsid w:val="0093201B"/>
    <w:rsid w:val="00932CAA"/>
    <w:rsid w:val="00934393"/>
    <w:rsid w:val="009345B8"/>
    <w:rsid w:val="00934829"/>
    <w:rsid w:val="0093486D"/>
    <w:rsid w:val="00934911"/>
    <w:rsid w:val="009363CF"/>
    <w:rsid w:val="0093690C"/>
    <w:rsid w:val="00936BEB"/>
    <w:rsid w:val="009371D8"/>
    <w:rsid w:val="0093743B"/>
    <w:rsid w:val="00940202"/>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0D12"/>
    <w:rsid w:val="00951517"/>
    <w:rsid w:val="00951BD7"/>
    <w:rsid w:val="00951E5A"/>
    <w:rsid w:val="00951F1E"/>
    <w:rsid w:val="00952362"/>
    <w:rsid w:val="00952410"/>
    <w:rsid w:val="00952762"/>
    <w:rsid w:val="00952B71"/>
    <w:rsid w:val="009530AF"/>
    <w:rsid w:val="00953805"/>
    <w:rsid w:val="009541DB"/>
    <w:rsid w:val="009543FD"/>
    <w:rsid w:val="009546BD"/>
    <w:rsid w:val="00954F82"/>
    <w:rsid w:val="0095535B"/>
    <w:rsid w:val="00955A89"/>
    <w:rsid w:val="00955AF9"/>
    <w:rsid w:val="00955F29"/>
    <w:rsid w:val="00955F66"/>
    <w:rsid w:val="00957A2F"/>
    <w:rsid w:val="00957B29"/>
    <w:rsid w:val="00960C2F"/>
    <w:rsid w:val="00960DC7"/>
    <w:rsid w:val="00961693"/>
    <w:rsid w:val="009619F8"/>
    <w:rsid w:val="009620CD"/>
    <w:rsid w:val="00962282"/>
    <w:rsid w:val="00962D89"/>
    <w:rsid w:val="009636BF"/>
    <w:rsid w:val="00964494"/>
    <w:rsid w:val="009644EB"/>
    <w:rsid w:val="00964618"/>
    <w:rsid w:val="009646AA"/>
    <w:rsid w:val="009646C6"/>
    <w:rsid w:val="00964A80"/>
    <w:rsid w:val="009659F8"/>
    <w:rsid w:val="00966951"/>
    <w:rsid w:val="009676DE"/>
    <w:rsid w:val="00967AD7"/>
    <w:rsid w:val="00967DF9"/>
    <w:rsid w:val="0097017E"/>
    <w:rsid w:val="009707C8"/>
    <w:rsid w:val="00970930"/>
    <w:rsid w:val="009724E3"/>
    <w:rsid w:val="00972A96"/>
    <w:rsid w:val="009736C5"/>
    <w:rsid w:val="009737E1"/>
    <w:rsid w:val="00973E19"/>
    <w:rsid w:val="009740D5"/>
    <w:rsid w:val="00975D9D"/>
    <w:rsid w:val="00975FA1"/>
    <w:rsid w:val="0097600A"/>
    <w:rsid w:val="00976010"/>
    <w:rsid w:val="009763D6"/>
    <w:rsid w:val="00976AB5"/>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BD5"/>
    <w:rsid w:val="00994C90"/>
    <w:rsid w:val="00994FFA"/>
    <w:rsid w:val="00995237"/>
    <w:rsid w:val="009954DF"/>
    <w:rsid w:val="00995955"/>
    <w:rsid w:val="0099691C"/>
    <w:rsid w:val="00996AA9"/>
    <w:rsid w:val="00997858"/>
    <w:rsid w:val="00997B4B"/>
    <w:rsid w:val="00997D1A"/>
    <w:rsid w:val="009A0276"/>
    <w:rsid w:val="009A028C"/>
    <w:rsid w:val="009A0898"/>
    <w:rsid w:val="009A0995"/>
    <w:rsid w:val="009A0FB7"/>
    <w:rsid w:val="009A1026"/>
    <w:rsid w:val="009A1877"/>
    <w:rsid w:val="009A1F93"/>
    <w:rsid w:val="009A36CF"/>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12"/>
    <w:rsid w:val="009B6351"/>
    <w:rsid w:val="009B646D"/>
    <w:rsid w:val="009B6486"/>
    <w:rsid w:val="009B6610"/>
    <w:rsid w:val="009B6815"/>
    <w:rsid w:val="009B7690"/>
    <w:rsid w:val="009B7DAB"/>
    <w:rsid w:val="009C04CF"/>
    <w:rsid w:val="009C04FD"/>
    <w:rsid w:val="009C0B8C"/>
    <w:rsid w:val="009C0D66"/>
    <w:rsid w:val="009C1B3A"/>
    <w:rsid w:val="009C254F"/>
    <w:rsid w:val="009C28F2"/>
    <w:rsid w:val="009C2DCA"/>
    <w:rsid w:val="009C2E56"/>
    <w:rsid w:val="009C3B9F"/>
    <w:rsid w:val="009C4A9B"/>
    <w:rsid w:val="009C56B0"/>
    <w:rsid w:val="009C670F"/>
    <w:rsid w:val="009C6852"/>
    <w:rsid w:val="009C7990"/>
    <w:rsid w:val="009C7E68"/>
    <w:rsid w:val="009D00E1"/>
    <w:rsid w:val="009D0139"/>
    <w:rsid w:val="009D13FF"/>
    <w:rsid w:val="009D1ACD"/>
    <w:rsid w:val="009D1B83"/>
    <w:rsid w:val="009D25B1"/>
    <w:rsid w:val="009D261B"/>
    <w:rsid w:val="009D2EE9"/>
    <w:rsid w:val="009D366A"/>
    <w:rsid w:val="009D37DE"/>
    <w:rsid w:val="009D465C"/>
    <w:rsid w:val="009D5A25"/>
    <w:rsid w:val="009D5CFB"/>
    <w:rsid w:val="009D6634"/>
    <w:rsid w:val="009D6E82"/>
    <w:rsid w:val="009E0652"/>
    <w:rsid w:val="009E0807"/>
    <w:rsid w:val="009E0C05"/>
    <w:rsid w:val="009E0CA9"/>
    <w:rsid w:val="009E1812"/>
    <w:rsid w:val="009E1F62"/>
    <w:rsid w:val="009E250D"/>
    <w:rsid w:val="009E25C9"/>
    <w:rsid w:val="009E2673"/>
    <w:rsid w:val="009E3E89"/>
    <w:rsid w:val="009E4BE7"/>
    <w:rsid w:val="009E4FCD"/>
    <w:rsid w:val="009E5315"/>
    <w:rsid w:val="009E531A"/>
    <w:rsid w:val="009E54F4"/>
    <w:rsid w:val="009E5931"/>
    <w:rsid w:val="009E6023"/>
    <w:rsid w:val="009E6598"/>
    <w:rsid w:val="009E6840"/>
    <w:rsid w:val="009E72FD"/>
    <w:rsid w:val="009E7479"/>
    <w:rsid w:val="009E7C59"/>
    <w:rsid w:val="009F0B08"/>
    <w:rsid w:val="009F1946"/>
    <w:rsid w:val="009F19AA"/>
    <w:rsid w:val="009F1ECF"/>
    <w:rsid w:val="009F23B2"/>
    <w:rsid w:val="009F2902"/>
    <w:rsid w:val="009F2C1A"/>
    <w:rsid w:val="009F42D3"/>
    <w:rsid w:val="009F4B3C"/>
    <w:rsid w:val="009F4D7D"/>
    <w:rsid w:val="009F53B7"/>
    <w:rsid w:val="009F5BEA"/>
    <w:rsid w:val="009F6457"/>
    <w:rsid w:val="009F6B77"/>
    <w:rsid w:val="009F6F83"/>
    <w:rsid w:val="009F7377"/>
    <w:rsid w:val="009F74FC"/>
    <w:rsid w:val="009F78EE"/>
    <w:rsid w:val="009F7BAC"/>
    <w:rsid w:val="00A001AE"/>
    <w:rsid w:val="00A008D7"/>
    <w:rsid w:val="00A01100"/>
    <w:rsid w:val="00A01492"/>
    <w:rsid w:val="00A015FA"/>
    <w:rsid w:val="00A01E43"/>
    <w:rsid w:val="00A022B2"/>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E15"/>
    <w:rsid w:val="00A14098"/>
    <w:rsid w:val="00A1487A"/>
    <w:rsid w:val="00A149AF"/>
    <w:rsid w:val="00A1553C"/>
    <w:rsid w:val="00A156CD"/>
    <w:rsid w:val="00A1576D"/>
    <w:rsid w:val="00A158EF"/>
    <w:rsid w:val="00A16103"/>
    <w:rsid w:val="00A167FB"/>
    <w:rsid w:val="00A16AEE"/>
    <w:rsid w:val="00A16BD4"/>
    <w:rsid w:val="00A16D0F"/>
    <w:rsid w:val="00A16E89"/>
    <w:rsid w:val="00A1762F"/>
    <w:rsid w:val="00A17907"/>
    <w:rsid w:val="00A179E9"/>
    <w:rsid w:val="00A201E5"/>
    <w:rsid w:val="00A2021C"/>
    <w:rsid w:val="00A21FF9"/>
    <w:rsid w:val="00A22D79"/>
    <w:rsid w:val="00A232B2"/>
    <w:rsid w:val="00A23635"/>
    <w:rsid w:val="00A239D1"/>
    <w:rsid w:val="00A23EC5"/>
    <w:rsid w:val="00A2433D"/>
    <w:rsid w:val="00A24959"/>
    <w:rsid w:val="00A24CF7"/>
    <w:rsid w:val="00A26373"/>
    <w:rsid w:val="00A2674A"/>
    <w:rsid w:val="00A26A5B"/>
    <w:rsid w:val="00A26C55"/>
    <w:rsid w:val="00A276EA"/>
    <w:rsid w:val="00A27860"/>
    <w:rsid w:val="00A279FE"/>
    <w:rsid w:val="00A30E82"/>
    <w:rsid w:val="00A30FAB"/>
    <w:rsid w:val="00A31A03"/>
    <w:rsid w:val="00A31AA6"/>
    <w:rsid w:val="00A31C6C"/>
    <w:rsid w:val="00A325F8"/>
    <w:rsid w:val="00A3306A"/>
    <w:rsid w:val="00A33447"/>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5"/>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45DC"/>
    <w:rsid w:val="00A5623D"/>
    <w:rsid w:val="00A56396"/>
    <w:rsid w:val="00A56AA4"/>
    <w:rsid w:val="00A56ED4"/>
    <w:rsid w:val="00A56FFA"/>
    <w:rsid w:val="00A5710B"/>
    <w:rsid w:val="00A57670"/>
    <w:rsid w:val="00A607CC"/>
    <w:rsid w:val="00A60AFF"/>
    <w:rsid w:val="00A60EDA"/>
    <w:rsid w:val="00A61CE6"/>
    <w:rsid w:val="00A62FC0"/>
    <w:rsid w:val="00A63059"/>
    <w:rsid w:val="00A6319F"/>
    <w:rsid w:val="00A635CB"/>
    <w:rsid w:val="00A635E6"/>
    <w:rsid w:val="00A64D01"/>
    <w:rsid w:val="00A65092"/>
    <w:rsid w:val="00A67F54"/>
    <w:rsid w:val="00A7037C"/>
    <w:rsid w:val="00A7096D"/>
    <w:rsid w:val="00A7163A"/>
    <w:rsid w:val="00A72360"/>
    <w:rsid w:val="00A72986"/>
    <w:rsid w:val="00A7349E"/>
    <w:rsid w:val="00A7386D"/>
    <w:rsid w:val="00A746B0"/>
    <w:rsid w:val="00A749FC"/>
    <w:rsid w:val="00A74CF9"/>
    <w:rsid w:val="00A7507C"/>
    <w:rsid w:val="00A7584E"/>
    <w:rsid w:val="00A75969"/>
    <w:rsid w:val="00A75B1D"/>
    <w:rsid w:val="00A75B71"/>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601B"/>
    <w:rsid w:val="00A86448"/>
    <w:rsid w:val="00A86ACC"/>
    <w:rsid w:val="00A86D9B"/>
    <w:rsid w:val="00A876F9"/>
    <w:rsid w:val="00A87737"/>
    <w:rsid w:val="00A90334"/>
    <w:rsid w:val="00A913FC"/>
    <w:rsid w:val="00A91BAB"/>
    <w:rsid w:val="00A91CA9"/>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507B"/>
    <w:rsid w:val="00AA57E8"/>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3B5"/>
    <w:rsid w:val="00AB4DFE"/>
    <w:rsid w:val="00AB4F95"/>
    <w:rsid w:val="00AB506D"/>
    <w:rsid w:val="00AB53F3"/>
    <w:rsid w:val="00AB56EB"/>
    <w:rsid w:val="00AB5DE3"/>
    <w:rsid w:val="00AB631B"/>
    <w:rsid w:val="00AB6A3A"/>
    <w:rsid w:val="00AB6D1A"/>
    <w:rsid w:val="00AB6E2F"/>
    <w:rsid w:val="00AB73AC"/>
    <w:rsid w:val="00AB797A"/>
    <w:rsid w:val="00AC034B"/>
    <w:rsid w:val="00AC175F"/>
    <w:rsid w:val="00AC26D1"/>
    <w:rsid w:val="00AC44B5"/>
    <w:rsid w:val="00AC45E5"/>
    <w:rsid w:val="00AC4804"/>
    <w:rsid w:val="00AC5408"/>
    <w:rsid w:val="00AC54E3"/>
    <w:rsid w:val="00AC6430"/>
    <w:rsid w:val="00AC6F09"/>
    <w:rsid w:val="00AC7C27"/>
    <w:rsid w:val="00AC7CCE"/>
    <w:rsid w:val="00AC7D0E"/>
    <w:rsid w:val="00AC7DA3"/>
    <w:rsid w:val="00AC7EDA"/>
    <w:rsid w:val="00AD0A3A"/>
    <w:rsid w:val="00AD0FC0"/>
    <w:rsid w:val="00AD1B6C"/>
    <w:rsid w:val="00AD3B51"/>
    <w:rsid w:val="00AD3D09"/>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E26"/>
    <w:rsid w:val="00AE3AB4"/>
    <w:rsid w:val="00AE3C82"/>
    <w:rsid w:val="00AE3DA6"/>
    <w:rsid w:val="00AE4E5B"/>
    <w:rsid w:val="00AE545A"/>
    <w:rsid w:val="00AE549A"/>
    <w:rsid w:val="00AE5F7F"/>
    <w:rsid w:val="00AE6483"/>
    <w:rsid w:val="00AE65F5"/>
    <w:rsid w:val="00AE7224"/>
    <w:rsid w:val="00AE7305"/>
    <w:rsid w:val="00AE73C7"/>
    <w:rsid w:val="00AE7DDB"/>
    <w:rsid w:val="00AF046B"/>
    <w:rsid w:val="00AF0C6C"/>
    <w:rsid w:val="00AF1872"/>
    <w:rsid w:val="00AF29DA"/>
    <w:rsid w:val="00AF3D13"/>
    <w:rsid w:val="00AF4709"/>
    <w:rsid w:val="00AF4B63"/>
    <w:rsid w:val="00AF58CC"/>
    <w:rsid w:val="00AF5AF0"/>
    <w:rsid w:val="00AF5DA2"/>
    <w:rsid w:val="00AF5DC0"/>
    <w:rsid w:val="00AF5F92"/>
    <w:rsid w:val="00AF61E2"/>
    <w:rsid w:val="00AF6335"/>
    <w:rsid w:val="00AF6433"/>
    <w:rsid w:val="00AF65FD"/>
    <w:rsid w:val="00AF6EF9"/>
    <w:rsid w:val="00AF753A"/>
    <w:rsid w:val="00AF78AE"/>
    <w:rsid w:val="00AF7F62"/>
    <w:rsid w:val="00B00405"/>
    <w:rsid w:val="00B00555"/>
    <w:rsid w:val="00B013CA"/>
    <w:rsid w:val="00B01CA9"/>
    <w:rsid w:val="00B01EBF"/>
    <w:rsid w:val="00B02C05"/>
    <w:rsid w:val="00B03045"/>
    <w:rsid w:val="00B04081"/>
    <w:rsid w:val="00B05CA6"/>
    <w:rsid w:val="00B05F38"/>
    <w:rsid w:val="00B06A13"/>
    <w:rsid w:val="00B06BAF"/>
    <w:rsid w:val="00B0777E"/>
    <w:rsid w:val="00B07948"/>
    <w:rsid w:val="00B07E5C"/>
    <w:rsid w:val="00B108D7"/>
    <w:rsid w:val="00B10D70"/>
    <w:rsid w:val="00B11DAB"/>
    <w:rsid w:val="00B1213C"/>
    <w:rsid w:val="00B12CE2"/>
    <w:rsid w:val="00B1346B"/>
    <w:rsid w:val="00B13DA9"/>
    <w:rsid w:val="00B13ECA"/>
    <w:rsid w:val="00B14091"/>
    <w:rsid w:val="00B1542F"/>
    <w:rsid w:val="00B15B77"/>
    <w:rsid w:val="00B16CC9"/>
    <w:rsid w:val="00B1736E"/>
    <w:rsid w:val="00B1774F"/>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3FD6"/>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842"/>
    <w:rsid w:val="00B52BD1"/>
    <w:rsid w:val="00B53362"/>
    <w:rsid w:val="00B53AEB"/>
    <w:rsid w:val="00B5411C"/>
    <w:rsid w:val="00B541AC"/>
    <w:rsid w:val="00B5463A"/>
    <w:rsid w:val="00B54819"/>
    <w:rsid w:val="00B54AC7"/>
    <w:rsid w:val="00B54BCA"/>
    <w:rsid w:val="00B54E75"/>
    <w:rsid w:val="00B54EFC"/>
    <w:rsid w:val="00B54F2D"/>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5D8"/>
    <w:rsid w:val="00B64C78"/>
    <w:rsid w:val="00B65106"/>
    <w:rsid w:val="00B65119"/>
    <w:rsid w:val="00B65814"/>
    <w:rsid w:val="00B65AFA"/>
    <w:rsid w:val="00B65B34"/>
    <w:rsid w:val="00B65C15"/>
    <w:rsid w:val="00B6625D"/>
    <w:rsid w:val="00B66DE2"/>
    <w:rsid w:val="00B70051"/>
    <w:rsid w:val="00B70155"/>
    <w:rsid w:val="00B70187"/>
    <w:rsid w:val="00B70407"/>
    <w:rsid w:val="00B70810"/>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4CD"/>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630"/>
    <w:rsid w:val="00BA2776"/>
    <w:rsid w:val="00BA2D56"/>
    <w:rsid w:val="00BA3070"/>
    <w:rsid w:val="00BA38A1"/>
    <w:rsid w:val="00BA3AAD"/>
    <w:rsid w:val="00BA3F68"/>
    <w:rsid w:val="00BA412B"/>
    <w:rsid w:val="00BA4735"/>
    <w:rsid w:val="00BA47F0"/>
    <w:rsid w:val="00BA56F1"/>
    <w:rsid w:val="00BA594C"/>
    <w:rsid w:val="00BA6285"/>
    <w:rsid w:val="00BA69B4"/>
    <w:rsid w:val="00BA7157"/>
    <w:rsid w:val="00BB1333"/>
    <w:rsid w:val="00BB2BA3"/>
    <w:rsid w:val="00BB30AC"/>
    <w:rsid w:val="00BB4040"/>
    <w:rsid w:val="00BB43B1"/>
    <w:rsid w:val="00BB4676"/>
    <w:rsid w:val="00BB52AC"/>
    <w:rsid w:val="00BB569F"/>
    <w:rsid w:val="00BB5BCF"/>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FC4"/>
    <w:rsid w:val="00BC3C80"/>
    <w:rsid w:val="00BC4BF8"/>
    <w:rsid w:val="00BC4F1A"/>
    <w:rsid w:val="00BC531A"/>
    <w:rsid w:val="00BC5C6D"/>
    <w:rsid w:val="00BC5E51"/>
    <w:rsid w:val="00BC5FC3"/>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B71"/>
    <w:rsid w:val="00BD4003"/>
    <w:rsid w:val="00BD43DE"/>
    <w:rsid w:val="00BD44E3"/>
    <w:rsid w:val="00BD4793"/>
    <w:rsid w:val="00BD4D6C"/>
    <w:rsid w:val="00BD5613"/>
    <w:rsid w:val="00BD6A54"/>
    <w:rsid w:val="00BD6C81"/>
    <w:rsid w:val="00BE129C"/>
    <w:rsid w:val="00BE1AD5"/>
    <w:rsid w:val="00BE20F9"/>
    <w:rsid w:val="00BE21C2"/>
    <w:rsid w:val="00BE2D5A"/>
    <w:rsid w:val="00BE3ED4"/>
    <w:rsid w:val="00BE3FFA"/>
    <w:rsid w:val="00BE4798"/>
    <w:rsid w:val="00BE4819"/>
    <w:rsid w:val="00BE4F29"/>
    <w:rsid w:val="00BE5793"/>
    <w:rsid w:val="00BE66E3"/>
    <w:rsid w:val="00BE6866"/>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1DAC"/>
    <w:rsid w:val="00BF2425"/>
    <w:rsid w:val="00BF28F4"/>
    <w:rsid w:val="00BF2A90"/>
    <w:rsid w:val="00BF2BAF"/>
    <w:rsid w:val="00BF3772"/>
    <w:rsid w:val="00BF3A7D"/>
    <w:rsid w:val="00BF4C74"/>
    <w:rsid w:val="00BF548B"/>
    <w:rsid w:val="00BF559A"/>
    <w:rsid w:val="00BF587D"/>
    <w:rsid w:val="00BF5F06"/>
    <w:rsid w:val="00BF5F82"/>
    <w:rsid w:val="00BF5FAB"/>
    <w:rsid w:val="00BF609E"/>
    <w:rsid w:val="00BF61F8"/>
    <w:rsid w:val="00BF622E"/>
    <w:rsid w:val="00BF63C6"/>
    <w:rsid w:val="00BF6BA9"/>
    <w:rsid w:val="00BF6E4E"/>
    <w:rsid w:val="00BF72EF"/>
    <w:rsid w:val="00C001BE"/>
    <w:rsid w:val="00C00B37"/>
    <w:rsid w:val="00C01A4D"/>
    <w:rsid w:val="00C01E52"/>
    <w:rsid w:val="00C02102"/>
    <w:rsid w:val="00C02644"/>
    <w:rsid w:val="00C02C57"/>
    <w:rsid w:val="00C032D6"/>
    <w:rsid w:val="00C033B6"/>
    <w:rsid w:val="00C0358E"/>
    <w:rsid w:val="00C047D3"/>
    <w:rsid w:val="00C04958"/>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7AC"/>
    <w:rsid w:val="00C13B74"/>
    <w:rsid w:val="00C13C0E"/>
    <w:rsid w:val="00C15191"/>
    <w:rsid w:val="00C15358"/>
    <w:rsid w:val="00C15C92"/>
    <w:rsid w:val="00C15D67"/>
    <w:rsid w:val="00C16956"/>
    <w:rsid w:val="00C17D60"/>
    <w:rsid w:val="00C17FA2"/>
    <w:rsid w:val="00C21F22"/>
    <w:rsid w:val="00C224E8"/>
    <w:rsid w:val="00C230C3"/>
    <w:rsid w:val="00C235B7"/>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0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1210"/>
    <w:rsid w:val="00C51C81"/>
    <w:rsid w:val="00C52552"/>
    <w:rsid w:val="00C5301B"/>
    <w:rsid w:val="00C531DB"/>
    <w:rsid w:val="00C53410"/>
    <w:rsid w:val="00C538EC"/>
    <w:rsid w:val="00C53ACD"/>
    <w:rsid w:val="00C53EB4"/>
    <w:rsid w:val="00C544F1"/>
    <w:rsid w:val="00C547E0"/>
    <w:rsid w:val="00C54C88"/>
    <w:rsid w:val="00C56710"/>
    <w:rsid w:val="00C576F9"/>
    <w:rsid w:val="00C57783"/>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DDE"/>
    <w:rsid w:val="00C83E87"/>
    <w:rsid w:val="00C84138"/>
    <w:rsid w:val="00C864B7"/>
    <w:rsid w:val="00C86DA6"/>
    <w:rsid w:val="00C87118"/>
    <w:rsid w:val="00C901FD"/>
    <w:rsid w:val="00C91451"/>
    <w:rsid w:val="00C914BD"/>
    <w:rsid w:val="00C92A0F"/>
    <w:rsid w:val="00C932B1"/>
    <w:rsid w:val="00C94F63"/>
    <w:rsid w:val="00C958A3"/>
    <w:rsid w:val="00C968CD"/>
    <w:rsid w:val="00C96F91"/>
    <w:rsid w:val="00C9794A"/>
    <w:rsid w:val="00CA064A"/>
    <w:rsid w:val="00CA12AE"/>
    <w:rsid w:val="00CA14C5"/>
    <w:rsid w:val="00CA17C2"/>
    <w:rsid w:val="00CA25E4"/>
    <w:rsid w:val="00CA27F5"/>
    <w:rsid w:val="00CA35DB"/>
    <w:rsid w:val="00CA425A"/>
    <w:rsid w:val="00CA4280"/>
    <w:rsid w:val="00CA5882"/>
    <w:rsid w:val="00CA5A96"/>
    <w:rsid w:val="00CA5ECF"/>
    <w:rsid w:val="00CA5F88"/>
    <w:rsid w:val="00CA6027"/>
    <w:rsid w:val="00CA6269"/>
    <w:rsid w:val="00CA6847"/>
    <w:rsid w:val="00CA7D7D"/>
    <w:rsid w:val="00CB0834"/>
    <w:rsid w:val="00CB08B8"/>
    <w:rsid w:val="00CB0EBD"/>
    <w:rsid w:val="00CB16FB"/>
    <w:rsid w:val="00CB272A"/>
    <w:rsid w:val="00CB291D"/>
    <w:rsid w:val="00CB2FD7"/>
    <w:rsid w:val="00CB3126"/>
    <w:rsid w:val="00CB37FA"/>
    <w:rsid w:val="00CB3B98"/>
    <w:rsid w:val="00CB4807"/>
    <w:rsid w:val="00CB5836"/>
    <w:rsid w:val="00CB5BE1"/>
    <w:rsid w:val="00CB6B86"/>
    <w:rsid w:val="00CB6B9D"/>
    <w:rsid w:val="00CB7B5E"/>
    <w:rsid w:val="00CC020C"/>
    <w:rsid w:val="00CC08F2"/>
    <w:rsid w:val="00CC1A42"/>
    <w:rsid w:val="00CC2232"/>
    <w:rsid w:val="00CC281A"/>
    <w:rsid w:val="00CC2A00"/>
    <w:rsid w:val="00CC34A9"/>
    <w:rsid w:val="00CC378E"/>
    <w:rsid w:val="00CC418F"/>
    <w:rsid w:val="00CC4351"/>
    <w:rsid w:val="00CC435D"/>
    <w:rsid w:val="00CC4BE1"/>
    <w:rsid w:val="00CC4EEA"/>
    <w:rsid w:val="00CC50E5"/>
    <w:rsid w:val="00CC51AE"/>
    <w:rsid w:val="00CC591B"/>
    <w:rsid w:val="00CC5986"/>
    <w:rsid w:val="00CC5A8F"/>
    <w:rsid w:val="00CC5E26"/>
    <w:rsid w:val="00CC5F30"/>
    <w:rsid w:val="00CC623E"/>
    <w:rsid w:val="00CC64E4"/>
    <w:rsid w:val="00CC650C"/>
    <w:rsid w:val="00CC735B"/>
    <w:rsid w:val="00CC7A67"/>
    <w:rsid w:val="00CC7F29"/>
    <w:rsid w:val="00CD0DCE"/>
    <w:rsid w:val="00CD0ECE"/>
    <w:rsid w:val="00CD1059"/>
    <w:rsid w:val="00CD130D"/>
    <w:rsid w:val="00CD1E14"/>
    <w:rsid w:val="00CD264A"/>
    <w:rsid w:val="00CD2869"/>
    <w:rsid w:val="00CD3604"/>
    <w:rsid w:val="00CD38D3"/>
    <w:rsid w:val="00CD3C05"/>
    <w:rsid w:val="00CD3D69"/>
    <w:rsid w:val="00CD3EF7"/>
    <w:rsid w:val="00CD5240"/>
    <w:rsid w:val="00CD569F"/>
    <w:rsid w:val="00CD6423"/>
    <w:rsid w:val="00CD71AA"/>
    <w:rsid w:val="00CD79DB"/>
    <w:rsid w:val="00CE0777"/>
    <w:rsid w:val="00CE0811"/>
    <w:rsid w:val="00CE0821"/>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2F95"/>
    <w:rsid w:val="00D0377A"/>
    <w:rsid w:val="00D04389"/>
    <w:rsid w:val="00D04422"/>
    <w:rsid w:val="00D0509A"/>
    <w:rsid w:val="00D053F8"/>
    <w:rsid w:val="00D05AB2"/>
    <w:rsid w:val="00D065AB"/>
    <w:rsid w:val="00D069F0"/>
    <w:rsid w:val="00D07152"/>
    <w:rsid w:val="00D0751B"/>
    <w:rsid w:val="00D07692"/>
    <w:rsid w:val="00D07877"/>
    <w:rsid w:val="00D07BE1"/>
    <w:rsid w:val="00D10388"/>
    <w:rsid w:val="00D1070A"/>
    <w:rsid w:val="00D10FAD"/>
    <w:rsid w:val="00D11143"/>
    <w:rsid w:val="00D11F3E"/>
    <w:rsid w:val="00D11F62"/>
    <w:rsid w:val="00D1216D"/>
    <w:rsid w:val="00D12187"/>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277AF"/>
    <w:rsid w:val="00D31025"/>
    <w:rsid w:val="00D311F2"/>
    <w:rsid w:val="00D31463"/>
    <w:rsid w:val="00D32190"/>
    <w:rsid w:val="00D322BB"/>
    <w:rsid w:val="00D325D8"/>
    <w:rsid w:val="00D33C09"/>
    <w:rsid w:val="00D33E7B"/>
    <w:rsid w:val="00D34C8C"/>
    <w:rsid w:val="00D3531C"/>
    <w:rsid w:val="00D3719C"/>
    <w:rsid w:val="00D37435"/>
    <w:rsid w:val="00D3750C"/>
    <w:rsid w:val="00D37AB2"/>
    <w:rsid w:val="00D37E51"/>
    <w:rsid w:val="00D40128"/>
    <w:rsid w:val="00D41030"/>
    <w:rsid w:val="00D41AAE"/>
    <w:rsid w:val="00D42F93"/>
    <w:rsid w:val="00D42FDC"/>
    <w:rsid w:val="00D44255"/>
    <w:rsid w:val="00D446E3"/>
    <w:rsid w:val="00D45E7D"/>
    <w:rsid w:val="00D4647F"/>
    <w:rsid w:val="00D46B5E"/>
    <w:rsid w:val="00D477F7"/>
    <w:rsid w:val="00D50341"/>
    <w:rsid w:val="00D508B9"/>
    <w:rsid w:val="00D518EE"/>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1EC2"/>
    <w:rsid w:val="00D627B9"/>
    <w:rsid w:val="00D62E59"/>
    <w:rsid w:val="00D6333D"/>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BB2"/>
    <w:rsid w:val="00D75BEF"/>
    <w:rsid w:val="00D75ED4"/>
    <w:rsid w:val="00D77047"/>
    <w:rsid w:val="00D77B05"/>
    <w:rsid w:val="00D80454"/>
    <w:rsid w:val="00D80590"/>
    <w:rsid w:val="00D809D6"/>
    <w:rsid w:val="00D80A32"/>
    <w:rsid w:val="00D80A90"/>
    <w:rsid w:val="00D80FA1"/>
    <w:rsid w:val="00D814EB"/>
    <w:rsid w:val="00D8161D"/>
    <w:rsid w:val="00D81ABC"/>
    <w:rsid w:val="00D82503"/>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DBA"/>
    <w:rsid w:val="00D954F1"/>
    <w:rsid w:val="00D95A09"/>
    <w:rsid w:val="00D9642C"/>
    <w:rsid w:val="00D97026"/>
    <w:rsid w:val="00D97759"/>
    <w:rsid w:val="00D97BF7"/>
    <w:rsid w:val="00D97DB9"/>
    <w:rsid w:val="00DA0076"/>
    <w:rsid w:val="00DA0621"/>
    <w:rsid w:val="00DA0A98"/>
    <w:rsid w:val="00DA1514"/>
    <w:rsid w:val="00DA22FB"/>
    <w:rsid w:val="00DA37F5"/>
    <w:rsid w:val="00DA3DFC"/>
    <w:rsid w:val="00DA4AEC"/>
    <w:rsid w:val="00DA59FF"/>
    <w:rsid w:val="00DA5B56"/>
    <w:rsid w:val="00DA6B15"/>
    <w:rsid w:val="00DA6FAB"/>
    <w:rsid w:val="00DA7AF6"/>
    <w:rsid w:val="00DA7FE8"/>
    <w:rsid w:val="00DB02C2"/>
    <w:rsid w:val="00DB2703"/>
    <w:rsid w:val="00DB2D38"/>
    <w:rsid w:val="00DB3BA4"/>
    <w:rsid w:val="00DB4EE6"/>
    <w:rsid w:val="00DB4F9E"/>
    <w:rsid w:val="00DB4FEB"/>
    <w:rsid w:val="00DB501D"/>
    <w:rsid w:val="00DB569D"/>
    <w:rsid w:val="00DB7455"/>
    <w:rsid w:val="00DB7A08"/>
    <w:rsid w:val="00DB7CB0"/>
    <w:rsid w:val="00DB7F0B"/>
    <w:rsid w:val="00DC0666"/>
    <w:rsid w:val="00DC06D9"/>
    <w:rsid w:val="00DC0A56"/>
    <w:rsid w:val="00DC0CCE"/>
    <w:rsid w:val="00DC0D4C"/>
    <w:rsid w:val="00DC111B"/>
    <w:rsid w:val="00DC17DA"/>
    <w:rsid w:val="00DC1B10"/>
    <w:rsid w:val="00DC2105"/>
    <w:rsid w:val="00DC2E33"/>
    <w:rsid w:val="00DC33F6"/>
    <w:rsid w:val="00DC4815"/>
    <w:rsid w:val="00DC5092"/>
    <w:rsid w:val="00DC5645"/>
    <w:rsid w:val="00DC566D"/>
    <w:rsid w:val="00DC5CDA"/>
    <w:rsid w:val="00DC64A4"/>
    <w:rsid w:val="00DC70AB"/>
    <w:rsid w:val="00DC70C1"/>
    <w:rsid w:val="00DC7DA8"/>
    <w:rsid w:val="00DC7F66"/>
    <w:rsid w:val="00DD0131"/>
    <w:rsid w:val="00DD02FB"/>
    <w:rsid w:val="00DD087F"/>
    <w:rsid w:val="00DD0C60"/>
    <w:rsid w:val="00DD2B83"/>
    <w:rsid w:val="00DD3DF7"/>
    <w:rsid w:val="00DD4A2B"/>
    <w:rsid w:val="00DD4A9B"/>
    <w:rsid w:val="00DD61D7"/>
    <w:rsid w:val="00DD664C"/>
    <w:rsid w:val="00DD68D3"/>
    <w:rsid w:val="00DD6F03"/>
    <w:rsid w:val="00DD79F0"/>
    <w:rsid w:val="00DD7B51"/>
    <w:rsid w:val="00DE0562"/>
    <w:rsid w:val="00DE0609"/>
    <w:rsid w:val="00DE090B"/>
    <w:rsid w:val="00DE0BFD"/>
    <w:rsid w:val="00DE0D0A"/>
    <w:rsid w:val="00DE17C8"/>
    <w:rsid w:val="00DE1870"/>
    <w:rsid w:val="00DE1C86"/>
    <w:rsid w:val="00DE1CB3"/>
    <w:rsid w:val="00DE1CEF"/>
    <w:rsid w:val="00DE2FEE"/>
    <w:rsid w:val="00DE3E76"/>
    <w:rsid w:val="00DE51A8"/>
    <w:rsid w:val="00DE6847"/>
    <w:rsid w:val="00DE68FE"/>
    <w:rsid w:val="00DE7EFF"/>
    <w:rsid w:val="00DF17B5"/>
    <w:rsid w:val="00DF29E9"/>
    <w:rsid w:val="00DF3218"/>
    <w:rsid w:val="00DF356D"/>
    <w:rsid w:val="00DF3616"/>
    <w:rsid w:val="00DF3DC3"/>
    <w:rsid w:val="00DF3E7C"/>
    <w:rsid w:val="00DF41D9"/>
    <w:rsid w:val="00DF42B6"/>
    <w:rsid w:val="00DF4979"/>
    <w:rsid w:val="00DF4E14"/>
    <w:rsid w:val="00DF50EB"/>
    <w:rsid w:val="00DF5F5C"/>
    <w:rsid w:val="00DF6ABC"/>
    <w:rsid w:val="00DF6B58"/>
    <w:rsid w:val="00DF6D5F"/>
    <w:rsid w:val="00DF6DAA"/>
    <w:rsid w:val="00DF725A"/>
    <w:rsid w:val="00DF74B6"/>
    <w:rsid w:val="00DF7973"/>
    <w:rsid w:val="00E00086"/>
    <w:rsid w:val="00E00108"/>
    <w:rsid w:val="00E01E3C"/>
    <w:rsid w:val="00E020CA"/>
    <w:rsid w:val="00E02570"/>
    <w:rsid w:val="00E02F52"/>
    <w:rsid w:val="00E03332"/>
    <w:rsid w:val="00E03F76"/>
    <w:rsid w:val="00E04707"/>
    <w:rsid w:val="00E0484C"/>
    <w:rsid w:val="00E04C49"/>
    <w:rsid w:val="00E057EE"/>
    <w:rsid w:val="00E0685E"/>
    <w:rsid w:val="00E06D8C"/>
    <w:rsid w:val="00E06D98"/>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73A"/>
    <w:rsid w:val="00E2638A"/>
    <w:rsid w:val="00E268B9"/>
    <w:rsid w:val="00E27186"/>
    <w:rsid w:val="00E27305"/>
    <w:rsid w:val="00E27D33"/>
    <w:rsid w:val="00E27D4D"/>
    <w:rsid w:val="00E309D8"/>
    <w:rsid w:val="00E30AFF"/>
    <w:rsid w:val="00E30C38"/>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9A7"/>
    <w:rsid w:val="00E419EE"/>
    <w:rsid w:val="00E42E97"/>
    <w:rsid w:val="00E43525"/>
    <w:rsid w:val="00E43D55"/>
    <w:rsid w:val="00E450B7"/>
    <w:rsid w:val="00E45DA2"/>
    <w:rsid w:val="00E46223"/>
    <w:rsid w:val="00E4662F"/>
    <w:rsid w:val="00E471E5"/>
    <w:rsid w:val="00E47C1A"/>
    <w:rsid w:val="00E503E2"/>
    <w:rsid w:val="00E507B5"/>
    <w:rsid w:val="00E50CCF"/>
    <w:rsid w:val="00E50EE6"/>
    <w:rsid w:val="00E51070"/>
    <w:rsid w:val="00E51143"/>
    <w:rsid w:val="00E5171F"/>
    <w:rsid w:val="00E5288F"/>
    <w:rsid w:val="00E52EDC"/>
    <w:rsid w:val="00E5353D"/>
    <w:rsid w:val="00E53BD4"/>
    <w:rsid w:val="00E5431D"/>
    <w:rsid w:val="00E545EA"/>
    <w:rsid w:val="00E54792"/>
    <w:rsid w:val="00E55F41"/>
    <w:rsid w:val="00E570CE"/>
    <w:rsid w:val="00E572C0"/>
    <w:rsid w:val="00E573F2"/>
    <w:rsid w:val="00E57557"/>
    <w:rsid w:val="00E57E43"/>
    <w:rsid w:val="00E6092C"/>
    <w:rsid w:val="00E60993"/>
    <w:rsid w:val="00E62C1E"/>
    <w:rsid w:val="00E62F1F"/>
    <w:rsid w:val="00E63652"/>
    <w:rsid w:val="00E6647B"/>
    <w:rsid w:val="00E6739C"/>
    <w:rsid w:val="00E67583"/>
    <w:rsid w:val="00E67640"/>
    <w:rsid w:val="00E67681"/>
    <w:rsid w:val="00E67AE1"/>
    <w:rsid w:val="00E67F45"/>
    <w:rsid w:val="00E706C8"/>
    <w:rsid w:val="00E714B2"/>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6E20"/>
    <w:rsid w:val="00E8727A"/>
    <w:rsid w:val="00E8743F"/>
    <w:rsid w:val="00E87A44"/>
    <w:rsid w:val="00E90196"/>
    <w:rsid w:val="00E90224"/>
    <w:rsid w:val="00E908E3"/>
    <w:rsid w:val="00E90FB5"/>
    <w:rsid w:val="00E913D2"/>
    <w:rsid w:val="00E91982"/>
    <w:rsid w:val="00E91D0E"/>
    <w:rsid w:val="00E92173"/>
    <w:rsid w:val="00E92497"/>
    <w:rsid w:val="00E92878"/>
    <w:rsid w:val="00E933C6"/>
    <w:rsid w:val="00E935D8"/>
    <w:rsid w:val="00E93A31"/>
    <w:rsid w:val="00E9500B"/>
    <w:rsid w:val="00E95510"/>
    <w:rsid w:val="00E9595E"/>
    <w:rsid w:val="00E96DBB"/>
    <w:rsid w:val="00E97990"/>
    <w:rsid w:val="00E97AF7"/>
    <w:rsid w:val="00E97D74"/>
    <w:rsid w:val="00E97FA2"/>
    <w:rsid w:val="00EA0622"/>
    <w:rsid w:val="00EA1371"/>
    <w:rsid w:val="00EA2512"/>
    <w:rsid w:val="00EA25C0"/>
    <w:rsid w:val="00EA27AF"/>
    <w:rsid w:val="00EA2A6B"/>
    <w:rsid w:val="00EA2D96"/>
    <w:rsid w:val="00EA34C7"/>
    <w:rsid w:val="00EA4A23"/>
    <w:rsid w:val="00EA614B"/>
    <w:rsid w:val="00EA6363"/>
    <w:rsid w:val="00EA73E5"/>
    <w:rsid w:val="00EA756D"/>
    <w:rsid w:val="00EA788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B7D4D"/>
    <w:rsid w:val="00EC01BC"/>
    <w:rsid w:val="00EC0288"/>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60A9"/>
    <w:rsid w:val="00EC6191"/>
    <w:rsid w:val="00EC67A6"/>
    <w:rsid w:val="00EC72F9"/>
    <w:rsid w:val="00EC73B3"/>
    <w:rsid w:val="00ED0BA4"/>
    <w:rsid w:val="00ED2336"/>
    <w:rsid w:val="00ED2337"/>
    <w:rsid w:val="00ED2E67"/>
    <w:rsid w:val="00ED2FEE"/>
    <w:rsid w:val="00ED3185"/>
    <w:rsid w:val="00ED31EF"/>
    <w:rsid w:val="00ED32C8"/>
    <w:rsid w:val="00ED3317"/>
    <w:rsid w:val="00ED3D37"/>
    <w:rsid w:val="00ED3F97"/>
    <w:rsid w:val="00ED403A"/>
    <w:rsid w:val="00ED4333"/>
    <w:rsid w:val="00ED4790"/>
    <w:rsid w:val="00ED4826"/>
    <w:rsid w:val="00ED49A3"/>
    <w:rsid w:val="00ED4B67"/>
    <w:rsid w:val="00ED5117"/>
    <w:rsid w:val="00ED594C"/>
    <w:rsid w:val="00ED6E3C"/>
    <w:rsid w:val="00ED73B0"/>
    <w:rsid w:val="00ED749D"/>
    <w:rsid w:val="00ED7F33"/>
    <w:rsid w:val="00EE056E"/>
    <w:rsid w:val="00EE0BFD"/>
    <w:rsid w:val="00EE1777"/>
    <w:rsid w:val="00EE1A0F"/>
    <w:rsid w:val="00EE2673"/>
    <w:rsid w:val="00EE29B8"/>
    <w:rsid w:val="00EE31C0"/>
    <w:rsid w:val="00EE335C"/>
    <w:rsid w:val="00EE44E1"/>
    <w:rsid w:val="00EE499D"/>
    <w:rsid w:val="00EE49BE"/>
    <w:rsid w:val="00EE553D"/>
    <w:rsid w:val="00EE56A0"/>
    <w:rsid w:val="00EE5838"/>
    <w:rsid w:val="00EE5D82"/>
    <w:rsid w:val="00EE6077"/>
    <w:rsid w:val="00EE60D3"/>
    <w:rsid w:val="00EE60FD"/>
    <w:rsid w:val="00EE6720"/>
    <w:rsid w:val="00EE6798"/>
    <w:rsid w:val="00EE695D"/>
    <w:rsid w:val="00EE6E66"/>
    <w:rsid w:val="00EE7CA4"/>
    <w:rsid w:val="00EF0DB1"/>
    <w:rsid w:val="00EF2B37"/>
    <w:rsid w:val="00EF2BE2"/>
    <w:rsid w:val="00EF2C94"/>
    <w:rsid w:val="00EF389B"/>
    <w:rsid w:val="00EF4A28"/>
    <w:rsid w:val="00EF519D"/>
    <w:rsid w:val="00EF51AA"/>
    <w:rsid w:val="00EF535D"/>
    <w:rsid w:val="00EF5562"/>
    <w:rsid w:val="00EF5892"/>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4FAF"/>
    <w:rsid w:val="00F055DE"/>
    <w:rsid w:val="00F057FE"/>
    <w:rsid w:val="00F05E6E"/>
    <w:rsid w:val="00F06DA2"/>
    <w:rsid w:val="00F06F37"/>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A98"/>
    <w:rsid w:val="00F1560B"/>
    <w:rsid w:val="00F15C3D"/>
    <w:rsid w:val="00F16045"/>
    <w:rsid w:val="00F162B5"/>
    <w:rsid w:val="00F165AB"/>
    <w:rsid w:val="00F167C0"/>
    <w:rsid w:val="00F16809"/>
    <w:rsid w:val="00F176F3"/>
    <w:rsid w:val="00F17D22"/>
    <w:rsid w:val="00F17F69"/>
    <w:rsid w:val="00F20476"/>
    <w:rsid w:val="00F21319"/>
    <w:rsid w:val="00F215F7"/>
    <w:rsid w:val="00F21887"/>
    <w:rsid w:val="00F22E83"/>
    <w:rsid w:val="00F23840"/>
    <w:rsid w:val="00F2395B"/>
    <w:rsid w:val="00F244B0"/>
    <w:rsid w:val="00F24C5F"/>
    <w:rsid w:val="00F24CEA"/>
    <w:rsid w:val="00F25348"/>
    <w:rsid w:val="00F25DB6"/>
    <w:rsid w:val="00F263E2"/>
    <w:rsid w:val="00F26725"/>
    <w:rsid w:val="00F27DCF"/>
    <w:rsid w:val="00F3020D"/>
    <w:rsid w:val="00F30ADE"/>
    <w:rsid w:val="00F30E3D"/>
    <w:rsid w:val="00F316B0"/>
    <w:rsid w:val="00F330CE"/>
    <w:rsid w:val="00F332B5"/>
    <w:rsid w:val="00F336C8"/>
    <w:rsid w:val="00F33975"/>
    <w:rsid w:val="00F33A29"/>
    <w:rsid w:val="00F348E7"/>
    <w:rsid w:val="00F34CA4"/>
    <w:rsid w:val="00F350A7"/>
    <w:rsid w:val="00F36008"/>
    <w:rsid w:val="00F373C4"/>
    <w:rsid w:val="00F374EE"/>
    <w:rsid w:val="00F4042C"/>
    <w:rsid w:val="00F404A1"/>
    <w:rsid w:val="00F408B6"/>
    <w:rsid w:val="00F40BC3"/>
    <w:rsid w:val="00F40E1A"/>
    <w:rsid w:val="00F4148A"/>
    <w:rsid w:val="00F41FF0"/>
    <w:rsid w:val="00F427DE"/>
    <w:rsid w:val="00F43421"/>
    <w:rsid w:val="00F4370F"/>
    <w:rsid w:val="00F4386E"/>
    <w:rsid w:val="00F447C9"/>
    <w:rsid w:val="00F44D4A"/>
    <w:rsid w:val="00F45680"/>
    <w:rsid w:val="00F460C1"/>
    <w:rsid w:val="00F46225"/>
    <w:rsid w:val="00F46BEB"/>
    <w:rsid w:val="00F46D27"/>
    <w:rsid w:val="00F4746E"/>
    <w:rsid w:val="00F5025F"/>
    <w:rsid w:val="00F50AA8"/>
    <w:rsid w:val="00F51456"/>
    <w:rsid w:val="00F5194D"/>
    <w:rsid w:val="00F52923"/>
    <w:rsid w:val="00F54045"/>
    <w:rsid w:val="00F55267"/>
    <w:rsid w:val="00F554E6"/>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4C"/>
    <w:rsid w:val="00F71499"/>
    <w:rsid w:val="00F715F4"/>
    <w:rsid w:val="00F71722"/>
    <w:rsid w:val="00F718B0"/>
    <w:rsid w:val="00F72213"/>
    <w:rsid w:val="00F7268E"/>
    <w:rsid w:val="00F7312B"/>
    <w:rsid w:val="00F731B0"/>
    <w:rsid w:val="00F73664"/>
    <w:rsid w:val="00F738CC"/>
    <w:rsid w:val="00F7395A"/>
    <w:rsid w:val="00F73BA6"/>
    <w:rsid w:val="00F74127"/>
    <w:rsid w:val="00F74565"/>
    <w:rsid w:val="00F752BC"/>
    <w:rsid w:val="00F75751"/>
    <w:rsid w:val="00F75BA3"/>
    <w:rsid w:val="00F75E88"/>
    <w:rsid w:val="00F815CC"/>
    <w:rsid w:val="00F826AB"/>
    <w:rsid w:val="00F8363D"/>
    <w:rsid w:val="00F8470C"/>
    <w:rsid w:val="00F859D9"/>
    <w:rsid w:val="00F8654A"/>
    <w:rsid w:val="00F86773"/>
    <w:rsid w:val="00F867CE"/>
    <w:rsid w:val="00F86FB8"/>
    <w:rsid w:val="00F86FBC"/>
    <w:rsid w:val="00F8738D"/>
    <w:rsid w:val="00F87514"/>
    <w:rsid w:val="00F87C59"/>
    <w:rsid w:val="00F909AA"/>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A59"/>
    <w:rsid w:val="00F97B31"/>
    <w:rsid w:val="00F97FAD"/>
    <w:rsid w:val="00FA0532"/>
    <w:rsid w:val="00FA092E"/>
    <w:rsid w:val="00FA1AA2"/>
    <w:rsid w:val="00FA27EC"/>
    <w:rsid w:val="00FA2901"/>
    <w:rsid w:val="00FA38B7"/>
    <w:rsid w:val="00FA4482"/>
    <w:rsid w:val="00FA59D4"/>
    <w:rsid w:val="00FA5D77"/>
    <w:rsid w:val="00FA6651"/>
    <w:rsid w:val="00FA67CA"/>
    <w:rsid w:val="00FA6C8A"/>
    <w:rsid w:val="00FA6D29"/>
    <w:rsid w:val="00FA7F1F"/>
    <w:rsid w:val="00FB0496"/>
    <w:rsid w:val="00FB0DBA"/>
    <w:rsid w:val="00FB0E63"/>
    <w:rsid w:val="00FB1171"/>
    <w:rsid w:val="00FB1492"/>
    <w:rsid w:val="00FB1BEF"/>
    <w:rsid w:val="00FB2CDB"/>
    <w:rsid w:val="00FB37B1"/>
    <w:rsid w:val="00FB3D8D"/>
    <w:rsid w:val="00FB4F27"/>
    <w:rsid w:val="00FB5E7E"/>
    <w:rsid w:val="00FB602A"/>
    <w:rsid w:val="00FB6998"/>
    <w:rsid w:val="00FB6CFE"/>
    <w:rsid w:val="00FB72A5"/>
    <w:rsid w:val="00FC06A3"/>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58B1"/>
    <w:rsid w:val="00FD6A91"/>
    <w:rsid w:val="00FE043F"/>
    <w:rsid w:val="00FE0B3C"/>
    <w:rsid w:val="00FE0BA2"/>
    <w:rsid w:val="00FE0F1A"/>
    <w:rsid w:val="00FE2304"/>
    <w:rsid w:val="00FE29D5"/>
    <w:rsid w:val="00FE316D"/>
    <w:rsid w:val="00FE4A33"/>
    <w:rsid w:val="00FE55BD"/>
    <w:rsid w:val="00FE5BB7"/>
    <w:rsid w:val="00FE5E8D"/>
    <w:rsid w:val="00FE6049"/>
    <w:rsid w:val="00FE6835"/>
    <w:rsid w:val="00FE6EF4"/>
    <w:rsid w:val="00FE723D"/>
    <w:rsid w:val="00FE7841"/>
    <w:rsid w:val="00FE7A74"/>
    <w:rsid w:val="00FE7F9C"/>
    <w:rsid w:val="00FF0ABA"/>
    <w:rsid w:val="00FF0B42"/>
    <w:rsid w:val="00FF21E8"/>
    <w:rsid w:val="00FF2A49"/>
    <w:rsid w:val="00FF35BF"/>
    <w:rsid w:val="00FF36AF"/>
    <w:rsid w:val="00FF4A0D"/>
    <w:rsid w:val="00FF4DA2"/>
    <w:rsid w:val="00FF4FAB"/>
    <w:rsid w:val="00FF6120"/>
    <w:rsid w:val="00FF769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f,ft"/>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121D7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styleId="Numrodepage">
    <w:name w:val="page number"/>
    <w:basedOn w:val="Policepardfaut"/>
    <w:uiPriority w:val="99"/>
    <w:rsid w:val="00326A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f,ft"/>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121D7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styleId="Numrodepage">
    <w:name w:val="page number"/>
    <w:basedOn w:val="Policepardfaut"/>
    <w:uiPriority w:val="99"/>
    <w:rsid w:val="00326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303058">
      <w:bodyDiv w:val="1"/>
      <w:marLeft w:val="0"/>
      <w:marRight w:val="0"/>
      <w:marTop w:val="0"/>
      <w:marBottom w:val="0"/>
      <w:divBdr>
        <w:top w:val="none" w:sz="0" w:space="0" w:color="auto"/>
        <w:left w:val="none" w:sz="0" w:space="0" w:color="auto"/>
        <w:bottom w:val="none" w:sz="0" w:space="0" w:color="auto"/>
        <w:right w:val="none" w:sz="0" w:space="0" w:color="auto"/>
      </w:divBdr>
    </w:div>
    <w:div w:id="1013647026">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921987564">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71FB7-D44C-4555-B0BA-B0264E67A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12</Pages>
  <Words>4157</Words>
  <Characters>22868</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26972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Malucimedina</cp:lastModifiedBy>
  <cp:revision>15</cp:revision>
  <cp:lastPrinted>2016-11-03T13:11:00Z</cp:lastPrinted>
  <dcterms:created xsi:type="dcterms:W3CDTF">2016-11-02T19:19:00Z</dcterms:created>
  <dcterms:modified xsi:type="dcterms:W3CDTF">2017-02-09T21:30:00Z</dcterms:modified>
</cp:coreProperties>
</file>