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0B" w:rsidRPr="0008790B" w:rsidRDefault="0008790B" w:rsidP="0008790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08790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08790B">
        <w:rPr>
          <w:rFonts w:ascii="Calibri" w:eastAsia="Calibri" w:hAnsi="Calibri" w:cs="Calibri"/>
          <w:color w:val="222222"/>
          <w:sz w:val="18"/>
          <w:szCs w:val="18"/>
          <w:lang w:val="es-CO" w:eastAsia="fr-FR"/>
        </w:rPr>
        <w:t> </w:t>
      </w:r>
    </w:p>
    <w:p w:rsidR="0008790B" w:rsidRPr="0008790B" w:rsidRDefault="0008790B" w:rsidP="0008790B">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08790B">
        <w:rPr>
          <w:rFonts w:ascii="Calibri" w:hAnsi="Calibri" w:cs="Calibri"/>
          <w:color w:val="222222"/>
          <w:sz w:val="18"/>
          <w:szCs w:val="18"/>
          <w:lang w:val="es-CO" w:eastAsia="fr-FR"/>
        </w:rPr>
        <w:t>Providencia:</w:t>
      </w:r>
      <w:r w:rsidRPr="0008790B">
        <w:rPr>
          <w:rFonts w:ascii="Calibri" w:hAnsi="Calibri" w:cs="Calibri"/>
          <w:color w:val="222222"/>
          <w:sz w:val="18"/>
          <w:szCs w:val="18"/>
          <w:lang w:val="es-CO" w:eastAsia="fr-FR"/>
        </w:rPr>
        <w:tab/>
        <w:t>SENTENCIA DE TUTELA – 1ª Instancia – 12 de diciembre de 2016</w:t>
      </w:r>
    </w:p>
    <w:p w:rsidR="0008790B" w:rsidRPr="0008790B" w:rsidRDefault="0008790B" w:rsidP="0008790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08790B">
        <w:rPr>
          <w:rFonts w:ascii="Calibri" w:eastAsia="Calibri" w:hAnsi="Calibri" w:cs="Calibri"/>
          <w:color w:val="222222"/>
          <w:sz w:val="18"/>
          <w:szCs w:val="18"/>
          <w:lang w:val="es-CO" w:eastAsia="fr-FR"/>
        </w:rPr>
        <w:t>Radicación Nro. :</w:t>
      </w:r>
      <w:r w:rsidRPr="0008790B">
        <w:rPr>
          <w:rFonts w:ascii="Calibri" w:eastAsia="Calibri" w:hAnsi="Calibri" w:cs="Calibri"/>
          <w:color w:val="222222"/>
          <w:sz w:val="18"/>
          <w:szCs w:val="18"/>
          <w:lang w:val="es-CO" w:eastAsia="fr-FR"/>
        </w:rPr>
        <w:tab/>
        <w:t xml:space="preserve">  </w:t>
      </w:r>
      <w:r w:rsidRPr="0008790B">
        <w:rPr>
          <w:rFonts w:ascii="Calibri" w:eastAsia="Calibri" w:hAnsi="Calibri" w:cs="Calibri"/>
          <w:color w:val="222222"/>
          <w:sz w:val="18"/>
          <w:szCs w:val="18"/>
          <w:lang w:val="es-CO" w:eastAsia="fr-FR"/>
        </w:rPr>
        <w:tab/>
      </w:r>
      <w:r w:rsidRPr="0008790B">
        <w:rPr>
          <w:rFonts w:ascii="Calibri" w:eastAsia="Calibri" w:hAnsi="Calibri" w:cs="Calibri"/>
          <w:color w:val="222222"/>
          <w:sz w:val="18"/>
          <w:szCs w:val="18"/>
          <w:lang w:eastAsia="fr-FR"/>
        </w:rPr>
        <w:t xml:space="preserve">2016-01102-00 </w:t>
      </w:r>
    </w:p>
    <w:p w:rsidR="0008790B" w:rsidRPr="0008790B" w:rsidRDefault="0008790B" w:rsidP="0008790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08790B">
        <w:rPr>
          <w:rFonts w:ascii="Calibri" w:eastAsia="Calibri" w:hAnsi="Calibri" w:cs="Calibri"/>
          <w:color w:val="222222"/>
          <w:sz w:val="18"/>
          <w:szCs w:val="18"/>
          <w:lang w:eastAsia="fr-FR"/>
        </w:rPr>
        <w:tab/>
      </w:r>
      <w:r w:rsidRPr="0008790B">
        <w:rPr>
          <w:rFonts w:ascii="Calibri" w:eastAsia="Calibri" w:hAnsi="Calibri" w:cs="Calibri"/>
          <w:color w:val="222222"/>
          <w:sz w:val="18"/>
          <w:szCs w:val="18"/>
          <w:lang w:eastAsia="fr-FR"/>
        </w:rPr>
        <w:tab/>
        <w:t>2016-01106-00</w:t>
      </w:r>
      <w:r w:rsidRPr="0008790B">
        <w:rPr>
          <w:rFonts w:ascii="Calibri" w:eastAsia="Calibri" w:hAnsi="Calibri" w:cs="Calibri"/>
          <w:color w:val="222222"/>
          <w:sz w:val="18"/>
          <w:szCs w:val="18"/>
          <w:lang w:eastAsia="fr-FR"/>
        </w:rPr>
        <w:tab/>
      </w:r>
    </w:p>
    <w:p w:rsidR="0008790B" w:rsidRPr="0008790B" w:rsidRDefault="0008790B" w:rsidP="0008790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08790B">
        <w:rPr>
          <w:rFonts w:ascii="Calibri" w:eastAsia="Calibri" w:hAnsi="Calibri" w:cs="Calibri"/>
          <w:color w:val="222222"/>
          <w:sz w:val="18"/>
          <w:szCs w:val="18"/>
          <w:lang w:val="es-CO" w:eastAsia="fr-FR"/>
        </w:rPr>
        <w:t>Accionante:</w:t>
      </w:r>
      <w:r w:rsidRPr="0008790B">
        <w:rPr>
          <w:rFonts w:ascii="Calibri" w:eastAsia="Calibri" w:hAnsi="Calibri" w:cs="Calibri"/>
          <w:color w:val="222222"/>
          <w:sz w:val="18"/>
          <w:szCs w:val="18"/>
          <w:lang w:val="es-CO" w:eastAsia="fr-FR"/>
        </w:rPr>
        <w:tab/>
      </w:r>
      <w:r w:rsidRPr="0008790B">
        <w:rPr>
          <w:rFonts w:ascii="Calibri" w:eastAsia="Calibri" w:hAnsi="Calibri" w:cs="Calibri"/>
          <w:color w:val="222222"/>
          <w:sz w:val="18"/>
          <w:szCs w:val="18"/>
          <w:lang w:val="es-CO" w:eastAsia="fr-FR"/>
        </w:rPr>
        <w:tab/>
      </w:r>
      <w:r w:rsidRPr="0008790B">
        <w:rPr>
          <w:rFonts w:ascii="Calibri" w:eastAsia="Calibri" w:hAnsi="Calibri" w:cs="Calibri"/>
          <w:bCs/>
          <w:color w:val="222222"/>
          <w:sz w:val="18"/>
          <w:szCs w:val="18"/>
          <w:lang w:eastAsia="fr-FR"/>
        </w:rPr>
        <w:t xml:space="preserve">JAVIER ELÍAS ARIAS </w:t>
      </w:r>
      <w:proofErr w:type="spellStart"/>
      <w:r w:rsidRPr="0008790B">
        <w:rPr>
          <w:rFonts w:ascii="Calibri" w:eastAsia="Calibri" w:hAnsi="Calibri" w:cs="Calibri"/>
          <w:bCs/>
          <w:color w:val="222222"/>
          <w:sz w:val="18"/>
          <w:szCs w:val="18"/>
          <w:lang w:eastAsia="fr-FR"/>
        </w:rPr>
        <w:t>IDÁRRAGA</w:t>
      </w:r>
      <w:proofErr w:type="spellEnd"/>
    </w:p>
    <w:p w:rsidR="0008790B" w:rsidRPr="0008790B" w:rsidRDefault="0008790B" w:rsidP="0008790B">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08790B">
        <w:rPr>
          <w:rFonts w:ascii="Calibri" w:eastAsia="Calibri" w:hAnsi="Calibri" w:cs="Calibri"/>
          <w:bCs/>
          <w:color w:val="222222"/>
          <w:sz w:val="18"/>
          <w:szCs w:val="18"/>
          <w:lang w:val="es-ES_tradnl" w:eastAsia="fr-FR"/>
        </w:rPr>
        <w:t>A</w:t>
      </w:r>
      <w:proofErr w:type="spellStart"/>
      <w:r w:rsidRPr="0008790B">
        <w:rPr>
          <w:rFonts w:ascii="Calibri" w:eastAsia="Calibri" w:hAnsi="Calibri" w:cs="Calibri"/>
          <w:color w:val="222222"/>
          <w:sz w:val="18"/>
          <w:szCs w:val="18"/>
          <w:lang w:val="es-CO" w:eastAsia="fr-FR"/>
        </w:rPr>
        <w:t>ccionados</w:t>
      </w:r>
      <w:proofErr w:type="spellEnd"/>
      <w:r w:rsidRPr="0008790B">
        <w:rPr>
          <w:rFonts w:ascii="Calibri" w:eastAsia="Calibri" w:hAnsi="Calibri" w:cs="Calibri"/>
          <w:color w:val="222222"/>
          <w:sz w:val="18"/>
          <w:szCs w:val="18"/>
          <w:lang w:val="es-CO" w:eastAsia="fr-FR"/>
        </w:rPr>
        <w:t>:</w:t>
      </w:r>
      <w:r w:rsidRPr="0008790B">
        <w:rPr>
          <w:rFonts w:ascii="Calibri" w:eastAsia="Calibri" w:hAnsi="Calibri" w:cs="Calibri"/>
          <w:color w:val="222222"/>
          <w:sz w:val="18"/>
          <w:szCs w:val="18"/>
          <w:lang w:val="es-CO" w:eastAsia="fr-FR"/>
        </w:rPr>
        <w:tab/>
        <w:t xml:space="preserve">      </w:t>
      </w:r>
      <w:r w:rsidRPr="0008790B">
        <w:rPr>
          <w:rFonts w:ascii="Calibri" w:eastAsia="Calibri" w:hAnsi="Calibri" w:cs="Calibri"/>
          <w:color w:val="222222"/>
          <w:sz w:val="18"/>
          <w:szCs w:val="18"/>
          <w:lang w:val="es-CO" w:eastAsia="fr-FR"/>
        </w:rPr>
        <w:tab/>
        <w:t>JUZGADO TERCER CIVIL DEL CIRCUITO DE PEREIRA Y OTRO</w:t>
      </w:r>
    </w:p>
    <w:p w:rsidR="0008790B" w:rsidRPr="0008790B" w:rsidRDefault="0008790B" w:rsidP="0008790B">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08790B">
        <w:rPr>
          <w:rFonts w:ascii="Calibri" w:eastAsia="Calibri" w:hAnsi="Calibri" w:cs="Calibri"/>
          <w:color w:val="222222"/>
          <w:sz w:val="18"/>
          <w:szCs w:val="18"/>
          <w:lang w:val="es-CO" w:eastAsia="fr-FR"/>
        </w:rPr>
        <w:t>Proceso:                </w:t>
      </w:r>
      <w:r w:rsidRPr="0008790B">
        <w:rPr>
          <w:rFonts w:ascii="Calibri" w:eastAsia="Calibri" w:hAnsi="Calibri" w:cs="Calibri"/>
          <w:color w:val="222222"/>
          <w:sz w:val="18"/>
          <w:szCs w:val="18"/>
          <w:lang w:val="es-CO" w:eastAsia="fr-FR"/>
        </w:rPr>
        <w:tab/>
        <w:t xml:space="preserve">Acción de Tutela – Niega el amparo solicitado frente a un accionado y declara improcedente respecto de los demás </w:t>
      </w:r>
    </w:p>
    <w:p w:rsidR="0008790B" w:rsidRPr="0008790B" w:rsidRDefault="0008790B" w:rsidP="0008790B">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08790B">
        <w:rPr>
          <w:rFonts w:ascii="Calibri" w:eastAsia="Calibri" w:hAnsi="Calibri" w:cs="Calibri"/>
          <w:color w:val="222222"/>
          <w:sz w:val="18"/>
          <w:szCs w:val="18"/>
          <w:lang w:val="es-CO" w:eastAsia="fr-FR"/>
        </w:rPr>
        <w:t>Magistrado Ponente: </w:t>
      </w:r>
      <w:r w:rsidRPr="0008790B">
        <w:rPr>
          <w:rFonts w:ascii="Calibri" w:eastAsia="Calibri" w:hAnsi="Calibri" w:cs="Calibri"/>
          <w:color w:val="222222"/>
          <w:sz w:val="18"/>
          <w:szCs w:val="18"/>
          <w:lang w:val="es-CO" w:eastAsia="fr-FR"/>
        </w:rPr>
        <w:tab/>
      </w:r>
      <w:proofErr w:type="spellStart"/>
      <w:r w:rsidRPr="0008790B">
        <w:rPr>
          <w:rFonts w:ascii="Calibri" w:eastAsia="Calibri" w:hAnsi="Calibri" w:cs="Calibri"/>
          <w:bCs/>
          <w:iCs/>
          <w:color w:val="222222"/>
          <w:sz w:val="18"/>
          <w:szCs w:val="18"/>
          <w:lang w:eastAsia="fr-FR"/>
        </w:rPr>
        <w:t>DUBERNEY</w:t>
      </w:r>
      <w:proofErr w:type="spellEnd"/>
      <w:r w:rsidRPr="0008790B">
        <w:rPr>
          <w:rFonts w:ascii="Calibri" w:eastAsia="Calibri" w:hAnsi="Calibri" w:cs="Calibri"/>
          <w:bCs/>
          <w:iCs/>
          <w:color w:val="222222"/>
          <w:sz w:val="18"/>
          <w:szCs w:val="18"/>
          <w:lang w:eastAsia="fr-FR"/>
        </w:rPr>
        <w:t xml:space="preserve"> GRISALES HERRERA</w:t>
      </w:r>
      <w:r w:rsidRPr="0008790B">
        <w:rPr>
          <w:rFonts w:ascii="Calibri" w:eastAsia="Calibri" w:hAnsi="Calibri" w:cs="Calibri"/>
          <w:bCs/>
          <w:iCs/>
          <w:color w:val="222222"/>
          <w:sz w:val="18"/>
          <w:szCs w:val="18"/>
          <w:lang w:eastAsia="fr-FR"/>
        </w:rPr>
        <w:tab/>
      </w:r>
    </w:p>
    <w:p w:rsidR="0008790B" w:rsidRPr="0008790B" w:rsidRDefault="0008790B" w:rsidP="0008790B">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08790B" w:rsidRPr="0008790B" w:rsidRDefault="0008790B" w:rsidP="0008790B">
      <w:pPr>
        <w:widowControl/>
        <w:shd w:val="clear" w:color="auto" w:fill="FFFFFF"/>
        <w:autoSpaceDE/>
        <w:autoSpaceDN/>
        <w:adjustRightInd/>
        <w:spacing w:after="200"/>
        <w:jc w:val="both"/>
        <w:rPr>
          <w:rFonts w:ascii="Calibri" w:eastAsia="Calibri" w:hAnsi="Calibri" w:cs="Calibri"/>
          <w:bCs/>
          <w:color w:val="222222"/>
          <w:sz w:val="18"/>
          <w:szCs w:val="18"/>
          <w:lang w:val="es-ES_tradnl" w:eastAsia="fr-FR"/>
        </w:rPr>
      </w:pPr>
      <w:r w:rsidRPr="0008790B">
        <w:rPr>
          <w:rFonts w:ascii="Calibri" w:eastAsia="Calibri" w:hAnsi="Calibri" w:cs="Calibri"/>
          <w:b/>
          <w:bCs/>
          <w:color w:val="222222"/>
          <w:sz w:val="18"/>
          <w:szCs w:val="18"/>
          <w:lang w:val="es-CO" w:eastAsia="fr-FR"/>
        </w:rPr>
        <w:t>Temas:</w:t>
      </w:r>
      <w:r w:rsidRPr="0008790B">
        <w:rPr>
          <w:rFonts w:ascii="Calibri" w:eastAsia="Calibri" w:hAnsi="Calibri" w:cs="Calibri"/>
          <w:b/>
          <w:bCs/>
          <w:color w:val="222222"/>
          <w:sz w:val="18"/>
          <w:szCs w:val="18"/>
          <w:lang w:val="es-CO" w:eastAsia="fr-FR"/>
        </w:rPr>
        <w:tab/>
      </w:r>
      <w:r w:rsidRPr="0008790B">
        <w:rPr>
          <w:rFonts w:ascii="Calibri" w:eastAsia="Calibri" w:hAnsi="Calibri" w:cs="Calibri"/>
          <w:b/>
          <w:bCs/>
          <w:color w:val="222222"/>
          <w:sz w:val="18"/>
          <w:szCs w:val="18"/>
          <w:lang w:val="es-CO" w:eastAsia="fr-FR"/>
        </w:rPr>
        <w:tab/>
      </w:r>
      <w:r w:rsidRPr="0008790B">
        <w:rPr>
          <w:rFonts w:ascii="Calibri" w:eastAsia="Calibri" w:hAnsi="Calibri" w:cs="Calibri"/>
          <w:b/>
          <w:bCs/>
          <w:color w:val="222222"/>
          <w:sz w:val="18"/>
          <w:szCs w:val="18"/>
          <w:lang w:val="es-CO" w:eastAsia="fr-FR"/>
        </w:rPr>
        <w:tab/>
        <w:t xml:space="preserve">DEBIDO PROCESO / TUTELA CONTRA PROVIDENCIA JUDICIAL / IMPROCEDENTE FRENTE A LOS LITISCONSORTES // NIEGA / NO EXISTE DECISIÓN ARBITRARIA AL NEGAR PUBLICACIÓN POR AVISO EN ACCIÓN POPULAR </w:t>
      </w:r>
      <w:r w:rsidRPr="0008790B">
        <w:rPr>
          <w:rFonts w:ascii="Calibri" w:eastAsia="Calibri" w:hAnsi="Calibri" w:cs="Calibri"/>
          <w:bCs/>
          <w:color w:val="222222"/>
          <w:sz w:val="18"/>
          <w:szCs w:val="18"/>
          <w:lang w:val="es-CO" w:eastAsia="fr-FR"/>
        </w:rPr>
        <w:t>“</w:t>
      </w:r>
      <w:r w:rsidRPr="0008790B">
        <w:rPr>
          <w:rFonts w:ascii="Calibri" w:eastAsia="Calibri" w:hAnsi="Calibri" w:cs="Calibri"/>
          <w:bCs/>
          <w:color w:val="222222"/>
          <w:sz w:val="18"/>
          <w:szCs w:val="18"/>
          <w:lang w:eastAsia="fr-FR"/>
        </w:rPr>
        <w:t xml:space="preserve">Como los litisconsortes vinculados a este trámite, las Defensorías del Pueblo y las Procuradurías Generales de la Nación, Regionales del Valle del Cauca y de Santander, y las Alcaldía y Personerías de Sevilla, V. y Floridablanca, S. no participaron en la acción popular dentro de la cual se alega la vulneración al debido proceso, carecen de legitimación, por ende, se declarará improcedente el amparo en su contra (…). [S]i bien se le ha impuesto al actor el deber de notificar a los accionados en la acciones populares y de avisar a la comunidad, estima la Sala que no puede considerarse como un actuar antojadizo o injustificado del juez que vulnere sus derechos, ni refleja una acción tendiente a esquivar el impulso oficioso que le atribuye la citada Ley, ya que, esas son  gestiones que permiten inferir una mínima diligencia por parte del promotor de la acción con el fin de obtener la protección de los derechos colectivos vulnerados; tal como lo ha reconocido el CE. Esta interpretación acoge el pensamiento de la CSJ, al resolver una acción de tutela con parámetros fácticos similares a los que dieron origen al </w:t>
      </w:r>
      <w:r w:rsidRPr="0008790B">
        <w:rPr>
          <w:rFonts w:ascii="Calibri" w:eastAsia="Calibri" w:hAnsi="Calibri" w:cs="Calibri"/>
          <w:bCs/>
          <w:i/>
          <w:color w:val="222222"/>
          <w:sz w:val="18"/>
          <w:szCs w:val="18"/>
          <w:lang w:eastAsia="fr-FR"/>
        </w:rPr>
        <w:t xml:space="preserve">sub examine </w:t>
      </w:r>
      <w:r w:rsidRPr="0008790B">
        <w:rPr>
          <w:rFonts w:ascii="Calibri" w:eastAsia="Calibri" w:hAnsi="Calibri" w:cs="Calibri"/>
          <w:bCs/>
          <w:color w:val="222222"/>
          <w:sz w:val="18"/>
          <w:szCs w:val="18"/>
          <w:lang w:eastAsia="fr-FR"/>
        </w:rPr>
        <w:t xml:space="preserve">(…). En suma, luce evidente que es inexistente vulneración o amenaza a los derechos invocados  por  el  </w:t>
      </w:r>
      <w:proofErr w:type="spellStart"/>
      <w:r w:rsidRPr="0008790B">
        <w:rPr>
          <w:rFonts w:ascii="Calibri" w:eastAsia="Calibri" w:hAnsi="Calibri" w:cs="Calibri"/>
          <w:bCs/>
          <w:color w:val="222222"/>
          <w:sz w:val="18"/>
          <w:szCs w:val="18"/>
          <w:lang w:eastAsia="fr-FR"/>
        </w:rPr>
        <w:t>tutelante</w:t>
      </w:r>
      <w:proofErr w:type="spellEnd"/>
      <w:r w:rsidRPr="0008790B">
        <w:rPr>
          <w:rFonts w:ascii="Calibri" w:eastAsia="Calibri" w:hAnsi="Calibri" w:cs="Calibri"/>
          <w:bCs/>
          <w:color w:val="222222"/>
          <w:sz w:val="18"/>
          <w:szCs w:val="18"/>
          <w:lang w:eastAsia="fr-FR"/>
        </w:rPr>
        <w:t xml:space="preserve">  y  así  será  declarado,  tal  como  se  decidiera en anteriores oportunidades por esta Sala Especializada, confirmadas por la CSJ.”.</w:t>
      </w:r>
    </w:p>
    <w:p w:rsidR="0008790B" w:rsidRPr="0008790B" w:rsidRDefault="0008790B" w:rsidP="0008790B">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08790B">
        <w:rPr>
          <w:rFonts w:ascii="Calibri" w:eastAsia="Calibri" w:hAnsi="Calibri" w:cs="Calibri"/>
          <w:b/>
          <w:bCs/>
          <w:color w:val="222222"/>
          <w:sz w:val="18"/>
          <w:szCs w:val="18"/>
          <w:lang w:eastAsia="fr-FR"/>
        </w:rPr>
        <w:t xml:space="preserve">Citación jurisprudencial: </w:t>
      </w:r>
      <w:r w:rsidRPr="0008790B">
        <w:rPr>
          <w:rFonts w:ascii="Calibri" w:eastAsia="Calibri" w:hAnsi="Calibri" w:cs="Calibri"/>
          <w:bCs/>
          <w:color w:val="222222"/>
          <w:sz w:val="18"/>
          <w:szCs w:val="18"/>
          <w:lang w:eastAsia="fr-FR"/>
        </w:rPr>
        <w:t xml:space="preserve">CORTE CONSTITUCIONAL, </w:t>
      </w:r>
      <w:r w:rsidRPr="0008790B">
        <w:rPr>
          <w:rFonts w:ascii="Calibri" w:eastAsia="Calibri" w:hAnsi="Calibri" w:cs="Calibri"/>
          <w:bCs/>
          <w:color w:val="222222"/>
          <w:sz w:val="18"/>
          <w:szCs w:val="18"/>
          <w:lang w:val="es-MX" w:eastAsia="fr-FR"/>
        </w:rPr>
        <w:t xml:space="preserve">Sentencia SU-949 de 2014 / Sentencia T-192 de 2015 / </w:t>
      </w:r>
      <w:r w:rsidRPr="0008790B">
        <w:rPr>
          <w:rFonts w:ascii="Calibri" w:eastAsia="Calibri" w:hAnsi="Calibri" w:cs="Calibri"/>
          <w:bCs/>
          <w:color w:val="222222"/>
          <w:sz w:val="18"/>
          <w:szCs w:val="18"/>
          <w:lang w:val="es-CO" w:eastAsia="fr-FR"/>
        </w:rPr>
        <w:t xml:space="preserve">Sentencia T-001 de 1999 / Sentencia T-567 de 1998 / Sentencia T-573 de 1997 / Sentencia T-831 de 2012 / </w:t>
      </w:r>
      <w:r w:rsidRPr="0008790B">
        <w:rPr>
          <w:rFonts w:ascii="Calibri" w:eastAsia="Calibri" w:hAnsi="Calibri" w:cs="Calibri"/>
          <w:bCs/>
          <w:color w:val="222222"/>
          <w:sz w:val="18"/>
          <w:szCs w:val="18"/>
          <w:lang w:val="es-ES_tradnl" w:eastAsia="fr-FR"/>
        </w:rPr>
        <w:t xml:space="preserve">Sentencia T-231 de 1994 / </w:t>
      </w:r>
      <w:r w:rsidRPr="0008790B">
        <w:rPr>
          <w:rFonts w:ascii="Calibri" w:eastAsia="Calibri" w:hAnsi="Calibri" w:cs="Calibri"/>
          <w:bCs/>
          <w:color w:val="222222"/>
          <w:sz w:val="18"/>
          <w:szCs w:val="18"/>
          <w:lang w:val="es-MX" w:eastAsia="fr-FR"/>
        </w:rPr>
        <w:t xml:space="preserve">Sentencia T-307 de 2015 / Sentencia </w:t>
      </w:r>
      <w:r w:rsidRPr="0008790B">
        <w:rPr>
          <w:rFonts w:ascii="Calibri" w:eastAsia="Calibri" w:hAnsi="Calibri" w:cs="Calibri"/>
          <w:bCs/>
          <w:color w:val="222222"/>
          <w:sz w:val="18"/>
          <w:szCs w:val="18"/>
          <w:lang w:eastAsia="fr-FR"/>
        </w:rPr>
        <w:t xml:space="preserve">T-107 de 2016 / Sentencia </w:t>
      </w:r>
      <w:r w:rsidRPr="0008790B">
        <w:rPr>
          <w:rFonts w:ascii="Calibri" w:eastAsia="Calibri" w:hAnsi="Calibri" w:cs="Calibri"/>
          <w:bCs/>
          <w:color w:val="222222"/>
          <w:sz w:val="18"/>
          <w:szCs w:val="18"/>
          <w:lang w:val="es-MX" w:eastAsia="fr-FR"/>
        </w:rPr>
        <w:t xml:space="preserve">T-064 de 2015 / Sentencia T-917 de 2011 / Sentencia C-590 de 2005. </w:t>
      </w:r>
    </w:p>
    <w:p w:rsidR="0008790B" w:rsidRPr="0008790B" w:rsidRDefault="0008790B" w:rsidP="0008790B">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08790B">
        <w:rPr>
          <w:rFonts w:ascii="Calibri" w:eastAsia="Calibri" w:hAnsi="Calibri" w:cs="Calibri"/>
          <w:bCs/>
          <w:color w:val="222222"/>
          <w:sz w:val="18"/>
          <w:szCs w:val="18"/>
          <w:lang w:val="es-CO" w:eastAsia="fr-FR"/>
        </w:rPr>
        <w:t>CONSEJO DE ESTADO, Sección Primera. Sentencia 19-11-2009, Rad. 41001-23-31-000-2004-01175-01(AP) / Sentencia Rad. 2002-01521-01 (AP).</w:t>
      </w:r>
    </w:p>
    <w:p w:rsidR="0008790B" w:rsidRPr="0008790B" w:rsidRDefault="0008790B" w:rsidP="0008790B">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08790B">
        <w:rPr>
          <w:rFonts w:ascii="Calibri" w:eastAsia="Calibri" w:hAnsi="Calibri" w:cs="Calibri"/>
          <w:bCs/>
          <w:color w:val="222222"/>
          <w:sz w:val="18"/>
          <w:szCs w:val="18"/>
          <w:lang w:val="es-CO" w:eastAsia="fr-FR"/>
        </w:rPr>
        <w:t xml:space="preserve">CORTE SUPREMA DE JUSTICIA, </w:t>
      </w:r>
      <w:proofErr w:type="spellStart"/>
      <w:r w:rsidRPr="0008790B">
        <w:rPr>
          <w:rFonts w:ascii="Calibri" w:eastAsia="Calibri" w:hAnsi="Calibri" w:cs="Calibri"/>
          <w:bCs/>
          <w:color w:val="222222"/>
          <w:sz w:val="18"/>
          <w:szCs w:val="18"/>
          <w:lang w:val="es-CO" w:eastAsia="fr-FR"/>
        </w:rPr>
        <w:t>SCC</w:t>
      </w:r>
      <w:proofErr w:type="spellEnd"/>
      <w:r w:rsidRPr="0008790B">
        <w:rPr>
          <w:rFonts w:ascii="Calibri" w:eastAsia="Calibri" w:hAnsi="Calibri" w:cs="Calibri"/>
          <w:bCs/>
          <w:color w:val="222222"/>
          <w:sz w:val="18"/>
          <w:szCs w:val="18"/>
          <w:lang w:val="es-CO" w:eastAsia="fr-FR"/>
        </w:rPr>
        <w:t xml:space="preserve">, Sentencia del 03-03-2011, Rad. 11001-22-03-000-2011-00029-01 / Sentencia </w:t>
      </w:r>
      <w:proofErr w:type="spellStart"/>
      <w:r w:rsidRPr="0008790B">
        <w:rPr>
          <w:rFonts w:ascii="Calibri" w:eastAsia="Calibri" w:hAnsi="Calibri" w:cs="Calibri"/>
          <w:bCs/>
          <w:color w:val="222222"/>
          <w:sz w:val="18"/>
          <w:szCs w:val="18"/>
          <w:lang w:val="es-CO" w:eastAsia="fr-FR"/>
        </w:rPr>
        <w:t>STC7441</w:t>
      </w:r>
      <w:proofErr w:type="spellEnd"/>
      <w:r w:rsidRPr="0008790B">
        <w:rPr>
          <w:rFonts w:ascii="Calibri" w:eastAsia="Calibri" w:hAnsi="Calibri" w:cs="Calibri"/>
          <w:bCs/>
          <w:color w:val="222222"/>
          <w:sz w:val="18"/>
          <w:szCs w:val="18"/>
          <w:lang w:val="es-CO" w:eastAsia="fr-FR"/>
        </w:rPr>
        <w:t xml:space="preserve">-2016 / </w:t>
      </w:r>
      <w:r w:rsidRPr="0008790B">
        <w:rPr>
          <w:rFonts w:ascii="Calibri" w:eastAsia="Calibri" w:hAnsi="Calibri" w:cs="Calibri"/>
          <w:bCs/>
          <w:color w:val="222222"/>
          <w:sz w:val="18"/>
          <w:szCs w:val="18"/>
          <w:lang w:eastAsia="fr-FR"/>
        </w:rPr>
        <w:t xml:space="preserve">Providencias </w:t>
      </w:r>
      <w:proofErr w:type="spellStart"/>
      <w:r w:rsidRPr="0008790B">
        <w:rPr>
          <w:rFonts w:ascii="Calibri" w:eastAsia="Calibri" w:hAnsi="Calibri" w:cs="Calibri"/>
          <w:bCs/>
          <w:color w:val="222222"/>
          <w:sz w:val="18"/>
          <w:szCs w:val="18"/>
          <w:lang w:eastAsia="fr-FR"/>
        </w:rPr>
        <w:t>STC5116</w:t>
      </w:r>
      <w:proofErr w:type="spellEnd"/>
      <w:r w:rsidRPr="0008790B">
        <w:rPr>
          <w:rFonts w:ascii="Calibri" w:eastAsia="Calibri" w:hAnsi="Calibri" w:cs="Calibri"/>
          <w:bCs/>
          <w:color w:val="222222"/>
          <w:sz w:val="18"/>
          <w:szCs w:val="18"/>
          <w:lang w:eastAsia="fr-FR"/>
        </w:rPr>
        <w:t xml:space="preserve">-2015, </w:t>
      </w:r>
      <w:proofErr w:type="spellStart"/>
      <w:r w:rsidRPr="0008790B">
        <w:rPr>
          <w:rFonts w:ascii="Calibri" w:eastAsia="Calibri" w:hAnsi="Calibri" w:cs="Calibri"/>
          <w:bCs/>
          <w:color w:val="222222"/>
          <w:sz w:val="18"/>
          <w:szCs w:val="18"/>
          <w:lang w:val="es-ES_tradnl" w:eastAsia="fr-FR"/>
        </w:rPr>
        <w:t>STC10743</w:t>
      </w:r>
      <w:proofErr w:type="spellEnd"/>
      <w:r w:rsidRPr="0008790B">
        <w:rPr>
          <w:rFonts w:ascii="Calibri" w:eastAsia="Calibri" w:hAnsi="Calibri" w:cs="Calibri"/>
          <w:bCs/>
          <w:color w:val="222222"/>
          <w:sz w:val="18"/>
          <w:szCs w:val="18"/>
          <w:lang w:val="es-ES_tradnl" w:eastAsia="fr-FR"/>
        </w:rPr>
        <w:t xml:space="preserve">-2015 y </w:t>
      </w:r>
      <w:proofErr w:type="spellStart"/>
      <w:r w:rsidRPr="0008790B">
        <w:rPr>
          <w:rFonts w:ascii="Calibri" w:eastAsia="Calibri" w:hAnsi="Calibri" w:cs="Calibri"/>
          <w:bCs/>
          <w:color w:val="222222"/>
          <w:sz w:val="18"/>
          <w:szCs w:val="18"/>
          <w:lang w:val="es-CO" w:eastAsia="fr-FR"/>
        </w:rPr>
        <w:t>STC7441</w:t>
      </w:r>
      <w:proofErr w:type="spellEnd"/>
      <w:r w:rsidRPr="0008790B">
        <w:rPr>
          <w:rFonts w:ascii="Calibri" w:eastAsia="Calibri" w:hAnsi="Calibri" w:cs="Calibri"/>
          <w:bCs/>
          <w:color w:val="222222"/>
          <w:sz w:val="18"/>
          <w:szCs w:val="18"/>
          <w:lang w:val="es-CO" w:eastAsia="fr-FR"/>
        </w:rPr>
        <w:t>-2016.</w:t>
      </w:r>
    </w:p>
    <w:p w:rsidR="0008790B" w:rsidRPr="0008790B" w:rsidRDefault="0008790B" w:rsidP="0008790B">
      <w:pPr>
        <w:widowControl/>
        <w:shd w:val="clear" w:color="auto" w:fill="FFFFFF"/>
        <w:autoSpaceDE/>
        <w:autoSpaceDN/>
        <w:adjustRightInd/>
        <w:spacing w:after="200"/>
        <w:jc w:val="both"/>
        <w:rPr>
          <w:rFonts w:ascii="Calibri" w:eastAsia="Calibri" w:hAnsi="Calibri" w:cs="Calibri"/>
          <w:b/>
          <w:bCs/>
          <w:color w:val="222222"/>
          <w:sz w:val="18"/>
          <w:szCs w:val="18"/>
          <w:lang w:eastAsia="fr-FR"/>
        </w:rPr>
      </w:pPr>
      <w:r w:rsidRPr="0008790B">
        <w:rPr>
          <w:rFonts w:ascii="Calibri" w:eastAsia="Calibri" w:hAnsi="Calibri" w:cs="Calibri"/>
          <w:bCs/>
          <w:color w:val="222222"/>
          <w:sz w:val="18"/>
          <w:szCs w:val="18"/>
          <w:lang w:val="es-CO" w:eastAsia="fr-FR"/>
        </w:rPr>
        <w:t>TRIBUNAL SUPERIOR DE PEREIRA, Civil – Familia, Sentencias del</w:t>
      </w:r>
      <w:r w:rsidRPr="0008790B">
        <w:rPr>
          <w:rFonts w:ascii="Calibri" w:eastAsia="Calibri" w:hAnsi="Calibri" w:cs="Calibri"/>
          <w:bCs/>
          <w:color w:val="222222"/>
          <w:sz w:val="18"/>
          <w:szCs w:val="18"/>
          <w:lang w:eastAsia="fr-FR"/>
        </w:rPr>
        <w:t xml:space="preserve"> 13-05-2015, 16-02-2016 y </w:t>
      </w:r>
      <w:r w:rsidRPr="0008790B">
        <w:rPr>
          <w:rFonts w:ascii="Calibri" w:eastAsia="Calibri" w:hAnsi="Calibri" w:cs="Calibri"/>
          <w:bCs/>
          <w:color w:val="222222"/>
          <w:sz w:val="18"/>
          <w:szCs w:val="18"/>
          <w:lang w:val="es-CO" w:eastAsia="fr-FR"/>
        </w:rPr>
        <w:t xml:space="preserve">12-05-2016, </w:t>
      </w:r>
      <w:r w:rsidRPr="0008790B">
        <w:rPr>
          <w:rFonts w:ascii="Calibri" w:eastAsia="Calibri" w:hAnsi="Calibri" w:cs="Calibri"/>
          <w:bCs/>
          <w:color w:val="222222"/>
          <w:sz w:val="18"/>
          <w:szCs w:val="18"/>
          <w:lang w:eastAsia="fr-FR"/>
        </w:rPr>
        <w:t>Rad. 2015-00133-00, 2016-00182-00 y 2016-00507-00.</w:t>
      </w:r>
      <w:r w:rsidRPr="0008790B">
        <w:rPr>
          <w:rFonts w:ascii="Calibri" w:eastAsia="Calibri" w:hAnsi="Calibri" w:cs="Calibri"/>
          <w:b/>
          <w:bCs/>
          <w:color w:val="222222"/>
          <w:sz w:val="18"/>
          <w:szCs w:val="18"/>
          <w:lang w:eastAsia="fr-FR"/>
        </w:rPr>
        <w:t xml:space="preserve">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CF1715">
        <w:rPr>
          <w:rFonts w:ascii="Arial" w:hAnsi="Arial" w:cs="Arial"/>
          <w:sz w:val="22"/>
          <w:szCs w:val="22"/>
        </w:rPr>
        <w:t>Santander</w:t>
      </w:r>
      <w:r w:rsidR="00DB41DC">
        <w:rPr>
          <w:rFonts w:ascii="Arial" w:hAnsi="Arial" w:cs="Arial"/>
          <w:sz w:val="22"/>
          <w:szCs w:val="22"/>
        </w:rPr>
        <w:t xml:space="preserve">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D512A3">
        <w:rPr>
          <w:rFonts w:ascii="Arial" w:hAnsi="Arial" w:cs="Arial"/>
          <w:sz w:val="22"/>
        </w:rPr>
        <w:t xml:space="preserve">01102-00 y 2016-01106-00 </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D512A3">
        <w:rPr>
          <w:rFonts w:ascii="Arial" w:hAnsi="Arial" w:cs="Arial"/>
          <w:sz w:val="22"/>
          <w:szCs w:val="22"/>
        </w:rPr>
        <w:t>Defecto sustantivo</w:t>
      </w:r>
      <w:r w:rsidR="007E6963">
        <w:rPr>
          <w:rFonts w:ascii="Arial" w:hAnsi="Arial" w:cs="Arial"/>
          <w:sz w:val="22"/>
          <w:szCs w:val="22"/>
        </w:rPr>
        <w:t xml:space="preserve"> – Inexistencia – Negación</w:t>
      </w:r>
      <w:r w:rsidR="00F325F0" w:rsidRPr="00D512A3">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7E6963">
        <w:rPr>
          <w:rFonts w:ascii="Arial" w:hAnsi="Arial"/>
          <w:sz w:val="22"/>
          <w:szCs w:val="22"/>
        </w:rPr>
        <w:t>582 de 12-12-2016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7E6963">
        <w:rPr>
          <w:rFonts w:ascii="Arial" w:hAnsi="Arial" w:cs="Arial"/>
          <w:iCs/>
          <w:smallCaps/>
          <w:sz w:val="28"/>
          <w:szCs w:val="28"/>
          <w:lang w:val="es-CO"/>
        </w:rPr>
        <w:t xml:space="preserve">doce </w:t>
      </w:r>
      <w:r w:rsidRPr="00BC082A">
        <w:rPr>
          <w:rFonts w:ascii="Arial" w:hAnsi="Arial" w:cs="Arial"/>
          <w:iCs/>
          <w:smallCaps/>
          <w:sz w:val="28"/>
          <w:szCs w:val="28"/>
          <w:lang w:val="es-CO"/>
        </w:rPr>
        <w:t>(</w:t>
      </w:r>
      <w:r w:rsidR="007E6963">
        <w:rPr>
          <w:rFonts w:ascii="Arial" w:hAnsi="Arial" w:cs="Arial"/>
          <w:iCs/>
          <w:smallCaps/>
          <w:sz w:val="28"/>
          <w:szCs w:val="28"/>
          <w:lang w:val="es-CO"/>
        </w:rPr>
        <w:t>12</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D512A3">
        <w:rPr>
          <w:rFonts w:ascii="Arial" w:hAnsi="Arial" w:cs="Arial"/>
          <w:iCs/>
          <w:smallCaps/>
          <w:sz w:val="28"/>
          <w:szCs w:val="28"/>
          <w:lang w:val="es-CO"/>
        </w:rPr>
        <w:t xml:space="preserve">diciembre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lastRenderedPageBreak/>
        <w:t>E</w:t>
      </w:r>
      <w:r w:rsidRPr="00C57632">
        <w:rPr>
          <w:rFonts w:ascii="Arial" w:hAnsi="Arial"/>
          <w:smallCaps/>
          <w:sz w:val="28"/>
          <w:szCs w:val="24"/>
        </w:rPr>
        <w:t>l asunto por decidir</w:t>
      </w:r>
    </w:p>
    <w:p w:rsidR="00DB41DC" w:rsidRPr="00F009CB" w:rsidRDefault="00DB41DC" w:rsidP="00DB41DC">
      <w:pPr>
        <w:pStyle w:val="Corpsdetexte"/>
        <w:spacing w:line="360" w:lineRule="auto"/>
        <w:rPr>
          <w:rFonts w:ascii="Arial" w:hAnsi="Arial"/>
          <w:sz w:val="20"/>
          <w:szCs w:val="24"/>
        </w:rPr>
      </w:pPr>
    </w:p>
    <w:p w:rsidR="00DB41DC" w:rsidRDefault="00EF2286" w:rsidP="00DB41DC">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Pr="00F009CB" w:rsidRDefault="00DB41DC"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Corpsdetex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D512A3">
        <w:rPr>
          <w:rFonts w:ascii="Arial" w:hAnsi="Arial" w:cs="Arial"/>
        </w:rPr>
        <w:t xml:space="preserve">las acciones </w:t>
      </w:r>
      <w:r w:rsidR="000E7284">
        <w:rPr>
          <w:rFonts w:ascii="Arial" w:hAnsi="Arial" w:cs="Arial"/>
        </w:rPr>
        <w:t>popular</w:t>
      </w:r>
      <w:r w:rsidR="00D512A3">
        <w:rPr>
          <w:rFonts w:ascii="Arial" w:hAnsi="Arial" w:cs="Arial"/>
        </w:rPr>
        <w:t>es</w:t>
      </w:r>
      <w:r w:rsidR="000E7284">
        <w:rPr>
          <w:rFonts w:ascii="Arial" w:hAnsi="Arial" w:cs="Arial"/>
        </w:rPr>
        <w:t xml:space="preserve"> </w:t>
      </w:r>
      <w:r>
        <w:rPr>
          <w:rFonts w:ascii="Arial" w:hAnsi="Arial" w:cs="Arial"/>
        </w:rPr>
        <w:t>No</w:t>
      </w:r>
      <w:r w:rsidR="00D512A3">
        <w:rPr>
          <w:rFonts w:ascii="Arial" w:hAnsi="Arial" w:cs="Arial"/>
        </w:rPr>
        <w:t>s</w:t>
      </w:r>
      <w:r w:rsidR="00CC4186">
        <w:rPr>
          <w:rFonts w:ascii="Arial" w:hAnsi="Arial" w:cs="Arial"/>
        </w:rPr>
        <w:t>.</w:t>
      </w:r>
      <w:r w:rsidR="00D512A3">
        <w:rPr>
          <w:rFonts w:ascii="Arial" w:hAnsi="Arial" w:cs="Arial"/>
        </w:rPr>
        <w:t>2015-01178-00 y 2015-01334-00</w:t>
      </w:r>
      <w:r w:rsidR="000E7284">
        <w:rPr>
          <w:rFonts w:ascii="Arial" w:hAnsi="Arial" w:cs="Arial"/>
        </w:rPr>
        <w:t xml:space="preserve">, </w:t>
      </w:r>
      <w:r w:rsidR="00D512A3">
        <w:rPr>
          <w:rFonts w:ascii="Arial" w:hAnsi="Arial" w:cs="Arial"/>
        </w:rPr>
        <w:t xml:space="preserve">quien se niega a notificar a la entidad accionada vía correo electrónico, y tampoco, realiza de oficio la publicación del aviso a la comunidad </w:t>
      </w:r>
      <w:r w:rsidR="00F009CB">
        <w:rPr>
          <w:rFonts w:ascii="Arial" w:hAnsi="Arial" w:cs="Arial"/>
        </w:rPr>
        <w:t>(Folio</w:t>
      </w:r>
      <w:r w:rsidR="00D512A3">
        <w:rPr>
          <w:rFonts w:ascii="Arial" w:hAnsi="Arial" w:cs="Arial"/>
        </w:rPr>
        <w:t>s</w:t>
      </w:r>
      <w:r>
        <w:rPr>
          <w:rFonts w:ascii="Arial" w:hAnsi="Arial" w:cs="Arial"/>
        </w:rPr>
        <w:t xml:space="preserve"> 1</w:t>
      </w:r>
      <w:r w:rsidR="00D512A3">
        <w:rPr>
          <w:rFonts w:ascii="Arial" w:hAnsi="Arial" w:cs="Arial"/>
        </w:rPr>
        <w:t xml:space="preserve"> y 3</w:t>
      </w:r>
      <w:r w:rsidR="00EF2286">
        <w:rPr>
          <w:rFonts w:ascii="Arial" w:hAnsi="Arial" w:cs="Arial"/>
        </w:rPr>
        <w:t>,</w:t>
      </w:r>
      <w:r>
        <w:rPr>
          <w:rFonts w:ascii="Arial" w:hAnsi="Arial" w:cs="Arial"/>
        </w:rPr>
        <w:t xml:space="preserve"> de este cuaderno). </w:t>
      </w:r>
    </w:p>
    <w:p w:rsidR="00CD73B4" w:rsidRPr="00F009CB" w:rsidRDefault="00CD73B4" w:rsidP="00152300">
      <w:pPr>
        <w:spacing w:line="360" w:lineRule="auto"/>
        <w:jc w:val="both"/>
        <w:rPr>
          <w:rFonts w:ascii="Arial" w:hAnsi="Arial" w:cs="Arial"/>
          <w:sz w:val="20"/>
        </w:rPr>
      </w:pPr>
    </w:p>
    <w:p w:rsidR="0099045D" w:rsidRPr="00C57632" w:rsidRDefault="00D512A3"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El derecho invocado</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D512A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La </w:t>
      </w:r>
      <w:r w:rsidRPr="00D512A3">
        <w:rPr>
          <w:rFonts w:ascii="Arial" w:hAnsi="Arial" w:cs="Arial"/>
          <w:i/>
          <w:spacing w:val="-3"/>
          <w:sz w:val="22"/>
          <w:lang w:val="es-ES_tradnl"/>
        </w:rPr>
        <w:t>“(…) vulneración a las garantías procesales (…)”</w:t>
      </w:r>
      <w:r>
        <w:rPr>
          <w:rFonts w:ascii="Arial" w:hAnsi="Arial" w:cs="Arial"/>
          <w:i/>
          <w:spacing w:val="-3"/>
          <w:sz w:val="22"/>
          <w:lang w:val="es-ES_tradnl"/>
        </w:rPr>
        <w:t xml:space="preserve"> </w:t>
      </w:r>
      <w:r w:rsidR="004A4E9F">
        <w:rPr>
          <w:rFonts w:ascii="Arial" w:hAnsi="Arial" w:cs="Arial"/>
          <w:spacing w:val="-3"/>
          <w:lang w:val="es-ES_tradnl"/>
        </w:rPr>
        <w:t xml:space="preserve"> (Folio</w:t>
      </w:r>
      <w:r>
        <w:rPr>
          <w:rFonts w:ascii="Arial" w:hAnsi="Arial" w:cs="Arial"/>
          <w:spacing w:val="-3"/>
          <w:lang w:val="es-ES_tradnl"/>
        </w:rPr>
        <w:t>s</w:t>
      </w:r>
      <w:r w:rsidR="004A4E9F">
        <w:rPr>
          <w:rFonts w:ascii="Arial" w:hAnsi="Arial" w:cs="Arial"/>
          <w:spacing w:val="-3"/>
          <w:lang w:val="es-ES_tradnl"/>
        </w:rPr>
        <w:t xml:space="preserve"> 1</w:t>
      </w:r>
      <w:r>
        <w:rPr>
          <w:rFonts w:ascii="Arial" w:hAnsi="Arial" w:cs="Arial"/>
          <w:spacing w:val="-3"/>
          <w:lang w:val="es-ES_tradnl"/>
        </w:rPr>
        <w:t xml:space="preserve"> y 3</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Corpsdetexte"/>
        <w:spacing w:line="360" w:lineRule="auto"/>
        <w:ind w:left="360"/>
        <w:rPr>
          <w:rFonts w:ascii="Arial" w:hAnsi="Arial"/>
          <w:sz w:val="20"/>
          <w:szCs w:val="24"/>
        </w:rPr>
      </w:pPr>
    </w:p>
    <w:p w:rsidR="008154F0"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que</w:t>
      </w:r>
      <w:r w:rsidR="00D512A3">
        <w:rPr>
          <w:rFonts w:ascii="Arial" w:hAnsi="Arial" w:cs="Arial"/>
          <w:color w:val="000000"/>
          <w:szCs w:val="24"/>
        </w:rPr>
        <w:t xml:space="preserve"> se ordene al accionado notificar por correo electrónico a la entidad accionada y al procurador judicial delegado en las acciones populares</w:t>
      </w:r>
      <w:r w:rsidR="00FD0032" w:rsidRPr="004B019A">
        <w:rPr>
          <w:rFonts w:ascii="Arial" w:hAnsi="Arial" w:cs="Arial"/>
          <w:szCs w:val="24"/>
        </w:rPr>
        <w:t xml:space="preserve"> </w:t>
      </w:r>
      <w:r w:rsidR="00B1245A">
        <w:rPr>
          <w:rFonts w:ascii="Arial" w:hAnsi="Arial" w:cs="Arial"/>
          <w:szCs w:val="24"/>
        </w:rPr>
        <w:t>(Folio</w:t>
      </w:r>
      <w:r w:rsidR="00D512A3">
        <w:rPr>
          <w:rFonts w:ascii="Arial" w:hAnsi="Arial" w:cs="Arial"/>
          <w:szCs w:val="24"/>
        </w:rPr>
        <w:t>s</w:t>
      </w:r>
      <w:r w:rsidR="00F009CB">
        <w:rPr>
          <w:rFonts w:ascii="Arial" w:hAnsi="Arial" w:cs="Arial"/>
          <w:szCs w:val="24"/>
        </w:rPr>
        <w:t xml:space="preserve"> </w:t>
      </w:r>
      <w:r w:rsidR="00B1245A">
        <w:rPr>
          <w:rFonts w:ascii="Arial" w:hAnsi="Arial" w:cs="Arial"/>
          <w:szCs w:val="24"/>
        </w:rPr>
        <w:t>1</w:t>
      </w:r>
      <w:r w:rsidR="00D512A3">
        <w:rPr>
          <w:rFonts w:ascii="Arial" w:hAnsi="Arial" w:cs="Arial"/>
          <w:szCs w:val="24"/>
        </w:rPr>
        <w:t xml:space="preserve"> y 3</w:t>
      </w:r>
      <w:r w:rsidR="000E7284">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08790B" w:rsidRPr="004B019A" w:rsidRDefault="0008790B" w:rsidP="000145EA">
      <w:pPr>
        <w:pStyle w:val="Sansinterligne"/>
        <w:spacing w:line="360" w:lineRule="auto"/>
        <w:jc w:val="both"/>
        <w:rPr>
          <w:rFonts w:ascii="Arial" w:hAnsi="Arial" w:cs="Arial"/>
          <w:szCs w:val="24"/>
        </w:rPr>
      </w:pP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ansinterligne"/>
        <w:tabs>
          <w:tab w:val="left" w:pos="1200"/>
        </w:tabs>
        <w:spacing w:line="360" w:lineRule="auto"/>
        <w:jc w:val="both"/>
        <w:rPr>
          <w:rFonts w:ascii="Arial" w:hAnsi="Arial"/>
          <w:sz w:val="20"/>
          <w:szCs w:val="24"/>
        </w:rPr>
      </w:pPr>
    </w:p>
    <w:p w:rsidR="008E6CF4" w:rsidRDefault="00D512A3" w:rsidP="008E6CF4">
      <w:pPr>
        <w:spacing w:line="360" w:lineRule="auto"/>
        <w:jc w:val="both"/>
        <w:rPr>
          <w:rFonts w:ascii="Arial" w:hAnsi="Arial"/>
        </w:rPr>
      </w:pPr>
      <w:r>
        <w:rPr>
          <w:rFonts w:ascii="Arial" w:hAnsi="Arial"/>
        </w:rPr>
        <w:t>Por reparto ordinario se asignaron</w:t>
      </w:r>
      <w:r w:rsidR="00BC760D">
        <w:rPr>
          <w:rFonts w:ascii="Arial" w:hAnsi="Arial"/>
        </w:rPr>
        <w:t xml:space="preserve"> a este Despacho el día </w:t>
      </w:r>
      <w:r>
        <w:rPr>
          <w:rFonts w:ascii="Arial" w:hAnsi="Arial"/>
        </w:rPr>
        <w:t>29</w:t>
      </w:r>
      <w:r w:rsidR="00DB41DC">
        <w:rPr>
          <w:rFonts w:ascii="Arial" w:hAnsi="Arial"/>
        </w:rPr>
        <w:t>-</w:t>
      </w:r>
      <w:r w:rsidR="00F009CB">
        <w:rPr>
          <w:rFonts w:ascii="Arial" w:hAnsi="Arial"/>
        </w:rPr>
        <w:t>10</w:t>
      </w:r>
      <w:r w:rsidR="00BC760D">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Pr>
          <w:rFonts w:ascii="Arial" w:hAnsi="Arial"/>
        </w:rPr>
        <w:t>día 01-12-2016</w:t>
      </w:r>
      <w:r w:rsidR="008E6CF4" w:rsidRPr="008E5A62">
        <w:rPr>
          <w:rFonts w:ascii="Arial" w:hAnsi="Arial"/>
        </w:rPr>
        <w:t xml:space="preserve">, </w:t>
      </w:r>
      <w:r>
        <w:rPr>
          <w:rFonts w:ascii="Arial" w:hAnsi="Arial"/>
        </w:rPr>
        <w:t xml:space="preserve">se acumularon, </w:t>
      </w:r>
      <w:r w:rsidR="008E6CF4" w:rsidRPr="008E5A62">
        <w:rPr>
          <w:rFonts w:ascii="Arial" w:hAnsi="Arial"/>
        </w:rPr>
        <w:t xml:space="preserve">se </w:t>
      </w:r>
      <w:r>
        <w:rPr>
          <w:rFonts w:ascii="Arial" w:hAnsi="Arial"/>
        </w:rPr>
        <w:t>admitieron</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Pr>
          <w:rFonts w:ascii="Arial" w:hAnsi="Arial"/>
        </w:rPr>
        <w:t>8 y 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Pr>
          <w:rFonts w:ascii="Arial" w:hAnsi="Arial"/>
        </w:rPr>
        <w:t>s</w:t>
      </w:r>
      <w:r w:rsidR="008E6CF4" w:rsidRPr="008E5A62">
        <w:rPr>
          <w:rFonts w:ascii="Arial" w:hAnsi="Arial"/>
        </w:rPr>
        <w:t xml:space="preserve"> </w:t>
      </w:r>
      <w:r>
        <w:rPr>
          <w:rFonts w:ascii="Arial" w:hAnsi="Arial"/>
        </w:rPr>
        <w:t>10 a 12</w:t>
      </w:r>
      <w:r w:rsidR="008E6CF4">
        <w:rPr>
          <w:rFonts w:ascii="Arial" w:hAnsi="Arial"/>
        </w:rPr>
        <w:t>, ibídem</w:t>
      </w:r>
      <w:r w:rsidR="008E6CF4" w:rsidRPr="008E5A62">
        <w:rPr>
          <w:rFonts w:ascii="Arial" w:hAnsi="Arial"/>
        </w:rPr>
        <w:t xml:space="preserve">). </w:t>
      </w:r>
      <w:r>
        <w:rPr>
          <w:rFonts w:ascii="Arial" w:hAnsi="Arial"/>
        </w:rPr>
        <w:t xml:space="preserve">Contestó la Alcaldía de Sevilla, V. </w:t>
      </w:r>
      <w:r>
        <w:rPr>
          <w:rFonts w:ascii="Arial" w:hAnsi="Arial" w:cs="Arial"/>
        </w:rPr>
        <w:t>(Folios 13 a 15</w:t>
      </w:r>
      <w:r w:rsidR="00F009CB">
        <w:rPr>
          <w:rFonts w:ascii="Arial" w:hAnsi="Arial" w:cs="Arial"/>
        </w:rPr>
        <w:t xml:space="preserve">, </w:t>
      </w:r>
      <w:r w:rsidR="00C57632">
        <w:rPr>
          <w:rFonts w:ascii="Arial" w:hAnsi="Arial" w:cs="Arial"/>
        </w:rPr>
        <w:t>ib.</w:t>
      </w:r>
      <w:r w:rsidR="00F009CB">
        <w:rPr>
          <w:rFonts w:ascii="Arial" w:hAnsi="Arial" w:cs="Arial"/>
        </w:rPr>
        <w:t>)</w:t>
      </w:r>
      <w:r w:rsidR="008E6CF4" w:rsidRPr="003B6DD2">
        <w:rPr>
          <w:rFonts w:ascii="Arial" w:hAnsi="Arial"/>
        </w:rPr>
        <w:t>.</w:t>
      </w:r>
      <w:r w:rsidR="00BC760D">
        <w:rPr>
          <w:rFonts w:ascii="Arial" w:hAnsi="Arial"/>
        </w:rPr>
        <w:t xml:space="preserve"> El accionado arrimó </w:t>
      </w:r>
      <w:r>
        <w:rPr>
          <w:rFonts w:ascii="Arial" w:hAnsi="Arial"/>
        </w:rPr>
        <w:t>disco compacto contentivo de las acciones populares en formato “PDF” (Folio</w:t>
      </w:r>
      <w:r w:rsidR="00BC760D">
        <w:rPr>
          <w:rFonts w:ascii="Arial" w:hAnsi="Arial"/>
        </w:rPr>
        <w:t xml:space="preserve"> </w:t>
      </w:r>
      <w:r>
        <w:rPr>
          <w:rFonts w:ascii="Arial" w:hAnsi="Arial"/>
        </w:rPr>
        <w:t>20</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00D512A3">
        <w:rPr>
          <w:rFonts w:ascii="Arial" w:hAnsi="Arial"/>
          <w:smallCaps/>
          <w:sz w:val="28"/>
        </w:rPr>
        <w:t>a sinopsis de la</w:t>
      </w:r>
      <w:r w:rsidRPr="00C57632">
        <w:rPr>
          <w:rFonts w:ascii="Arial" w:hAnsi="Arial"/>
          <w:smallCaps/>
          <w:sz w:val="28"/>
        </w:rPr>
        <w:t xml:space="preserve"> respuesta</w:t>
      </w:r>
    </w:p>
    <w:p w:rsidR="006F4450" w:rsidRPr="00C57632" w:rsidRDefault="006F4450" w:rsidP="006F4450">
      <w:pPr>
        <w:spacing w:line="360" w:lineRule="auto"/>
        <w:jc w:val="both"/>
        <w:rPr>
          <w:rFonts w:ascii="Arial" w:hAnsi="Arial"/>
          <w:sz w:val="20"/>
        </w:rPr>
      </w:pPr>
    </w:p>
    <w:p w:rsidR="00A538AF" w:rsidRDefault="00D512A3" w:rsidP="00BB2447">
      <w:pPr>
        <w:spacing w:line="360" w:lineRule="auto"/>
        <w:jc w:val="both"/>
        <w:rPr>
          <w:rFonts w:ascii="Arial" w:hAnsi="Arial"/>
        </w:rPr>
      </w:pPr>
      <w:r>
        <w:rPr>
          <w:rFonts w:ascii="Arial" w:hAnsi="Arial"/>
        </w:rPr>
        <w:t xml:space="preserve">La alcaldía de Sevilla, V. </w:t>
      </w:r>
      <w:r w:rsidR="00D06EC1">
        <w:rPr>
          <w:rFonts w:ascii="Arial" w:hAnsi="Arial"/>
        </w:rPr>
        <w:t xml:space="preserve">refirió que carece de legitimación en causa por pasiva porque no tiene ninguna injerencia en las decisiones del Despacho Judicial accionado. </w:t>
      </w:r>
      <w:r w:rsidR="00BB2447">
        <w:rPr>
          <w:rFonts w:ascii="Arial" w:hAnsi="Arial"/>
        </w:rPr>
        <w:t xml:space="preserve">Manifestó </w:t>
      </w:r>
      <w:r w:rsidR="00D06EC1">
        <w:rPr>
          <w:rFonts w:ascii="Arial" w:hAnsi="Arial"/>
        </w:rPr>
        <w:t xml:space="preserve">además que no ha vulnerado derecho alguno del actor y que en el amparo se omitió señalar el defecto en que incurrió el juzgado en su decisión. Pidió su desvinculación y declarar improcedente el amparo </w:t>
      </w:r>
      <w:r w:rsidR="00BB2447">
        <w:rPr>
          <w:rFonts w:ascii="Arial" w:hAnsi="Arial"/>
        </w:rPr>
        <w:t>(</w:t>
      </w:r>
      <w:r w:rsidR="00D06EC1">
        <w:rPr>
          <w:rFonts w:ascii="Arial" w:hAnsi="Arial" w:cs="Arial"/>
          <w:spacing w:val="3"/>
        </w:rPr>
        <w:t>Folios 13 a 15, ib.</w:t>
      </w:r>
      <w:r w:rsidR="00BB2447">
        <w:rPr>
          <w:rFonts w:ascii="Arial" w:hAnsi="Arial"/>
        </w:rPr>
        <w:t>)</w:t>
      </w:r>
      <w:r w:rsidR="00A538AF">
        <w:rPr>
          <w:rFonts w:ascii="Arial" w:hAnsi="Arial"/>
        </w:rPr>
        <w:t>.</w:t>
      </w:r>
    </w:p>
    <w:p w:rsidR="00E04790" w:rsidRPr="00C57632" w:rsidRDefault="00E04790" w:rsidP="00264032">
      <w:pPr>
        <w:spacing w:line="360" w:lineRule="auto"/>
        <w:jc w:val="both"/>
        <w:rPr>
          <w:rFonts w:ascii="Arial" w:hAnsi="Arial"/>
          <w:sz w:val="20"/>
        </w:rPr>
      </w:pP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lastRenderedPageBreak/>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Corpsdetexte"/>
        <w:tabs>
          <w:tab w:val="clear" w:pos="708"/>
          <w:tab w:val="left" w:pos="709"/>
        </w:tabs>
        <w:spacing w:line="36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06EC1" w:rsidRDefault="00D06EC1" w:rsidP="00CF429F">
      <w:pPr>
        <w:pStyle w:val="Retraitcorpsdetexte2"/>
        <w:spacing w:after="0" w:line="360" w:lineRule="auto"/>
        <w:ind w:left="0"/>
        <w:jc w:val="both"/>
        <w:rPr>
          <w:rFonts w:ascii="Arial" w:hAnsi="Arial" w:cs="Arial"/>
          <w:sz w:val="24"/>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6A20A3">
        <w:rPr>
          <w:rFonts w:ascii="Arial" w:hAnsi="Arial" w:cs="Arial"/>
          <w:spacing w:val="-3"/>
          <w:lang w:val="es-ES_tradnl"/>
        </w:rPr>
        <w:t>acción</w:t>
      </w:r>
      <w:r w:rsidR="00BB6450">
        <w:rPr>
          <w:rFonts w:ascii="Arial" w:hAnsi="Arial" w:cs="Arial"/>
          <w:spacing w:val="-3"/>
          <w:lang w:val="es-ES_tradnl"/>
        </w:rPr>
        <w:t xml:space="preserve">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ansinterligne"/>
        <w:spacing w:line="360" w:lineRule="auto"/>
        <w:jc w:val="both"/>
        <w:rPr>
          <w:rFonts w:ascii="Arial" w:hAnsi="Arial" w:cs="Arial"/>
          <w:sz w:val="20"/>
        </w:rPr>
      </w:pPr>
    </w:p>
    <w:p w:rsidR="00A538AF" w:rsidRDefault="00C57632" w:rsidP="00C57632">
      <w:pPr>
        <w:pStyle w:val="Corpsdetex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C57632">
        <w:rPr>
          <w:rFonts w:ascii="Arial" w:hAnsi="Arial" w:cs="Arial"/>
          <w:szCs w:val="24"/>
        </w:rPr>
        <w:t xml:space="preserve">es </w:t>
      </w:r>
      <w:r w:rsidR="00CC4186">
        <w:rPr>
          <w:rFonts w:ascii="Arial" w:hAnsi="Arial" w:cs="Arial"/>
          <w:szCs w:val="24"/>
        </w:rPr>
        <w:t xml:space="preserve">el accionante </w:t>
      </w:r>
      <w:r w:rsidR="00A538AF" w:rsidRPr="00765006">
        <w:rPr>
          <w:rFonts w:ascii="Arial" w:hAnsi="Arial" w:cs="Arial"/>
          <w:szCs w:val="24"/>
        </w:rPr>
        <w:t>en el amparo constitucional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00A538AF" w:rsidRPr="00765006">
        <w:rPr>
          <w:rFonts w:ascii="Arial" w:hAnsi="Arial" w:cs="Arial"/>
          <w:szCs w:val="24"/>
        </w:rPr>
        <w:t xml:space="preserve">. Y por pasiva, lo es el Juzgado </w:t>
      </w:r>
      <w:r w:rsidR="00C57632">
        <w:rPr>
          <w:rFonts w:ascii="Arial" w:hAnsi="Arial" w:cs="Arial"/>
          <w:szCs w:val="24"/>
        </w:rPr>
        <w:t>Tercero</w:t>
      </w:r>
      <w:r w:rsidR="00A538AF"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00A538AF" w:rsidRPr="00765006">
        <w:rPr>
          <w:rFonts w:ascii="Arial" w:hAnsi="Arial" w:cs="Arial"/>
          <w:szCs w:val="24"/>
        </w:rPr>
        <w:t xml:space="preserve"> </w:t>
      </w:r>
      <w:r w:rsidR="001E5C81">
        <w:rPr>
          <w:rFonts w:ascii="Arial" w:hAnsi="Arial" w:cs="Arial"/>
          <w:szCs w:val="24"/>
        </w:rPr>
        <w:t>juicio</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D06EC1" w:rsidRDefault="00D06EC1" w:rsidP="00D06EC1">
      <w:pPr>
        <w:widowControl/>
        <w:spacing w:line="360" w:lineRule="auto"/>
        <w:jc w:val="both"/>
        <w:rPr>
          <w:rFonts w:ascii="Arial" w:hAnsi="Arial" w:cs="Arial"/>
        </w:rPr>
      </w:pPr>
      <w:r>
        <w:rPr>
          <w:rFonts w:ascii="Arial" w:hAnsi="Arial" w:cs="Arial"/>
        </w:rPr>
        <w:t>Como los litisconsortes vinculados a este trámite, las Defensorías del Pueblo y las Procuradurías Generales de la Nación, Regionales del Valle del Cauca y de Santander, y las Alcaldía y Personerías de Sevilla, V. y Floridablanca, S. no participaron en la acción popular dentro de la cual se alega la vulneración al debido proceso, carecen de legitimación, por ende, se declarará improcedente el amparo en su contra; asimismo, y como quiera que el señor Leandro Giraldo, no incurrió en violación o amenaza alguna, se negará la tutela en su contra.</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C57632">
      <w:pPr>
        <w:pStyle w:val="Corpsdetex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Pr="00C57632" w:rsidRDefault="006B4D62" w:rsidP="006B4D6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C57632" w:rsidRDefault="00C57632" w:rsidP="00CD3E18">
      <w:pPr>
        <w:pStyle w:val="Corpsdetexte"/>
        <w:spacing w:line="360" w:lineRule="auto"/>
        <w:rPr>
          <w:rFonts w:ascii="Arial" w:hAnsi="Arial" w:cs="Arial"/>
          <w:szCs w:val="24"/>
        </w:rPr>
      </w:pPr>
    </w:p>
    <w:p w:rsidR="00CD3E18" w:rsidRPr="006A3AB9" w:rsidRDefault="00CD3E18" w:rsidP="00CD3E18">
      <w:pPr>
        <w:pStyle w:val="Corpsdetex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CD3E18" w:rsidRPr="007251E6" w:rsidRDefault="00CD3E18" w:rsidP="00CD3E18">
      <w:pPr>
        <w:pStyle w:val="Corpsdetexte"/>
        <w:spacing w:line="360" w:lineRule="auto"/>
        <w:rPr>
          <w:rFonts w:ascii="Arial" w:hAnsi="Arial" w:cs="Arial"/>
          <w:sz w:val="20"/>
          <w:szCs w:val="24"/>
        </w:rPr>
      </w:pPr>
    </w:p>
    <w:p w:rsidR="00CD3E18" w:rsidRDefault="00CD3E18" w:rsidP="00CD3E18">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CD3E18" w:rsidRPr="00C57632" w:rsidRDefault="00CD3E18" w:rsidP="00CD3E18">
      <w:pPr>
        <w:pStyle w:val="Corpsdetexte"/>
        <w:spacing w:line="360" w:lineRule="auto"/>
        <w:rPr>
          <w:rFonts w:ascii="Arial" w:hAnsi="Arial" w:cs="Arial"/>
          <w:sz w:val="20"/>
          <w:szCs w:val="24"/>
        </w:rPr>
      </w:pPr>
    </w:p>
    <w:p w:rsidR="00CD3E18" w:rsidRDefault="00CD3E18" w:rsidP="00CD3E18">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243795" w:rsidRPr="00243795" w:rsidRDefault="00243795" w:rsidP="00CD3E18">
      <w:pPr>
        <w:pStyle w:val="Corpsdetexte"/>
        <w:spacing w:line="360" w:lineRule="auto"/>
        <w:rPr>
          <w:rFonts w:ascii="Arial" w:hAnsi="Arial" w:cs="Arial"/>
          <w:sz w:val="20"/>
          <w:szCs w:val="24"/>
        </w:rPr>
      </w:pPr>
    </w:p>
    <w:p w:rsidR="00765006" w:rsidRPr="00FE5FF3" w:rsidRDefault="00765006" w:rsidP="00765006">
      <w:pPr>
        <w:pStyle w:val="Paragraphedeliste"/>
        <w:numPr>
          <w:ilvl w:val="2"/>
          <w:numId w:val="18"/>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 xml:space="preserve">La doctrina constitucional, a lo largo de su evolución, ha definido aquellos eventos en los cuales se comete tal anomalía, y ha dicho que consiste en una decisión fundada en </w:t>
      </w:r>
      <w:r>
        <w:rPr>
          <w:rFonts w:ascii="Arial" w:hAnsi="Arial" w:cs="Arial"/>
          <w:szCs w:val="22"/>
          <w:lang w:val="es-ES_tradnl"/>
        </w:rPr>
        <w:lastRenderedPageBreak/>
        <w:t>normas indiscutiblemente inaplicables</w:t>
      </w:r>
      <w:r>
        <w:rPr>
          <w:rStyle w:val="Appelnotedebasdep"/>
          <w:rFonts w:ascii="Arial" w:hAnsi="Arial"/>
          <w:szCs w:val="22"/>
          <w:lang w:val="es-ES_tradnl"/>
        </w:rPr>
        <w:footnoteReference w:id="8"/>
      </w:r>
      <w:r>
        <w:rPr>
          <w:rFonts w:ascii="Arial" w:hAnsi="Arial" w:cs="Arial"/>
          <w:szCs w:val="22"/>
          <w:lang w:val="es-ES_tradnl"/>
        </w:rPr>
        <w:t>, luego en otra decisión</w:t>
      </w:r>
      <w:r>
        <w:rPr>
          <w:rStyle w:val="Appelnotedebasdep"/>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Appelnotedebasdep"/>
          <w:rFonts w:ascii="Arial" w:hAnsi="Arial"/>
          <w:szCs w:val="22"/>
          <w:lang w:val="es-ES_tradnl"/>
        </w:rPr>
        <w:footnoteReference w:id="10"/>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Appelnotedebasdep"/>
          <w:rFonts w:ascii="Arial" w:hAnsi="Arial"/>
          <w:iCs/>
        </w:rPr>
        <w:footnoteReference w:id="14"/>
      </w:r>
      <w:r>
        <w:rPr>
          <w:rFonts w:ascii="Arial" w:hAnsi="Arial" w:cs="Arial"/>
          <w:iCs/>
          <w:vertAlign w:val="superscript"/>
        </w:rPr>
        <w:t>-</w:t>
      </w:r>
      <w:r>
        <w:rPr>
          <w:rStyle w:val="Appelnotedebasdep"/>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EE419D" w:rsidRDefault="00765006" w:rsidP="00765006">
      <w:pPr>
        <w:pStyle w:val="Corpsdetexte"/>
        <w:spacing w:line="360" w:lineRule="auto"/>
        <w:rPr>
          <w:rFonts w:ascii="Arial" w:hAnsi="Arial" w:cs="Arial"/>
          <w:sz w:val="28"/>
        </w:rPr>
      </w:pPr>
    </w:p>
    <w:p w:rsidR="00765006" w:rsidRDefault="00765006" w:rsidP="00765006">
      <w:pPr>
        <w:pStyle w:val="Corpsdetexte"/>
        <w:spacing w:line="360" w:lineRule="auto"/>
        <w:rPr>
          <w:rFonts w:ascii="Arial" w:hAnsi="Arial" w:cs="Arial"/>
        </w:rPr>
      </w:pPr>
      <w:r w:rsidRPr="00651F25">
        <w:rPr>
          <w:rFonts w:ascii="Arial" w:hAnsi="Arial" w:cs="Arial"/>
        </w:rPr>
        <w:t>Así mismo el alto Tribunal Constitucional</w:t>
      </w:r>
      <w:r w:rsidRPr="00651F25">
        <w:rPr>
          <w:rStyle w:val="Appelnotedebasdep"/>
          <w:rFonts w:ascii="Arial" w:hAnsi="Arial"/>
        </w:rPr>
        <w:footnoteReference w:id="16"/>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Pr="0008790B" w:rsidRDefault="00765006" w:rsidP="00765006">
      <w:pPr>
        <w:pStyle w:val="Corpsdetexte"/>
        <w:spacing w:line="240" w:lineRule="auto"/>
        <w:rPr>
          <w:rFonts w:ascii="Arial" w:hAnsi="Arial" w:cs="Arial"/>
          <w:sz w:val="16"/>
          <w:szCs w:val="16"/>
        </w:rPr>
      </w:pPr>
    </w:p>
    <w:p w:rsidR="00765006" w:rsidRDefault="00765006" w:rsidP="00765006">
      <w:pPr>
        <w:pStyle w:val="Corpsdetex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08790B" w:rsidRDefault="008139F4" w:rsidP="00AA1E03">
      <w:pPr>
        <w:pStyle w:val="Corpsdetexte"/>
        <w:spacing w:line="360" w:lineRule="auto"/>
        <w:rPr>
          <w:rFonts w:ascii="Arial" w:hAnsi="Arial"/>
          <w:sz w:val="16"/>
          <w:szCs w:val="16"/>
        </w:rPr>
      </w:pPr>
    </w:p>
    <w:p w:rsidR="00993BE7" w:rsidRDefault="00993BE7" w:rsidP="00F54A43">
      <w:pPr>
        <w:pStyle w:val="Corpsdetexte"/>
        <w:spacing w:line="360" w:lineRule="auto"/>
        <w:rPr>
          <w:rFonts w:ascii="Arial" w:hAnsi="Arial"/>
          <w:szCs w:val="24"/>
        </w:rPr>
      </w:pPr>
      <w:r w:rsidRPr="00F54A43">
        <w:rPr>
          <w:rFonts w:ascii="Arial" w:hAnsi="Arial"/>
          <w:szCs w:val="24"/>
        </w:rPr>
        <w:t>En la metodología enseñada por la doctrina constitucional, el primer examen consiste en verificar los presupuestos generales de procedibilidad,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w:t>
      </w:r>
      <w:r w:rsidR="00EE419D">
        <w:rPr>
          <w:rFonts w:ascii="Arial" w:hAnsi="Arial"/>
          <w:szCs w:val="24"/>
        </w:rPr>
        <w:t xml:space="preserve">las decisiones </w:t>
      </w:r>
      <w:r w:rsidRPr="00F54A43">
        <w:rPr>
          <w:rFonts w:ascii="Arial" w:hAnsi="Arial"/>
          <w:szCs w:val="24"/>
        </w:rPr>
        <w:t xml:space="preserve">que </w:t>
      </w:r>
      <w:r w:rsidR="00BB6450">
        <w:rPr>
          <w:rFonts w:ascii="Arial" w:hAnsi="Arial"/>
          <w:szCs w:val="24"/>
        </w:rPr>
        <w:t>resolvi</w:t>
      </w:r>
      <w:r w:rsidR="00EE419D">
        <w:rPr>
          <w:rFonts w:ascii="Arial" w:hAnsi="Arial"/>
          <w:szCs w:val="24"/>
        </w:rPr>
        <w:t>eron</w:t>
      </w:r>
      <w:r w:rsidR="008E06EC">
        <w:rPr>
          <w:rFonts w:ascii="Arial" w:hAnsi="Arial"/>
          <w:szCs w:val="24"/>
        </w:rPr>
        <w:t xml:space="preserve"> </w:t>
      </w:r>
      <w:r w:rsidR="00EE419D">
        <w:rPr>
          <w:rFonts w:ascii="Arial" w:hAnsi="Arial"/>
          <w:szCs w:val="24"/>
        </w:rPr>
        <w:t>las reposiciones</w:t>
      </w:r>
      <w:r w:rsidR="00855788">
        <w:rPr>
          <w:rFonts w:ascii="Arial" w:hAnsi="Arial"/>
          <w:szCs w:val="24"/>
        </w:rPr>
        <w:t xml:space="preserve"> presentada</w:t>
      </w:r>
      <w:r w:rsidR="00EE419D">
        <w:rPr>
          <w:rFonts w:ascii="Arial" w:hAnsi="Arial"/>
          <w:szCs w:val="24"/>
        </w:rPr>
        <w:t>s</w:t>
      </w:r>
      <w:r w:rsidR="00CD3E18">
        <w:rPr>
          <w:rFonts w:ascii="Arial" w:hAnsi="Arial"/>
          <w:szCs w:val="24"/>
        </w:rPr>
        <w:t xml:space="preserve"> </w:t>
      </w:r>
      <w:r w:rsidR="005A6EF5" w:rsidRPr="00F54A43">
        <w:rPr>
          <w:rFonts w:ascii="Arial" w:hAnsi="Arial"/>
          <w:szCs w:val="24"/>
        </w:rPr>
        <w:t>data</w:t>
      </w:r>
      <w:r w:rsidR="00EE419D">
        <w:rPr>
          <w:rFonts w:ascii="Arial" w:hAnsi="Arial"/>
          <w:szCs w:val="24"/>
        </w:rPr>
        <w:t>n</w:t>
      </w:r>
      <w:r w:rsidRPr="00F54A43">
        <w:rPr>
          <w:rFonts w:ascii="Arial" w:hAnsi="Arial"/>
          <w:szCs w:val="24"/>
        </w:rPr>
        <w:t xml:space="preserve"> </w:t>
      </w:r>
      <w:r w:rsidR="00EE419D">
        <w:rPr>
          <w:rFonts w:ascii="Arial" w:hAnsi="Arial"/>
          <w:szCs w:val="24"/>
        </w:rPr>
        <w:t>de los días 25-07-2016 y 23-07</w:t>
      </w:r>
      <w:r w:rsidR="001741B3">
        <w:rPr>
          <w:rFonts w:ascii="Arial" w:hAnsi="Arial"/>
          <w:szCs w:val="24"/>
        </w:rPr>
        <w:t xml:space="preserve">-2016 </w:t>
      </w:r>
      <w:r w:rsidRPr="00F54A43">
        <w:rPr>
          <w:rFonts w:ascii="Arial" w:hAnsi="Arial"/>
          <w:szCs w:val="24"/>
        </w:rPr>
        <w:t>(</w:t>
      </w:r>
      <w:r w:rsidR="00EE419D">
        <w:rPr>
          <w:rFonts w:ascii="Arial" w:hAnsi="Arial"/>
          <w:szCs w:val="24"/>
        </w:rPr>
        <w:t xml:space="preserve">Disco compacto visible a folio </w:t>
      </w:r>
      <w:r w:rsidR="00EE419D">
        <w:rPr>
          <w:rFonts w:ascii="Arial" w:hAnsi="Arial"/>
          <w:szCs w:val="24"/>
        </w:rPr>
        <w:lastRenderedPageBreak/>
        <w:t xml:space="preserve">20, </w:t>
      </w:r>
      <w:r w:rsidRPr="00F54A43">
        <w:rPr>
          <w:rFonts w:ascii="Arial" w:hAnsi="Arial"/>
          <w:szCs w:val="24"/>
        </w:rPr>
        <w:t>ib.)</w:t>
      </w:r>
      <w:r w:rsidR="00A70843">
        <w:rPr>
          <w:rFonts w:ascii="Arial" w:hAnsi="Arial"/>
          <w:szCs w:val="24"/>
        </w:rPr>
        <w:t>;</w:t>
      </w:r>
      <w:r w:rsidRPr="00F54A43">
        <w:rPr>
          <w:rFonts w:ascii="Arial" w:hAnsi="Arial"/>
          <w:szCs w:val="24"/>
        </w:rPr>
        <w:t xml:space="preserve"> </w:t>
      </w:r>
      <w:r w:rsidR="001741B3">
        <w:rPr>
          <w:rFonts w:ascii="Arial" w:hAnsi="Arial"/>
          <w:szCs w:val="24"/>
        </w:rPr>
        <w:t>la</w:t>
      </w:r>
      <w:r w:rsidR="00EE419D">
        <w:rPr>
          <w:rFonts w:ascii="Arial" w:hAnsi="Arial"/>
          <w:szCs w:val="24"/>
        </w:rPr>
        <w:t>s</w:t>
      </w:r>
      <w:r w:rsidR="001741B3">
        <w:rPr>
          <w:rFonts w:ascii="Arial" w:hAnsi="Arial"/>
          <w:szCs w:val="24"/>
        </w:rPr>
        <w:t xml:space="preserve"> </w:t>
      </w:r>
      <w:r w:rsidR="00EE419D">
        <w:rPr>
          <w:rFonts w:ascii="Arial" w:hAnsi="Arial"/>
          <w:szCs w:val="24"/>
        </w:rPr>
        <w:t xml:space="preserve">acciones </w:t>
      </w:r>
      <w:r w:rsidR="005A6EF5" w:rsidRPr="00F54A43">
        <w:rPr>
          <w:rFonts w:ascii="Arial" w:hAnsi="Arial"/>
          <w:szCs w:val="24"/>
        </w:rPr>
        <w:t>fue</w:t>
      </w:r>
      <w:r w:rsidR="00EE419D">
        <w:rPr>
          <w:rFonts w:ascii="Arial" w:hAnsi="Arial"/>
          <w:szCs w:val="24"/>
        </w:rPr>
        <w:t>ron</w:t>
      </w:r>
      <w:r w:rsidR="005A6EF5" w:rsidRPr="00F54A43">
        <w:rPr>
          <w:rFonts w:ascii="Arial" w:hAnsi="Arial"/>
          <w:szCs w:val="24"/>
        </w:rPr>
        <w:t xml:space="preserve"> </w:t>
      </w:r>
      <w:r w:rsidRPr="00F54A43">
        <w:rPr>
          <w:rFonts w:ascii="Arial" w:hAnsi="Arial"/>
          <w:szCs w:val="24"/>
        </w:rPr>
        <w:t>instaurada</w:t>
      </w:r>
      <w:r w:rsidR="00EE419D">
        <w:rPr>
          <w:rFonts w:ascii="Arial" w:hAnsi="Arial"/>
          <w:szCs w:val="24"/>
        </w:rPr>
        <w:t>s</w:t>
      </w:r>
      <w:r w:rsidRPr="00F54A43">
        <w:rPr>
          <w:rFonts w:ascii="Arial" w:hAnsi="Arial"/>
          <w:szCs w:val="24"/>
        </w:rPr>
        <w:t xml:space="preserve"> el </w:t>
      </w:r>
      <w:r w:rsidR="00EE419D">
        <w:rPr>
          <w:rFonts w:ascii="Arial" w:hAnsi="Arial"/>
          <w:szCs w:val="24"/>
        </w:rPr>
        <w:t>29-11</w:t>
      </w:r>
      <w:r w:rsidR="00CD3E18">
        <w:rPr>
          <w:rFonts w:ascii="Arial" w:hAnsi="Arial"/>
          <w:szCs w:val="24"/>
        </w:rPr>
        <w:t>-</w:t>
      </w:r>
      <w:r w:rsidR="005A6EF5" w:rsidRPr="00F54A43">
        <w:rPr>
          <w:rFonts w:ascii="Arial" w:hAnsi="Arial"/>
          <w:szCs w:val="24"/>
        </w:rPr>
        <w:t xml:space="preserve">2016 </w:t>
      </w:r>
      <w:r w:rsidR="00855788">
        <w:rPr>
          <w:rFonts w:ascii="Arial" w:hAnsi="Arial"/>
          <w:szCs w:val="24"/>
        </w:rPr>
        <w:t>(Folio</w:t>
      </w:r>
      <w:r w:rsidR="00EE419D">
        <w:rPr>
          <w:rFonts w:ascii="Arial" w:hAnsi="Arial"/>
          <w:szCs w:val="24"/>
        </w:rPr>
        <w:t>s</w:t>
      </w:r>
      <w:r w:rsidR="00CD3E18">
        <w:rPr>
          <w:rFonts w:ascii="Arial" w:hAnsi="Arial"/>
          <w:szCs w:val="24"/>
        </w:rPr>
        <w:t xml:space="preserve"> </w:t>
      </w:r>
      <w:r w:rsidR="001741B3">
        <w:rPr>
          <w:rFonts w:ascii="Arial" w:hAnsi="Arial"/>
          <w:szCs w:val="24"/>
        </w:rPr>
        <w:t>2</w:t>
      </w:r>
      <w:r w:rsidR="00EE419D">
        <w:rPr>
          <w:rFonts w:ascii="Arial" w:hAnsi="Arial"/>
          <w:szCs w:val="24"/>
        </w:rPr>
        <w:t xml:space="preserve"> y 4</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993BE7" w:rsidRPr="00855788" w:rsidRDefault="00993BE7" w:rsidP="00F54A43">
      <w:pPr>
        <w:pStyle w:val="Corpsdetexte"/>
        <w:spacing w:line="360" w:lineRule="auto"/>
        <w:rPr>
          <w:rFonts w:ascii="Arial" w:hAnsi="Arial"/>
          <w:sz w:val="20"/>
          <w:szCs w:val="24"/>
        </w:rPr>
      </w:pPr>
    </w:p>
    <w:p w:rsidR="00EE419D" w:rsidRPr="00F54A43" w:rsidRDefault="00EE419D" w:rsidP="00EE419D">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la </w:t>
      </w:r>
      <w:r>
        <w:rPr>
          <w:rFonts w:ascii="Arial" w:hAnsi="Arial" w:cs="Arial"/>
          <w:color w:val="000000"/>
        </w:rPr>
        <w:t xml:space="preserve">jueza </w:t>
      </w:r>
      <w:r w:rsidRPr="00F54A43">
        <w:rPr>
          <w:rFonts w:ascii="Arial" w:hAnsi="Arial" w:cs="Arial"/>
          <w:color w:val="000000"/>
        </w:rPr>
        <w:t xml:space="preserve">accionada </w:t>
      </w:r>
      <w:r>
        <w:rPr>
          <w:rFonts w:ascii="Arial" w:hAnsi="Arial" w:cs="Arial"/>
          <w:color w:val="000000"/>
        </w:rPr>
        <w:t>debe</w:t>
      </w:r>
      <w:r w:rsidR="00C474B5">
        <w:rPr>
          <w:rFonts w:ascii="Arial" w:hAnsi="Arial" w:cs="Arial"/>
          <w:color w:val="000000"/>
        </w:rPr>
        <w:t xml:space="preserve"> de oficio</w:t>
      </w:r>
      <w:r>
        <w:rPr>
          <w:rFonts w:ascii="Arial" w:hAnsi="Arial" w:cs="Arial"/>
          <w:color w:val="000000"/>
        </w:rPr>
        <w:t xml:space="preserve"> notificar por correo </w:t>
      </w:r>
      <w:r w:rsidR="00C474B5">
        <w:rPr>
          <w:rFonts w:ascii="Arial" w:hAnsi="Arial" w:cs="Arial"/>
          <w:color w:val="000000"/>
        </w:rPr>
        <w:t xml:space="preserve">electrónico a las accionadas y </w:t>
      </w:r>
      <w:r>
        <w:rPr>
          <w:rFonts w:ascii="Arial" w:hAnsi="Arial" w:cs="Arial"/>
          <w:color w:val="000000"/>
        </w:rPr>
        <w:t xml:space="preserve">ordenar que la </w:t>
      </w:r>
      <w:r w:rsidR="00C474B5">
        <w:rPr>
          <w:rFonts w:ascii="Arial" w:hAnsi="Arial" w:cs="Arial"/>
          <w:color w:val="000000"/>
        </w:rPr>
        <w:t xml:space="preserve">publicación del aviso </w:t>
      </w:r>
      <w:r>
        <w:rPr>
          <w:rFonts w:ascii="Arial" w:hAnsi="Arial" w:cs="Arial"/>
          <w:color w:val="000000"/>
        </w:rPr>
        <w:t xml:space="preserve">a la comunidad se </w:t>
      </w:r>
      <w:r w:rsidR="00C474B5">
        <w:rPr>
          <w:rFonts w:ascii="Arial" w:hAnsi="Arial" w:cs="Arial"/>
          <w:color w:val="000000"/>
        </w:rPr>
        <w:t xml:space="preserve">haga </w:t>
      </w:r>
      <w:r>
        <w:rPr>
          <w:rFonts w:ascii="Arial" w:hAnsi="Arial" w:cs="Arial"/>
          <w:color w:val="000000"/>
        </w:rPr>
        <w:t>a través de la emisora de la Policía Nacional</w:t>
      </w:r>
      <w:r w:rsidRPr="00F54A43">
        <w:rPr>
          <w:rFonts w:ascii="Arial" w:hAnsi="Arial" w:cs="Arial"/>
          <w:color w:val="000000"/>
        </w:rPr>
        <w:t>.</w:t>
      </w:r>
    </w:p>
    <w:p w:rsidR="00EE419D" w:rsidRDefault="00EE419D" w:rsidP="00EE419D">
      <w:pPr>
        <w:widowControl/>
        <w:spacing w:line="360" w:lineRule="auto"/>
        <w:jc w:val="both"/>
        <w:rPr>
          <w:rFonts w:ascii="Arial" w:hAnsi="Arial" w:cs="Arial"/>
          <w:sz w:val="20"/>
        </w:rPr>
      </w:pPr>
    </w:p>
    <w:p w:rsidR="00EE419D" w:rsidRDefault="00EE419D" w:rsidP="00EE419D">
      <w:pPr>
        <w:spacing w:line="360" w:lineRule="auto"/>
        <w:jc w:val="both"/>
        <w:rPr>
          <w:rFonts w:ascii="Arial" w:hAnsi="Arial" w:cs="Arial"/>
          <w:lang w:val="es-CO"/>
        </w:rPr>
      </w:pPr>
      <w:r w:rsidRPr="00F54A43">
        <w:rPr>
          <w:rFonts w:ascii="Arial" w:hAnsi="Arial" w:cs="Arial"/>
          <w:lang w:val="es-CO"/>
        </w:rPr>
        <w:t xml:space="preserve">En </w:t>
      </w:r>
      <w:r>
        <w:rPr>
          <w:rFonts w:ascii="Arial" w:hAnsi="Arial" w:cs="Arial"/>
          <w:lang w:val="es-CO"/>
        </w:rPr>
        <w:t>la</w:t>
      </w:r>
      <w:r w:rsidR="00C474B5">
        <w:rPr>
          <w:rFonts w:ascii="Arial" w:hAnsi="Arial" w:cs="Arial"/>
          <w:lang w:val="es-CO"/>
        </w:rPr>
        <w:t>s acciones</w:t>
      </w:r>
      <w:r>
        <w:rPr>
          <w:rFonts w:ascii="Arial" w:hAnsi="Arial" w:cs="Arial"/>
          <w:lang w:val="es-CO"/>
        </w:rPr>
        <w:t xml:space="preserve"> </w:t>
      </w:r>
      <w:r w:rsidRPr="00F54A43">
        <w:rPr>
          <w:rFonts w:ascii="Arial" w:hAnsi="Arial" w:cs="Arial"/>
          <w:lang w:val="es-CO"/>
        </w:rPr>
        <w:t>popular</w:t>
      </w:r>
      <w:r w:rsidR="00C474B5">
        <w:rPr>
          <w:rFonts w:ascii="Arial" w:hAnsi="Arial" w:cs="Arial"/>
          <w:lang w:val="es-CO"/>
        </w:rPr>
        <w:t>es</w:t>
      </w:r>
      <w:r w:rsidRPr="00F54A43">
        <w:rPr>
          <w:rFonts w:ascii="Arial" w:hAnsi="Arial" w:cs="Arial"/>
          <w:lang w:val="es-CO"/>
        </w:rPr>
        <w:t xml:space="preserve"> la </w:t>
      </w:r>
      <w:r w:rsidRPr="00F54A43">
        <w:rPr>
          <w:rFonts w:ascii="Arial" w:hAnsi="Arial" w:cs="Arial"/>
          <w:i/>
          <w:lang w:val="es-CO"/>
        </w:rPr>
        <w:t xml:space="preserve">a quo </w:t>
      </w:r>
      <w:r w:rsidRPr="00F54A43">
        <w:rPr>
          <w:rFonts w:ascii="Arial" w:hAnsi="Arial" w:cs="Arial"/>
          <w:lang w:val="es-CO"/>
        </w:rPr>
        <w:t xml:space="preserve">accionada con </w:t>
      </w:r>
      <w:r w:rsidR="00C474B5">
        <w:rPr>
          <w:rFonts w:ascii="Arial" w:hAnsi="Arial" w:cs="Arial"/>
          <w:lang w:val="es-CO"/>
        </w:rPr>
        <w:t xml:space="preserve">sendos </w:t>
      </w:r>
      <w:r w:rsidRPr="00F54A43">
        <w:rPr>
          <w:rFonts w:ascii="Arial" w:hAnsi="Arial" w:cs="Arial"/>
          <w:lang w:val="es-CO"/>
        </w:rPr>
        <w:t>proveído</w:t>
      </w:r>
      <w:r w:rsidR="00C474B5">
        <w:rPr>
          <w:rFonts w:ascii="Arial" w:hAnsi="Arial" w:cs="Arial"/>
          <w:lang w:val="es-CO"/>
        </w:rPr>
        <w:t>s de los días</w:t>
      </w:r>
      <w:r w:rsidRPr="00F54A43">
        <w:rPr>
          <w:rFonts w:ascii="Arial" w:hAnsi="Arial" w:cs="Arial"/>
          <w:lang w:val="es-CO"/>
        </w:rPr>
        <w:t xml:space="preserve"> </w:t>
      </w:r>
      <w:r w:rsidR="00C474B5">
        <w:rPr>
          <w:rFonts w:ascii="Arial" w:hAnsi="Arial" w:cs="Arial"/>
          <w:lang w:val="es-CO"/>
        </w:rPr>
        <w:t>02-06-2016 y 13</w:t>
      </w:r>
      <w:r>
        <w:rPr>
          <w:rFonts w:ascii="Arial" w:hAnsi="Arial" w:cs="Arial"/>
          <w:lang w:val="es-CO"/>
        </w:rPr>
        <w:t>-</w:t>
      </w:r>
      <w:r w:rsidR="00C474B5">
        <w:rPr>
          <w:rFonts w:ascii="Arial" w:hAnsi="Arial" w:cs="Arial"/>
          <w:lang w:val="es-CO"/>
        </w:rPr>
        <w:t>07</w:t>
      </w:r>
      <w:r>
        <w:rPr>
          <w:rFonts w:ascii="Arial" w:hAnsi="Arial" w:cs="Arial"/>
          <w:lang w:val="es-CO"/>
        </w:rPr>
        <w:t>-2016 la</w:t>
      </w:r>
      <w:r w:rsidR="00C474B5">
        <w:rPr>
          <w:rFonts w:ascii="Arial" w:hAnsi="Arial" w:cs="Arial"/>
          <w:lang w:val="es-CO"/>
        </w:rPr>
        <w:t>s</w:t>
      </w:r>
      <w:r>
        <w:rPr>
          <w:rFonts w:ascii="Arial" w:hAnsi="Arial" w:cs="Arial"/>
          <w:lang w:val="es-CO"/>
        </w:rPr>
        <w:t xml:space="preserve"> admitió y dispuso, entre otras órdenes, </w:t>
      </w:r>
      <w:r w:rsidR="00C474B5">
        <w:rPr>
          <w:rFonts w:ascii="Arial" w:hAnsi="Arial" w:cs="Arial"/>
          <w:lang w:val="es-CO"/>
        </w:rPr>
        <w:t xml:space="preserve">la notificación personal de los autos a la parte pasiva y </w:t>
      </w:r>
      <w:r>
        <w:rPr>
          <w:rFonts w:ascii="Arial" w:hAnsi="Arial" w:cs="Arial"/>
          <w:lang w:val="es-CO"/>
        </w:rPr>
        <w:t xml:space="preserve">que el accionante efectuara el aviso a la comunidad en un medio de amplia circulación en el lugar de la vulneración </w:t>
      </w:r>
      <w:r w:rsidRPr="00F54A43">
        <w:rPr>
          <w:rFonts w:ascii="Arial" w:hAnsi="Arial" w:cs="Arial"/>
          <w:lang w:val="es-CO"/>
        </w:rPr>
        <w:t>(Folio</w:t>
      </w:r>
      <w:r w:rsidR="00C474B5">
        <w:rPr>
          <w:rFonts w:ascii="Arial" w:hAnsi="Arial" w:cs="Arial"/>
          <w:lang w:val="es-CO"/>
        </w:rPr>
        <w:t>s</w:t>
      </w:r>
      <w:r w:rsidRPr="00F54A43">
        <w:rPr>
          <w:rFonts w:ascii="Arial" w:hAnsi="Arial" w:cs="Arial"/>
          <w:lang w:val="es-CO"/>
        </w:rPr>
        <w:t xml:space="preserve"> </w:t>
      </w:r>
      <w:r w:rsidR="00C474B5">
        <w:rPr>
          <w:rFonts w:ascii="Arial" w:hAnsi="Arial" w:cs="Arial"/>
          <w:lang w:val="es-CO"/>
        </w:rPr>
        <w:t xml:space="preserve">10 y 25 de los documentos en </w:t>
      </w:r>
      <w:r w:rsidR="00C474B5" w:rsidRPr="00C474B5">
        <w:rPr>
          <w:rFonts w:ascii="Arial" w:hAnsi="Arial" w:cs="Arial"/>
          <w:i/>
          <w:sz w:val="22"/>
          <w:lang w:val="es-CO"/>
        </w:rPr>
        <w:t>“PDF”</w:t>
      </w:r>
      <w:r w:rsidR="00C474B5">
        <w:rPr>
          <w:rFonts w:ascii="Arial" w:hAnsi="Arial" w:cs="Arial"/>
          <w:lang w:val="es-CO"/>
        </w:rPr>
        <w:t xml:space="preserve"> obrantes en el disco compacto visible a folio 20</w:t>
      </w:r>
      <w:r w:rsidRPr="00F54A43">
        <w:rPr>
          <w:rFonts w:ascii="Arial" w:hAnsi="Arial" w:cs="Arial"/>
          <w:lang w:val="es-CO"/>
        </w:rPr>
        <w:t xml:space="preserve">, ib.), </w:t>
      </w:r>
      <w:r>
        <w:rPr>
          <w:rFonts w:ascii="Arial" w:hAnsi="Arial" w:cs="Arial"/>
          <w:lang w:val="es-CO"/>
        </w:rPr>
        <w:t>recurrido</w:t>
      </w:r>
      <w:r w:rsidR="00C474B5">
        <w:rPr>
          <w:rFonts w:ascii="Arial" w:hAnsi="Arial" w:cs="Arial"/>
          <w:lang w:val="es-CO"/>
        </w:rPr>
        <w:t>s</w:t>
      </w:r>
      <w:r>
        <w:rPr>
          <w:rFonts w:ascii="Arial" w:hAnsi="Arial" w:cs="Arial"/>
          <w:lang w:val="es-CO"/>
        </w:rPr>
        <w:t xml:space="preserve"> </w:t>
      </w:r>
      <w:r w:rsidR="00C474B5">
        <w:rPr>
          <w:rFonts w:ascii="Arial" w:hAnsi="Arial" w:cs="Arial"/>
          <w:lang w:val="es-CO"/>
        </w:rPr>
        <w:t xml:space="preserve">oportunamente </w:t>
      </w:r>
      <w:r>
        <w:rPr>
          <w:rFonts w:ascii="Arial" w:hAnsi="Arial" w:cs="Arial"/>
          <w:lang w:val="es-CO"/>
        </w:rPr>
        <w:t>por el actor</w:t>
      </w:r>
      <w:r w:rsidR="00C474B5">
        <w:rPr>
          <w:rFonts w:ascii="Arial" w:hAnsi="Arial" w:cs="Arial"/>
          <w:lang w:val="es-CO"/>
        </w:rPr>
        <w:t xml:space="preserve"> </w:t>
      </w:r>
      <w:r w:rsidR="00C474B5" w:rsidRPr="00F54A43">
        <w:rPr>
          <w:rFonts w:ascii="Arial" w:hAnsi="Arial" w:cs="Arial"/>
          <w:lang w:val="es-CO"/>
        </w:rPr>
        <w:t>(Folio</w:t>
      </w:r>
      <w:r w:rsidR="00C474B5">
        <w:rPr>
          <w:rFonts w:ascii="Arial" w:hAnsi="Arial" w:cs="Arial"/>
          <w:lang w:val="es-CO"/>
        </w:rPr>
        <w:t>s</w:t>
      </w:r>
      <w:r w:rsidR="00C474B5" w:rsidRPr="00F54A43">
        <w:rPr>
          <w:rFonts w:ascii="Arial" w:hAnsi="Arial" w:cs="Arial"/>
          <w:lang w:val="es-CO"/>
        </w:rPr>
        <w:t xml:space="preserve"> </w:t>
      </w:r>
      <w:r w:rsidR="00C474B5">
        <w:rPr>
          <w:rFonts w:ascii="Arial" w:hAnsi="Arial" w:cs="Arial"/>
          <w:lang w:val="es-CO"/>
        </w:rPr>
        <w:t>11 y 26, ibídem</w:t>
      </w:r>
      <w:r w:rsidR="00C474B5" w:rsidRPr="00F54A43">
        <w:rPr>
          <w:rFonts w:ascii="Arial" w:hAnsi="Arial" w:cs="Arial"/>
          <w:lang w:val="es-CO"/>
        </w:rPr>
        <w:t>)</w:t>
      </w:r>
      <w:r>
        <w:rPr>
          <w:rFonts w:ascii="Arial" w:hAnsi="Arial" w:cs="Arial"/>
          <w:lang w:val="es-CO"/>
        </w:rPr>
        <w:t>, el despacho con auto</w:t>
      </w:r>
      <w:r w:rsidR="00C474B5">
        <w:rPr>
          <w:rFonts w:ascii="Arial" w:hAnsi="Arial" w:cs="Arial"/>
          <w:lang w:val="es-CO"/>
        </w:rPr>
        <w:t>s</w:t>
      </w:r>
      <w:r>
        <w:rPr>
          <w:rFonts w:ascii="Arial" w:hAnsi="Arial" w:cs="Arial"/>
          <w:lang w:val="es-CO"/>
        </w:rPr>
        <w:t xml:space="preserve"> </w:t>
      </w:r>
      <w:r w:rsidR="00C474B5">
        <w:rPr>
          <w:rFonts w:ascii="Arial" w:hAnsi="Arial" w:cs="Arial"/>
          <w:lang w:val="es-CO"/>
        </w:rPr>
        <w:t xml:space="preserve">de los días 23-06-2016 y 25-07-2016 </w:t>
      </w:r>
      <w:r>
        <w:rPr>
          <w:rFonts w:ascii="Arial" w:hAnsi="Arial" w:cs="Arial"/>
          <w:lang w:val="es-CO"/>
        </w:rPr>
        <w:t xml:space="preserve">mantuvo su decisión </w:t>
      </w:r>
      <w:r w:rsidRPr="00F54A43">
        <w:rPr>
          <w:rFonts w:ascii="Arial" w:hAnsi="Arial" w:cs="Arial"/>
          <w:lang w:val="es-CO"/>
        </w:rPr>
        <w:t xml:space="preserve">y expuso al recurrente que </w:t>
      </w:r>
      <w:r w:rsidR="00C474B5">
        <w:rPr>
          <w:rFonts w:ascii="Arial" w:hAnsi="Arial" w:cs="Arial"/>
          <w:lang w:val="es-CO"/>
        </w:rPr>
        <w:t>la emisora de la Policía Nacional no está obliga</w:t>
      </w:r>
      <w:r w:rsidR="00C474B5" w:rsidRPr="000D4993">
        <w:rPr>
          <w:rFonts w:ascii="Arial" w:hAnsi="Arial" w:cs="Arial"/>
          <w:lang w:val="es-CO"/>
        </w:rPr>
        <w:t>da a trasmitir</w:t>
      </w:r>
      <w:r w:rsidR="000D4993" w:rsidRPr="000D4993">
        <w:rPr>
          <w:rFonts w:ascii="Arial" w:hAnsi="Arial" w:cs="Arial"/>
          <w:lang w:val="es-CO"/>
        </w:rPr>
        <w:t xml:space="preserve"> el aviso a la comunidad porque no se dan las condiciones del artículo 57 de la Ley 1341 y de la Resolución 00415 del 13-04-2012 y la página web de la Rama Judicial no es el mecanismo idóneo porque tiene una consulta reducida </w:t>
      </w:r>
      <w:r w:rsidRPr="000D4993">
        <w:rPr>
          <w:rFonts w:ascii="Arial" w:hAnsi="Arial" w:cs="Arial"/>
          <w:lang w:val="es-CO"/>
        </w:rPr>
        <w:t xml:space="preserve">(Folios </w:t>
      </w:r>
      <w:r w:rsidR="000D4993" w:rsidRPr="000D4993">
        <w:rPr>
          <w:rFonts w:ascii="Arial" w:hAnsi="Arial" w:cs="Arial"/>
          <w:lang w:val="es-CO"/>
        </w:rPr>
        <w:t>12 y 27, ibídem)</w:t>
      </w:r>
      <w:r w:rsidRPr="000D4993">
        <w:rPr>
          <w:rFonts w:ascii="Arial" w:hAnsi="Arial" w:cs="Arial"/>
          <w:lang w:val="es-CO"/>
        </w:rPr>
        <w:t>.</w:t>
      </w:r>
    </w:p>
    <w:p w:rsidR="00EE419D" w:rsidRPr="00855788" w:rsidRDefault="00EE419D" w:rsidP="00EE419D">
      <w:pPr>
        <w:widowControl/>
        <w:spacing w:line="360" w:lineRule="auto"/>
        <w:jc w:val="both"/>
        <w:rPr>
          <w:rFonts w:ascii="Arial" w:hAnsi="Arial" w:cs="Arial"/>
          <w:sz w:val="20"/>
        </w:rPr>
      </w:pPr>
    </w:p>
    <w:p w:rsidR="00EE419D" w:rsidRPr="00F54A43" w:rsidRDefault="00EE419D" w:rsidP="00EE419D">
      <w:pPr>
        <w:spacing w:line="360" w:lineRule="auto"/>
        <w:jc w:val="both"/>
        <w:rPr>
          <w:rFonts w:ascii="Arial" w:hAnsi="Arial" w:cs="Arial"/>
        </w:rPr>
      </w:pPr>
      <w:r w:rsidRPr="00F54A43">
        <w:rPr>
          <w:rFonts w:ascii="Arial" w:hAnsi="Arial" w:cs="Arial"/>
          <w:bCs/>
        </w:rPr>
        <w:t xml:space="preserve">El </w:t>
      </w:r>
      <w:r w:rsidRPr="00F54A43">
        <w:rPr>
          <w:rFonts w:ascii="Arial" w:hAnsi="Arial" w:cs="Arial"/>
          <w:color w:val="000000"/>
        </w:rPr>
        <w:t xml:space="preserve">artículo 5º-3º de la Ley 472, prescribe como obligación del juez, impulsar oficiosamente el trámite de las acciones populares; por su parte el artículo 21, consagra, entre otras, la </w:t>
      </w:r>
      <w:r w:rsidR="000D4993">
        <w:rPr>
          <w:rFonts w:ascii="Arial" w:hAnsi="Arial" w:cs="Arial"/>
          <w:color w:val="000000"/>
        </w:rPr>
        <w:t xml:space="preserve">notificación personal al demandado y la </w:t>
      </w:r>
      <w:r w:rsidRPr="00F54A43">
        <w:rPr>
          <w:rFonts w:ascii="Arial" w:hAnsi="Arial" w:cs="Arial"/>
          <w:color w:val="000000"/>
        </w:rPr>
        <w:t>obligación de informar sobre la existencia del amparo a los miembros de la comunidad por intermedio de medios masivos de comunicación o cualquier otro eficaz;</w:t>
      </w:r>
      <w:r w:rsidRPr="00F54A43">
        <w:rPr>
          <w:rFonts w:ascii="Arial" w:hAnsi="Arial" w:cs="Arial"/>
        </w:rPr>
        <w:t xml:space="preserve"> mientras </w:t>
      </w:r>
      <w:r w:rsidRPr="00F54A43">
        <w:rPr>
          <w:rFonts w:ascii="Arial" w:hAnsi="Arial" w:cs="Arial"/>
          <w:lang w:val="es-CO"/>
        </w:rPr>
        <w:t xml:space="preserve">que el artículo 44 ídem establece que en estos asuntos </w:t>
      </w:r>
      <w:r w:rsidRPr="00F54A43">
        <w:rPr>
          <w:rFonts w:ascii="Arial" w:hAnsi="Arial" w:cs="Arial"/>
        </w:rPr>
        <w:t xml:space="preserve">se aplicarán las disposiciones del CPC </w:t>
      </w:r>
      <w:r w:rsidRPr="00F54A43">
        <w:rPr>
          <w:rFonts w:ascii="Arial" w:hAnsi="Arial" w:cs="Arial"/>
          <w:lang w:val="es-CO"/>
        </w:rPr>
        <w:t>(Hoy CGP)</w:t>
      </w:r>
      <w:r w:rsidRPr="00F54A43">
        <w:rPr>
          <w:rFonts w:ascii="Arial" w:hAnsi="Arial" w:cs="Arial"/>
        </w:rPr>
        <w:t>, en los aspectos no regulados en la Ley.</w:t>
      </w:r>
    </w:p>
    <w:p w:rsidR="00EE419D" w:rsidRPr="00855788" w:rsidRDefault="00EE419D" w:rsidP="00EE419D">
      <w:pPr>
        <w:spacing w:line="360" w:lineRule="auto"/>
        <w:jc w:val="both"/>
        <w:rPr>
          <w:rFonts w:ascii="Arial" w:hAnsi="Arial" w:cs="Arial"/>
          <w:sz w:val="20"/>
        </w:rPr>
      </w:pPr>
    </w:p>
    <w:p w:rsidR="00EE419D" w:rsidRDefault="00EE419D" w:rsidP="00EE419D">
      <w:pPr>
        <w:widowControl/>
        <w:spacing w:line="360" w:lineRule="auto"/>
        <w:jc w:val="both"/>
        <w:rPr>
          <w:rFonts w:ascii="Arial" w:hAnsi="Arial" w:cs="Arial"/>
          <w:color w:val="000000"/>
          <w:szCs w:val="23"/>
        </w:rPr>
      </w:pPr>
      <w:r>
        <w:rPr>
          <w:rFonts w:ascii="Arial" w:hAnsi="Arial"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EE419D" w:rsidRPr="0008790B" w:rsidRDefault="00EE419D" w:rsidP="00EE419D">
      <w:pPr>
        <w:pStyle w:val="Retraitcorpsdetexte"/>
        <w:spacing w:after="0" w:line="360" w:lineRule="auto"/>
        <w:ind w:left="0"/>
        <w:jc w:val="both"/>
        <w:rPr>
          <w:rFonts w:ascii="Arial" w:hAnsi="Arial" w:cs="Arial"/>
          <w:color w:val="000000"/>
          <w:sz w:val="20"/>
          <w:szCs w:val="20"/>
        </w:rPr>
      </w:pPr>
    </w:p>
    <w:p w:rsidR="00EE419D" w:rsidRPr="00534D20" w:rsidRDefault="00EE419D" w:rsidP="00EE419D">
      <w:pPr>
        <w:widowControl/>
        <w:spacing w:line="360" w:lineRule="auto"/>
        <w:jc w:val="both"/>
        <w:rPr>
          <w:rFonts w:ascii="Arial" w:hAnsi="Arial" w:cs="Arial"/>
          <w:color w:val="000000"/>
          <w:sz w:val="23"/>
          <w:szCs w:val="23"/>
          <w:lang w:val="es-CO"/>
        </w:rPr>
      </w:pPr>
      <w:r>
        <w:rPr>
          <w:rFonts w:ascii="Arial" w:hAnsi="Arial" w:cs="Arial"/>
          <w:color w:val="000000"/>
          <w:szCs w:val="23"/>
        </w:rPr>
        <w:t xml:space="preserve">Dentro de ese contexto, si bien se le ha impuesto al actor el deber </w:t>
      </w:r>
      <w:r w:rsidR="00251FE0">
        <w:rPr>
          <w:rFonts w:ascii="Arial" w:hAnsi="Arial" w:cs="Arial"/>
          <w:color w:val="000000"/>
          <w:szCs w:val="23"/>
        </w:rPr>
        <w:t xml:space="preserve">de notificar a los accionados en la acciones populares y </w:t>
      </w:r>
      <w:r>
        <w:rPr>
          <w:rFonts w:ascii="Arial" w:hAnsi="Arial" w:cs="Arial"/>
          <w:color w:val="000000"/>
          <w:szCs w:val="23"/>
        </w:rPr>
        <w:t xml:space="preserve">de avisar a la comunidad, estima la Sala </w:t>
      </w:r>
      <w:r w:rsidR="00251FE0">
        <w:rPr>
          <w:rFonts w:ascii="Arial" w:hAnsi="Arial" w:cs="Arial"/>
          <w:color w:val="000000"/>
          <w:szCs w:val="23"/>
        </w:rPr>
        <w:t xml:space="preserve">que </w:t>
      </w:r>
      <w:r>
        <w:rPr>
          <w:rFonts w:ascii="Arial" w:hAnsi="Arial" w:cs="Arial"/>
          <w:color w:val="000000"/>
          <w:szCs w:val="23"/>
        </w:rPr>
        <w:t>no puede considerarse como un actuar antojadizo o injustificado del juez que vulnere sus derechos, ni refleja una acción tendiente a e</w:t>
      </w:r>
      <w:r>
        <w:rPr>
          <w:rFonts w:ascii="Arial" w:hAnsi="Arial" w:cs="Arial"/>
        </w:rPr>
        <w:t xml:space="preserve">squivar el impulso oficioso que le atribuye la </w:t>
      </w:r>
      <w:r>
        <w:rPr>
          <w:rFonts w:ascii="Arial" w:hAnsi="Arial" w:cs="Arial"/>
        </w:rPr>
        <w:lastRenderedPageBreak/>
        <w:t xml:space="preserve">citada Ley, ya que, esas son </w:t>
      </w:r>
      <w:r w:rsidRPr="00F408B6">
        <w:rPr>
          <w:rFonts w:ascii="Arial" w:hAnsi="Arial" w:cs="Arial"/>
          <w:color w:val="000000"/>
        </w:rPr>
        <w:t xml:space="preserve"> gestiones </w:t>
      </w:r>
      <w:r>
        <w:rPr>
          <w:rFonts w:ascii="Arial" w:hAnsi="Arial" w:cs="Arial"/>
          <w:color w:val="000000"/>
        </w:rPr>
        <w:t xml:space="preserve">que </w:t>
      </w:r>
      <w:r w:rsidRPr="00F408B6">
        <w:rPr>
          <w:rFonts w:ascii="Arial" w:hAnsi="Arial" w:cs="Arial"/>
          <w:color w:val="000000"/>
        </w:rPr>
        <w:t xml:space="preserve">permiten 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con el fin de </w:t>
      </w:r>
      <w:r w:rsidRPr="00F408B6">
        <w:rPr>
          <w:rFonts w:ascii="Arial" w:hAnsi="Arial" w:cs="Arial"/>
          <w:color w:val="000000"/>
        </w:rPr>
        <w:t>obtener la protección de lo</w:t>
      </w:r>
      <w:r>
        <w:rPr>
          <w:rFonts w:ascii="Arial" w:hAnsi="Arial" w:cs="Arial"/>
          <w:color w:val="000000"/>
        </w:rPr>
        <w:t xml:space="preserve">s derechos colectivos vulnerados; tal como lo ha reconocido </w:t>
      </w:r>
      <w:r>
        <w:rPr>
          <w:rFonts w:ascii="Arial" w:hAnsi="Arial" w:cs="Arial"/>
        </w:rPr>
        <w:t>el CE</w:t>
      </w:r>
      <w:r>
        <w:rPr>
          <w:rStyle w:val="Appelnotedebasdep"/>
          <w:rFonts w:ascii="Arial" w:hAnsi="Arial"/>
        </w:rPr>
        <w:footnoteReference w:id="17"/>
      </w:r>
      <w:r>
        <w:rPr>
          <w:rFonts w:ascii="Arial" w:hAnsi="Arial" w:cs="Arial"/>
        </w:rPr>
        <w:t xml:space="preserve">. </w:t>
      </w:r>
    </w:p>
    <w:p w:rsidR="00EE419D" w:rsidRPr="0008790B" w:rsidRDefault="00EE419D" w:rsidP="00EE419D">
      <w:pPr>
        <w:widowControl/>
        <w:spacing w:line="360" w:lineRule="auto"/>
        <w:jc w:val="both"/>
        <w:rPr>
          <w:rFonts w:ascii="Arial" w:hAnsi="Arial" w:cs="Arial"/>
          <w:color w:val="000000"/>
          <w:sz w:val="20"/>
          <w:szCs w:val="20"/>
        </w:rPr>
      </w:pPr>
    </w:p>
    <w:p w:rsidR="00EE419D" w:rsidRDefault="00EE419D" w:rsidP="00EE419D">
      <w:pPr>
        <w:widowControl/>
        <w:spacing w:line="360" w:lineRule="auto"/>
        <w:jc w:val="both"/>
        <w:rPr>
          <w:rFonts w:ascii="Arial" w:hAnsi="Arial" w:cs="Arial"/>
          <w:color w:val="000000"/>
          <w:szCs w:val="23"/>
        </w:rPr>
      </w:pPr>
      <w:r>
        <w:rPr>
          <w:rFonts w:ascii="Arial" w:hAnsi="Arial" w:cs="Arial"/>
          <w:color w:val="000000"/>
          <w:szCs w:val="23"/>
        </w:rPr>
        <w:t>Esta interpretación acoge el pensamiento de la CSJ</w:t>
      </w:r>
      <w:r>
        <w:rPr>
          <w:rStyle w:val="Appelnotedebasdep"/>
          <w:rFonts w:ascii="Arial" w:hAnsi="Arial"/>
          <w:color w:val="000000"/>
          <w:szCs w:val="23"/>
        </w:rPr>
        <w:footnoteReference w:id="18"/>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EE419D" w:rsidRPr="0008790B" w:rsidRDefault="00EE419D" w:rsidP="00EE419D">
      <w:pPr>
        <w:widowControl/>
        <w:spacing w:line="360" w:lineRule="auto"/>
        <w:jc w:val="both"/>
        <w:rPr>
          <w:rFonts w:ascii="Arial" w:hAnsi="Arial" w:cs="Arial"/>
          <w:color w:val="000000"/>
          <w:sz w:val="16"/>
          <w:szCs w:val="16"/>
        </w:rPr>
      </w:pPr>
    </w:p>
    <w:p w:rsidR="00EE419D" w:rsidRDefault="00EE419D" w:rsidP="00EE419D">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EE419D" w:rsidRPr="0008790B" w:rsidRDefault="00EE419D" w:rsidP="00EE419D">
      <w:pPr>
        <w:pStyle w:val="Textoindependiente21"/>
        <w:tabs>
          <w:tab w:val="left" w:pos="900"/>
        </w:tabs>
        <w:spacing w:line="240" w:lineRule="auto"/>
        <w:ind w:left="567" w:right="567"/>
        <w:rPr>
          <w:rFonts w:cs="Arial"/>
          <w:sz w:val="16"/>
          <w:szCs w:val="16"/>
        </w:rPr>
      </w:pPr>
      <w:r w:rsidRPr="002671F4">
        <w:rPr>
          <w:rFonts w:cs="Arial"/>
          <w:sz w:val="24"/>
          <w:szCs w:val="24"/>
        </w:rPr>
        <w:t xml:space="preserve"> </w:t>
      </w:r>
    </w:p>
    <w:p w:rsidR="00EE419D" w:rsidRPr="002671F4" w:rsidRDefault="00EE419D" w:rsidP="00EE419D">
      <w:pPr>
        <w:pStyle w:val="Textoindependiente21"/>
        <w:tabs>
          <w:tab w:val="left" w:pos="900"/>
        </w:tabs>
        <w:spacing w:line="240" w:lineRule="auto"/>
        <w:ind w:left="567" w:right="567"/>
        <w:rPr>
          <w:rFonts w:cs="Arial"/>
          <w:sz w:val="24"/>
          <w:szCs w:val="24"/>
          <w:lang w:val="es-MX"/>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Appelnotedebasdep"/>
          <w:rFonts w:cs="Arial"/>
          <w:sz w:val="24"/>
          <w:szCs w:val="24"/>
          <w:u w:val="single"/>
        </w:rPr>
        <w:footnoteReference w:id="19"/>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w:t>
      </w:r>
      <w:proofErr w:type="spellStart"/>
      <w:r>
        <w:rPr>
          <w:rFonts w:cs="Arial"/>
          <w:sz w:val="24"/>
          <w:szCs w:val="24"/>
        </w:rPr>
        <w:t>Sublínea</w:t>
      </w:r>
      <w:proofErr w:type="spellEnd"/>
      <w:r>
        <w:rPr>
          <w:rFonts w:cs="Arial"/>
          <w:sz w:val="24"/>
          <w:szCs w:val="24"/>
        </w:rPr>
        <w:t xml:space="preserve"> de esta Sala).</w:t>
      </w:r>
    </w:p>
    <w:p w:rsidR="00251FE0" w:rsidRPr="00251FE0" w:rsidRDefault="00251FE0" w:rsidP="00EE419D">
      <w:pPr>
        <w:pStyle w:val="Textopredeterminado"/>
        <w:spacing w:line="360" w:lineRule="auto"/>
        <w:jc w:val="both"/>
        <w:rPr>
          <w:rFonts w:ascii="Arial" w:hAnsi="Arial"/>
          <w:sz w:val="36"/>
          <w:szCs w:val="24"/>
        </w:rPr>
      </w:pPr>
    </w:p>
    <w:p w:rsidR="00EE419D" w:rsidRDefault="00EE419D" w:rsidP="00EE419D">
      <w:pPr>
        <w:pStyle w:val="Textopredeterminado"/>
        <w:spacing w:line="360" w:lineRule="auto"/>
        <w:jc w:val="both"/>
        <w:rPr>
          <w:rFonts w:ascii="Arial" w:hAnsi="Arial" w:cs="Arial"/>
          <w:spacing w:val="3"/>
        </w:rPr>
      </w:pPr>
      <w:r>
        <w:rPr>
          <w:rFonts w:ascii="Arial" w:hAnsi="Arial"/>
          <w:szCs w:val="24"/>
        </w:rPr>
        <w:t xml:space="preserve">En suma, luce evidente que es inexistente vulneración o amenaza a los derechos invocados </w:t>
      </w:r>
      <w:r w:rsidR="00251FE0">
        <w:rPr>
          <w:rFonts w:ascii="Arial" w:hAnsi="Arial"/>
          <w:szCs w:val="24"/>
        </w:rPr>
        <w:t xml:space="preserve"> </w:t>
      </w:r>
      <w:r>
        <w:rPr>
          <w:rFonts w:ascii="Arial" w:hAnsi="Arial"/>
          <w:szCs w:val="24"/>
        </w:rPr>
        <w:t>por</w:t>
      </w:r>
      <w:r w:rsidR="00251FE0">
        <w:rPr>
          <w:rFonts w:ascii="Arial" w:hAnsi="Arial"/>
          <w:szCs w:val="24"/>
        </w:rPr>
        <w:t xml:space="preserve"> </w:t>
      </w:r>
      <w:r>
        <w:rPr>
          <w:rFonts w:ascii="Arial" w:hAnsi="Arial"/>
          <w:szCs w:val="24"/>
        </w:rPr>
        <w:t xml:space="preserve"> el </w:t>
      </w:r>
      <w:r w:rsidR="00251FE0">
        <w:rPr>
          <w:rFonts w:ascii="Arial" w:hAnsi="Arial"/>
          <w:szCs w:val="24"/>
        </w:rPr>
        <w:t xml:space="preserve"> </w:t>
      </w:r>
      <w:proofErr w:type="spellStart"/>
      <w:r>
        <w:rPr>
          <w:rFonts w:ascii="Arial" w:hAnsi="Arial"/>
          <w:szCs w:val="24"/>
        </w:rPr>
        <w:t>tutelante</w:t>
      </w:r>
      <w:proofErr w:type="spellEnd"/>
      <w:r w:rsidR="00251FE0">
        <w:rPr>
          <w:rFonts w:ascii="Arial" w:hAnsi="Arial"/>
          <w:szCs w:val="24"/>
        </w:rPr>
        <w:t xml:space="preserve"> </w:t>
      </w:r>
      <w:r>
        <w:rPr>
          <w:rFonts w:ascii="Arial" w:hAnsi="Arial"/>
          <w:szCs w:val="24"/>
        </w:rPr>
        <w:t xml:space="preserve"> y </w:t>
      </w:r>
      <w:r w:rsidR="00251FE0">
        <w:rPr>
          <w:rFonts w:ascii="Arial" w:hAnsi="Arial"/>
          <w:szCs w:val="24"/>
        </w:rPr>
        <w:t xml:space="preserve"> </w:t>
      </w:r>
      <w:r>
        <w:rPr>
          <w:rFonts w:ascii="Arial" w:hAnsi="Arial"/>
          <w:szCs w:val="24"/>
        </w:rPr>
        <w:t xml:space="preserve">así </w:t>
      </w:r>
      <w:r w:rsidR="00251FE0">
        <w:rPr>
          <w:rFonts w:ascii="Arial" w:hAnsi="Arial"/>
          <w:szCs w:val="24"/>
        </w:rPr>
        <w:t xml:space="preserve"> </w:t>
      </w:r>
      <w:r>
        <w:rPr>
          <w:rFonts w:ascii="Arial" w:hAnsi="Arial"/>
          <w:szCs w:val="24"/>
        </w:rPr>
        <w:t xml:space="preserve">será </w:t>
      </w:r>
      <w:r w:rsidR="00251FE0">
        <w:rPr>
          <w:rFonts w:ascii="Arial" w:hAnsi="Arial"/>
          <w:szCs w:val="24"/>
        </w:rPr>
        <w:t xml:space="preserve"> </w:t>
      </w:r>
      <w:r>
        <w:rPr>
          <w:rFonts w:ascii="Arial" w:hAnsi="Arial"/>
          <w:szCs w:val="24"/>
        </w:rPr>
        <w:t>declarado</w:t>
      </w:r>
      <w:r>
        <w:rPr>
          <w:rFonts w:ascii="Arial" w:hAnsi="Arial" w:cs="Arial"/>
          <w:szCs w:val="22"/>
        </w:rPr>
        <w:t>,</w:t>
      </w:r>
      <w:r w:rsidR="00251FE0">
        <w:rPr>
          <w:rFonts w:ascii="Arial" w:hAnsi="Arial" w:cs="Arial"/>
          <w:szCs w:val="22"/>
        </w:rPr>
        <w:t xml:space="preserve"> </w:t>
      </w:r>
      <w:r>
        <w:rPr>
          <w:rFonts w:ascii="Arial" w:hAnsi="Arial" w:cs="Arial"/>
          <w:szCs w:val="22"/>
        </w:rPr>
        <w:t xml:space="preserve"> </w:t>
      </w:r>
      <w:r>
        <w:rPr>
          <w:rFonts w:ascii="Arial" w:hAnsi="Arial" w:cs="Arial"/>
          <w:spacing w:val="-3"/>
          <w:szCs w:val="24"/>
        </w:rPr>
        <w:t xml:space="preserve">tal </w:t>
      </w:r>
      <w:r w:rsidR="00251FE0">
        <w:rPr>
          <w:rFonts w:ascii="Arial" w:hAnsi="Arial" w:cs="Arial"/>
          <w:spacing w:val="-3"/>
          <w:szCs w:val="24"/>
        </w:rPr>
        <w:t xml:space="preserve"> </w:t>
      </w:r>
      <w:r>
        <w:rPr>
          <w:rFonts w:ascii="Arial" w:hAnsi="Arial" w:cs="Arial"/>
          <w:spacing w:val="-3"/>
          <w:szCs w:val="24"/>
        </w:rPr>
        <w:t xml:space="preserve">como </w:t>
      </w:r>
      <w:r w:rsidR="00251FE0">
        <w:rPr>
          <w:rFonts w:ascii="Arial" w:hAnsi="Arial" w:cs="Arial"/>
          <w:spacing w:val="-3"/>
          <w:szCs w:val="24"/>
        </w:rPr>
        <w:t xml:space="preserve"> </w:t>
      </w:r>
      <w:r>
        <w:rPr>
          <w:rFonts w:ascii="Arial" w:hAnsi="Arial" w:cs="Arial"/>
          <w:spacing w:val="-3"/>
          <w:szCs w:val="24"/>
        </w:rPr>
        <w:t xml:space="preserve">se </w:t>
      </w:r>
      <w:r w:rsidR="00251FE0">
        <w:rPr>
          <w:rFonts w:ascii="Arial" w:hAnsi="Arial" w:cs="Arial"/>
          <w:spacing w:val="-3"/>
          <w:szCs w:val="24"/>
        </w:rPr>
        <w:t xml:space="preserve"> </w:t>
      </w:r>
      <w:r>
        <w:rPr>
          <w:rFonts w:ascii="Arial" w:hAnsi="Arial" w:cs="Arial"/>
          <w:spacing w:val="-3"/>
          <w:szCs w:val="24"/>
        </w:rPr>
        <w:t>decidiera en anteriores oportunidades por esta Sala Especializada</w:t>
      </w:r>
      <w:r w:rsidRPr="003A2B28">
        <w:rPr>
          <w:rStyle w:val="Appelnotedebasdep"/>
          <w:rFonts w:ascii="Arial" w:eastAsia="Yu Gothic Light" w:hAnsi="Arial"/>
          <w:szCs w:val="24"/>
        </w:rPr>
        <w:footnoteReference w:id="20"/>
      </w:r>
      <w:r>
        <w:rPr>
          <w:rFonts w:ascii="Arial" w:hAnsi="Arial" w:cs="Arial"/>
          <w:spacing w:val="-3"/>
          <w:szCs w:val="24"/>
        </w:rPr>
        <w:t xml:space="preserve">, confirmadas por </w:t>
      </w:r>
      <w:r w:rsidRPr="00A16F75">
        <w:rPr>
          <w:rFonts w:ascii="Arial" w:hAnsi="Arial" w:cs="Arial"/>
          <w:szCs w:val="24"/>
        </w:rPr>
        <w:t xml:space="preserve">la </w:t>
      </w:r>
      <w:r>
        <w:rPr>
          <w:rFonts w:ascii="Arial" w:hAnsi="Arial" w:cs="Arial"/>
          <w:szCs w:val="24"/>
        </w:rPr>
        <w:t>CSJ</w:t>
      </w:r>
      <w:r w:rsidRPr="00A16F75">
        <w:rPr>
          <w:rStyle w:val="Appelnotedebasdep"/>
          <w:rFonts w:ascii="Arial" w:hAnsi="Arial" w:cs="Arial"/>
          <w:szCs w:val="24"/>
        </w:rPr>
        <w:footnoteReference w:id="21"/>
      </w:r>
      <w:r w:rsidRPr="0026679E">
        <w:rPr>
          <w:rFonts w:ascii="Arial" w:hAnsi="Arial" w:cs="Arial"/>
          <w:spacing w:val="3"/>
        </w:rPr>
        <w:t>.</w:t>
      </w:r>
    </w:p>
    <w:p w:rsidR="00251FE0" w:rsidRPr="0008790B" w:rsidRDefault="00251FE0" w:rsidP="00EE419D">
      <w:pPr>
        <w:pStyle w:val="Textopredeterminado"/>
        <w:spacing w:line="360" w:lineRule="auto"/>
        <w:jc w:val="both"/>
        <w:rPr>
          <w:rFonts w:ascii="Arial" w:hAnsi="Arial" w:cs="Arial"/>
          <w:spacing w:val="3"/>
          <w:sz w:val="20"/>
        </w:rPr>
      </w:pPr>
    </w:p>
    <w:p w:rsidR="00947D60" w:rsidRDefault="00E55001" w:rsidP="00EA7B29">
      <w:pPr>
        <w:spacing w:line="360" w:lineRule="auto"/>
        <w:ind w:right="51"/>
        <w:jc w:val="both"/>
        <w:rPr>
          <w:rFonts w:ascii="Arial" w:hAnsi="Arial"/>
          <w:sz w:val="22"/>
        </w:rPr>
      </w:pPr>
      <w:r w:rsidRPr="004C227B">
        <w:rPr>
          <w:rFonts w:ascii="Arial" w:hAnsi="Arial"/>
        </w:rPr>
        <w:t xml:space="preserve">Pese a lo anterior, no </w:t>
      </w:r>
      <w:r w:rsidR="000D4993" w:rsidRPr="004C227B">
        <w:rPr>
          <w:rFonts w:ascii="Arial" w:hAnsi="Arial"/>
        </w:rPr>
        <w:t xml:space="preserve">sobra acotar, en cuanto a la </w:t>
      </w:r>
      <w:r w:rsidRPr="004C227B">
        <w:rPr>
          <w:rFonts w:ascii="Arial" w:hAnsi="Arial"/>
        </w:rPr>
        <w:t xml:space="preserve">pretensión del accionante tendiente a que se ordene </w:t>
      </w:r>
      <w:r w:rsidR="004C227B">
        <w:rPr>
          <w:rFonts w:ascii="Arial" w:hAnsi="Arial"/>
        </w:rPr>
        <w:t xml:space="preserve">surtir </w:t>
      </w:r>
      <w:r w:rsidRPr="004C227B">
        <w:rPr>
          <w:rFonts w:ascii="Arial" w:hAnsi="Arial"/>
        </w:rPr>
        <w:t xml:space="preserve">la </w:t>
      </w:r>
      <w:r w:rsidRPr="004C227B">
        <w:rPr>
          <w:rFonts w:ascii="Arial" w:hAnsi="Arial"/>
          <w:i/>
          <w:sz w:val="22"/>
        </w:rPr>
        <w:t>“notificación electrónica de las accionadas”</w:t>
      </w:r>
      <w:r w:rsidRPr="004C227B">
        <w:rPr>
          <w:rFonts w:ascii="Arial" w:hAnsi="Arial"/>
        </w:rPr>
        <w:t xml:space="preserve">, </w:t>
      </w:r>
      <w:r w:rsidR="00947D60" w:rsidRPr="004C227B">
        <w:rPr>
          <w:rFonts w:ascii="Arial" w:hAnsi="Arial"/>
        </w:rPr>
        <w:t xml:space="preserve">que </w:t>
      </w:r>
      <w:r w:rsidR="004C227B">
        <w:rPr>
          <w:rFonts w:ascii="Arial" w:hAnsi="Arial"/>
        </w:rPr>
        <w:t xml:space="preserve">en </w:t>
      </w:r>
      <w:r w:rsidRPr="004C227B">
        <w:rPr>
          <w:rFonts w:ascii="Arial" w:hAnsi="Arial"/>
        </w:rPr>
        <w:t xml:space="preserve">los expedientes de las </w:t>
      </w:r>
      <w:r w:rsidR="00947D60" w:rsidRPr="004C227B">
        <w:rPr>
          <w:rFonts w:ascii="Arial" w:hAnsi="Arial"/>
        </w:rPr>
        <w:t xml:space="preserve">acciones populares </w:t>
      </w:r>
      <w:r w:rsidR="004C227B">
        <w:rPr>
          <w:rFonts w:ascii="Arial" w:hAnsi="Arial"/>
        </w:rPr>
        <w:t xml:space="preserve">no obran </w:t>
      </w:r>
      <w:r w:rsidRPr="004C227B">
        <w:rPr>
          <w:rFonts w:ascii="Arial" w:hAnsi="Arial"/>
        </w:rPr>
        <w:t xml:space="preserve">los </w:t>
      </w:r>
      <w:r w:rsidR="00947D60" w:rsidRPr="004C227B">
        <w:rPr>
          <w:rFonts w:ascii="Arial" w:hAnsi="Arial"/>
        </w:rPr>
        <w:t>certificados de existencia y representación que den cuenta sobre la dirección electrónica</w:t>
      </w:r>
      <w:r w:rsidR="004C227B">
        <w:rPr>
          <w:rFonts w:ascii="Arial" w:hAnsi="Arial"/>
        </w:rPr>
        <w:t xml:space="preserve"> donde las entidades accionadas reciban notificaciones judiciales</w:t>
      </w:r>
      <w:r w:rsidRPr="004C227B">
        <w:rPr>
          <w:rFonts w:ascii="Arial" w:hAnsi="Arial"/>
        </w:rPr>
        <w:t>, requisito</w:t>
      </w:r>
      <w:r w:rsidR="00947D60" w:rsidRPr="004C227B">
        <w:rPr>
          <w:rFonts w:ascii="Arial" w:hAnsi="Arial"/>
        </w:rPr>
        <w:t xml:space="preserve"> indispensable</w:t>
      </w:r>
      <w:r w:rsidRPr="004C227B">
        <w:rPr>
          <w:rFonts w:ascii="Arial" w:hAnsi="Arial"/>
        </w:rPr>
        <w:t>,</w:t>
      </w:r>
      <w:r w:rsidR="00947D60" w:rsidRPr="004C227B">
        <w:rPr>
          <w:rFonts w:ascii="Arial" w:hAnsi="Arial"/>
        </w:rPr>
        <w:t xml:space="preserve"> </w:t>
      </w:r>
      <w:r w:rsidRPr="004C227B">
        <w:rPr>
          <w:rFonts w:ascii="Arial" w:hAnsi="Arial"/>
        </w:rPr>
        <w:t xml:space="preserve">según lo establece </w:t>
      </w:r>
      <w:r w:rsidR="00947D60" w:rsidRPr="004C227B">
        <w:rPr>
          <w:rFonts w:ascii="Arial" w:hAnsi="Arial"/>
        </w:rPr>
        <w:t>el artículo 291-2º del CGP</w:t>
      </w:r>
      <w:r w:rsidR="004C227B" w:rsidRPr="004C227B">
        <w:rPr>
          <w:rFonts w:ascii="Arial" w:hAnsi="Arial"/>
        </w:rPr>
        <w:t xml:space="preserve"> que dice: </w:t>
      </w:r>
      <w:r w:rsidR="004C227B" w:rsidRPr="004C227B">
        <w:rPr>
          <w:rFonts w:ascii="Arial" w:hAnsi="Arial"/>
          <w:sz w:val="22"/>
        </w:rPr>
        <w:t>“</w:t>
      </w:r>
      <w:r w:rsidR="004C227B" w:rsidRPr="004C227B">
        <w:rPr>
          <w:rFonts w:ascii="Arial" w:hAnsi="Arial"/>
          <w:i/>
          <w:sz w:val="22"/>
        </w:rPr>
        <w:t>(…) Las personas jurídicas de derecho privado y los comerciantes inscritos en el registro mercantil (…) deberán registrar, además, una dirección electrónica (…)”</w:t>
      </w:r>
      <w:r w:rsidR="004C227B" w:rsidRPr="004C227B">
        <w:rPr>
          <w:rFonts w:ascii="Arial" w:hAnsi="Arial"/>
          <w:sz w:val="22"/>
        </w:rPr>
        <w:t xml:space="preserve"> </w:t>
      </w:r>
      <w:r w:rsidR="00947D60" w:rsidRPr="004C227B">
        <w:rPr>
          <w:rFonts w:ascii="Arial" w:hAnsi="Arial"/>
          <w:sz w:val="22"/>
        </w:rPr>
        <w:t xml:space="preserve">. </w:t>
      </w:r>
      <w:r w:rsidR="004C227B" w:rsidRPr="004C227B">
        <w:rPr>
          <w:rFonts w:ascii="Arial" w:hAnsi="Arial"/>
        </w:rPr>
        <w:t xml:space="preserve">Además, </w:t>
      </w:r>
      <w:r w:rsidR="004C227B">
        <w:rPr>
          <w:rFonts w:ascii="Arial" w:hAnsi="Arial"/>
        </w:rPr>
        <w:t>so</w:t>
      </w:r>
      <w:r w:rsidR="00251FE0">
        <w:rPr>
          <w:rFonts w:ascii="Arial" w:hAnsi="Arial"/>
        </w:rPr>
        <w:t>n</w:t>
      </w:r>
      <w:r w:rsidR="004C227B">
        <w:rPr>
          <w:rFonts w:ascii="Arial" w:hAnsi="Arial"/>
        </w:rPr>
        <w:t xml:space="preserve"> in</w:t>
      </w:r>
      <w:r w:rsidR="004C227B" w:rsidRPr="004C227B">
        <w:rPr>
          <w:rFonts w:ascii="Arial" w:hAnsi="Arial"/>
        </w:rPr>
        <w:t xml:space="preserve">existen solicitudes o memoriales del actor en </w:t>
      </w:r>
      <w:r w:rsidR="00251FE0">
        <w:rPr>
          <w:rFonts w:ascii="Arial" w:hAnsi="Arial"/>
        </w:rPr>
        <w:t xml:space="preserve">ese </w:t>
      </w:r>
      <w:r w:rsidR="004C227B" w:rsidRPr="004C227B">
        <w:rPr>
          <w:rFonts w:ascii="Arial" w:hAnsi="Arial"/>
        </w:rPr>
        <w:t>sentido.</w:t>
      </w:r>
      <w:r w:rsidR="004C227B">
        <w:rPr>
          <w:rFonts w:ascii="Arial" w:hAnsi="Arial"/>
          <w:sz w:val="22"/>
        </w:rPr>
        <w:t xml:space="preserve">  </w:t>
      </w:r>
    </w:p>
    <w:p w:rsidR="004C227B" w:rsidRDefault="004C227B" w:rsidP="00EA7B29">
      <w:pPr>
        <w:spacing w:line="360" w:lineRule="auto"/>
        <w:ind w:right="51"/>
        <w:jc w:val="both"/>
        <w:rPr>
          <w:rFonts w:ascii="Arial" w:hAnsi="Arial"/>
          <w:sz w:val="22"/>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08790B" w:rsidRPr="0008790B" w:rsidRDefault="0008790B" w:rsidP="004C227B">
      <w:pPr>
        <w:widowControl/>
        <w:spacing w:line="360" w:lineRule="auto"/>
        <w:jc w:val="both"/>
        <w:rPr>
          <w:rFonts w:ascii="Arial" w:hAnsi="Arial" w:cs="Arial"/>
          <w:sz w:val="20"/>
          <w:szCs w:val="20"/>
        </w:rPr>
      </w:pPr>
    </w:p>
    <w:p w:rsidR="00CB3037" w:rsidRDefault="00CB3037" w:rsidP="004C227B">
      <w:pPr>
        <w:widowControl/>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251FE0">
        <w:rPr>
          <w:rFonts w:ascii="Arial" w:hAnsi="Arial" w:cs="Arial"/>
        </w:rPr>
        <w:t>n</w:t>
      </w:r>
      <w:r w:rsidR="00D75C31">
        <w:rPr>
          <w:rFonts w:ascii="Arial" w:hAnsi="Arial" w:cs="Arial"/>
        </w:rPr>
        <w:t xml:space="preserve"> </w:t>
      </w:r>
      <w:r w:rsidR="00251FE0">
        <w:rPr>
          <w:rFonts w:ascii="Arial" w:hAnsi="Arial" w:cs="Arial"/>
        </w:rPr>
        <w:t xml:space="preserve">los </w:t>
      </w:r>
      <w:r w:rsidR="00D75C31">
        <w:rPr>
          <w:rFonts w:ascii="Arial" w:hAnsi="Arial" w:cs="Arial"/>
        </w:rPr>
        <w:t>amparo</w:t>
      </w:r>
      <w:r w:rsidR="00251FE0">
        <w:rPr>
          <w:rFonts w:ascii="Arial" w:hAnsi="Arial" w:cs="Arial"/>
        </w:rPr>
        <w:t>s</w:t>
      </w:r>
      <w:r w:rsidR="00D75C31">
        <w:rPr>
          <w:rFonts w:ascii="Arial" w:hAnsi="Arial" w:cs="Arial"/>
        </w:rPr>
        <w:t xml:space="preserve"> constitucional</w:t>
      </w:r>
      <w:r w:rsidR="00251FE0">
        <w:rPr>
          <w:rFonts w:ascii="Arial" w:hAnsi="Arial" w:cs="Arial"/>
        </w:rPr>
        <w:t>es</w:t>
      </w:r>
      <w:r w:rsidR="009E5FC3">
        <w:rPr>
          <w:rFonts w:ascii="Arial" w:hAnsi="Arial" w:cs="Arial"/>
        </w:rPr>
        <w:t xml:space="preserve"> </w:t>
      </w:r>
      <w:r w:rsidR="00D75C31">
        <w:rPr>
          <w:rFonts w:ascii="Arial" w:hAnsi="Arial" w:cs="Arial"/>
        </w:rPr>
        <w:t xml:space="preserve">frente al Juzgado </w:t>
      </w:r>
      <w:r w:rsidR="004670DA">
        <w:rPr>
          <w:rFonts w:ascii="Arial" w:hAnsi="Arial" w:cs="Arial"/>
        </w:rPr>
        <w:t>Tercero</w:t>
      </w:r>
      <w:r w:rsidR="00D75C31">
        <w:rPr>
          <w:rFonts w:ascii="Arial" w:hAnsi="Arial" w:cs="Arial"/>
        </w:rPr>
        <w:t xml:space="preserve"> Civil del Circuito de </w:t>
      </w:r>
      <w:r w:rsidR="00D75C31">
        <w:rPr>
          <w:rFonts w:ascii="Arial" w:hAnsi="Arial" w:cs="Arial"/>
        </w:rPr>
        <w:lastRenderedPageBreak/>
        <w:t>Pereira</w:t>
      </w:r>
      <w:r w:rsidR="00443C1C">
        <w:rPr>
          <w:rFonts w:ascii="Arial" w:hAnsi="Arial" w:cs="Arial"/>
        </w:rPr>
        <w:t xml:space="preserve">, </w:t>
      </w:r>
      <w:r w:rsidR="004C227B">
        <w:rPr>
          <w:rFonts w:ascii="Arial" w:hAnsi="Arial" w:cs="Arial"/>
        </w:rPr>
        <w:t>por inexistencia de vulneración o amenaza a los derechos fundamentales invocados</w:t>
      </w:r>
      <w:r w:rsidR="00D75C31">
        <w:rPr>
          <w:rFonts w:ascii="Arial" w:hAnsi="Arial" w:cs="Arial"/>
        </w:rPr>
        <w:t xml:space="preserve">; </w:t>
      </w:r>
      <w:r w:rsidR="007B7681">
        <w:rPr>
          <w:rFonts w:ascii="Arial" w:hAnsi="Arial" w:cs="Arial"/>
        </w:rPr>
        <w:t>(ii) Se declarará</w:t>
      </w:r>
      <w:r w:rsidR="00251FE0">
        <w:rPr>
          <w:rFonts w:ascii="Arial" w:hAnsi="Arial" w:cs="Arial"/>
        </w:rPr>
        <w:t>n</w:t>
      </w:r>
      <w:r w:rsidR="007B7681">
        <w:rPr>
          <w:rFonts w:ascii="Arial" w:hAnsi="Arial" w:cs="Arial"/>
        </w:rPr>
        <w:t xml:space="preserve"> improcedente</w:t>
      </w:r>
      <w:r w:rsidR="00251FE0">
        <w:rPr>
          <w:rFonts w:ascii="Arial" w:hAnsi="Arial" w:cs="Arial"/>
        </w:rPr>
        <w:t>s</w:t>
      </w:r>
      <w:r w:rsidR="007B7681">
        <w:rPr>
          <w:rFonts w:ascii="Arial" w:hAnsi="Arial" w:cs="Arial"/>
        </w:rPr>
        <w:t xml:space="preserve"> respecto </w:t>
      </w:r>
      <w:r w:rsidR="00251FE0">
        <w:rPr>
          <w:rFonts w:ascii="Arial" w:hAnsi="Arial" w:cs="Arial"/>
        </w:rPr>
        <w:t xml:space="preserve">a </w:t>
      </w:r>
      <w:r w:rsidR="004C227B">
        <w:rPr>
          <w:rFonts w:ascii="Arial" w:hAnsi="Arial" w:cs="Arial"/>
        </w:rPr>
        <w:t xml:space="preserve">las Defensorías del Pueblo y las Procuradurías Generales de la Nación, Regionales del Valle del Cauca y de Santander, y las Alcaldía y Personerías de Sevilla, V. y Floridablanca, S; y, </w:t>
      </w:r>
      <w:r w:rsidR="00D75C31">
        <w:rPr>
          <w:rFonts w:ascii="Arial" w:hAnsi="Arial" w:cs="Arial"/>
        </w:rPr>
        <w:t>(</w:t>
      </w:r>
      <w:r w:rsidR="00C649C3">
        <w:rPr>
          <w:rFonts w:ascii="Arial" w:hAnsi="Arial" w:cs="Arial"/>
        </w:rPr>
        <w:t>i</w:t>
      </w:r>
      <w:r w:rsidR="008441AD">
        <w:rPr>
          <w:rFonts w:ascii="Arial" w:hAnsi="Arial" w:cs="Arial"/>
        </w:rPr>
        <w:t>ii</w:t>
      </w:r>
      <w:r w:rsidR="00D75C31">
        <w:rPr>
          <w:rFonts w:ascii="Arial" w:hAnsi="Arial" w:cs="Arial"/>
        </w:rPr>
        <w:t xml:space="preserve">) Se </w:t>
      </w:r>
      <w:r w:rsidR="004C227B">
        <w:rPr>
          <w:rFonts w:ascii="Arial" w:hAnsi="Arial" w:cs="Arial"/>
        </w:rPr>
        <w:t xml:space="preserve">negarán </w:t>
      </w:r>
      <w:r w:rsidR="00251FE0">
        <w:rPr>
          <w:rFonts w:ascii="Arial" w:hAnsi="Arial" w:cs="Arial"/>
        </w:rPr>
        <w:t xml:space="preserve">las tutelas </w:t>
      </w:r>
      <w:r w:rsidR="004C227B">
        <w:rPr>
          <w:rFonts w:ascii="Arial" w:hAnsi="Arial" w:cs="Arial"/>
        </w:rPr>
        <w:t>frente al señor Leandro Giraldo</w:t>
      </w:r>
      <w:r w:rsidR="00C649C3">
        <w:rPr>
          <w:rFonts w:ascii="Arial" w:hAnsi="Arial" w:cs="Arial"/>
        </w:rPr>
        <w:t>.</w:t>
      </w:r>
    </w:p>
    <w:p w:rsidR="00CB3037" w:rsidRPr="005041CA" w:rsidRDefault="00CB3037" w:rsidP="00CB303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2C127D" w:rsidRDefault="002C127D" w:rsidP="002C127D">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la</w:t>
      </w:r>
      <w:r w:rsidR="00251FE0">
        <w:rPr>
          <w:rFonts w:ascii="Arial" w:hAnsi="Arial" w:cs="Arial"/>
          <w:lang w:val="es-CO"/>
        </w:rPr>
        <w:t>s</w:t>
      </w:r>
      <w:r>
        <w:rPr>
          <w:rFonts w:ascii="Arial" w:hAnsi="Arial" w:cs="Arial"/>
          <w:lang w:val="es-CO"/>
        </w:rPr>
        <w:t xml:space="preserve"> </w:t>
      </w:r>
      <w:r w:rsidRPr="002C127D">
        <w:rPr>
          <w:rFonts w:ascii="Arial" w:hAnsi="Arial" w:cs="Arial"/>
          <w:lang w:val="es-CO"/>
        </w:rPr>
        <w:t>tutela</w:t>
      </w:r>
      <w:r w:rsidR="00251FE0">
        <w:rPr>
          <w:rFonts w:ascii="Arial" w:hAnsi="Arial" w:cs="Arial"/>
          <w:lang w:val="es-CO"/>
        </w:rPr>
        <w:t>s</w:t>
      </w:r>
      <w:r w:rsidRPr="002C127D">
        <w:rPr>
          <w:rFonts w:ascii="Arial" w:hAnsi="Arial" w:cs="Arial"/>
          <w:lang w:val="es-CO"/>
        </w:rPr>
        <w:t xml:space="preserve"> propuesta</w:t>
      </w:r>
      <w:r w:rsidR="00251FE0">
        <w:rPr>
          <w:rFonts w:ascii="Arial" w:hAnsi="Arial" w:cs="Arial"/>
          <w:lang w:val="es-CO"/>
        </w:rPr>
        <w:t>s</w:t>
      </w:r>
      <w:r w:rsidRPr="002C127D">
        <w:rPr>
          <w:rFonts w:ascii="Arial" w:hAnsi="Arial" w:cs="Arial"/>
          <w:lang w:val="es-CO"/>
        </w:rPr>
        <w:t xml:space="preserve"> por 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contra el Juzgado </w:t>
      </w:r>
      <w:r>
        <w:rPr>
          <w:rFonts w:ascii="Arial" w:hAnsi="Arial" w:cs="Arial"/>
          <w:lang w:val="es-CO"/>
        </w:rPr>
        <w:t xml:space="preserve">Tercero </w:t>
      </w:r>
      <w:r w:rsidRPr="002C127D">
        <w:rPr>
          <w:rFonts w:ascii="Arial" w:hAnsi="Arial" w:cs="Arial"/>
          <w:lang w:val="es-CO"/>
        </w:rPr>
        <w:t>Civil del Circuito de Pereira</w:t>
      </w:r>
      <w:r>
        <w:rPr>
          <w:rFonts w:ascii="Arial" w:hAnsi="Arial" w:cs="Arial"/>
          <w:lang w:val="es-CO"/>
        </w:rPr>
        <w:t xml:space="preserve"> </w:t>
      </w:r>
      <w:r w:rsidR="004C227B">
        <w:rPr>
          <w:rFonts w:ascii="Arial" w:hAnsi="Arial" w:cs="Arial"/>
          <w:lang w:val="es-CO"/>
        </w:rPr>
        <w:t xml:space="preserve">y el señor Leandro Giraldo </w:t>
      </w:r>
      <w:r w:rsidR="00A14C8D">
        <w:rPr>
          <w:rFonts w:ascii="Arial" w:hAnsi="Arial" w:cs="Arial"/>
        </w:rPr>
        <w:t xml:space="preserve">por inexistencia de vulneración o amenaza </w:t>
      </w:r>
      <w:r w:rsidR="004C227B">
        <w:rPr>
          <w:rFonts w:ascii="Arial" w:hAnsi="Arial" w:cs="Arial"/>
        </w:rPr>
        <w:t>de los derechos fundamentales invocados</w:t>
      </w:r>
      <w:r w:rsidRPr="002C127D">
        <w:rPr>
          <w:rFonts w:ascii="Arial" w:hAnsi="Arial" w:cs="Arial"/>
        </w:rPr>
        <w:t>.</w:t>
      </w:r>
    </w:p>
    <w:p w:rsidR="00A14C8D" w:rsidRPr="002C127D" w:rsidRDefault="00A14C8D" w:rsidP="00A14C8D">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AA4EC8" w:rsidP="009102BF">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DECLARAR improcedente</w:t>
      </w:r>
      <w:r w:rsidR="00251FE0">
        <w:rPr>
          <w:rFonts w:ascii="Arial" w:hAnsi="Arial" w:cs="Arial"/>
        </w:rPr>
        <w:t>s</w:t>
      </w:r>
      <w:r>
        <w:rPr>
          <w:rFonts w:ascii="Arial" w:hAnsi="Arial" w:cs="Arial"/>
        </w:rPr>
        <w:t xml:space="preserve"> </w:t>
      </w:r>
      <w:r w:rsidR="00251FE0">
        <w:rPr>
          <w:rFonts w:ascii="Arial" w:hAnsi="Arial" w:cs="Arial"/>
        </w:rPr>
        <w:t xml:space="preserve">los </w:t>
      </w:r>
      <w:r>
        <w:rPr>
          <w:rFonts w:ascii="Arial" w:hAnsi="Arial" w:cs="Arial"/>
          <w:szCs w:val="24"/>
        </w:rPr>
        <w:t>amparo</w:t>
      </w:r>
      <w:r w:rsidR="00251FE0">
        <w:rPr>
          <w:rFonts w:ascii="Arial" w:hAnsi="Arial" w:cs="Arial"/>
          <w:szCs w:val="24"/>
        </w:rPr>
        <w:t xml:space="preserve">s constitucionales </w:t>
      </w:r>
      <w:r w:rsidR="009102BF">
        <w:rPr>
          <w:rFonts w:ascii="Arial" w:hAnsi="Arial" w:cs="Arial"/>
          <w:szCs w:val="24"/>
        </w:rPr>
        <w:t>frente</w:t>
      </w:r>
      <w:r w:rsidR="00251FE0">
        <w:rPr>
          <w:rFonts w:ascii="Arial" w:hAnsi="Arial" w:cs="Arial"/>
          <w:szCs w:val="24"/>
        </w:rPr>
        <w:t xml:space="preserve"> a</w:t>
      </w:r>
      <w:r w:rsidR="009102BF">
        <w:rPr>
          <w:rFonts w:ascii="Arial" w:hAnsi="Arial" w:cs="Arial"/>
          <w:szCs w:val="24"/>
        </w:rPr>
        <w:t xml:space="preserve"> </w:t>
      </w:r>
      <w:r w:rsidR="004C227B">
        <w:rPr>
          <w:rFonts w:ascii="Arial" w:hAnsi="Arial" w:cs="Arial"/>
        </w:rPr>
        <w:t>las Defensorías del Pueblo y las Procuradurías Generales de la Nación, Regionales del Valle del Cauca y de Santander, y las Alcaldía y Personerías de Sevilla, V. y Floridablanca, S</w:t>
      </w:r>
      <w:r w:rsidR="0066173D">
        <w:rPr>
          <w:rFonts w:ascii="Arial" w:hAnsi="Arial" w:cs="Arial"/>
        </w:rPr>
        <w:t>, según lo expuesto en la parte motiva</w:t>
      </w:r>
      <w:r w:rsidR="009102BF">
        <w:rPr>
          <w:rFonts w:ascii="Arial" w:hAnsi="Arial" w:cs="Arial"/>
          <w:szCs w:val="24"/>
        </w:rPr>
        <w:t>.</w:t>
      </w:r>
    </w:p>
    <w:p w:rsidR="007657D5" w:rsidRPr="001E5C81" w:rsidRDefault="007657D5" w:rsidP="009102B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08790B" w:rsidRPr="00A30437" w:rsidRDefault="0008790B" w:rsidP="0008790B">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Corpsdetexte"/>
        <w:spacing w:line="360" w:lineRule="auto"/>
        <w:jc w:val="center"/>
        <w:rPr>
          <w:rFonts w:ascii="Arial" w:hAnsi="Arial"/>
          <w:sz w:val="22"/>
          <w:szCs w:val="24"/>
          <w:lang w:val="en-US"/>
        </w:rPr>
      </w:pPr>
    </w:p>
    <w:p w:rsidR="003E66CE" w:rsidRPr="000E7284" w:rsidRDefault="003E66CE" w:rsidP="00417DA5">
      <w:pPr>
        <w:pStyle w:val="Corpsdetexte"/>
        <w:spacing w:line="360" w:lineRule="auto"/>
        <w:jc w:val="center"/>
        <w:rPr>
          <w:rFonts w:ascii="Arial" w:hAnsi="Arial"/>
          <w:sz w:val="22"/>
          <w:szCs w:val="24"/>
          <w:lang w:val="en-US"/>
        </w:rPr>
      </w:pPr>
    </w:p>
    <w:p w:rsidR="00B30152" w:rsidRPr="000E7284" w:rsidRDefault="00B30152" w:rsidP="00417DA5">
      <w:pPr>
        <w:pStyle w:val="Corpsdetex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66173D">
        <w:rPr>
          <w:rFonts w:ascii="Arial" w:hAnsi="Arial"/>
          <w:w w:val="150"/>
          <w:sz w:val="8"/>
          <w:szCs w:val="10"/>
          <w:lang w:val="en-US"/>
        </w:rPr>
        <w:t>JEGG</w:t>
      </w:r>
      <w:r w:rsidR="005C4C0F">
        <w:rPr>
          <w:rFonts w:ascii="Arial" w:hAnsi="Arial"/>
          <w:w w:val="150"/>
          <w:sz w:val="8"/>
          <w:szCs w:val="10"/>
          <w:lang w:val="en-US"/>
        </w:rPr>
        <w:t>/2016</w:t>
      </w:r>
      <w:bookmarkStart w:id="0" w:name="_GoBack"/>
      <w:bookmarkEnd w:id="0"/>
    </w:p>
    <w:sectPr w:rsidR="00C87D22" w:rsidSect="00502D4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9F" w:rsidRDefault="00AA649F" w:rsidP="0099045D">
      <w:r>
        <w:separator/>
      </w:r>
    </w:p>
  </w:endnote>
  <w:endnote w:type="continuationSeparator" w:id="0">
    <w:p w:rsidR="00AA649F" w:rsidRDefault="00AA649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9F" w:rsidRDefault="00AA649F" w:rsidP="0099045D">
      <w:r>
        <w:separator/>
      </w:r>
    </w:p>
  </w:footnote>
  <w:footnote w:type="continuationSeparator" w:id="0">
    <w:p w:rsidR="00AA649F" w:rsidRDefault="00AA649F" w:rsidP="0099045D">
      <w:r>
        <w:continuationSeparator/>
      </w:r>
    </w:p>
  </w:footnote>
  <w:footnote w:id="1">
    <w:p w:rsidR="00066B58" w:rsidRDefault="00066B58" w:rsidP="00CD3E18">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066B58" w:rsidRPr="00567558" w:rsidRDefault="00066B58" w:rsidP="00CD3E18">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066B58" w:rsidRPr="00567558" w:rsidRDefault="00066B58" w:rsidP="00CD3E18">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066B58" w:rsidRPr="00FF68BE" w:rsidRDefault="00066B58" w:rsidP="00CD3E18">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066B58" w:rsidRPr="005D1B2D" w:rsidRDefault="00066B58" w:rsidP="00CD3E18">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066B58" w:rsidRPr="00567558" w:rsidRDefault="00066B58" w:rsidP="00CD3E18">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066B58" w:rsidRDefault="00066B58" w:rsidP="00CD3E18">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066B58" w:rsidRPr="00653484"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653484">
        <w:rPr>
          <w:rFonts w:asciiTheme="minorHAnsi" w:hAnsiTheme="minorHAnsi" w:cs="Calibri"/>
          <w:lang w:val="fr-FR"/>
        </w:rPr>
        <w:t xml:space="preserve"> CC. Sentencia T-231 de 1994.</w:t>
      </w:r>
    </w:p>
  </w:footnote>
  <w:footnote w:id="9">
    <w:p w:rsidR="00066B58" w:rsidRPr="00653484"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653484">
        <w:rPr>
          <w:rFonts w:asciiTheme="minorHAnsi" w:hAnsiTheme="minorHAnsi" w:cs="Calibri"/>
          <w:lang w:val="fr-FR"/>
        </w:rPr>
        <w:t xml:space="preserve"> CC. Sentencia T-831 de 2012.</w:t>
      </w:r>
    </w:p>
  </w:footnote>
  <w:footnote w:id="10">
    <w:p w:rsidR="00066B58" w:rsidRPr="00052412" w:rsidRDefault="00066B58"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066B58" w:rsidRPr="00653484"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653484">
        <w:rPr>
          <w:rFonts w:asciiTheme="minorHAnsi" w:hAnsiTheme="minorHAnsi"/>
          <w:lang w:val="fr-FR"/>
        </w:rPr>
        <w:t xml:space="preserve"> </w:t>
      </w:r>
      <w:r w:rsidRPr="00653484">
        <w:rPr>
          <w:rFonts w:asciiTheme="minorHAnsi" w:hAnsiTheme="minorHAnsi" w:cs="Calibri"/>
          <w:lang w:val="fr-FR"/>
        </w:rPr>
        <w:t>CC</w:t>
      </w:r>
      <w:r w:rsidRPr="00653484">
        <w:rPr>
          <w:rFonts w:asciiTheme="minorHAnsi" w:hAnsiTheme="minorHAnsi"/>
          <w:lang w:val="fr-FR"/>
        </w:rPr>
        <w:t>. Sentencia T-573 de 1997.</w:t>
      </w:r>
    </w:p>
  </w:footnote>
  <w:footnote w:id="12">
    <w:p w:rsidR="00066B58" w:rsidRPr="00653484"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653484">
        <w:rPr>
          <w:rFonts w:asciiTheme="minorHAnsi" w:hAnsiTheme="minorHAnsi"/>
          <w:lang w:val="fr-FR"/>
        </w:rPr>
        <w:t xml:space="preserve"> </w:t>
      </w:r>
      <w:r w:rsidRPr="00653484">
        <w:rPr>
          <w:rFonts w:asciiTheme="minorHAnsi" w:hAnsiTheme="minorHAnsi" w:cs="Calibri"/>
          <w:lang w:val="fr-FR"/>
        </w:rPr>
        <w:t>CC</w:t>
      </w:r>
      <w:r w:rsidRPr="00653484">
        <w:rPr>
          <w:rFonts w:asciiTheme="minorHAnsi" w:hAnsiTheme="minorHAnsi"/>
          <w:lang w:val="fr-FR"/>
        </w:rPr>
        <w:t>. Sentencia T-567 de 1998.</w:t>
      </w:r>
    </w:p>
  </w:footnote>
  <w:footnote w:id="13">
    <w:p w:rsidR="00066B58" w:rsidRPr="000A1B5D" w:rsidRDefault="00066B58" w:rsidP="00765006">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14">
    <w:p w:rsidR="00066B58" w:rsidRPr="000A1B5D" w:rsidRDefault="00066B58" w:rsidP="00765006">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15">
    <w:p w:rsidR="00066B58" w:rsidRPr="00993BE7" w:rsidRDefault="00066B58" w:rsidP="00765006">
      <w:pPr>
        <w:pStyle w:val="Notedebasdepage"/>
        <w:rPr>
          <w:rFonts w:asciiTheme="minorHAnsi" w:hAnsiTheme="minorHAnsi" w:cs="Calibri"/>
          <w:lang w:val="es-MX"/>
        </w:rPr>
      </w:pPr>
      <w:r>
        <w:rPr>
          <w:rStyle w:val="Appelnotedebasdep"/>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16">
    <w:p w:rsidR="00066B58" w:rsidRPr="003F120A" w:rsidRDefault="00066B58"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17">
    <w:p w:rsidR="00EE419D" w:rsidRPr="000D1189" w:rsidRDefault="00EE419D" w:rsidP="00EE419D">
      <w:pPr>
        <w:pStyle w:val="Default"/>
        <w:jc w:val="both"/>
        <w:rPr>
          <w:rFonts w:asciiTheme="minorHAnsi" w:hAnsiTheme="minorHAnsi"/>
          <w:sz w:val="20"/>
          <w:szCs w:val="20"/>
        </w:rPr>
      </w:pPr>
      <w:r w:rsidRPr="000D1189">
        <w:rPr>
          <w:rStyle w:val="Appelnotedebasdep"/>
          <w:rFonts w:asciiTheme="minorHAnsi" w:hAnsiTheme="minorHAnsi"/>
          <w:sz w:val="20"/>
          <w:szCs w:val="20"/>
        </w:rPr>
        <w:footnoteRef/>
      </w:r>
      <w:r w:rsidRPr="000D1189">
        <w:rPr>
          <w:rFonts w:asciiTheme="minorHAnsi" w:hAnsiTheme="minorHAnsi"/>
          <w:sz w:val="20"/>
          <w:szCs w:val="20"/>
        </w:rPr>
        <w:t xml:space="preserve"> </w:t>
      </w:r>
      <w:r>
        <w:rPr>
          <w:rFonts w:asciiTheme="minorHAnsi" w:hAnsiTheme="minorHAnsi" w:cs="Calibri"/>
          <w:sz w:val="20"/>
          <w:szCs w:val="20"/>
        </w:rPr>
        <w:t>CE,</w:t>
      </w:r>
      <w:r w:rsidRPr="000D1189">
        <w:rPr>
          <w:rFonts w:asciiTheme="minorHAnsi" w:hAnsiTheme="minorHAnsi" w:cs="Calibri"/>
          <w:sz w:val="20"/>
          <w:szCs w:val="20"/>
        </w:rPr>
        <w:t xml:space="preserve"> Contencioso Administrativo, Sección Primera</w:t>
      </w:r>
      <w:r>
        <w:rPr>
          <w:rFonts w:asciiTheme="minorHAnsi" w:hAnsiTheme="minorHAnsi" w:cs="Calibri"/>
          <w:sz w:val="20"/>
          <w:szCs w:val="20"/>
        </w:rPr>
        <w:t>.</w:t>
      </w:r>
      <w:r w:rsidRPr="000D1189">
        <w:rPr>
          <w:rFonts w:asciiTheme="minorHAnsi" w:hAnsiTheme="minorHAnsi" w:cs="Calibri"/>
          <w:sz w:val="20"/>
          <w:szCs w:val="20"/>
        </w:rPr>
        <w:t xml:space="preserve"> Sentencia 19-11-2009, CP (E): María Claudia Rojas Lasso.</w:t>
      </w:r>
      <w:r w:rsidRPr="000D1189">
        <w:rPr>
          <w:rFonts w:asciiTheme="minorHAnsi" w:hAnsiTheme="minorHAnsi"/>
          <w:sz w:val="20"/>
          <w:szCs w:val="20"/>
        </w:rPr>
        <w:t xml:space="preserve"> </w:t>
      </w:r>
      <w:proofErr w:type="spellStart"/>
      <w:r w:rsidRPr="000D1189">
        <w:rPr>
          <w:rFonts w:asciiTheme="minorHAnsi" w:hAnsiTheme="minorHAnsi"/>
          <w:sz w:val="20"/>
          <w:szCs w:val="20"/>
        </w:rPr>
        <w:t>exp</w:t>
      </w:r>
      <w:proofErr w:type="spellEnd"/>
      <w:r w:rsidRPr="000D1189">
        <w:rPr>
          <w:rFonts w:asciiTheme="minorHAnsi" w:hAnsiTheme="minorHAnsi"/>
          <w:sz w:val="20"/>
          <w:szCs w:val="20"/>
        </w:rPr>
        <w:t xml:space="preserve">. </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18">
    <w:p w:rsidR="00EE419D" w:rsidRPr="000D1189" w:rsidRDefault="00EE419D" w:rsidP="00EE419D">
      <w:pPr>
        <w:jc w:val="both"/>
        <w:rPr>
          <w:rFonts w:asciiTheme="minorHAnsi" w:hAnsiTheme="minorHAnsi" w:cs="Arial"/>
          <w:sz w:val="20"/>
          <w:szCs w:val="20"/>
          <w:lang w:val="es-CO"/>
        </w:rPr>
      </w:pPr>
      <w:r w:rsidRPr="007F7973">
        <w:rPr>
          <w:rStyle w:val="Appelnotedebasdep"/>
          <w:rFonts w:asciiTheme="minorHAnsi" w:hAnsiTheme="minorHAnsi" w:cs="Arial"/>
          <w:sz w:val="20"/>
          <w:szCs w:val="20"/>
        </w:rPr>
        <w:footnoteRef/>
      </w:r>
      <w:r w:rsidRPr="007F7973">
        <w:rPr>
          <w:rFonts w:asciiTheme="minorHAnsi" w:hAnsiTheme="minorHAnsi" w:cs="Arial"/>
          <w:sz w:val="20"/>
          <w:szCs w:val="20"/>
        </w:rPr>
        <w:t xml:space="preserve"> </w:t>
      </w:r>
      <w:r>
        <w:rPr>
          <w:rFonts w:asciiTheme="minorHAnsi" w:hAnsiTheme="minorHAnsi" w:cs="Arial"/>
          <w:sz w:val="20"/>
          <w:szCs w:val="20"/>
          <w:lang w:val="es-CO"/>
        </w:rPr>
        <w:t>CSJ,</w:t>
      </w:r>
      <w:r w:rsidRPr="007F7973">
        <w:rPr>
          <w:rFonts w:asciiTheme="minorHAnsi" w:hAnsiTheme="minorHAnsi" w:cs="Arial"/>
          <w:sz w:val="20"/>
          <w:szCs w:val="20"/>
          <w:lang w:val="es-CO"/>
        </w:rPr>
        <w:t xml:space="preserve"> Civil</w:t>
      </w:r>
      <w:r>
        <w:rPr>
          <w:rFonts w:asciiTheme="minorHAnsi" w:hAnsiTheme="minorHAnsi" w:cs="Arial"/>
          <w:sz w:val="20"/>
          <w:szCs w:val="20"/>
          <w:lang w:val="es-CO"/>
        </w:rPr>
        <w:t>.</w:t>
      </w:r>
      <w:r w:rsidRPr="007F7973">
        <w:rPr>
          <w:rFonts w:asciiTheme="minorHAnsi" w:hAnsiTheme="minorHAnsi" w:cs="Arial"/>
          <w:sz w:val="20"/>
          <w:szCs w:val="20"/>
          <w:lang w:val="es-CO"/>
        </w:rPr>
        <w:t xml:space="preserve"> Sentencia del 03-03-2011, MP: Arturo Solarte </w:t>
      </w:r>
      <w:r>
        <w:rPr>
          <w:rFonts w:asciiTheme="minorHAnsi" w:hAnsiTheme="minorHAnsi" w:cs="Arial"/>
          <w:sz w:val="20"/>
          <w:szCs w:val="20"/>
          <w:lang w:val="es-CO"/>
        </w:rPr>
        <w:t>R.</w:t>
      </w:r>
      <w:r w:rsidRPr="007F7973">
        <w:rPr>
          <w:rFonts w:asciiTheme="minorHAnsi" w:hAnsiTheme="minorHAnsi" w:cs="Arial"/>
          <w:sz w:val="20"/>
          <w:szCs w:val="20"/>
          <w:lang w:val="es-CO"/>
        </w:rPr>
        <w:t xml:space="preserve">; </w:t>
      </w:r>
      <w:proofErr w:type="spellStart"/>
      <w:r w:rsidRPr="007F7973">
        <w:rPr>
          <w:rFonts w:asciiTheme="minorHAnsi" w:hAnsiTheme="minorHAnsi" w:cs="Arial"/>
          <w:sz w:val="20"/>
          <w:szCs w:val="20"/>
          <w:lang w:val="es-CO"/>
        </w:rPr>
        <w:t>exp</w:t>
      </w:r>
      <w:proofErr w:type="spellEnd"/>
      <w:r w:rsidRPr="007F7973">
        <w:rPr>
          <w:rFonts w:asciiTheme="minorHAnsi" w:hAnsiTheme="minorHAnsi" w:cs="Arial"/>
          <w:sz w:val="20"/>
          <w:szCs w:val="20"/>
          <w:lang w:val="es-CO"/>
        </w:rPr>
        <w:t>. No.11001-22-03-000-2011-00029-01, reiterada en la sentencia STC7441-2016.</w:t>
      </w:r>
    </w:p>
  </w:footnote>
  <w:footnote w:id="19">
    <w:p w:rsidR="00EE419D" w:rsidRPr="000D1189" w:rsidRDefault="00EE419D" w:rsidP="00EE419D">
      <w:pPr>
        <w:pStyle w:val="Notedebasdepage"/>
        <w:rPr>
          <w:rFonts w:asciiTheme="minorHAnsi" w:hAnsiTheme="minorHAnsi"/>
          <w:lang w:val="es-CO"/>
        </w:rPr>
      </w:pPr>
      <w:r w:rsidRPr="000D1189">
        <w:rPr>
          <w:rStyle w:val="Appelnotedebasdep"/>
          <w:rFonts w:asciiTheme="minorHAnsi" w:hAnsiTheme="minorHAnsi"/>
        </w:rPr>
        <w:footnoteRef/>
      </w:r>
      <w:r w:rsidRPr="000D1189">
        <w:rPr>
          <w:rFonts w:asciiTheme="minorHAnsi" w:hAnsiTheme="minorHAnsi"/>
        </w:rPr>
        <w:t xml:space="preserve"> </w:t>
      </w:r>
      <w:r>
        <w:rPr>
          <w:rFonts w:asciiTheme="minorHAnsi" w:hAnsiTheme="minorHAnsi" w:cs="Calibri"/>
        </w:rPr>
        <w:t>CE,</w:t>
      </w:r>
      <w:r w:rsidRPr="000D1189">
        <w:rPr>
          <w:rFonts w:asciiTheme="minorHAnsi" w:hAnsiTheme="minorHAnsi" w:cs="Calibri"/>
        </w:rPr>
        <w:t xml:space="preserve"> Contencioso Administrativo</w:t>
      </w:r>
      <w:r w:rsidRPr="000D1189">
        <w:rPr>
          <w:rFonts w:asciiTheme="minorHAnsi" w:hAnsiTheme="minorHAnsi"/>
          <w:lang w:val="es-CO"/>
        </w:rPr>
        <w:t xml:space="preserve">, Sección Primera, </w:t>
      </w:r>
      <w:proofErr w:type="spellStart"/>
      <w:r w:rsidRPr="000D1189">
        <w:rPr>
          <w:rFonts w:asciiTheme="minorHAnsi" w:hAnsiTheme="minorHAnsi"/>
          <w:lang w:val="es-CO"/>
        </w:rPr>
        <w:t>exp</w:t>
      </w:r>
      <w:proofErr w:type="spellEnd"/>
      <w:r w:rsidRPr="000D1189">
        <w:rPr>
          <w:rFonts w:asciiTheme="minorHAnsi" w:hAnsiTheme="minorHAnsi"/>
          <w:lang w:val="es-CO"/>
        </w:rPr>
        <w:t>. 2002-01521-01 (AP)</w:t>
      </w:r>
    </w:p>
  </w:footnote>
  <w:footnote w:id="20">
    <w:p w:rsidR="00EE419D" w:rsidRPr="00B7649D" w:rsidRDefault="00EE419D" w:rsidP="00EE419D">
      <w:pPr>
        <w:pStyle w:val="Notedebasdepage"/>
        <w:jc w:val="both"/>
        <w:rPr>
          <w:rFonts w:asciiTheme="minorHAnsi" w:hAnsiTheme="minorHAnsi" w:cs="Calibri"/>
          <w:b/>
          <w:bCs/>
        </w:rPr>
      </w:pPr>
      <w:r w:rsidRPr="00140D59">
        <w:rPr>
          <w:rStyle w:val="Appelnotedebasdep"/>
          <w:rFonts w:asciiTheme="minorHAnsi" w:hAnsiTheme="minorHAnsi"/>
        </w:rPr>
        <w:footnoteRef/>
      </w:r>
      <w:r w:rsidRPr="00140D59">
        <w:rPr>
          <w:rFonts w:asciiTheme="minorHAnsi" w:hAnsiTheme="minorHAnsi"/>
        </w:rPr>
        <w:t xml:space="preserve"> </w:t>
      </w:r>
      <w:r>
        <w:rPr>
          <w:rFonts w:asciiTheme="minorHAnsi" w:hAnsiTheme="minorHAnsi" w:cs="Calibri"/>
          <w:lang w:val="es-CO"/>
        </w:rPr>
        <w:t>TSP</w:t>
      </w:r>
      <w:r w:rsidRPr="0063543E">
        <w:rPr>
          <w:rFonts w:asciiTheme="minorHAnsi" w:hAnsiTheme="minorHAnsi" w:cs="Calibri"/>
          <w:lang w:val="es-CO"/>
        </w:rPr>
        <w:t xml:space="preserve">, Civil – Familia. </w:t>
      </w:r>
      <w:r>
        <w:rPr>
          <w:rFonts w:asciiTheme="minorHAnsi" w:hAnsiTheme="minorHAnsi" w:cs="Calibri"/>
          <w:lang w:val="es-CO"/>
        </w:rPr>
        <w:t xml:space="preserve">Sentencias </w:t>
      </w:r>
      <w:r w:rsidRPr="0063543E">
        <w:rPr>
          <w:rFonts w:asciiTheme="minorHAnsi" w:hAnsiTheme="minorHAnsi" w:cs="Calibri"/>
          <w:lang w:val="es-CO"/>
        </w:rPr>
        <w:t>del</w:t>
      </w:r>
      <w:r w:rsidRPr="0063543E">
        <w:rPr>
          <w:rFonts w:asciiTheme="minorHAnsi" w:hAnsiTheme="minorHAnsi" w:cs="Calibri"/>
        </w:rPr>
        <w:t xml:space="preserve"> </w:t>
      </w:r>
      <w:r>
        <w:rPr>
          <w:rFonts w:asciiTheme="minorHAnsi" w:hAnsiTheme="minorHAnsi" w:cs="Calibri"/>
        </w:rPr>
        <w:t xml:space="preserve">13-05-2015, 16-02-2016 y </w:t>
      </w:r>
      <w:r w:rsidRPr="007F7973">
        <w:rPr>
          <w:rFonts w:asciiTheme="minorHAnsi" w:hAnsiTheme="minorHAnsi" w:cs="Arial"/>
          <w:lang w:val="es-CO"/>
        </w:rPr>
        <w:t>12-05-2016</w:t>
      </w:r>
      <w:r>
        <w:rPr>
          <w:rFonts w:asciiTheme="minorHAnsi" w:hAnsiTheme="minorHAnsi" w:cs="Calibri"/>
        </w:rPr>
        <w:t xml:space="preserve">; </w:t>
      </w:r>
      <w:proofErr w:type="spellStart"/>
      <w:r>
        <w:rPr>
          <w:rFonts w:asciiTheme="minorHAnsi" w:hAnsiTheme="minorHAnsi" w:cs="Calibri"/>
        </w:rPr>
        <w:t>MP</w:t>
      </w:r>
      <w:proofErr w:type="spellEnd"/>
      <w:r>
        <w:rPr>
          <w:rFonts w:asciiTheme="minorHAnsi" w:hAnsiTheme="minorHAnsi" w:cs="Calibri"/>
        </w:rPr>
        <w:t xml:space="preserve">: </w:t>
      </w:r>
      <w:proofErr w:type="spellStart"/>
      <w:r>
        <w:rPr>
          <w:rFonts w:asciiTheme="minorHAnsi" w:hAnsiTheme="minorHAnsi" w:cs="Calibri"/>
        </w:rPr>
        <w:t>Duberney</w:t>
      </w:r>
      <w:proofErr w:type="spellEnd"/>
      <w:r>
        <w:rPr>
          <w:rFonts w:asciiTheme="minorHAnsi" w:hAnsiTheme="minorHAnsi" w:cs="Calibri"/>
        </w:rPr>
        <w:t xml:space="preserve"> Grisales H.;</w:t>
      </w:r>
      <w:r w:rsidRPr="0063543E">
        <w:rPr>
          <w:rFonts w:asciiTheme="minorHAnsi" w:hAnsiTheme="minorHAnsi" w:cs="Calibri"/>
        </w:rPr>
        <w:t xml:space="preserve"> </w:t>
      </w:r>
      <w:proofErr w:type="spellStart"/>
      <w:r>
        <w:rPr>
          <w:rFonts w:asciiTheme="minorHAnsi" w:hAnsiTheme="minorHAnsi" w:cs="Calibri"/>
        </w:rPr>
        <w:t>exp</w:t>
      </w:r>
      <w:proofErr w:type="spellEnd"/>
      <w:r>
        <w:rPr>
          <w:rFonts w:asciiTheme="minorHAnsi" w:hAnsiTheme="minorHAnsi" w:cs="Calibri"/>
        </w:rPr>
        <w:t xml:space="preserve">. </w:t>
      </w:r>
      <w:r w:rsidRPr="00140D59">
        <w:rPr>
          <w:rFonts w:asciiTheme="minorHAnsi" w:hAnsiTheme="minorHAnsi" w:cs="Calibri"/>
        </w:rPr>
        <w:t>No.</w:t>
      </w:r>
      <w:r w:rsidRPr="00B7649D">
        <w:rPr>
          <w:rFonts w:asciiTheme="minorHAnsi" w:hAnsiTheme="minorHAnsi" w:cs="Calibri"/>
        </w:rPr>
        <w:t>2015-00133-00</w:t>
      </w:r>
      <w:r>
        <w:rPr>
          <w:rFonts w:asciiTheme="minorHAnsi" w:hAnsiTheme="minorHAnsi" w:cs="Calibri"/>
        </w:rPr>
        <w:t xml:space="preserve">, </w:t>
      </w:r>
      <w:r w:rsidRPr="007F7973">
        <w:rPr>
          <w:rFonts w:asciiTheme="minorHAnsi" w:hAnsiTheme="minorHAnsi" w:cs="Calibri"/>
        </w:rPr>
        <w:t>2016-00182-00</w:t>
      </w:r>
      <w:r>
        <w:rPr>
          <w:rFonts w:asciiTheme="minorHAnsi" w:hAnsiTheme="minorHAnsi" w:cs="Calibri"/>
        </w:rPr>
        <w:t xml:space="preserve"> y </w:t>
      </w:r>
      <w:r w:rsidRPr="007F7973">
        <w:rPr>
          <w:rFonts w:asciiTheme="minorHAnsi" w:hAnsiTheme="minorHAnsi" w:cs="Arial"/>
        </w:rPr>
        <w:t>2016-00507-00</w:t>
      </w:r>
      <w:r>
        <w:rPr>
          <w:rFonts w:asciiTheme="minorHAnsi" w:hAnsiTheme="minorHAnsi" w:cs="Calibri"/>
        </w:rPr>
        <w:t xml:space="preserve">, entre otras. </w:t>
      </w:r>
    </w:p>
  </w:footnote>
  <w:footnote w:id="21">
    <w:p w:rsidR="00EE419D" w:rsidRPr="008C138F" w:rsidRDefault="00EE419D" w:rsidP="00EE419D">
      <w:pPr>
        <w:pStyle w:val="Notedebasdepage"/>
        <w:jc w:val="both"/>
        <w:rPr>
          <w:rFonts w:ascii="Calibri" w:hAnsi="Calibri"/>
          <w:lang w:val="es-CO"/>
        </w:rPr>
      </w:pPr>
      <w:r>
        <w:rPr>
          <w:rStyle w:val="Appelnotedebasdep"/>
        </w:rPr>
        <w:footnoteRef/>
      </w:r>
      <w:r>
        <w:t xml:space="preserve"> </w:t>
      </w:r>
      <w:r>
        <w:rPr>
          <w:rFonts w:asciiTheme="minorHAnsi" w:hAnsiTheme="minorHAnsi" w:cs="Calibri"/>
        </w:rPr>
        <w:t>CSJ</w:t>
      </w:r>
      <w:r w:rsidRPr="00140D59">
        <w:rPr>
          <w:rFonts w:asciiTheme="minorHAnsi" w:hAnsiTheme="minorHAnsi" w:cs="Calibri"/>
        </w:rPr>
        <w:t xml:space="preserve">, </w:t>
      </w:r>
      <w:r>
        <w:rPr>
          <w:rFonts w:asciiTheme="minorHAnsi" w:hAnsiTheme="minorHAnsi" w:cs="Calibri"/>
        </w:rPr>
        <w:t>Civil</w:t>
      </w:r>
      <w:r w:rsidRPr="00140D59">
        <w:rPr>
          <w:rFonts w:asciiTheme="minorHAnsi" w:hAnsiTheme="minorHAnsi" w:cs="Calibri"/>
        </w:rPr>
        <w:t>. Providencia</w:t>
      </w:r>
      <w:r>
        <w:rPr>
          <w:rFonts w:asciiTheme="minorHAnsi" w:hAnsiTheme="minorHAnsi" w:cs="Calibri"/>
        </w:rPr>
        <w:t>s</w:t>
      </w:r>
      <w:r w:rsidRPr="00140D59">
        <w:rPr>
          <w:rFonts w:asciiTheme="minorHAnsi" w:hAnsiTheme="minorHAnsi" w:cs="Calibri"/>
        </w:rPr>
        <w:t xml:space="preserve"> </w:t>
      </w:r>
      <w:r>
        <w:rPr>
          <w:rFonts w:asciiTheme="minorHAnsi" w:hAnsiTheme="minorHAnsi" w:cs="Calibri"/>
        </w:rPr>
        <w:t xml:space="preserve">STC5116-2015, </w:t>
      </w:r>
      <w:r w:rsidRPr="00A73176">
        <w:rPr>
          <w:rFonts w:asciiTheme="minorHAnsi" w:hAnsiTheme="minorHAnsi" w:cs="Calibri"/>
          <w:lang w:val="es-ES_tradnl"/>
        </w:rPr>
        <w:t>STC10743-2015</w:t>
      </w:r>
      <w:r>
        <w:rPr>
          <w:rFonts w:asciiTheme="minorHAnsi" w:hAnsiTheme="minorHAnsi" w:cs="Calibri"/>
          <w:b/>
          <w:lang w:val="es-ES_tradnl"/>
        </w:rPr>
        <w:t xml:space="preserve"> </w:t>
      </w:r>
      <w:r w:rsidRPr="007F7973">
        <w:rPr>
          <w:rFonts w:asciiTheme="minorHAnsi" w:hAnsiTheme="minorHAnsi" w:cs="Calibri"/>
          <w:lang w:val="es-ES_tradnl"/>
        </w:rPr>
        <w:t>y</w:t>
      </w:r>
      <w:r>
        <w:rPr>
          <w:rFonts w:asciiTheme="minorHAnsi" w:hAnsiTheme="minorHAnsi" w:cs="Calibri"/>
          <w:b/>
          <w:lang w:val="es-ES_tradnl"/>
        </w:rPr>
        <w:t xml:space="preserve"> </w:t>
      </w:r>
      <w:r w:rsidRPr="007F7973">
        <w:rPr>
          <w:rFonts w:asciiTheme="minorHAnsi" w:hAnsiTheme="minorHAnsi" w:cs="Arial"/>
          <w:lang w:val="es-CO"/>
        </w:rPr>
        <w:t>STC7441-2016</w:t>
      </w:r>
      <w:r>
        <w:rPr>
          <w:rFonts w:asciiTheme="minorHAnsi" w:hAnsiTheme="minorHAnsi"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8790B">
      <w:rPr>
        <w:rFonts w:ascii="Calibri" w:hAnsi="Calibri" w:cs="Calibri"/>
        <w:i/>
        <w:noProof/>
        <w:sz w:val="20"/>
      </w:rPr>
      <w:t>8</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2016-</w:t>
    </w:r>
    <w:r w:rsidR="00D512A3">
      <w:rPr>
        <w:rFonts w:ascii="Calibri" w:hAnsi="Calibri" w:cs="Calibri"/>
        <w:i/>
        <w:sz w:val="20"/>
        <w:szCs w:val="22"/>
      </w:rPr>
      <w:t xml:space="preserve">01102-00 ACUMULADA UNA ACCIÓN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0B"/>
    <w:rsid w:val="000879AA"/>
    <w:rsid w:val="00090BD7"/>
    <w:rsid w:val="00091393"/>
    <w:rsid w:val="00091B3D"/>
    <w:rsid w:val="00091D44"/>
    <w:rsid w:val="0009208D"/>
    <w:rsid w:val="000923FD"/>
    <w:rsid w:val="00092B1F"/>
    <w:rsid w:val="0009333F"/>
    <w:rsid w:val="000938B9"/>
    <w:rsid w:val="00093C3D"/>
    <w:rsid w:val="000944DE"/>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993"/>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59B"/>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1FE0"/>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17EBC"/>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27B"/>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484"/>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6963"/>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D6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49F"/>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2A2"/>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4B5"/>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6EC1"/>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2A3"/>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001"/>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19D"/>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ECB3-17EE-4A4E-B59A-D90A214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2868</Words>
  <Characters>15775</Characters>
  <Application>Microsoft Office Word</Application>
  <DocSecurity>0</DocSecurity>
  <Lines>131</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7</cp:revision>
  <cp:lastPrinted>2016-11-08T14:54:00Z</cp:lastPrinted>
  <dcterms:created xsi:type="dcterms:W3CDTF">2016-12-09T16:20:00Z</dcterms:created>
  <dcterms:modified xsi:type="dcterms:W3CDTF">2017-03-17T09:28:00Z</dcterms:modified>
</cp:coreProperties>
</file>