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FA" w:rsidRPr="009F78FA" w:rsidRDefault="009F78FA" w:rsidP="009F78FA">
      <w:pPr>
        <w:jc w:val="both"/>
        <w:rPr>
          <w:rFonts w:asciiTheme="minorHAnsi" w:hAnsiTheme="minorHAnsi"/>
          <w:color w:val="0070C0"/>
          <w:sz w:val="18"/>
          <w:szCs w:val="18"/>
        </w:rPr>
      </w:pPr>
      <w:r w:rsidRPr="009F78FA">
        <w:rPr>
          <w:rFonts w:asciiTheme="minorHAnsi" w:hAnsiTheme="minorHAnsi"/>
          <w:b/>
          <w:color w:val="0070C0"/>
          <w:sz w:val="18"/>
          <w:szCs w:val="18"/>
        </w:rPr>
        <w:t>Tema:</w:t>
      </w:r>
      <w:r w:rsidRPr="009F78FA">
        <w:rPr>
          <w:rFonts w:asciiTheme="minorHAnsi" w:hAnsiTheme="minorHAnsi"/>
          <w:b/>
          <w:color w:val="0070C0"/>
          <w:sz w:val="18"/>
          <w:szCs w:val="18"/>
        </w:rPr>
        <w:tab/>
      </w:r>
      <w:r w:rsidRPr="009F78FA">
        <w:rPr>
          <w:rFonts w:asciiTheme="minorHAnsi" w:hAnsiTheme="minorHAnsi"/>
          <w:b/>
          <w:color w:val="0070C0"/>
          <w:sz w:val="18"/>
          <w:szCs w:val="18"/>
        </w:rPr>
        <w:tab/>
      </w:r>
      <w:r w:rsidRPr="009F78FA">
        <w:rPr>
          <w:rFonts w:asciiTheme="minorHAnsi" w:hAnsiTheme="minorHAnsi"/>
          <w:b/>
          <w:color w:val="0070C0"/>
          <w:sz w:val="18"/>
          <w:szCs w:val="18"/>
        </w:rPr>
        <w:tab/>
      </w:r>
      <w:r w:rsidRPr="009F78FA">
        <w:rPr>
          <w:rFonts w:asciiTheme="minorHAnsi" w:hAnsiTheme="minorHAnsi"/>
          <w:b/>
          <w:color w:val="0070C0"/>
          <w:sz w:val="18"/>
          <w:szCs w:val="18"/>
        </w:rPr>
        <w:tab/>
        <w:t>CONTRA PROVIDENCIA JUDICIAL /</w:t>
      </w:r>
      <w:r w:rsidRPr="009F78FA">
        <w:rPr>
          <w:rFonts w:asciiTheme="minorHAnsi" w:hAnsiTheme="minorHAnsi"/>
          <w:b/>
          <w:color w:val="0070C0"/>
          <w:sz w:val="18"/>
          <w:szCs w:val="18"/>
        </w:rPr>
        <w:t xml:space="preserve"> CONDENA EN COSTAS / NO AGOTÓ MECANISMOS ORDINARIO DE DEFENSA / IMPROCEDENTE / “</w:t>
      </w:r>
      <w:r w:rsidRPr="009F78FA">
        <w:rPr>
          <w:rFonts w:asciiTheme="minorHAnsi" w:hAnsiTheme="minorHAnsi"/>
          <w:color w:val="0070C0"/>
          <w:sz w:val="18"/>
          <w:szCs w:val="18"/>
        </w:rPr>
        <w:t>Se tiene aquí, según se desprende de las copias adosadas, que mediante sentencia del 5 de septiembre del presente año, se declaró la prosperidad de las excepciones presentadas por la parte d</w:t>
      </w:r>
      <w:bookmarkStart w:id="0" w:name="_GoBack"/>
      <w:bookmarkEnd w:id="0"/>
      <w:r w:rsidRPr="009F78FA">
        <w:rPr>
          <w:rFonts w:asciiTheme="minorHAnsi" w:hAnsiTheme="minorHAnsi"/>
          <w:color w:val="0070C0"/>
          <w:sz w:val="18"/>
          <w:szCs w:val="18"/>
        </w:rPr>
        <w:t>emandada en la acción popular de que da cuenta este trámite y se condenó en costas al actor popular; a la vez, se fijaron las agencias en derecho en la suma de $1’000.000,oo. Ese fallo se encuentra en firme, como quiera el recurso interpuesto fue extemporáneo (f. 45).</w:t>
      </w:r>
    </w:p>
    <w:p w:rsidR="009F78FA" w:rsidRPr="009F78FA" w:rsidRDefault="009F78FA" w:rsidP="009F78FA">
      <w:pPr>
        <w:jc w:val="both"/>
        <w:rPr>
          <w:rFonts w:asciiTheme="minorHAnsi" w:hAnsiTheme="minorHAnsi"/>
          <w:color w:val="0070C0"/>
          <w:sz w:val="18"/>
          <w:szCs w:val="18"/>
        </w:rPr>
      </w:pPr>
    </w:p>
    <w:p w:rsidR="009F78FA" w:rsidRPr="009F78FA" w:rsidRDefault="009F78FA" w:rsidP="009F78FA">
      <w:pPr>
        <w:jc w:val="both"/>
        <w:rPr>
          <w:rFonts w:asciiTheme="minorHAnsi" w:hAnsiTheme="minorHAnsi"/>
          <w:color w:val="0070C0"/>
          <w:sz w:val="18"/>
          <w:szCs w:val="18"/>
        </w:rPr>
      </w:pPr>
      <w:r w:rsidRPr="009F78FA">
        <w:rPr>
          <w:rFonts w:asciiTheme="minorHAnsi" w:hAnsiTheme="minorHAnsi"/>
          <w:color w:val="0070C0"/>
          <w:sz w:val="18"/>
          <w:szCs w:val="18"/>
        </w:rPr>
        <w:t xml:space="preserve">En este aspecto, la acción es improcedente, si bien la etapa procesal subsiguiente se contrae a la liquidación de las costas en la acción popular, trámite que deberá realizar la secretaría, para que la jueza efectúe la revisión del caso y la apruebe o la rechace. Ese será el momento oportuno para que el ahora accionante refute, con el recurso que resulte pertinente, la decisión final que se adopte, según lo prevé la regla 4ª del artículo 366 del Código general del proceso. </w:t>
      </w:r>
    </w:p>
    <w:p w:rsidR="009F78FA" w:rsidRPr="009F78FA" w:rsidRDefault="009F78FA" w:rsidP="009F78FA">
      <w:pPr>
        <w:jc w:val="both"/>
        <w:rPr>
          <w:rFonts w:asciiTheme="minorHAnsi" w:hAnsiTheme="minorHAnsi"/>
          <w:color w:val="0070C0"/>
          <w:sz w:val="18"/>
          <w:szCs w:val="18"/>
        </w:rPr>
      </w:pPr>
    </w:p>
    <w:p w:rsidR="009F78FA" w:rsidRPr="009F78FA" w:rsidRDefault="009F78FA" w:rsidP="009F78FA">
      <w:pPr>
        <w:jc w:val="both"/>
        <w:rPr>
          <w:rFonts w:asciiTheme="minorHAnsi" w:hAnsiTheme="minorHAnsi"/>
          <w:color w:val="0070C0"/>
          <w:sz w:val="18"/>
          <w:szCs w:val="18"/>
        </w:rPr>
      </w:pPr>
      <w:r w:rsidRPr="009F78FA">
        <w:rPr>
          <w:rFonts w:asciiTheme="minorHAnsi" w:hAnsiTheme="minorHAnsi"/>
          <w:color w:val="0070C0"/>
          <w:sz w:val="18"/>
          <w:szCs w:val="18"/>
        </w:rPr>
        <w:t xml:space="preserve">Es decir, que cuenta el accionante con otro mecanismo idóneo de defensa judicial, dentro de la actuación misma, lo que le impide recurrir a esta especial vía, que es, por su naturaleza, residual y subsidiaria, en tanto solo procede cuando se ha echado mano de todas las herramientas con que las partes cuentan en el proceso y ellas han sido infructuosas, lo que en este caso no ha acontecido. </w:t>
      </w:r>
    </w:p>
    <w:p w:rsidR="009F78FA" w:rsidRPr="009F78FA" w:rsidRDefault="009F78FA" w:rsidP="009F78FA">
      <w:pPr>
        <w:jc w:val="both"/>
        <w:rPr>
          <w:rFonts w:asciiTheme="minorHAnsi" w:hAnsiTheme="minorHAnsi"/>
          <w:color w:val="0070C0"/>
          <w:sz w:val="18"/>
          <w:szCs w:val="18"/>
        </w:rPr>
      </w:pPr>
    </w:p>
    <w:p w:rsidR="009F78FA" w:rsidRPr="009F78FA" w:rsidRDefault="009F78FA" w:rsidP="009F78FA">
      <w:pPr>
        <w:jc w:val="both"/>
        <w:rPr>
          <w:rFonts w:asciiTheme="minorHAnsi" w:hAnsiTheme="minorHAnsi"/>
          <w:color w:val="0070C0"/>
          <w:sz w:val="18"/>
          <w:szCs w:val="18"/>
        </w:rPr>
      </w:pPr>
      <w:r w:rsidRPr="009F78FA">
        <w:rPr>
          <w:rFonts w:asciiTheme="minorHAnsi" w:hAnsiTheme="minorHAnsi"/>
          <w:b/>
          <w:color w:val="0070C0"/>
          <w:sz w:val="18"/>
          <w:szCs w:val="18"/>
        </w:rPr>
        <w:t>Citación jurisprudencial:</w:t>
      </w:r>
      <w:r w:rsidRPr="009F78FA">
        <w:rPr>
          <w:rFonts w:asciiTheme="minorHAnsi" w:hAnsiTheme="minorHAnsi"/>
          <w:color w:val="0070C0"/>
          <w:sz w:val="18"/>
          <w:szCs w:val="18"/>
        </w:rPr>
        <w:t xml:space="preserve"> Sentencia C-543-92. / Sentencia T-022 de 2016, aludiendo a la C-590 de 2005 / </w:t>
      </w:r>
    </w:p>
    <w:p w:rsidR="009F78FA" w:rsidRPr="009F78FA" w:rsidRDefault="009F78FA" w:rsidP="009F78FA">
      <w:pPr>
        <w:jc w:val="both"/>
        <w:rPr>
          <w:rFonts w:asciiTheme="minorHAnsi" w:hAnsiTheme="minorHAnsi"/>
          <w:color w:val="0070C0"/>
          <w:sz w:val="18"/>
          <w:szCs w:val="18"/>
        </w:rPr>
      </w:pPr>
    </w:p>
    <w:p w:rsidR="009F78FA" w:rsidRPr="009F78FA" w:rsidRDefault="009F78FA" w:rsidP="009F78FA">
      <w:pPr>
        <w:jc w:val="both"/>
        <w:rPr>
          <w:rFonts w:asciiTheme="minorHAnsi" w:hAnsiTheme="minorHAnsi"/>
          <w:sz w:val="18"/>
          <w:szCs w:val="18"/>
        </w:rPr>
      </w:pPr>
      <w:r w:rsidRPr="009F78FA">
        <w:rPr>
          <w:rFonts w:asciiTheme="minorHAnsi" w:hAnsiTheme="minorHAnsi"/>
          <w:sz w:val="18"/>
          <w:szCs w:val="18"/>
        </w:rPr>
        <w:t>-----------------------------------------------------------------------------------------------------------------------------------------------------------</w:t>
      </w:r>
    </w:p>
    <w:p w:rsidR="0091288C" w:rsidRDefault="0091288C"/>
    <w:p w:rsidR="009F78FA" w:rsidRPr="009F78FA" w:rsidRDefault="009F78FA" w:rsidP="009F78FA">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9F78FA">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9F78FA" w:rsidRPr="009F78FA" w:rsidRDefault="009F78FA" w:rsidP="009F78FA">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9F78FA">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9F78FA" w:rsidRPr="002119C0" w:rsidRDefault="009F78FA" w:rsidP="009F78FA">
      <w:pPr>
        <w:spacing w:line="276" w:lineRule="auto"/>
        <w:ind w:firstLine="2835"/>
        <w:jc w:val="both"/>
        <w:rPr>
          <w:rFonts w:ascii="Gadugi" w:hAnsi="Gadugi"/>
          <w:sz w:val="24"/>
          <w:szCs w:val="24"/>
        </w:rPr>
      </w:pPr>
    </w:p>
    <w:p w:rsidR="009F78FA" w:rsidRPr="002119C0" w:rsidRDefault="009F78FA" w:rsidP="009F78FA">
      <w:pPr>
        <w:spacing w:line="276" w:lineRule="auto"/>
        <w:ind w:firstLine="2835"/>
        <w:jc w:val="both"/>
        <w:rPr>
          <w:rFonts w:ascii="Gadugi" w:hAnsi="Gadugi"/>
          <w:sz w:val="24"/>
          <w:szCs w:val="24"/>
          <w:lang w:val="es-CO"/>
        </w:rPr>
      </w:pPr>
    </w:p>
    <w:p w:rsidR="009F78FA" w:rsidRPr="002119C0" w:rsidRDefault="009F78FA" w:rsidP="009F78FA">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9F78FA" w:rsidRPr="003F7EB0" w:rsidRDefault="009F78FA" w:rsidP="009F78FA">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septiembre treinta de dos mil dieciséis</w:t>
      </w:r>
    </w:p>
    <w:p w:rsidR="009F78FA" w:rsidRPr="002119C0" w:rsidRDefault="009F78FA" w:rsidP="009F78FA">
      <w:pPr>
        <w:spacing w:line="276" w:lineRule="auto"/>
        <w:ind w:firstLine="2835"/>
        <w:jc w:val="both"/>
        <w:rPr>
          <w:rFonts w:ascii="Gadugi" w:hAnsi="Gadugi"/>
          <w:sz w:val="24"/>
          <w:szCs w:val="24"/>
        </w:rPr>
      </w:pPr>
      <w:r w:rsidRPr="002119C0">
        <w:rPr>
          <w:rFonts w:ascii="Gadugi" w:hAnsi="Gadugi"/>
          <w:sz w:val="24"/>
          <w:szCs w:val="24"/>
        </w:rPr>
        <w:t xml:space="preserve">Expediente </w:t>
      </w:r>
      <w:r w:rsidRPr="002119C0">
        <w:rPr>
          <w:rFonts w:ascii="Gadugi" w:hAnsi="Gadugi"/>
          <w:sz w:val="24"/>
          <w:szCs w:val="24"/>
        </w:rPr>
        <w:tab/>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419"/>
        </w:rPr>
        <w:t>869</w:t>
      </w:r>
      <w:r w:rsidRPr="002119C0">
        <w:rPr>
          <w:rFonts w:ascii="Gadugi" w:hAnsi="Gadugi"/>
          <w:sz w:val="24"/>
          <w:szCs w:val="24"/>
        </w:rPr>
        <w:t>-00</w:t>
      </w:r>
      <w:r w:rsidRPr="002119C0">
        <w:rPr>
          <w:rFonts w:ascii="Gadugi" w:hAnsi="Gadugi"/>
          <w:sz w:val="24"/>
          <w:szCs w:val="24"/>
        </w:rPr>
        <w:tab/>
      </w:r>
    </w:p>
    <w:p w:rsidR="009F78FA" w:rsidRPr="003F7EB0" w:rsidRDefault="009F78FA" w:rsidP="009F78FA">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471 de septiembre 30 de 2016</w:t>
      </w:r>
    </w:p>
    <w:p w:rsidR="009F78FA" w:rsidRPr="002119C0" w:rsidRDefault="009F78FA" w:rsidP="009F78FA">
      <w:pPr>
        <w:spacing w:line="276" w:lineRule="auto"/>
        <w:ind w:firstLine="2835"/>
        <w:jc w:val="both"/>
        <w:rPr>
          <w:rFonts w:ascii="Gadugi" w:hAnsi="Gadugi"/>
          <w:sz w:val="24"/>
          <w:szCs w:val="24"/>
        </w:rPr>
      </w:pPr>
    </w:p>
    <w:p w:rsidR="009F78FA" w:rsidRPr="002119C0" w:rsidRDefault="009F78FA" w:rsidP="009F78FA">
      <w:pPr>
        <w:spacing w:line="276" w:lineRule="auto"/>
        <w:ind w:firstLine="2835"/>
        <w:jc w:val="both"/>
        <w:rPr>
          <w:rFonts w:ascii="Gadugi" w:hAnsi="Gadugi"/>
          <w:sz w:val="24"/>
          <w:szCs w:val="24"/>
        </w:rPr>
      </w:pPr>
    </w:p>
    <w:p w:rsidR="009F78FA" w:rsidRPr="009C46B0" w:rsidRDefault="009F78FA" w:rsidP="009F78FA">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 xml:space="preserve">Juzgado Segundo </w:t>
      </w:r>
      <w:r w:rsidRPr="002119C0">
        <w:rPr>
          <w:rFonts w:ascii="Gadugi" w:hAnsi="Gadugi" w:cs="Century Gothic"/>
          <w:b/>
          <w:sz w:val="24"/>
          <w:szCs w:val="24"/>
        </w:rPr>
        <w:t xml:space="preserve">Civil del Circuito </w:t>
      </w:r>
      <w:r w:rsidRPr="002119C0">
        <w:rPr>
          <w:rFonts w:ascii="Gadugi" w:hAnsi="Gadugi" w:cs="Century Gothic"/>
          <w:sz w:val="24"/>
          <w:szCs w:val="24"/>
        </w:rPr>
        <w:t>local</w:t>
      </w:r>
      <w:r>
        <w:rPr>
          <w:rFonts w:ascii="Gadugi" w:hAnsi="Gadugi" w:cs="Century Gothic"/>
          <w:sz w:val="24"/>
          <w:szCs w:val="24"/>
        </w:rPr>
        <w:t xml:space="preserve"> y el </w:t>
      </w:r>
      <w:r>
        <w:rPr>
          <w:rFonts w:ascii="Gadugi" w:hAnsi="Gadugi" w:cs="Century Gothic"/>
          <w:b/>
          <w:sz w:val="24"/>
          <w:szCs w:val="24"/>
        </w:rPr>
        <w:t>Consejo Seccional de la Judicatura</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2119C0">
        <w:rPr>
          <w:rFonts w:ascii="Gadugi" w:hAnsi="Gadugi" w:cs="Century Gothic"/>
          <w:b/>
          <w:sz w:val="24"/>
          <w:szCs w:val="24"/>
          <w:lang w:val="es-CO"/>
        </w:rPr>
        <w:t>agente del Ministerio Público</w:t>
      </w:r>
      <w:r>
        <w:rPr>
          <w:rFonts w:ascii="Gadugi" w:hAnsi="Gadugi" w:cs="Century Gothic"/>
          <w:b/>
          <w:sz w:val="24"/>
          <w:szCs w:val="24"/>
          <w:lang w:val="es-CO"/>
        </w:rPr>
        <w:t>,</w:t>
      </w:r>
      <w:r w:rsidRPr="002119C0">
        <w:rPr>
          <w:rFonts w:ascii="Gadugi" w:hAnsi="Gadugi" w:cs="Century Gothic"/>
          <w:sz w:val="24"/>
          <w:szCs w:val="24"/>
          <w:lang w:val="es-CO"/>
        </w:rPr>
        <w:t xml:space="preserve"> la </w:t>
      </w:r>
      <w:r>
        <w:rPr>
          <w:rFonts w:ascii="Gadugi" w:hAnsi="Gadugi" w:cs="Century Gothic"/>
          <w:b/>
          <w:sz w:val="24"/>
          <w:szCs w:val="24"/>
          <w:lang w:val="es-CO"/>
        </w:rPr>
        <w:t xml:space="preserve">Defensoría de Pueblo Risaralda, </w:t>
      </w:r>
      <w:r>
        <w:rPr>
          <w:rFonts w:ascii="Gadugi" w:hAnsi="Gadugi" w:cs="Century Gothic"/>
          <w:sz w:val="24"/>
          <w:szCs w:val="24"/>
          <w:lang w:val="es-CO"/>
        </w:rPr>
        <w:t xml:space="preserve">el </w:t>
      </w:r>
      <w:r>
        <w:rPr>
          <w:rFonts w:ascii="Gadugi" w:hAnsi="Gadugi" w:cs="Century Gothic"/>
          <w:b/>
          <w:sz w:val="24"/>
          <w:szCs w:val="24"/>
          <w:lang w:val="es-CO"/>
        </w:rPr>
        <w:t xml:space="preserve">Banco </w:t>
      </w:r>
      <w:proofErr w:type="spellStart"/>
      <w:r>
        <w:rPr>
          <w:rFonts w:ascii="Gadugi" w:hAnsi="Gadugi" w:cs="Century Gothic"/>
          <w:b/>
          <w:sz w:val="24"/>
          <w:szCs w:val="24"/>
          <w:lang w:val="es-CO"/>
        </w:rPr>
        <w:t>WWB</w:t>
      </w:r>
      <w:proofErr w:type="spellEnd"/>
      <w:r>
        <w:rPr>
          <w:rFonts w:ascii="Gadugi" w:hAnsi="Gadugi" w:cs="Century Gothic"/>
          <w:b/>
          <w:sz w:val="24"/>
          <w:szCs w:val="24"/>
          <w:lang w:val="es-CO"/>
        </w:rPr>
        <w:t xml:space="preserve"> </w:t>
      </w:r>
      <w:proofErr w:type="spellStart"/>
      <w:r>
        <w:rPr>
          <w:rFonts w:ascii="Gadugi" w:hAnsi="Gadugi" w:cs="Century Gothic"/>
          <w:b/>
          <w:sz w:val="24"/>
          <w:szCs w:val="24"/>
          <w:lang w:val="es-CO"/>
        </w:rPr>
        <w:t>SA</w:t>
      </w:r>
      <w:proofErr w:type="spellEnd"/>
      <w:r>
        <w:rPr>
          <w:rFonts w:ascii="Gadugi" w:hAnsi="Gadugi" w:cs="Century Gothic"/>
          <w:b/>
          <w:sz w:val="24"/>
          <w:szCs w:val="24"/>
          <w:lang w:val="es-CO"/>
        </w:rPr>
        <w:t xml:space="preserve"> </w:t>
      </w:r>
      <w:r>
        <w:rPr>
          <w:rFonts w:ascii="Gadugi" w:hAnsi="Gadugi" w:cs="Century Gothic"/>
          <w:sz w:val="24"/>
          <w:szCs w:val="24"/>
          <w:lang w:val="es-CO"/>
        </w:rPr>
        <w:t xml:space="preserve">y la </w:t>
      </w:r>
      <w:r>
        <w:rPr>
          <w:rFonts w:ascii="Gadugi" w:hAnsi="Gadugi" w:cs="Century Gothic"/>
          <w:b/>
          <w:sz w:val="24"/>
          <w:szCs w:val="24"/>
          <w:lang w:val="es-CO"/>
        </w:rPr>
        <w:t xml:space="preserve">Alcaldía Municipal </w:t>
      </w:r>
      <w:r>
        <w:rPr>
          <w:rFonts w:ascii="Gadugi" w:hAnsi="Gadugi" w:cs="Century Gothic"/>
          <w:sz w:val="24"/>
          <w:szCs w:val="24"/>
          <w:lang w:val="es-CO"/>
        </w:rPr>
        <w:t xml:space="preserve">de </w:t>
      </w:r>
      <w:r>
        <w:rPr>
          <w:rFonts w:ascii="Gadugi" w:hAnsi="Gadugi" w:cs="Century Gothic"/>
          <w:b/>
          <w:sz w:val="24"/>
          <w:szCs w:val="24"/>
          <w:lang w:val="es-CO"/>
        </w:rPr>
        <w:t>Pereira.</w:t>
      </w:r>
    </w:p>
    <w:p w:rsidR="009F78FA" w:rsidRPr="002119C0" w:rsidRDefault="009F78FA" w:rsidP="009F78FA">
      <w:pPr>
        <w:spacing w:line="276" w:lineRule="auto"/>
        <w:ind w:firstLine="2835"/>
        <w:jc w:val="both"/>
        <w:rPr>
          <w:rFonts w:ascii="Gadugi" w:hAnsi="Gadugi" w:cs="Century Gothic"/>
          <w:b/>
          <w:bCs/>
          <w:sz w:val="24"/>
          <w:szCs w:val="24"/>
          <w:lang w:val="es-CO"/>
        </w:rPr>
      </w:pPr>
    </w:p>
    <w:p w:rsidR="009F78FA" w:rsidRPr="002119C0" w:rsidRDefault="009F78FA" w:rsidP="009F78FA">
      <w:pPr>
        <w:spacing w:line="276" w:lineRule="auto"/>
        <w:ind w:firstLine="2835"/>
        <w:jc w:val="both"/>
        <w:rPr>
          <w:rFonts w:ascii="Gadugi" w:hAnsi="Gadugi" w:cs="Century Gothic"/>
          <w:b/>
          <w:bCs/>
          <w:sz w:val="24"/>
          <w:szCs w:val="24"/>
        </w:rPr>
      </w:pPr>
    </w:p>
    <w:p w:rsidR="009F78FA" w:rsidRPr="002119C0" w:rsidRDefault="009F78FA" w:rsidP="009F78FA">
      <w:pPr>
        <w:pStyle w:val="Ttulo4"/>
        <w:spacing w:line="276" w:lineRule="auto"/>
        <w:rPr>
          <w:rFonts w:ascii="Gadugi" w:hAnsi="Gadugi"/>
          <w:b/>
          <w:sz w:val="24"/>
          <w:szCs w:val="24"/>
        </w:rPr>
      </w:pPr>
      <w:r w:rsidRPr="002119C0">
        <w:rPr>
          <w:rFonts w:ascii="Gadugi" w:hAnsi="Gadugi"/>
          <w:b/>
          <w:sz w:val="24"/>
          <w:szCs w:val="24"/>
        </w:rPr>
        <w:t>ANTECEDENTES</w:t>
      </w:r>
    </w:p>
    <w:p w:rsidR="009F78FA" w:rsidRPr="002119C0" w:rsidRDefault="009F78FA" w:rsidP="009F78FA">
      <w:pPr>
        <w:spacing w:line="276" w:lineRule="auto"/>
        <w:ind w:firstLine="2835"/>
        <w:jc w:val="both"/>
        <w:rPr>
          <w:rFonts w:ascii="Gadugi" w:hAnsi="Gadugi" w:cs="Century Gothic"/>
          <w:b/>
          <w:bCs/>
          <w:sz w:val="24"/>
          <w:szCs w:val="24"/>
        </w:rPr>
      </w:pPr>
    </w:p>
    <w:p w:rsidR="009F78FA" w:rsidRPr="002119C0" w:rsidRDefault="009F78FA" w:rsidP="009F78FA">
      <w:pPr>
        <w:spacing w:line="276" w:lineRule="auto"/>
        <w:ind w:firstLine="2835"/>
        <w:jc w:val="both"/>
        <w:rPr>
          <w:rFonts w:ascii="Gadugi" w:hAnsi="Gadugi" w:cs="Century Gothic"/>
          <w:sz w:val="24"/>
          <w:szCs w:val="24"/>
        </w:rPr>
      </w:pPr>
    </w:p>
    <w:p w:rsidR="009F78FA" w:rsidRPr="002119C0" w:rsidRDefault="009F78FA" w:rsidP="009F78FA">
      <w:pPr>
        <w:pStyle w:val="BodyText2"/>
        <w:spacing w:line="276" w:lineRule="auto"/>
        <w:rPr>
          <w:rFonts w:ascii="Gadugi" w:hAnsi="Gadugi" w:cs="Century Gothic"/>
          <w:szCs w:val="24"/>
          <w:lang w:val="es-419"/>
        </w:rPr>
      </w:pPr>
      <w:r w:rsidRPr="002119C0">
        <w:rPr>
          <w:rFonts w:ascii="Gadugi" w:hAnsi="Gadugi" w:cs="Century Gothic"/>
          <w:szCs w:val="24"/>
        </w:rPr>
        <w:t>Javier Elías Arias</w:t>
      </w:r>
      <w:r>
        <w:rPr>
          <w:rFonts w:ascii="Gadugi" w:hAnsi="Gadugi" w:cs="Century Gothic"/>
          <w:szCs w:val="24"/>
        </w:rPr>
        <w:t xml:space="preserve"> </w:t>
      </w:r>
      <w:proofErr w:type="spellStart"/>
      <w:r>
        <w:rPr>
          <w:rFonts w:ascii="Gadugi" w:hAnsi="Gadugi" w:cs="Century Gothic"/>
          <w:szCs w:val="24"/>
        </w:rPr>
        <w:t>Idárraga</w:t>
      </w:r>
      <w:proofErr w:type="spellEnd"/>
      <w:r w:rsidRPr="002119C0">
        <w:rPr>
          <w:rFonts w:ascii="Gadugi" w:hAnsi="Gadugi" w:cs="Century Gothic"/>
          <w:szCs w:val="24"/>
        </w:rPr>
        <w:t xml:space="preserve">, promueve </w:t>
      </w:r>
      <w:r>
        <w:rPr>
          <w:rFonts w:ascii="Gadugi" w:hAnsi="Gadugi" w:cs="Century Gothic"/>
          <w:szCs w:val="24"/>
        </w:rPr>
        <w:t>acción de tutela contra</w:t>
      </w:r>
      <w:r w:rsidRPr="002119C0">
        <w:rPr>
          <w:rFonts w:ascii="Gadugi" w:hAnsi="Gadugi" w:cs="Century Gothic"/>
          <w:szCs w:val="24"/>
          <w:lang w:val="es-CO"/>
        </w:rPr>
        <w:t xml:space="preserve"> el Juzgado </w:t>
      </w:r>
      <w:r>
        <w:rPr>
          <w:rFonts w:ascii="Gadugi" w:hAnsi="Gadugi" w:cs="Century Gothic"/>
          <w:szCs w:val="24"/>
          <w:lang w:val="es-CO"/>
        </w:rPr>
        <w:t>Segundo</w:t>
      </w:r>
      <w:r w:rsidRPr="002119C0">
        <w:rPr>
          <w:rFonts w:ascii="Gadugi" w:hAnsi="Gadugi" w:cs="Century Gothic"/>
          <w:szCs w:val="24"/>
          <w:lang w:val="es-CO"/>
        </w:rPr>
        <w:t xml:space="preserve"> Civil del Circuito de esta ciudad, </w:t>
      </w:r>
      <w:r w:rsidRPr="002119C0">
        <w:rPr>
          <w:rFonts w:ascii="Gadugi" w:hAnsi="Gadugi"/>
          <w:szCs w:val="24"/>
          <w:lang w:val="es-CO"/>
        </w:rPr>
        <w:t xml:space="preserve">en la que </w:t>
      </w:r>
      <w:r w:rsidRPr="002119C0">
        <w:rPr>
          <w:rFonts w:ascii="Gadugi" w:hAnsi="Gadugi"/>
          <w:szCs w:val="24"/>
          <w:lang w:val="es-419"/>
        </w:rPr>
        <w:t>a</w:t>
      </w:r>
      <w:r w:rsidRPr="002119C0">
        <w:rPr>
          <w:rFonts w:ascii="Gadugi" w:hAnsi="Gadugi" w:cs="Century Gothic"/>
          <w:szCs w:val="24"/>
          <w:lang w:val="es-419"/>
        </w:rPr>
        <w:t xml:space="preserve">duce la 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9F78FA" w:rsidRPr="002119C0" w:rsidRDefault="009F78FA" w:rsidP="009F78FA">
      <w:pPr>
        <w:pStyle w:val="BodyText2"/>
        <w:spacing w:line="276" w:lineRule="auto"/>
        <w:rPr>
          <w:rFonts w:ascii="Gadugi" w:hAnsi="Gadugi" w:cs="Century Gothic"/>
          <w:szCs w:val="24"/>
          <w:lang w:val="es-419"/>
        </w:rPr>
      </w:pPr>
    </w:p>
    <w:p w:rsidR="009F78FA" w:rsidRDefault="009F78FA" w:rsidP="009F78FA">
      <w:pPr>
        <w:pStyle w:val="BodyText2"/>
        <w:spacing w:line="276" w:lineRule="auto"/>
        <w:rPr>
          <w:rFonts w:ascii="Gadugi" w:hAnsi="Gadugi" w:cs="Century Gothic"/>
          <w:szCs w:val="24"/>
          <w:lang w:val="es-CO"/>
        </w:rPr>
      </w:pPr>
      <w:r w:rsidRPr="002119C0">
        <w:rPr>
          <w:rFonts w:ascii="Gadugi" w:hAnsi="Gadugi" w:cs="Century Gothic"/>
          <w:szCs w:val="24"/>
          <w:lang w:val="es-419"/>
        </w:rPr>
        <w:t xml:space="preserve">Pide que </w:t>
      </w:r>
      <w:r w:rsidRPr="002119C0">
        <w:rPr>
          <w:rFonts w:ascii="Gadugi" w:hAnsi="Gadugi" w:cs="Century Gothic"/>
          <w:szCs w:val="24"/>
          <w:lang w:val="es-CO"/>
        </w:rPr>
        <w:t>“</w:t>
      </w:r>
      <w:r w:rsidRPr="002119C0">
        <w:rPr>
          <w:rFonts w:ascii="Gadugi" w:hAnsi="Gadugi" w:cs="Century Gothic"/>
          <w:i/>
          <w:szCs w:val="24"/>
          <w:lang w:val="es-CO"/>
        </w:rPr>
        <w:t xml:space="preserve">Se orden al tutelado DE MANERA INMEDIATA </w:t>
      </w:r>
      <w:r>
        <w:rPr>
          <w:rFonts w:ascii="Gadugi" w:hAnsi="Gadugi" w:cs="Century Gothic"/>
          <w:i/>
          <w:szCs w:val="24"/>
          <w:lang w:val="es-CO"/>
        </w:rPr>
        <w:t>REVOCAR LA PRETENDIDA MULTA A MI CONTRA DE 1 000 000</w:t>
      </w:r>
      <w:r>
        <w:rPr>
          <w:rFonts w:ascii="Gadugi" w:hAnsi="Gadugi" w:cs="Century Gothic"/>
          <w:i/>
          <w:szCs w:val="24"/>
          <w:lang w:val="es-419"/>
        </w:rPr>
        <w:t xml:space="preserve"> </w:t>
      </w:r>
      <w:r>
        <w:rPr>
          <w:rFonts w:ascii="Gadugi" w:hAnsi="Gadugi" w:cs="Century Gothic"/>
          <w:i/>
          <w:szCs w:val="24"/>
          <w:lang w:val="es-CO"/>
        </w:rPr>
        <w:t xml:space="preserve">Y SE ORDENE </w:t>
      </w:r>
      <w:proofErr w:type="spellStart"/>
      <w:r>
        <w:rPr>
          <w:rFonts w:ascii="Gadugi" w:hAnsi="Gadugi" w:cs="Century Gothic"/>
          <w:i/>
          <w:szCs w:val="24"/>
          <w:lang w:val="es-CO"/>
        </w:rPr>
        <w:t>QE</w:t>
      </w:r>
      <w:proofErr w:type="spellEnd"/>
      <w:r>
        <w:rPr>
          <w:rFonts w:ascii="Gadugi" w:hAnsi="Gadugi" w:cs="Century Gothic"/>
          <w:i/>
          <w:szCs w:val="24"/>
          <w:lang w:val="es-CO"/>
        </w:rPr>
        <w:t xml:space="preserve"> </w:t>
      </w:r>
      <w:proofErr w:type="spellStart"/>
      <w:r>
        <w:rPr>
          <w:rFonts w:ascii="Gadugi" w:hAnsi="Gadugi" w:cs="Century Gothic"/>
          <w:i/>
          <w:szCs w:val="24"/>
          <w:lang w:val="es-CO"/>
        </w:rPr>
        <w:t>INFO</w:t>
      </w:r>
      <w:proofErr w:type="spellEnd"/>
      <w:r>
        <w:rPr>
          <w:rFonts w:ascii="Gadugi" w:hAnsi="Gadugi" w:cs="Century Gothic"/>
          <w:i/>
          <w:szCs w:val="24"/>
          <w:lang w:val="es-419"/>
        </w:rPr>
        <w:t>R</w:t>
      </w:r>
      <w:r>
        <w:rPr>
          <w:rFonts w:ascii="Gadugi" w:hAnsi="Gadugi" w:cs="Century Gothic"/>
          <w:i/>
          <w:szCs w:val="24"/>
          <w:lang w:val="es-CO"/>
        </w:rPr>
        <w:t xml:space="preserve">ME A LA COMUNIDAD A </w:t>
      </w:r>
      <w:proofErr w:type="spellStart"/>
      <w:r>
        <w:rPr>
          <w:rFonts w:ascii="Gadugi" w:hAnsi="Gadugi" w:cs="Century Gothic"/>
          <w:i/>
          <w:szCs w:val="24"/>
          <w:lang w:val="es-CO"/>
        </w:rPr>
        <w:t>TRAVES</w:t>
      </w:r>
      <w:proofErr w:type="spellEnd"/>
      <w:r>
        <w:rPr>
          <w:rFonts w:ascii="Gadugi" w:hAnsi="Gadugi" w:cs="Century Gothic"/>
          <w:i/>
          <w:szCs w:val="24"/>
          <w:lang w:val="es-CO"/>
        </w:rPr>
        <w:t xml:space="preserve"> EMISORA DE LA </w:t>
      </w:r>
      <w:proofErr w:type="spellStart"/>
      <w:r>
        <w:rPr>
          <w:rFonts w:ascii="Gadugi" w:hAnsi="Gadugi" w:cs="Century Gothic"/>
          <w:i/>
          <w:szCs w:val="24"/>
          <w:lang w:val="es-CO"/>
        </w:rPr>
        <w:t>POLICIA</w:t>
      </w:r>
      <w:proofErr w:type="spellEnd"/>
      <w:r>
        <w:rPr>
          <w:rFonts w:ascii="Gadugi" w:hAnsi="Gadugi" w:cs="Century Gothic"/>
          <w:i/>
          <w:szCs w:val="24"/>
          <w:lang w:val="es-CO"/>
        </w:rPr>
        <w:t xml:space="preserve">, PUES NO TENGO VINCULO LABORAL PARA HACERLO YO Y ESTO ES UNA </w:t>
      </w:r>
      <w:proofErr w:type="spellStart"/>
      <w:r>
        <w:rPr>
          <w:rFonts w:ascii="Gadugi" w:hAnsi="Gadugi" w:cs="Century Gothic"/>
          <w:i/>
          <w:szCs w:val="24"/>
          <w:lang w:val="es-CO"/>
        </w:rPr>
        <w:t>ACCION</w:t>
      </w:r>
      <w:proofErr w:type="spellEnd"/>
      <w:r>
        <w:rPr>
          <w:rFonts w:ascii="Gadugi" w:hAnsi="Gadugi" w:cs="Century Gothic"/>
          <w:i/>
          <w:szCs w:val="24"/>
          <w:lang w:val="es-CO"/>
        </w:rPr>
        <w:t xml:space="preserve"> CONSTITUCIONAL, QUE NO PUEDE PERMANECER MAS DETENIDA EN EL TIEMPO</w:t>
      </w:r>
      <w:r w:rsidRPr="002119C0">
        <w:rPr>
          <w:rFonts w:ascii="Gadugi" w:hAnsi="Gadugi" w:cs="Century Gothic"/>
          <w:i/>
          <w:szCs w:val="24"/>
          <w:lang w:val="es-CO"/>
        </w:rPr>
        <w:t xml:space="preserve"> </w:t>
      </w:r>
      <w:r w:rsidRPr="002119C0">
        <w:rPr>
          <w:rFonts w:ascii="Gadugi" w:hAnsi="Gadugi" w:cs="Century Gothic"/>
          <w:szCs w:val="24"/>
          <w:lang w:val="es-CO"/>
        </w:rPr>
        <w:t>(sic)</w:t>
      </w:r>
      <w:r>
        <w:rPr>
          <w:rFonts w:ascii="Gadugi" w:hAnsi="Gadugi" w:cs="Century Gothic"/>
          <w:i/>
          <w:szCs w:val="24"/>
          <w:lang w:val="es-CO"/>
        </w:rPr>
        <w:t>”</w:t>
      </w:r>
      <w:r w:rsidRPr="002119C0">
        <w:rPr>
          <w:rFonts w:ascii="Gadugi" w:hAnsi="Gadugi" w:cs="Century Gothic"/>
          <w:szCs w:val="24"/>
          <w:lang w:val="es-419"/>
        </w:rPr>
        <w:t xml:space="preserve">; </w:t>
      </w:r>
      <w:r>
        <w:rPr>
          <w:rFonts w:ascii="Gadugi" w:hAnsi="Gadugi" w:cs="Century Gothic"/>
          <w:szCs w:val="24"/>
          <w:lang w:val="es-CO"/>
        </w:rPr>
        <w:t>al Consejo Seccional de la Judicatura y</w:t>
      </w:r>
      <w:r>
        <w:rPr>
          <w:rFonts w:ascii="Gadugi" w:hAnsi="Gadugi" w:cs="Century Gothic"/>
          <w:szCs w:val="24"/>
          <w:lang w:val="es-419"/>
        </w:rPr>
        <w:t>/</w:t>
      </w:r>
      <w:r>
        <w:rPr>
          <w:rFonts w:ascii="Gadugi" w:hAnsi="Gadugi" w:cs="Century Gothic"/>
          <w:szCs w:val="24"/>
          <w:lang w:val="es-CO"/>
        </w:rPr>
        <w:t xml:space="preserve">o Consejo Superior, </w:t>
      </w:r>
      <w:r>
        <w:rPr>
          <w:rFonts w:ascii="Gadugi" w:hAnsi="Gadugi" w:cs="Century Gothic"/>
          <w:szCs w:val="24"/>
          <w:lang w:val="es-419"/>
        </w:rPr>
        <w:t xml:space="preserve">que </w:t>
      </w:r>
      <w:r>
        <w:rPr>
          <w:rFonts w:ascii="Gadugi" w:hAnsi="Gadugi" w:cs="Century Gothic"/>
          <w:szCs w:val="24"/>
          <w:lang w:val="es-CO"/>
        </w:rPr>
        <w:t>inicie las actuaciones en derecho a las que haya lugar contra la tutelada</w:t>
      </w:r>
      <w:r>
        <w:rPr>
          <w:rFonts w:ascii="Gadugi" w:hAnsi="Gadugi" w:cs="Century Gothic"/>
          <w:szCs w:val="24"/>
          <w:lang w:val="es-419"/>
        </w:rPr>
        <w:t>,</w:t>
      </w:r>
      <w:r>
        <w:rPr>
          <w:rFonts w:ascii="Gadugi" w:hAnsi="Gadugi" w:cs="Century Gothic"/>
          <w:szCs w:val="24"/>
          <w:lang w:val="es-CO"/>
        </w:rPr>
        <w:t xml:space="preserve"> </w:t>
      </w:r>
      <w:r>
        <w:rPr>
          <w:rFonts w:ascii="Gadugi" w:hAnsi="Gadugi" w:cs="Century Gothic"/>
          <w:szCs w:val="24"/>
          <w:lang w:val="es-419"/>
        </w:rPr>
        <w:t>para</w:t>
      </w:r>
      <w:r>
        <w:rPr>
          <w:rFonts w:ascii="Gadugi" w:hAnsi="Gadugi" w:cs="Century Gothic"/>
          <w:szCs w:val="24"/>
          <w:lang w:val="es-CO"/>
        </w:rPr>
        <w:t xml:space="preserve"> evitar que se repitan conductas como estas nuevamente; 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sidRPr="002119C0">
        <w:rPr>
          <w:rFonts w:ascii="Gadugi" w:hAnsi="Gadugi" w:cs="Century Gothic"/>
          <w:szCs w:val="24"/>
          <w:lang w:val="es-CO"/>
        </w:rPr>
        <w:t>;</w:t>
      </w:r>
      <w:r>
        <w:rPr>
          <w:rFonts w:ascii="Gadugi" w:hAnsi="Gadugi" w:cs="Century Gothic"/>
          <w:szCs w:val="24"/>
          <w:lang w:val="es-CO"/>
        </w:rPr>
        <w:t xml:space="preserve"> se </w:t>
      </w:r>
      <w:r w:rsidRPr="002119C0">
        <w:rPr>
          <w:rFonts w:ascii="Gadugi" w:hAnsi="Gadugi" w:cs="Century Gothic"/>
          <w:szCs w:val="24"/>
          <w:lang w:val="es-CO"/>
        </w:rPr>
        <w:t>aporte copia de la tutela a la acción popular;</w:t>
      </w:r>
      <w:r w:rsidRPr="002119C0">
        <w:rPr>
          <w:rFonts w:ascii="Gadugi" w:hAnsi="Gadugi" w:cs="Century Gothic"/>
          <w:szCs w:val="24"/>
          <w:lang w:val="es-419"/>
        </w:rPr>
        <w:t xml:space="preserve"> que la parte accionada aporte copia de todos los documentos que solicit</w:t>
      </w:r>
      <w:proofErr w:type="spellStart"/>
      <w:r w:rsidRPr="002119C0">
        <w:rPr>
          <w:rFonts w:ascii="Gadugi" w:hAnsi="Gadugi" w:cs="Century Gothic"/>
          <w:szCs w:val="24"/>
          <w:lang w:val="es-CO"/>
        </w:rPr>
        <w:t>ó</w:t>
      </w:r>
      <w:proofErr w:type="spellEnd"/>
      <w:r w:rsidRPr="002119C0">
        <w:rPr>
          <w:rFonts w:ascii="Gadugi" w:hAnsi="Gadugi" w:cs="Century Gothic"/>
          <w:szCs w:val="24"/>
          <w:lang w:val="es-CO"/>
        </w:rPr>
        <w:t xml:space="preserve"> como pruebas</w:t>
      </w:r>
      <w:r>
        <w:rPr>
          <w:rFonts w:ascii="Gadugi" w:hAnsi="Gadugi" w:cs="Century Gothic"/>
          <w:szCs w:val="24"/>
          <w:lang w:val="es-CO"/>
        </w:rPr>
        <w:t xml:space="preserve"> para que obren en esta demanda, así como la de todas las tutelas que han prosperado en su contra en la Corte Suprema y en este Tribunal.</w:t>
      </w:r>
    </w:p>
    <w:p w:rsidR="009F78FA" w:rsidRPr="002119C0" w:rsidRDefault="009F78FA" w:rsidP="009F78FA">
      <w:pPr>
        <w:pStyle w:val="BodyText2"/>
        <w:spacing w:line="276" w:lineRule="auto"/>
        <w:rPr>
          <w:rFonts w:ascii="Gadugi" w:hAnsi="Gadugi" w:cs="Century Gothic"/>
          <w:szCs w:val="24"/>
          <w:lang w:val="es-419"/>
        </w:rPr>
      </w:pPr>
    </w:p>
    <w:p w:rsidR="009F78FA" w:rsidRPr="002119C0" w:rsidRDefault="009F78FA" w:rsidP="009F78FA">
      <w:pPr>
        <w:spacing w:line="276" w:lineRule="auto"/>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 xml:space="preserve">acción popular que quedó registrada en el despacho judicial con el número de radicación </w:t>
      </w:r>
      <w:r>
        <w:rPr>
          <w:rFonts w:ascii="Gadugi" w:hAnsi="Gadugi" w:cs="Century Gothic"/>
          <w:i/>
          <w:sz w:val="24"/>
          <w:szCs w:val="24"/>
          <w:lang w:val="es-CO"/>
        </w:rPr>
        <w:t>“2015-74</w:t>
      </w:r>
      <w:r w:rsidRPr="002119C0">
        <w:rPr>
          <w:rFonts w:ascii="Gadugi" w:hAnsi="Gadugi" w:cs="Century Gothic"/>
          <w:i/>
          <w:sz w:val="24"/>
          <w:szCs w:val="24"/>
          <w:lang w:val="es-CO"/>
        </w:rPr>
        <w:t>”</w:t>
      </w:r>
      <w:r w:rsidRPr="002119C0">
        <w:rPr>
          <w:rFonts w:ascii="Gadugi" w:hAnsi="Gadugi" w:cs="Century Gothic"/>
          <w:sz w:val="24"/>
          <w:szCs w:val="24"/>
          <w:lang w:val="es-CO"/>
        </w:rPr>
        <w:t xml:space="preserve"> </w:t>
      </w:r>
      <w:r>
        <w:rPr>
          <w:rFonts w:ascii="Gadugi" w:hAnsi="Gadugi" w:cs="Century Gothic"/>
          <w:sz w:val="24"/>
          <w:szCs w:val="24"/>
          <w:lang w:val="es-CO"/>
        </w:rPr>
        <w:t xml:space="preserve">y se le condenó en $1’000.000,oo sin que se demostrara su temeridad y mala fe, </w:t>
      </w:r>
      <w:r>
        <w:rPr>
          <w:rFonts w:ascii="Gadugi" w:hAnsi="Gadugi" w:cs="Century Gothic"/>
          <w:sz w:val="24"/>
          <w:szCs w:val="24"/>
          <w:lang w:val="es-419"/>
        </w:rPr>
        <w:t xml:space="preserve">mientras que </w:t>
      </w:r>
      <w:r>
        <w:rPr>
          <w:rFonts w:ascii="Gadugi" w:hAnsi="Gadugi" w:cs="Century Gothic"/>
          <w:sz w:val="24"/>
          <w:szCs w:val="24"/>
          <w:lang w:val="es-CO"/>
        </w:rPr>
        <w:t xml:space="preserve">en las acciones populares </w:t>
      </w:r>
      <w:r>
        <w:rPr>
          <w:rFonts w:ascii="Gadugi" w:hAnsi="Gadugi" w:cs="Century Gothic"/>
          <w:sz w:val="24"/>
          <w:szCs w:val="24"/>
          <w:lang w:val="es-419"/>
        </w:rPr>
        <w:t>que salen avante</w:t>
      </w:r>
      <w:r>
        <w:rPr>
          <w:rFonts w:ascii="Gadugi" w:hAnsi="Gadugi" w:cs="Century Gothic"/>
          <w:sz w:val="24"/>
          <w:szCs w:val="24"/>
          <w:lang w:val="es-CO"/>
        </w:rPr>
        <w:t>, se le concede</w:t>
      </w:r>
      <w:r>
        <w:rPr>
          <w:rFonts w:ascii="Gadugi" w:hAnsi="Gadugi" w:cs="Century Gothic"/>
          <w:sz w:val="24"/>
          <w:szCs w:val="24"/>
          <w:lang w:val="es-419"/>
        </w:rPr>
        <w:t>n</w:t>
      </w:r>
      <w:r>
        <w:rPr>
          <w:rFonts w:ascii="Gadugi" w:hAnsi="Gadugi" w:cs="Century Gothic"/>
          <w:sz w:val="24"/>
          <w:szCs w:val="24"/>
          <w:lang w:val="es-CO"/>
        </w:rPr>
        <w:t xml:space="preserve"> costas de $50.000,oo; </w:t>
      </w:r>
      <w:r>
        <w:rPr>
          <w:rFonts w:ascii="Gadugi" w:hAnsi="Gadugi" w:cs="Century Gothic"/>
          <w:sz w:val="24"/>
          <w:szCs w:val="24"/>
          <w:lang w:val="es-419"/>
        </w:rPr>
        <w:t xml:space="preserve">agregó que la funcionaria </w:t>
      </w:r>
      <w:r>
        <w:rPr>
          <w:rFonts w:ascii="Gadugi" w:hAnsi="Gadugi" w:cs="Century Gothic"/>
          <w:sz w:val="24"/>
          <w:szCs w:val="24"/>
          <w:lang w:val="es-CO"/>
        </w:rPr>
        <w:t>olvida informar a la comunidad como se lo ordena el artículo 21 de la Ley 472 de 1998</w:t>
      </w:r>
      <w:r>
        <w:rPr>
          <w:rFonts w:ascii="Gadugi" w:hAnsi="Gadugi" w:cs="Century Gothic"/>
          <w:sz w:val="24"/>
          <w:szCs w:val="24"/>
          <w:lang w:val="es-419"/>
        </w:rPr>
        <w:t xml:space="preserve">. </w:t>
      </w:r>
    </w:p>
    <w:p w:rsidR="009F78FA" w:rsidRDefault="009F78FA" w:rsidP="009F78FA">
      <w:pPr>
        <w:pStyle w:val="BodyText2"/>
        <w:spacing w:line="276" w:lineRule="auto"/>
        <w:rPr>
          <w:rFonts w:ascii="Gadugi" w:hAnsi="Gadugi" w:cs="Century Gothic"/>
          <w:szCs w:val="24"/>
        </w:rPr>
      </w:pPr>
    </w:p>
    <w:p w:rsidR="009F78FA" w:rsidRDefault="009F78FA" w:rsidP="009F78FA">
      <w:pPr>
        <w:pStyle w:val="BodyText2"/>
        <w:spacing w:line="276" w:lineRule="auto"/>
        <w:rPr>
          <w:rFonts w:ascii="Gadugi" w:hAnsi="Gadugi" w:cs="Century Gothic"/>
          <w:szCs w:val="24"/>
          <w:lang w:val="es-419"/>
        </w:rPr>
      </w:pPr>
      <w:r w:rsidRPr="002119C0">
        <w:rPr>
          <w:rFonts w:ascii="Gadugi" w:hAnsi="Gadugi" w:cs="Century Gothic"/>
          <w:szCs w:val="24"/>
        </w:rPr>
        <w:t>Se dispuso el trámite respectivo y la vinculación de la Def</w:t>
      </w:r>
      <w:r>
        <w:rPr>
          <w:rFonts w:ascii="Gadugi" w:hAnsi="Gadugi" w:cs="Century Gothic"/>
          <w:szCs w:val="24"/>
        </w:rPr>
        <w:t xml:space="preserve">ensoría del Pueblo de Risaralda, </w:t>
      </w:r>
      <w:r w:rsidRPr="002119C0">
        <w:rPr>
          <w:rFonts w:ascii="Gadugi" w:hAnsi="Gadugi" w:cs="Century Gothic"/>
          <w:szCs w:val="24"/>
        </w:rPr>
        <w:t xml:space="preserve">del </w:t>
      </w:r>
      <w:r w:rsidRPr="002119C0">
        <w:rPr>
          <w:rFonts w:ascii="Gadugi" w:hAnsi="Gadugi" w:cs="Century Gothic"/>
          <w:szCs w:val="24"/>
          <w:lang w:val="es-419"/>
        </w:rPr>
        <w:t>Ministerio</w:t>
      </w:r>
      <w:r w:rsidRPr="002119C0">
        <w:rPr>
          <w:rFonts w:ascii="Gadugi" w:hAnsi="Gadugi" w:cs="Century Gothic"/>
          <w:szCs w:val="24"/>
          <w:lang w:val="es-CO"/>
        </w:rPr>
        <w:t xml:space="preserve"> Público</w:t>
      </w:r>
      <w:r>
        <w:rPr>
          <w:rFonts w:ascii="Gadugi" w:hAnsi="Gadugi" w:cs="Century Gothic"/>
          <w:szCs w:val="24"/>
          <w:lang w:val="es-CO"/>
        </w:rPr>
        <w:t xml:space="preserve">, del Banco </w:t>
      </w:r>
      <w:proofErr w:type="spellStart"/>
      <w:r>
        <w:rPr>
          <w:rFonts w:ascii="Gadugi" w:hAnsi="Gadugi" w:cs="Century Gothic"/>
          <w:szCs w:val="24"/>
          <w:lang w:val="es-CO"/>
        </w:rPr>
        <w:t>WWB</w:t>
      </w:r>
      <w:proofErr w:type="spellEnd"/>
      <w:r>
        <w:rPr>
          <w:rFonts w:ascii="Gadugi" w:hAnsi="Gadugi" w:cs="Century Gothic"/>
          <w:szCs w:val="24"/>
          <w:lang w:val="es-CO"/>
        </w:rPr>
        <w:t xml:space="preserve"> S.A. y de la Alcaldía Municipal de esta ciudad</w:t>
      </w:r>
      <w:r>
        <w:rPr>
          <w:rFonts w:ascii="Gadugi" w:hAnsi="Gadugi" w:cs="Century Gothic"/>
          <w:szCs w:val="24"/>
          <w:lang w:val="es-419"/>
        </w:rPr>
        <w:t>.</w:t>
      </w:r>
    </w:p>
    <w:p w:rsidR="009F78FA" w:rsidRDefault="009F78FA" w:rsidP="009F78FA">
      <w:pPr>
        <w:pStyle w:val="BodyText2"/>
        <w:spacing w:line="276" w:lineRule="auto"/>
        <w:rPr>
          <w:rFonts w:ascii="Gadugi" w:hAnsi="Gadugi" w:cs="Century Gothic"/>
          <w:szCs w:val="24"/>
          <w:lang w:val="es-419"/>
        </w:rPr>
      </w:pPr>
    </w:p>
    <w:p w:rsidR="009F78FA" w:rsidRDefault="009F78FA" w:rsidP="009F78FA">
      <w:pPr>
        <w:pStyle w:val="BodyText2"/>
        <w:spacing w:line="276" w:lineRule="auto"/>
        <w:rPr>
          <w:rFonts w:ascii="Gadugi" w:hAnsi="Gadugi" w:cs="Century Gothic"/>
          <w:szCs w:val="24"/>
          <w:lang w:val="es-CO"/>
        </w:rPr>
      </w:pPr>
      <w:r>
        <w:rPr>
          <w:rFonts w:ascii="Gadugi" w:hAnsi="Gadugi" w:cs="Century Gothic"/>
          <w:szCs w:val="24"/>
          <w:lang w:val="es-CO"/>
        </w:rPr>
        <w:t xml:space="preserve">El despacho judicial remitió copias de lo concerniente (f. 6 a 15 y 34 a 45). </w:t>
      </w:r>
    </w:p>
    <w:p w:rsidR="009F78FA" w:rsidRDefault="009F78FA" w:rsidP="009F78FA">
      <w:pPr>
        <w:pStyle w:val="BodyText2"/>
        <w:spacing w:line="276" w:lineRule="auto"/>
        <w:rPr>
          <w:rFonts w:ascii="Gadugi" w:hAnsi="Gadugi" w:cs="Century Gothic"/>
          <w:szCs w:val="24"/>
          <w:lang w:val="es-CO"/>
        </w:rPr>
      </w:pPr>
    </w:p>
    <w:p w:rsidR="009F78FA" w:rsidRDefault="009F78FA" w:rsidP="009F78FA">
      <w:pPr>
        <w:pStyle w:val="BodyText2"/>
        <w:spacing w:line="276" w:lineRule="auto"/>
        <w:rPr>
          <w:rFonts w:ascii="Gadugi" w:hAnsi="Gadugi" w:cs="Century Gothic"/>
          <w:szCs w:val="24"/>
          <w:lang w:val="es-419"/>
        </w:rPr>
      </w:pPr>
      <w:r>
        <w:rPr>
          <w:rFonts w:ascii="Gadugi" w:hAnsi="Gadugi" w:cs="Century Gothic"/>
          <w:szCs w:val="24"/>
          <w:lang w:val="es-CO"/>
        </w:rPr>
        <w:t xml:space="preserve">Los magistrados del Consejo Seccional de la Judicatura, </w:t>
      </w:r>
      <w:r>
        <w:rPr>
          <w:rFonts w:ascii="Gadugi" w:hAnsi="Gadugi" w:cs="Century Gothic"/>
          <w:szCs w:val="24"/>
          <w:lang w:val="es-419"/>
        </w:rPr>
        <w:t xml:space="preserve">señalaron que </w:t>
      </w:r>
      <w:r>
        <w:rPr>
          <w:rFonts w:ascii="Gadugi" w:hAnsi="Gadugi" w:cs="Century Gothic"/>
          <w:szCs w:val="24"/>
          <w:lang w:val="es-CO"/>
        </w:rPr>
        <w:t xml:space="preserve">no existe un nexo causal entre lo pretendido y las acciones u omisiones de esa entidad; </w:t>
      </w:r>
      <w:r>
        <w:rPr>
          <w:rFonts w:ascii="Gadugi" w:hAnsi="Gadugi" w:cs="Century Gothic"/>
          <w:szCs w:val="24"/>
          <w:lang w:val="es-419"/>
        </w:rPr>
        <w:t xml:space="preserve">además, </w:t>
      </w:r>
      <w:r>
        <w:rPr>
          <w:rFonts w:ascii="Gadugi" w:hAnsi="Gadugi" w:cs="Century Gothic"/>
          <w:szCs w:val="24"/>
          <w:lang w:val="es-CO"/>
        </w:rPr>
        <w:t>el actor no ha solicitado vigilancia dentro del proceso “2015-75” que cursa en el Juzgado accionado</w:t>
      </w:r>
      <w:r>
        <w:rPr>
          <w:rFonts w:ascii="Gadugi" w:hAnsi="Gadugi" w:cs="Century Gothic"/>
          <w:szCs w:val="24"/>
          <w:lang w:val="es-419"/>
        </w:rPr>
        <w:t xml:space="preserve"> y </w:t>
      </w:r>
      <w:r>
        <w:rPr>
          <w:rFonts w:ascii="Gadugi" w:hAnsi="Gadugi" w:cs="Century Gothic"/>
          <w:szCs w:val="24"/>
          <w:lang w:val="es-CO"/>
        </w:rPr>
        <w:t>el interesado</w:t>
      </w:r>
      <w:r>
        <w:rPr>
          <w:rFonts w:ascii="Gadugi" w:hAnsi="Gadugi" w:cs="Century Gothic"/>
          <w:szCs w:val="24"/>
          <w:lang w:val="es-419"/>
        </w:rPr>
        <w:t>,</w:t>
      </w:r>
      <w:r>
        <w:rPr>
          <w:rFonts w:ascii="Gadugi" w:hAnsi="Gadugi" w:cs="Century Gothic"/>
          <w:szCs w:val="24"/>
          <w:lang w:val="es-CO"/>
        </w:rPr>
        <w:t xml:space="preserve"> dentro de la acción popular “2015-74”</w:t>
      </w:r>
      <w:r>
        <w:rPr>
          <w:rFonts w:ascii="Gadugi" w:hAnsi="Gadugi" w:cs="Century Gothic"/>
          <w:szCs w:val="24"/>
          <w:lang w:val="es-419"/>
        </w:rPr>
        <w:t xml:space="preserve">, tuvo las oportunidades procesales para </w:t>
      </w:r>
      <w:r>
        <w:rPr>
          <w:rFonts w:ascii="Gadugi" w:hAnsi="Gadugi" w:cs="Century Gothic"/>
          <w:szCs w:val="24"/>
          <w:lang w:val="es-CO"/>
        </w:rPr>
        <w:t>interponer los recursos correspondientes</w:t>
      </w:r>
      <w:r>
        <w:rPr>
          <w:rFonts w:ascii="Gadugi" w:hAnsi="Gadugi" w:cs="Century Gothic"/>
          <w:szCs w:val="24"/>
          <w:lang w:val="es-419"/>
        </w:rPr>
        <w:t xml:space="preserve">. </w:t>
      </w:r>
    </w:p>
    <w:p w:rsidR="009F78FA" w:rsidRDefault="009F78FA" w:rsidP="009F78FA">
      <w:pPr>
        <w:pStyle w:val="BodyText2"/>
        <w:spacing w:line="276" w:lineRule="auto"/>
        <w:rPr>
          <w:rFonts w:ascii="Gadugi" w:hAnsi="Gadugi" w:cs="Century Gothic"/>
          <w:szCs w:val="24"/>
          <w:lang w:val="es-419"/>
        </w:rPr>
      </w:pPr>
    </w:p>
    <w:p w:rsidR="009F78FA" w:rsidRDefault="009F78FA" w:rsidP="009F78FA">
      <w:pPr>
        <w:pStyle w:val="BodyText2"/>
        <w:spacing w:line="276" w:lineRule="auto"/>
        <w:rPr>
          <w:rFonts w:ascii="Gadugi" w:hAnsi="Gadugi" w:cs="Century Gothic"/>
          <w:szCs w:val="24"/>
          <w:lang w:val="es-419"/>
        </w:rPr>
      </w:pPr>
      <w:r>
        <w:rPr>
          <w:rFonts w:ascii="Gadugi" w:hAnsi="Gadugi" w:cs="Century Gothic"/>
          <w:szCs w:val="24"/>
          <w:lang w:val="es-CO"/>
        </w:rPr>
        <w:t xml:space="preserve">El Municipio de Pereira, por conducto de apoderado judicial, dijo que no tiene injerencia alguna en las providencias judiciales que se </w:t>
      </w:r>
      <w:r>
        <w:rPr>
          <w:rFonts w:ascii="Gadugi" w:hAnsi="Gadugi" w:cs="Century Gothic"/>
          <w:szCs w:val="24"/>
          <w:lang w:val="es-CO"/>
        </w:rPr>
        <w:lastRenderedPageBreak/>
        <w:t>profieren</w:t>
      </w:r>
      <w:r>
        <w:rPr>
          <w:rFonts w:ascii="Gadugi" w:hAnsi="Gadugi" w:cs="Century Gothic"/>
          <w:szCs w:val="24"/>
          <w:lang w:val="es-419"/>
        </w:rPr>
        <w:t xml:space="preserve"> y el accionante </w:t>
      </w:r>
      <w:r>
        <w:rPr>
          <w:rFonts w:ascii="Gadugi" w:hAnsi="Gadugi" w:cs="Century Gothic"/>
          <w:szCs w:val="24"/>
          <w:lang w:val="es-CO"/>
        </w:rPr>
        <w:t>no acreditó la interposición de recursos frente a la providencia que lo condenó</w:t>
      </w:r>
      <w:r>
        <w:rPr>
          <w:rFonts w:ascii="Gadugi" w:hAnsi="Gadugi" w:cs="Century Gothic"/>
          <w:szCs w:val="24"/>
          <w:lang w:val="es-419"/>
        </w:rPr>
        <w:t xml:space="preserve">. </w:t>
      </w:r>
    </w:p>
    <w:p w:rsidR="009F78FA" w:rsidRDefault="009F78FA" w:rsidP="009F78FA">
      <w:pPr>
        <w:pStyle w:val="BodyText2"/>
        <w:spacing w:line="276" w:lineRule="auto"/>
        <w:rPr>
          <w:rFonts w:ascii="Gadugi" w:hAnsi="Gadugi" w:cs="Century Gothic"/>
          <w:szCs w:val="24"/>
          <w:lang w:val="es-419"/>
        </w:rPr>
      </w:pPr>
    </w:p>
    <w:p w:rsidR="009F78FA" w:rsidRPr="006E6DDF" w:rsidRDefault="009F78FA" w:rsidP="009F78FA">
      <w:pPr>
        <w:pStyle w:val="BodyText2"/>
        <w:spacing w:line="276" w:lineRule="auto"/>
        <w:rPr>
          <w:rFonts w:ascii="Gadugi" w:hAnsi="Gadugi" w:cs="Century Gothic"/>
          <w:szCs w:val="24"/>
          <w:lang w:val="es-CO"/>
        </w:rPr>
      </w:pPr>
      <w:r>
        <w:rPr>
          <w:rFonts w:ascii="Gadugi" w:hAnsi="Gadugi" w:cs="Century Gothic"/>
          <w:szCs w:val="24"/>
          <w:lang w:val="es-419"/>
        </w:rPr>
        <w:t>La</w:t>
      </w:r>
      <w:r w:rsidRPr="002119C0">
        <w:rPr>
          <w:rFonts w:ascii="Gadugi" w:hAnsi="Gadugi" w:cs="Century Gothic"/>
          <w:szCs w:val="24"/>
        </w:rPr>
        <w:t xml:space="preserve"> Procuradora Judicial Regional Risaralda, manifestó que la intervención de la agencia está orientada, como órgano de control, a la defensa de los derechos e intereses colectivos.</w:t>
      </w:r>
      <w:r>
        <w:rPr>
          <w:rFonts w:ascii="Gadugi" w:hAnsi="Gadugi" w:cs="Century Gothic"/>
          <w:szCs w:val="24"/>
        </w:rPr>
        <w:t xml:space="preserve"> </w:t>
      </w:r>
    </w:p>
    <w:p w:rsidR="009F78FA" w:rsidRPr="002119C0" w:rsidRDefault="009F78FA" w:rsidP="009F78FA">
      <w:pPr>
        <w:pStyle w:val="BodyText2"/>
        <w:spacing w:line="276" w:lineRule="auto"/>
        <w:rPr>
          <w:rFonts w:ascii="Gadugi" w:hAnsi="Gadugi" w:cs="Century Gothic"/>
          <w:szCs w:val="24"/>
        </w:rPr>
      </w:pPr>
    </w:p>
    <w:p w:rsidR="009F78FA" w:rsidRDefault="009F78FA" w:rsidP="009F78FA">
      <w:pPr>
        <w:spacing w:line="276" w:lineRule="auto"/>
        <w:ind w:firstLine="2835"/>
        <w:jc w:val="both"/>
        <w:rPr>
          <w:rFonts w:ascii="Gadugi" w:hAnsi="Gadugi" w:cs="Arial"/>
          <w:b/>
          <w:sz w:val="24"/>
          <w:szCs w:val="24"/>
        </w:rPr>
      </w:pPr>
    </w:p>
    <w:p w:rsidR="009F78FA" w:rsidRDefault="009F78FA" w:rsidP="009F78FA">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9F78FA" w:rsidRPr="002119C0" w:rsidRDefault="009F78FA" w:rsidP="009F78FA">
      <w:pPr>
        <w:spacing w:line="276" w:lineRule="auto"/>
        <w:ind w:firstLine="2835"/>
        <w:jc w:val="both"/>
        <w:rPr>
          <w:rFonts w:ascii="Gadugi" w:hAnsi="Gadugi" w:cs="Arial"/>
          <w:b/>
          <w:sz w:val="24"/>
          <w:szCs w:val="24"/>
        </w:rPr>
      </w:pPr>
    </w:p>
    <w:p w:rsidR="009F78FA" w:rsidRPr="002119C0" w:rsidRDefault="009F78FA" w:rsidP="009F78FA">
      <w:pPr>
        <w:spacing w:line="276" w:lineRule="auto"/>
        <w:ind w:firstLine="2835"/>
        <w:jc w:val="both"/>
        <w:rPr>
          <w:rFonts w:ascii="Gadugi" w:hAnsi="Gadugi" w:cs="Arial"/>
          <w:sz w:val="24"/>
          <w:szCs w:val="24"/>
          <w:u w:val="single"/>
        </w:rPr>
      </w:pPr>
    </w:p>
    <w:p w:rsidR="009F78FA" w:rsidRPr="00B4481E" w:rsidRDefault="009F78FA" w:rsidP="009F78FA">
      <w:pPr>
        <w:pStyle w:val="BodyText2"/>
        <w:spacing w:line="276" w:lineRule="auto"/>
        <w:rPr>
          <w:rFonts w:ascii="Gadugi" w:hAnsi="Gadugi"/>
          <w:szCs w:val="24"/>
        </w:rPr>
      </w:pPr>
      <w:r w:rsidRPr="00B4481E">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9F78FA" w:rsidRPr="00B4481E" w:rsidRDefault="009F78FA" w:rsidP="009F78FA">
      <w:pPr>
        <w:spacing w:line="276" w:lineRule="auto"/>
        <w:jc w:val="both"/>
        <w:rPr>
          <w:rFonts w:ascii="Gadugi" w:hAnsi="Gadugi" w:cs="Arial"/>
          <w:sz w:val="24"/>
          <w:szCs w:val="24"/>
          <w:lang w:val="es-CO"/>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2119C0">
        <w:rPr>
          <w:rFonts w:ascii="Gadugi" w:hAnsi="Gadugi"/>
          <w:sz w:val="24"/>
          <w:szCs w:val="24"/>
        </w:rPr>
        <w:t xml:space="preserve">Se acude en esta oportunidad </w:t>
      </w:r>
      <w:r w:rsidRPr="002119C0">
        <w:rPr>
          <w:rFonts w:ascii="Gadugi" w:hAnsi="Gadugi" w:cs="Arial"/>
          <w:sz w:val="24"/>
          <w:szCs w:val="24"/>
        </w:rPr>
        <w:t xml:space="preserve">en procura de </w:t>
      </w:r>
      <w:r>
        <w:rPr>
          <w:rFonts w:ascii="Gadugi" w:hAnsi="Gadugi" w:cs="Arial"/>
          <w:sz w:val="24"/>
          <w:szCs w:val="24"/>
          <w:lang w:val="es-419"/>
        </w:rPr>
        <w:t xml:space="preserve">la protección de </w:t>
      </w:r>
      <w:r w:rsidRPr="002119C0">
        <w:rPr>
          <w:rFonts w:ascii="Gadugi" w:hAnsi="Gadugi" w:cs="Arial"/>
          <w:sz w:val="24"/>
          <w:szCs w:val="24"/>
        </w:rPr>
        <w:t xml:space="preserve">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xml:space="preserve">, </w:t>
      </w:r>
      <w:r>
        <w:rPr>
          <w:rFonts w:ascii="Gadugi" w:hAnsi="Gadugi" w:cs="Arial"/>
          <w:sz w:val="24"/>
          <w:szCs w:val="24"/>
        </w:rPr>
        <w:t xml:space="preserve">con el objeto de que se </w:t>
      </w:r>
      <w:r>
        <w:rPr>
          <w:rFonts w:ascii="Gadugi" w:hAnsi="Gadugi" w:cs="Arial"/>
          <w:sz w:val="24"/>
          <w:szCs w:val="24"/>
          <w:lang w:val="es-419"/>
        </w:rPr>
        <w:t xml:space="preserve">absuelva al demandante del </w:t>
      </w:r>
      <w:r>
        <w:rPr>
          <w:rFonts w:ascii="Gadugi" w:hAnsi="Gadugi" w:cs="Arial"/>
          <w:sz w:val="24"/>
          <w:szCs w:val="24"/>
        </w:rPr>
        <w:t>pago de $1’000.000,oo que el Juzgado demandado fijó por concepto de agencias en derecho dentro de</w:t>
      </w:r>
      <w:r>
        <w:rPr>
          <w:rFonts w:ascii="Gadugi" w:hAnsi="Gadugi" w:cs="Arial"/>
          <w:sz w:val="24"/>
          <w:szCs w:val="24"/>
          <w:lang w:val="es-419"/>
        </w:rPr>
        <w:t xml:space="preserve"> la acción popular que le fue negada. También, </w:t>
      </w:r>
      <w:r>
        <w:rPr>
          <w:rFonts w:ascii="Gadugi" w:hAnsi="Gadugi" w:cs="Arial"/>
          <w:sz w:val="24"/>
          <w:szCs w:val="24"/>
        </w:rPr>
        <w:t xml:space="preserve">para que se conmine al mismo </w:t>
      </w:r>
      <w:r>
        <w:rPr>
          <w:rFonts w:ascii="Gadugi" w:hAnsi="Gadugi" w:cs="Arial"/>
          <w:sz w:val="24"/>
          <w:szCs w:val="24"/>
          <w:lang w:val="es-419"/>
        </w:rPr>
        <w:t xml:space="preserve">a </w:t>
      </w:r>
      <w:proofErr w:type="spellStart"/>
      <w:r>
        <w:rPr>
          <w:rFonts w:ascii="Gadugi" w:hAnsi="Gadugi" w:cs="Arial"/>
          <w:sz w:val="24"/>
          <w:szCs w:val="24"/>
        </w:rPr>
        <w:t>inform</w:t>
      </w:r>
      <w:proofErr w:type="spellEnd"/>
      <w:r>
        <w:rPr>
          <w:rFonts w:ascii="Gadugi" w:hAnsi="Gadugi" w:cs="Arial"/>
          <w:sz w:val="24"/>
          <w:szCs w:val="24"/>
          <w:lang w:val="es-419"/>
        </w:rPr>
        <w:t>ar</w:t>
      </w:r>
      <w:r>
        <w:rPr>
          <w:rFonts w:ascii="Gadugi" w:hAnsi="Gadugi" w:cs="Arial"/>
          <w:sz w:val="24"/>
          <w:szCs w:val="24"/>
        </w:rPr>
        <w:t xml:space="preserve"> a la comunidad sobre la existencia de la acción popular por medio de la emisora de la Policía, pues no tiene vínculo laboral para asumir ese costo, y al Consejo Seccional de la Judicatura </w:t>
      </w:r>
      <w:r>
        <w:rPr>
          <w:rFonts w:ascii="Gadugi" w:hAnsi="Gadugi" w:cs="Arial"/>
          <w:sz w:val="24"/>
          <w:szCs w:val="24"/>
          <w:lang w:val="es-419"/>
        </w:rPr>
        <w:t xml:space="preserve">a </w:t>
      </w:r>
      <w:r>
        <w:rPr>
          <w:rFonts w:ascii="Gadugi" w:hAnsi="Gadugi" w:cs="Arial"/>
          <w:sz w:val="24"/>
          <w:szCs w:val="24"/>
        </w:rPr>
        <w:t xml:space="preserve">iniciar las actuaciones </w:t>
      </w:r>
      <w:r>
        <w:rPr>
          <w:rFonts w:ascii="Gadugi" w:hAnsi="Gadugi" w:cs="Arial"/>
          <w:sz w:val="24"/>
          <w:szCs w:val="24"/>
          <w:lang w:val="es-419"/>
        </w:rPr>
        <w:t xml:space="preserve">a </w:t>
      </w:r>
      <w:r>
        <w:rPr>
          <w:rFonts w:ascii="Gadugi" w:hAnsi="Gadugi" w:cs="Arial"/>
          <w:sz w:val="24"/>
          <w:szCs w:val="24"/>
        </w:rPr>
        <w:t>que en derecho haya lugar</w:t>
      </w:r>
      <w:r>
        <w:rPr>
          <w:rFonts w:ascii="Gadugi" w:hAnsi="Gadugi" w:cs="Arial"/>
          <w:sz w:val="24"/>
          <w:szCs w:val="24"/>
          <w:lang w:val="es-419"/>
        </w:rPr>
        <w:t xml:space="preserve">, con el fin de </w:t>
      </w:r>
      <w:r>
        <w:rPr>
          <w:rFonts w:ascii="Gadugi" w:hAnsi="Gadugi" w:cs="Arial"/>
          <w:sz w:val="24"/>
          <w:szCs w:val="24"/>
        </w:rPr>
        <w:t xml:space="preserve">evitar la repetición de conductas como las asumidas por </w:t>
      </w:r>
      <w:r>
        <w:rPr>
          <w:rFonts w:ascii="Gadugi" w:hAnsi="Gadugi" w:cs="Arial"/>
          <w:sz w:val="24"/>
          <w:szCs w:val="24"/>
          <w:lang w:val="es-419"/>
        </w:rPr>
        <w:t>la funcionaria accionada.</w:t>
      </w:r>
      <w:r w:rsidRPr="00B4481E">
        <w:rPr>
          <w:rFonts w:ascii="Gadugi" w:hAnsi="Gadugi" w:cs="Arial"/>
          <w:sz w:val="24"/>
          <w:szCs w:val="24"/>
          <w:lang w:val="es-CO"/>
        </w:rPr>
        <w:t xml:space="preserve"> </w:t>
      </w:r>
    </w:p>
    <w:p w:rsidR="009F78FA" w:rsidRDefault="009F78FA" w:rsidP="009F78FA">
      <w:pPr>
        <w:pStyle w:val="NoSpacing"/>
        <w:spacing w:line="276" w:lineRule="auto"/>
        <w:ind w:right="51" w:firstLine="2835"/>
        <w:jc w:val="both"/>
        <w:rPr>
          <w:rFonts w:ascii="Gadugi" w:hAnsi="Gadugi" w:cs="Arial"/>
        </w:rPr>
      </w:pPr>
    </w:p>
    <w:p w:rsidR="009F78FA" w:rsidRPr="00B4481E" w:rsidRDefault="009F78FA" w:rsidP="009F78FA">
      <w:pPr>
        <w:pStyle w:val="NoSpacing"/>
        <w:spacing w:line="276" w:lineRule="auto"/>
        <w:ind w:right="51" w:firstLine="2835"/>
        <w:jc w:val="both"/>
        <w:rPr>
          <w:rFonts w:ascii="Gadugi" w:hAnsi="Gadugi" w:cs="Arial"/>
          <w:lang w:val="es-419"/>
        </w:rPr>
      </w:pPr>
      <w:r w:rsidRPr="00B4481E">
        <w:rPr>
          <w:rFonts w:ascii="Gadugi" w:hAnsi="Gadugi" w:cs="Arial"/>
        </w:rPr>
        <w:t xml:space="preserve">Reiteradamente se ha expuesto que </w:t>
      </w:r>
      <w:r w:rsidRPr="00B4481E">
        <w:rPr>
          <w:rFonts w:ascii="Gadugi" w:hAnsi="Gadugi"/>
        </w:rPr>
        <w:t xml:space="preserve">a pesar de la </w:t>
      </w:r>
      <w:proofErr w:type="spellStart"/>
      <w:r w:rsidRPr="00B4481E">
        <w:rPr>
          <w:rFonts w:ascii="Gadugi" w:hAnsi="Gadugi"/>
        </w:rPr>
        <w:t>inexequibilidad</w:t>
      </w:r>
      <w:proofErr w:type="spellEnd"/>
      <w:r w:rsidRPr="00B4481E">
        <w:rPr>
          <w:rFonts w:ascii="Gadugi" w:hAnsi="Gadugi"/>
        </w:rPr>
        <w:t xml:space="preserve"> de las normas que en el Decreto 2591 de 1991 preveían la acción de tutela contra providencias judiciales</w:t>
      </w:r>
      <w:r w:rsidRPr="00B4481E">
        <w:rPr>
          <w:rStyle w:val="Refdenotaalpie"/>
          <w:rFonts w:ascii="Gadugi" w:hAnsi="Gadugi"/>
        </w:rPr>
        <w:footnoteReference w:id="1"/>
      </w:r>
      <w:r w:rsidRPr="00B4481E">
        <w:rPr>
          <w:rFonts w:ascii="Gadugi" w:hAnsi="Gadugi"/>
        </w:rPr>
        <w:t xml:space="preserve">, tal mecanismo se abre paso en aquellos eventos en los que se incurra en una vía de hecho, o como se denominan ahora, criterios de </w:t>
      </w:r>
      <w:proofErr w:type="spellStart"/>
      <w:r w:rsidRPr="00B4481E">
        <w:rPr>
          <w:rFonts w:ascii="Gadugi" w:hAnsi="Gadugi"/>
        </w:rPr>
        <w:t>procedibilidad</w:t>
      </w:r>
      <w:proofErr w:type="spellEnd"/>
      <w:r w:rsidRPr="00B4481E">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B4481E">
        <w:rPr>
          <w:rFonts w:ascii="Gadugi" w:hAnsi="Gadugi" w:cs="Arial"/>
        </w:rPr>
        <w:t xml:space="preserve"> en múltiples ocasiones. Sobre ellas, recientemente, en la sentencia T-022 de 2016, aludiendo a la C-590 de 2005, recordó que las primeras obedecen </w:t>
      </w:r>
      <w:r w:rsidRPr="00B4481E">
        <w:rPr>
          <w:rFonts w:ascii="Gadugi" w:hAnsi="Gadugi" w:cs="Arial"/>
        </w:rPr>
        <w:lastRenderedPageBreak/>
        <w:t xml:space="preserve">a que (i) el asunto tenga relevancia constitucional; (ii) que se hayan agotado los recursos judiciales ordinarios y extraordinarios; (iii) que se cumpla el requisito de la inmediatez; (iv) que la irregularidad procesal tenga incidencia en la decisión de fondo; (v) </w:t>
      </w:r>
      <w:r w:rsidRPr="002119C0">
        <w:rPr>
          <w:rFonts w:ascii="Gadugi" w:hAnsi="Gadugi" w:cs="Arial"/>
        </w:rPr>
        <w:t xml:space="preserve">que </w:t>
      </w:r>
      <w:r w:rsidRPr="00A45B1B">
        <w:rPr>
          <w:rFonts w:ascii="Gadugi" w:hAnsi="Gadugi"/>
        </w:rPr>
        <w:t>la parte actora identifique de manera razonable tanto los hechos que generaron la vulneración como los derechos vulnerados</w:t>
      </w:r>
      <w:r w:rsidRPr="00B4481E">
        <w:rPr>
          <w:rFonts w:ascii="Gadugi" w:hAnsi="Gadugi" w:cs="Arial"/>
        </w:rPr>
        <w:t xml:space="preserve"> </w:t>
      </w:r>
      <w:r>
        <w:rPr>
          <w:rFonts w:ascii="Gadugi" w:hAnsi="Gadugi" w:cs="Arial"/>
          <w:lang w:val="es-419"/>
        </w:rPr>
        <w:t>y</w:t>
      </w:r>
      <w:r w:rsidRPr="00B4481E">
        <w:rPr>
          <w:rFonts w:ascii="Gadugi" w:hAnsi="Gadugi" w:cs="Arial"/>
        </w:rPr>
        <w:t xml:space="preserve"> los hechos hayan sido cuestionados dentro del proceso; y (vi) que el fallo censurado no sea de tutela.</w:t>
      </w:r>
      <w:r w:rsidRPr="00B4481E">
        <w:rPr>
          <w:rFonts w:ascii="Gadugi" w:hAnsi="Gadugi" w:cs="Arial"/>
          <w:lang w:val="es-419"/>
        </w:rPr>
        <w:t xml:space="preserve"> </w:t>
      </w:r>
      <w:r w:rsidRPr="00B4481E">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9F78FA" w:rsidRPr="00B4481E" w:rsidRDefault="009F78FA" w:rsidP="009F78FA">
      <w:pPr>
        <w:pStyle w:val="NoSpacing"/>
        <w:spacing w:line="276" w:lineRule="auto"/>
        <w:ind w:right="51" w:firstLine="2835"/>
        <w:jc w:val="both"/>
        <w:rPr>
          <w:rFonts w:ascii="Gadugi" w:hAnsi="Gadugi"/>
          <w:lang w:val="es-419"/>
        </w:rPr>
      </w:pPr>
    </w:p>
    <w:p w:rsidR="009F78FA" w:rsidRDefault="009F78FA" w:rsidP="009F78FA">
      <w:pPr>
        <w:pStyle w:val="NoSpacing"/>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mediante sentencia del 5 de septiembre del presente año, se declaró la prosperidad de las excepciones presentadas por la parte demandada en la acción popular de que da cuenta este trámite y se condenó en costas al actor popular</w:t>
      </w:r>
      <w:r>
        <w:rPr>
          <w:rFonts w:ascii="Gadugi" w:hAnsi="Gadugi"/>
          <w:lang w:val="es-419"/>
        </w:rPr>
        <w:t xml:space="preserve">; a la vez, </w:t>
      </w:r>
      <w:r>
        <w:rPr>
          <w:rFonts w:ascii="Gadugi" w:hAnsi="Gadugi"/>
          <w:lang w:val="es-CO"/>
        </w:rPr>
        <w:t xml:space="preserve">se fijaron </w:t>
      </w:r>
      <w:r>
        <w:rPr>
          <w:rFonts w:ascii="Gadugi" w:hAnsi="Gadugi"/>
          <w:lang w:val="es-419"/>
        </w:rPr>
        <w:t xml:space="preserve">las </w:t>
      </w:r>
      <w:r>
        <w:rPr>
          <w:rFonts w:ascii="Gadugi" w:hAnsi="Gadugi"/>
          <w:lang w:val="es-CO"/>
        </w:rPr>
        <w:t xml:space="preserve">agencias en derecho </w:t>
      </w:r>
      <w:r>
        <w:rPr>
          <w:rFonts w:ascii="Gadugi" w:hAnsi="Gadugi"/>
          <w:lang w:val="es-419"/>
        </w:rPr>
        <w:t xml:space="preserve">en </w:t>
      </w:r>
      <w:r>
        <w:rPr>
          <w:rFonts w:ascii="Gadugi" w:hAnsi="Gadugi"/>
          <w:lang w:val="es-CO"/>
        </w:rPr>
        <w:t>la suma de $1’000.000</w:t>
      </w:r>
      <w:proofErr w:type="gramStart"/>
      <w:r>
        <w:rPr>
          <w:rFonts w:ascii="Gadugi" w:hAnsi="Gadugi"/>
          <w:lang w:val="es-CO"/>
        </w:rPr>
        <w:t>,oo</w:t>
      </w:r>
      <w:proofErr w:type="gramEnd"/>
      <w:r>
        <w:rPr>
          <w:rFonts w:ascii="Gadugi" w:hAnsi="Gadugi"/>
          <w:lang w:val="es-419"/>
        </w:rPr>
        <w:t xml:space="preserve">. </w:t>
      </w:r>
      <w:r>
        <w:rPr>
          <w:rFonts w:ascii="Gadugi" w:hAnsi="Gadugi"/>
          <w:lang w:val="es-CO"/>
        </w:rPr>
        <w:t>Ese fallo se encuentra en firme</w:t>
      </w:r>
      <w:r>
        <w:rPr>
          <w:rFonts w:ascii="Gadugi" w:hAnsi="Gadugi"/>
          <w:lang w:val="es-419"/>
        </w:rPr>
        <w:t>,</w:t>
      </w:r>
      <w:r>
        <w:rPr>
          <w:rFonts w:ascii="Gadugi" w:hAnsi="Gadugi"/>
          <w:lang w:val="es-CO"/>
        </w:rPr>
        <w:t xml:space="preserve"> como quiera </w:t>
      </w:r>
      <w:r>
        <w:rPr>
          <w:rFonts w:ascii="Gadugi" w:hAnsi="Gadugi"/>
          <w:lang w:val="es-419"/>
        </w:rPr>
        <w:t>e</w:t>
      </w:r>
      <w:r>
        <w:rPr>
          <w:rFonts w:ascii="Gadugi" w:hAnsi="Gadugi"/>
          <w:lang w:val="es-CO"/>
        </w:rPr>
        <w:t xml:space="preserve">l recurso interpuesto </w:t>
      </w:r>
      <w:r>
        <w:rPr>
          <w:rFonts w:ascii="Gadugi" w:hAnsi="Gadugi"/>
          <w:lang w:val="es-419"/>
        </w:rPr>
        <w:t>fue extemporáneo (</w:t>
      </w:r>
      <w:r>
        <w:rPr>
          <w:rFonts w:ascii="Gadugi" w:hAnsi="Gadugi"/>
          <w:lang w:val="es-CO"/>
        </w:rPr>
        <w:t>f. 45).</w:t>
      </w:r>
    </w:p>
    <w:p w:rsidR="009F78FA" w:rsidRDefault="009F78FA" w:rsidP="009F78FA">
      <w:pPr>
        <w:pStyle w:val="NoSpacing"/>
        <w:spacing w:line="276" w:lineRule="auto"/>
        <w:ind w:right="51"/>
        <w:jc w:val="both"/>
        <w:rPr>
          <w:rFonts w:ascii="Gadugi" w:hAnsi="Gadugi"/>
          <w:lang w:val="es-419"/>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419"/>
        </w:rPr>
        <w:t xml:space="preserve">En este aspecto, la acción es improcedente, si bien </w:t>
      </w:r>
      <w:r>
        <w:rPr>
          <w:rFonts w:ascii="Gadugi" w:hAnsi="Gadugi"/>
          <w:lang w:val="es-CO"/>
        </w:rPr>
        <w:t>la etapa procesal subsiguiente se contrae a l</w:t>
      </w:r>
      <w:r>
        <w:rPr>
          <w:rFonts w:ascii="Gadugi" w:hAnsi="Gadugi"/>
          <w:lang w:val="es-419"/>
        </w:rPr>
        <w:t xml:space="preserve">a liquidación de las costas en la acción popular, trámite que deberá realizar la secretaría, para que la jueza efectúe la revisión del caso y la apruebe o la rechace. Ese será el momento oportuno para que el ahora accionante refute, con el recurso que resulte pertinente, la decisión final que se adopte, según lo prevé la regla 4ª del artículo 366 del Código general del proceso. </w:t>
      </w:r>
    </w:p>
    <w:p w:rsidR="009F78FA" w:rsidRDefault="009F78FA" w:rsidP="009F78FA">
      <w:pPr>
        <w:pStyle w:val="NoSpacing"/>
        <w:spacing w:line="276" w:lineRule="auto"/>
        <w:ind w:right="51"/>
        <w:jc w:val="both"/>
        <w:rPr>
          <w:rFonts w:ascii="Gadugi" w:hAnsi="Gadugi"/>
          <w:lang w:val="es-419"/>
        </w:rPr>
      </w:pPr>
    </w:p>
    <w:p w:rsidR="009F78FA" w:rsidRPr="00B4481E" w:rsidRDefault="009F78FA" w:rsidP="009F78FA">
      <w:pPr>
        <w:pStyle w:val="NoSpacing"/>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Es decir, que </w:t>
      </w:r>
      <w:r>
        <w:rPr>
          <w:rFonts w:ascii="Gadugi" w:hAnsi="Gadugi"/>
        </w:rPr>
        <w:t xml:space="preserve">cuenta </w:t>
      </w:r>
      <w:r w:rsidRPr="00B4481E">
        <w:rPr>
          <w:rFonts w:ascii="Gadugi" w:hAnsi="Gadugi"/>
        </w:rPr>
        <w:t xml:space="preserve">el accionante con otro mecanismo </w:t>
      </w:r>
      <w:r>
        <w:rPr>
          <w:rFonts w:ascii="Gadugi" w:hAnsi="Gadugi"/>
          <w:lang w:val="es-419"/>
        </w:rPr>
        <w:t xml:space="preserve">idóneo de </w:t>
      </w:r>
      <w:r w:rsidRPr="00B4481E">
        <w:rPr>
          <w:rFonts w:ascii="Gadugi" w:hAnsi="Gadugi"/>
          <w:lang w:val="es-CO"/>
        </w:rPr>
        <w:t xml:space="preserve">defensa </w:t>
      </w:r>
      <w:r>
        <w:rPr>
          <w:rFonts w:ascii="Gadugi" w:hAnsi="Gadugi"/>
          <w:lang w:val="es-CO"/>
        </w:rPr>
        <w:t>judicial</w:t>
      </w:r>
      <w:r>
        <w:rPr>
          <w:rFonts w:ascii="Gadugi" w:hAnsi="Gadugi"/>
          <w:lang w:val="es-419"/>
        </w:rPr>
        <w:t xml:space="preserve">, dentro de </w:t>
      </w:r>
      <w:r>
        <w:rPr>
          <w:rFonts w:ascii="Gadugi" w:hAnsi="Gadugi"/>
          <w:lang w:val="es-CO"/>
        </w:rPr>
        <w:t>la actuación misma</w:t>
      </w:r>
      <w:r>
        <w:rPr>
          <w:rFonts w:ascii="Gadugi" w:hAnsi="Gadugi"/>
          <w:lang w:val="es-419"/>
        </w:rPr>
        <w:t xml:space="preserve">, lo que le impide recurrir a esta especial vía, que </w:t>
      </w:r>
      <w:r w:rsidRPr="00B4481E">
        <w:rPr>
          <w:rFonts w:ascii="Gadugi" w:hAnsi="Gadugi"/>
          <w:lang w:val="es-CO"/>
        </w:rPr>
        <w:t>es, por s</w:t>
      </w:r>
      <w:r>
        <w:rPr>
          <w:rFonts w:ascii="Gadugi" w:hAnsi="Gadugi"/>
          <w:lang w:val="es-CO"/>
        </w:rPr>
        <w:t>u naturaleza, residual</w:t>
      </w:r>
      <w:r w:rsidRPr="00B4481E">
        <w:rPr>
          <w:rFonts w:ascii="Gadugi" w:hAnsi="Gadugi"/>
          <w:lang w:val="es-CO"/>
        </w:rPr>
        <w:t xml:space="preserve"> y</w:t>
      </w:r>
      <w:r>
        <w:rPr>
          <w:rFonts w:ascii="Gadugi" w:hAnsi="Gadugi"/>
          <w:lang w:val="es-CO"/>
        </w:rPr>
        <w:t xml:space="preserve"> subsidiaria, </w:t>
      </w:r>
      <w:r>
        <w:rPr>
          <w:rFonts w:ascii="Gadugi" w:hAnsi="Gadugi"/>
          <w:lang w:val="es-419"/>
        </w:rPr>
        <w:t>en tanto</w:t>
      </w:r>
      <w:r w:rsidRPr="00B4481E">
        <w:rPr>
          <w:rFonts w:ascii="Gadugi" w:hAnsi="Gadugi"/>
          <w:lang w:val="es-CO"/>
        </w:rPr>
        <w:t xml:space="preserve"> solo </w:t>
      </w:r>
      <w:r>
        <w:rPr>
          <w:rFonts w:ascii="Gadugi" w:hAnsi="Gadugi"/>
          <w:lang w:val="es-419"/>
        </w:rPr>
        <w:t xml:space="preserve">procede </w:t>
      </w:r>
      <w:r w:rsidRPr="00B4481E">
        <w:rPr>
          <w:rFonts w:ascii="Gadugi" w:hAnsi="Gadugi"/>
          <w:lang w:val="es-CO"/>
        </w:rPr>
        <w:t>cuando se ha echado mano de todas las herramientas con que las partes cuentan en el proceso y ellas han sido infructuosas, lo que en este caso no ha acontecido</w:t>
      </w:r>
      <w:r>
        <w:rPr>
          <w:rFonts w:ascii="Gadugi" w:hAnsi="Gadugi"/>
          <w:lang w:val="es-419"/>
        </w:rPr>
        <w:t xml:space="preserve">. </w:t>
      </w:r>
    </w:p>
    <w:p w:rsidR="009F78FA" w:rsidRDefault="009F78FA" w:rsidP="009F78FA">
      <w:pPr>
        <w:pStyle w:val="NoSpacing"/>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r>
    </w:p>
    <w:p w:rsidR="009F78FA" w:rsidRDefault="009F78FA" w:rsidP="009F78FA">
      <w:pPr>
        <w:pStyle w:val="NoSpacing"/>
        <w:spacing w:line="276" w:lineRule="auto"/>
        <w:ind w:right="51"/>
        <w:jc w:val="both"/>
        <w:rPr>
          <w:rFonts w:ascii="Gadugi" w:hAnsi="Gadugi" w:cs="Arial"/>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Pr>
          <w:rFonts w:ascii="Gadugi" w:hAnsi="Gadugi"/>
          <w:lang w:val="es-CO"/>
        </w:rPr>
        <w:t>E</w:t>
      </w:r>
      <w:r w:rsidRPr="00B4481E">
        <w:rPr>
          <w:rFonts w:ascii="Gadugi" w:hAnsi="Gadugi"/>
          <w:lang w:val="es-CO"/>
        </w:rPr>
        <w:t>s claro</w:t>
      </w:r>
      <w:r>
        <w:rPr>
          <w:rFonts w:ascii="Gadugi" w:hAnsi="Gadugi"/>
          <w:lang w:val="es-CO"/>
        </w:rPr>
        <w:t xml:space="preserve">, entonces,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w:t>
      </w:r>
      <w:r>
        <w:rPr>
          <w:rFonts w:ascii="Gadugi" w:hAnsi="Gadugi" w:cs="Arial"/>
        </w:rPr>
        <w:t xml:space="preserve"> no puede el juez de tutela adelantarse o inmiscuirse en lo que debe ser inicialmente materia de análisis por el juez ordinario.</w:t>
      </w:r>
    </w:p>
    <w:p w:rsidR="009F78FA" w:rsidRDefault="009F78FA" w:rsidP="009F78FA">
      <w:pPr>
        <w:pStyle w:val="NoSpacing"/>
        <w:spacing w:line="276" w:lineRule="auto"/>
        <w:ind w:right="51"/>
        <w:jc w:val="both"/>
        <w:rPr>
          <w:rFonts w:ascii="Gadugi" w:hAnsi="Gadugi" w:cs="Arial"/>
        </w:rPr>
      </w:pPr>
    </w:p>
    <w:p w:rsidR="009F78FA" w:rsidRPr="00D41F4C" w:rsidRDefault="009F78FA" w:rsidP="009F78FA">
      <w:pPr>
        <w:pStyle w:val="NoSpacing"/>
        <w:spacing w:line="276" w:lineRule="auto"/>
        <w:ind w:right="51"/>
        <w:jc w:val="both"/>
        <w:rPr>
          <w:rFonts w:ascii="Gadugi" w:hAnsi="Gadugi" w:cs="Arial"/>
          <w:lang w:val="es-419"/>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t xml:space="preserve">Ahora, en lo que atañe </w:t>
      </w:r>
      <w:r>
        <w:rPr>
          <w:rFonts w:ascii="Gadugi" w:hAnsi="Gadugi" w:cs="Arial"/>
          <w:lang w:val="es-419"/>
        </w:rPr>
        <w:t xml:space="preserve">a la publicación del aviso a la comunidad </w:t>
      </w:r>
      <w:r>
        <w:rPr>
          <w:rFonts w:ascii="Gadugi" w:hAnsi="Gadugi" w:cs="Arial"/>
        </w:rPr>
        <w:t>en los términos del artículo 21 de la Ley 472 de 1998, baste decir</w:t>
      </w:r>
      <w:r>
        <w:rPr>
          <w:rFonts w:ascii="Gadugi" w:hAnsi="Gadugi" w:cs="Arial"/>
          <w:lang w:val="es-419"/>
        </w:rPr>
        <w:t xml:space="preserve"> que en la acción popular que aquí se menciona, se trata de una situación ya superada, </w:t>
      </w:r>
      <w:r>
        <w:rPr>
          <w:rFonts w:ascii="Gadugi" w:hAnsi="Gadugi" w:cs="Arial"/>
        </w:rPr>
        <w:t xml:space="preserve">como quiera que según lo dejan </w:t>
      </w:r>
      <w:r>
        <w:rPr>
          <w:rFonts w:ascii="Gadugi" w:hAnsi="Gadugi" w:cs="Arial"/>
          <w:lang w:val="es-419"/>
        </w:rPr>
        <w:t xml:space="preserve">ver </w:t>
      </w:r>
      <w:r>
        <w:rPr>
          <w:rFonts w:ascii="Gadugi" w:hAnsi="Gadugi" w:cs="Arial"/>
        </w:rPr>
        <w:t xml:space="preserve">las copias </w:t>
      </w:r>
      <w:r>
        <w:rPr>
          <w:rFonts w:ascii="Gadugi" w:hAnsi="Gadugi" w:cs="Arial"/>
          <w:lang w:val="es-419"/>
        </w:rPr>
        <w:t xml:space="preserve">remitidas, </w:t>
      </w:r>
      <w:r>
        <w:rPr>
          <w:rFonts w:ascii="Gadugi" w:hAnsi="Gadugi" w:cs="Arial"/>
        </w:rPr>
        <w:t>tal exigencia se cumplió</w:t>
      </w:r>
      <w:r>
        <w:rPr>
          <w:rFonts w:ascii="Gadugi" w:hAnsi="Gadugi" w:cs="Arial"/>
          <w:lang w:val="es-419"/>
        </w:rPr>
        <w:t>,</w:t>
      </w:r>
      <w:r>
        <w:rPr>
          <w:rFonts w:ascii="Gadugi" w:hAnsi="Gadugi" w:cs="Arial"/>
        </w:rPr>
        <w:t xml:space="preserve"> a</w:t>
      </w:r>
      <w:r>
        <w:rPr>
          <w:rFonts w:ascii="Gadugi" w:hAnsi="Gadugi" w:cs="Arial"/>
          <w:lang w:val="es-419"/>
        </w:rPr>
        <w:t xml:space="preserve"> tal</w:t>
      </w:r>
      <w:r>
        <w:rPr>
          <w:rFonts w:ascii="Gadugi" w:hAnsi="Gadugi" w:cs="Arial"/>
        </w:rPr>
        <w:t xml:space="preserve"> punto que el proceso continuó hasta concluir con la respectiva sentencia y, por tanto, no se </w:t>
      </w:r>
      <w:r>
        <w:rPr>
          <w:rFonts w:ascii="Gadugi" w:hAnsi="Gadugi" w:cs="Arial"/>
          <w:lang w:val="es-419"/>
        </w:rPr>
        <w:t xml:space="preserve">advierte la </w:t>
      </w:r>
      <w:r>
        <w:rPr>
          <w:rFonts w:ascii="Gadugi" w:hAnsi="Gadugi" w:cs="Arial"/>
        </w:rPr>
        <w:t>vulneración alegada. En ese sentido, se negar</w:t>
      </w:r>
      <w:r>
        <w:rPr>
          <w:rFonts w:ascii="Gadugi" w:hAnsi="Gadugi" w:cs="Arial"/>
          <w:lang w:val="es-419"/>
        </w:rPr>
        <w:t xml:space="preserve">á el amparo. </w:t>
      </w:r>
    </w:p>
    <w:p w:rsidR="009F78FA" w:rsidRPr="00B4481E" w:rsidRDefault="009F78FA" w:rsidP="009F78FA">
      <w:pPr>
        <w:pStyle w:val="NoSpacing"/>
        <w:spacing w:line="276" w:lineRule="auto"/>
        <w:ind w:right="51"/>
        <w:jc w:val="both"/>
        <w:rPr>
          <w:rFonts w:ascii="Gadugi" w:hAnsi="Gadugi" w:cs="Arial"/>
        </w:rPr>
      </w:pPr>
    </w:p>
    <w:p w:rsidR="009F78FA" w:rsidRDefault="009F78FA" w:rsidP="009F78FA">
      <w:pPr>
        <w:pStyle w:val="NoSpacing"/>
        <w:spacing w:line="276" w:lineRule="auto"/>
        <w:ind w:right="51"/>
        <w:jc w:val="both"/>
        <w:rPr>
          <w:rFonts w:ascii="Gadugi" w:hAnsi="Gadugi"/>
          <w:lang w:val="es-419"/>
        </w:rPr>
      </w:pPr>
      <w:r w:rsidRPr="00B4481E">
        <w:rPr>
          <w:rFonts w:ascii="Gadugi" w:hAnsi="Gadugi" w:cs="Arial"/>
        </w:rPr>
        <w:t xml:space="preserve"> </w:t>
      </w:r>
      <w:r w:rsidRPr="00B4481E">
        <w:rPr>
          <w:rFonts w:ascii="Gadugi" w:hAnsi="Gadugi" w:cs="Arial"/>
        </w:rPr>
        <w:tab/>
      </w:r>
      <w:r w:rsidRPr="00B4481E">
        <w:rPr>
          <w:rFonts w:ascii="Gadugi" w:hAnsi="Gadugi" w:cs="Arial"/>
        </w:rPr>
        <w:tab/>
      </w:r>
      <w:r w:rsidRPr="00B4481E">
        <w:rPr>
          <w:rFonts w:ascii="Gadugi" w:hAnsi="Gadugi" w:cs="Arial"/>
        </w:rPr>
        <w:tab/>
      </w:r>
      <w:r w:rsidRPr="00B4481E">
        <w:rPr>
          <w:rFonts w:ascii="Gadugi" w:hAnsi="Gadugi" w:cs="Arial"/>
        </w:rPr>
        <w:tab/>
      </w:r>
      <w:r w:rsidRPr="00225401">
        <w:rPr>
          <w:rFonts w:ascii="Gadugi" w:hAnsi="Gadugi" w:cs="Arial"/>
          <w:lang w:val="es-CO"/>
        </w:rPr>
        <w:t xml:space="preserve">En cuanto toca con el Consejo Seccional de la Judicatura, </w:t>
      </w:r>
      <w:r>
        <w:rPr>
          <w:rFonts w:ascii="Gadugi" w:hAnsi="Gadugi" w:cs="Arial"/>
          <w:lang w:val="es-419"/>
        </w:rPr>
        <w:t xml:space="preserve">no demostró el demandante que </w:t>
      </w:r>
      <w:r w:rsidRPr="00225401">
        <w:rPr>
          <w:rFonts w:ascii="Gadugi" w:hAnsi="Gadugi" w:cs="Arial"/>
          <w:lang w:val="es-CO"/>
        </w:rPr>
        <w:t xml:space="preserve">hubiese </w:t>
      </w:r>
      <w:r w:rsidRPr="00225401">
        <w:rPr>
          <w:rFonts w:ascii="Gadugi" w:hAnsi="Gadugi"/>
          <w:lang w:val="es-MX"/>
        </w:rPr>
        <w:t>entablado vigilancia administrativa alguna relacionada con los hechos en los</w:t>
      </w:r>
      <w:r>
        <w:rPr>
          <w:rFonts w:ascii="Gadugi" w:hAnsi="Gadugi"/>
          <w:lang w:val="es-MX"/>
        </w:rPr>
        <w:t xml:space="preserve"> que cimienta esta</w:t>
      </w:r>
      <w:r w:rsidRPr="00225401">
        <w:rPr>
          <w:rFonts w:ascii="Gadugi" w:hAnsi="Gadugi"/>
          <w:lang w:val="es-MX"/>
        </w:rPr>
        <w:t xml:space="preserve"> demanda, </w:t>
      </w:r>
      <w:r>
        <w:rPr>
          <w:rFonts w:ascii="Gadugi" w:hAnsi="Gadugi"/>
          <w:lang w:val="es-419"/>
        </w:rPr>
        <w:t xml:space="preserve">de manera que tampoco procede en su contra el amparo, si bien su intervención pudo lograrse por ese mecanismo legal. </w:t>
      </w:r>
    </w:p>
    <w:p w:rsidR="009F78FA" w:rsidRDefault="009F78FA" w:rsidP="009F78FA">
      <w:pPr>
        <w:pStyle w:val="NoSpacing"/>
        <w:spacing w:line="276" w:lineRule="auto"/>
        <w:ind w:right="51"/>
        <w:jc w:val="both"/>
        <w:rPr>
          <w:rFonts w:ascii="Gadugi" w:hAnsi="Gadugi"/>
          <w:lang w:val="es-419"/>
        </w:rPr>
      </w:pPr>
    </w:p>
    <w:p w:rsidR="009F78FA" w:rsidRDefault="009F78FA" w:rsidP="009F78FA">
      <w:pPr>
        <w:pStyle w:val="NoSpacing"/>
        <w:spacing w:line="276" w:lineRule="auto"/>
        <w:ind w:right="51"/>
        <w:jc w:val="both"/>
        <w:rPr>
          <w:rFonts w:ascii="Gadugi" w:hAnsi="Gadugi" w:cs="Arial"/>
          <w:lang w:val="es-419"/>
        </w:rPr>
      </w:pPr>
      <w:r w:rsidRPr="00B4481E">
        <w:rPr>
          <w:rFonts w:ascii="Gadugi" w:hAnsi="Gadugi" w:cs="Arial"/>
        </w:rPr>
        <w:t xml:space="preserve">  </w:t>
      </w:r>
      <w:r w:rsidRPr="00B4481E">
        <w:rPr>
          <w:rFonts w:ascii="Gadugi" w:hAnsi="Gadugi" w:cs="Arial"/>
        </w:rPr>
        <w:tab/>
      </w:r>
      <w:r w:rsidRPr="00B4481E">
        <w:rPr>
          <w:rFonts w:ascii="Gadugi" w:hAnsi="Gadugi" w:cs="Arial"/>
        </w:rPr>
        <w:tab/>
      </w:r>
      <w:r w:rsidRPr="00B4481E">
        <w:rPr>
          <w:rFonts w:ascii="Gadugi" w:hAnsi="Gadugi" w:cs="Arial"/>
        </w:rPr>
        <w:tab/>
      </w:r>
      <w:r w:rsidRPr="00B4481E">
        <w:rPr>
          <w:rFonts w:ascii="Gadugi" w:hAnsi="Gadugi" w:cs="Arial"/>
        </w:rPr>
        <w:tab/>
        <w:t xml:space="preserve">Finalmente, </w:t>
      </w:r>
      <w:r>
        <w:rPr>
          <w:rFonts w:ascii="Gadugi" w:hAnsi="Gadugi" w:cs="Arial"/>
          <w:lang w:val="es-419"/>
        </w:rPr>
        <w:t>frente</w:t>
      </w:r>
      <w:r w:rsidRPr="00B4481E">
        <w:rPr>
          <w:rFonts w:ascii="Gadugi" w:hAnsi="Gadugi" w:cs="Arial"/>
          <w:lang w:val="es-419"/>
        </w:rPr>
        <w:t xml:space="preserve"> </w:t>
      </w:r>
      <w:r w:rsidRPr="00B4481E">
        <w:rPr>
          <w:rFonts w:ascii="Gadugi" w:hAnsi="Gadugi" w:cs="Arial"/>
          <w:lang w:val="es-CO"/>
        </w:rPr>
        <w:t>a las “</w:t>
      </w:r>
      <w:r w:rsidRPr="00B4481E">
        <w:rPr>
          <w:rFonts w:ascii="Gadugi" w:hAnsi="Gadugi" w:cs="Arial"/>
          <w:i/>
          <w:lang w:val="es-CO"/>
        </w:rPr>
        <w:t>pretensiones</w:t>
      </w:r>
      <w:r w:rsidRPr="00B4481E">
        <w:rPr>
          <w:rFonts w:ascii="Gadugi" w:hAnsi="Gadugi" w:cs="Arial"/>
          <w:lang w:val="es-CO"/>
        </w:rPr>
        <w:t xml:space="preserve">” </w:t>
      </w:r>
      <w:r w:rsidRPr="00B4481E">
        <w:rPr>
          <w:rFonts w:ascii="Gadugi" w:hAnsi="Gadugi" w:cs="Arial"/>
          <w:lang w:val="es-419"/>
        </w:rPr>
        <w:t xml:space="preserve">de que se escanee su tutela y se </w:t>
      </w:r>
      <w:r w:rsidRPr="00B4481E">
        <w:rPr>
          <w:rFonts w:ascii="Gadugi" w:hAnsi="Gadugi" w:cs="Arial"/>
          <w:lang w:val="es-CO"/>
        </w:rPr>
        <w:t>remita</w:t>
      </w:r>
      <w:r w:rsidRPr="00B4481E">
        <w:rPr>
          <w:rFonts w:ascii="Gadugi" w:hAnsi="Gadugi" w:cs="Arial"/>
          <w:lang w:val="es-419"/>
        </w:rPr>
        <w:t xml:space="preserve"> copia del fallo a su correo electrónico,</w:t>
      </w:r>
      <w:r w:rsidRPr="00B4481E">
        <w:rPr>
          <w:rFonts w:ascii="Gadugi" w:hAnsi="Gadugi" w:cs="Arial"/>
          <w:lang w:val="es-CO"/>
        </w:rPr>
        <w:t xml:space="preserve"> se tiene que de todo lo actuado se le envía copia </w:t>
      </w:r>
      <w:r w:rsidRPr="00B4481E">
        <w:rPr>
          <w:rFonts w:ascii="Gadugi" w:hAnsi="Gadugi" w:cs="Arial"/>
          <w:lang w:val="es-419"/>
        </w:rPr>
        <w:t xml:space="preserve">al </w:t>
      </w:r>
      <w:r w:rsidRPr="00B4481E">
        <w:rPr>
          <w:rFonts w:ascii="Gadugi" w:hAnsi="Gadugi" w:cs="Arial"/>
          <w:lang w:val="es-CO"/>
        </w:rPr>
        <w:t>correo electrónico suministrado para recibir notificaciones personales</w:t>
      </w:r>
      <w:r w:rsidRPr="00B4481E">
        <w:rPr>
          <w:rFonts w:ascii="Gadugi" w:hAnsi="Gadugi" w:cs="Arial"/>
          <w:lang w:val="es-419"/>
        </w:rPr>
        <w:t>.</w:t>
      </w:r>
    </w:p>
    <w:p w:rsidR="009F78FA" w:rsidRDefault="009F78FA" w:rsidP="009F78FA">
      <w:pPr>
        <w:pStyle w:val="NoSpacing"/>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sidRPr="00B4481E">
        <w:rPr>
          <w:rFonts w:ascii="Gadugi" w:hAnsi="Gadugi" w:cs="Arial"/>
          <w:lang w:val="es-CO"/>
        </w:rPr>
        <w:t>Por infundadas, se negará</w:t>
      </w:r>
      <w:r>
        <w:rPr>
          <w:rFonts w:ascii="Gadugi" w:hAnsi="Gadugi" w:cs="Arial"/>
          <w:lang w:val="es-CO"/>
        </w:rPr>
        <w:t>n las demás peticiones elevadas.</w:t>
      </w:r>
    </w:p>
    <w:p w:rsidR="009F78FA" w:rsidRDefault="009F78FA" w:rsidP="009F78FA">
      <w:pPr>
        <w:pStyle w:val="NoSpacing"/>
        <w:spacing w:line="276" w:lineRule="auto"/>
        <w:ind w:right="51"/>
        <w:jc w:val="both"/>
        <w:rPr>
          <w:rFonts w:ascii="Gadugi" w:hAnsi="Gadugi" w:cs="Arial"/>
          <w:lang w:val="es-CO"/>
        </w:rPr>
      </w:pPr>
    </w:p>
    <w:p w:rsidR="009F78FA" w:rsidRPr="00B4481E" w:rsidRDefault="009F78FA" w:rsidP="009F78FA">
      <w:pPr>
        <w:pStyle w:val="NoSpacing"/>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Se absolverá a las entidades vinculadas por no hallarse de parte trasgresión alguna frente a los derechos reclamados.</w:t>
      </w:r>
    </w:p>
    <w:p w:rsidR="009F78FA" w:rsidRPr="00B4481E" w:rsidRDefault="009F78FA" w:rsidP="009F78FA">
      <w:pPr>
        <w:spacing w:line="276" w:lineRule="auto"/>
        <w:jc w:val="both"/>
        <w:rPr>
          <w:rFonts w:ascii="Gadugi" w:hAnsi="Gadugi" w:cs="Arial"/>
          <w:sz w:val="24"/>
          <w:szCs w:val="24"/>
          <w:lang w:val="es-CO"/>
        </w:rPr>
      </w:pPr>
      <w:r w:rsidRPr="00B4481E">
        <w:rPr>
          <w:rFonts w:ascii="Gadugi" w:hAnsi="Gadugi" w:cs="Arial"/>
          <w:sz w:val="24"/>
          <w:szCs w:val="24"/>
          <w:lang w:val="es-CO"/>
        </w:rPr>
        <w:t xml:space="preserve">  </w:t>
      </w:r>
      <w:r w:rsidRPr="00B4481E">
        <w:rPr>
          <w:rFonts w:ascii="Gadugi" w:hAnsi="Gadugi" w:cs="Arial"/>
          <w:sz w:val="24"/>
          <w:szCs w:val="24"/>
          <w:lang w:val="es-CO"/>
        </w:rPr>
        <w:tab/>
      </w:r>
      <w:r w:rsidRPr="00B4481E">
        <w:rPr>
          <w:rFonts w:ascii="Gadugi" w:hAnsi="Gadugi" w:cs="Arial"/>
          <w:sz w:val="24"/>
          <w:szCs w:val="24"/>
          <w:lang w:val="es-CO"/>
        </w:rPr>
        <w:tab/>
      </w:r>
      <w:r w:rsidRPr="00B4481E">
        <w:rPr>
          <w:rFonts w:ascii="Gadugi" w:hAnsi="Gadugi" w:cs="Arial"/>
          <w:sz w:val="24"/>
          <w:szCs w:val="24"/>
          <w:lang w:val="es-CO"/>
        </w:rPr>
        <w:tab/>
        <w:t xml:space="preserve"> </w:t>
      </w:r>
      <w:r w:rsidRPr="00B4481E">
        <w:rPr>
          <w:rFonts w:ascii="Gadugi" w:hAnsi="Gadugi" w:cs="Arial"/>
          <w:sz w:val="24"/>
          <w:szCs w:val="24"/>
          <w:lang w:val="es-CO"/>
        </w:rPr>
        <w:tab/>
        <w:t xml:space="preserve"> </w:t>
      </w:r>
    </w:p>
    <w:p w:rsidR="009F78FA" w:rsidRPr="00B4481E" w:rsidRDefault="009F78FA" w:rsidP="009F78FA">
      <w:pPr>
        <w:spacing w:line="276" w:lineRule="auto"/>
        <w:ind w:right="51"/>
        <w:jc w:val="both"/>
        <w:rPr>
          <w:rFonts w:ascii="Gadugi" w:hAnsi="Gadugi" w:cs="Arial"/>
          <w:sz w:val="24"/>
          <w:szCs w:val="24"/>
          <w:lang w:val="es-CO"/>
        </w:rPr>
      </w:pPr>
    </w:p>
    <w:p w:rsidR="009F78FA" w:rsidRPr="00B4481E" w:rsidRDefault="009F78FA" w:rsidP="009F78FA">
      <w:pPr>
        <w:spacing w:line="276" w:lineRule="auto"/>
        <w:ind w:firstLine="2835"/>
        <w:jc w:val="both"/>
        <w:rPr>
          <w:rFonts w:ascii="Gadugi" w:hAnsi="Gadugi" w:cs="Arial"/>
          <w:b/>
          <w:sz w:val="24"/>
          <w:szCs w:val="24"/>
        </w:rPr>
      </w:pPr>
      <w:r w:rsidRPr="00B4481E">
        <w:rPr>
          <w:rFonts w:ascii="Gadugi" w:hAnsi="Gadugi" w:cs="Arial"/>
          <w:b/>
          <w:sz w:val="24"/>
          <w:szCs w:val="24"/>
        </w:rPr>
        <w:t>DECISIÓN</w:t>
      </w:r>
    </w:p>
    <w:p w:rsidR="009F78FA" w:rsidRPr="00B4481E" w:rsidRDefault="009F78FA" w:rsidP="009F78FA">
      <w:pPr>
        <w:spacing w:line="276" w:lineRule="auto"/>
        <w:ind w:firstLine="2835"/>
        <w:jc w:val="both"/>
        <w:rPr>
          <w:rFonts w:ascii="Gadugi" w:hAnsi="Gadugi" w:cs="Arial"/>
          <w:sz w:val="24"/>
          <w:szCs w:val="24"/>
        </w:rPr>
      </w:pPr>
    </w:p>
    <w:p w:rsidR="009F78FA" w:rsidRPr="00B4481E" w:rsidRDefault="009F78FA" w:rsidP="009F78FA">
      <w:pPr>
        <w:spacing w:line="276" w:lineRule="auto"/>
        <w:ind w:firstLine="2835"/>
        <w:jc w:val="both"/>
        <w:rPr>
          <w:rFonts w:ascii="Gadugi" w:hAnsi="Gadugi" w:cs="Arial"/>
          <w:sz w:val="24"/>
          <w:szCs w:val="24"/>
        </w:rPr>
      </w:pPr>
    </w:p>
    <w:p w:rsidR="009F78FA" w:rsidRPr="00B4481E" w:rsidRDefault="009F78FA" w:rsidP="009F78FA">
      <w:pPr>
        <w:spacing w:line="276" w:lineRule="auto"/>
        <w:ind w:firstLine="2835"/>
        <w:jc w:val="both"/>
        <w:rPr>
          <w:rFonts w:ascii="Gadugi" w:hAnsi="Gadugi" w:cs="Century Gothic"/>
          <w:b/>
          <w:sz w:val="24"/>
          <w:szCs w:val="24"/>
        </w:rPr>
      </w:pPr>
      <w:r w:rsidRPr="00B4481E">
        <w:rPr>
          <w:rFonts w:ascii="Gadugi" w:hAnsi="Gadugi" w:cs="Arial"/>
          <w:sz w:val="24"/>
          <w:szCs w:val="24"/>
        </w:rPr>
        <w:t>En armonía con lo dicho, la Sala Civil Familia del Tribunal Superior de Pereira, administrando justicia en nombre de la República y por autoridad de la Ley,</w:t>
      </w:r>
      <w:r w:rsidRPr="00B4481E">
        <w:rPr>
          <w:rFonts w:ascii="Gadugi" w:hAnsi="Gadugi" w:cs="Arial"/>
          <w:sz w:val="24"/>
          <w:szCs w:val="24"/>
          <w:lang w:val="es-419"/>
        </w:rPr>
        <w:t xml:space="preserve"> </w:t>
      </w:r>
      <w:r w:rsidRPr="00B4481E">
        <w:rPr>
          <w:rFonts w:ascii="Gadugi" w:hAnsi="Gadugi" w:cs="Arial"/>
          <w:b/>
          <w:sz w:val="24"/>
          <w:szCs w:val="24"/>
          <w:lang w:val="es-CO"/>
        </w:rPr>
        <w:t xml:space="preserve">DECLARA IMPROCEDENTE  </w:t>
      </w:r>
      <w:r w:rsidRPr="00B4481E">
        <w:rPr>
          <w:rFonts w:ascii="Gadugi" w:hAnsi="Gadugi" w:cs="Arial"/>
          <w:sz w:val="24"/>
          <w:szCs w:val="24"/>
          <w:lang w:val="es-419"/>
        </w:rPr>
        <w:t>el</w:t>
      </w:r>
      <w:r w:rsidRPr="00B4481E">
        <w:rPr>
          <w:rFonts w:ascii="Gadugi" w:hAnsi="Gadugi" w:cs="Arial"/>
          <w:sz w:val="24"/>
          <w:szCs w:val="24"/>
        </w:rPr>
        <w:t xml:space="preserve"> amparo impetrado por</w:t>
      </w:r>
      <w:r w:rsidRPr="00B4481E">
        <w:rPr>
          <w:rFonts w:ascii="Gadugi" w:hAnsi="Gadugi" w:cs="Century Gothic"/>
          <w:b/>
          <w:sz w:val="24"/>
          <w:szCs w:val="24"/>
        </w:rPr>
        <w:t xml:space="preserve"> Javier Elías Arias </w:t>
      </w:r>
      <w:proofErr w:type="spellStart"/>
      <w:r w:rsidRPr="00B4481E">
        <w:rPr>
          <w:rFonts w:ascii="Gadugi" w:hAnsi="Gadugi" w:cs="Century Gothic"/>
          <w:b/>
          <w:sz w:val="24"/>
          <w:szCs w:val="24"/>
        </w:rPr>
        <w:t>Idárraga</w:t>
      </w:r>
      <w:proofErr w:type="spellEnd"/>
      <w:r w:rsidRPr="00B4481E">
        <w:rPr>
          <w:rFonts w:ascii="Gadugi" w:hAnsi="Gadugi" w:cs="Century Gothic"/>
          <w:b/>
          <w:sz w:val="24"/>
          <w:szCs w:val="24"/>
        </w:rPr>
        <w:t xml:space="preserve"> </w:t>
      </w:r>
      <w:r w:rsidRPr="00B4481E">
        <w:rPr>
          <w:rFonts w:ascii="Gadugi" w:hAnsi="Gadugi" w:cs="Century Gothic"/>
          <w:bCs/>
          <w:sz w:val="24"/>
          <w:szCs w:val="24"/>
        </w:rPr>
        <w:t>contra</w:t>
      </w:r>
      <w:r w:rsidRPr="00B4481E">
        <w:rPr>
          <w:rFonts w:ascii="Gadugi" w:hAnsi="Gadugi" w:cs="Century Gothic"/>
          <w:sz w:val="24"/>
          <w:szCs w:val="24"/>
        </w:rPr>
        <w:t xml:space="preserve"> el </w:t>
      </w:r>
      <w:r w:rsidRPr="00B4481E">
        <w:rPr>
          <w:rFonts w:ascii="Gadugi" w:hAnsi="Gadugi" w:cs="Century Gothic"/>
          <w:b/>
          <w:sz w:val="24"/>
          <w:szCs w:val="24"/>
        </w:rPr>
        <w:t xml:space="preserve">Juzgado </w:t>
      </w:r>
      <w:r>
        <w:rPr>
          <w:rFonts w:ascii="Gadugi" w:hAnsi="Gadugi" w:cs="Century Gothic"/>
          <w:b/>
          <w:sz w:val="24"/>
          <w:szCs w:val="24"/>
        </w:rPr>
        <w:t>Cuarto</w:t>
      </w:r>
      <w:r w:rsidRPr="00B4481E">
        <w:rPr>
          <w:rFonts w:ascii="Gadugi" w:hAnsi="Gadugi" w:cs="Century Gothic"/>
          <w:b/>
          <w:sz w:val="24"/>
          <w:szCs w:val="24"/>
        </w:rPr>
        <w:t xml:space="preserve"> Civil del Circuito </w:t>
      </w:r>
      <w:r>
        <w:rPr>
          <w:rFonts w:ascii="Gadugi" w:hAnsi="Gadugi" w:cs="Century Gothic"/>
          <w:sz w:val="24"/>
          <w:szCs w:val="24"/>
        </w:rPr>
        <w:t xml:space="preserve">local y el </w:t>
      </w:r>
      <w:r>
        <w:rPr>
          <w:rFonts w:ascii="Gadugi" w:hAnsi="Gadugi" w:cs="Century Gothic"/>
          <w:b/>
          <w:sz w:val="24"/>
          <w:szCs w:val="24"/>
        </w:rPr>
        <w:t>Consejo Seccional de la Judicatura de Risaralda.</w:t>
      </w:r>
    </w:p>
    <w:p w:rsidR="009F78FA" w:rsidRDefault="009F78FA" w:rsidP="009F78FA">
      <w:pPr>
        <w:spacing w:line="276" w:lineRule="auto"/>
        <w:jc w:val="both"/>
        <w:rPr>
          <w:rFonts w:ascii="Gadugi" w:hAnsi="Gadugi" w:cs="Century Gothic"/>
          <w:b/>
          <w:bCs/>
          <w:sz w:val="24"/>
          <w:szCs w:val="24"/>
        </w:rPr>
      </w:pPr>
    </w:p>
    <w:p w:rsidR="009F78FA" w:rsidRPr="005F7080" w:rsidRDefault="009F78FA" w:rsidP="009F78FA">
      <w:pPr>
        <w:spacing w:line="276" w:lineRule="auto"/>
        <w:ind w:firstLine="2835"/>
        <w:jc w:val="both"/>
        <w:rPr>
          <w:rFonts w:ascii="Gadugi" w:hAnsi="Gadugi" w:cs="Arial"/>
          <w:sz w:val="24"/>
          <w:szCs w:val="24"/>
        </w:rPr>
      </w:pPr>
      <w:r w:rsidRPr="00B4481E">
        <w:rPr>
          <w:rFonts w:ascii="Gadugi" w:hAnsi="Gadugi" w:cs="Arial"/>
          <w:sz w:val="24"/>
          <w:szCs w:val="24"/>
        </w:rPr>
        <w:t>Se niegan</w:t>
      </w:r>
      <w:r w:rsidRPr="00B4481E">
        <w:rPr>
          <w:rFonts w:ascii="Gadugi" w:hAnsi="Gadugi" w:cs="Arial"/>
          <w:b/>
          <w:sz w:val="24"/>
          <w:szCs w:val="24"/>
        </w:rPr>
        <w:t xml:space="preserve"> </w:t>
      </w:r>
      <w:r w:rsidRPr="00B4481E">
        <w:rPr>
          <w:rFonts w:ascii="Gadugi" w:hAnsi="Gadugi" w:cs="Arial"/>
          <w:sz w:val="24"/>
          <w:szCs w:val="24"/>
        </w:rPr>
        <w:t>las demás pretensiones invocadas.</w:t>
      </w:r>
    </w:p>
    <w:p w:rsidR="009F78FA" w:rsidRPr="00B4481E" w:rsidRDefault="009F78FA" w:rsidP="009F78FA">
      <w:pPr>
        <w:spacing w:line="276" w:lineRule="auto"/>
        <w:jc w:val="both"/>
        <w:rPr>
          <w:rFonts w:ascii="Gadugi" w:hAnsi="Gadugi" w:cs="Century Gothic"/>
          <w:b/>
          <w:bCs/>
          <w:sz w:val="24"/>
          <w:szCs w:val="24"/>
        </w:rPr>
      </w:pPr>
    </w:p>
    <w:p w:rsidR="009F78FA" w:rsidRPr="00B4481E" w:rsidRDefault="009F78FA" w:rsidP="009F78FA">
      <w:pPr>
        <w:spacing w:line="276" w:lineRule="auto"/>
        <w:ind w:firstLine="2835"/>
        <w:jc w:val="both"/>
        <w:rPr>
          <w:rFonts w:ascii="Gadugi" w:hAnsi="Gadugi" w:cs="Arial"/>
          <w:sz w:val="24"/>
          <w:szCs w:val="24"/>
        </w:rPr>
      </w:pPr>
      <w:r w:rsidRPr="00B4481E">
        <w:rPr>
          <w:rFonts w:ascii="Gadugi" w:hAnsi="Gadugi" w:cs="Arial"/>
          <w:sz w:val="24"/>
          <w:szCs w:val="24"/>
        </w:rPr>
        <w:lastRenderedPageBreak/>
        <w:t>Se abs</w:t>
      </w:r>
      <w:r>
        <w:rPr>
          <w:rFonts w:ascii="Gadugi" w:hAnsi="Gadugi" w:cs="Arial"/>
          <w:sz w:val="24"/>
          <w:szCs w:val="24"/>
        </w:rPr>
        <w:t>uelve a lo</w:t>
      </w:r>
      <w:r w:rsidRPr="00B4481E">
        <w:rPr>
          <w:rFonts w:ascii="Gadugi" w:hAnsi="Gadugi" w:cs="Arial"/>
          <w:sz w:val="24"/>
          <w:szCs w:val="24"/>
        </w:rPr>
        <w:t>s demás i</w:t>
      </w:r>
      <w:r>
        <w:rPr>
          <w:rFonts w:ascii="Gadugi" w:hAnsi="Gadugi" w:cs="Arial"/>
          <w:sz w:val="24"/>
          <w:szCs w:val="24"/>
        </w:rPr>
        <w:t>nvolucrados</w:t>
      </w:r>
      <w:r w:rsidRPr="00B4481E">
        <w:rPr>
          <w:rFonts w:ascii="Gadugi" w:hAnsi="Gadugi" w:cs="Arial"/>
          <w:sz w:val="24"/>
          <w:szCs w:val="24"/>
        </w:rPr>
        <w:t xml:space="preserve"> dentro de la presente acción de tutela.</w:t>
      </w:r>
    </w:p>
    <w:p w:rsidR="009F78FA" w:rsidRDefault="009F78FA" w:rsidP="009F78FA">
      <w:pPr>
        <w:spacing w:line="276" w:lineRule="auto"/>
        <w:ind w:firstLine="2835"/>
        <w:jc w:val="both"/>
        <w:rPr>
          <w:rFonts w:ascii="Gadugi" w:hAnsi="Gadugi" w:cs="Arial"/>
          <w:sz w:val="24"/>
          <w:szCs w:val="24"/>
        </w:rPr>
      </w:pPr>
    </w:p>
    <w:p w:rsidR="009F78FA" w:rsidRPr="00B4481E" w:rsidRDefault="009F78FA" w:rsidP="009F78FA">
      <w:pPr>
        <w:spacing w:line="276" w:lineRule="auto"/>
        <w:ind w:firstLine="2835"/>
        <w:jc w:val="both"/>
        <w:rPr>
          <w:rFonts w:ascii="Gadugi" w:hAnsi="Gadugi" w:cs="Arial"/>
          <w:sz w:val="24"/>
          <w:szCs w:val="24"/>
        </w:rPr>
      </w:pPr>
      <w:r w:rsidRPr="00B4481E">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9F78FA" w:rsidRPr="00B4481E" w:rsidRDefault="009F78FA" w:rsidP="009F78FA">
      <w:pPr>
        <w:spacing w:line="276" w:lineRule="auto"/>
        <w:ind w:firstLine="2835"/>
        <w:jc w:val="both"/>
        <w:rPr>
          <w:rFonts w:ascii="Gadugi" w:hAnsi="Gadugi" w:cs="Arial"/>
          <w:sz w:val="24"/>
          <w:szCs w:val="24"/>
        </w:rPr>
      </w:pPr>
    </w:p>
    <w:p w:rsidR="009F78FA" w:rsidRPr="00B4481E" w:rsidRDefault="009F78FA" w:rsidP="009F78FA">
      <w:pPr>
        <w:spacing w:line="276" w:lineRule="auto"/>
        <w:ind w:firstLine="2835"/>
        <w:jc w:val="both"/>
        <w:rPr>
          <w:rFonts w:ascii="Gadugi" w:hAnsi="Gadugi" w:cs="Arial"/>
          <w:sz w:val="24"/>
          <w:szCs w:val="24"/>
        </w:rPr>
      </w:pPr>
      <w:r w:rsidRPr="00B4481E">
        <w:rPr>
          <w:rFonts w:ascii="Gadugi" w:hAnsi="Gadugi" w:cs="Arial"/>
          <w:sz w:val="24"/>
          <w:szCs w:val="24"/>
        </w:rPr>
        <w:t>A su regreso, archívese el expediente.</w:t>
      </w:r>
    </w:p>
    <w:p w:rsidR="009F78FA" w:rsidRPr="00B4481E" w:rsidRDefault="009F78FA" w:rsidP="009F78FA">
      <w:pPr>
        <w:spacing w:line="276" w:lineRule="auto"/>
        <w:ind w:firstLine="2835"/>
        <w:jc w:val="both"/>
        <w:rPr>
          <w:rFonts w:ascii="Gadugi" w:hAnsi="Gadugi" w:cs="Arial"/>
          <w:sz w:val="24"/>
          <w:szCs w:val="24"/>
        </w:rPr>
      </w:pPr>
      <w:r w:rsidRPr="00B4481E">
        <w:rPr>
          <w:rFonts w:ascii="Gadugi" w:hAnsi="Gadugi" w:cs="Arial"/>
          <w:sz w:val="24"/>
          <w:szCs w:val="24"/>
        </w:rPr>
        <w:t xml:space="preserve"> </w:t>
      </w:r>
    </w:p>
    <w:p w:rsidR="009F78FA" w:rsidRPr="00B4481E" w:rsidRDefault="009F78FA" w:rsidP="009F78FA">
      <w:pPr>
        <w:spacing w:line="276" w:lineRule="auto"/>
        <w:ind w:firstLine="2835"/>
        <w:jc w:val="both"/>
        <w:rPr>
          <w:rFonts w:ascii="Gadugi" w:hAnsi="Gadugi" w:cs="Arial"/>
          <w:bCs/>
          <w:sz w:val="24"/>
          <w:szCs w:val="24"/>
        </w:rPr>
      </w:pPr>
      <w:r w:rsidRPr="00B4481E">
        <w:rPr>
          <w:rFonts w:ascii="Gadugi" w:hAnsi="Gadugi" w:cs="Arial"/>
          <w:bCs/>
          <w:sz w:val="24"/>
          <w:szCs w:val="24"/>
        </w:rPr>
        <w:t>Los Magistrados,</w:t>
      </w:r>
    </w:p>
    <w:p w:rsidR="009F78FA" w:rsidRDefault="009F78FA" w:rsidP="009F78FA">
      <w:pPr>
        <w:spacing w:line="276" w:lineRule="auto"/>
        <w:jc w:val="both"/>
        <w:rPr>
          <w:rFonts w:ascii="Gadugi" w:hAnsi="Gadugi" w:cs="Arial"/>
          <w:b/>
          <w:sz w:val="24"/>
          <w:szCs w:val="24"/>
        </w:rPr>
      </w:pPr>
    </w:p>
    <w:p w:rsidR="009F78FA" w:rsidRPr="00B4481E" w:rsidRDefault="009F78FA" w:rsidP="009F78FA">
      <w:pPr>
        <w:spacing w:line="276" w:lineRule="auto"/>
        <w:jc w:val="both"/>
        <w:rPr>
          <w:rFonts w:ascii="Gadugi" w:hAnsi="Gadugi" w:cs="Arial"/>
          <w:b/>
          <w:sz w:val="24"/>
          <w:szCs w:val="24"/>
        </w:rPr>
      </w:pPr>
    </w:p>
    <w:p w:rsidR="009F78FA" w:rsidRPr="00612A08" w:rsidRDefault="009F78FA" w:rsidP="009F78FA">
      <w:pPr>
        <w:spacing w:line="276" w:lineRule="auto"/>
        <w:ind w:firstLine="2835"/>
        <w:jc w:val="both"/>
        <w:rPr>
          <w:rFonts w:ascii="Gadugi" w:hAnsi="Gadugi" w:cs="Arial"/>
          <w:b/>
          <w:sz w:val="24"/>
          <w:szCs w:val="24"/>
          <w:lang w:val="es-CO"/>
        </w:rPr>
      </w:pPr>
    </w:p>
    <w:p w:rsidR="009F78FA" w:rsidRPr="00B4481E" w:rsidRDefault="009F78FA" w:rsidP="009F78FA">
      <w:pPr>
        <w:spacing w:line="276" w:lineRule="auto"/>
        <w:ind w:firstLine="2835"/>
        <w:jc w:val="both"/>
        <w:rPr>
          <w:rFonts w:ascii="Gadugi" w:hAnsi="Gadugi" w:cs="Arial"/>
          <w:b/>
          <w:sz w:val="24"/>
          <w:szCs w:val="24"/>
          <w:lang w:val="es-419"/>
        </w:rPr>
      </w:pPr>
    </w:p>
    <w:p w:rsidR="009F78FA" w:rsidRPr="00B4481E" w:rsidRDefault="009F78FA" w:rsidP="009F78FA">
      <w:pPr>
        <w:spacing w:line="276" w:lineRule="auto"/>
        <w:ind w:firstLine="2835"/>
        <w:jc w:val="both"/>
        <w:rPr>
          <w:rFonts w:ascii="Gadugi" w:hAnsi="Gadugi" w:cs="Arial"/>
          <w:b/>
          <w:sz w:val="24"/>
          <w:szCs w:val="24"/>
        </w:rPr>
      </w:pPr>
      <w:r w:rsidRPr="00B4481E">
        <w:rPr>
          <w:rFonts w:ascii="Gadugi" w:hAnsi="Gadugi" w:cs="Arial"/>
          <w:b/>
          <w:sz w:val="24"/>
          <w:szCs w:val="24"/>
        </w:rPr>
        <w:t>JAIME ALBERTO SARAZA NARANJO</w:t>
      </w:r>
    </w:p>
    <w:p w:rsidR="009F78FA" w:rsidRPr="00B4481E" w:rsidRDefault="009F78FA" w:rsidP="009F78FA">
      <w:pPr>
        <w:spacing w:line="276" w:lineRule="auto"/>
        <w:jc w:val="both"/>
        <w:rPr>
          <w:rFonts w:ascii="Gadugi" w:hAnsi="Gadugi" w:cs="Arial"/>
          <w:b/>
          <w:sz w:val="24"/>
          <w:szCs w:val="24"/>
        </w:rPr>
      </w:pPr>
    </w:p>
    <w:p w:rsidR="009F78FA" w:rsidRPr="00612A08" w:rsidRDefault="009F78FA" w:rsidP="009F78FA">
      <w:pPr>
        <w:spacing w:line="276" w:lineRule="auto"/>
        <w:jc w:val="both"/>
        <w:rPr>
          <w:rFonts w:ascii="Gadugi" w:hAnsi="Gadugi" w:cs="Arial"/>
          <w:b/>
          <w:sz w:val="24"/>
          <w:szCs w:val="24"/>
          <w:lang w:val="es-CO"/>
        </w:rPr>
      </w:pPr>
    </w:p>
    <w:p w:rsidR="009F78FA" w:rsidRDefault="009F78FA" w:rsidP="009F78FA">
      <w:pPr>
        <w:spacing w:line="276" w:lineRule="auto"/>
        <w:jc w:val="both"/>
        <w:rPr>
          <w:rFonts w:ascii="Gadugi" w:hAnsi="Gadugi" w:cs="Arial"/>
          <w:b/>
          <w:sz w:val="24"/>
          <w:szCs w:val="24"/>
        </w:rPr>
      </w:pPr>
    </w:p>
    <w:p w:rsidR="009F78FA" w:rsidRPr="00B4481E" w:rsidRDefault="009F78FA" w:rsidP="009F78FA">
      <w:pPr>
        <w:spacing w:line="276" w:lineRule="auto"/>
        <w:jc w:val="both"/>
        <w:rPr>
          <w:rFonts w:ascii="Gadugi" w:hAnsi="Gadugi" w:cs="Arial"/>
          <w:b/>
          <w:sz w:val="24"/>
          <w:szCs w:val="24"/>
        </w:rPr>
      </w:pPr>
    </w:p>
    <w:p w:rsidR="009F78FA" w:rsidRPr="003F7EB0" w:rsidRDefault="009F78FA" w:rsidP="009F78FA">
      <w:pPr>
        <w:spacing w:line="276" w:lineRule="auto"/>
        <w:jc w:val="both"/>
        <w:rPr>
          <w:rFonts w:ascii="Gadugi" w:hAnsi="Gadugi" w:cs="Arial"/>
          <w:sz w:val="24"/>
          <w:szCs w:val="24"/>
          <w:u w:val="single"/>
          <w:lang w:val="es-419"/>
        </w:rPr>
      </w:pPr>
      <w:r w:rsidRPr="00B4481E">
        <w:rPr>
          <w:rFonts w:ascii="Gadugi" w:hAnsi="Gadugi" w:cs="Arial"/>
          <w:b/>
          <w:sz w:val="24"/>
          <w:szCs w:val="24"/>
          <w:lang w:val="es-ES_tradnl"/>
        </w:rPr>
        <w:t xml:space="preserve">CLAUDIA MARÍA ARCILA RÍOS                 </w:t>
      </w:r>
      <w:r>
        <w:rPr>
          <w:rFonts w:ascii="Gadugi" w:hAnsi="Gadugi" w:cs="Arial"/>
          <w:b/>
          <w:sz w:val="24"/>
          <w:szCs w:val="24"/>
          <w:lang w:val="es-ES_tradnl"/>
        </w:rPr>
        <w:t xml:space="preserve">   </w:t>
      </w:r>
      <w:proofErr w:type="spellStart"/>
      <w:r w:rsidRPr="00B4481E">
        <w:rPr>
          <w:rFonts w:ascii="Gadugi" w:hAnsi="Gadugi" w:cs="Arial"/>
          <w:b/>
          <w:sz w:val="24"/>
          <w:szCs w:val="24"/>
          <w:lang w:val="es-ES_tradnl"/>
        </w:rPr>
        <w:t>DUBERNEY</w:t>
      </w:r>
      <w:proofErr w:type="spellEnd"/>
      <w:r w:rsidRPr="00B4481E">
        <w:rPr>
          <w:rFonts w:ascii="Gadugi" w:hAnsi="Gadugi" w:cs="Arial"/>
          <w:b/>
          <w:sz w:val="24"/>
          <w:szCs w:val="24"/>
          <w:lang w:val="es-ES_tradnl"/>
        </w:rPr>
        <w:t xml:space="preserve"> GRISALES HERRERA     </w:t>
      </w:r>
      <w:r w:rsidRPr="00B4481E">
        <w:rPr>
          <w:rFonts w:ascii="Gadugi" w:hAnsi="Gadugi"/>
          <w:sz w:val="24"/>
          <w:szCs w:val="24"/>
          <w:lang w:val="es-MX"/>
        </w:rPr>
        <w:tab/>
      </w:r>
      <w:r w:rsidRPr="00B4481E">
        <w:rPr>
          <w:rFonts w:ascii="Gadugi" w:hAnsi="Gadugi"/>
          <w:sz w:val="24"/>
          <w:szCs w:val="24"/>
          <w:lang w:val="es-MX"/>
        </w:rPr>
        <w:tab/>
        <w:t xml:space="preserve">  </w:t>
      </w:r>
      <w:r w:rsidRPr="00B4481E">
        <w:rPr>
          <w:rFonts w:ascii="Gadugi" w:hAnsi="Gadugi"/>
          <w:sz w:val="24"/>
          <w:szCs w:val="24"/>
          <w:lang w:val="es-MX"/>
        </w:rPr>
        <w:tab/>
      </w:r>
      <w:r w:rsidRPr="00B4481E">
        <w:rPr>
          <w:rFonts w:ascii="Gadugi" w:hAnsi="Gadugi"/>
          <w:sz w:val="24"/>
          <w:szCs w:val="24"/>
          <w:lang w:val="es-MX"/>
        </w:rPr>
        <w:tab/>
      </w:r>
      <w:r w:rsidRPr="00B4481E">
        <w:rPr>
          <w:rFonts w:ascii="Gadugi" w:hAnsi="Gadugi"/>
          <w:sz w:val="24"/>
          <w:szCs w:val="24"/>
          <w:lang w:val="es-MX"/>
        </w:rPr>
        <w:tab/>
      </w:r>
      <w:r w:rsidRPr="00B4481E">
        <w:rPr>
          <w:rFonts w:ascii="Gadugi" w:hAnsi="Gadugi"/>
          <w:sz w:val="24"/>
          <w:szCs w:val="24"/>
          <w:lang w:val="es-MX"/>
        </w:rPr>
        <w:tab/>
      </w: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t xml:space="preserve">   Con aclaración de voto</w:t>
      </w:r>
    </w:p>
    <w:p w:rsidR="009F78FA" w:rsidRDefault="009F78FA"/>
    <w:p w:rsidR="009F78FA" w:rsidRDefault="009F78FA"/>
    <w:sectPr w:rsidR="009F78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21" w:rsidRDefault="00C00221" w:rsidP="009F78FA">
      <w:r>
        <w:separator/>
      </w:r>
    </w:p>
  </w:endnote>
  <w:endnote w:type="continuationSeparator" w:id="0">
    <w:p w:rsidR="00C00221" w:rsidRDefault="00C00221" w:rsidP="009F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21" w:rsidRDefault="00C00221" w:rsidP="009F78FA">
      <w:r>
        <w:separator/>
      </w:r>
    </w:p>
  </w:footnote>
  <w:footnote w:type="continuationSeparator" w:id="0">
    <w:p w:rsidR="00C00221" w:rsidRDefault="00C00221" w:rsidP="009F78FA">
      <w:r>
        <w:continuationSeparator/>
      </w:r>
    </w:p>
  </w:footnote>
  <w:footnote w:id="1">
    <w:p w:rsidR="009F78FA" w:rsidRPr="00270D34" w:rsidRDefault="009F78FA" w:rsidP="009F78FA">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CB"/>
    <w:rsid w:val="0091288C"/>
    <w:rsid w:val="009F78FA"/>
    <w:rsid w:val="00B857CB"/>
    <w:rsid w:val="00C00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F2EB-0D91-49CF-8AD6-B19362B2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9F78FA"/>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F78FA"/>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9F78FA"/>
  </w:style>
  <w:style w:type="character" w:customStyle="1" w:styleId="TextonotapieCar">
    <w:name w:val="Texto nota pie Car"/>
    <w:basedOn w:val="Fuentedeprrafopredeter"/>
    <w:uiPriority w:val="99"/>
    <w:semiHidden/>
    <w:rsid w:val="009F78FA"/>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9F78FA"/>
    <w:rPr>
      <w:rFonts w:cs="Times New Roman"/>
      <w:vertAlign w:val="superscript"/>
    </w:rPr>
  </w:style>
  <w:style w:type="paragraph" w:customStyle="1" w:styleId="BodyText2">
    <w:name w:val="Body Text 2"/>
    <w:basedOn w:val="Normal"/>
    <w:rsid w:val="009F78FA"/>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link w:val="Textonotapie"/>
    <w:locked/>
    <w:rsid w:val="009F78FA"/>
    <w:rPr>
      <w:rFonts w:ascii="Times New Roman" w:eastAsia="Times New Roman" w:hAnsi="Times New Roman" w:cs="Times New Roman"/>
      <w:sz w:val="20"/>
      <w:szCs w:val="20"/>
      <w:lang w:eastAsia="es-ES"/>
    </w:rPr>
  </w:style>
  <w:style w:type="paragraph" w:customStyle="1" w:styleId="NoSpacing">
    <w:name w:val="No Spacing"/>
    <w:rsid w:val="009F78F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1740</Words>
  <Characters>9575</Characters>
  <Application>Microsoft Office Word</Application>
  <DocSecurity>0</DocSecurity>
  <Lines>79</Lines>
  <Paragraphs>22</Paragraphs>
  <ScaleCrop>false</ScaleCrop>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2016-12-06T20:52:00Z</dcterms:created>
  <dcterms:modified xsi:type="dcterms:W3CDTF">2016-12-06T20:59:00Z</dcterms:modified>
</cp:coreProperties>
</file>