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FB" w:rsidRPr="00760671" w:rsidRDefault="00CE6FFB" w:rsidP="00CE6FF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CE6FFB" w:rsidRDefault="00CE6FFB" w:rsidP="00CE6FFB">
      <w:pPr>
        <w:pStyle w:val="Sinespaciado"/>
        <w:rPr>
          <w:sz w:val="18"/>
          <w:szCs w:val="18"/>
        </w:rPr>
      </w:pPr>
    </w:p>
    <w:p w:rsidR="00AB4776" w:rsidRPr="00AB4776" w:rsidRDefault="00AB4776" w:rsidP="00AB4776">
      <w:pPr>
        <w:jc w:val="both"/>
        <w:rPr>
          <w:rFonts w:asciiTheme="minorHAnsi" w:hAnsiTheme="minorHAnsi"/>
          <w:sz w:val="18"/>
          <w:szCs w:val="18"/>
        </w:rPr>
      </w:pPr>
      <w:bookmarkStart w:id="0" w:name="_GoBack"/>
      <w:bookmarkEnd w:id="0"/>
      <w:r w:rsidRPr="00AB4776">
        <w:rPr>
          <w:rFonts w:asciiTheme="minorHAnsi" w:hAnsiTheme="minorHAnsi"/>
          <w:sz w:val="18"/>
          <w:szCs w:val="18"/>
        </w:rPr>
        <w:t>Providencia:</w:t>
      </w:r>
      <w:r w:rsidRPr="00AB4776">
        <w:rPr>
          <w:rFonts w:asciiTheme="minorHAnsi" w:hAnsiTheme="minorHAnsi"/>
          <w:sz w:val="18"/>
          <w:szCs w:val="18"/>
        </w:rPr>
        <w:tab/>
      </w:r>
      <w:r w:rsidRPr="00AB4776">
        <w:rPr>
          <w:rFonts w:asciiTheme="minorHAnsi" w:hAnsiTheme="minorHAnsi"/>
          <w:sz w:val="18"/>
          <w:szCs w:val="18"/>
        </w:rPr>
        <w:tab/>
      </w:r>
      <w:r w:rsidRPr="00AB4776">
        <w:rPr>
          <w:rFonts w:asciiTheme="minorHAnsi" w:hAnsiTheme="minorHAnsi"/>
          <w:sz w:val="18"/>
          <w:szCs w:val="18"/>
        </w:rPr>
        <w:tab/>
        <w:t xml:space="preserve">SENTENCIA DE TUTELA – </w:t>
      </w:r>
      <w:r w:rsidR="008636B7">
        <w:rPr>
          <w:rFonts w:asciiTheme="minorHAnsi" w:hAnsiTheme="minorHAnsi"/>
          <w:sz w:val="18"/>
          <w:szCs w:val="18"/>
        </w:rPr>
        <w:t>1</w:t>
      </w:r>
      <w:r w:rsidRPr="00AB4776">
        <w:rPr>
          <w:rFonts w:asciiTheme="minorHAnsi" w:hAnsiTheme="minorHAnsi"/>
          <w:sz w:val="18"/>
          <w:szCs w:val="18"/>
        </w:rPr>
        <w:t>ª Instancia - 06 de octubre de 2016</w:t>
      </w:r>
    </w:p>
    <w:p w:rsidR="00AB4776" w:rsidRPr="00AB4776" w:rsidRDefault="00AB4776" w:rsidP="00AB4776">
      <w:pPr>
        <w:jc w:val="both"/>
        <w:rPr>
          <w:rFonts w:asciiTheme="minorHAnsi" w:hAnsiTheme="minorHAnsi"/>
          <w:sz w:val="18"/>
          <w:szCs w:val="18"/>
        </w:rPr>
      </w:pPr>
      <w:r w:rsidRPr="00AB4776">
        <w:rPr>
          <w:rFonts w:asciiTheme="minorHAnsi" w:hAnsiTheme="minorHAnsi"/>
          <w:sz w:val="18"/>
          <w:szCs w:val="18"/>
        </w:rPr>
        <w:t>Radicación Nro. :</w:t>
      </w:r>
      <w:r w:rsidRPr="00AB4776">
        <w:rPr>
          <w:rFonts w:asciiTheme="minorHAnsi" w:hAnsiTheme="minorHAnsi"/>
          <w:sz w:val="18"/>
          <w:szCs w:val="18"/>
        </w:rPr>
        <w:tab/>
      </w:r>
      <w:r w:rsidRPr="00AB4776">
        <w:rPr>
          <w:rFonts w:asciiTheme="minorHAnsi" w:hAnsiTheme="minorHAnsi"/>
          <w:sz w:val="18"/>
          <w:szCs w:val="18"/>
        </w:rPr>
        <w:tab/>
      </w:r>
      <w:r w:rsidRPr="00AB4776">
        <w:rPr>
          <w:rFonts w:asciiTheme="minorHAnsi" w:hAnsiTheme="minorHAnsi"/>
          <w:sz w:val="18"/>
          <w:szCs w:val="18"/>
        </w:rPr>
        <w:tab/>
        <w:t>66001-22-13-000-2016-00900-00</w:t>
      </w:r>
    </w:p>
    <w:p w:rsidR="00AB4776" w:rsidRPr="00AB4776" w:rsidRDefault="00AB4776" w:rsidP="00AB4776">
      <w:pPr>
        <w:jc w:val="both"/>
        <w:rPr>
          <w:rFonts w:asciiTheme="minorHAnsi" w:hAnsiTheme="minorHAnsi"/>
          <w:sz w:val="18"/>
          <w:szCs w:val="18"/>
        </w:rPr>
      </w:pPr>
      <w:r w:rsidRPr="00AB4776">
        <w:rPr>
          <w:rFonts w:asciiTheme="minorHAnsi" w:hAnsiTheme="minorHAnsi"/>
          <w:sz w:val="18"/>
          <w:szCs w:val="18"/>
        </w:rPr>
        <w:t>Accionante:</w:t>
      </w:r>
      <w:r w:rsidRPr="00AB4776">
        <w:rPr>
          <w:rFonts w:asciiTheme="minorHAnsi" w:hAnsiTheme="minorHAnsi"/>
          <w:sz w:val="18"/>
          <w:szCs w:val="18"/>
        </w:rPr>
        <w:tab/>
      </w:r>
      <w:r w:rsidRPr="00AB4776">
        <w:rPr>
          <w:rFonts w:asciiTheme="minorHAnsi" w:hAnsiTheme="minorHAnsi"/>
          <w:sz w:val="18"/>
          <w:szCs w:val="18"/>
        </w:rPr>
        <w:tab/>
      </w:r>
      <w:r w:rsidRPr="00AB4776">
        <w:rPr>
          <w:rFonts w:asciiTheme="minorHAnsi" w:hAnsiTheme="minorHAnsi"/>
          <w:sz w:val="18"/>
          <w:szCs w:val="18"/>
        </w:rPr>
        <w:tab/>
        <w:t>Patricia Giraldo Villegas</w:t>
      </w:r>
    </w:p>
    <w:p w:rsidR="00AB4776" w:rsidRPr="00AB4776" w:rsidRDefault="00AB4776" w:rsidP="00AB4776">
      <w:pPr>
        <w:jc w:val="both"/>
        <w:rPr>
          <w:rFonts w:asciiTheme="minorHAnsi" w:hAnsiTheme="minorHAnsi"/>
          <w:sz w:val="18"/>
          <w:szCs w:val="18"/>
        </w:rPr>
      </w:pPr>
      <w:r w:rsidRPr="00AB4776">
        <w:rPr>
          <w:rFonts w:asciiTheme="minorHAnsi" w:hAnsiTheme="minorHAnsi"/>
          <w:sz w:val="18"/>
          <w:szCs w:val="18"/>
        </w:rPr>
        <w:t>Accionados:</w:t>
      </w:r>
      <w:r w:rsidRPr="00AB4776">
        <w:rPr>
          <w:rFonts w:asciiTheme="minorHAnsi" w:hAnsiTheme="minorHAnsi"/>
          <w:sz w:val="18"/>
          <w:szCs w:val="18"/>
        </w:rPr>
        <w:tab/>
      </w:r>
      <w:r w:rsidRPr="00AB4776">
        <w:rPr>
          <w:rFonts w:asciiTheme="minorHAnsi" w:hAnsiTheme="minorHAnsi"/>
          <w:sz w:val="18"/>
          <w:szCs w:val="18"/>
        </w:rPr>
        <w:tab/>
      </w:r>
      <w:r w:rsidRPr="00AB4776">
        <w:rPr>
          <w:rFonts w:asciiTheme="minorHAnsi" w:hAnsiTheme="minorHAnsi"/>
          <w:sz w:val="18"/>
          <w:szCs w:val="18"/>
        </w:rPr>
        <w:tab/>
        <w:t xml:space="preserve">Juzgado Segundo Civil del Circuito local, el Banco Davivienda y la </w:t>
      </w:r>
      <w:proofErr w:type="spellStart"/>
      <w:r w:rsidRPr="00AB4776">
        <w:rPr>
          <w:rFonts w:asciiTheme="minorHAnsi" w:hAnsiTheme="minorHAnsi"/>
          <w:sz w:val="18"/>
          <w:szCs w:val="18"/>
        </w:rPr>
        <w:t>Corregiduría</w:t>
      </w:r>
      <w:proofErr w:type="spellEnd"/>
      <w:r w:rsidRPr="00AB4776">
        <w:rPr>
          <w:rFonts w:asciiTheme="minorHAnsi" w:hAnsiTheme="minorHAnsi"/>
          <w:sz w:val="18"/>
          <w:szCs w:val="18"/>
        </w:rPr>
        <w:t xml:space="preserve"> de Cerritos, a la que fue vinculado Marco Alfonso Ortiz Álvarez.</w:t>
      </w:r>
    </w:p>
    <w:p w:rsidR="00AB4776" w:rsidRPr="00AB4776" w:rsidRDefault="00AB4776" w:rsidP="00AB4776">
      <w:pPr>
        <w:jc w:val="both"/>
        <w:rPr>
          <w:rFonts w:asciiTheme="minorHAnsi" w:hAnsiTheme="minorHAnsi"/>
          <w:sz w:val="18"/>
          <w:szCs w:val="18"/>
        </w:rPr>
      </w:pPr>
      <w:r w:rsidRPr="00AB4776">
        <w:rPr>
          <w:rFonts w:asciiTheme="minorHAnsi" w:hAnsiTheme="minorHAnsi"/>
          <w:sz w:val="18"/>
          <w:szCs w:val="18"/>
        </w:rPr>
        <w:t>Proceso:</w:t>
      </w:r>
      <w:r w:rsidRPr="00AB4776">
        <w:rPr>
          <w:rFonts w:asciiTheme="minorHAnsi" w:hAnsiTheme="minorHAnsi"/>
          <w:sz w:val="18"/>
          <w:szCs w:val="18"/>
        </w:rPr>
        <w:tab/>
      </w:r>
      <w:r w:rsidRPr="00AB4776">
        <w:rPr>
          <w:rFonts w:asciiTheme="minorHAnsi" w:hAnsiTheme="minorHAnsi"/>
          <w:sz w:val="18"/>
          <w:szCs w:val="18"/>
        </w:rPr>
        <w:tab/>
      </w:r>
      <w:r w:rsidRPr="00AB4776">
        <w:rPr>
          <w:rFonts w:asciiTheme="minorHAnsi" w:hAnsiTheme="minorHAnsi"/>
          <w:sz w:val="18"/>
          <w:szCs w:val="18"/>
        </w:rPr>
        <w:tab/>
      </w:r>
      <w:r w:rsidRPr="00AB4776">
        <w:rPr>
          <w:rFonts w:asciiTheme="minorHAnsi" w:hAnsiTheme="minorHAnsi"/>
          <w:sz w:val="18"/>
          <w:szCs w:val="18"/>
        </w:rPr>
        <w:tab/>
        <w:t xml:space="preserve">Acción de Tutela </w:t>
      </w:r>
    </w:p>
    <w:p w:rsidR="00AB4776" w:rsidRPr="00AB4776" w:rsidRDefault="00AB4776" w:rsidP="00AB4776">
      <w:pPr>
        <w:jc w:val="both"/>
        <w:rPr>
          <w:rFonts w:asciiTheme="minorHAnsi" w:hAnsiTheme="minorHAnsi"/>
          <w:sz w:val="18"/>
          <w:szCs w:val="18"/>
        </w:rPr>
      </w:pPr>
      <w:r w:rsidRPr="00AB4776">
        <w:rPr>
          <w:rFonts w:asciiTheme="minorHAnsi" w:hAnsiTheme="minorHAnsi"/>
          <w:sz w:val="18"/>
          <w:szCs w:val="18"/>
        </w:rPr>
        <w:t>Magistrado Ponente:</w:t>
      </w:r>
      <w:r w:rsidRPr="00AB4776">
        <w:rPr>
          <w:rFonts w:asciiTheme="minorHAnsi" w:hAnsiTheme="minorHAnsi"/>
          <w:sz w:val="18"/>
          <w:szCs w:val="18"/>
        </w:rPr>
        <w:tab/>
      </w:r>
      <w:r w:rsidRPr="00AB4776">
        <w:rPr>
          <w:rFonts w:asciiTheme="minorHAnsi" w:hAnsiTheme="minorHAnsi"/>
          <w:sz w:val="18"/>
          <w:szCs w:val="18"/>
        </w:rPr>
        <w:tab/>
        <w:t>JAIME ALBERTO SARAZA NARANJO</w:t>
      </w:r>
    </w:p>
    <w:p w:rsidR="00AB4776" w:rsidRPr="00672DA8" w:rsidRDefault="00AB4776" w:rsidP="00AB4776">
      <w:pPr>
        <w:jc w:val="both"/>
        <w:rPr>
          <w:rFonts w:asciiTheme="minorHAnsi" w:hAnsiTheme="minorHAnsi"/>
          <w:sz w:val="18"/>
          <w:szCs w:val="18"/>
        </w:rPr>
      </w:pPr>
    </w:p>
    <w:p w:rsidR="00AB4776" w:rsidRPr="00347BED" w:rsidRDefault="00AB4776" w:rsidP="00AB4776">
      <w:pPr>
        <w:pStyle w:val="Sinespaciado"/>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 xml:space="preserve">TUTELA CONTRA PROVIDENCIA JUDICIAL  / VIOLACIÓN AL DEBIDO PROCESO / AUSENCIA DE NOTIFICACIÓN / CAUSALES GENÉRICAS Y ESPECIFICAS DE </w:t>
      </w:r>
      <w:proofErr w:type="spellStart"/>
      <w:r>
        <w:rPr>
          <w:rFonts w:asciiTheme="minorHAnsi" w:hAnsiTheme="minorHAnsi"/>
          <w:b/>
          <w:sz w:val="18"/>
          <w:szCs w:val="18"/>
        </w:rPr>
        <w:t>PROCEDIBILIDAD</w:t>
      </w:r>
      <w:proofErr w:type="spellEnd"/>
      <w:r>
        <w:rPr>
          <w:rFonts w:asciiTheme="minorHAnsi" w:hAnsiTheme="minorHAnsi"/>
          <w:b/>
          <w:sz w:val="18"/>
          <w:szCs w:val="18"/>
        </w:rPr>
        <w:t xml:space="preserve"> / VÍA DE HECHO / SUBSIDIARIEDAD / IMPROCEDENCIA / </w:t>
      </w:r>
      <w:r w:rsidRPr="00347BED">
        <w:rPr>
          <w:rFonts w:asciiTheme="minorHAnsi" w:hAnsiTheme="minorHAnsi"/>
          <w:sz w:val="18"/>
          <w:szCs w:val="18"/>
        </w:rPr>
        <w:t xml:space="preserve">“Es evidente que la situación de la demandante deriva de la decisión adoptada por el juez ordinario en un proceso en el que, a primera vista, se le garantizó el derecho de defensa, pero ella optó por guardar silencio. Lo contrario, ya se dijo, debe demostrarlo por las vías procesales adecuadas. En ese orden de ideas, la misma </w:t>
      </w:r>
      <w:proofErr w:type="spellStart"/>
      <w:r w:rsidRPr="00347BED">
        <w:rPr>
          <w:rFonts w:asciiTheme="minorHAnsi" w:hAnsiTheme="minorHAnsi"/>
          <w:sz w:val="18"/>
          <w:szCs w:val="18"/>
        </w:rPr>
        <w:t>residualidad</w:t>
      </w:r>
      <w:proofErr w:type="spellEnd"/>
      <w:r w:rsidRPr="00347BED">
        <w:rPr>
          <w:rFonts w:asciiTheme="minorHAnsi" w:hAnsiTheme="minorHAnsi"/>
          <w:sz w:val="18"/>
          <w:szCs w:val="18"/>
        </w:rPr>
        <w:t xml:space="preserve"> impide dar cabida a la protección de esos otros derechos invocados, incluido, además, el de la igualdad, porque carece de referente la Sala para determinar en qué otro caso similar el Juzgado ha obrado de manera diferente a como lo hizo en el proceso verbal que se analiza; y si es que tal desigualdad se pregona frente al banco demandante, repetitivo resulta señalar que a ella y a su codemandado se les permitió intervenir, pero no lo hicieron y ahora que dice haberse enterado de la actuación tampoco ha pretendido un remedio procesal. </w:t>
      </w:r>
    </w:p>
    <w:p w:rsidR="00AB4776" w:rsidRPr="00347BED" w:rsidRDefault="00AB4776" w:rsidP="00AB4776">
      <w:pPr>
        <w:pStyle w:val="Sinespaciado"/>
        <w:jc w:val="both"/>
        <w:rPr>
          <w:rFonts w:asciiTheme="minorHAnsi" w:hAnsiTheme="minorHAnsi"/>
          <w:sz w:val="18"/>
          <w:szCs w:val="18"/>
        </w:rPr>
      </w:pPr>
    </w:p>
    <w:p w:rsidR="00AB4776" w:rsidRPr="00347BED" w:rsidRDefault="00AB4776" w:rsidP="00AB4776">
      <w:pPr>
        <w:pStyle w:val="Sinespaciado"/>
        <w:jc w:val="both"/>
        <w:rPr>
          <w:rFonts w:asciiTheme="minorHAnsi" w:hAnsiTheme="minorHAnsi"/>
          <w:sz w:val="18"/>
          <w:szCs w:val="18"/>
        </w:rPr>
      </w:pPr>
      <w:r w:rsidRPr="00347BED">
        <w:rPr>
          <w:rFonts w:asciiTheme="minorHAnsi" w:hAnsiTheme="minorHAnsi"/>
          <w:sz w:val="18"/>
          <w:szCs w:val="18"/>
        </w:rPr>
        <w:t>Lo analizado, traerá como consecuencia la declaratoria de improcedencia de la acción frente al Juzgado Segundo Civil del Circuito de esta ciudad.”</w:t>
      </w:r>
    </w:p>
    <w:p w:rsidR="00AB4776" w:rsidRPr="00347BED" w:rsidRDefault="00AB4776" w:rsidP="00AB4776">
      <w:pPr>
        <w:pStyle w:val="Sinespaciado"/>
        <w:jc w:val="both"/>
        <w:rPr>
          <w:rFonts w:asciiTheme="minorHAnsi" w:hAnsiTheme="minorHAnsi"/>
          <w:sz w:val="18"/>
          <w:szCs w:val="18"/>
        </w:rPr>
      </w:pPr>
    </w:p>
    <w:p w:rsidR="00AB4776" w:rsidRPr="00347BED" w:rsidRDefault="00AB4776" w:rsidP="00AB4776">
      <w:pPr>
        <w:pStyle w:val="Sinespaciado"/>
        <w:jc w:val="both"/>
        <w:rPr>
          <w:rFonts w:asciiTheme="minorHAnsi" w:hAnsiTheme="minorHAnsi"/>
          <w:sz w:val="18"/>
          <w:szCs w:val="18"/>
        </w:rPr>
      </w:pPr>
      <w:r w:rsidRPr="00AB4776">
        <w:rPr>
          <w:rFonts w:asciiTheme="minorHAnsi" w:hAnsiTheme="minorHAnsi"/>
          <w:b/>
          <w:sz w:val="18"/>
          <w:szCs w:val="18"/>
        </w:rPr>
        <w:t>Citación jurisprudencial:</w:t>
      </w:r>
      <w:r w:rsidRPr="00347BED">
        <w:rPr>
          <w:rFonts w:asciiTheme="minorHAnsi" w:hAnsiTheme="minorHAnsi"/>
          <w:sz w:val="18"/>
          <w:szCs w:val="18"/>
        </w:rPr>
        <w:t xml:space="preserve"> Sentencia T-107 de 2016 que alude a la C-590 de 2005. / Sentencia C-543-92. / Sentencia T-120 de 2016. / </w:t>
      </w:r>
    </w:p>
    <w:p w:rsidR="00AB4776" w:rsidRPr="00347BED" w:rsidRDefault="00AB4776" w:rsidP="00AB4776">
      <w:pPr>
        <w:pStyle w:val="Sinespaciado"/>
        <w:jc w:val="both"/>
        <w:rPr>
          <w:rFonts w:asciiTheme="minorHAnsi" w:hAnsiTheme="minorHAnsi"/>
          <w:sz w:val="18"/>
          <w:szCs w:val="18"/>
        </w:rPr>
      </w:pPr>
    </w:p>
    <w:p w:rsidR="00AB4776" w:rsidRPr="00EE1089" w:rsidRDefault="00AB4776" w:rsidP="00AB4776">
      <w:pPr>
        <w:jc w:val="both"/>
        <w:rPr>
          <w:rFonts w:asciiTheme="minorHAnsi" w:hAnsiTheme="minorHAnsi"/>
          <w:sz w:val="18"/>
          <w:szCs w:val="18"/>
        </w:rPr>
      </w:pPr>
    </w:p>
    <w:p w:rsidR="00AB4776" w:rsidRPr="00EE1089" w:rsidRDefault="00AB4776" w:rsidP="003C5871">
      <w:pPr>
        <w:jc w:val="center"/>
        <w:rPr>
          <w:rFonts w:asciiTheme="minorHAnsi" w:hAnsiTheme="minorHAnsi"/>
          <w:sz w:val="18"/>
          <w:szCs w:val="18"/>
        </w:rPr>
      </w:pPr>
      <w:r w:rsidRPr="00EE1089">
        <w:rPr>
          <w:rFonts w:asciiTheme="minorHAnsi" w:hAnsiTheme="minorHAnsi"/>
          <w:sz w:val="18"/>
          <w:szCs w:val="18"/>
        </w:rPr>
        <w:t>------------------------------------------------------------------------------------------------------</w:t>
      </w:r>
    </w:p>
    <w:p w:rsidR="00AB4776" w:rsidRDefault="00AB4776" w:rsidP="0030557B">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30557B" w:rsidRPr="0030557B" w:rsidRDefault="0030557B" w:rsidP="0030557B">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30557B">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30557B" w:rsidRPr="0030557B" w:rsidRDefault="0030557B" w:rsidP="0030557B">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30557B">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30557B" w:rsidRPr="002119C0" w:rsidRDefault="0030557B" w:rsidP="0030557B">
      <w:pPr>
        <w:spacing w:line="26" w:lineRule="atLeast"/>
        <w:ind w:firstLine="2835"/>
        <w:jc w:val="both"/>
        <w:rPr>
          <w:rFonts w:ascii="Gadugi" w:hAnsi="Gadugi"/>
          <w:sz w:val="24"/>
          <w:szCs w:val="24"/>
        </w:rPr>
      </w:pPr>
    </w:p>
    <w:p w:rsidR="0030557B" w:rsidRPr="002119C0" w:rsidRDefault="0030557B" w:rsidP="0030557B">
      <w:pPr>
        <w:spacing w:line="26" w:lineRule="atLeast"/>
        <w:ind w:firstLine="2835"/>
        <w:jc w:val="both"/>
        <w:rPr>
          <w:rFonts w:ascii="Gadugi" w:hAnsi="Gadugi"/>
          <w:sz w:val="24"/>
          <w:szCs w:val="24"/>
          <w:lang w:val="es-CO"/>
        </w:rPr>
      </w:pPr>
    </w:p>
    <w:p w:rsidR="0030557B" w:rsidRPr="002119C0" w:rsidRDefault="0030557B" w:rsidP="0030557B">
      <w:pPr>
        <w:spacing w:line="26" w:lineRule="atLeast"/>
        <w:ind w:firstLine="2835"/>
        <w:jc w:val="both"/>
        <w:rPr>
          <w:rFonts w:ascii="Gadugi" w:hAnsi="Gadugi"/>
          <w:sz w:val="24"/>
          <w:szCs w:val="24"/>
        </w:rPr>
      </w:pPr>
      <w:r w:rsidRPr="002119C0">
        <w:rPr>
          <w:rFonts w:ascii="Gadugi" w:hAnsi="Gadugi"/>
          <w:sz w:val="24"/>
          <w:szCs w:val="24"/>
        </w:rPr>
        <w:t>Magistrado: Jaime Alberto Saraza Naranjo</w:t>
      </w:r>
    </w:p>
    <w:p w:rsidR="0030557B" w:rsidRPr="008D2657" w:rsidRDefault="0030557B" w:rsidP="0030557B">
      <w:pPr>
        <w:spacing w:line="26" w:lineRule="atLeast"/>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octubre seis de dos mil dieciséis</w:t>
      </w:r>
    </w:p>
    <w:p w:rsidR="0030557B" w:rsidRPr="002119C0" w:rsidRDefault="0030557B" w:rsidP="0030557B">
      <w:pPr>
        <w:spacing w:line="26" w:lineRule="atLeast"/>
        <w:ind w:firstLine="2835"/>
        <w:jc w:val="both"/>
        <w:rPr>
          <w:rFonts w:ascii="Gadugi" w:hAnsi="Gadugi"/>
          <w:sz w:val="24"/>
          <w:szCs w:val="24"/>
        </w:rPr>
      </w:pPr>
      <w:r w:rsidRPr="002119C0">
        <w:rPr>
          <w:rFonts w:ascii="Gadugi" w:hAnsi="Gadugi"/>
          <w:sz w:val="24"/>
          <w:szCs w:val="24"/>
        </w:rPr>
        <w:t xml:space="preserve">Expediente </w:t>
      </w:r>
      <w:r w:rsidRPr="002119C0">
        <w:rPr>
          <w:rFonts w:ascii="Gadugi" w:hAnsi="Gadugi"/>
          <w:sz w:val="24"/>
          <w:szCs w:val="24"/>
        </w:rPr>
        <w:tab/>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sidRPr="002119C0">
        <w:rPr>
          <w:rFonts w:ascii="Gadugi" w:hAnsi="Gadugi"/>
          <w:sz w:val="24"/>
          <w:szCs w:val="24"/>
        </w:rPr>
        <w:t>-00</w:t>
      </w:r>
      <w:r>
        <w:rPr>
          <w:rFonts w:ascii="Gadugi" w:hAnsi="Gadugi"/>
          <w:sz w:val="24"/>
          <w:szCs w:val="24"/>
          <w:lang w:val="es-419"/>
        </w:rPr>
        <w:t>9</w:t>
      </w:r>
      <w:r>
        <w:rPr>
          <w:rFonts w:ascii="Gadugi" w:hAnsi="Gadugi"/>
          <w:sz w:val="24"/>
          <w:szCs w:val="24"/>
          <w:lang w:val="es-CO"/>
        </w:rPr>
        <w:t>0</w:t>
      </w:r>
      <w:r>
        <w:rPr>
          <w:rFonts w:ascii="Gadugi" w:hAnsi="Gadugi"/>
          <w:sz w:val="24"/>
          <w:szCs w:val="24"/>
          <w:lang w:val="es-419"/>
        </w:rPr>
        <w:t>0</w:t>
      </w:r>
      <w:r w:rsidRPr="002119C0">
        <w:rPr>
          <w:rFonts w:ascii="Gadugi" w:hAnsi="Gadugi"/>
          <w:sz w:val="24"/>
          <w:szCs w:val="24"/>
        </w:rPr>
        <w:t>-00</w:t>
      </w:r>
      <w:r w:rsidRPr="002119C0">
        <w:rPr>
          <w:rFonts w:ascii="Gadugi" w:hAnsi="Gadugi"/>
          <w:sz w:val="24"/>
          <w:szCs w:val="24"/>
        </w:rPr>
        <w:tab/>
      </w:r>
    </w:p>
    <w:p w:rsidR="0030557B" w:rsidRPr="008D2657" w:rsidRDefault="0030557B" w:rsidP="0030557B">
      <w:pPr>
        <w:spacing w:line="26" w:lineRule="atLeast"/>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486 de octubre 6 de 2016</w:t>
      </w:r>
    </w:p>
    <w:p w:rsidR="0030557B" w:rsidRDefault="0030557B" w:rsidP="0030557B">
      <w:pPr>
        <w:spacing w:line="26" w:lineRule="atLeast"/>
        <w:ind w:firstLine="2835"/>
        <w:jc w:val="both"/>
        <w:rPr>
          <w:rFonts w:ascii="Gadugi" w:hAnsi="Gadugi"/>
          <w:sz w:val="24"/>
          <w:szCs w:val="24"/>
        </w:rPr>
      </w:pPr>
    </w:p>
    <w:p w:rsidR="0030557B" w:rsidRPr="002119C0" w:rsidRDefault="0030557B" w:rsidP="0030557B">
      <w:pPr>
        <w:spacing w:line="26" w:lineRule="atLeast"/>
        <w:ind w:firstLine="2835"/>
        <w:jc w:val="both"/>
        <w:rPr>
          <w:rFonts w:ascii="Gadugi" w:hAnsi="Gadugi"/>
          <w:sz w:val="24"/>
          <w:szCs w:val="24"/>
        </w:rPr>
      </w:pPr>
    </w:p>
    <w:p w:rsidR="0030557B" w:rsidRDefault="0030557B" w:rsidP="0030557B">
      <w:pPr>
        <w:spacing w:line="26" w:lineRule="atLeast"/>
        <w:ind w:firstLine="2835"/>
        <w:jc w:val="both"/>
        <w:rPr>
          <w:rFonts w:ascii="Gadugi" w:hAnsi="Gadugi" w:cs="Century Gothic"/>
          <w:b/>
          <w:sz w:val="24"/>
          <w:szCs w:val="24"/>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Pr>
          <w:rFonts w:ascii="Gadugi" w:hAnsi="Gadugi" w:cs="Century Gothic"/>
          <w:b/>
          <w:sz w:val="24"/>
          <w:szCs w:val="24"/>
        </w:rPr>
        <w:t>Patricia Giraldo Villegas</w:t>
      </w:r>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Segundo C</w:t>
      </w:r>
      <w:r w:rsidRPr="002119C0">
        <w:rPr>
          <w:rFonts w:ascii="Gadugi" w:hAnsi="Gadugi" w:cs="Century Gothic"/>
          <w:b/>
          <w:sz w:val="24"/>
          <w:szCs w:val="24"/>
        </w:rPr>
        <w:t xml:space="preserve">ivil del Circuito </w:t>
      </w:r>
      <w:r w:rsidRPr="002119C0">
        <w:rPr>
          <w:rFonts w:ascii="Gadugi" w:hAnsi="Gadugi" w:cs="Century Gothic"/>
          <w:sz w:val="24"/>
          <w:szCs w:val="24"/>
        </w:rPr>
        <w:t>local</w:t>
      </w:r>
      <w:r>
        <w:rPr>
          <w:rFonts w:ascii="Gadugi" w:hAnsi="Gadugi" w:cs="Century Gothic"/>
          <w:sz w:val="24"/>
          <w:szCs w:val="24"/>
        </w:rPr>
        <w:t xml:space="preserve">, el </w:t>
      </w:r>
      <w:r>
        <w:rPr>
          <w:rFonts w:ascii="Gadugi" w:hAnsi="Gadugi" w:cs="Century Gothic"/>
          <w:b/>
          <w:sz w:val="24"/>
          <w:szCs w:val="24"/>
        </w:rPr>
        <w:t xml:space="preserve">Banco Davivienda </w:t>
      </w:r>
      <w:r>
        <w:rPr>
          <w:rFonts w:ascii="Gadugi" w:hAnsi="Gadugi" w:cs="Century Gothic"/>
          <w:sz w:val="24"/>
          <w:szCs w:val="24"/>
        </w:rPr>
        <w:t xml:space="preserve">y la </w:t>
      </w:r>
      <w:proofErr w:type="spellStart"/>
      <w:r>
        <w:rPr>
          <w:rFonts w:ascii="Gadugi" w:hAnsi="Gadugi" w:cs="Century Gothic"/>
          <w:b/>
          <w:sz w:val="24"/>
          <w:szCs w:val="24"/>
        </w:rPr>
        <w:t>Corregiduría</w:t>
      </w:r>
      <w:proofErr w:type="spellEnd"/>
      <w:r>
        <w:rPr>
          <w:rFonts w:ascii="Gadugi" w:hAnsi="Gadugi" w:cs="Century Gothic"/>
          <w:b/>
          <w:sz w:val="24"/>
          <w:szCs w:val="24"/>
        </w:rPr>
        <w:t xml:space="preserve"> de Cerritos, </w:t>
      </w:r>
      <w:r>
        <w:rPr>
          <w:rFonts w:ascii="Gadugi" w:hAnsi="Gadugi" w:cs="Century Gothic"/>
          <w:sz w:val="24"/>
          <w:szCs w:val="24"/>
        </w:rPr>
        <w:t xml:space="preserve">a la que fue vinculado </w:t>
      </w:r>
      <w:r>
        <w:rPr>
          <w:rFonts w:ascii="Gadugi" w:hAnsi="Gadugi" w:cs="Century Gothic"/>
          <w:b/>
          <w:sz w:val="24"/>
          <w:szCs w:val="24"/>
        </w:rPr>
        <w:t>Marco Alfonso Ortiz Álvarez.</w:t>
      </w:r>
    </w:p>
    <w:p w:rsidR="0030557B" w:rsidRDefault="0030557B" w:rsidP="0030557B">
      <w:pPr>
        <w:spacing w:line="26" w:lineRule="atLeast"/>
        <w:ind w:firstLine="2835"/>
        <w:jc w:val="both"/>
        <w:rPr>
          <w:rFonts w:ascii="Gadugi" w:hAnsi="Gadugi" w:cs="Century Gothic"/>
          <w:b/>
          <w:bCs/>
          <w:sz w:val="24"/>
          <w:szCs w:val="24"/>
        </w:rPr>
      </w:pPr>
    </w:p>
    <w:p w:rsidR="0030557B" w:rsidRPr="002119C0" w:rsidRDefault="0030557B" w:rsidP="0030557B">
      <w:pPr>
        <w:spacing w:line="26" w:lineRule="atLeast"/>
        <w:ind w:firstLine="2835"/>
        <w:jc w:val="both"/>
        <w:rPr>
          <w:rFonts w:ascii="Gadugi" w:hAnsi="Gadugi" w:cs="Century Gothic"/>
          <w:b/>
          <w:bCs/>
          <w:sz w:val="24"/>
          <w:szCs w:val="24"/>
        </w:rPr>
      </w:pPr>
    </w:p>
    <w:p w:rsidR="0030557B" w:rsidRPr="002119C0" w:rsidRDefault="0030557B" w:rsidP="0030557B">
      <w:pPr>
        <w:pStyle w:val="Ttulo4"/>
        <w:spacing w:line="26" w:lineRule="atLeast"/>
        <w:rPr>
          <w:rFonts w:ascii="Gadugi" w:hAnsi="Gadugi"/>
          <w:b/>
          <w:sz w:val="24"/>
          <w:szCs w:val="24"/>
        </w:rPr>
      </w:pPr>
      <w:r w:rsidRPr="002119C0">
        <w:rPr>
          <w:rFonts w:ascii="Gadugi" w:hAnsi="Gadugi"/>
          <w:b/>
          <w:sz w:val="24"/>
          <w:szCs w:val="24"/>
        </w:rPr>
        <w:t>ANTECEDENTES</w:t>
      </w:r>
    </w:p>
    <w:p w:rsidR="0030557B" w:rsidRPr="002119C0" w:rsidRDefault="0030557B" w:rsidP="0030557B">
      <w:pPr>
        <w:spacing w:line="26" w:lineRule="atLeast"/>
        <w:ind w:firstLine="2835"/>
        <w:jc w:val="both"/>
        <w:rPr>
          <w:rFonts w:ascii="Gadugi" w:hAnsi="Gadugi" w:cs="Century Gothic"/>
          <w:b/>
          <w:bCs/>
          <w:sz w:val="24"/>
          <w:szCs w:val="24"/>
        </w:rPr>
      </w:pPr>
    </w:p>
    <w:p w:rsidR="0030557B" w:rsidRPr="002119C0" w:rsidRDefault="0030557B" w:rsidP="0030557B">
      <w:pPr>
        <w:spacing w:line="26" w:lineRule="atLeast"/>
        <w:ind w:firstLine="2835"/>
        <w:jc w:val="both"/>
        <w:rPr>
          <w:rFonts w:ascii="Gadugi" w:hAnsi="Gadugi" w:cs="Century Gothic"/>
          <w:sz w:val="24"/>
          <w:szCs w:val="24"/>
        </w:rPr>
      </w:pPr>
    </w:p>
    <w:p w:rsidR="0030557B" w:rsidRDefault="0030557B" w:rsidP="0030557B">
      <w:pPr>
        <w:spacing w:line="26" w:lineRule="atLeast"/>
        <w:ind w:firstLine="2835"/>
        <w:jc w:val="both"/>
        <w:rPr>
          <w:rFonts w:ascii="Gadugi" w:hAnsi="Gadugi" w:cs="Century Gothic"/>
          <w:sz w:val="24"/>
          <w:szCs w:val="24"/>
          <w:lang w:val="es-CO"/>
        </w:rPr>
      </w:pPr>
      <w:r w:rsidRPr="00D8568A">
        <w:rPr>
          <w:rFonts w:ascii="Gadugi" w:hAnsi="Gadugi" w:cs="Century Gothic"/>
          <w:sz w:val="24"/>
          <w:szCs w:val="24"/>
        </w:rPr>
        <w:t>Patricia Giraldo Villegas promueve la presente demanda</w:t>
      </w:r>
      <w:r w:rsidRPr="00D8568A">
        <w:rPr>
          <w:rFonts w:ascii="Gadugi" w:hAnsi="Gadugi" w:cs="Century Gothic"/>
          <w:sz w:val="24"/>
          <w:szCs w:val="24"/>
          <w:lang w:val="es-CO"/>
        </w:rPr>
        <w:t xml:space="preserve"> contra el </w:t>
      </w:r>
      <w:r w:rsidRPr="00D8568A">
        <w:rPr>
          <w:rFonts w:ascii="Gadugi" w:hAnsi="Gadugi" w:cs="Century Gothic"/>
          <w:sz w:val="24"/>
          <w:szCs w:val="24"/>
        </w:rPr>
        <w:t xml:space="preserve">Juzgado Segundo Civil del Circuito </w:t>
      </w:r>
      <w:r>
        <w:rPr>
          <w:rFonts w:ascii="Gadugi" w:hAnsi="Gadugi" w:cs="Century Gothic"/>
          <w:sz w:val="24"/>
          <w:szCs w:val="24"/>
        </w:rPr>
        <w:t xml:space="preserve">de esta ciudad, </w:t>
      </w:r>
      <w:r w:rsidRPr="00D8568A">
        <w:rPr>
          <w:rFonts w:ascii="Gadugi" w:hAnsi="Gadugi" w:cs="Century Gothic"/>
          <w:sz w:val="24"/>
          <w:szCs w:val="24"/>
        </w:rPr>
        <w:t xml:space="preserve">el Banco Davivienda y la </w:t>
      </w:r>
      <w:proofErr w:type="spellStart"/>
      <w:r w:rsidRPr="00D8568A">
        <w:rPr>
          <w:rFonts w:ascii="Gadugi" w:hAnsi="Gadugi" w:cs="Century Gothic"/>
          <w:sz w:val="24"/>
          <w:szCs w:val="24"/>
        </w:rPr>
        <w:t>Corregidur</w:t>
      </w:r>
      <w:r>
        <w:rPr>
          <w:rFonts w:ascii="Gadugi" w:hAnsi="Gadugi" w:cs="Century Gothic"/>
          <w:sz w:val="24"/>
          <w:szCs w:val="24"/>
        </w:rPr>
        <w:t>ía</w:t>
      </w:r>
      <w:proofErr w:type="spellEnd"/>
      <w:r>
        <w:rPr>
          <w:rFonts w:ascii="Gadugi" w:hAnsi="Gadugi" w:cs="Century Gothic"/>
          <w:sz w:val="24"/>
          <w:szCs w:val="24"/>
        </w:rPr>
        <w:t xml:space="preserve"> de Cerritos, </w:t>
      </w:r>
      <w:r w:rsidRPr="00D8568A">
        <w:rPr>
          <w:rFonts w:ascii="Gadugi" w:hAnsi="Gadugi"/>
          <w:sz w:val="24"/>
          <w:szCs w:val="24"/>
          <w:lang w:val="es-CO"/>
        </w:rPr>
        <w:t xml:space="preserve">en la que </w:t>
      </w:r>
      <w:r w:rsidRPr="00D8568A">
        <w:rPr>
          <w:rFonts w:ascii="Gadugi" w:hAnsi="Gadugi"/>
          <w:sz w:val="24"/>
          <w:szCs w:val="24"/>
          <w:lang w:val="es-419"/>
        </w:rPr>
        <w:t>a</w:t>
      </w:r>
      <w:r w:rsidRPr="00D8568A">
        <w:rPr>
          <w:rFonts w:ascii="Gadugi" w:hAnsi="Gadugi" w:cs="Century Gothic"/>
          <w:sz w:val="24"/>
          <w:szCs w:val="24"/>
          <w:lang w:val="es-419"/>
        </w:rPr>
        <w:t xml:space="preserve">duce la violación de los derechos </w:t>
      </w:r>
      <w:r w:rsidRPr="00D8568A">
        <w:rPr>
          <w:rFonts w:ascii="Gadugi" w:hAnsi="Gadugi" w:cs="Century Gothic"/>
          <w:i/>
          <w:sz w:val="24"/>
          <w:szCs w:val="24"/>
        </w:rPr>
        <w:t xml:space="preserve">“al debido proceso, </w:t>
      </w:r>
      <w:r>
        <w:rPr>
          <w:rFonts w:ascii="Gadugi" w:hAnsi="Gadugi" w:cs="Century Gothic"/>
          <w:i/>
          <w:sz w:val="24"/>
          <w:szCs w:val="24"/>
          <w:lang w:val="es-CO"/>
        </w:rPr>
        <w:t>defensa, igualdad y mínimo vital en conexidad con una vida digna</w:t>
      </w:r>
      <w:r w:rsidRPr="00D8568A">
        <w:rPr>
          <w:rFonts w:ascii="Gadugi" w:hAnsi="Gadugi" w:cs="Century Gothic"/>
          <w:i/>
          <w:sz w:val="24"/>
          <w:szCs w:val="24"/>
        </w:rPr>
        <w:t>”</w:t>
      </w:r>
      <w:r>
        <w:rPr>
          <w:rFonts w:ascii="Gadugi" w:hAnsi="Gadugi" w:cs="Century Gothic"/>
          <w:sz w:val="24"/>
          <w:szCs w:val="24"/>
          <w:lang w:val="es-CO"/>
        </w:rPr>
        <w:t>.</w:t>
      </w:r>
    </w:p>
    <w:p w:rsidR="0030557B" w:rsidRPr="00D8568A" w:rsidRDefault="0030557B" w:rsidP="0030557B">
      <w:pPr>
        <w:spacing w:line="26" w:lineRule="atLeast"/>
        <w:ind w:firstLine="2835"/>
        <w:jc w:val="both"/>
        <w:rPr>
          <w:rFonts w:ascii="Gadugi" w:hAnsi="Gadugi" w:cs="Century Gothic"/>
          <w:szCs w:val="24"/>
          <w:lang w:val="es-CO"/>
        </w:rPr>
      </w:pPr>
    </w:p>
    <w:p w:rsidR="0030557B" w:rsidRDefault="0030557B" w:rsidP="0030557B">
      <w:pPr>
        <w:pStyle w:val="Textoindependiente21"/>
        <w:spacing w:line="26" w:lineRule="atLeast"/>
        <w:rPr>
          <w:rFonts w:ascii="Gadugi" w:hAnsi="Gadugi" w:cs="Century Gothic"/>
          <w:szCs w:val="24"/>
          <w:lang w:val="es-CO"/>
        </w:rPr>
      </w:pPr>
      <w:r>
        <w:rPr>
          <w:rFonts w:ascii="Gadugi" w:hAnsi="Gadugi" w:cs="Century Gothic"/>
          <w:szCs w:val="24"/>
          <w:lang w:val="es-CO"/>
        </w:rPr>
        <w:t xml:space="preserve">Relató, en síntesis,  que desde el año 2010 junto con su esposo Marco Alfonso Ortiz Álvarez, adquirieron un leasing habitacional por valor de $300’000.000,oo con el banco Davivienda; realizaron arreglos sobre la respectiva vivienda por un valor de $70’000.000,oo; fueron demandados por la entidad bancaria, en proceso que cursa ante el despacho judicial accionado, radicado al número “0385-2015”, del cual no fue notificada y, por lo tanto, se le violó el derecho de defensa, a sabiendas de que se le ha cancelado al ente financiero una alta suma de dinero que asciende a $150’000.000,oo, además de lo que se ha invertido en la casa de habitación, que en la actualidad tiene un valor comercial de $800’000.000,oo. El día 21 de septiembre, por información de terceros, se enteró de que el juzgado había comisionado para el desalojo del bien a la </w:t>
      </w:r>
      <w:proofErr w:type="spellStart"/>
      <w:r>
        <w:rPr>
          <w:rFonts w:ascii="Gadugi" w:hAnsi="Gadugi" w:cs="Century Gothic"/>
          <w:szCs w:val="24"/>
          <w:lang w:val="es-CO"/>
        </w:rPr>
        <w:t>Corregiduría</w:t>
      </w:r>
      <w:proofErr w:type="spellEnd"/>
      <w:r>
        <w:rPr>
          <w:rFonts w:ascii="Gadugi" w:hAnsi="Gadugi" w:cs="Century Gothic"/>
          <w:szCs w:val="24"/>
          <w:lang w:val="es-CO"/>
        </w:rPr>
        <w:t xml:space="preserve"> de Cerritos de esta ciudad, que programó el día 26 de septiembre, sin que fuera informada de dicha diligencia; que no tiene a dónde ir y reside con sus hijos Sebastián y Mariana Ortiz Giraldo.</w:t>
      </w:r>
    </w:p>
    <w:p w:rsidR="0030557B" w:rsidRPr="002119C0" w:rsidRDefault="0030557B" w:rsidP="0030557B">
      <w:pPr>
        <w:pStyle w:val="Textoindependiente21"/>
        <w:spacing w:line="26" w:lineRule="atLeast"/>
        <w:rPr>
          <w:rFonts w:ascii="Gadugi" w:hAnsi="Gadugi" w:cs="Century Gothic"/>
          <w:szCs w:val="24"/>
          <w:lang w:val="es-419"/>
        </w:rPr>
      </w:pPr>
      <w:r>
        <w:rPr>
          <w:rFonts w:ascii="Gadugi" w:hAnsi="Gadugi" w:cs="Century Gothic"/>
          <w:szCs w:val="24"/>
          <w:lang w:val="es-CO"/>
        </w:rPr>
        <w:t xml:space="preserve"> </w:t>
      </w:r>
    </w:p>
    <w:p w:rsidR="0030557B" w:rsidRDefault="0030557B" w:rsidP="0030557B">
      <w:pPr>
        <w:spacing w:line="26" w:lineRule="atLeast"/>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Pr>
          <w:rFonts w:ascii="Gadugi" w:hAnsi="Gadugi" w:cs="Century Gothic"/>
          <w:sz w:val="24"/>
          <w:szCs w:val="24"/>
          <w:lang w:val="es-CO"/>
        </w:rPr>
        <w:t>Pidió, por tanto, el amparo de los derechos invocados y que se disponga la notificación personal del proceso seguido en su contra, radicado con el número “0385-2015” que cursa en el Juzgado Segundo Civil del Circuito y se prosiga con los lineamientos procesales.</w:t>
      </w:r>
    </w:p>
    <w:p w:rsidR="0030557B" w:rsidRDefault="0030557B" w:rsidP="0030557B">
      <w:pPr>
        <w:spacing w:line="26" w:lineRule="atLeast"/>
        <w:jc w:val="both"/>
        <w:rPr>
          <w:rFonts w:ascii="Gadugi" w:hAnsi="Gadugi" w:cs="Century Gothic"/>
          <w:sz w:val="24"/>
          <w:szCs w:val="24"/>
          <w:lang w:val="es-CO"/>
        </w:rPr>
      </w:pPr>
    </w:p>
    <w:p w:rsidR="0030557B" w:rsidRDefault="0030557B" w:rsidP="0030557B">
      <w:pPr>
        <w:pStyle w:val="Textoindependiente21"/>
        <w:spacing w:line="26" w:lineRule="atLeast"/>
        <w:ind w:firstLine="1419"/>
        <w:rPr>
          <w:rFonts w:ascii="Gadugi" w:hAnsi="Gadugi" w:cs="Century Gothic"/>
          <w:szCs w:val="24"/>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sidRPr="002119C0">
        <w:rPr>
          <w:rFonts w:ascii="Gadugi" w:hAnsi="Gadugi" w:cs="Century Gothic"/>
          <w:szCs w:val="24"/>
        </w:rPr>
        <w:t>Se dispuso el trámite respectivo</w:t>
      </w:r>
      <w:r>
        <w:rPr>
          <w:rFonts w:ascii="Gadugi" w:hAnsi="Gadugi" w:cs="Century Gothic"/>
          <w:szCs w:val="24"/>
        </w:rPr>
        <w:t>,</w:t>
      </w:r>
      <w:r w:rsidRPr="002119C0">
        <w:rPr>
          <w:rFonts w:ascii="Gadugi" w:hAnsi="Gadugi" w:cs="Century Gothic"/>
          <w:szCs w:val="24"/>
        </w:rPr>
        <w:t xml:space="preserve"> la vinculación de</w:t>
      </w:r>
      <w:r>
        <w:rPr>
          <w:rFonts w:ascii="Gadugi" w:hAnsi="Gadugi" w:cs="Century Gothic"/>
          <w:szCs w:val="24"/>
        </w:rPr>
        <w:t xml:space="preserve"> Marco Alfonso Ortiz Álvarez y se solicitó del Juzgado la remisión de las copias pertinentes. Este, además de enviar lo pedido, precisó que la accionante no ha hecho solicitud alguna dentro del proceso; que el 5 de mayo del presente año se declaró terminado el contrato de arrendamiento de leasing habitacional celebrado entre ella y Marco Alfonso Ortiz Álvarez con el Banco Davivienda, con la consecuente orden de restitución del bien inmueble, efecto para el cual se comisionó, sin que hasta la fecha se conozca el resultado de la diligencia.</w:t>
      </w:r>
    </w:p>
    <w:p w:rsidR="0030557B" w:rsidRPr="00721F01" w:rsidRDefault="0030557B" w:rsidP="0030557B">
      <w:pPr>
        <w:pStyle w:val="Textoindependiente21"/>
        <w:spacing w:line="26" w:lineRule="atLeast"/>
        <w:ind w:firstLine="0"/>
        <w:rPr>
          <w:rFonts w:ascii="Gadugi" w:hAnsi="Gadugi" w:cs="Century Gothic"/>
          <w:szCs w:val="24"/>
        </w:rPr>
      </w:pPr>
    </w:p>
    <w:p w:rsidR="0030557B" w:rsidRDefault="0030557B" w:rsidP="0030557B">
      <w:pPr>
        <w:pStyle w:val="Textoindependiente21"/>
        <w:spacing w:line="26" w:lineRule="atLeast"/>
        <w:ind w:firstLine="0"/>
        <w:rPr>
          <w:rFonts w:ascii="Gadugi" w:hAnsi="Gadugi" w:cs="Century Gothic"/>
          <w:szCs w:val="24"/>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rPr>
        <w:t xml:space="preserve">El representante legal del Banco Davivienda </w:t>
      </w:r>
      <w:proofErr w:type="spellStart"/>
      <w:r>
        <w:rPr>
          <w:rFonts w:ascii="Gadugi" w:hAnsi="Gadugi" w:cs="Century Gothic"/>
          <w:szCs w:val="24"/>
        </w:rPr>
        <w:t>SA</w:t>
      </w:r>
      <w:proofErr w:type="spellEnd"/>
      <w:r>
        <w:rPr>
          <w:rFonts w:ascii="Gadugi" w:hAnsi="Gadugi" w:cs="Century Gothic"/>
          <w:szCs w:val="24"/>
        </w:rPr>
        <w:t xml:space="preserve">, solicitó desestimar la acción por improcedente ya que el proceso se desarrolló conforme a las pautas legales y en él fue notificada la accionante por aviso. </w:t>
      </w:r>
    </w:p>
    <w:p w:rsidR="0030557B" w:rsidRDefault="0030557B" w:rsidP="0030557B">
      <w:pPr>
        <w:pStyle w:val="Textoindependiente21"/>
        <w:spacing w:line="26" w:lineRule="atLeast"/>
        <w:ind w:firstLine="0"/>
        <w:rPr>
          <w:rFonts w:ascii="Gadugi" w:hAnsi="Gadugi" w:cs="Century Gothic"/>
          <w:szCs w:val="24"/>
        </w:rPr>
      </w:pPr>
    </w:p>
    <w:p w:rsidR="0030557B" w:rsidRPr="004A0CCF" w:rsidRDefault="0030557B" w:rsidP="0030557B">
      <w:pPr>
        <w:pStyle w:val="Textoindependiente21"/>
        <w:spacing w:line="26" w:lineRule="atLeast"/>
        <w:ind w:firstLine="0"/>
        <w:rPr>
          <w:rFonts w:ascii="Gadugi" w:hAnsi="Gadugi" w:cs="Century Gothic"/>
          <w:szCs w:val="24"/>
          <w:lang w:val="es-419"/>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t xml:space="preserve">La Subsecretaría de Seguridad Ciudadana, informó a última hora, que la diligencia de entrega dispuesta por el Juzgado solo se realizará el 10 de octubre del presente año. </w:t>
      </w:r>
    </w:p>
    <w:p w:rsidR="0030557B" w:rsidRDefault="0030557B" w:rsidP="0030557B">
      <w:pPr>
        <w:pStyle w:val="Textoindependiente21"/>
        <w:spacing w:line="26" w:lineRule="atLeast"/>
        <w:ind w:firstLine="0"/>
        <w:rPr>
          <w:rFonts w:ascii="Gadugi" w:hAnsi="Gadugi" w:cs="Century Gothic"/>
          <w:szCs w:val="24"/>
        </w:rPr>
      </w:pPr>
    </w:p>
    <w:p w:rsidR="0030557B" w:rsidRDefault="0030557B" w:rsidP="0030557B">
      <w:pPr>
        <w:pStyle w:val="Textoindependiente21"/>
        <w:spacing w:line="26" w:lineRule="atLeast"/>
        <w:ind w:firstLine="0"/>
        <w:rPr>
          <w:rFonts w:ascii="Gadugi" w:hAnsi="Gadugi" w:cs="Century Gothic"/>
          <w:szCs w:val="24"/>
        </w:rPr>
      </w:pPr>
      <w:r>
        <w:rPr>
          <w:rFonts w:ascii="Gadugi" w:hAnsi="Gadugi" w:cs="Century Gothic"/>
          <w:szCs w:val="24"/>
        </w:rPr>
        <w:t xml:space="preserve">   </w:t>
      </w:r>
      <w:r>
        <w:rPr>
          <w:rFonts w:ascii="Gadugi" w:hAnsi="Gadugi" w:cs="Century Gothic"/>
          <w:szCs w:val="24"/>
        </w:rPr>
        <w:tab/>
      </w:r>
      <w:r>
        <w:rPr>
          <w:rFonts w:ascii="Gadugi" w:hAnsi="Gadugi" w:cs="Century Gothic"/>
          <w:szCs w:val="24"/>
        </w:rPr>
        <w:tab/>
      </w:r>
      <w:r>
        <w:rPr>
          <w:rFonts w:ascii="Gadugi" w:hAnsi="Gadugi" w:cs="Century Gothic"/>
          <w:szCs w:val="24"/>
        </w:rPr>
        <w:tab/>
      </w:r>
      <w:r>
        <w:rPr>
          <w:rFonts w:ascii="Gadugi" w:hAnsi="Gadugi" w:cs="Century Gothic"/>
          <w:szCs w:val="24"/>
        </w:rPr>
        <w:tab/>
        <w:t>Los demás intervinientes guardaron silencio.</w:t>
      </w:r>
    </w:p>
    <w:p w:rsidR="0030557B" w:rsidRDefault="0030557B" w:rsidP="0030557B">
      <w:pPr>
        <w:pStyle w:val="Textoindependiente21"/>
        <w:spacing w:line="26" w:lineRule="atLeast"/>
        <w:rPr>
          <w:rFonts w:ascii="Gadugi" w:hAnsi="Gadugi" w:cs="Century Gothic"/>
          <w:szCs w:val="24"/>
        </w:rPr>
      </w:pPr>
    </w:p>
    <w:p w:rsidR="0030557B" w:rsidRDefault="0030557B" w:rsidP="0030557B">
      <w:pPr>
        <w:pStyle w:val="Textoindependiente21"/>
        <w:spacing w:line="26" w:lineRule="atLeast"/>
        <w:rPr>
          <w:rFonts w:ascii="Gadugi" w:hAnsi="Gadugi" w:cs="Century Gothic"/>
          <w:szCs w:val="24"/>
        </w:rPr>
      </w:pPr>
    </w:p>
    <w:p w:rsidR="0030557B" w:rsidRPr="002119C0" w:rsidRDefault="0030557B" w:rsidP="0030557B">
      <w:pPr>
        <w:spacing w:line="26" w:lineRule="atLeast"/>
        <w:ind w:firstLine="2835"/>
        <w:jc w:val="both"/>
        <w:rPr>
          <w:rFonts w:ascii="Gadugi" w:hAnsi="Gadugi" w:cs="Arial"/>
          <w:b/>
          <w:sz w:val="24"/>
          <w:szCs w:val="24"/>
        </w:rPr>
      </w:pPr>
      <w:r w:rsidRPr="002119C0">
        <w:rPr>
          <w:rFonts w:ascii="Gadugi" w:hAnsi="Gadugi" w:cs="Arial"/>
          <w:b/>
          <w:sz w:val="24"/>
          <w:szCs w:val="24"/>
        </w:rPr>
        <w:t>CONSIDERACIONES</w:t>
      </w:r>
    </w:p>
    <w:p w:rsidR="0030557B" w:rsidRPr="002119C0" w:rsidRDefault="0030557B" w:rsidP="0030557B">
      <w:pPr>
        <w:spacing w:line="26" w:lineRule="atLeast"/>
        <w:ind w:firstLine="2835"/>
        <w:jc w:val="both"/>
        <w:rPr>
          <w:rFonts w:ascii="Gadugi" w:hAnsi="Gadugi" w:cs="Arial"/>
          <w:sz w:val="24"/>
          <w:szCs w:val="24"/>
          <w:u w:val="single"/>
        </w:rPr>
      </w:pPr>
    </w:p>
    <w:p w:rsidR="0030557B" w:rsidRPr="002119C0" w:rsidRDefault="0030557B" w:rsidP="0030557B">
      <w:pPr>
        <w:spacing w:line="26" w:lineRule="atLeast"/>
        <w:ind w:firstLine="2835"/>
        <w:jc w:val="both"/>
        <w:rPr>
          <w:rFonts w:ascii="Gadugi" w:hAnsi="Gadugi" w:cs="Arial"/>
          <w:sz w:val="24"/>
          <w:szCs w:val="24"/>
          <w:u w:val="single"/>
        </w:rPr>
      </w:pPr>
    </w:p>
    <w:p w:rsidR="0030557B" w:rsidRPr="002119C0" w:rsidRDefault="0030557B" w:rsidP="0030557B">
      <w:pPr>
        <w:pStyle w:val="Textoindependiente21"/>
        <w:spacing w:line="26" w:lineRule="atLeast"/>
        <w:rPr>
          <w:rFonts w:ascii="Gadugi" w:hAnsi="Gadugi"/>
          <w:szCs w:val="24"/>
        </w:rPr>
      </w:pPr>
      <w:r>
        <w:rPr>
          <w:rFonts w:ascii="Gadugi" w:hAnsi="Gadugi"/>
          <w:szCs w:val="24"/>
        </w:rPr>
        <w:lastRenderedPageBreak/>
        <w:t>L</w:t>
      </w:r>
      <w:r w:rsidRPr="002119C0">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30557B" w:rsidRPr="002119C0" w:rsidRDefault="0030557B" w:rsidP="0030557B">
      <w:pPr>
        <w:spacing w:line="26" w:lineRule="atLeast"/>
        <w:ind w:firstLine="2835"/>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30557B" w:rsidRPr="00721F01" w:rsidRDefault="0030557B" w:rsidP="0030557B">
      <w:pPr>
        <w:spacing w:line="26" w:lineRule="atLeast"/>
        <w:ind w:firstLine="2835"/>
        <w:jc w:val="both"/>
        <w:rPr>
          <w:rFonts w:ascii="Gadugi" w:hAnsi="Gadugi" w:cs="Arial"/>
          <w:sz w:val="24"/>
          <w:szCs w:val="24"/>
        </w:rPr>
      </w:pPr>
      <w:r>
        <w:rPr>
          <w:rFonts w:ascii="Gadugi" w:hAnsi="Gadugi"/>
          <w:sz w:val="24"/>
          <w:szCs w:val="24"/>
        </w:rPr>
        <w:t xml:space="preserve">Se acude en esta oportunidad, por parte de Patricia Giraldo Villegas, </w:t>
      </w:r>
      <w:r w:rsidRPr="002119C0">
        <w:rPr>
          <w:rFonts w:ascii="Gadugi" w:hAnsi="Gadugi" w:cs="Arial"/>
          <w:sz w:val="24"/>
          <w:szCs w:val="24"/>
        </w:rPr>
        <w:t xml:space="preserve">en procura de </w:t>
      </w:r>
      <w:r>
        <w:rPr>
          <w:rFonts w:ascii="Gadugi" w:hAnsi="Gadugi" w:cs="Arial"/>
          <w:sz w:val="24"/>
          <w:szCs w:val="24"/>
        </w:rPr>
        <w:t xml:space="preserve">la protección de </w:t>
      </w:r>
      <w:r w:rsidRPr="002119C0">
        <w:rPr>
          <w:rFonts w:ascii="Gadugi" w:hAnsi="Gadugi" w:cs="Arial"/>
          <w:sz w:val="24"/>
          <w:szCs w:val="24"/>
        </w:rPr>
        <w:t xml:space="preserve">los derechos fundamentales </w:t>
      </w:r>
      <w:r w:rsidRPr="002119C0">
        <w:rPr>
          <w:rFonts w:ascii="Gadugi" w:hAnsi="Gadugi" w:cs="Arial"/>
          <w:i/>
          <w:sz w:val="24"/>
          <w:szCs w:val="24"/>
        </w:rPr>
        <w:t>“</w:t>
      </w:r>
      <w:r w:rsidRPr="00D8568A">
        <w:rPr>
          <w:rFonts w:ascii="Gadugi" w:hAnsi="Gadugi" w:cs="Century Gothic"/>
          <w:i/>
          <w:sz w:val="24"/>
          <w:szCs w:val="24"/>
        </w:rPr>
        <w:t xml:space="preserve">al debido proceso, </w:t>
      </w:r>
      <w:r>
        <w:rPr>
          <w:rFonts w:ascii="Gadugi" w:hAnsi="Gadugi" w:cs="Century Gothic"/>
          <w:i/>
          <w:sz w:val="24"/>
          <w:szCs w:val="24"/>
          <w:lang w:val="es-CO"/>
        </w:rPr>
        <w:t>defensa, igualdad y mínimo vital en conexidad con una vida digna</w:t>
      </w:r>
      <w:r w:rsidRPr="002119C0">
        <w:rPr>
          <w:rFonts w:ascii="Gadugi" w:hAnsi="Gadugi" w:cs="Arial"/>
          <w:i/>
          <w:sz w:val="24"/>
          <w:szCs w:val="24"/>
        </w:rPr>
        <w:t>”</w:t>
      </w:r>
      <w:r w:rsidRPr="002119C0">
        <w:rPr>
          <w:rFonts w:ascii="Gadugi" w:hAnsi="Gadugi" w:cs="Arial"/>
          <w:sz w:val="24"/>
          <w:szCs w:val="24"/>
        </w:rPr>
        <w:t>, bajo la premisa de</w:t>
      </w:r>
      <w:r>
        <w:rPr>
          <w:rFonts w:ascii="Gadugi" w:hAnsi="Gadugi" w:cs="Arial"/>
          <w:sz w:val="24"/>
          <w:szCs w:val="24"/>
        </w:rPr>
        <w:t xml:space="preserve"> que no haber sido notificada dentro del proceso de restitución de inmueble que el Banco Davivienda inició en su contra ante el Juzgado Segundo Civil del Circuito de esta ciudad, por lo cual no pudo ejercer su defensa. </w:t>
      </w:r>
    </w:p>
    <w:p w:rsidR="0030557B" w:rsidRDefault="0030557B" w:rsidP="0030557B">
      <w:pPr>
        <w:pStyle w:val="Sinespaciado1"/>
        <w:spacing w:line="26" w:lineRule="atLeast"/>
        <w:ind w:right="51" w:firstLine="2835"/>
        <w:jc w:val="both"/>
        <w:rPr>
          <w:rFonts w:ascii="Gadugi" w:hAnsi="Gadugi" w:cs="Arial"/>
        </w:rPr>
      </w:pPr>
    </w:p>
    <w:p w:rsidR="0030557B" w:rsidRPr="002119C0" w:rsidRDefault="0030557B" w:rsidP="0030557B">
      <w:pPr>
        <w:pStyle w:val="Sinespaciado1"/>
        <w:spacing w:line="26" w:lineRule="atLeast"/>
        <w:ind w:right="51" w:firstLine="2835"/>
        <w:jc w:val="both"/>
        <w:rPr>
          <w:rFonts w:ascii="Gadugi" w:hAnsi="Gadugi" w:cs="Arial"/>
          <w:lang w:val="es-CO"/>
        </w:rPr>
      </w:pPr>
      <w:r w:rsidRPr="002119C0">
        <w:rPr>
          <w:rFonts w:ascii="Gadugi" w:hAnsi="Gadugi" w:cs="Arial"/>
        </w:rPr>
        <w:t xml:space="preserve">Reiteradamente se ha expuesto que </w:t>
      </w:r>
      <w:r w:rsidRPr="002119C0">
        <w:rPr>
          <w:rFonts w:ascii="Gadugi" w:hAnsi="Gadugi"/>
        </w:rPr>
        <w:t xml:space="preserve">a pesar de la </w:t>
      </w:r>
      <w:proofErr w:type="spellStart"/>
      <w:r w:rsidRPr="002119C0">
        <w:rPr>
          <w:rFonts w:ascii="Gadugi" w:hAnsi="Gadugi"/>
        </w:rPr>
        <w:t>inexequibilidad</w:t>
      </w:r>
      <w:proofErr w:type="spellEnd"/>
      <w:r w:rsidRPr="002119C0">
        <w:rPr>
          <w:rFonts w:ascii="Gadugi" w:hAnsi="Gadugi"/>
        </w:rPr>
        <w:t xml:space="preserve"> de las normas que en el Decreto 2591 de 1991 preveían la acción de tutela contra providencias judiciales</w:t>
      </w:r>
      <w:r w:rsidRPr="002119C0">
        <w:rPr>
          <w:rStyle w:val="Refdenotaalpie"/>
          <w:rFonts w:ascii="Gadugi" w:hAnsi="Gadugi"/>
        </w:rPr>
        <w:footnoteReference w:id="1"/>
      </w:r>
      <w:r w:rsidRPr="002119C0">
        <w:rPr>
          <w:rFonts w:ascii="Gadugi" w:hAnsi="Gadugi"/>
        </w:rPr>
        <w:t xml:space="preserve">, tal mecanismo se abre paso en aquellos eventos en los que se incurra en una vía de hecho, o como se denominan ahora, criterios de </w:t>
      </w:r>
      <w:proofErr w:type="spellStart"/>
      <w:r w:rsidRPr="002119C0">
        <w:rPr>
          <w:rFonts w:ascii="Gadugi" w:hAnsi="Gadugi"/>
        </w:rPr>
        <w:t>procedibilidad</w:t>
      </w:r>
      <w:proofErr w:type="spellEnd"/>
      <w:r w:rsidRPr="002119C0">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2119C0">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A45B1B">
        <w:rPr>
          <w:rFonts w:ascii="Gadugi" w:hAnsi="Gadugi"/>
        </w:rPr>
        <w:t xml:space="preserve">la parte actora identifique de manera razonable tanto los hechos que generaron la vulneración como los derechos vulnerados </w:t>
      </w:r>
      <w:r>
        <w:rPr>
          <w:rFonts w:ascii="Gadugi" w:hAnsi="Gadugi"/>
          <w:lang w:val="es-419"/>
        </w:rPr>
        <w:t xml:space="preserve">y </w:t>
      </w:r>
      <w:r w:rsidRPr="00A45B1B">
        <w:rPr>
          <w:rFonts w:ascii="Gadugi" w:hAnsi="Gadugi" w:cs="Arial"/>
        </w:rPr>
        <w:t>los hechos hayan sido cuestionados</w:t>
      </w:r>
      <w:r w:rsidRPr="002119C0">
        <w:rPr>
          <w:rFonts w:ascii="Gadugi" w:hAnsi="Gadugi" w:cs="Arial"/>
        </w:rPr>
        <w:t xml:space="preserve"> dentro del proceso; y (vi) que el fallo censurado no sea de tutela.</w:t>
      </w:r>
      <w:r w:rsidRPr="002119C0">
        <w:rPr>
          <w:rFonts w:ascii="Gadugi" w:hAnsi="Gadugi" w:cs="Arial"/>
          <w:lang w:val="es-419"/>
        </w:rPr>
        <w:t xml:space="preserve"> </w:t>
      </w:r>
      <w:r w:rsidRPr="002119C0">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30557B" w:rsidRPr="002119C0" w:rsidRDefault="0030557B" w:rsidP="0030557B">
      <w:pPr>
        <w:pStyle w:val="Textoindependiente210"/>
        <w:spacing w:line="26" w:lineRule="atLeast"/>
        <w:rPr>
          <w:rFonts w:ascii="Gadugi" w:hAnsi="Gadugi"/>
        </w:rPr>
      </w:pPr>
    </w:p>
    <w:p w:rsidR="0030557B" w:rsidRDefault="0030557B" w:rsidP="0030557B">
      <w:pPr>
        <w:pStyle w:val="Sinespaciado1"/>
        <w:spacing w:line="26" w:lineRule="atLeast"/>
        <w:ind w:right="51"/>
        <w:jc w:val="both"/>
        <w:rPr>
          <w:rFonts w:ascii="Gadugi" w:hAnsi="Gadugi"/>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Pr="002119C0">
        <w:rPr>
          <w:rFonts w:ascii="Gadugi" w:hAnsi="Gadugi"/>
          <w:lang w:val="es-419"/>
        </w:rPr>
        <w:t xml:space="preserve">Pues bien, </w:t>
      </w:r>
      <w:r>
        <w:rPr>
          <w:rFonts w:ascii="Gadugi" w:hAnsi="Gadugi"/>
          <w:lang w:val="es-CO"/>
        </w:rPr>
        <w:t>s</w:t>
      </w:r>
      <w:r w:rsidRPr="00B4481E">
        <w:rPr>
          <w:rFonts w:ascii="Gadugi" w:hAnsi="Gadugi"/>
          <w:lang w:val="es-CO"/>
        </w:rPr>
        <w:t xml:space="preserve">e tiene aquí, según se desprende de las copias adosadas, que </w:t>
      </w:r>
      <w:r>
        <w:rPr>
          <w:rFonts w:ascii="Gadugi" w:hAnsi="Gadugi"/>
          <w:lang w:val="es-CO"/>
        </w:rPr>
        <w:t xml:space="preserve">dentro del respectivo asunto, una vez presentada la demanda y previa su corrección, se profirió el auto de admisión; se llevó a cabo la entrega de la comunicaciones para procurar la notificación personal de los demandados, evento que, respecto de la accionante, se surtió el 13 de noviembre de 2015 a la 10:30 a.m. </w:t>
      </w:r>
      <w:proofErr w:type="gramStart"/>
      <w:r>
        <w:rPr>
          <w:rFonts w:ascii="Gadugi" w:hAnsi="Gadugi"/>
          <w:lang w:val="es-CO"/>
        </w:rPr>
        <w:t>en</w:t>
      </w:r>
      <w:proofErr w:type="gramEnd"/>
      <w:r>
        <w:rPr>
          <w:rFonts w:ascii="Gadugi" w:hAnsi="Gadugi"/>
          <w:lang w:val="es-CO"/>
        </w:rPr>
        <w:t xml:space="preserve"> la portería del condominio en el que se encuentra ubicado el bien donde reside, que fue la dirección denunciada para ese efecto; al ser recibida por el vigilante, se dejó constancia de que efectivamente allí se localizaba (f. 29 y 30). Luego, como no compareció dentro del término que se le indicó, bajo la misma atestación, se produjo su notificación por aviso (f. 32 y 33): vencido el traslado no propuso </w:t>
      </w:r>
      <w:r>
        <w:rPr>
          <w:rFonts w:ascii="Gadugi" w:hAnsi="Gadugi"/>
          <w:lang w:val="es-CO"/>
        </w:rPr>
        <w:lastRenderedPageBreak/>
        <w:t xml:space="preserve">excepciones y se profirió sentencia el 5 de mayo de 2016 favorable a los intereses de la parte demandante, lo que trajo como consecuencia que se ordenara la entrega y se comisionara para ese fin. Ninguna intervención de parte de los demandados, ha habido en el proceso. </w:t>
      </w:r>
    </w:p>
    <w:p w:rsidR="0030557B" w:rsidRDefault="0030557B" w:rsidP="0030557B">
      <w:pPr>
        <w:pStyle w:val="Sinespaciado1"/>
        <w:spacing w:line="26" w:lineRule="atLeast"/>
        <w:ind w:right="51"/>
        <w:jc w:val="both"/>
        <w:rPr>
          <w:rFonts w:ascii="Gadugi" w:hAnsi="Gadugi"/>
          <w:lang w:val="es-CO"/>
        </w:rPr>
      </w:pPr>
    </w:p>
    <w:p w:rsidR="0030557B" w:rsidRDefault="0030557B" w:rsidP="0030557B">
      <w:pPr>
        <w:pStyle w:val="Sinespaciado1"/>
        <w:spacing w:line="26" w:lineRule="atLeast"/>
        <w:ind w:right="51"/>
        <w:jc w:val="both"/>
        <w:rPr>
          <w:rFonts w:ascii="Gadugi" w:hAnsi="Gadugi"/>
          <w:lang w:val="es-CO"/>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r>
      <w:r>
        <w:rPr>
          <w:rFonts w:ascii="Gadugi" w:hAnsi="Gadugi"/>
          <w:lang w:val="es-CO"/>
        </w:rPr>
        <w:t xml:space="preserve">En ese orden de cosas, baste decir que </w:t>
      </w:r>
      <w:r>
        <w:rPr>
          <w:rFonts w:ascii="Gadugi" w:hAnsi="Gadugi"/>
        </w:rPr>
        <w:t xml:space="preserve">contaba </w:t>
      </w:r>
      <w:r w:rsidRPr="00B4481E">
        <w:rPr>
          <w:rFonts w:ascii="Gadugi" w:hAnsi="Gadugi"/>
        </w:rPr>
        <w:t>l</w:t>
      </w:r>
      <w:r>
        <w:rPr>
          <w:rFonts w:ascii="Gadugi" w:hAnsi="Gadugi"/>
        </w:rPr>
        <w:t>a</w:t>
      </w:r>
      <w:r w:rsidRPr="00B4481E">
        <w:rPr>
          <w:rFonts w:ascii="Gadugi" w:hAnsi="Gadugi"/>
        </w:rPr>
        <w:t xml:space="preserve"> </w:t>
      </w:r>
      <w:r>
        <w:rPr>
          <w:rFonts w:ascii="Gadugi" w:hAnsi="Gadugi"/>
        </w:rPr>
        <w:t xml:space="preserve">interesada </w:t>
      </w:r>
      <w:r w:rsidRPr="00B4481E">
        <w:rPr>
          <w:rFonts w:ascii="Gadugi" w:hAnsi="Gadugi"/>
        </w:rPr>
        <w:t xml:space="preserve">con otro mecanismo de </w:t>
      </w:r>
      <w:r w:rsidRPr="00B4481E">
        <w:rPr>
          <w:rFonts w:ascii="Gadugi" w:hAnsi="Gadugi"/>
          <w:lang w:val="es-CO"/>
        </w:rPr>
        <w:t xml:space="preserve">defensa judicial dentro de la actuación, que </w:t>
      </w:r>
      <w:r>
        <w:rPr>
          <w:rFonts w:ascii="Gadugi" w:hAnsi="Gadugi"/>
          <w:lang w:val="es-CO"/>
        </w:rPr>
        <w:t xml:space="preserve">era </w:t>
      </w:r>
      <w:r w:rsidRPr="00B4481E">
        <w:rPr>
          <w:rFonts w:ascii="Gadugi" w:hAnsi="Gadugi"/>
          <w:lang w:val="es-CO"/>
        </w:rPr>
        <w:t>como mínimo</w:t>
      </w:r>
      <w:r>
        <w:rPr>
          <w:rFonts w:ascii="Gadugi" w:hAnsi="Gadugi"/>
          <w:lang w:val="es-CO"/>
        </w:rPr>
        <w:t xml:space="preserve"> impetrar ante el Juez de la causa la nulidad que, según ella, se configuró por </w:t>
      </w:r>
      <w:r>
        <w:rPr>
          <w:rFonts w:ascii="Gadugi" w:hAnsi="Gadugi"/>
          <w:lang w:val="es-419"/>
        </w:rPr>
        <w:t xml:space="preserve">su indebida </w:t>
      </w:r>
      <w:r>
        <w:rPr>
          <w:rFonts w:ascii="Gadugi" w:hAnsi="Gadugi"/>
          <w:lang w:val="es-CO"/>
        </w:rPr>
        <w:t>notifica</w:t>
      </w:r>
      <w:r>
        <w:rPr>
          <w:rFonts w:ascii="Gadugi" w:hAnsi="Gadugi"/>
          <w:lang w:val="es-419"/>
        </w:rPr>
        <w:t>ción</w:t>
      </w:r>
      <w:r>
        <w:rPr>
          <w:rFonts w:ascii="Gadugi" w:hAnsi="Gadugi"/>
          <w:lang w:val="es-CO"/>
        </w:rPr>
        <w:t xml:space="preserve">. Pero, tal como viene de verse, no lo ha hecho, y </w:t>
      </w:r>
      <w:r>
        <w:rPr>
          <w:rFonts w:ascii="Gadugi" w:hAnsi="Gadugi"/>
          <w:lang w:val="es-419"/>
        </w:rPr>
        <w:t xml:space="preserve">ello impide que </w:t>
      </w:r>
      <w:r>
        <w:rPr>
          <w:rFonts w:ascii="Gadugi" w:hAnsi="Gadugi"/>
          <w:lang w:val="es-CO"/>
        </w:rPr>
        <w:t>de manera directa, depre</w:t>
      </w:r>
      <w:r>
        <w:rPr>
          <w:rFonts w:ascii="Gadugi" w:hAnsi="Gadugi"/>
          <w:lang w:val="es-419"/>
        </w:rPr>
        <w:t>que</w:t>
      </w:r>
      <w:r>
        <w:rPr>
          <w:rFonts w:ascii="Gadugi" w:hAnsi="Gadugi"/>
          <w:lang w:val="es-CO"/>
        </w:rPr>
        <w:t xml:space="preserve"> del juez constitucional su intervención, sin que haya mediado la oportunidad para que el funcionario demandado pueda analizar de primera mano la cuestión que se trae a este escenario. </w:t>
      </w:r>
    </w:p>
    <w:p w:rsidR="0030557B" w:rsidRDefault="0030557B" w:rsidP="0030557B">
      <w:pPr>
        <w:pStyle w:val="Sinespaciado1"/>
        <w:spacing w:line="26" w:lineRule="atLeast"/>
        <w:ind w:right="51"/>
        <w:jc w:val="both"/>
        <w:rPr>
          <w:rFonts w:ascii="Gadugi" w:hAnsi="Gadugi"/>
          <w:lang w:val="es-CO"/>
        </w:rPr>
      </w:pPr>
    </w:p>
    <w:p w:rsidR="0030557B" w:rsidRDefault="0030557B" w:rsidP="0030557B">
      <w:pPr>
        <w:pStyle w:val="Sinespaciado1"/>
        <w:spacing w:line="26" w:lineRule="atLeast"/>
        <w:ind w:right="51"/>
        <w:jc w:val="both"/>
        <w:rPr>
          <w:rFonts w:ascii="Gadugi" w:hAnsi="Gadugi"/>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No se olvide, además, que tal como lo reseña el inciso 2º del artículo 134 del Código General del Proceso, la nulidad</w:t>
      </w:r>
      <w:r w:rsidRPr="00717F9F">
        <w:rPr>
          <w:rFonts w:ascii="Gadugi" w:hAnsi="Gadugi"/>
          <w:lang w:val="es-CO"/>
        </w:rPr>
        <w:t xml:space="preserve"> </w:t>
      </w:r>
      <w:r>
        <w:rPr>
          <w:rFonts w:ascii="Gadugi" w:hAnsi="Gadugi"/>
          <w:lang w:val="es-CO"/>
        </w:rPr>
        <w:t xml:space="preserve">por falta de notificación en legal forma, que es lo que en últimas, se intenta, puede también alegarse en la diligencia de entrega o mediante el recurso de revisión, entre otros casos. </w:t>
      </w:r>
    </w:p>
    <w:p w:rsidR="0030557B" w:rsidRDefault="0030557B" w:rsidP="0030557B">
      <w:pPr>
        <w:pStyle w:val="Sinespaciado1"/>
        <w:spacing w:line="26" w:lineRule="atLeast"/>
        <w:ind w:right="51"/>
        <w:jc w:val="both"/>
        <w:rPr>
          <w:rFonts w:ascii="Gadugi" w:hAnsi="Gadugi"/>
          <w:lang w:val="es-CO"/>
        </w:rPr>
      </w:pPr>
    </w:p>
    <w:p w:rsidR="0030557B" w:rsidRDefault="0030557B" w:rsidP="0030557B">
      <w:pPr>
        <w:pStyle w:val="Sinespaciado1"/>
        <w:spacing w:line="26" w:lineRule="atLeast"/>
        <w:ind w:right="51"/>
        <w:jc w:val="both"/>
        <w:rPr>
          <w:rFonts w:ascii="Gadugi" w:hAnsi="Gadugi" w:cs="Arial"/>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E</w:t>
      </w:r>
      <w:r w:rsidRPr="00B4481E">
        <w:rPr>
          <w:rFonts w:ascii="Gadugi" w:hAnsi="Gadugi"/>
          <w:lang w:val="es-CO"/>
        </w:rPr>
        <w:t>s claro</w:t>
      </w:r>
      <w:r>
        <w:rPr>
          <w:rFonts w:ascii="Gadugi" w:hAnsi="Gadugi"/>
          <w:lang w:val="es-CO"/>
        </w:rPr>
        <w:t xml:space="preserve">, entonces, </w:t>
      </w:r>
      <w:r w:rsidRPr="00B4481E">
        <w:rPr>
          <w:rFonts w:ascii="Gadugi" w:hAnsi="Gadugi"/>
          <w:lang w:val="es-CO"/>
        </w:rPr>
        <w:t xml:space="preserve">que se </w:t>
      </w:r>
      <w:r w:rsidRPr="00B4481E">
        <w:rPr>
          <w:rFonts w:ascii="Gadugi" w:hAnsi="Gadugi"/>
          <w:lang w:val="es-419"/>
        </w:rPr>
        <w:t xml:space="preserve">rompió </w:t>
      </w:r>
      <w:r>
        <w:rPr>
          <w:rFonts w:ascii="Gadugi" w:hAnsi="Gadugi"/>
          <w:lang w:val="es-419"/>
        </w:rPr>
        <w:t>en este caso la regla de la subsidiariedad</w:t>
      </w:r>
      <w:r w:rsidRPr="00B4481E">
        <w:rPr>
          <w:rFonts w:ascii="Gadugi" w:hAnsi="Gadugi"/>
          <w:lang w:val="es-419"/>
        </w:rPr>
        <w:t xml:space="preserve"> señalada en el numeral 1° del artículo 6° del Decreto 2591 de 1991, si se tiene en cuenta</w:t>
      </w:r>
      <w:r w:rsidRPr="00B4481E">
        <w:rPr>
          <w:rFonts w:ascii="Gadugi" w:hAnsi="Gadugi" w:cs="Arial"/>
        </w:rPr>
        <w:t xml:space="preserve"> la acción de tutela </w:t>
      </w:r>
      <w:r>
        <w:rPr>
          <w:rFonts w:ascii="Gadugi" w:hAnsi="Gadugi" w:cs="Arial"/>
        </w:rPr>
        <w:t xml:space="preserve">solo procede cuando no se cuenta con otro mecanismo de defensa judicial, o cuando el que existe no es idóneo. Ninguna de las dos cosas ocurre aquí, porque la interesada no ha propuesto la nulidad respectiva ante el juez ordinario, que es el medio eficaz para analizar si se le ha cercenado el derecho de defensa. A ello se suma que este especial mecanismo no ha sido diseñado </w:t>
      </w:r>
      <w:r w:rsidRPr="00B4481E">
        <w:rPr>
          <w:rFonts w:ascii="Gadugi" w:hAnsi="Gadugi" w:cs="Arial"/>
        </w:rPr>
        <w:t>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w:t>
      </w:r>
      <w:r>
        <w:rPr>
          <w:rFonts w:ascii="Gadugi" w:hAnsi="Gadugi" w:cs="Arial"/>
        </w:rPr>
        <w:t xml:space="preserve">as facultades procesales, </w:t>
      </w:r>
      <w:r w:rsidRPr="00B4481E">
        <w:rPr>
          <w:rFonts w:ascii="Gadugi" w:hAnsi="Gadugi" w:cs="Arial"/>
        </w:rPr>
        <w:t>como tampoco se erige en una instancia adicional, que pueda re</w:t>
      </w:r>
      <w:r>
        <w:rPr>
          <w:rFonts w:ascii="Gadugi" w:hAnsi="Gadugi" w:cs="Arial"/>
        </w:rPr>
        <w:t xml:space="preserve">mediar el silencio del afectado, menos frente a un trámite que, como el que se le imprimió al proceso adelantado en contra de la accionante, se allanó a la reglas adjetivas diseñadas para el efecto. </w:t>
      </w:r>
    </w:p>
    <w:p w:rsidR="0030557B" w:rsidRDefault="0030557B" w:rsidP="0030557B">
      <w:pPr>
        <w:pStyle w:val="Sinespaciado1"/>
        <w:spacing w:line="26" w:lineRule="atLeast"/>
        <w:ind w:right="51"/>
        <w:jc w:val="both"/>
        <w:rPr>
          <w:rFonts w:ascii="Gadugi" w:hAnsi="Gadugi" w:cs="Arial"/>
        </w:rPr>
      </w:pPr>
    </w:p>
    <w:p w:rsidR="0030557B" w:rsidRDefault="0030557B" w:rsidP="0030557B">
      <w:pPr>
        <w:pStyle w:val="Sinespaciado1"/>
        <w:spacing w:line="26" w:lineRule="atLeast"/>
        <w:ind w:right="51"/>
        <w:jc w:val="both"/>
        <w:rPr>
          <w:rFonts w:ascii="Gadugi" w:hAnsi="Gadugi" w:cs="Arial"/>
          <w:bCs/>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rPr>
        <w:t xml:space="preserve">Y si bien puede soslayarse esa </w:t>
      </w:r>
      <w:proofErr w:type="spellStart"/>
      <w:r>
        <w:rPr>
          <w:rFonts w:ascii="Gadugi" w:hAnsi="Gadugi"/>
        </w:rPr>
        <w:t>residualidad</w:t>
      </w:r>
      <w:proofErr w:type="spellEnd"/>
      <w:r>
        <w:rPr>
          <w:rFonts w:ascii="Gadugi" w:hAnsi="Gadugi"/>
        </w:rPr>
        <w:t xml:space="preserve"> cuando la acción se intente </w:t>
      </w:r>
      <w:r w:rsidRPr="005B07F5">
        <w:rPr>
          <w:rFonts w:ascii="Gadugi" w:hAnsi="Gadugi"/>
        </w:rPr>
        <w:t xml:space="preserve">como </w:t>
      </w:r>
      <w:r w:rsidRPr="005B07F5">
        <w:rPr>
          <w:rFonts w:ascii="Gadugi" w:hAnsi="Gadugi" w:cs="Arial"/>
          <w:bCs/>
        </w:rPr>
        <w:t xml:space="preserve">mecanismo transitorio para evitar un perjuicio irremediable, </w:t>
      </w:r>
      <w:r>
        <w:rPr>
          <w:rFonts w:ascii="Gadugi" w:hAnsi="Gadugi" w:cs="Arial"/>
          <w:bCs/>
        </w:rPr>
        <w:t xml:space="preserve">a propósito de lo reclamado acerca del mínimo vital y la vida en condiciones dignas, lo cierto es que en este caso no se propuso la acción con tal carácter, y aunque así hubiera ocurrido, tal perjuicio debe ser </w:t>
      </w:r>
      <w:r w:rsidRPr="005B07F5">
        <w:rPr>
          <w:rFonts w:ascii="Gadugi" w:hAnsi="Gadugi" w:cs="Arial"/>
          <w:bCs/>
        </w:rPr>
        <w:t>inminente y grave, de manera que las medidas que se deban adoptar por vía de tutela sean impostergables para restablecer el derecho, como en múltiples ocasiones lo ha sostenido la jurisprudencia constitucional</w:t>
      </w:r>
      <w:r w:rsidRPr="005B07F5">
        <w:rPr>
          <w:rStyle w:val="Refdenotaalpie"/>
          <w:rFonts w:ascii="Gadugi" w:hAnsi="Gadugi" w:cs="Arial"/>
          <w:bCs/>
        </w:rPr>
        <w:footnoteReference w:id="2"/>
      </w:r>
      <w:r w:rsidRPr="005B07F5">
        <w:rPr>
          <w:rFonts w:ascii="Gadugi" w:hAnsi="Gadugi" w:cs="Arial"/>
          <w:bCs/>
        </w:rPr>
        <w:t>, condiciones todas que el actor debe acreditar</w:t>
      </w:r>
      <w:r>
        <w:rPr>
          <w:rFonts w:ascii="Gadugi" w:hAnsi="Gadugi" w:cs="Arial"/>
          <w:bCs/>
        </w:rPr>
        <w:t xml:space="preserve">, </w:t>
      </w:r>
      <w:r>
        <w:rPr>
          <w:rFonts w:ascii="Gadugi" w:hAnsi="Gadugi" w:cs="Arial"/>
          <w:bCs/>
          <w:lang w:val="es-419"/>
        </w:rPr>
        <w:t xml:space="preserve">lo que </w:t>
      </w:r>
      <w:r>
        <w:rPr>
          <w:rFonts w:ascii="Gadugi" w:hAnsi="Gadugi" w:cs="Arial"/>
          <w:bCs/>
        </w:rPr>
        <w:t xml:space="preserve">en el asunto bajo análisis no ocurrió así, pues </w:t>
      </w:r>
      <w:r>
        <w:rPr>
          <w:rFonts w:ascii="Gadugi" w:hAnsi="Gadugi" w:cs="Arial"/>
          <w:bCs/>
          <w:lang w:val="es-419"/>
        </w:rPr>
        <w:t xml:space="preserve">todo se quedó en una </w:t>
      </w:r>
      <w:r>
        <w:rPr>
          <w:rFonts w:ascii="Gadugi" w:hAnsi="Gadugi" w:cs="Arial"/>
          <w:bCs/>
        </w:rPr>
        <w:t xml:space="preserve">sola afirmación sin respaldo alguno que indique la necesidad de la intervención de juez constitucional. </w:t>
      </w:r>
    </w:p>
    <w:p w:rsidR="0030557B" w:rsidRDefault="0030557B" w:rsidP="0030557B">
      <w:pPr>
        <w:pStyle w:val="Sinespaciado1"/>
        <w:spacing w:line="26" w:lineRule="atLeast"/>
        <w:ind w:right="51"/>
        <w:jc w:val="both"/>
        <w:rPr>
          <w:rFonts w:ascii="Gadugi" w:hAnsi="Gadugi" w:cs="Arial"/>
          <w:bCs/>
        </w:rPr>
      </w:pPr>
    </w:p>
    <w:p w:rsidR="0030557B" w:rsidRDefault="0030557B" w:rsidP="0030557B">
      <w:pPr>
        <w:pStyle w:val="Sinespaciado1"/>
        <w:spacing w:line="26" w:lineRule="atLeast"/>
        <w:ind w:right="51"/>
        <w:jc w:val="both"/>
        <w:rPr>
          <w:rFonts w:ascii="Gadugi" w:hAnsi="Gadugi" w:cs="Arial"/>
          <w:bCs/>
        </w:rPr>
      </w:pPr>
      <w:r>
        <w:rPr>
          <w:rFonts w:ascii="Gadugi" w:hAnsi="Gadugi" w:cs="Arial"/>
          <w:bCs/>
        </w:rPr>
        <w:t xml:space="preserve">  </w:t>
      </w:r>
      <w:r>
        <w:rPr>
          <w:rFonts w:ascii="Gadugi" w:hAnsi="Gadugi" w:cs="Arial"/>
          <w:bCs/>
        </w:rPr>
        <w:tab/>
      </w:r>
      <w:r>
        <w:rPr>
          <w:rFonts w:ascii="Gadugi" w:hAnsi="Gadugi" w:cs="Arial"/>
          <w:bCs/>
        </w:rPr>
        <w:tab/>
      </w:r>
      <w:r>
        <w:rPr>
          <w:rFonts w:ascii="Gadugi" w:hAnsi="Gadugi" w:cs="Arial"/>
          <w:bCs/>
        </w:rPr>
        <w:tab/>
      </w:r>
      <w:r>
        <w:rPr>
          <w:rFonts w:ascii="Gadugi" w:hAnsi="Gadugi" w:cs="Arial"/>
          <w:bCs/>
        </w:rPr>
        <w:tab/>
        <w:t xml:space="preserve">Es evidente que la situación de la demandante deriva de la decisión adoptada por el juez ordinario en un proceso en el que, a primera vista, se le garantizó el derecho de defensa, pero ella optó por guardar silencio. Lo contrario, ya se dijo, debe demostrarlo por las vías procesales adecuadas. En ese orden de ideas, la misma </w:t>
      </w:r>
      <w:proofErr w:type="spellStart"/>
      <w:r>
        <w:rPr>
          <w:rFonts w:ascii="Gadugi" w:hAnsi="Gadugi" w:cs="Arial"/>
          <w:bCs/>
        </w:rPr>
        <w:t>residualidad</w:t>
      </w:r>
      <w:proofErr w:type="spellEnd"/>
      <w:r>
        <w:rPr>
          <w:rFonts w:ascii="Gadugi" w:hAnsi="Gadugi" w:cs="Arial"/>
          <w:bCs/>
        </w:rPr>
        <w:t xml:space="preserve"> impide dar cabida a la protección de esos otros derechos invocados, incluido, además, el de la igualdad, porque carece de referente la Sala para determinar en qué otro caso similar el Juzgado ha obrado de manera diferente a como lo hizo en el proceso verbal que se analiza; y si es que tal desigualdad se pregona frente al banco demandante, repetitivo resulta señalar que a ella y a su codemandado se les permitió intervenir, pero no lo hicieron y ahora que dice haberse enterado de la actuación tampoco ha pretendido un remedio procesal. </w:t>
      </w:r>
    </w:p>
    <w:p w:rsidR="0030557B" w:rsidRDefault="0030557B" w:rsidP="0030557B">
      <w:pPr>
        <w:pStyle w:val="Sinespaciado1"/>
        <w:spacing w:line="26" w:lineRule="atLeast"/>
        <w:ind w:right="51"/>
        <w:jc w:val="both"/>
        <w:rPr>
          <w:rFonts w:ascii="Gadugi" w:hAnsi="Gadugi" w:cs="Arial"/>
          <w:bCs/>
        </w:rPr>
      </w:pPr>
    </w:p>
    <w:p w:rsidR="0030557B" w:rsidRPr="00B4481E" w:rsidRDefault="0030557B" w:rsidP="0030557B">
      <w:pPr>
        <w:pStyle w:val="Sinespaciado1"/>
        <w:spacing w:line="26" w:lineRule="atLeast"/>
        <w:ind w:right="51"/>
        <w:jc w:val="both"/>
        <w:rPr>
          <w:rFonts w:ascii="Gadugi" w:hAnsi="Gadugi" w:cs="Arial"/>
          <w:lang w:val="es-CO"/>
        </w:rPr>
      </w:pPr>
      <w:r>
        <w:rPr>
          <w:rFonts w:ascii="Gadugi" w:hAnsi="Gadugi" w:cs="Arial"/>
          <w:lang w:val="es-419"/>
        </w:rPr>
        <w:t xml:space="preserve"> </w:t>
      </w: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419"/>
        </w:rPr>
        <w:t>Lo</w:t>
      </w:r>
      <w:r>
        <w:rPr>
          <w:rFonts w:ascii="Gadugi" w:hAnsi="Gadugi" w:cs="Arial"/>
        </w:rPr>
        <w:t xml:space="preserve"> analizado, </w:t>
      </w:r>
      <w:r w:rsidRPr="00B4481E">
        <w:rPr>
          <w:rFonts w:ascii="Gadugi" w:hAnsi="Gadugi" w:cs="Arial"/>
        </w:rPr>
        <w:t>traerá como consecuencia la declaratoria de improcedencia de la</w:t>
      </w:r>
      <w:r>
        <w:rPr>
          <w:rFonts w:ascii="Gadugi" w:hAnsi="Gadugi" w:cs="Arial"/>
        </w:rPr>
        <w:t xml:space="preserve"> acción frente al Juzgado Segundo </w:t>
      </w:r>
      <w:r w:rsidRPr="00B4481E">
        <w:rPr>
          <w:rFonts w:ascii="Gadugi" w:hAnsi="Gadugi" w:cs="Arial"/>
        </w:rPr>
        <w:t>Ci</w:t>
      </w:r>
      <w:r>
        <w:rPr>
          <w:rFonts w:ascii="Gadugi" w:hAnsi="Gadugi" w:cs="Arial"/>
        </w:rPr>
        <w:t>vil del Circuito de esta ciudad.</w:t>
      </w:r>
    </w:p>
    <w:p w:rsidR="0030557B" w:rsidRDefault="0030557B" w:rsidP="0030557B">
      <w:pPr>
        <w:pStyle w:val="Textoindependiente"/>
        <w:spacing w:line="26" w:lineRule="atLeast"/>
        <w:ind w:firstLine="2835"/>
        <w:rPr>
          <w:rFonts w:ascii="Gadugi" w:hAnsi="Gadugi"/>
          <w:color w:val="FF0000"/>
          <w:szCs w:val="24"/>
          <w:lang w:val="es-419"/>
        </w:rPr>
      </w:pPr>
      <w:r w:rsidRPr="00B76E7D">
        <w:rPr>
          <w:rFonts w:ascii="Gadugi" w:hAnsi="Gadugi"/>
          <w:color w:val="FF0000"/>
          <w:szCs w:val="24"/>
          <w:lang w:val="es-419"/>
        </w:rPr>
        <w:t xml:space="preserve"> </w:t>
      </w:r>
    </w:p>
    <w:p w:rsidR="0030557B" w:rsidRPr="00B4481E" w:rsidRDefault="0030557B" w:rsidP="0030557B">
      <w:pPr>
        <w:pStyle w:val="Sinespaciado1"/>
        <w:spacing w:line="26" w:lineRule="atLeast"/>
        <w:ind w:right="51"/>
        <w:jc w:val="both"/>
        <w:rPr>
          <w:rFonts w:ascii="Gadugi" w:hAnsi="Gadugi" w:cs="Arial"/>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Se absolverá a los demás intervinientes por no hallar de su parte trasgresión alguna.</w:t>
      </w: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B4481E">
        <w:rPr>
          <w:rFonts w:ascii="Gadugi" w:hAnsi="Gadugi" w:cs="Arial"/>
          <w:lang w:val="es-CO"/>
        </w:rPr>
        <w:t xml:space="preserve"> </w:t>
      </w:r>
    </w:p>
    <w:p w:rsidR="0030557B" w:rsidRDefault="0030557B" w:rsidP="0030557B">
      <w:pPr>
        <w:spacing w:line="276" w:lineRule="auto"/>
        <w:ind w:right="51"/>
        <w:jc w:val="both"/>
        <w:rPr>
          <w:rFonts w:ascii="Gadugi" w:hAnsi="Gadugi" w:cs="Arial"/>
          <w:sz w:val="24"/>
          <w:szCs w:val="24"/>
          <w:lang w:val="es-CO"/>
        </w:rPr>
      </w:pPr>
    </w:p>
    <w:p w:rsidR="0030557B" w:rsidRDefault="0030557B" w:rsidP="0030557B">
      <w:pPr>
        <w:spacing w:line="276" w:lineRule="auto"/>
        <w:ind w:right="51"/>
        <w:jc w:val="both"/>
        <w:rPr>
          <w:rFonts w:ascii="Gadugi" w:hAnsi="Gadugi" w:cs="Arial"/>
          <w:sz w:val="24"/>
          <w:szCs w:val="24"/>
          <w:lang w:val="es-CO"/>
        </w:rPr>
      </w:pPr>
    </w:p>
    <w:p w:rsidR="0030557B" w:rsidRPr="00B4481E" w:rsidRDefault="0030557B" w:rsidP="0030557B">
      <w:pPr>
        <w:spacing w:line="276" w:lineRule="auto"/>
        <w:ind w:right="51"/>
        <w:jc w:val="both"/>
        <w:rPr>
          <w:rFonts w:ascii="Gadugi" w:hAnsi="Gadugi" w:cs="Arial"/>
          <w:sz w:val="24"/>
          <w:szCs w:val="24"/>
          <w:lang w:val="es-CO"/>
        </w:rPr>
      </w:pPr>
    </w:p>
    <w:p w:rsidR="0030557B" w:rsidRPr="00B4481E" w:rsidRDefault="0030557B" w:rsidP="0030557B">
      <w:pPr>
        <w:spacing w:line="276" w:lineRule="auto"/>
        <w:ind w:firstLine="2835"/>
        <w:jc w:val="both"/>
        <w:rPr>
          <w:rFonts w:ascii="Gadugi" w:hAnsi="Gadugi" w:cs="Arial"/>
          <w:b/>
          <w:sz w:val="24"/>
          <w:szCs w:val="24"/>
        </w:rPr>
      </w:pPr>
      <w:r w:rsidRPr="00B4481E">
        <w:rPr>
          <w:rFonts w:ascii="Gadugi" w:hAnsi="Gadugi" w:cs="Arial"/>
          <w:b/>
          <w:sz w:val="24"/>
          <w:szCs w:val="24"/>
        </w:rPr>
        <w:t>DECISIÓN</w:t>
      </w:r>
    </w:p>
    <w:p w:rsidR="0030557B" w:rsidRPr="00B4481E" w:rsidRDefault="0030557B" w:rsidP="0030557B">
      <w:pPr>
        <w:spacing w:line="276" w:lineRule="auto"/>
        <w:ind w:firstLine="2835"/>
        <w:jc w:val="both"/>
        <w:rPr>
          <w:rFonts w:ascii="Gadugi" w:hAnsi="Gadugi" w:cs="Arial"/>
          <w:sz w:val="24"/>
          <w:szCs w:val="24"/>
        </w:rPr>
      </w:pPr>
    </w:p>
    <w:p w:rsidR="0030557B" w:rsidRPr="00B4481E" w:rsidRDefault="0030557B" w:rsidP="0030557B">
      <w:pPr>
        <w:spacing w:line="276" w:lineRule="auto"/>
        <w:ind w:firstLine="2835"/>
        <w:jc w:val="both"/>
        <w:rPr>
          <w:rFonts w:ascii="Gadugi" w:hAnsi="Gadugi" w:cs="Arial"/>
          <w:sz w:val="24"/>
          <w:szCs w:val="24"/>
        </w:rPr>
      </w:pPr>
    </w:p>
    <w:p w:rsidR="0030557B" w:rsidRPr="00B4481E" w:rsidRDefault="0030557B" w:rsidP="0030557B">
      <w:pPr>
        <w:spacing w:line="276" w:lineRule="auto"/>
        <w:ind w:firstLine="2835"/>
        <w:jc w:val="both"/>
        <w:rPr>
          <w:rFonts w:ascii="Gadugi" w:hAnsi="Gadugi" w:cs="Century Gothic"/>
          <w:b/>
          <w:sz w:val="24"/>
          <w:szCs w:val="24"/>
        </w:rPr>
      </w:pPr>
      <w:r w:rsidRPr="00B4481E">
        <w:rPr>
          <w:rFonts w:ascii="Gadugi" w:hAnsi="Gadugi" w:cs="Arial"/>
          <w:sz w:val="24"/>
          <w:szCs w:val="24"/>
        </w:rPr>
        <w:t>En armonía con lo dicho, la Sala Civil Familia del Tribunal Superior de Pereira, administrando justicia en nombre de la República y por autoridad de la Ley,</w:t>
      </w:r>
      <w:r w:rsidRPr="00B4481E">
        <w:rPr>
          <w:rFonts w:ascii="Gadugi" w:hAnsi="Gadugi" w:cs="Arial"/>
          <w:sz w:val="24"/>
          <w:szCs w:val="24"/>
          <w:lang w:val="es-419"/>
        </w:rPr>
        <w:t xml:space="preserve"> </w:t>
      </w:r>
      <w:r w:rsidRPr="00B4481E">
        <w:rPr>
          <w:rFonts w:ascii="Gadugi" w:hAnsi="Gadugi" w:cs="Arial"/>
          <w:b/>
          <w:sz w:val="24"/>
          <w:szCs w:val="24"/>
          <w:lang w:val="es-CO"/>
        </w:rPr>
        <w:t xml:space="preserve">DECLARA IMPROCEDENTE  </w:t>
      </w:r>
      <w:r w:rsidRPr="00B4481E">
        <w:rPr>
          <w:rFonts w:ascii="Gadugi" w:hAnsi="Gadugi" w:cs="Arial"/>
          <w:sz w:val="24"/>
          <w:szCs w:val="24"/>
          <w:lang w:val="es-419"/>
        </w:rPr>
        <w:t>el</w:t>
      </w:r>
      <w:r w:rsidRPr="00B4481E">
        <w:rPr>
          <w:rFonts w:ascii="Gadugi" w:hAnsi="Gadugi" w:cs="Arial"/>
          <w:sz w:val="24"/>
          <w:szCs w:val="24"/>
        </w:rPr>
        <w:t xml:space="preserve"> amparo impetrado por</w:t>
      </w:r>
      <w:r>
        <w:rPr>
          <w:rFonts w:ascii="Gadugi" w:hAnsi="Gadugi" w:cs="Century Gothic"/>
          <w:b/>
          <w:sz w:val="24"/>
          <w:szCs w:val="24"/>
        </w:rPr>
        <w:t xml:space="preserve"> Patricia Giraldo Villegas</w:t>
      </w:r>
      <w:r w:rsidRPr="00B4481E">
        <w:rPr>
          <w:rFonts w:ascii="Gadugi" w:hAnsi="Gadugi" w:cs="Century Gothic"/>
          <w:b/>
          <w:sz w:val="24"/>
          <w:szCs w:val="24"/>
        </w:rPr>
        <w:t xml:space="preserve"> </w:t>
      </w:r>
      <w:r w:rsidRPr="00B4481E">
        <w:rPr>
          <w:rFonts w:ascii="Gadugi" w:hAnsi="Gadugi" w:cs="Century Gothic"/>
          <w:bCs/>
          <w:sz w:val="24"/>
          <w:szCs w:val="24"/>
        </w:rPr>
        <w:t>contra</w:t>
      </w:r>
      <w:r w:rsidRPr="00B4481E">
        <w:rPr>
          <w:rFonts w:ascii="Gadugi" w:hAnsi="Gadugi" w:cs="Century Gothic"/>
          <w:sz w:val="24"/>
          <w:szCs w:val="24"/>
        </w:rPr>
        <w:t xml:space="preserve"> el </w:t>
      </w:r>
      <w:r w:rsidRPr="00B4481E">
        <w:rPr>
          <w:rFonts w:ascii="Gadugi" w:hAnsi="Gadugi" w:cs="Century Gothic"/>
          <w:b/>
          <w:sz w:val="24"/>
          <w:szCs w:val="24"/>
        </w:rPr>
        <w:t xml:space="preserve">Juzgado </w:t>
      </w:r>
      <w:r>
        <w:rPr>
          <w:rFonts w:ascii="Gadugi" w:hAnsi="Gadugi" w:cs="Century Gothic"/>
          <w:b/>
          <w:sz w:val="24"/>
          <w:szCs w:val="24"/>
        </w:rPr>
        <w:t>Segundo</w:t>
      </w:r>
      <w:r w:rsidRPr="00B4481E">
        <w:rPr>
          <w:rFonts w:ascii="Gadugi" w:hAnsi="Gadugi" w:cs="Century Gothic"/>
          <w:b/>
          <w:sz w:val="24"/>
          <w:szCs w:val="24"/>
        </w:rPr>
        <w:t xml:space="preserve"> Civil del Circuito </w:t>
      </w:r>
      <w:r>
        <w:rPr>
          <w:rFonts w:ascii="Gadugi" w:hAnsi="Gadugi" w:cs="Century Gothic"/>
          <w:sz w:val="24"/>
          <w:szCs w:val="24"/>
        </w:rPr>
        <w:t>local.</w:t>
      </w:r>
    </w:p>
    <w:p w:rsidR="0030557B" w:rsidRDefault="0030557B" w:rsidP="0030557B">
      <w:pPr>
        <w:spacing w:line="276" w:lineRule="auto"/>
        <w:jc w:val="both"/>
        <w:rPr>
          <w:rFonts w:ascii="Gadugi" w:hAnsi="Gadugi" w:cs="Century Gothic"/>
          <w:b/>
          <w:bCs/>
          <w:sz w:val="24"/>
          <w:szCs w:val="24"/>
        </w:rPr>
      </w:pPr>
    </w:p>
    <w:p w:rsidR="0030557B" w:rsidRPr="00B4481E" w:rsidRDefault="0030557B" w:rsidP="0030557B">
      <w:pPr>
        <w:spacing w:line="276" w:lineRule="auto"/>
        <w:ind w:firstLine="2835"/>
        <w:jc w:val="both"/>
        <w:rPr>
          <w:rFonts w:ascii="Gadugi" w:hAnsi="Gadugi" w:cs="Arial"/>
          <w:sz w:val="24"/>
          <w:szCs w:val="24"/>
        </w:rPr>
      </w:pPr>
      <w:r w:rsidRPr="00B4481E">
        <w:rPr>
          <w:rFonts w:ascii="Gadugi" w:hAnsi="Gadugi" w:cs="Arial"/>
          <w:sz w:val="24"/>
          <w:szCs w:val="24"/>
        </w:rPr>
        <w:t xml:space="preserve">Se </w:t>
      </w:r>
      <w:r>
        <w:rPr>
          <w:rFonts w:ascii="Gadugi" w:hAnsi="Gadugi" w:cs="Arial"/>
          <w:sz w:val="24"/>
          <w:szCs w:val="24"/>
        </w:rPr>
        <w:t>ab</w:t>
      </w:r>
      <w:r w:rsidRPr="00B4481E">
        <w:rPr>
          <w:rFonts w:ascii="Gadugi" w:hAnsi="Gadugi" w:cs="Arial"/>
          <w:sz w:val="24"/>
          <w:szCs w:val="24"/>
        </w:rPr>
        <w:t>suelve a l</w:t>
      </w:r>
      <w:r>
        <w:rPr>
          <w:rFonts w:ascii="Gadugi" w:hAnsi="Gadugi" w:cs="Arial"/>
          <w:sz w:val="24"/>
          <w:szCs w:val="24"/>
        </w:rPr>
        <w:t>o</w:t>
      </w:r>
      <w:r w:rsidRPr="00B4481E">
        <w:rPr>
          <w:rFonts w:ascii="Gadugi" w:hAnsi="Gadugi" w:cs="Arial"/>
          <w:sz w:val="24"/>
          <w:szCs w:val="24"/>
        </w:rPr>
        <w:t>s demás intervinientes</w:t>
      </w:r>
      <w:r>
        <w:rPr>
          <w:rFonts w:ascii="Gadugi" w:hAnsi="Gadugi" w:cs="Arial"/>
          <w:sz w:val="24"/>
          <w:szCs w:val="24"/>
        </w:rPr>
        <w:t>.</w:t>
      </w:r>
    </w:p>
    <w:p w:rsidR="0030557B" w:rsidRDefault="0030557B" w:rsidP="0030557B">
      <w:pPr>
        <w:spacing w:line="276" w:lineRule="auto"/>
        <w:ind w:firstLine="2835"/>
        <w:jc w:val="both"/>
        <w:rPr>
          <w:rFonts w:ascii="Gadugi" w:hAnsi="Gadugi" w:cs="Arial"/>
          <w:sz w:val="24"/>
          <w:szCs w:val="24"/>
        </w:rPr>
      </w:pPr>
    </w:p>
    <w:p w:rsidR="0030557B" w:rsidRPr="00B4481E" w:rsidRDefault="0030557B" w:rsidP="0030557B">
      <w:pPr>
        <w:spacing w:line="276" w:lineRule="auto"/>
        <w:ind w:firstLine="2835"/>
        <w:jc w:val="both"/>
        <w:rPr>
          <w:rFonts w:ascii="Gadugi" w:hAnsi="Gadugi" w:cs="Arial"/>
          <w:sz w:val="24"/>
          <w:szCs w:val="24"/>
        </w:rPr>
      </w:pPr>
      <w:r w:rsidRPr="00B4481E">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30557B" w:rsidRPr="00B4481E" w:rsidRDefault="0030557B" w:rsidP="0030557B">
      <w:pPr>
        <w:spacing w:line="276" w:lineRule="auto"/>
        <w:ind w:firstLine="2835"/>
        <w:jc w:val="both"/>
        <w:rPr>
          <w:rFonts w:ascii="Gadugi" w:hAnsi="Gadugi" w:cs="Arial"/>
          <w:sz w:val="24"/>
          <w:szCs w:val="24"/>
        </w:rPr>
      </w:pPr>
    </w:p>
    <w:p w:rsidR="0030557B" w:rsidRPr="00B4481E" w:rsidRDefault="0030557B" w:rsidP="0030557B">
      <w:pPr>
        <w:spacing w:line="276" w:lineRule="auto"/>
        <w:ind w:firstLine="2835"/>
        <w:jc w:val="both"/>
        <w:rPr>
          <w:rFonts w:ascii="Gadugi" w:hAnsi="Gadugi" w:cs="Arial"/>
          <w:sz w:val="24"/>
          <w:szCs w:val="24"/>
        </w:rPr>
      </w:pPr>
      <w:r w:rsidRPr="00B4481E">
        <w:rPr>
          <w:rFonts w:ascii="Gadugi" w:hAnsi="Gadugi" w:cs="Arial"/>
          <w:sz w:val="24"/>
          <w:szCs w:val="24"/>
        </w:rPr>
        <w:t>A su regreso, archívese el expediente.</w:t>
      </w:r>
    </w:p>
    <w:p w:rsidR="0030557B" w:rsidRPr="00B4481E" w:rsidRDefault="0030557B" w:rsidP="0030557B">
      <w:pPr>
        <w:spacing w:line="276" w:lineRule="auto"/>
        <w:ind w:firstLine="2835"/>
        <w:jc w:val="both"/>
        <w:rPr>
          <w:rFonts w:ascii="Gadugi" w:hAnsi="Gadugi" w:cs="Arial"/>
          <w:sz w:val="24"/>
          <w:szCs w:val="24"/>
        </w:rPr>
      </w:pPr>
      <w:r w:rsidRPr="00B4481E">
        <w:rPr>
          <w:rFonts w:ascii="Gadugi" w:hAnsi="Gadugi" w:cs="Arial"/>
          <w:sz w:val="24"/>
          <w:szCs w:val="24"/>
        </w:rPr>
        <w:t xml:space="preserve"> </w:t>
      </w:r>
    </w:p>
    <w:p w:rsidR="0030557B" w:rsidRPr="00B4481E" w:rsidRDefault="0030557B" w:rsidP="0030557B">
      <w:pPr>
        <w:spacing w:line="276" w:lineRule="auto"/>
        <w:ind w:firstLine="2835"/>
        <w:jc w:val="both"/>
        <w:rPr>
          <w:rFonts w:ascii="Gadugi" w:hAnsi="Gadugi" w:cs="Arial"/>
          <w:bCs/>
          <w:sz w:val="24"/>
          <w:szCs w:val="24"/>
        </w:rPr>
      </w:pPr>
      <w:r w:rsidRPr="00B4481E">
        <w:rPr>
          <w:rFonts w:ascii="Gadugi" w:hAnsi="Gadugi" w:cs="Arial"/>
          <w:bCs/>
          <w:sz w:val="24"/>
          <w:szCs w:val="24"/>
        </w:rPr>
        <w:t>Los Magistrados,</w:t>
      </w:r>
    </w:p>
    <w:p w:rsidR="0030557B" w:rsidRDefault="0030557B" w:rsidP="0030557B">
      <w:pPr>
        <w:spacing w:line="276" w:lineRule="auto"/>
        <w:jc w:val="both"/>
        <w:rPr>
          <w:rFonts w:ascii="Gadugi" w:hAnsi="Gadugi" w:cs="Arial"/>
          <w:b/>
          <w:sz w:val="24"/>
          <w:szCs w:val="24"/>
        </w:rPr>
      </w:pPr>
    </w:p>
    <w:p w:rsidR="0030557B" w:rsidRDefault="0030557B" w:rsidP="0030557B">
      <w:pPr>
        <w:spacing w:line="276" w:lineRule="auto"/>
        <w:jc w:val="both"/>
        <w:rPr>
          <w:rFonts w:ascii="Gadugi" w:hAnsi="Gadugi" w:cs="Arial"/>
          <w:b/>
          <w:sz w:val="24"/>
          <w:szCs w:val="24"/>
        </w:rPr>
      </w:pPr>
    </w:p>
    <w:p w:rsidR="0030557B" w:rsidRPr="00612A08" w:rsidRDefault="0030557B" w:rsidP="0030557B">
      <w:pPr>
        <w:spacing w:line="276" w:lineRule="auto"/>
        <w:ind w:firstLine="2835"/>
        <w:jc w:val="both"/>
        <w:rPr>
          <w:rFonts w:ascii="Gadugi" w:hAnsi="Gadugi" w:cs="Arial"/>
          <w:b/>
          <w:sz w:val="24"/>
          <w:szCs w:val="24"/>
          <w:lang w:val="es-CO"/>
        </w:rPr>
      </w:pPr>
    </w:p>
    <w:p w:rsidR="0030557B" w:rsidRPr="00B4481E" w:rsidRDefault="0030557B" w:rsidP="0030557B">
      <w:pPr>
        <w:spacing w:line="276" w:lineRule="auto"/>
        <w:ind w:firstLine="2835"/>
        <w:jc w:val="both"/>
        <w:rPr>
          <w:rFonts w:ascii="Gadugi" w:hAnsi="Gadugi" w:cs="Arial"/>
          <w:b/>
          <w:sz w:val="24"/>
          <w:szCs w:val="24"/>
        </w:rPr>
      </w:pPr>
      <w:r w:rsidRPr="00B4481E">
        <w:rPr>
          <w:rFonts w:ascii="Gadugi" w:hAnsi="Gadugi" w:cs="Arial"/>
          <w:b/>
          <w:sz w:val="24"/>
          <w:szCs w:val="24"/>
        </w:rPr>
        <w:lastRenderedPageBreak/>
        <w:t>JAIME ALBERTO SARAZA NARANJO</w:t>
      </w:r>
    </w:p>
    <w:p w:rsidR="0030557B" w:rsidRDefault="0030557B" w:rsidP="0030557B">
      <w:pPr>
        <w:spacing w:line="276" w:lineRule="auto"/>
        <w:jc w:val="both"/>
        <w:rPr>
          <w:rFonts w:ascii="Gadugi" w:hAnsi="Gadugi" w:cs="Arial"/>
          <w:b/>
          <w:sz w:val="24"/>
          <w:szCs w:val="24"/>
        </w:rPr>
      </w:pPr>
    </w:p>
    <w:p w:rsidR="0030557B" w:rsidRPr="00B4481E" w:rsidRDefault="0030557B" w:rsidP="0030557B">
      <w:pPr>
        <w:spacing w:line="276" w:lineRule="auto"/>
        <w:jc w:val="both"/>
        <w:rPr>
          <w:rFonts w:ascii="Gadugi" w:hAnsi="Gadugi" w:cs="Arial"/>
          <w:b/>
          <w:sz w:val="24"/>
          <w:szCs w:val="24"/>
        </w:rPr>
      </w:pPr>
    </w:p>
    <w:p w:rsidR="0030557B" w:rsidRDefault="0030557B" w:rsidP="0030557B">
      <w:pPr>
        <w:spacing w:line="276" w:lineRule="auto"/>
        <w:jc w:val="both"/>
        <w:rPr>
          <w:rFonts w:ascii="Gadugi" w:hAnsi="Gadugi" w:cs="Arial"/>
          <w:b/>
          <w:sz w:val="24"/>
          <w:szCs w:val="24"/>
          <w:lang w:val="es-CO"/>
        </w:rPr>
      </w:pPr>
    </w:p>
    <w:p w:rsidR="0030557B" w:rsidRPr="002119C0" w:rsidRDefault="0030557B" w:rsidP="0030557B">
      <w:pPr>
        <w:pStyle w:val="Textoindependiente210"/>
        <w:spacing w:line="26" w:lineRule="atLeast"/>
        <w:ind w:firstLine="0"/>
        <w:rPr>
          <w:rFonts w:ascii="Bookman Old Style" w:hAnsi="Bookman Old Style" w:cs="Arial"/>
          <w:b/>
          <w:sz w:val="28"/>
          <w:szCs w:val="28"/>
        </w:rPr>
      </w:pPr>
      <w:r w:rsidRPr="00B4481E">
        <w:rPr>
          <w:rFonts w:ascii="Gadugi" w:hAnsi="Gadugi" w:cs="Arial"/>
          <w:b/>
          <w:lang w:val="es-ES_tradnl"/>
        </w:rPr>
        <w:t xml:space="preserve">CLAUDIA MARÍA ARCILA RÍOS                 </w:t>
      </w:r>
      <w:r>
        <w:rPr>
          <w:rFonts w:ascii="Gadugi" w:hAnsi="Gadugi" w:cs="Arial"/>
          <w:b/>
          <w:lang w:val="es-ES_tradnl"/>
        </w:rPr>
        <w:t xml:space="preserve">          </w:t>
      </w:r>
      <w:proofErr w:type="spellStart"/>
      <w:r w:rsidRPr="00B4481E">
        <w:rPr>
          <w:rFonts w:ascii="Gadugi" w:hAnsi="Gadugi" w:cs="Arial"/>
          <w:b/>
          <w:lang w:val="es-ES_tradnl"/>
        </w:rPr>
        <w:t>DUBERNEY</w:t>
      </w:r>
      <w:proofErr w:type="spellEnd"/>
      <w:r w:rsidRPr="00B4481E">
        <w:rPr>
          <w:rFonts w:ascii="Gadugi" w:hAnsi="Gadugi" w:cs="Arial"/>
          <w:b/>
          <w:lang w:val="es-ES_tradnl"/>
        </w:rPr>
        <w:t xml:space="preserve"> GRISALES HERRERA     </w:t>
      </w:r>
    </w:p>
    <w:p w:rsidR="0030557B" w:rsidRPr="002119C0" w:rsidRDefault="0030557B" w:rsidP="0030557B">
      <w:pPr>
        <w:spacing w:line="26" w:lineRule="atLeast"/>
        <w:ind w:firstLine="2835"/>
        <w:jc w:val="both"/>
        <w:rPr>
          <w:rFonts w:ascii="Gadugi" w:hAnsi="Gadugi" w:cs="Arial"/>
          <w:szCs w:val="24"/>
          <w:lang w:val="es-419"/>
        </w:rPr>
      </w:pPr>
    </w:p>
    <w:p w:rsidR="00D5123A" w:rsidRDefault="00D5123A"/>
    <w:sectPr w:rsidR="00D5123A" w:rsidSect="0030557B">
      <w:headerReference w:type="default" r:id="rId6"/>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37" w:rsidRDefault="00AD5E37" w:rsidP="0030557B">
      <w:r>
        <w:separator/>
      </w:r>
    </w:p>
  </w:endnote>
  <w:endnote w:type="continuationSeparator" w:id="0">
    <w:p w:rsidR="00AD5E37" w:rsidRDefault="00AD5E37" w:rsidP="0030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45D0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6FFB">
      <w:rPr>
        <w:rStyle w:val="Nmerodepgina"/>
        <w:noProof/>
      </w:rPr>
      <w:t>6</w:t>
    </w:r>
    <w:r>
      <w:rPr>
        <w:rStyle w:val="Nmerodepgina"/>
      </w:rPr>
      <w:fldChar w:fldCharType="end"/>
    </w:r>
  </w:p>
  <w:p w:rsidR="00E86AA4" w:rsidRDefault="00AD5E3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37" w:rsidRDefault="00AD5E37" w:rsidP="0030557B">
      <w:r>
        <w:separator/>
      </w:r>
    </w:p>
  </w:footnote>
  <w:footnote w:type="continuationSeparator" w:id="0">
    <w:p w:rsidR="00AD5E37" w:rsidRDefault="00AD5E37" w:rsidP="0030557B">
      <w:r>
        <w:continuationSeparator/>
      </w:r>
    </w:p>
  </w:footnote>
  <w:footnote w:id="1">
    <w:p w:rsidR="0030557B" w:rsidRPr="00153B3F" w:rsidRDefault="0030557B" w:rsidP="0030557B">
      <w:pPr>
        <w:pStyle w:val="Textonotapie"/>
        <w:rPr>
          <w:rFonts w:ascii="Agency FB" w:hAnsi="Agency FB"/>
          <w:sz w:val="24"/>
          <w:szCs w:val="24"/>
          <w:lang w:val="es-CO"/>
        </w:rPr>
      </w:pPr>
      <w:r w:rsidRPr="00153B3F">
        <w:rPr>
          <w:rStyle w:val="Refdenotaalpie"/>
          <w:rFonts w:ascii="Agency FB" w:hAnsi="Agency FB"/>
          <w:sz w:val="24"/>
          <w:szCs w:val="24"/>
        </w:rPr>
        <w:footnoteRef/>
      </w:r>
      <w:r w:rsidRPr="00153B3F">
        <w:rPr>
          <w:rFonts w:ascii="Agency FB" w:hAnsi="Agency FB"/>
          <w:sz w:val="24"/>
          <w:szCs w:val="24"/>
          <w:vertAlign w:val="superscript"/>
        </w:rPr>
        <w:t xml:space="preserve"> </w:t>
      </w:r>
      <w:r w:rsidRPr="00153B3F">
        <w:rPr>
          <w:rFonts w:ascii="Agency FB" w:hAnsi="Agency FB"/>
          <w:sz w:val="24"/>
          <w:szCs w:val="24"/>
        </w:rPr>
        <w:t>Sentencia C-543-92</w:t>
      </w:r>
    </w:p>
  </w:footnote>
  <w:footnote w:id="2">
    <w:p w:rsidR="0030557B" w:rsidRPr="009F1938" w:rsidRDefault="0030557B" w:rsidP="0030557B">
      <w:pPr>
        <w:pStyle w:val="Textonotapie"/>
        <w:rPr>
          <w:rFonts w:ascii="Agency FB" w:hAnsi="Agency FB"/>
          <w:sz w:val="16"/>
          <w:szCs w:val="16"/>
        </w:rPr>
      </w:pPr>
      <w:r w:rsidRPr="00153B3F">
        <w:rPr>
          <w:rStyle w:val="Refdenotaalpie"/>
          <w:rFonts w:ascii="Agency FB" w:hAnsi="Agency FB"/>
          <w:sz w:val="24"/>
          <w:szCs w:val="24"/>
        </w:rPr>
        <w:footnoteRef/>
      </w:r>
      <w:r w:rsidRPr="00153B3F">
        <w:rPr>
          <w:rFonts w:ascii="Agency FB" w:hAnsi="Agency FB"/>
          <w:sz w:val="24"/>
          <w:szCs w:val="24"/>
        </w:rPr>
        <w:t xml:space="preserve"> Tómese como ejemplo la sentencia </w:t>
      </w:r>
      <w:r w:rsidRPr="00153B3F">
        <w:rPr>
          <w:rFonts w:ascii="Agency FB" w:hAnsi="Agency FB"/>
          <w:bCs/>
          <w:sz w:val="24"/>
          <w:szCs w:val="24"/>
          <w:lang w:val="es-CO"/>
        </w:rPr>
        <w:t>T-</w:t>
      </w:r>
      <w:r>
        <w:rPr>
          <w:rFonts w:ascii="Agency FB" w:hAnsi="Agency FB"/>
          <w:bCs/>
          <w:sz w:val="24"/>
          <w:szCs w:val="24"/>
          <w:lang w:val="es-CO"/>
        </w:rPr>
        <w:t>120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45D0D"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8"/>
    <w:rsid w:val="00211829"/>
    <w:rsid w:val="0030557B"/>
    <w:rsid w:val="003C5871"/>
    <w:rsid w:val="00545D0D"/>
    <w:rsid w:val="00603F18"/>
    <w:rsid w:val="00642E23"/>
    <w:rsid w:val="008636B7"/>
    <w:rsid w:val="00A43559"/>
    <w:rsid w:val="00AB4776"/>
    <w:rsid w:val="00AD5E37"/>
    <w:rsid w:val="00CE6FFB"/>
    <w:rsid w:val="00D51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C942-7C02-4F39-A637-794C5372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30557B"/>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0557B"/>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30557B"/>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30557B"/>
    <w:rPr>
      <w:rFonts w:ascii="Courier New" w:eastAsia="Times New Roman" w:hAnsi="Courier New" w:cs="Times New Roman"/>
      <w:sz w:val="24"/>
      <w:szCs w:val="20"/>
      <w:lang w:val="es-MX" w:eastAsia="es-ES"/>
    </w:rPr>
  </w:style>
  <w:style w:type="paragraph" w:styleId="Piedepgina">
    <w:name w:val="footer"/>
    <w:aliases w:val="aaPie de página"/>
    <w:basedOn w:val="Normal"/>
    <w:link w:val="PiedepginaCar"/>
    <w:rsid w:val="0030557B"/>
    <w:pPr>
      <w:tabs>
        <w:tab w:val="center" w:pos="4419"/>
        <w:tab w:val="right" w:pos="8838"/>
      </w:tabs>
    </w:pPr>
  </w:style>
  <w:style w:type="character" w:customStyle="1" w:styleId="PiedepginaCar">
    <w:name w:val="Pie de página Car"/>
    <w:aliases w:val="aaPie de página Car"/>
    <w:basedOn w:val="Fuentedeprrafopredeter"/>
    <w:link w:val="Piedepgina"/>
    <w:rsid w:val="0030557B"/>
    <w:rPr>
      <w:rFonts w:ascii="Times New Roman" w:eastAsia="Times New Roman" w:hAnsi="Times New Roman" w:cs="Times New Roman"/>
      <w:sz w:val="20"/>
      <w:szCs w:val="20"/>
      <w:lang w:eastAsia="es-ES"/>
    </w:rPr>
  </w:style>
  <w:style w:type="character" w:styleId="Nmerodepgina">
    <w:name w:val="page number"/>
    <w:rsid w:val="0030557B"/>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30557B"/>
  </w:style>
  <w:style w:type="character" w:customStyle="1" w:styleId="TextonotapieCar">
    <w:name w:val="Texto nota pie Car"/>
    <w:basedOn w:val="Fuentedeprrafopredeter"/>
    <w:uiPriority w:val="99"/>
    <w:semiHidden/>
    <w:rsid w:val="0030557B"/>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30557B"/>
    <w:rPr>
      <w:rFonts w:cs="Times New Roman"/>
      <w:vertAlign w:val="superscript"/>
    </w:rPr>
  </w:style>
  <w:style w:type="paragraph" w:customStyle="1" w:styleId="Textoindependiente21">
    <w:name w:val="Texto independiente 21"/>
    <w:basedOn w:val="Normal"/>
    <w:rsid w:val="0030557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30557B"/>
    <w:rPr>
      <w:rFonts w:ascii="Times New Roman" w:eastAsia="Times New Roman" w:hAnsi="Times New Roman" w:cs="Times New Roman"/>
      <w:sz w:val="20"/>
      <w:szCs w:val="20"/>
      <w:lang w:eastAsia="es-ES"/>
    </w:rPr>
  </w:style>
  <w:style w:type="paragraph" w:customStyle="1" w:styleId="Sinespaciado1">
    <w:name w:val="Sin espaciado1"/>
    <w:rsid w:val="0030557B"/>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30557B"/>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AB4776"/>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AB4776"/>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2014</Words>
  <Characters>11083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2017-01-12T21:04:00Z</dcterms:created>
  <dcterms:modified xsi:type="dcterms:W3CDTF">2017-02-01T20:02:00Z</dcterms:modified>
</cp:coreProperties>
</file>