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FC" w:rsidRPr="00760671" w:rsidRDefault="003118FC" w:rsidP="003118F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3118FC" w:rsidRPr="001329EE" w:rsidRDefault="003118FC" w:rsidP="003118FC">
      <w:pPr>
        <w:jc w:val="both"/>
        <w:rPr>
          <w:rFonts w:asciiTheme="minorHAnsi" w:hAnsiTheme="minorHAnsi"/>
          <w:sz w:val="18"/>
          <w:szCs w:val="18"/>
        </w:rPr>
      </w:pPr>
    </w:p>
    <w:p w:rsidR="00C808BB" w:rsidRPr="00C808BB" w:rsidRDefault="00C808BB" w:rsidP="00C808BB">
      <w:pPr>
        <w:pStyle w:val="Sinespaciado"/>
        <w:rPr>
          <w:rFonts w:asciiTheme="minorHAnsi" w:hAnsiTheme="minorHAnsi"/>
          <w:sz w:val="18"/>
          <w:szCs w:val="18"/>
        </w:rPr>
      </w:pPr>
      <w:bookmarkStart w:id="0" w:name="_GoBack"/>
      <w:bookmarkEnd w:id="0"/>
      <w:r w:rsidRPr="00C808BB">
        <w:rPr>
          <w:rFonts w:asciiTheme="minorHAnsi" w:hAnsiTheme="minorHAnsi"/>
          <w:sz w:val="18"/>
          <w:szCs w:val="18"/>
        </w:rPr>
        <w:t>Providencia:</w:t>
      </w:r>
      <w:r w:rsidRPr="00C808BB">
        <w:rPr>
          <w:rFonts w:asciiTheme="minorHAnsi" w:hAnsiTheme="minorHAnsi"/>
          <w:sz w:val="18"/>
          <w:szCs w:val="18"/>
        </w:rPr>
        <w:tab/>
      </w:r>
      <w:r w:rsidRPr="00C808BB">
        <w:rPr>
          <w:rFonts w:asciiTheme="minorHAnsi" w:hAnsiTheme="minorHAnsi"/>
          <w:sz w:val="18"/>
          <w:szCs w:val="18"/>
        </w:rPr>
        <w:tab/>
      </w:r>
      <w:r w:rsidRPr="00C808BB">
        <w:rPr>
          <w:rFonts w:asciiTheme="minorHAnsi" w:hAnsiTheme="minorHAnsi"/>
          <w:sz w:val="18"/>
          <w:szCs w:val="18"/>
        </w:rPr>
        <w:tab/>
        <w:t xml:space="preserve">Auto - Nulidad </w:t>
      </w:r>
      <w:r w:rsidR="00D02F5E">
        <w:rPr>
          <w:rFonts w:asciiTheme="minorHAnsi" w:hAnsiTheme="minorHAnsi"/>
          <w:sz w:val="18"/>
          <w:szCs w:val="18"/>
        </w:rPr>
        <w:t>– Traslado parte contraria -</w:t>
      </w:r>
      <w:r w:rsidRPr="00C808BB">
        <w:rPr>
          <w:rFonts w:asciiTheme="minorHAnsi" w:hAnsiTheme="minorHAnsi"/>
          <w:sz w:val="18"/>
          <w:szCs w:val="18"/>
        </w:rPr>
        <w:t xml:space="preserve"> 19 de octubre de 2016</w:t>
      </w:r>
    </w:p>
    <w:p w:rsidR="00C808BB" w:rsidRPr="00C808BB" w:rsidRDefault="00C808BB" w:rsidP="00C808BB">
      <w:pPr>
        <w:pStyle w:val="Sinespaciado"/>
        <w:rPr>
          <w:rFonts w:asciiTheme="minorHAnsi" w:hAnsiTheme="minorHAnsi"/>
          <w:sz w:val="18"/>
          <w:szCs w:val="18"/>
        </w:rPr>
      </w:pPr>
      <w:r w:rsidRPr="00C808BB">
        <w:rPr>
          <w:rFonts w:asciiTheme="minorHAnsi" w:hAnsiTheme="minorHAnsi"/>
          <w:sz w:val="18"/>
          <w:szCs w:val="18"/>
        </w:rPr>
        <w:t>Radicación Nro. :</w:t>
      </w:r>
      <w:r w:rsidRPr="00C808BB">
        <w:rPr>
          <w:rFonts w:asciiTheme="minorHAnsi" w:hAnsiTheme="minorHAnsi"/>
          <w:sz w:val="18"/>
          <w:szCs w:val="18"/>
        </w:rPr>
        <w:tab/>
      </w:r>
      <w:r w:rsidRPr="00C808BB">
        <w:rPr>
          <w:rFonts w:asciiTheme="minorHAnsi" w:hAnsiTheme="minorHAnsi"/>
          <w:sz w:val="18"/>
          <w:szCs w:val="18"/>
        </w:rPr>
        <w:tab/>
      </w:r>
      <w:r w:rsidRPr="00C808BB">
        <w:rPr>
          <w:rFonts w:asciiTheme="minorHAnsi" w:hAnsiTheme="minorHAnsi"/>
          <w:sz w:val="18"/>
          <w:szCs w:val="18"/>
        </w:rPr>
        <w:tab/>
        <w:t>66001-31-03-001-2014-00693-01</w:t>
      </w:r>
    </w:p>
    <w:p w:rsidR="00C808BB" w:rsidRPr="00C808BB" w:rsidRDefault="00E231C4" w:rsidP="00C808BB">
      <w:pPr>
        <w:pStyle w:val="Sinespaciado"/>
        <w:rPr>
          <w:rFonts w:asciiTheme="minorHAnsi" w:hAnsiTheme="minorHAnsi"/>
          <w:sz w:val="18"/>
          <w:szCs w:val="18"/>
        </w:rPr>
      </w:pPr>
      <w:r>
        <w:rPr>
          <w:rFonts w:asciiTheme="minorHAnsi" w:hAnsiTheme="minorHAnsi"/>
          <w:sz w:val="18"/>
          <w:szCs w:val="18"/>
        </w:rPr>
        <w:t>Demandante</w:t>
      </w:r>
      <w:r w:rsidR="00C808BB" w:rsidRPr="00C808BB">
        <w:rPr>
          <w:rFonts w:asciiTheme="minorHAnsi" w:hAnsiTheme="minorHAnsi"/>
          <w:sz w:val="18"/>
          <w:szCs w:val="18"/>
        </w:rPr>
        <w:t>:</w:t>
      </w:r>
      <w:r w:rsidR="00C808BB" w:rsidRPr="00C808BB">
        <w:rPr>
          <w:rFonts w:asciiTheme="minorHAnsi" w:hAnsiTheme="minorHAnsi"/>
          <w:sz w:val="18"/>
          <w:szCs w:val="18"/>
        </w:rPr>
        <w:tab/>
      </w:r>
      <w:r w:rsidR="00C808BB" w:rsidRPr="00C808BB">
        <w:rPr>
          <w:rFonts w:asciiTheme="minorHAnsi" w:hAnsiTheme="minorHAnsi"/>
          <w:sz w:val="18"/>
          <w:szCs w:val="18"/>
        </w:rPr>
        <w:tab/>
      </w:r>
      <w:r w:rsidR="00C808BB" w:rsidRPr="00C808BB">
        <w:rPr>
          <w:rFonts w:asciiTheme="minorHAnsi" w:hAnsiTheme="minorHAnsi"/>
          <w:sz w:val="18"/>
          <w:szCs w:val="18"/>
        </w:rPr>
        <w:tab/>
        <w:t>Luis Javier Castañeda Chávez</w:t>
      </w:r>
    </w:p>
    <w:p w:rsidR="00C808BB" w:rsidRPr="00C808BB" w:rsidRDefault="00E231C4" w:rsidP="00C808BB">
      <w:pPr>
        <w:pStyle w:val="Sinespaciado"/>
        <w:rPr>
          <w:rFonts w:asciiTheme="minorHAnsi" w:hAnsiTheme="minorHAnsi"/>
          <w:sz w:val="18"/>
          <w:szCs w:val="18"/>
        </w:rPr>
      </w:pPr>
      <w:r>
        <w:rPr>
          <w:rFonts w:asciiTheme="minorHAnsi" w:hAnsiTheme="minorHAnsi"/>
          <w:sz w:val="18"/>
          <w:szCs w:val="18"/>
        </w:rPr>
        <w:t>Demandado</w:t>
      </w:r>
      <w:r w:rsidR="00C808BB" w:rsidRPr="00C808BB">
        <w:rPr>
          <w:rFonts w:asciiTheme="minorHAnsi" w:hAnsiTheme="minorHAnsi"/>
          <w:sz w:val="18"/>
          <w:szCs w:val="18"/>
        </w:rPr>
        <w:t>:</w:t>
      </w:r>
      <w:r w:rsidR="00C808BB" w:rsidRPr="00C808BB">
        <w:rPr>
          <w:rFonts w:asciiTheme="minorHAnsi" w:hAnsiTheme="minorHAnsi"/>
          <w:sz w:val="18"/>
          <w:szCs w:val="18"/>
        </w:rPr>
        <w:tab/>
      </w:r>
      <w:r w:rsidR="00C808BB" w:rsidRPr="00C808BB">
        <w:rPr>
          <w:rFonts w:asciiTheme="minorHAnsi" w:hAnsiTheme="minorHAnsi"/>
          <w:sz w:val="18"/>
          <w:szCs w:val="18"/>
        </w:rPr>
        <w:tab/>
      </w:r>
      <w:r w:rsidR="00C808BB" w:rsidRPr="00C808BB">
        <w:rPr>
          <w:rFonts w:asciiTheme="minorHAnsi" w:hAnsiTheme="minorHAnsi"/>
          <w:sz w:val="18"/>
          <w:szCs w:val="18"/>
        </w:rPr>
        <w:tab/>
        <w:t xml:space="preserve">María Inés Hernández Silva. </w:t>
      </w:r>
    </w:p>
    <w:p w:rsidR="00C808BB" w:rsidRPr="00C808BB" w:rsidRDefault="00C808BB" w:rsidP="00C808BB">
      <w:pPr>
        <w:pStyle w:val="Sinespaciado"/>
        <w:rPr>
          <w:rFonts w:asciiTheme="minorHAnsi" w:hAnsiTheme="minorHAnsi"/>
          <w:sz w:val="18"/>
          <w:szCs w:val="18"/>
        </w:rPr>
      </w:pPr>
      <w:r w:rsidRPr="00C808BB">
        <w:rPr>
          <w:rFonts w:asciiTheme="minorHAnsi" w:hAnsiTheme="minorHAnsi"/>
          <w:sz w:val="18"/>
          <w:szCs w:val="18"/>
        </w:rPr>
        <w:t>Proceso:</w:t>
      </w:r>
      <w:r w:rsidRPr="00C808BB">
        <w:rPr>
          <w:rFonts w:asciiTheme="minorHAnsi" w:hAnsiTheme="minorHAnsi"/>
          <w:sz w:val="18"/>
          <w:szCs w:val="18"/>
        </w:rPr>
        <w:tab/>
      </w:r>
      <w:r w:rsidRPr="00C808BB">
        <w:rPr>
          <w:rFonts w:asciiTheme="minorHAnsi" w:hAnsiTheme="minorHAnsi"/>
          <w:sz w:val="18"/>
          <w:szCs w:val="18"/>
        </w:rPr>
        <w:tab/>
      </w:r>
      <w:r w:rsidRPr="00C808BB">
        <w:rPr>
          <w:rFonts w:asciiTheme="minorHAnsi" w:hAnsiTheme="minorHAnsi"/>
          <w:sz w:val="18"/>
          <w:szCs w:val="18"/>
        </w:rPr>
        <w:tab/>
      </w:r>
      <w:r w:rsidRPr="00C808BB">
        <w:rPr>
          <w:rFonts w:asciiTheme="minorHAnsi" w:hAnsiTheme="minorHAnsi"/>
          <w:sz w:val="18"/>
          <w:szCs w:val="18"/>
        </w:rPr>
        <w:tab/>
        <w:t xml:space="preserve">Liquidación Sociedad Conyugal </w:t>
      </w:r>
    </w:p>
    <w:p w:rsidR="00C808BB" w:rsidRPr="00C808BB" w:rsidRDefault="00C808BB" w:rsidP="00C808BB">
      <w:pPr>
        <w:pStyle w:val="Sinespaciado"/>
        <w:rPr>
          <w:rFonts w:asciiTheme="minorHAnsi" w:hAnsiTheme="minorHAnsi"/>
          <w:sz w:val="18"/>
          <w:szCs w:val="18"/>
        </w:rPr>
      </w:pPr>
      <w:r w:rsidRPr="00C808BB">
        <w:rPr>
          <w:rFonts w:asciiTheme="minorHAnsi" w:hAnsiTheme="minorHAnsi"/>
          <w:sz w:val="18"/>
          <w:szCs w:val="18"/>
        </w:rPr>
        <w:t>Magistrado Ponente:</w:t>
      </w:r>
      <w:r w:rsidRPr="00C808BB">
        <w:rPr>
          <w:rFonts w:asciiTheme="minorHAnsi" w:hAnsiTheme="minorHAnsi"/>
          <w:sz w:val="18"/>
          <w:szCs w:val="18"/>
        </w:rPr>
        <w:tab/>
      </w:r>
      <w:r w:rsidRPr="00C808BB">
        <w:rPr>
          <w:rFonts w:asciiTheme="minorHAnsi" w:hAnsiTheme="minorHAnsi"/>
          <w:sz w:val="18"/>
          <w:szCs w:val="18"/>
        </w:rPr>
        <w:tab/>
        <w:t>JAIME ALBERTO SARAZA NARANJO</w:t>
      </w:r>
    </w:p>
    <w:p w:rsidR="00C808BB" w:rsidRPr="00C808BB" w:rsidRDefault="00C808BB" w:rsidP="00C808BB">
      <w:pPr>
        <w:pStyle w:val="Sinespaciado"/>
        <w:jc w:val="both"/>
        <w:rPr>
          <w:rFonts w:asciiTheme="minorHAnsi" w:hAnsiTheme="minorHAnsi"/>
          <w:sz w:val="18"/>
          <w:szCs w:val="18"/>
        </w:rPr>
      </w:pPr>
    </w:p>
    <w:p w:rsidR="00C808BB" w:rsidRPr="00C808BB" w:rsidRDefault="00C808BB" w:rsidP="00C808BB">
      <w:pPr>
        <w:pStyle w:val="Sinespaciado"/>
        <w:jc w:val="both"/>
        <w:rPr>
          <w:rFonts w:asciiTheme="minorHAnsi" w:hAnsiTheme="minorHAnsi"/>
          <w:sz w:val="18"/>
          <w:szCs w:val="18"/>
        </w:rPr>
      </w:pPr>
    </w:p>
    <w:p w:rsidR="00C808BB" w:rsidRPr="00281BF5" w:rsidRDefault="00C808BB" w:rsidP="00C808BB">
      <w:pPr>
        <w:jc w:val="both"/>
        <w:rPr>
          <w:rFonts w:asciiTheme="minorHAnsi" w:hAnsiTheme="minorHAnsi"/>
          <w:sz w:val="18"/>
          <w:szCs w:val="18"/>
        </w:rPr>
      </w:pPr>
      <w:r w:rsidRPr="00747D37">
        <w:rPr>
          <w:rFonts w:asciiTheme="minorHAnsi" w:hAnsiTheme="minorHAnsi"/>
          <w:b/>
          <w:sz w:val="18"/>
          <w:szCs w:val="18"/>
        </w:rPr>
        <w:t>Tema:</w:t>
      </w:r>
      <w:r w:rsidRPr="00747D37">
        <w:rPr>
          <w:rFonts w:asciiTheme="minorHAnsi" w:hAnsiTheme="minorHAnsi"/>
          <w:b/>
          <w:sz w:val="18"/>
          <w:szCs w:val="18"/>
        </w:rPr>
        <w:tab/>
      </w:r>
      <w:r w:rsidRPr="00747D37">
        <w:rPr>
          <w:rFonts w:asciiTheme="minorHAnsi" w:hAnsiTheme="minorHAnsi"/>
          <w:b/>
          <w:sz w:val="18"/>
          <w:szCs w:val="18"/>
        </w:rPr>
        <w:tab/>
      </w:r>
      <w:r w:rsidRPr="00747D37">
        <w:rPr>
          <w:rFonts w:asciiTheme="minorHAnsi" w:hAnsiTheme="minorHAnsi"/>
          <w:b/>
          <w:sz w:val="18"/>
          <w:szCs w:val="18"/>
        </w:rPr>
        <w:tab/>
      </w:r>
      <w:r w:rsidRPr="00747D37">
        <w:rPr>
          <w:rFonts w:asciiTheme="minorHAnsi" w:hAnsiTheme="minorHAnsi"/>
          <w:b/>
          <w:sz w:val="18"/>
          <w:szCs w:val="18"/>
        </w:rPr>
        <w:tab/>
      </w:r>
      <w:r w:rsidRPr="00747D37">
        <w:rPr>
          <w:rFonts w:asciiTheme="minorHAnsi" w:hAnsiTheme="minorHAnsi"/>
          <w:b/>
          <w:sz w:val="18"/>
          <w:szCs w:val="18"/>
        </w:rPr>
        <w:tab/>
      </w:r>
      <w:r>
        <w:rPr>
          <w:rFonts w:asciiTheme="minorHAnsi" w:hAnsiTheme="minorHAnsi"/>
          <w:b/>
          <w:sz w:val="18"/>
          <w:szCs w:val="18"/>
        </w:rPr>
        <w:t xml:space="preserve">LIQUIDACIÓN SOCIEDAD CONYUGAL / NULIDAD </w:t>
      </w:r>
      <w:proofErr w:type="spellStart"/>
      <w:r>
        <w:rPr>
          <w:rFonts w:asciiTheme="minorHAnsi" w:hAnsiTheme="minorHAnsi"/>
          <w:b/>
          <w:sz w:val="18"/>
          <w:szCs w:val="18"/>
        </w:rPr>
        <w:t>SANEABLE</w:t>
      </w:r>
      <w:proofErr w:type="spellEnd"/>
      <w:r>
        <w:rPr>
          <w:rFonts w:asciiTheme="minorHAnsi" w:hAnsiTheme="minorHAnsi"/>
          <w:b/>
          <w:sz w:val="18"/>
          <w:szCs w:val="18"/>
        </w:rPr>
        <w:t xml:space="preserve"> / </w:t>
      </w:r>
      <w:r w:rsidRPr="00747D37">
        <w:rPr>
          <w:rFonts w:asciiTheme="minorHAnsi" w:hAnsiTheme="minorHAnsi"/>
          <w:b/>
          <w:sz w:val="18"/>
          <w:szCs w:val="18"/>
        </w:rPr>
        <w:t>T</w:t>
      </w:r>
      <w:r>
        <w:rPr>
          <w:rFonts w:asciiTheme="minorHAnsi" w:hAnsiTheme="minorHAnsi"/>
          <w:b/>
          <w:sz w:val="18"/>
          <w:szCs w:val="18"/>
        </w:rPr>
        <w:t xml:space="preserve">RASLADO A LA PARTE CONTRARIA DE LA APELACIÓN DEL AUTO / </w:t>
      </w:r>
      <w:r w:rsidRPr="00281BF5">
        <w:rPr>
          <w:rFonts w:asciiTheme="minorHAnsi" w:hAnsiTheme="minorHAnsi"/>
          <w:sz w:val="18"/>
          <w:szCs w:val="18"/>
        </w:rPr>
        <w:t>“Puestas así las cosas, surge evidente la irregularidad, ya que a la parte demandante no se le dio la oportunidad para pronunciarse respecto a los recursos de apelación presentados, de eso no existe constancia en el expediente.</w:t>
      </w:r>
    </w:p>
    <w:p w:rsidR="00C808BB" w:rsidRPr="00281BF5" w:rsidRDefault="00C808BB" w:rsidP="00C808BB">
      <w:pPr>
        <w:jc w:val="both"/>
        <w:rPr>
          <w:rFonts w:asciiTheme="minorHAnsi" w:hAnsiTheme="minorHAnsi"/>
          <w:sz w:val="18"/>
          <w:szCs w:val="18"/>
        </w:rPr>
      </w:pPr>
      <w:r w:rsidRPr="00281BF5">
        <w:rPr>
          <w:rFonts w:asciiTheme="minorHAnsi" w:hAnsiTheme="minorHAnsi"/>
          <w:sz w:val="18"/>
          <w:szCs w:val="18"/>
        </w:rPr>
        <w:t xml:space="preserve">Ahora bien, como se dijo, la causal de anulación es </w:t>
      </w:r>
      <w:proofErr w:type="spellStart"/>
      <w:r w:rsidRPr="00281BF5">
        <w:rPr>
          <w:rFonts w:asciiTheme="minorHAnsi" w:hAnsiTheme="minorHAnsi"/>
          <w:sz w:val="18"/>
          <w:szCs w:val="18"/>
        </w:rPr>
        <w:t>saneable</w:t>
      </w:r>
      <w:proofErr w:type="spellEnd"/>
      <w:r w:rsidRPr="00281BF5">
        <w:rPr>
          <w:rFonts w:asciiTheme="minorHAnsi" w:hAnsiTheme="minorHAnsi"/>
          <w:sz w:val="18"/>
          <w:szCs w:val="18"/>
        </w:rPr>
        <w:t>, en los términos del artículo 136 del Código General del Proceso y, por tanto, en aplicación del último aparte del inciso 5º del artículo 325 del mismo estatuto en armonía con el artículo 137 ibídem, se dispondrá ponerla en conocimiento del afectado en los términos del artículo 295 (notificación por estado), para que en el término de ejecutoria, se alegue, pues, de lo contrario se entenderá saneada.”</w:t>
      </w:r>
    </w:p>
    <w:p w:rsidR="00C808BB" w:rsidRPr="00343C16" w:rsidRDefault="00C808BB" w:rsidP="00C808BB">
      <w:pPr>
        <w:jc w:val="both"/>
        <w:rPr>
          <w:rFonts w:asciiTheme="minorHAnsi" w:hAnsiTheme="minorHAnsi"/>
          <w:sz w:val="18"/>
          <w:szCs w:val="18"/>
        </w:rPr>
      </w:pPr>
    </w:p>
    <w:p w:rsidR="00C808BB" w:rsidRDefault="00C808BB" w:rsidP="00C808BB">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C808BB" w:rsidRPr="000905F6" w:rsidRDefault="00C808BB" w:rsidP="00C808BB">
      <w:pPr>
        <w:spacing w:line="360" w:lineRule="auto"/>
        <w:jc w:val="center"/>
        <w:rPr>
          <w:rFonts w:ascii="Arial" w:hAnsi="Arial" w:cs="Arial"/>
          <w:bCs/>
          <w:sz w:val="26"/>
          <w:szCs w:val="26"/>
        </w:rPr>
      </w:pPr>
    </w:p>
    <w:p w:rsidR="00C808BB" w:rsidRDefault="00C808BB" w:rsidP="00DC28C9">
      <w:pPr>
        <w:autoSpaceDN w:val="0"/>
        <w:spacing w:after="0" w:line="276" w:lineRule="auto"/>
        <w:jc w:val="both"/>
        <w:outlineLvl w:val="0"/>
        <w:rPr>
          <w:rFonts w:ascii="Gadugi" w:eastAsia="Times New Roman" w:hAnsi="Gadugi" w:cs="Estrangelo Edessa"/>
          <w:b/>
          <w:sz w:val="24"/>
          <w:szCs w:val="24"/>
          <w:lang w:val="es-ES_tradnl" w:eastAsia="es-ES"/>
        </w:rPr>
      </w:pPr>
    </w:p>
    <w:p w:rsidR="00DC28C9" w:rsidRPr="00F876E5" w:rsidRDefault="00DC28C9" w:rsidP="00DC28C9">
      <w:pPr>
        <w:autoSpaceDN w:val="0"/>
        <w:spacing w:after="0" w:line="276" w:lineRule="auto"/>
        <w:jc w:val="both"/>
        <w:outlineLvl w:val="0"/>
        <w:rPr>
          <w:rFonts w:ascii="Gadugi" w:eastAsia="Times New Roman" w:hAnsi="Gadugi" w:cs="Estrangelo Edessa"/>
          <w:b/>
          <w:sz w:val="26"/>
          <w:szCs w:val="26"/>
          <w:lang w:val="es-ES_tradnl" w:eastAsia="es-ES"/>
        </w:rPr>
      </w:pPr>
      <w:r w:rsidRPr="00F876E5">
        <w:rPr>
          <w:rFonts w:ascii="Gadugi" w:eastAsia="Times New Roman" w:hAnsi="Gadugi" w:cs="Estrangelo Edessa"/>
          <w:b/>
          <w:sz w:val="24"/>
          <w:szCs w:val="24"/>
          <w:lang w:val="es-ES_tradnl" w:eastAsia="es-ES"/>
        </w:rPr>
        <w:t xml:space="preserve">  </w:t>
      </w:r>
      <w:r w:rsidRPr="00F876E5">
        <w:rPr>
          <w:rFonts w:ascii="Gadugi" w:eastAsia="Times New Roman" w:hAnsi="Gadugi" w:cs="Estrangelo Edessa"/>
          <w:b/>
          <w:sz w:val="24"/>
          <w:szCs w:val="24"/>
          <w:lang w:val="es-ES_tradnl" w:eastAsia="es-ES"/>
        </w:rPr>
        <w:tab/>
      </w:r>
      <w:r w:rsidRPr="00F876E5">
        <w:rPr>
          <w:rFonts w:ascii="Gadugi" w:eastAsia="Times New Roman" w:hAnsi="Gadugi" w:cs="Estrangelo Edessa"/>
          <w:b/>
          <w:sz w:val="24"/>
          <w:szCs w:val="24"/>
          <w:lang w:val="es-ES_tradnl" w:eastAsia="es-ES"/>
        </w:rPr>
        <w:tab/>
      </w:r>
      <w:r w:rsidRPr="00F876E5">
        <w:rPr>
          <w:rFonts w:ascii="Gadugi" w:eastAsia="Times New Roman" w:hAnsi="Gadugi" w:cs="Estrangelo Edessa"/>
          <w:b/>
          <w:sz w:val="24"/>
          <w:szCs w:val="24"/>
          <w:lang w:val="es-ES_tradnl" w:eastAsia="es-ES"/>
        </w:rPr>
        <w:tab/>
      </w:r>
      <w:r w:rsidRPr="00F876E5">
        <w:rPr>
          <w:rFonts w:ascii="Gadugi" w:eastAsia="Times New Roman" w:hAnsi="Gadugi" w:cs="Estrangelo Edessa"/>
          <w:b/>
          <w:sz w:val="24"/>
          <w:szCs w:val="24"/>
          <w:lang w:val="es-ES_tradnl" w:eastAsia="es-ES"/>
        </w:rPr>
        <w:tab/>
      </w:r>
      <w:r w:rsidRPr="00F876E5">
        <w:rPr>
          <w:rFonts w:ascii="Gadugi" w:eastAsia="Times New Roman" w:hAnsi="Gadugi" w:cs="Estrangelo Edessa"/>
          <w:b/>
          <w:sz w:val="26"/>
          <w:szCs w:val="26"/>
          <w:lang w:val="es-ES_tradnl" w:eastAsia="es-ES"/>
        </w:rPr>
        <w:t>TRIBUNAL SUPERIOR DEL DISTRITO</w:t>
      </w:r>
    </w:p>
    <w:p w:rsidR="00DC28C9" w:rsidRPr="00F876E5" w:rsidRDefault="00DC28C9" w:rsidP="00DC28C9">
      <w:pPr>
        <w:spacing w:after="0" w:line="276" w:lineRule="auto"/>
        <w:ind w:firstLine="2835"/>
        <w:jc w:val="both"/>
        <w:outlineLvl w:val="0"/>
        <w:rPr>
          <w:rFonts w:ascii="Gadugi" w:eastAsia="Times New Roman" w:hAnsi="Gadugi" w:cs="Estrangelo Edessa"/>
          <w:b/>
          <w:sz w:val="26"/>
          <w:szCs w:val="26"/>
          <w:lang w:val="es-ES" w:eastAsia="es-ES"/>
        </w:rPr>
      </w:pPr>
      <w:r w:rsidRPr="00F876E5">
        <w:rPr>
          <w:rFonts w:ascii="Gadugi" w:eastAsia="Times New Roman" w:hAnsi="Gadugi" w:cs="Estrangelo Edessa"/>
          <w:b/>
          <w:sz w:val="26"/>
          <w:szCs w:val="26"/>
          <w:lang w:val="es-ES" w:eastAsia="es-ES"/>
        </w:rPr>
        <w:t xml:space="preserve">    SALA UNITARIA CIVIL-FAMILIA      </w:t>
      </w:r>
    </w:p>
    <w:p w:rsidR="00DC28C9" w:rsidRPr="00F876E5" w:rsidRDefault="00DC28C9" w:rsidP="00DC28C9">
      <w:pPr>
        <w:spacing w:after="0" w:line="276" w:lineRule="auto"/>
        <w:ind w:firstLine="2835"/>
        <w:jc w:val="both"/>
        <w:outlineLvl w:val="0"/>
        <w:rPr>
          <w:rFonts w:ascii="Gadugi" w:eastAsia="Times New Roman" w:hAnsi="Gadugi" w:cs="Estrangelo Edessa"/>
          <w:b/>
          <w:sz w:val="24"/>
          <w:szCs w:val="24"/>
          <w:lang w:val="es-ES" w:eastAsia="es-ES"/>
        </w:rPr>
      </w:pPr>
    </w:p>
    <w:p w:rsidR="00DC28C9" w:rsidRPr="00F876E5" w:rsidRDefault="00DC28C9" w:rsidP="00DC28C9">
      <w:pPr>
        <w:spacing w:after="0" w:line="276" w:lineRule="auto"/>
        <w:ind w:firstLine="2835"/>
        <w:jc w:val="both"/>
        <w:outlineLvl w:val="0"/>
        <w:rPr>
          <w:rFonts w:ascii="Gadugi" w:eastAsia="Times New Roman" w:hAnsi="Gadugi" w:cs="Estrangelo Edessa"/>
          <w:sz w:val="24"/>
          <w:szCs w:val="24"/>
          <w:lang w:val="es-ES" w:eastAsia="es-ES"/>
        </w:rPr>
      </w:pPr>
    </w:p>
    <w:p w:rsidR="00DC28C9" w:rsidRPr="00F876E5" w:rsidRDefault="00DC28C9" w:rsidP="00DC28C9">
      <w:pPr>
        <w:spacing w:after="0" w:line="276" w:lineRule="auto"/>
        <w:ind w:firstLine="2835"/>
        <w:jc w:val="both"/>
        <w:outlineLvl w:val="0"/>
        <w:rPr>
          <w:rFonts w:ascii="Gadugi" w:eastAsia="Times New Roman" w:hAnsi="Gadugi" w:cs="Estrangelo Edessa"/>
          <w:sz w:val="24"/>
          <w:szCs w:val="24"/>
          <w:lang w:val="es-ES" w:eastAsia="es-ES"/>
        </w:rPr>
      </w:pPr>
      <w:r w:rsidRPr="00F876E5">
        <w:rPr>
          <w:rFonts w:ascii="Gadugi" w:eastAsia="Times New Roman" w:hAnsi="Gadugi" w:cs="Estrangelo Edessa"/>
          <w:sz w:val="24"/>
          <w:szCs w:val="24"/>
          <w:lang w:val="es-ES" w:eastAsia="es-ES"/>
        </w:rPr>
        <w:t>Magistrado: Jaime Alberto Saraza Naranjo</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ES" w:eastAsia="es-ES"/>
        </w:rPr>
      </w:pPr>
      <w:r w:rsidRPr="00F876E5">
        <w:rPr>
          <w:rFonts w:ascii="Gadugi" w:eastAsia="Times New Roman" w:hAnsi="Gadugi" w:cs="Estrangelo Edessa"/>
          <w:sz w:val="24"/>
          <w:szCs w:val="24"/>
          <w:lang w:val="es-ES" w:eastAsia="es-ES"/>
        </w:rPr>
        <w:t xml:space="preserve">Pereira, octubre diecinueve de dos mil dieciséis </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ES" w:eastAsia="es-ES"/>
        </w:rPr>
      </w:pPr>
      <w:r w:rsidRPr="00F876E5">
        <w:rPr>
          <w:rFonts w:ascii="Gadugi" w:eastAsia="Times New Roman" w:hAnsi="Gadugi" w:cs="Estrangelo Edessa"/>
          <w:sz w:val="24"/>
          <w:szCs w:val="24"/>
          <w:lang w:val="es-ES" w:eastAsia="es-ES"/>
        </w:rPr>
        <w:t>Expediente: 66001-31-03-001-2014-00693-01</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ES"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ES" w:eastAsia="es-ES"/>
        </w:rPr>
      </w:pPr>
      <w:r w:rsidRPr="00F876E5">
        <w:rPr>
          <w:rFonts w:ascii="Gadugi" w:eastAsia="Times New Roman" w:hAnsi="Gadugi" w:cs="Estrangelo Edessa"/>
          <w:sz w:val="24"/>
          <w:szCs w:val="24"/>
          <w:lang w:val="es-ES" w:eastAsia="es-ES"/>
        </w:rPr>
        <w:t xml:space="preserve"> </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ES" w:eastAsia="es-ES"/>
        </w:rPr>
      </w:pPr>
      <w:r w:rsidRPr="00F876E5">
        <w:rPr>
          <w:rFonts w:ascii="Gadugi" w:eastAsia="Times New Roman" w:hAnsi="Gadugi" w:cs="Estrangelo Edessa"/>
          <w:sz w:val="24"/>
          <w:szCs w:val="24"/>
          <w:lang w:val="es-ES" w:eastAsia="es-ES"/>
        </w:rPr>
        <w:t xml:space="preserve">Efectuado el examen preliminar que manda el artículo 325 del Código General del Proceso en este proceso de liquidación de sociedad conyugal iniciado por </w:t>
      </w:r>
      <w:r w:rsidRPr="00F876E5">
        <w:rPr>
          <w:rFonts w:ascii="Gadugi" w:eastAsia="Times New Roman" w:hAnsi="Gadugi" w:cs="Estrangelo Edessa"/>
          <w:b/>
          <w:sz w:val="24"/>
          <w:szCs w:val="24"/>
          <w:lang w:val="es-ES" w:eastAsia="es-ES"/>
        </w:rPr>
        <w:t xml:space="preserve">Luis Javier Castañeda Chávez </w:t>
      </w:r>
      <w:r w:rsidRPr="00F876E5">
        <w:rPr>
          <w:rFonts w:ascii="Gadugi" w:eastAsia="Times New Roman" w:hAnsi="Gadugi" w:cs="Estrangelo Edessa"/>
          <w:sz w:val="24"/>
          <w:szCs w:val="24"/>
          <w:lang w:val="es-ES" w:eastAsia="es-ES"/>
        </w:rPr>
        <w:t xml:space="preserve">frente a </w:t>
      </w:r>
      <w:r w:rsidRPr="00F876E5">
        <w:rPr>
          <w:rFonts w:ascii="Gadugi" w:eastAsia="Times New Roman" w:hAnsi="Gadugi" w:cs="Estrangelo Edessa"/>
          <w:b/>
          <w:sz w:val="24"/>
          <w:szCs w:val="24"/>
          <w:lang w:val="es-ES" w:eastAsia="es-ES"/>
        </w:rPr>
        <w:t xml:space="preserve">María Inés Hernández Silva, </w:t>
      </w:r>
      <w:r w:rsidRPr="00F876E5">
        <w:rPr>
          <w:rFonts w:ascii="Gadugi" w:eastAsia="Times New Roman" w:hAnsi="Gadugi" w:cs="Estrangelo Edessa"/>
          <w:sz w:val="24"/>
          <w:szCs w:val="24"/>
          <w:lang w:val="es-ES" w:eastAsia="es-ES"/>
        </w:rPr>
        <w:t xml:space="preserve">se advierte la presencia de una causal de nulidad, de suyo </w:t>
      </w:r>
      <w:proofErr w:type="spellStart"/>
      <w:r w:rsidRPr="00F876E5">
        <w:rPr>
          <w:rFonts w:ascii="Gadugi" w:eastAsia="Times New Roman" w:hAnsi="Gadugi" w:cs="Estrangelo Edessa"/>
          <w:sz w:val="24"/>
          <w:szCs w:val="24"/>
          <w:lang w:val="es-ES" w:eastAsia="es-ES"/>
        </w:rPr>
        <w:t>saneable</w:t>
      </w:r>
      <w:proofErr w:type="spellEnd"/>
      <w:r w:rsidRPr="00F876E5">
        <w:rPr>
          <w:rFonts w:ascii="Gadugi" w:eastAsia="Times New Roman" w:hAnsi="Gadugi" w:cs="Estrangelo Edessa"/>
          <w:sz w:val="24"/>
          <w:szCs w:val="24"/>
          <w:lang w:val="es-ES" w:eastAsia="es-ES"/>
        </w:rPr>
        <w:t>, que impide continuar con el desarrollo de la instancia, hasta tanto sea puesta en conocimiento de la persona afectada, para los fines que adelante se precisarán.</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i/>
          <w:iCs/>
          <w:sz w:val="24"/>
          <w:szCs w:val="24"/>
          <w:lang w:val="es-MX" w:eastAsia="es-ES"/>
        </w:rPr>
      </w:pPr>
      <w:r w:rsidRPr="00F876E5">
        <w:rPr>
          <w:rFonts w:ascii="Gadugi" w:eastAsia="Times New Roman" w:hAnsi="Gadugi" w:cs="Estrangelo Edessa"/>
          <w:sz w:val="24"/>
          <w:szCs w:val="24"/>
          <w:lang w:val="es-MX" w:eastAsia="es-ES"/>
        </w:rPr>
        <w:t xml:space="preserve">En efecto, el artículo 133 del Código General del Proceso, prevé en su numeral 6º que el proceso es nulo </w:t>
      </w:r>
      <w:r w:rsidRPr="00F876E5">
        <w:rPr>
          <w:rFonts w:ascii="Gadugi" w:eastAsia="Times New Roman" w:hAnsi="Gadugi" w:cs="Estrangelo Edessa"/>
          <w:i/>
          <w:iCs/>
          <w:sz w:val="24"/>
          <w:szCs w:val="24"/>
          <w:lang w:val="es-MX" w:eastAsia="es-ES"/>
        </w:rPr>
        <w:t>“Cuando se omita la oportunidad para alegar de conclusión o para sustentar un recurso o descorrer su traslado”.</w:t>
      </w:r>
    </w:p>
    <w:p w:rsidR="00DC28C9" w:rsidRPr="00F876E5" w:rsidRDefault="00DC28C9" w:rsidP="00DC28C9">
      <w:pPr>
        <w:spacing w:after="0" w:line="276" w:lineRule="auto"/>
        <w:ind w:firstLine="2835"/>
        <w:jc w:val="both"/>
        <w:rPr>
          <w:rFonts w:ascii="Gadugi" w:eastAsia="Times New Roman" w:hAnsi="Gadugi" w:cs="Estrangelo Edessa"/>
          <w:i/>
          <w:iCs/>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En este caso se tiene lo siguiente: </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Mediante autos del pasado 26 de julio y 3 de agosto se </w:t>
      </w:r>
      <w:r w:rsidRPr="00F876E5">
        <w:rPr>
          <w:rFonts w:ascii="Gadugi" w:eastAsia="Times New Roman" w:hAnsi="Gadugi" w:cs="Estrangelo Edessa"/>
          <w:sz w:val="24"/>
          <w:szCs w:val="24"/>
          <w:lang w:val="es-419" w:eastAsia="es-ES"/>
        </w:rPr>
        <w:t>dispuso</w:t>
      </w:r>
      <w:r w:rsidRPr="00F876E5">
        <w:rPr>
          <w:rFonts w:ascii="Gadugi" w:eastAsia="Times New Roman" w:hAnsi="Gadugi" w:cs="Estrangelo Edessa"/>
          <w:sz w:val="24"/>
          <w:szCs w:val="24"/>
          <w:lang w:val="es-MX" w:eastAsia="es-ES"/>
        </w:rPr>
        <w:t xml:space="preserve">, en su orden, negar el levantamiento de las medidas cautelares que recaen sobre los bienes inmuebles de propiedad de la demandada y </w:t>
      </w:r>
      <w:r w:rsidRPr="00F876E5">
        <w:rPr>
          <w:rFonts w:ascii="Gadugi" w:eastAsia="Times New Roman" w:hAnsi="Gadugi" w:cs="Estrangelo Edessa"/>
          <w:sz w:val="24"/>
          <w:szCs w:val="24"/>
          <w:lang w:val="es-419" w:eastAsia="es-ES"/>
        </w:rPr>
        <w:t>l</w:t>
      </w:r>
      <w:proofErr w:type="spellStart"/>
      <w:r w:rsidRPr="00F876E5">
        <w:rPr>
          <w:rFonts w:ascii="Gadugi" w:eastAsia="Times New Roman" w:hAnsi="Gadugi" w:cs="Estrangelo Edessa"/>
          <w:sz w:val="24"/>
          <w:szCs w:val="24"/>
          <w:lang w:val="es-MX" w:eastAsia="es-ES"/>
        </w:rPr>
        <w:t>evantar</w:t>
      </w:r>
      <w:proofErr w:type="spellEnd"/>
      <w:r w:rsidRPr="00F876E5">
        <w:rPr>
          <w:rFonts w:ascii="Gadugi" w:eastAsia="Times New Roman" w:hAnsi="Gadugi" w:cs="Estrangelo Edessa"/>
          <w:sz w:val="24"/>
          <w:szCs w:val="24"/>
          <w:lang w:val="es-MX" w:eastAsia="es-ES"/>
        </w:rPr>
        <w:t xml:space="preserve"> la medida de embargo que pesa sobre el vehículo automotor con placas MUY 557</w:t>
      </w:r>
      <w:r w:rsidRPr="00F876E5">
        <w:rPr>
          <w:rFonts w:ascii="Gadugi" w:eastAsia="Times New Roman" w:hAnsi="Gadugi" w:cs="Estrangelo Edessa"/>
          <w:sz w:val="24"/>
          <w:szCs w:val="24"/>
          <w:lang w:val="es-419" w:eastAsia="es-ES"/>
        </w:rPr>
        <w:t>,</w:t>
      </w:r>
      <w:r w:rsidRPr="00F876E5">
        <w:rPr>
          <w:rFonts w:ascii="Gadugi" w:eastAsia="Times New Roman" w:hAnsi="Gadugi" w:cs="Estrangelo Edessa"/>
          <w:sz w:val="24"/>
          <w:szCs w:val="24"/>
          <w:lang w:val="es-MX" w:eastAsia="es-ES"/>
        </w:rPr>
        <w:t xml:space="preserve"> debido a que fue adquirido después de la vigencia de la sociedad patrimonial entre compañeros permanentes.</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Contra estas decisiones la abogada de la parte demandada presentó recurso de reposición y en subsidio apelación con fundamento en que, en cuanto a la primera, “… fue necesario que mi clienta avocara a esta insolvencia, pues su baja económica se debió al endeudamiento en que incurrió, estando vigente la unión marital de hecho, en donde el demandante también es un codeudor, por lo que también debe responder por las acreencias adquiridas por mi mandante.” Y</w:t>
      </w:r>
      <w:r w:rsidRPr="00F876E5">
        <w:rPr>
          <w:rFonts w:ascii="Gadugi" w:eastAsia="Times New Roman" w:hAnsi="Gadugi" w:cs="Estrangelo Edessa"/>
          <w:sz w:val="24"/>
          <w:szCs w:val="24"/>
          <w:lang w:val="es-419" w:eastAsia="es-ES"/>
        </w:rPr>
        <w:t xml:space="preserve"> respecto de </w:t>
      </w:r>
      <w:r w:rsidRPr="00F876E5">
        <w:rPr>
          <w:rFonts w:ascii="Gadugi" w:eastAsia="Times New Roman" w:hAnsi="Gadugi" w:cs="Estrangelo Edessa"/>
          <w:sz w:val="24"/>
          <w:szCs w:val="24"/>
          <w:lang w:val="es-MX" w:eastAsia="es-ES"/>
        </w:rPr>
        <w:t xml:space="preserve">la segunda, alega que no es procedente el incidente, dado que “… la normatividad ya referida, está dando las razones para su inoperancia, pues está </w:t>
      </w:r>
      <w:proofErr w:type="spellStart"/>
      <w:r w:rsidRPr="00F876E5">
        <w:rPr>
          <w:rFonts w:ascii="Gadugi" w:eastAsia="Times New Roman" w:hAnsi="Gadugi" w:cs="Estrangelo Edessa"/>
          <w:sz w:val="24"/>
          <w:szCs w:val="24"/>
          <w:lang w:val="es-MX" w:eastAsia="es-ES"/>
        </w:rPr>
        <w:t>precluido</w:t>
      </w:r>
      <w:proofErr w:type="spellEnd"/>
      <w:r w:rsidRPr="00F876E5">
        <w:rPr>
          <w:rFonts w:ascii="Gadugi" w:eastAsia="Times New Roman" w:hAnsi="Gadugi" w:cs="Estrangelo Edessa"/>
          <w:sz w:val="24"/>
          <w:szCs w:val="24"/>
          <w:lang w:val="es-MX" w:eastAsia="es-ES"/>
        </w:rPr>
        <w:t xml:space="preserve"> el término para promoverlo, pues ya la medida solicitada y decretada fue un acto procesal que tuvo la contraparte su oportunidad de solicitar se levantara; pero esta guardó silencio en ese momento procesal.” </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b/>
          <w:sz w:val="24"/>
          <w:szCs w:val="24"/>
          <w:lang w:val="es-MX" w:eastAsia="es-ES"/>
        </w:rPr>
      </w:pPr>
      <w:r w:rsidRPr="00F876E5">
        <w:rPr>
          <w:rFonts w:ascii="Gadugi" w:eastAsia="Times New Roman" w:hAnsi="Gadugi" w:cs="Estrangelo Edessa"/>
          <w:sz w:val="24"/>
          <w:szCs w:val="24"/>
          <w:lang w:val="es-MX" w:eastAsia="es-ES"/>
        </w:rPr>
        <w:t xml:space="preserve">Como no se repusieron las decisiones, en el efecto diferido se concedieron los subsidiarios recursos de apelación, y se remitió el proceso sin más actuaciones. </w:t>
      </w:r>
    </w:p>
    <w:p w:rsidR="00DC28C9" w:rsidRPr="00F876E5" w:rsidRDefault="00DC28C9" w:rsidP="00DC28C9">
      <w:pPr>
        <w:spacing w:after="0" w:line="276" w:lineRule="auto"/>
        <w:ind w:firstLine="2835"/>
        <w:jc w:val="both"/>
        <w:rPr>
          <w:rFonts w:ascii="Gadugi" w:eastAsia="Times New Roman" w:hAnsi="Gadugi" w:cs="Estrangelo Edessa"/>
          <w:b/>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419" w:eastAsia="es-ES"/>
        </w:rPr>
        <w:t xml:space="preserve">Al observar </w:t>
      </w:r>
      <w:r w:rsidRPr="00F876E5">
        <w:rPr>
          <w:rFonts w:ascii="Gadugi" w:eastAsia="Times New Roman" w:hAnsi="Gadugi" w:cs="Estrangelo Edessa"/>
          <w:sz w:val="24"/>
          <w:szCs w:val="24"/>
          <w:lang w:val="es-MX" w:eastAsia="es-ES"/>
        </w:rPr>
        <w:t>este derrotero, surge con toda claridad que en el trámite del recurso se pasó por alto un requisito que trae el Código General del Proceso para cuando de apelación de autos se trata, codificación que, valga decir, es la aplicable al presente asunto debido a que es una actuación que surgió en vigencia del nuevo estatuto procesal y por mandato del inciso 6º</w:t>
      </w:r>
      <w:r w:rsidRPr="00F876E5">
        <w:rPr>
          <w:rStyle w:val="Refdenotaalpie"/>
          <w:rFonts w:ascii="Gadugi" w:eastAsia="Times New Roman" w:hAnsi="Gadugi" w:cs="Estrangelo Edessa"/>
          <w:sz w:val="24"/>
          <w:szCs w:val="24"/>
          <w:lang w:val="es-MX" w:eastAsia="es-ES"/>
        </w:rPr>
        <w:footnoteReference w:id="1"/>
      </w:r>
      <w:r w:rsidRPr="00F876E5">
        <w:rPr>
          <w:rFonts w:ascii="Gadugi" w:eastAsia="Times New Roman" w:hAnsi="Gadugi" w:cs="Estrangelo Edessa"/>
          <w:sz w:val="24"/>
          <w:szCs w:val="24"/>
          <w:lang w:val="es-MX" w:eastAsia="es-ES"/>
        </w:rPr>
        <w:t xml:space="preserve"> del artículo 625 del </w:t>
      </w:r>
      <w:proofErr w:type="spellStart"/>
      <w:r w:rsidRPr="00F876E5">
        <w:rPr>
          <w:rFonts w:ascii="Gadugi" w:eastAsia="Times New Roman" w:hAnsi="Gadugi" w:cs="Estrangelo Edessa"/>
          <w:sz w:val="24"/>
          <w:szCs w:val="24"/>
          <w:lang w:val="es-MX" w:eastAsia="es-ES"/>
        </w:rPr>
        <w:t>CGP</w:t>
      </w:r>
      <w:proofErr w:type="spellEnd"/>
      <w:r w:rsidRPr="00F876E5">
        <w:rPr>
          <w:rFonts w:ascii="Gadugi" w:eastAsia="Times New Roman" w:hAnsi="Gadugi" w:cs="Estrangelo Edessa"/>
          <w:sz w:val="24"/>
          <w:szCs w:val="24"/>
          <w:lang w:val="es-MX" w:eastAsia="es-ES"/>
        </w:rPr>
        <w:t xml:space="preserve"> que remite al inciso 5º</w:t>
      </w:r>
      <w:r w:rsidRPr="00F876E5">
        <w:rPr>
          <w:rStyle w:val="Refdenotaalpie"/>
          <w:rFonts w:ascii="Gadugi" w:eastAsia="Times New Roman" w:hAnsi="Gadugi" w:cs="Estrangelo Edessa"/>
          <w:sz w:val="24"/>
          <w:szCs w:val="24"/>
          <w:lang w:val="es-MX" w:eastAsia="es-ES"/>
        </w:rPr>
        <w:footnoteReference w:id="2"/>
      </w:r>
      <w:r w:rsidRPr="00F876E5">
        <w:rPr>
          <w:rFonts w:ascii="Gadugi" w:eastAsia="Times New Roman" w:hAnsi="Gadugi" w:cs="Estrangelo Edessa"/>
          <w:sz w:val="24"/>
          <w:szCs w:val="24"/>
          <w:lang w:val="es-MX" w:eastAsia="es-ES"/>
        </w:rPr>
        <w:t xml:space="preserve"> del citado artículo, el proceso se sigue conforme a las reglas de la nueva codificación.</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autoSpaceDN w:val="0"/>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lastRenderedPageBreak/>
        <w:t>En efecto: referente a las apelaciones de autos, el artículo 326 ibídem orienta que “…, del escrito de sustentación se dará traslado a la parte contraria en la forma y por el término previsto en el inciso segundo del artículo 110, si fueren varios los recursos sustentados, el traslado será conjunto y común. Vencido el traslado se enviará el expediente o sus copias al superior.”</w:t>
      </w:r>
    </w:p>
    <w:p w:rsidR="00DC28C9" w:rsidRPr="00F876E5" w:rsidRDefault="00DC28C9" w:rsidP="00DC28C9">
      <w:pPr>
        <w:autoSpaceDN w:val="0"/>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autoSpaceDN w:val="0"/>
        <w:spacing w:after="0" w:line="276" w:lineRule="auto"/>
        <w:ind w:firstLine="2835"/>
        <w:jc w:val="both"/>
        <w:rPr>
          <w:rFonts w:ascii="Gadugi" w:eastAsia="Times New Roman" w:hAnsi="Gadugi"/>
          <w:sz w:val="24"/>
          <w:szCs w:val="24"/>
          <w:lang w:val="es-MX" w:eastAsia="es-ES"/>
        </w:rPr>
      </w:pPr>
      <w:r w:rsidRPr="00F876E5">
        <w:rPr>
          <w:rFonts w:ascii="Gadugi" w:eastAsia="Times New Roman" w:hAnsi="Gadugi" w:cs="Estrangelo Edessa"/>
          <w:sz w:val="24"/>
          <w:szCs w:val="24"/>
          <w:lang w:val="es-MX" w:eastAsia="es-ES"/>
        </w:rPr>
        <w:t>Lo que significa que una vez se presenta el recurso de apelación, la parte debe sustentarlo y en ese caso del escrito se dará traslado a la parte contraria en la forma y término que prevé el artículo 110</w:t>
      </w:r>
      <w:r w:rsidRPr="00F876E5">
        <w:rPr>
          <w:rFonts w:ascii="Gadugi" w:eastAsia="Times New Roman" w:hAnsi="Gadugi" w:cs="Estrangelo Edessa"/>
          <w:sz w:val="24"/>
          <w:szCs w:val="24"/>
          <w:vertAlign w:val="superscript"/>
          <w:lang w:val="es-MX" w:eastAsia="es-ES"/>
        </w:rPr>
        <w:footnoteReference w:id="3"/>
      </w:r>
      <w:r w:rsidRPr="00F876E5">
        <w:rPr>
          <w:rFonts w:ascii="Gadugi" w:eastAsia="Times New Roman" w:hAnsi="Gadugi" w:cs="Estrangelo Edessa"/>
          <w:sz w:val="24"/>
          <w:szCs w:val="24"/>
          <w:lang w:val="es-MX" w:eastAsia="es-ES"/>
        </w:rPr>
        <w:t xml:space="preserve"> del Código General del Proceso, traslado que brilla por su ausencia en el presente trámite, pues, simple y llanamente, se resolvieron las reposiciones, se concedieron los recursos y sin más miramientos se remitió a esta Corporación el proceso. </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Puestas así las cosas, surge evidente la irregularidad, ya que a la parte demandante no se le dio la oportunidad para pronunciarse respecto a los recursos de apelación presentados, de eso no existe constancia en el expediente.</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Ahora bien, como se dijo, la causal de anulación es </w:t>
      </w:r>
      <w:proofErr w:type="spellStart"/>
      <w:r w:rsidRPr="00F876E5">
        <w:rPr>
          <w:rFonts w:ascii="Gadugi" w:eastAsia="Times New Roman" w:hAnsi="Gadugi" w:cs="Estrangelo Edessa"/>
          <w:sz w:val="24"/>
          <w:szCs w:val="24"/>
          <w:lang w:val="es-MX" w:eastAsia="es-ES"/>
        </w:rPr>
        <w:t>saneable</w:t>
      </w:r>
      <w:proofErr w:type="spellEnd"/>
      <w:r w:rsidRPr="00F876E5">
        <w:rPr>
          <w:rFonts w:ascii="Gadugi" w:eastAsia="Times New Roman" w:hAnsi="Gadugi" w:cs="Estrangelo Edessa"/>
          <w:sz w:val="24"/>
          <w:szCs w:val="24"/>
          <w:lang w:val="es-MX" w:eastAsia="es-ES"/>
        </w:rPr>
        <w:t>, en los términos del artículo 136 del Código General del Proceso y, por tanto, en aplicación del último aparte del inciso 5º del artículo 325</w:t>
      </w:r>
      <w:r w:rsidRPr="00F876E5">
        <w:rPr>
          <w:rFonts w:ascii="Gadugi" w:eastAsia="Times New Roman" w:hAnsi="Gadugi" w:cs="Estrangelo Edessa"/>
          <w:sz w:val="24"/>
          <w:szCs w:val="24"/>
          <w:vertAlign w:val="superscript"/>
          <w:lang w:val="es-MX" w:eastAsia="es-ES"/>
        </w:rPr>
        <w:footnoteReference w:id="4"/>
      </w:r>
      <w:r w:rsidRPr="00F876E5">
        <w:rPr>
          <w:rFonts w:ascii="Gadugi" w:eastAsia="Times New Roman" w:hAnsi="Gadugi" w:cs="Estrangelo Edessa"/>
          <w:sz w:val="24"/>
          <w:szCs w:val="24"/>
          <w:lang w:val="es-MX" w:eastAsia="es-ES"/>
        </w:rPr>
        <w:t xml:space="preserve"> del mismo estatuto en armonía con el artículo 137</w:t>
      </w:r>
      <w:r w:rsidRPr="00F876E5">
        <w:rPr>
          <w:rFonts w:ascii="Gadugi" w:eastAsia="Times New Roman" w:hAnsi="Gadugi" w:cs="Estrangelo Edessa"/>
          <w:sz w:val="24"/>
          <w:szCs w:val="24"/>
          <w:vertAlign w:val="superscript"/>
          <w:lang w:val="es-MX" w:eastAsia="es-ES"/>
        </w:rPr>
        <w:footnoteReference w:id="5"/>
      </w:r>
      <w:r w:rsidRPr="00F876E5">
        <w:rPr>
          <w:rFonts w:ascii="Gadugi" w:eastAsia="Times New Roman" w:hAnsi="Gadugi" w:cs="Estrangelo Edessa"/>
          <w:sz w:val="24"/>
          <w:szCs w:val="24"/>
          <w:lang w:val="es-MX" w:eastAsia="es-ES"/>
        </w:rPr>
        <w:t xml:space="preserve"> ibídem, se dispondrá ponerla en conocimiento del afectado en los términos del artículo 295 (notificación por estado), para que en el término de ejecutoria, se alegue, pues, de lo contrario se entenderá saneada. </w:t>
      </w: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En armonía con lo dicho, esta Sala Unitaria Civil-Familia, del Tribunal Superior de Pereira, </w:t>
      </w:r>
    </w:p>
    <w:p w:rsidR="00DC28C9" w:rsidRPr="00F876E5" w:rsidRDefault="00DC28C9" w:rsidP="00DC28C9">
      <w:pPr>
        <w:spacing w:after="0" w:line="276" w:lineRule="auto"/>
        <w:jc w:val="both"/>
        <w:rPr>
          <w:rFonts w:ascii="Gadugi" w:eastAsia="Times New Roman" w:hAnsi="Gadugi" w:cs="Estrangelo Edessa"/>
          <w:b/>
          <w:bCs/>
          <w:sz w:val="24"/>
          <w:szCs w:val="24"/>
          <w:lang w:val="es-MX" w:eastAsia="es-ES"/>
        </w:rPr>
      </w:pPr>
    </w:p>
    <w:p w:rsidR="00DC28C9" w:rsidRPr="00F876E5" w:rsidRDefault="00DC28C9" w:rsidP="00DC28C9">
      <w:pPr>
        <w:spacing w:after="0" w:line="276" w:lineRule="auto"/>
        <w:jc w:val="both"/>
        <w:rPr>
          <w:rFonts w:ascii="Gadugi" w:eastAsia="Times New Roman" w:hAnsi="Gadugi" w:cs="Estrangelo Edessa"/>
          <w:b/>
          <w:bCs/>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b/>
          <w:bCs/>
          <w:sz w:val="24"/>
          <w:szCs w:val="24"/>
          <w:lang w:val="es-MX" w:eastAsia="es-ES"/>
        </w:rPr>
      </w:pPr>
      <w:r w:rsidRPr="00F876E5">
        <w:rPr>
          <w:rFonts w:ascii="Gadugi" w:eastAsia="Times New Roman" w:hAnsi="Gadugi" w:cs="Estrangelo Edessa"/>
          <w:b/>
          <w:bCs/>
          <w:sz w:val="24"/>
          <w:szCs w:val="24"/>
          <w:lang w:val="es-MX" w:eastAsia="es-ES"/>
        </w:rPr>
        <w:lastRenderedPageBreak/>
        <w:t>RESUELVE:</w:t>
      </w: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ind w:firstLine="2835"/>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Póngase en conocimiento de la parte demandante, señor </w:t>
      </w:r>
      <w:r w:rsidRPr="00F876E5">
        <w:rPr>
          <w:rFonts w:ascii="Gadugi" w:eastAsia="Times New Roman" w:hAnsi="Gadugi" w:cs="Estrangelo Edessa"/>
          <w:b/>
          <w:sz w:val="24"/>
          <w:szCs w:val="24"/>
          <w:lang w:val="es-MX" w:eastAsia="es-ES"/>
        </w:rPr>
        <w:t>Luis Javier Castañeda Chávez</w:t>
      </w:r>
      <w:r w:rsidRPr="00F876E5">
        <w:rPr>
          <w:rFonts w:ascii="Gadugi" w:eastAsia="Times New Roman" w:hAnsi="Gadugi" w:cs="Estrangelo Edessa"/>
          <w:sz w:val="24"/>
          <w:szCs w:val="24"/>
          <w:lang w:val="es-MX" w:eastAsia="es-ES"/>
        </w:rPr>
        <w:t>, la causal de nulidad que viene afectando el proceso, descrita en la parte motiva de esta decisión, para que en el término de tres días, contados a partir del siguiente al de la notificación de este auto por estado la aleguen,</w:t>
      </w:r>
      <w:r w:rsidRPr="00F876E5">
        <w:rPr>
          <w:rFonts w:ascii="Gadugi" w:hAnsi="Gadugi" w:cs="Estrangelo Edessa"/>
          <w:sz w:val="24"/>
          <w:szCs w:val="24"/>
          <w:lang w:val="es-MX"/>
        </w:rPr>
        <w:t xml:space="preserve"> </w:t>
      </w:r>
      <w:r w:rsidRPr="00F876E5">
        <w:rPr>
          <w:rFonts w:ascii="Gadugi" w:eastAsia="Times New Roman" w:hAnsi="Gadugi" w:cs="Estrangelo Edessa"/>
          <w:sz w:val="24"/>
          <w:szCs w:val="24"/>
          <w:lang w:val="es-MX" w:eastAsia="es-ES"/>
        </w:rPr>
        <w:t xml:space="preserve">pues de no hacerlo, se entenderá saneada. </w:t>
      </w: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  </w:t>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  </w:t>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t>Notifíquese</w:t>
      </w: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r w:rsidRPr="00F876E5">
        <w:rPr>
          <w:rFonts w:ascii="Gadugi" w:eastAsia="Times New Roman" w:hAnsi="Gadugi" w:cs="Estrangelo Edessa"/>
          <w:sz w:val="24"/>
          <w:szCs w:val="24"/>
          <w:lang w:val="es-MX" w:eastAsia="es-ES"/>
        </w:rPr>
        <w:t xml:space="preserve">   </w:t>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r>
      <w:r w:rsidRPr="00F876E5">
        <w:rPr>
          <w:rFonts w:ascii="Gadugi" w:eastAsia="Times New Roman" w:hAnsi="Gadugi" w:cs="Estrangelo Edessa"/>
          <w:sz w:val="24"/>
          <w:szCs w:val="24"/>
          <w:lang w:val="es-MX" w:eastAsia="es-ES"/>
        </w:rPr>
        <w:tab/>
        <w:t>El Magistrado,</w:t>
      </w:r>
    </w:p>
    <w:p w:rsidR="00DC28C9" w:rsidRDefault="00DC28C9" w:rsidP="00DC28C9">
      <w:pPr>
        <w:spacing w:after="0" w:line="276" w:lineRule="auto"/>
        <w:jc w:val="both"/>
        <w:rPr>
          <w:rFonts w:ascii="Gadugi" w:eastAsia="Times New Roman" w:hAnsi="Gadugi" w:cs="Estrangelo Edessa"/>
          <w:sz w:val="24"/>
          <w:szCs w:val="24"/>
          <w:lang w:val="es-MX" w:eastAsia="es-ES"/>
        </w:rPr>
      </w:pP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p>
    <w:p w:rsidR="00DC28C9" w:rsidRPr="00F876E5" w:rsidRDefault="00DC28C9" w:rsidP="00DC28C9">
      <w:pPr>
        <w:keepNext/>
        <w:spacing w:before="240" w:after="60" w:line="276" w:lineRule="auto"/>
        <w:outlineLvl w:val="2"/>
        <w:rPr>
          <w:rFonts w:ascii="Gadugi" w:eastAsia="Times New Roman" w:hAnsi="Gadugi" w:cs="Estrangelo Edessa"/>
          <w:b/>
          <w:bCs/>
          <w:sz w:val="24"/>
          <w:szCs w:val="24"/>
          <w:lang w:val="es-ES" w:eastAsia="es-ES"/>
        </w:rPr>
      </w:pPr>
      <w:r w:rsidRPr="00F876E5">
        <w:rPr>
          <w:rFonts w:ascii="Gadugi" w:eastAsia="Times New Roman" w:hAnsi="Gadugi" w:cs="Estrangelo Edessa"/>
          <w:b/>
          <w:bCs/>
          <w:sz w:val="24"/>
          <w:szCs w:val="24"/>
          <w:lang w:val="es-ES" w:eastAsia="es-ES"/>
        </w:rPr>
        <w:t xml:space="preserve">  </w:t>
      </w:r>
      <w:r w:rsidRPr="00F876E5">
        <w:rPr>
          <w:rFonts w:ascii="Gadugi" w:eastAsia="Times New Roman" w:hAnsi="Gadugi" w:cs="Estrangelo Edessa"/>
          <w:b/>
          <w:bCs/>
          <w:sz w:val="24"/>
          <w:szCs w:val="24"/>
          <w:lang w:val="es-ES" w:eastAsia="es-ES"/>
        </w:rPr>
        <w:tab/>
      </w:r>
      <w:r w:rsidRPr="00F876E5">
        <w:rPr>
          <w:rFonts w:ascii="Gadugi" w:eastAsia="Times New Roman" w:hAnsi="Gadugi" w:cs="Estrangelo Edessa"/>
          <w:b/>
          <w:bCs/>
          <w:sz w:val="24"/>
          <w:szCs w:val="24"/>
          <w:lang w:val="es-ES" w:eastAsia="es-ES"/>
        </w:rPr>
        <w:tab/>
      </w:r>
      <w:r w:rsidRPr="00F876E5">
        <w:rPr>
          <w:rFonts w:ascii="Gadugi" w:eastAsia="Times New Roman" w:hAnsi="Gadugi" w:cs="Estrangelo Edessa"/>
          <w:b/>
          <w:bCs/>
          <w:sz w:val="24"/>
          <w:szCs w:val="24"/>
          <w:lang w:val="es-ES" w:eastAsia="es-ES"/>
        </w:rPr>
        <w:tab/>
      </w:r>
      <w:r w:rsidRPr="00F876E5">
        <w:rPr>
          <w:rFonts w:ascii="Gadugi" w:eastAsia="Times New Roman" w:hAnsi="Gadugi" w:cs="Estrangelo Edessa"/>
          <w:b/>
          <w:bCs/>
          <w:sz w:val="24"/>
          <w:szCs w:val="24"/>
          <w:lang w:val="es-ES" w:eastAsia="es-ES"/>
        </w:rPr>
        <w:tab/>
        <w:t>JAIME ALBERTO SARAZA NARANJO</w:t>
      </w:r>
    </w:p>
    <w:p w:rsidR="00DC28C9" w:rsidRPr="00F876E5" w:rsidRDefault="00DC28C9" w:rsidP="00DC28C9">
      <w:pPr>
        <w:spacing w:after="0" w:line="276" w:lineRule="auto"/>
        <w:jc w:val="both"/>
        <w:rPr>
          <w:rFonts w:ascii="Gadugi" w:eastAsia="Times New Roman" w:hAnsi="Gadugi" w:cs="Estrangelo Edessa"/>
          <w:sz w:val="24"/>
          <w:szCs w:val="24"/>
          <w:lang w:val="es-MX" w:eastAsia="es-ES"/>
        </w:rPr>
      </w:pPr>
    </w:p>
    <w:tbl>
      <w:tblPr>
        <w:tblpPr w:leftFromText="141" w:rightFromText="141" w:vertAnchor="text" w:horzAnchor="margin" w:tblpXSpec="center" w:tblpY="209"/>
        <w:tblW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tblGrid>
      <w:tr w:rsidR="00DC28C9" w:rsidRPr="00F876E5" w:rsidTr="00701537">
        <w:trPr>
          <w:trHeight w:val="341"/>
        </w:trPr>
        <w:tc>
          <w:tcPr>
            <w:tcW w:w="4163" w:type="dxa"/>
            <w:shd w:val="clear" w:color="auto" w:fill="auto"/>
          </w:tcPr>
          <w:p w:rsidR="00DC28C9" w:rsidRPr="00F876E5" w:rsidRDefault="00DC28C9" w:rsidP="00701537">
            <w:pPr>
              <w:tabs>
                <w:tab w:val="left" w:pos="5190"/>
              </w:tabs>
              <w:spacing w:after="0" w:line="276" w:lineRule="auto"/>
              <w:jc w:val="center"/>
              <w:rPr>
                <w:rFonts w:ascii="Gadugi" w:eastAsia="Times New Roman" w:hAnsi="Gadugi"/>
                <w:sz w:val="24"/>
                <w:szCs w:val="24"/>
                <w:lang w:val="es-ES" w:eastAsia="es-ES"/>
              </w:rPr>
            </w:pPr>
            <w:r w:rsidRPr="00F876E5">
              <w:rPr>
                <w:rFonts w:ascii="Gadugi" w:eastAsia="Times New Roman" w:hAnsi="Gadugi"/>
                <w:sz w:val="24"/>
                <w:szCs w:val="24"/>
                <w:lang w:val="es-ES" w:eastAsia="es-ES"/>
              </w:rPr>
              <w:t>LA PROVIDENCIA ANTERIOR SE NOTIFICA POR ESTADO DEL DÍA</w:t>
            </w:r>
          </w:p>
          <w:p w:rsidR="00DC28C9" w:rsidRPr="00F876E5" w:rsidRDefault="00DC28C9" w:rsidP="00701537">
            <w:pPr>
              <w:tabs>
                <w:tab w:val="left" w:pos="5190"/>
              </w:tabs>
              <w:spacing w:after="0" w:line="276" w:lineRule="auto"/>
              <w:rPr>
                <w:rFonts w:ascii="Gadugi" w:eastAsia="Times New Roman" w:hAnsi="Gadugi"/>
                <w:sz w:val="24"/>
                <w:szCs w:val="24"/>
                <w:lang w:val="es-ES" w:eastAsia="es-ES"/>
              </w:rPr>
            </w:pPr>
          </w:p>
          <w:p w:rsidR="00DC28C9" w:rsidRPr="00F876E5" w:rsidRDefault="00DC28C9" w:rsidP="00701537">
            <w:pPr>
              <w:tabs>
                <w:tab w:val="left" w:pos="5190"/>
              </w:tabs>
              <w:spacing w:after="0" w:line="276" w:lineRule="auto"/>
              <w:jc w:val="center"/>
              <w:rPr>
                <w:rFonts w:ascii="Gadugi" w:eastAsia="Times New Roman" w:hAnsi="Gadugi"/>
                <w:sz w:val="24"/>
                <w:szCs w:val="24"/>
                <w:lang w:val="es-ES" w:eastAsia="es-ES"/>
              </w:rPr>
            </w:pPr>
            <w:r w:rsidRPr="00F876E5">
              <w:rPr>
                <w:rFonts w:ascii="Gadugi" w:eastAsia="Times New Roman" w:hAnsi="Gadugi"/>
                <w:sz w:val="24"/>
                <w:szCs w:val="24"/>
                <w:lang w:val="es-419" w:eastAsia="es-ES"/>
              </w:rPr>
              <w:t>20</w:t>
            </w:r>
            <w:r w:rsidRPr="00F876E5">
              <w:rPr>
                <w:rFonts w:ascii="Gadugi" w:eastAsia="Times New Roman" w:hAnsi="Gadugi"/>
                <w:sz w:val="24"/>
                <w:szCs w:val="24"/>
                <w:lang w:val="es-ES" w:eastAsia="es-ES"/>
              </w:rPr>
              <w:t xml:space="preserve"> DE OCTUBRE DE 2016</w:t>
            </w:r>
          </w:p>
          <w:p w:rsidR="00DC28C9" w:rsidRPr="00F876E5" w:rsidRDefault="00DC28C9" w:rsidP="00701537">
            <w:pPr>
              <w:tabs>
                <w:tab w:val="left" w:pos="5190"/>
              </w:tabs>
              <w:spacing w:after="0" w:line="276" w:lineRule="auto"/>
              <w:jc w:val="center"/>
              <w:rPr>
                <w:rFonts w:ascii="Gadugi" w:eastAsia="Times New Roman" w:hAnsi="Gadugi"/>
                <w:sz w:val="24"/>
                <w:szCs w:val="24"/>
                <w:lang w:val="es-ES" w:eastAsia="es-ES"/>
              </w:rPr>
            </w:pPr>
          </w:p>
          <w:p w:rsidR="00DC28C9" w:rsidRPr="00F876E5" w:rsidRDefault="00DC28C9" w:rsidP="00701537">
            <w:pPr>
              <w:tabs>
                <w:tab w:val="left" w:pos="5190"/>
              </w:tabs>
              <w:spacing w:after="0" w:line="276" w:lineRule="auto"/>
              <w:jc w:val="center"/>
              <w:rPr>
                <w:rFonts w:ascii="Gadugi" w:eastAsia="Times New Roman" w:hAnsi="Gadugi"/>
                <w:sz w:val="24"/>
                <w:szCs w:val="24"/>
                <w:lang w:val="es-ES" w:eastAsia="es-ES"/>
              </w:rPr>
            </w:pPr>
          </w:p>
          <w:p w:rsidR="00DC28C9" w:rsidRPr="00F876E5" w:rsidRDefault="00DC28C9" w:rsidP="00701537">
            <w:pPr>
              <w:tabs>
                <w:tab w:val="left" w:pos="5190"/>
              </w:tabs>
              <w:spacing w:after="0" w:line="276" w:lineRule="auto"/>
              <w:jc w:val="center"/>
              <w:rPr>
                <w:rFonts w:ascii="Gadugi" w:eastAsia="Times New Roman" w:hAnsi="Gadugi"/>
                <w:sz w:val="24"/>
                <w:szCs w:val="24"/>
                <w:lang w:val="es-ES" w:eastAsia="es-ES"/>
              </w:rPr>
            </w:pPr>
            <w:proofErr w:type="spellStart"/>
            <w:r w:rsidRPr="00F876E5">
              <w:rPr>
                <w:rFonts w:ascii="Gadugi" w:eastAsia="Times New Roman" w:hAnsi="Gadugi"/>
                <w:sz w:val="24"/>
                <w:szCs w:val="24"/>
                <w:lang w:val="es-ES" w:eastAsia="es-ES"/>
              </w:rPr>
              <w:t>JAÍR</w:t>
            </w:r>
            <w:proofErr w:type="spellEnd"/>
            <w:r w:rsidRPr="00F876E5">
              <w:rPr>
                <w:rFonts w:ascii="Gadugi" w:eastAsia="Times New Roman" w:hAnsi="Gadugi"/>
                <w:sz w:val="24"/>
                <w:szCs w:val="24"/>
                <w:lang w:val="es-ES" w:eastAsia="es-ES"/>
              </w:rPr>
              <w:t xml:space="preserve"> DE JESÚS HENAO MOLINA</w:t>
            </w:r>
          </w:p>
          <w:p w:rsidR="00DC28C9" w:rsidRPr="00F876E5" w:rsidRDefault="00DC28C9" w:rsidP="00701537">
            <w:pPr>
              <w:tabs>
                <w:tab w:val="left" w:pos="5190"/>
              </w:tabs>
              <w:spacing w:after="0" w:line="276" w:lineRule="auto"/>
              <w:jc w:val="center"/>
              <w:rPr>
                <w:rFonts w:ascii="Gadugi" w:eastAsia="Times New Roman" w:hAnsi="Gadugi"/>
                <w:sz w:val="24"/>
                <w:szCs w:val="24"/>
                <w:lang w:val="es-ES" w:eastAsia="es-ES"/>
              </w:rPr>
            </w:pPr>
            <w:r w:rsidRPr="00F876E5">
              <w:rPr>
                <w:rFonts w:ascii="Gadugi" w:eastAsia="Times New Roman" w:hAnsi="Gadugi"/>
                <w:sz w:val="24"/>
                <w:szCs w:val="24"/>
                <w:lang w:val="es-ES" w:eastAsia="es-ES"/>
              </w:rPr>
              <w:t>SECRETARIO</w:t>
            </w:r>
          </w:p>
        </w:tc>
      </w:tr>
    </w:tbl>
    <w:p w:rsidR="00DC28C9" w:rsidRPr="00F876E5" w:rsidRDefault="00DC28C9" w:rsidP="00DC28C9">
      <w:pPr>
        <w:spacing w:line="276" w:lineRule="auto"/>
        <w:rPr>
          <w:rFonts w:ascii="Gadugi" w:hAnsi="Gadugi"/>
          <w:sz w:val="24"/>
          <w:szCs w:val="24"/>
          <w:lang w:val="es-ES"/>
        </w:rPr>
      </w:pPr>
    </w:p>
    <w:p w:rsidR="00DC28C9" w:rsidRPr="00F876E5" w:rsidRDefault="00DC28C9" w:rsidP="00DC28C9">
      <w:pPr>
        <w:spacing w:line="276" w:lineRule="auto"/>
        <w:rPr>
          <w:rFonts w:ascii="Gadugi" w:hAnsi="Gadugi"/>
          <w:sz w:val="24"/>
          <w:szCs w:val="24"/>
          <w:lang w:val="es-ES"/>
        </w:rPr>
      </w:pPr>
    </w:p>
    <w:p w:rsidR="00DC28C9" w:rsidRPr="00F876E5" w:rsidRDefault="00DC28C9" w:rsidP="00DC28C9">
      <w:pPr>
        <w:spacing w:line="276" w:lineRule="auto"/>
        <w:rPr>
          <w:sz w:val="24"/>
          <w:szCs w:val="24"/>
        </w:rPr>
      </w:pPr>
    </w:p>
    <w:p w:rsidR="00D5123A" w:rsidRDefault="00D5123A"/>
    <w:sectPr w:rsidR="00D5123A" w:rsidSect="00F876E5">
      <w:footerReference w:type="default" r:id="rId6"/>
      <w:pgSz w:w="12242" w:h="18705" w:code="12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19F" w:rsidRDefault="00C0519F" w:rsidP="00DC28C9">
      <w:pPr>
        <w:spacing w:after="0" w:line="240" w:lineRule="auto"/>
      </w:pPr>
      <w:r>
        <w:separator/>
      </w:r>
    </w:p>
  </w:endnote>
  <w:endnote w:type="continuationSeparator" w:id="0">
    <w:p w:rsidR="00C0519F" w:rsidRDefault="00C0519F" w:rsidP="00DC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E5" w:rsidRDefault="006A4700">
    <w:pPr>
      <w:pStyle w:val="Piedepgina"/>
      <w:jc w:val="right"/>
    </w:pPr>
    <w:r>
      <w:fldChar w:fldCharType="begin"/>
    </w:r>
    <w:r>
      <w:instrText>PAGE   \* MERGEFORMAT</w:instrText>
    </w:r>
    <w:r>
      <w:fldChar w:fldCharType="separate"/>
    </w:r>
    <w:r w:rsidR="003118FC" w:rsidRPr="003118FC">
      <w:rPr>
        <w:noProof/>
        <w:lang w:val="es-ES"/>
      </w:rPr>
      <w:t>1</w:t>
    </w:r>
    <w:r>
      <w:fldChar w:fldCharType="end"/>
    </w:r>
  </w:p>
  <w:p w:rsidR="00F876E5" w:rsidRDefault="00C051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19F" w:rsidRDefault="00C0519F" w:rsidP="00DC28C9">
      <w:pPr>
        <w:spacing w:after="0" w:line="240" w:lineRule="auto"/>
      </w:pPr>
      <w:r>
        <w:separator/>
      </w:r>
    </w:p>
  </w:footnote>
  <w:footnote w:type="continuationSeparator" w:id="0">
    <w:p w:rsidR="00C0519F" w:rsidRDefault="00C0519F" w:rsidP="00DC28C9">
      <w:pPr>
        <w:spacing w:after="0" w:line="240" w:lineRule="auto"/>
      </w:pPr>
      <w:r>
        <w:continuationSeparator/>
      </w:r>
    </w:p>
  </w:footnote>
  <w:footnote w:id="1">
    <w:p w:rsidR="00DC28C9" w:rsidRPr="004D6D6A" w:rsidRDefault="00DC28C9" w:rsidP="00DC28C9">
      <w:pPr>
        <w:pStyle w:val="Textonotapie"/>
        <w:jc w:val="both"/>
        <w:rPr>
          <w:rFonts w:ascii="Agency FB" w:hAnsi="Agency FB"/>
          <w:sz w:val="24"/>
          <w:szCs w:val="24"/>
        </w:rPr>
      </w:pPr>
      <w:r w:rsidRPr="004D6D6A">
        <w:rPr>
          <w:rStyle w:val="Refdenotaalpie"/>
          <w:rFonts w:ascii="Agency FB" w:hAnsi="Agency FB"/>
          <w:sz w:val="24"/>
          <w:szCs w:val="24"/>
        </w:rPr>
        <w:footnoteRef/>
      </w:r>
      <w:r w:rsidRPr="004D6D6A">
        <w:rPr>
          <w:rFonts w:ascii="Agency FB" w:hAnsi="Agency FB"/>
          <w:sz w:val="24"/>
          <w:szCs w:val="24"/>
        </w:rPr>
        <w:t xml:space="preserve"> “En los demás procesos, se aplicará la regla general prevista en el numeral anterior.”</w:t>
      </w:r>
    </w:p>
  </w:footnote>
  <w:footnote w:id="2">
    <w:p w:rsidR="00DC28C9" w:rsidRPr="004D6D6A" w:rsidRDefault="00DC28C9" w:rsidP="00DC28C9">
      <w:pPr>
        <w:pStyle w:val="Textonotapie"/>
        <w:jc w:val="both"/>
        <w:rPr>
          <w:rFonts w:ascii="Agency FB" w:hAnsi="Agency FB"/>
          <w:sz w:val="24"/>
          <w:szCs w:val="24"/>
        </w:rPr>
      </w:pPr>
      <w:r w:rsidRPr="004D6D6A">
        <w:rPr>
          <w:rStyle w:val="Refdenotaalpie"/>
          <w:rFonts w:ascii="Agency FB" w:hAnsi="Agency FB"/>
          <w:sz w:val="24"/>
          <w:szCs w:val="24"/>
        </w:rPr>
        <w:footnoteRef/>
      </w:r>
      <w:r w:rsidRPr="004D6D6A">
        <w:rPr>
          <w:rFonts w:ascii="Agency FB" w:hAnsi="Agency FB"/>
          <w:sz w:val="24"/>
          <w:szCs w:val="24"/>
        </w:rPr>
        <w:t xml:space="preserve"> No obstante lo previsto en los numerales anteriores,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footnote>
  <w:footnote w:id="3">
    <w:p w:rsidR="00DC28C9" w:rsidRPr="004D6D6A" w:rsidRDefault="00DC28C9" w:rsidP="00DC28C9">
      <w:pPr>
        <w:pStyle w:val="Textonotapie"/>
        <w:contextualSpacing/>
        <w:jc w:val="both"/>
        <w:rPr>
          <w:rFonts w:ascii="Agency FB" w:hAnsi="Agency FB"/>
          <w:sz w:val="24"/>
          <w:szCs w:val="24"/>
        </w:rPr>
      </w:pPr>
      <w:r w:rsidRPr="004D6D6A">
        <w:rPr>
          <w:rStyle w:val="Refdenotaalpie"/>
          <w:rFonts w:ascii="Agency FB" w:hAnsi="Agency FB"/>
          <w:sz w:val="24"/>
          <w:szCs w:val="24"/>
        </w:rPr>
        <w:footnoteRef/>
      </w:r>
      <w:r w:rsidRPr="004D6D6A">
        <w:rPr>
          <w:rFonts w:ascii="Agency FB" w:hAnsi="Agency FB"/>
          <w:sz w:val="24"/>
          <w:szCs w:val="24"/>
        </w:rPr>
        <w:t xml:space="preserve"> “Cualquier traslado que deba surtirse en audiencia se cumplirá permitiéndole a la parte respectiva que haga uso de la palabra.</w:t>
      </w:r>
    </w:p>
    <w:p w:rsidR="00DC28C9" w:rsidRPr="00EE6FF0" w:rsidRDefault="00DC28C9" w:rsidP="00DC28C9">
      <w:pPr>
        <w:pStyle w:val="Textonotapie"/>
        <w:contextualSpacing/>
        <w:jc w:val="both"/>
        <w:rPr>
          <w:rFonts w:ascii="Agency FB" w:hAnsi="Agency FB"/>
          <w:sz w:val="24"/>
          <w:szCs w:val="24"/>
        </w:rPr>
      </w:pPr>
      <w:r w:rsidRPr="004D6D6A">
        <w:rPr>
          <w:rFonts w:ascii="Agency FB" w:hAnsi="Agency FB"/>
          <w:sz w:val="24"/>
          <w:szCs w:val="24"/>
        </w:rPr>
        <w:t xml:space="preserve">Salvo norma en contrario, todo traslado que deba surtirse por fuera de audiencia, se surtirá en secretaría por el término de tres (3) días y no requerirá auto ni constancia en el expediente. Estos traslados se incluirán en una lista </w:t>
      </w:r>
      <w:r w:rsidRPr="00EE6FF0">
        <w:rPr>
          <w:rFonts w:ascii="Agency FB" w:hAnsi="Agency FB"/>
          <w:sz w:val="24"/>
          <w:szCs w:val="24"/>
        </w:rPr>
        <w:t>que se mantendrá a disposición de las partes en la secretaría del juzgado por un (1) día y correrán desde el día siguiente.”</w:t>
      </w:r>
    </w:p>
  </w:footnote>
  <w:footnote w:id="4">
    <w:p w:rsidR="00DC28C9" w:rsidRPr="00EE6FF0" w:rsidRDefault="00DC28C9" w:rsidP="00DC28C9">
      <w:pPr>
        <w:pStyle w:val="Textonotapie"/>
        <w:contextualSpacing/>
        <w:jc w:val="both"/>
        <w:rPr>
          <w:rFonts w:ascii="Agency FB" w:hAnsi="Agency FB"/>
          <w:sz w:val="24"/>
          <w:szCs w:val="24"/>
        </w:rPr>
      </w:pPr>
      <w:r w:rsidRPr="00EE6FF0">
        <w:rPr>
          <w:rStyle w:val="Refdenotaalpie"/>
          <w:rFonts w:ascii="Agency FB" w:hAnsi="Agency FB"/>
          <w:sz w:val="24"/>
          <w:szCs w:val="24"/>
        </w:rPr>
        <w:footnoteRef/>
      </w:r>
      <w:r w:rsidRPr="00EE6FF0">
        <w:rPr>
          <w:rFonts w:ascii="Agency FB" w:hAnsi="Agency FB"/>
          <w:sz w:val="24"/>
          <w:szCs w:val="24"/>
        </w:rPr>
        <w:t xml:space="preserve"> “Así mismo, si advierte que se configuró una causal de nulidad, procederá en la forma prevista en el artículo 137.”</w:t>
      </w:r>
    </w:p>
  </w:footnote>
  <w:footnote w:id="5">
    <w:p w:rsidR="00DC28C9" w:rsidRPr="00295751" w:rsidRDefault="00DC28C9" w:rsidP="00DC28C9">
      <w:pPr>
        <w:pStyle w:val="Textonotapie"/>
        <w:contextualSpacing/>
        <w:jc w:val="both"/>
        <w:rPr>
          <w:rFonts w:ascii="Agency FB" w:hAnsi="Agency FB"/>
          <w:sz w:val="24"/>
          <w:szCs w:val="24"/>
        </w:rPr>
      </w:pPr>
      <w:r w:rsidRPr="00295751">
        <w:rPr>
          <w:rStyle w:val="Refdenotaalpie"/>
          <w:rFonts w:ascii="Agency FB" w:hAnsi="Agency FB"/>
          <w:sz w:val="24"/>
          <w:szCs w:val="24"/>
        </w:rPr>
        <w:footnoteRef/>
      </w:r>
      <w:r w:rsidRPr="00295751">
        <w:rPr>
          <w:rFonts w:ascii="Agency FB" w:hAnsi="Agency FB"/>
          <w:sz w:val="24"/>
          <w:szCs w:val="24"/>
        </w:rPr>
        <w:t xml:space="preserve"> “En cualquier estado del proceso el juez ordenará poner en conocimiento de la parte afectada las nulidades que no hayan sido saneadas. Cuando se originen en las causales 4 y 8 del artículo 133 el auto se le notificará al afectado de conformidad con las reglas generales previstas en los artículos 291 y 292. Si dentro de los tres (3) días siguientes al de la notificación dicha parte no alega la nulidad, ésta quedará saneada y el proceso continuará su curso; en caso contrario el juez la declarará.”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3E"/>
    <w:rsid w:val="001F2E55"/>
    <w:rsid w:val="003118FC"/>
    <w:rsid w:val="006A4700"/>
    <w:rsid w:val="0078123E"/>
    <w:rsid w:val="007F0D6A"/>
    <w:rsid w:val="00C0519F"/>
    <w:rsid w:val="00C808BB"/>
    <w:rsid w:val="00D02F5E"/>
    <w:rsid w:val="00D5123A"/>
    <w:rsid w:val="00D677D0"/>
    <w:rsid w:val="00DC28C9"/>
    <w:rsid w:val="00E231C4"/>
    <w:rsid w:val="00E51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58447-6D50-4FD8-B2D7-0EF39AB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8C9"/>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28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28C9"/>
    <w:rPr>
      <w:rFonts w:ascii="Calibri" w:eastAsia="Calibri" w:hAnsi="Calibri" w:cs="Times New Roman"/>
      <w:sz w:val="20"/>
      <w:szCs w:val="20"/>
      <w:lang w:val="es-CO"/>
    </w:rPr>
  </w:style>
  <w:style w:type="character" w:styleId="Refdenotaalpie">
    <w:name w:val="footnote reference"/>
    <w:rsid w:val="00DC28C9"/>
    <w:rPr>
      <w:vertAlign w:val="superscript"/>
    </w:rPr>
  </w:style>
  <w:style w:type="paragraph" w:styleId="Piedepgina">
    <w:name w:val="footer"/>
    <w:basedOn w:val="Normal"/>
    <w:link w:val="PiedepginaCar"/>
    <w:uiPriority w:val="99"/>
    <w:unhideWhenUsed/>
    <w:rsid w:val="00DC28C9"/>
    <w:pPr>
      <w:tabs>
        <w:tab w:val="center" w:pos="4252"/>
        <w:tab w:val="right" w:pos="8504"/>
      </w:tabs>
    </w:pPr>
  </w:style>
  <w:style w:type="character" w:customStyle="1" w:styleId="PiedepginaCar">
    <w:name w:val="Pie de página Car"/>
    <w:basedOn w:val="Fuentedeprrafopredeter"/>
    <w:link w:val="Piedepgina"/>
    <w:uiPriority w:val="99"/>
    <w:rsid w:val="00DC28C9"/>
    <w:rPr>
      <w:rFonts w:ascii="Calibri" w:eastAsia="Calibri" w:hAnsi="Calibri" w:cs="Times New Roman"/>
      <w:lang w:val="es-CO"/>
    </w:rPr>
  </w:style>
  <w:style w:type="paragraph" w:styleId="Sinespaciado">
    <w:name w:val="No Spacing"/>
    <w:link w:val="SinespaciadoCar"/>
    <w:uiPriority w:val="1"/>
    <w:qFormat/>
    <w:rsid w:val="00C808BB"/>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C808B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2017-01-12T21:13:00Z</dcterms:created>
  <dcterms:modified xsi:type="dcterms:W3CDTF">2017-01-30T13:58:00Z</dcterms:modified>
</cp:coreProperties>
</file>