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F8" w:rsidRPr="00760671" w:rsidRDefault="00B237F8" w:rsidP="00B237F8">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B237F8" w:rsidRDefault="00B237F8" w:rsidP="00B237F8">
      <w:pPr>
        <w:pStyle w:val="Sinespaciado"/>
        <w:rPr>
          <w:sz w:val="18"/>
          <w:szCs w:val="18"/>
        </w:rPr>
      </w:pPr>
    </w:p>
    <w:p w:rsidR="00B237F8" w:rsidRPr="00B237F8" w:rsidRDefault="00B237F8" w:rsidP="00B237F8">
      <w:pPr>
        <w:rPr>
          <w:rFonts w:asciiTheme="minorHAnsi" w:hAnsiTheme="minorHAnsi"/>
          <w:sz w:val="18"/>
          <w:szCs w:val="18"/>
        </w:rPr>
      </w:pPr>
      <w:r w:rsidRPr="00B237F8">
        <w:rPr>
          <w:rFonts w:asciiTheme="minorHAnsi" w:hAnsiTheme="minorHAnsi"/>
          <w:sz w:val="18"/>
          <w:szCs w:val="18"/>
        </w:rPr>
        <w:t>Providencia:</w:t>
      </w:r>
      <w:r w:rsidRPr="00B237F8">
        <w:rPr>
          <w:rFonts w:asciiTheme="minorHAnsi" w:hAnsiTheme="minorHAnsi"/>
          <w:sz w:val="18"/>
          <w:szCs w:val="18"/>
        </w:rPr>
        <w:tab/>
      </w:r>
      <w:r w:rsidRPr="00B237F8">
        <w:rPr>
          <w:rFonts w:asciiTheme="minorHAnsi" w:hAnsiTheme="minorHAnsi"/>
          <w:sz w:val="18"/>
          <w:szCs w:val="18"/>
        </w:rPr>
        <w:tab/>
      </w:r>
      <w:r w:rsidRPr="00B237F8">
        <w:rPr>
          <w:rFonts w:asciiTheme="minorHAnsi" w:hAnsiTheme="minorHAnsi"/>
          <w:sz w:val="18"/>
          <w:szCs w:val="18"/>
        </w:rPr>
        <w:tab/>
        <w:t>SENTENCIA DE TUTELA – 2ª Instancia – 02 de noviembre de 2016</w:t>
      </w:r>
    </w:p>
    <w:p w:rsidR="00B237F8" w:rsidRPr="00B237F8" w:rsidRDefault="00B237F8" w:rsidP="00B237F8">
      <w:pPr>
        <w:rPr>
          <w:rFonts w:asciiTheme="minorHAnsi" w:hAnsiTheme="minorHAnsi"/>
          <w:sz w:val="18"/>
          <w:szCs w:val="18"/>
        </w:rPr>
      </w:pPr>
      <w:r w:rsidRPr="00B237F8">
        <w:rPr>
          <w:rFonts w:asciiTheme="minorHAnsi" w:hAnsiTheme="minorHAnsi"/>
          <w:sz w:val="18"/>
          <w:szCs w:val="18"/>
        </w:rPr>
        <w:t>Radicación Nro. :</w:t>
      </w:r>
      <w:r w:rsidRPr="00B237F8">
        <w:rPr>
          <w:rFonts w:asciiTheme="minorHAnsi" w:hAnsiTheme="minorHAnsi"/>
          <w:sz w:val="18"/>
          <w:szCs w:val="18"/>
        </w:rPr>
        <w:tab/>
      </w:r>
      <w:r w:rsidRPr="00B237F8">
        <w:rPr>
          <w:rFonts w:asciiTheme="minorHAnsi" w:hAnsiTheme="minorHAnsi"/>
          <w:sz w:val="18"/>
          <w:szCs w:val="18"/>
        </w:rPr>
        <w:tab/>
      </w:r>
      <w:r w:rsidRPr="00B237F8">
        <w:rPr>
          <w:rFonts w:asciiTheme="minorHAnsi" w:hAnsiTheme="minorHAnsi"/>
          <w:sz w:val="18"/>
          <w:szCs w:val="18"/>
        </w:rPr>
        <w:tab/>
        <w:t>66001-31-03-003-2016-00342-01</w:t>
      </w:r>
    </w:p>
    <w:p w:rsidR="00B237F8" w:rsidRPr="00B237F8" w:rsidRDefault="00B237F8" w:rsidP="00B237F8">
      <w:pPr>
        <w:rPr>
          <w:rFonts w:asciiTheme="minorHAnsi" w:hAnsiTheme="minorHAnsi"/>
          <w:sz w:val="18"/>
          <w:szCs w:val="18"/>
        </w:rPr>
      </w:pPr>
      <w:r w:rsidRPr="00B237F8">
        <w:rPr>
          <w:rFonts w:asciiTheme="minorHAnsi" w:hAnsiTheme="minorHAnsi"/>
          <w:sz w:val="18"/>
          <w:szCs w:val="18"/>
        </w:rPr>
        <w:t>Accionante:</w:t>
      </w:r>
      <w:r w:rsidRPr="00B237F8">
        <w:rPr>
          <w:rFonts w:asciiTheme="minorHAnsi" w:hAnsiTheme="minorHAnsi"/>
          <w:sz w:val="18"/>
          <w:szCs w:val="18"/>
        </w:rPr>
        <w:tab/>
      </w:r>
      <w:r w:rsidRPr="00B237F8">
        <w:rPr>
          <w:rFonts w:asciiTheme="minorHAnsi" w:hAnsiTheme="minorHAnsi"/>
          <w:sz w:val="18"/>
          <w:szCs w:val="18"/>
        </w:rPr>
        <w:tab/>
      </w:r>
      <w:r w:rsidRPr="00B237F8">
        <w:rPr>
          <w:rFonts w:asciiTheme="minorHAnsi" w:hAnsiTheme="minorHAnsi"/>
          <w:sz w:val="18"/>
          <w:szCs w:val="18"/>
        </w:rPr>
        <w:tab/>
        <w:t>Alba Doris Sánchez Zapata</w:t>
      </w:r>
    </w:p>
    <w:p w:rsidR="00B237F8" w:rsidRPr="00B237F8" w:rsidRDefault="00B237F8" w:rsidP="00B237F8">
      <w:pPr>
        <w:rPr>
          <w:rFonts w:asciiTheme="minorHAnsi" w:hAnsiTheme="minorHAnsi"/>
          <w:sz w:val="18"/>
          <w:szCs w:val="18"/>
        </w:rPr>
      </w:pPr>
      <w:r w:rsidRPr="00B237F8">
        <w:rPr>
          <w:rFonts w:asciiTheme="minorHAnsi" w:hAnsiTheme="minorHAnsi"/>
          <w:sz w:val="18"/>
          <w:szCs w:val="18"/>
        </w:rPr>
        <w:t>Accionados:</w:t>
      </w:r>
      <w:r w:rsidRPr="00B237F8">
        <w:rPr>
          <w:rFonts w:asciiTheme="minorHAnsi" w:hAnsiTheme="minorHAnsi"/>
          <w:sz w:val="18"/>
          <w:szCs w:val="18"/>
        </w:rPr>
        <w:tab/>
      </w:r>
      <w:r w:rsidRPr="00B237F8">
        <w:rPr>
          <w:rFonts w:asciiTheme="minorHAnsi" w:hAnsiTheme="minorHAnsi"/>
          <w:sz w:val="18"/>
          <w:szCs w:val="18"/>
        </w:rPr>
        <w:tab/>
      </w:r>
      <w:r w:rsidRPr="00B237F8">
        <w:rPr>
          <w:rFonts w:asciiTheme="minorHAnsi" w:hAnsiTheme="minorHAnsi"/>
          <w:sz w:val="18"/>
          <w:szCs w:val="18"/>
        </w:rPr>
        <w:tab/>
        <w:t>Secretaría de Educación del Departamento de Risaralda y la Gobernación de Risaralda, a la que fue vinculado Rafael Ángel González Suárez.</w:t>
      </w:r>
    </w:p>
    <w:p w:rsidR="00B237F8" w:rsidRPr="00B237F8" w:rsidRDefault="00B237F8" w:rsidP="00B237F8">
      <w:pPr>
        <w:rPr>
          <w:rFonts w:asciiTheme="minorHAnsi" w:hAnsiTheme="minorHAnsi"/>
          <w:sz w:val="18"/>
          <w:szCs w:val="18"/>
        </w:rPr>
      </w:pPr>
      <w:r w:rsidRPr="00B237F8">
        <w:rPr>
          <w:rFonts w:asciiTheme="minorHAnsi" w:hAnsiTheme="minorHAnsi"/>
          <w:sz w:val="18"/>
          <w:szCs w:val="18"/>
        </w:rPr>
        <w:t>Proceso:</w:t>
      </w:r>
      <w:r w:rsidRPr="00B237F8">
        <w:rPr>
          <w:rFonts w:asciiTheme="minorHAnsi" w:hAnsiTheme="minorHAnsi"/>
          <w:sz w:val="18"/>
          <w:szCs w:val="18"/>
        </w:rPr>
        <w:tab/>
      </w:r>
      <w:r w:rsidRPr="00B237F8">
        <w:rPr>
          <w:rFonts w:asciiTheme="minorHAnsi" w:hAnsiTheme="minorHAnsi"/>
          <w:sz w:val="18"/>
          <w:szCs w:val="18"/>
        </w:rPr>
        <w:tab/>
      </w:r>
      <w:r w:rsidRPr="00B237F8">
        <w:rPr>
          <w:rFonts w:asciiTheme="minorHAnsi" w:hAnsiTheme="minorHAnsi"/>
          <w:sz w:val="18"/>
          <w:szCs w:val="18"/>
        </w:rPr>
        <w:tab/>
      </w:r>
      <w:r w:rsidRPr="00B237F8">
        <w:rPr>
          <w:rFonts w:asciiTheme="minorHAnsi" w:hAnsiTheme="minorHAnsi"/>
          <w:sz w:val="18"/>
          <w:szCs w:val="18"/>
        </w:rPr>
        <w:tab/>
        <w:t>Acción de Tutela – Sentencia que revoca el amparo otorgado por el a quo</w:t>
      </w:r>
    </w:p>
    <w:p w:rsidR="00B237F8" w:rsidRPr="00B237F8" w:rsidRDefault="00B237F8" w:rsidP="00B237F8">
      <w:pPr>
        <w:rPr>
          <w:rFonts w:asciiTheme="minorHAnsi" w:hAnsiTheme="minorHAnsi"/>
          <w:sz w:val="18"/>
          <w:szCs w:val="18"/>
        </w:rPr>
      </w:pPr>
      <w:r w:rsidRPr="00B237F8">
        <w:rPr>
          <w:rFonts w:asciiTheme="minorHAnsi" w:hAnsiTheme="minorHAnsi"/>
          <w:sz w:val="18"/>
          <w:szCs w:val="18"/>
        </w:rPr>
        <w:t>Magistrado Ponente:</w:t>
      </w:r>
      <w:r w:rsidRPr="00B237F8">
        <w:rPr>
          <w:rFonts w:asciiTheme="minorHAnsi" w:hAnsiTheme="minorHAnsi"/>
          <w:sz w:val="18"/>
          <w:szCs w:val="18"/>
        </w:rPr>
        <w:tab/>
      </w:r>
      <w:r w:rsidRPr="00B237F8">
        <w:rPr>
          <w:rFonts w:asciiTheme="minorHAnsi" w:hAnsiTheme="minorHAnsi"/>
          <w:sz w:val="18"/>
          <w:szCs w:val="18"/>
        </w:rPr>
        <w:tab/>
        <w:t>JAIME ALBERTO SARAZA NARANJO</w:t>
      </w:r>
    </w:p>
    <w:p w:rsidR="00B237F8" w:rsidRDefault="00B237F8" w:rsidP="00B237F8">
      <w:pPr>
        <w:shd w:val="clear" w:color="auto" w:fill="FFFFFF"/>
        <w:jc w:val="both"/>
        <w:rPr>
          <w:rFonts w:ascii="Calibri" w:hAnsi="Calibri" w:cs="Calibri"/>
          <w:color w:val="222222"/>
          <w:sz w:val="18"/>
          <w:szCs w:val="18"/>
          <w:lang w:eastAsia="fr-FR"/>
        </w:rPr>
      </w:pPr>
    </w:p>
    <w:p w:rsidR="00B237F8" w:rsidRPr="00B237F8" w:rsidRDefault="00B237F8" w:rsidP="00B237F8">
      <w:pPr>
        <w:pStyle w:val="BodyText2"/>
        <w:spacing w:line="276" w:lineRule="auto"/>
        <w:ind w:right="335"/>
        <w:rPr>
          <w:rFonts w:asciiTheme="minorHAnsi" w:hAnsiTheme="minorHAnsi" w:cs="Arial"/>
          <w:sz w:val="18"/>
          <w:szCs w:val="18"/>
        </w:rPr>
      </w:pPr>
      <w:r w:rsidRPr="00B237F8">
        <w:rPr>
          <w:rFonts w:ascii="Calibri" w:hAnsi="Calibri" w:cs="Calibri"/>
          <w:b/>
          <w:color w:val="222222"/>
          <w:sz w:val="18"/>
          <w:szCs w:val="18"/>
          <w:lang w:eastAsia="fr-FR"/>
        </w:rPr>
        <w:t xml:space="preserve">Tema: </w:t>
      </w:r>
      <w:r w:rsidRPr="00B237F8">
        <w:rPr>
          <w:rFonts w:ascii="Calibri" w:hAnsi="Calibri" w:cs="Calibri"/>
          <w:b/>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color w:val="222222"/>
          <w:sz w:val="18"/>
          <w:szCs w:val="18"/>
          <w:lang w:eastAsia="fr-FR"/>
        </w:rPr>
        <w:tab/>
      </w:r>
      <w:r w:rsidRPr="00B237F8">
        <w:rPr>
          <w:rFonts w:ascii="Calibri" w:hAnsi="Calibri" w:cs="Calibri"/>
          <w:b/>
          <w:color w:val="222222"/>
          <w:sz w:val="18"/>
          <w:szCs w:val="18"/>
          <w:lang w:eastAsia="fr-FR"/>
        </w:rPr>
        <w:t xml:space="preserve">MÍNIMO VITAL Y VIDA DIGNA / SUSTITUCIÓN PENSIONAL / NO SE ACREDITÓ PERJUICIO IRREMEDIABLE / NO SE ACREDITO CALIDAD DE SUJETO DE ESPECIAL PROTECCIÓN CONSTITUCIONAL / SUBSIDIARIEDAD / DIFERENCIA ENTRE IMPROCEDENCIA Y NEGACIÓN DEL AMPARO / </w:t>
      </w:r>
      <w:r w:rsidRPr="00B237F8">
        <w:rPr>
          <w:rFonts w:asciiTheme="minorHAnsi" w:hAnsiTheme="minorHAnsi" w:cs="Calibri"/>
          <w:b/>
          <w:color w:val="222222"/>
          <w:sz w:val="18"/>
          <w:szCs w:val="18"/>
          <w:lang w:eastAsia="fr-FR"/>
        </w:rPr>
        <w:t>“</w:t>
      </w:r>
      <w:r w:rsidRPr="00B237F8">
        <w:rPr>
          <w:rFonts w:asciiTheme="minorHAnsi" w:hAnsiTheme="minorHAnsi" w:cs="Arial"/>
          <w:sz w:val="18"/>
          <w:szCs w:val="18"/>
        </w:rPr>
        <w:t xml:space="preserve">Pues bien, en este caso la demandante </w:t>
      </w:r>
      <w:r w:rsidRPr="00B237F8">
        <w:rPr>
          <w:rFonts w:asciiTheme="minorHAnsi" w:hAnsiTheme="minorHAnsi" w:cs="Arial"/>
          <w:sz w:val="18"/>
          <w:szCs w:val="18"/>
          <w:lang w:val="es-419"/>
        </w:rPr>
        <w:t xml:space="preserve">está por fuera de los parámetros para ser catalogada como </w:t>
      </w:r>
      <w:r w:rsidRPr="00B237F8">
        <w:rPr>
          <w:rFonts w:asciiTheme="minorHAnsi" w:hAnsiTheme="minorHAnsi" w:cs="Arial"/>
          <w:sz w:val="18"/>
          <w:szCs w:val="18"/>
        </w:rPr>
        <w:t>sujeto de especial protección</w:t>
      </w:r>
      <w:r w:rsidRPr="00B237F8">
        <w:rPr>
          <w:rFonts w:asciiTheme="minorHAnsi" w:hAnsiTheme="minorHAnsi" w:cs="Arial"/>
          <w:sz w:val="18"/>
          <w:szCs w:val="18"/>
          <w:lang w:val="es-419"/>
        </w:rPr>
        <w:t xml:space="preserve">. Primero, se desconoce su edad como para ubicarla dentro del margen que la misma </w:t>
      </w:r>
      <w:r w:rsidRPr="00B237F8">
        <w:rPr>
          <w:rFonts w:asciiTheme="minorHAnsi" w:hAnsiTheme="minorHAnsi" w:cs="Arial"/>
          <w:sz w:val="18"/>
          <w:szCs w:val="18"/>
        </w:rPr>
        <w:t xml:space="preserve">alta Corporación ha </w:t>
      </w:r>
      <w:r w:rsidRPr="00B237F8">
        <w:rPr>
          <w:rFonts w:asciiTheme="minorHAnsi" w:hAnsiTheme="minorHAnsi" w:cs="Arial"/>
          <w:sz w:val="18"/>
          <w:szCs w:val="18"/>
          <w:lang w:val="es-419"/>
        </w:rPr>
        <w:t xml:space="preserve">delineado en sentencias como la </w:t>
      </w:r>
      <w:r w:rsidRPr="00B237F8">
        <w:rPr>
          <w:rFonts w:asciiTheme="minorHAnsi" w:hAnsiTheme="minorHAnsi" w:cs="Arial"/>
          <w:sz w:val="18"/>
          <w:szCs w:val="18"/>
        </w:rPr>
        <w:t>T-138 de 2010,</w:t>
      </w:r>
      <w:r w:rsidRPr="00B237F8">
        <w:rPr>
          <w:rFonts w:asciiTheme="minorHAnsi" w:hAnsiTheme="minorHAnsi" w:cs="Arial"/>
          <w:sz w:val="18"/>
          <w:szCs w:val="18"/>
          <w:lang w:val="es-419"/>
        </w:rPr>
        <w:t xml:space="preserve"> sin perjuicio de que se diga que las razones que se esgrimen para el amparo son muy diferentes a esta. En segundo lugar, tampoco adujo, ni está demostrada alguna discapacidad </w:t>
      </w:r>
      <w:r w:rsidRPr="00B237F8">
        <w:rPr>
          <w:rFonts w:asciiTheme="minorHAnsi" w:hAnsiTheme="minorHAnsi" w:cs="Arial"/>
          <w:sz w:val="18"/>
          <w:szCs w:val="18"/>
        </w:rPr>
        <w:t>física o mental</w:t>
      </w:r>
      <w:r w:rsidRPr="00B237F8">
        <w:rPr>
          <w:rFonts w:asciiTheme="minorHAnsi" w:hAnsiTheme="minorHAnsi" w:cs="Arial"/>
          <w:sz w:val="18"/>
          <w:szCs w:val="18"/>
          <w:lang w:val="es-419"/>
        </w:rPr>
        <w:t xml:space="preserve"> que le impida valerse por sí misma; por otro lado, ninguna prueba apunta a demostrar una especial </w:t>
      </w:r>
      <w:r w:rsidRPr="00B237F8">
        <w:rPr>
          <w:rFonts w:asciiTheme="minorHAnsi" w:hAnsiTheme="minorHAnsi" w:cs="Arial"/>
          <w:sz w:val="18"/>
          <w:szCs w:val="18"/>
        </w:rPr>
        <w:t xml:space="preserve">situación que la </w:t>
      </w:r>
      <w:proofErr w:type="spellStart"/>
      <w:r w:rsidRPr="00B237F8">
        <w:rPr>
          <w:rFonts w:asciiTheme="minorHAnsi" w:hAnsiTheme="minorHAnsi" w:cs="Arial"/>
          <w:sz w:val="18"/>
          <w:szCs w:val="18"/>
        </w:rPr>
        <w:t>ubi</w:t>
      </w:r>
      <w:proofErr w:type="spellEnd"/>
      <w:r w:rsidRPr="00B237F8">
        <w:rPr>
          <w:rFonts w:asciiTheme="minorHAnsi" w:hAnsiTheme="minorHAnsi" w:cs="Arial"/>
          <w:sz w:val="18"/>
          <w:szCs w:val="18"/>
          <w:lang w:val="es-419"/>
        </w:rPr>
        <w:t xml:space="preserve">que </w:t>
      </w:r>
      <w:r w:rsidRPr="00B237F8">
        <w:rPr>
          <w:rFonts w:asciiTheme="minorHAnsi" w:hAnsiTheme="minorHAnsi" w:cs="Arial"/>
          <w:sz w:val="18"/>
          <w:szCs w:val="18"/>
        </w:rPr>
        <w:t xml:space="preserve">en un grupo poblacional de aquellos que merecen una </w:t>
      </w:r>
      <w:r w:rsidRPr="00B237F8">
        <w:rPr>
          <w:rFonts w:asciiTheme="minorHAnsi" w:hAnsiTheme="minorHAnsi" w:cs="Arial"/>
          <w:sz w:val="18"/>
          <w:szCs w:val="18"/>
          <w:lang w:val="es-419"/>
        </w:rPr>
        <w:t xml:space="preserve">tratamiento </w:t>
      </w:r>
      <w:proofErr w:type="spellStart"/>
      <w:r w:rsidRPr="00B237F8">
        <w:rPr>
          <w:rFonts w:asciiTheme="minorHAnsi" w:hAnsiTheme="minorHAnsi" w:cs="Arial"/>
          <w:sz w:val="18"/>
          <w:szCs w:val="18"/>
        </w:rPr>
        <w:t>fortalecid</w:t>
      </w:r>
      <w:proofErr w:type="spellEnd"/>
      <w:r w:rsidRPr="00B237F8">
        <w:rPr>
          <w:rFonts w:asciiTheme="minorHAnsi" w:hAnsiTheme="minorHAnsi" w:cs="Arial"/>
          <w:sz w:val="18"/>
          <w:szCs w:val="18"/>
          <w:lang w:val="es-419"/>
        </w:rPr>
        <w:t>o</w:t>
      </w:r>
      <w:r w:rsidRPr="00B237F8">
        <w:rPr>
          <w:rFonts w:asciiTheme="minorHAnsi" w:hAnsiTheme="minorHAnsi" w:cs="Arial"/>
          <w:sz w:val="18"/>
          <w:szCs w:val="18"/>
        </w:rPr>
        <w:t xml:space="preserve"> por parte del Estado; </w:t>
      </w:r>
      <w:r w:rsidRPr="00B237F8">
        <w:rPr>
          <w:rFonts w:asciiTheme="minorHAnsi" w:hAnsiTheme="minorHAnsi" w:cs="Arial"/>
          <w:sz w:val="18"/>
          <w:szCs w:val="18"/>
          <w:lang w:val="es-419"/>
        </w:rPr>
        <w:t xml:space="preserve">es más, ni siquiera se indica </w:t>
      </w:r>
      <w:r w:rsidRPr="00B237F8">
        <w:rPr>
          <w:rFonts w:asciiTheme="minorHAnsi" w:hAnsiTheme="minorHAnsi" w:cs="Arial"/>
          <w:sz w:val="18"/>
          <w:szCs w:val="18"/>
        </w:rPr>
        <w:t>por</w:t>
      </w:r>
      <w:r w:rsidRPr="00B237F8">
        <w:rPr>
          <w:rFonts w:asciiTheme="minorHAnsi" w:hAnsiTheme="minorHAnsi" w:cs="Arial"/>
          <w:sz w:val="18"/>
          <w:szCs w:val="18"/>
          <w:lang w:val="es-419"/>
        </w:rPr>
        <w:t xml:space="preserve"> </w:t>
      </w:r>
      <w:r w:rsidRPr="00B237F8">
        <w:rPr>
          <w:rFonts w:asciiTheme="minorHAnsi" w:hAnsiTheme="minorHAnsi" w:cs="Arial"/>
          <w:sz w:val="18"/>
          <w:szCs w:val="18"/>
        </w:rPr>
        <w:t xml:space="preserve">qué el proceso </w:t>
      </w:r>
      <w:r w:rsidRPr="00B237F8">
        <w:rPr>
          <w:rFonts w:asciiTheme="minorHAnsi" w:hAnsiTheme="minorHAnsi" w:cs="Arial"/>
          <w:sz w:val="18"/>
          <w:szCs w:val="18"/>
          <w:lang w:val="es-419"/>
        </w:rPr>
        <w:t xml:space="preserve">ante la jurisdicción aludida carece de idoneidad </w:t>
      </w:r>
      <w:r w:rsidRPr="00B237F8">
        <w:rPr>
          <w:rFonts w:asciiTheme="minorHAnsi" w:hAnsiTheme="minorHAnsi" w:cs="Arial"/>
          <w:sz w:val="18"/>
          <w:szCs w:val="18"/>
        </w:rPr>
        <w:t xml:space="preserve">para la solución de la controversia planteada. </w:t>
      </w:r>
    </w:p>
    <w:p w:rsidR="00B237F8" w:rsidRPr="00B237F8" w:rsidRDefault="00B237F8" w:rsidP="00B237F8">
      <w:pPr>
        <w:jc w:val="both"/>
        <w:rPr>
          <w:rFonts w:asciiTheme="minorHAnsi" w:hAnsiTheme="minorHAnsi"/>
          <w:sz w:val="18"/>
          <w:szCs w:val="18"/>
        </w:rPr>
      </w:pPr>
    </w:p>
    <w:p w:rsidR="00B237F8" w:rsidRPr="00B237F8" w:rsidRDefault="00B237F8" w:rsidP="00B237F8">
      <w:pPr>
        <w:jc w:val="both"/>
        <w:rPr>
          <w:rFonts w:asciiTheme="minorHAnsi" w:hAnsiTheme="minorHAnsi"/>
          <w:sz w:val="18"/>
          <w:szCs w:val="18"/>
        </w:rPr>
      </w:pPr>
      <w:r w:rsidRPr="00B237F8">
        <w:rPr>
          <w:rFonts w:asciiTheme="minorHAnsi" w:hAnsiTheme="minorHAnsi"/>
          <w:sz w:val="18"/>
          <w:szCs w:val="18"/>
        </w:rPr>
        <w:t xml:space="preserve">Ahora bien, en lo que insiste es en que el perjuicio irremediable deriva de la situación de salud de su hija; pero, a decir verdad, no se tiene noticia de que en la actualidad y para su tratamiento de migraña común, que es el diagnóstico anunciado en la historia clínica allegada, se le haya impedido acceder al servicio de salud del que viene gozando; ni que tal padecimiento sea de tal magnitud que le impida a la accionante desempeñar alguna actividad laboral con la cual subvenir sus necesidades básicas hasta tanto se define lo atinente a la pensión reclamada. </w:t>
      </w:r>
    </w:p>
    <w:p w:rsidR="00B237F8" w:rsidRPr="00B237F8" w:rsidRDefault="00B237F8" w:rsidP="00B237F8">
      <w:pPr>
        <w:jc w:val="both"/>
        <w:rPr>
          <w:rFonts w:asciiTheme="minorHAnsi" w:hAnsiTheme="minorHAnsi"/>
          <w:sz w:val="18"/>
          <w:szCs w:val="18"/>
        </w:rPr>
      </w:pPr>
    </w:p>
    <w:p w:rsidR="00B237F8" w:rsidRPr="00B237F8" w:rsidRDefault="00B237F8" w:rsidP="00B237F8">
      <w:pPr>
        <w:jc w:val="both"/>
        <w:rPr>
          <w:rFonts w:asciiTheme="minorHAnsi" w:hAnsiTheme="minorHAnsi"/>
          <w:sz w:val="18"/>
          <w:szCs w:val="18"/>
        </w:rPr>
      </w:pPr>
      <w:r w:rsidRPr="00B237F8">
        <w:rPr>
          <w:rFonts w:asciiTheme="minorHAnsi" w:hAnsiTheme="minorHAnsi"/>
          <w:sz w:val="18"/>
          <w:szCs w:val="18"/>
        </w:rPr>
        <w:t>Quiere lo anterior significar que nada le obstaculiza afrontar el proceso que tiene a su alcance tendiente a establecer si tiene derecho a obtener la sustitución pensional correspondiente.</w:t>
      </w:r>
    </w:p>
    <w:p w:rsidR="00B237F8" w:rsidRPr="00B237F8" w:rsidRDefault="00B237F8" w:rsidP="00B237F8">
      <w:pPr>
        <w:jc w:val="both"/>
        <w:rPr>
          <w:rFonts w:asciiTheme="minorHAnsi" w:hAnsiTheme="minorHAnsi"/>
          <w:sz w:val="18"/>
          <w:szCs w:val="18"/>
        </w:rPr>
      </w:pPr>
    </w:p>
    <w:p w:rsidR="00B237F8" w:rsidRPr="00B237F8" w:rsidRDefault="00B237F8" w:rsidP="00B237F8">
      <w:pPr>
        <w:jc w:val="both"/>
        <w:rPr>
          <w:rFonts w:asciiTheme="minorHAnsi" w:hAnsiTheme="minorHAnsi"/>
          <w:sz w:val="18"/>
          <w:szCs w:val="18"/>
        </w:rPr>
      </w:pPr>
      <w:r w:rsidRPr="00B237F8">
        <w:rPr>
          <w:rFonts w:asciiTheme="minorHAnsi" w:hAnsiTheme="minorHAnsi"/>
          <w:sz w:val="18"/>
          <w:szCs w:val="18"/>
        </w:rPr>
        <w:t>En tales condiciones, se prohijará el fallo de primer grado con una precisión de técnica, en el sentido de que simplemente ha debido declararse improcedente y no negar el amparo, pues lo primero implica que no haya un análisis de fondo de la cuestión, que sí debe realizarse cuando se deniega.</w:t>
      </w:r>
      <w:r>
        <w:rPr>
          <w:rFonts w:asciiTheme="minorHAnsi" w:hAnsiTheme="minorHAnsi"/>
          <w:sz w:val="18"/>
          <w:szCs w:val="18"/>
        </w:rPr>
        <w:t>”</w:t>
      </w:r>
    </w:p>
    <w:p w:rsidR="00B237F8" w:rsidRPr="00B237F8" w:rsidRDefault="00B237F8" w:rsidP="00B237F8">
      <w:pPr>
        <w:jc w:val="both"/>
        <w:rPr>
          <w:rFonts w:asciiTheme="minorHAnsi" w:hAnsiTheme="minorHAnsi"/>
          <w:sz w:val="18"/>
          <w:szCs w:val="18"/>
        </w:rPr>
      </w:pPr>
    </w:p>
    <w:p w:rsidR="00B237F8" w:rsidRPr="00B237F8" w:rsidRDefault="00B237F8" w:rsidP="00B237F8">
      <w:pPr>
        <w:jc w:val="both"/>
        <w:rPr>
          <w:rFonts w:asciiTheme="minorHAnsi" w:hAnsiTheme="minorHAnsi"/>
          <w:sz w:val="18"/>
          <w:szCs w:val="18"/>
        </w:rPr>
      </w:pPr>
      <w:bookmarkStart w:id="0" w:name="_GoBack"/>
      <w:r w:rsidRPr="00B237F8">
        <w:rPr>
          <w:rFonts w:asciiTheme="minorHAnsi" w:hAnsiTheme="minorHAnsi"/>
          <w:b/>
          <w:sz w:val="18"/>
          <w:szCs w:val="18"/>
        </w:rPr>
        <w:t>Citación jurisprudencial:</w:t>
      </w:r>
      <w:r w:rsidRPr="00B237F8">
        <w:rPr>
          <w:rFonts w:asciiTheme="minorHAnsi" w:hAnsiTheme="minorHAnsi"/>
          <w:sz w:val="18"/>
          <w:szCs w:val="18"/>
        </w:rPr>
        <w:t xml:space="preserve"> </w:t>
      </w:r>
      <w:bookmarkEnd w:id="0"/>
      <w:r w:rsidRPr="00B237F8">
        <w:rPr>
          <w:rFonts w:asciiTheme="minorHAnsi" w:hAnsiTheme="minorHAnsi"/>
          <w:sz w:val="18"/>
          <w:szCs w:val="18"/>
        </w:rPr>
        <w:t>Sentencia T-138 de 2010. / Sentencia T-239 de 2008. / Sentencia T-344 de 2011</w:t>
      </w:r>
    </w:p>
    <w:p w:rsidR="00B237F8" w:rsidRPr="003C29E5" w:rsidRDefault="00B237F8" w:rsidP="00B237F8">
      <w:pPr>
        <w:tabs>
          <w:tab w:val="left" w:pos="2835"/>
        </w:tabs>
        <w:spacing w:line="276" w:lineRule="auto"/>
        <w:jc w:val="both"/>
        <w:rPr>
          <w:rFonts w:ascii="Gadugi" w:hAnsi="Gadugi" w:cs="Arial"/>
          <w:b/>
          <w:bCs/>
          <w:sz w:val="24"/>
          <w:szCs w:val="24"/>
          <w:lang w:val="es-CO"/>
          <w14:shadow w14:blurRad="50800" w14:dist="38100" w14:dir="2700000" w14:sx="100000" w14:sy="100000" w14:kx="0" w14:ky="0" w14:algn="tl">
            <w14:srgbClr w14:val="000000">
              <w14:alpha w14:val="60000"/>
            </w14:srgbClr>
          </w14:shadow>
        </w:rPr>
      </w:pPr>
    </w:p>
    <w:p w:rsidR="00B237F8" w:rsidRDefault="00B237F8" w:rsidP="00B237F8">
      <w:pPr>
        <w:spacing w:line="276"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Pr>
          <w:rFonts w:ascii="Gadugi" w:hAnsi="Gadugi"/>
          <w:b/>
          <w:bCs/>
          <w:sz w:val="26"/>
          <w:szCs w:val="26"/>
          <w14:shadow w14:blurRad="50800" w14:dist="38100" w14:dir="2700000" w14:sx="100000" w14:sy="100000" w14:kx="0" w14:ky="0" w14:algn="tl">
            <w14:srgbClr w14:val="000000">
              <w14:alpha w14:val="60000"/>
            </w14:srgbClr>
          </w14:shadow>
        </w:rPr>
        <w:t>---------------------------------------</w:t>
      </w:r>
    </w:p>
    <w:p w:rsidR="00B237F8" w:rsidRPr="00B237F8" w:rsidRDefault="00B237F8" w:rsidP="00B237F8">
      <w:pPr>
        <w:spacing w:line="276"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sidRPr="00B237F8">
        <w:rPr>
          <w:rFonts w:ascii="Gadugi" w:hAnsi="Gadugi"/>
          <w:b/>
          <w:bCs/>
          <w:sz w:val="26"/>
          <w:szCs w:val="26"/>
          <w14:shadow w14:blurRad="50800" w14:dist="38100" w14:dir="2700000" w14:sx="100000" w14:sy="100000" w14:kx="0" w14:ky="0" w14:algn="tl">
            <w14:srgbClr w14:val="000000">
              <w14:alpha w14:val="60000"/>
            </w14:srgbClr>
          </w14:shadow>
        </w:rPr>
        <w:t>TRIBUNAL SUPERIOR DEL DISTRITO JUDICIAL</w:t>
      </w:r>
    </w:p>
    <w:p w:rsidR="00B237F8" w:rsidRPr="00B237F8" w:rsidRDefault="00B237F8" w:rsidP="00B237F8">
      <w:pPr>
        <w:spacing w:line="276" w:lineRule="auto"/>
        <w:ind w:firstLine="2835"/>
        <w:jc w:val="both"/>
        <w:rPr>
          <w:rFonts w:ascii="Gadugi" w:hAnsi="Gadugi"/>
          <w:b/>
          <w:bCs/>
          <w:sz w:val="26"/>
          <w:szCs w:val="26"/>
          <w14:shadow w14:blurRad="50800" w14:dist="38100" w14:dir="2700000" w14:sx="100000" w14:sy="100000" w14:kx="0" w14:ky="0" w14:algn="tl">
            <w14:srgbClr w14:val="000000">
              <w14:alpha w14:val="60000"/>
            </w14:srgbClr>
          </w14:shadow>
        </w:rPr>
      </w:pPr>
      <w:r w:rsidRPr="00B237F8">
        <w:rPr>
          <w:rFonts w:ascii="Gadugi" w:hAnsi="Gadugi"/>
          <w:b/>
          <w:bCs/>
          <w:sz w:val="26"/>
          <w:szCs w:val="26"/>
          <w14:shadow w14:blurRad="50800" w14:dist="38100" w14:dir="2700000" w14:sx="100000" w14:sy="100000" w14:kx="0" w14:ky="0" w14:algn="tl">
            <w14:srgbClr w14:val="000000">
              <w14:alpha w14:val="60000"/>
            </w14:srgbClr>
          </w14:shadow>
        </w:rPr>
        <w:t xml:space="preserve">        </w:t>
      </w:r>
      <w:r w:rsidRPr="00B237F8">
        <w:rPr>
          <w:rFonts w:ascii="Gadugi" w:hAnsi="Gadugi"/>
          <w:b/>
          <w:bCs/>
          <w:sz w:val="26"/>
          <w:szCs w:val="26"/>
          <w:lang w:val="es-419"/>
          <w14:shadow w14:blurRad="50800" w14:dist="38100" w14:dir="2700000" w14:sx="100000" w14:sy="100000" w14:kx="0" w14:ky="0" w14:algn="tl">
            <w14:srgbClr w14:val="000000">
              <w14:alpha w14:val="60000"/>
            </w14:srgbClr>
          </w14:shadow>
        </w:rPr>
        <w:t xml:space="preserve">  </w:t>
      </w:r>
      <w:r w:rsidRPr="00B237F8">
        <w:rPr>
          <w:rFonts w:ascii="Gadugi" w:hAnsi="Gadugi"/>
          <w:b/>
          <w:bCs/>
          <w:sz w:val="26"/>
          <w:szCs w:val="26"/>
          <w14:shadow w14:blurRad="50800" w14:dist="38100" w14:dir="2700000" w14:sx="100000" w14:sy="100000" w14:kx="0" w14:ky="0" w14:algn="tl">
            <w14:srgbClr w14:val="000000">
              <w14:alpha w14:val="60000"/>
            </w14:srgbClr>
          </w14:shadow>
        </w:rPr>
        <w:t>SALA DE DECISIÓN CIVIL FAMILIA</w:t>
      </w:r>
    </w:p>
    <w:p w:rsidR="00B237F8" w:rsidRPr="005871FB" w:rsidRDefault="00B237F8" w:rsidP="00B237F8">
      <w:pPr>
        <w:spacing w:line="276" w:lineRule="auto"/>
        <w:ind w:firstLine="2835"/>
        <w:jc w:val="both"/>
        <w:rPr>
          <w:rFonts w:ascii="Gadugi" w:hAnsi="Gadugi"/>
          <w:sz w:val="24"/>
          <w:szCs w:val="24"/>
        </w:rPr>
      </w:pPr>
    </w:p>
    <w:p w:rsidR="00B237F8" w:rsidRPr="005871FB" w:rsidRDefault="00B237F8" w:rsidP="00B237F8">
      <w:pPr>
        <w:spacing w:line="276" w:lineRule="auto"/>
        <w:ind w:firstLine="2835"/>
        <w:jc w:val="both"/>
        <w:rPr>
          <w:rFonts w:ascii="Gadugi" w:hAnsi="Gadugi"/>
          <w:sz w:val="24"/>
          <w:szCs w:val="24"/>
        </w:rPr>
      </w:pPr>
    </w:p>
    <w:p w:rsidR="00B237F8" w:rsidRPr="005871FB" w:rsidRDefault="00B237F8" w:rsidP="00B237F8">
      <w:pPr>
        <w:spacing w:line="276" w:lineRule="auto"/>
        <w:ind w:firstLine="2835"/>
        <w:jc w:val="both"/>
        <w:rPr>
          <w:rFonts w:ascii="Gadugi" w:hAnsi="Gadugi" w:cs="Arial"/>
          <w:sz w:val="24"/>
          <w:szCs w:val="24"/>
        </w:rPr>
      </w:pPr>
      <w:r w:rsidRPr="005871FB">
        <w:rPr>
          <w:rFonts w:ascii="Gadugi" w:hAnsi="Gadugi" w:cs="Arial"/>
          <w:sz w:val="24"/>
          <w:szCs w:val="24"/>
        </w:rPr>
        <w:t>Magistrado Ponente: Jaime Alberto Saraza Naranjo</w:t>
      </w:r>
    </w:p>
    <w:p w:rsidR="00B237F8" w:rsidRPr="00955514" w:rsidRDefault="00B237F8" w:rsidP="00B237F8">
      <w:pPr>
        <w:spacing w:line="276" w:lineRule="auto"/>
        <w:ind w:firstLine="2835"/>
        <w:jc w:val="both"/>
        <w:rPr>
          <w:rFonts w:ascii="Gadugi" w:hAnsi="Gadugi" w:cs="Arial"/>
          <w:sz w:val="24"/>
          <w:szCs w:val="24"/>
          <w:lang w:val="es-419"/>
        </w:rPr>
      </w:pPr>
      <w:r w:rsidRPr="005871FB">
        <w:rPr>
          <w:rFonts w:ascii="Gadugi" w:hAnsi="Gadugi" w:cs="Arial"/>
          <w:sz w:val="24"/>
          <w:szCs w:val="24"/>
        </w:rPr>
        <w:t xml:space="preserve">Pereira, </w:t>
      </w:r>
      <w:r>
        <w:rPr>
          <w:rFonts w:ascii="Gadugi" w:hAnsi="Gadugi" w:cs="Arial"/>
          <w:sz w:val="24"/>
          <w:szCs w:val="24"/>
          <w:lang w:val="es-419"/>
        </w:rPr>
        <w:t>noviembre dos de dos mil dieciséis</w:t>
      </w:r>
    </w:p>
    <w:p w:rsidR="00B237F8" w:rsidRPr="005871FB" w:rsidRDefault="00B237F8" w:rsidP="00B237F8">
      <w:pPr>
        <w:spacing w:line="276" w:lineRule="auto"/>
        <w:ind w:firstLine="2835"/>
        <w:jc w:val="both"/>
        <w:rPr>
          <w:rFonts w:ascii="Gadugi" w:hAnsi="Gadugi" w:cs="Arial"/>
          <w:sz w:val="24"/>
          <w:szCs w:val="24"/>
        </w:rPr>
      </w:pPr>
      <w:r w:rsidRPr="005871FB">
        <w:rPr>
          <w:rFonts w:ascii="Gadugi" w:hAnsi="Gadugi" w:cs="Arial"/>
          <w:sz w:val="24"/>
          <w:szCs w:val="24"/>
        </w:rPr>
        <w:t>Expediente 66001-31-03-003-2016-00342-01</w:t>
      </w:r>
    </w:p>
    <w:p w:rsidR="00B237F8" w:rsidRPr="00955514" w:rsidRDefault="00B237F8" w:rsidP="00B237F8">
      <w:pPr>
        <w:spacing w:line="276" w:lineRule="auto"/>
        <w:ind w:firstLine="2835"/>
        <w:jc w:val="both"/>
        <w:rPr>
          <w:rFonts w:ascii="Gadugi" w:hAnsi="Gadugi" w:cs="Arial"/>
          <w:sz w:val="24"/>
          <w:szCs w:val="24"/>
          <w:lang w:val="es-419"/>
        </w:rPr>
      </w:pPr>
      <w:r w:rsidRPr="005871FB">
        <w:rPr>
          <w:rFonts w:ascii="Gadugi" w:hAnsi="Gadugi" w:cs="Arial"/>
          <w:sz w:val="24"/>
          <w:szCs w:val="24"/>
        </w:rPr>
        <w:t xml:space="preserve">Acta N° </w:t>
      </w:r>
      <w:r>
        <w:rPr>
          <w:rFonts w:ascii="Gadugi" w:hAnsi="Gadugi" w:cs="Arial"/>
          <w:sz w:val="24"/>
          <w:szCs w:val="24"/>
          <w:lang w:val="es-419"/>
        </w:rPr>
        <w:t>523 de noviembre 2 de 2016</w:t>
      </w: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b/>
          <w:sz w:val="24"/>
          <w:szCs w:val="24"/>
        </w:rPr>
      </w:pPr>
      <w:r w:rsidRPr="005871FB">
        <w:rPr>
          <w:rFonts w:ascii="Gadugi" w:hAnsi="Gadugi" w:cs="Arial"/>
          <w:sz w:val="24"/>
          <w:szCs w:val="24"/>
        </w:rPr>
        <w:t xml:space="preserve">Decide </w:t>
      </w:r>
      <w:smartTag w:uri="urn:schemas-microsoft-com:office:smarttags" w:element="PersonName">
        <w:smartTagPr>
          <w:attr w:name="ProductID" w:val="la Sala"/>
        </w:smartTagPr>
        <w:r w:rsidRPr="005871FB">
          <w:rPr>
            <w:rFonts w:ascii="Gadugi" w:hAnsi="Gadugi" w:cs="Arial"/>
            <w:sz w:val="24"/>
            <w:szCs w:val="24"/>
          </w:rPr>
          <w:t>la Sala</w:t>
        </w:r>
      </w:smartTag>
      <w:r w:rsidRPr="005871FB">
        <w:rPr>
          <w:rFonts w:ascii="Gadugi" w:hAnsi="Gadugi" w:cs="Arial"/>
          <w:sz w:val="24"/>
          <w:szCs w:val="24"/>
        </w:rPr>
        <w:t xml:space="preserve"> la impugnación interpuesta por la demandante contra la sentencia proferida el 9 de septiembre último por el Juzgado Tercero Civil del Circuito local, en esta acción de tutela propuesta por </w:t>
      </w:r>
      <w:r w:rsidRPr="005871FB">
        <w:rPr>
          <w:rFonts w:ascii="Gadugi" w:hAnsi="Gadugi" w:cs="Arial"/>
          <w:b/>
          <w:sz w:val="24"/>
          <w:szCs w:val="24"/>
        </w:rPr>
        <w:t xml:space="preserve">Alba Doris </w:t>
      </w:r>
      <w:r w:rsidRPr="005871FB">
        <w:rPr>
          <w:rFonts w:ascii="Gadugi" w:hAnsi="Gadugi" w:cs="Arial"/>
          <w:b/>
          <w:sz w:val="24"/>
          <w:szCs w:val="24"/>
        </w:rPr>
        <w:lastRenderedPageBreak/>
        <w:t xml:space="preserve">Sánchez Zapata </w:t>
      </w:r>
      <w:r w:rsidRPr="005871FB">
        <w:rPr>
          <w:rFonts w:ascii="Gadugi" w:hAnsi="Gadugi" w:cs="Arial"/>
          <w:sz w:val="24"/>
          <w:szCs w:val="24"/>
        </w:rPr>
        <w:t xml:space="preserve">frente a la </w:t>
      </w:r>
      <w:r w:rsidRPr="005871FB">
        <w:rPr>
          <w:rFonts w:ascii="Gadugi" w:hAnsi="Gadugi" w:cs="Arial"/>
          <w:b/>
          <w:sz w:val="24"/>
          <w:szCs w:val="24"/>
        </w:rPr>
        <w:t xml:space="preserve">Secretaría de Educación del Departamento de Risaralda </w:t>
      </w:r>
      <w:r w:rsidRPr="005871FB">
        <w:rPr>
          <w:rFonts w:ascii="Gadugi" w:hAnsi="Gadugi" w:cs="Arial"/>
          <w:sz w:val="24"/>
          <w:szCs w:val="24"/>
        </w:rPr>
        <w:t xml:space="preserve">y la </w:t>
      </w:r>
      <w:r w:rsidRPr="005871FB">
        <w:rPr>
          <w:rFonts w:ascii="Gadugi" w:hAnsi="Gadugi" w:cs="Arial"/>
          <w:b/>
          <w:sz w:val="24"/>
          <w:szCs w:val="24"/>
        </w:rPr>
        <w:t xml:space="preserve">Gobernación de Risaralda, </w:t>
      </w:r>
      <w:r w:rsidRPr="005871FB">
        <w:rPr>
          <w:rFonts w:ascii="Gadugi" w:hAnsi="Gadugi" w:cs="Arial"/>
          <w:sz w:val="24"/>
          <w:szCs w:val="24"/>
        </w:rPr>
        <w:t xml:space="preserve">a la que fue vinculado </w:t>
      </w:r>
      <w:r w:rsidRPr="005871FB">
        <w:rPr>
          <w:rFonts w:ascii="Gadugi" w:hAnsi="Gadugi" w:cs="Arial"/>
          <w:b/>
          <w:sz w:val="24"/>
          <w:szCs w:val="24"/>
        </w:rPr>
        <w:t>Rafael Ángel González Suárez.</w:t>
      </w:r>
    </w:p>
    <w:p w:rsidR="00B237F8" w:rsidRPr="005871FB" w:rsidRDefault="00B237F8" w:rsidP="00B237F8">
      <w:pPr>
        <w:spacing w:line="276" w:lineRule="auto"/>
        <w:ind w:firstLine="2835"/>
        <w:jc w:val="both"/>
        <w:rPr>
          <w:rFonts w:ascii="Gadugi" w:hAnsi="Gadugi" w:cs="Arial"/>
          <w:i/>
          <w:sz w:val="24"/>
          <w:szCs w:val="24"/>
        </w:rPr>
      </w:pPr>
    </w:p>
    <w:p w:rsidR="00B237F8" w:rsidRPr="005871FB" w:rsidRDefault="00B237F8" w:rsidP="00B237F8">
      <w:pPr>
        <w:spacing w:line="276" w:lineRule="auto"/>
        <w:ind w:firstLine="2835"/>
        <w:jc w:val="both"/>
        <w:rPr>
          <w:rFonts w:ascii="Gadugi" w:hAnsi="Gadugi" w:cs="Arial"/>
          <w:b/>
          <w:bCs/>
          <w:i/>
          <w:sz w:val="24"/>
          <w:szCs w:val="24"/>
        </w:rPr>
      </w:pPr>
    </w:p>
    <w:p w:rsidR="00B237F8" w:rsidRPr="005871FB" w:rsidRDefault="00B237F8" w:rsidP="00B237F8">
      <w:pPr>
        <w:spacing w:line="276" w:lineRule="auto"/>
        <w:ind w:firstLine="2835"/>
        <w:jc w:val="both"/>
        <w:rPr>
          <w:rFonts w:ascii="Gadugi" w:hAnsi="Gadugi" w:cs="Arial"/>
          <w:b/>
          <w:bCs/>
          <w:sz w:val="24"/>
          <w:szCs w:val="24"/>
        </w:rPr>
      </w:pPr>
      <w:r w:rsidRPr="005871FB">
        <w:rPr>
          <w:rFonts w:ascii="Gadugi" w:hAnsi="Gadugi" w:cs="Arial"/>
          <w:b/>
          <w:bCs/>
          <w:sz w:val="24"/>
          <w:szCs w:val="24"/>
        </w:rPr>
        <w:t>ANTECEDENTES</w:t>
      </w: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pStyle w:val="Sangra2detindependiente"/>
        <w:spacing w:after="0" w:line="276" w:lineRule="auto"/>
        <w:ind w:left="0" w:firstLine="2835"/>
        <w:jc w:val="both"/>
        <w:rPr>
          <w:rFonts w:ascii="Gadugi" w:hAnsi="Gadugi"/>
          <w:sz w:val="24"/>
          <w:szCs w:val="24"/>
        </w:rPr>
      </w:pPr>
      <w:r w:rsidRPr="005871FB">
        <w:rPr>
          <w:rFonts w:ascii="Gadugi" w:hAnsi="Gadugi"/>
          <w:sz w:val="24"/>
          <w:szCs w:val="24"/>
        </w:rPr>
        <w:t xml:space="preserve">En su propio nombre, Alba Doris Zapata Sánchez, presentó </w:t>
      </w:r>
      <w:r w:rsidRPr="005871FB">
        <w:rPr>
          <w:rFonts w:ascii="Gadugi" w:hAnsi="Gadugi"/>
          <w:sz w:val="24"/>
          <w:szCs w:val="24"/>
          <w:lang w:val="es-419"/>
        </w:rPr>
        <w:t xml:space="preserve">esta </w:t>
      </w:r>
      <w:r w:rsidRPr="005871FB">
        <w:rPr>
          <w:rFonts w:ascii="Gadugi" w:hAnsi="Gadugi"/>
          <w:sz w:val="24"/>
          <w:szCs w:val="24"/>
        </w:rPr>
        <w:t xml:space="preserve">acción de tutela en contra de la Secretaría de Educación Departamental y la Gobernación de Risaralda, en procura de la protección de los derechos  </w:t>
      </w:r>
      <w:r w:rsidRPr="005871FB">
        <w:rPr>
          <w:rFonts w:ascii="Gadugi" w:hAnsi="Gadugi"/>
          <w:i/>
          <w:sz w:val="24"/>
          <w:szCs w:val="24"/>
        </w:rPr>
        <w:t>“al mínimo vital y vida digna”</w:t>
      </w:r>
      <w:r w:rsidRPr="005871FB">
        <w:rPr>
          <w:rFonts w:ascii="Gadugi" w:hAnsi="Gadugi"/>
          <w:sz w:val="24"/>
          <w:szCs w:val="24"/>
        </w:rPr>
        <w:t>, vulnerados, afirma, por dichas entidades.</w:t>
      </w:r>
    </w:p>
    <w:p w:rsidR="00B237F8" w:rsidRPr="005871FB" w:rsidRDefault="00B237F8" w:rsidP="00B237F8">
      <w:pPr>
        <w:pStyle w:val="Sangra2detindependiente"/>
        <w:spacing w:after="0" w:line="276" w:lineRule="auto"/>
        <w:ind w:left="0" w:firstLine="2835"/>
        <w:jc w:val="both"/>
        <w:rPr>
          <w:rFonts w:ascii="Gadugi" w:hAnsi="Gadugi"/>
          <w:sz w:val="24"/>
          <w:szCs w:val="24"/>
        </w:rPr>
      </w:pPr>
      <w:r w:rsidRPr="005871FB">
        <w:rPr>
          <w:rFonts w:ascii="Gadugi" w:hAnsi="Gadugi"/>
          <w:sz w:val="24"/>
          <w:szCs w:val="24"/>
        </w:rPr>
        <w:t xml:space="preserve"> </w:t>
      </w:r>
    </w:p>
    <w:p w:rsidR="00B237F8" w:rsidRPr="005871FB" w:rsidRDefault="00B237F8" w:rsidP="00B237F8">
      <w:pPr>
        <w:pStyle w:val="Sangra2detindependiente"/>
        <w:spacing w:after="0" w:line="276" w:lineRule="auto"/>
        <w:ind w:left="0" w:firstLine="2835"/>
        <w:jc w:val="both"/>
        <w:rPr>
          <w:rFonts w:ascii="Gadugi" w:hAnsi="Gadugi"/>
          <w:sz w:val="24"/>
          <w:szCs w:val="24"/>
        </w:rPr>
      </w:pPr>
      <w:r w:rsidRPr="005871FB">
        <w:rPr>
          <w:rFonts w:ascii="Gadugi" w:hAnsi="Gadugi"/>
          <w:sz w:val="24"/>
          <w:szCs w:val="24"/>
        </w:rPr>
        <w:t>Indicó</w:t>
      </w:r>
      <w:r>
        <w:rPr>
          <w:rFonts w:ascii="Gadugi" w:hAnsi="Gadugi"/>
          <w:sz w:val="24"/>
          <w:szCs w:val="24"/>
          <w:lang w:val="es-419"/>
        </w:rPr>
        <w:t xml:space="preserve"> </w:t>
      </w:r>
      <w:r w:rsidRPr="005871FB">
        <w:rPr>
          <w:rFonts w:ascii="Gadugi" w:hAnsi="Gadugi"/>
          <w:sz w:val="24"/>
          <w:szCs w:val="24"/>
        </w:rPr>
        <w:t xml:space="preserve">que el 14 de enero de 2016 falleció el señor Benjamín Antonio Castañeda Osorio con quien convivía </w:t>
      </w:r>
      <w:proofErr w:type="spellStart"/>
      <w:r w:rsidRPr="005871FB">
        <w:rPr>
          <w:rFonts w:ascii="Gadugi" w:hAnsi="Gadugi"/>
          <w:sz w:val="24"/>
          <w:szCs w:val="24"/>
        </w:rPr>
        <w:t>hac</w:t>
      </w:r>
      <w:proofErr w:type="spellEnd"/>
      <w:r>
        <w:rPr>
          <w:rFonts w:ascii="Gadugi" w:hAnsi="Gadugi"/>
          <w:sz w:val="24"/>
          <w:szCs w:val="24"/>
          <w:lang w:val="es-419"/>
        </w:rPr>
        <w:t>ía</w:t>
      </w:r>
      <w:r w:rsidRPr="005871FB">
        <w:rPr>
          <w:rFonts w:ascii="Gadugi" w:hAnsi="Gadugi"/>
          <w:sz w:val="24"/>
          <w:szCs w:val="24"/>
        </w:rPr>
        <w:t xml:space="preserve"> más de 8 años compartiendo techo y lecho</w:t>
      </w:r>
      <w:r>
        <w:rPr>
          <w:rFonts w:ascii="Gadugi" w:hAnsi="Gadugi"/>
          <w:sz w:val="24"/>
          <w:szCs w:val="24"/>
          <w:lang w:val="es-419"/>
        </w:rPr>
        <w:t xml:space="preserve">; </w:t>
      </w:r>
      <w:r w:rsidRPr="005871FB">
        <w:rPr>
          <w:rFonts w:ascii="Gadugi" w:hAnsi="Gadugi"/>
          <w:sz w:val="24"/>
          <w:szCs w:val="24"/>
        </w:rPr>
        <w:t xml:space="preserve">solicitó la sustitución pensional en calidad de cónyuge sobreviviente, pero se le negó esa prestación, con el argumento de que no cumplía con el requisito de convivencia declarado judicialmente por más de 5 </w:t>
      </w:r>
      <w:r>
        <w:rPr>
          <w:rFonts w:ascii="Gadugi" w:hAnsi="Gadugi"/>
          <w:sz w:val="24"/>
          <w:szCs w:val="24"/>
        </w:rPr>
        <w:t>años, sin que ello corresponda</w:t>
      </w:r>
      <w:r w:rsidRPr="005871FB">
        <w:rPr>
          <w:rFonts w:ascii="Gadugi" w:hAnsi="Gadugi"/>
          <w:sz w:val="24"/>
          <w:szCs w:val="24"/>
        </w:rPr>
        <w:t xml:space="preserve"> a un presupuesto legal</w:t>
      </w:r>
      <w:r>
        <w:rPr>
          <w:rFonts w:ascii="Gadugi" w:hAnsi="Gadugi"/>
          <w:sz w:val="24"/>
          <w:szCs w:val="24"/>
          <w:lang w:val="es-419"/>
        </w:rPr>
        <w:t>.</w:t>
      </w:r>
      <w:r w:rsidRPr="005871FB">
        <w:rPr>
          <w:rFonts w:ascii="Gadugi" w:hAnsi="Gadugi"/>
          <w:sz w:val="24"/>
          <w:szCs w:val="24"/>
        </w:rPr>
        <w:t xml:space="preserve"> </w:t>
      </w:r>
      <w:r>
        <w:rPr>
          <w:rFonts w:ascii="Gadugi" w:hAnsi="Gadugi"/>
          <w:sz w:val="24"/>
          <w:szCs w:val="24"/>
          <w:lang w:val="es-419"/>
        </w:rPr>
        <w:t xml:space="preserve">Agregó que </w:t>
      </w:r>
      <w:r w:rsidRPr="005871FB">
        <w:rPr>
          <w:rFonts w:ascii="Gadugi" w:hAnsi="Gadugi"/>
          <w:sz w:val="24"/>
          <w:szCs w:val="24"/>
        </w:rPr>
        <w:t xml:space="preserve">con la declaración </w:t>
      </w:r>
      <w:proofErr w:type="spellStart"/>
      <w:r w:rsidRPr="005871FB">
        <w:rPr>
          <w:rFonts w:ascii="Gadugi" w:hAnsi="Gadugi"/>
          <w:sz w:val="24"/>
          <w:szCs w:val="24"/>
        </w:rPr>
        <w:t>extrajuicio</w:t>
      </w:r>
      <w:proofErr w:type="spellEnd"/>
      <w:r w:rsidRPr="005871FB">
        <w:rPr>
          <w:rFonts w:ascii="Gadugi" w:hAnsi="Gadugi"/>
          <w:sz w:val="24"/>
          <w:szCs w:val="24"/>
        </w:rPr>
        <w:t xml:space="preserve"> del 25 de julio de 2012 rendida por </w:t>
      </w:r>
      <w:r>
        <w:rPr>
          <w:rFonts w:ascii="Gadugi" w:hAnsi="Gadugi"/>
          <w:sz w:val="24"/>
          <w:szCs w:val="24"/>
          <w:lang w:val="es-419"/>
        </w:rPr>
        <w:t>Ó</w:t>
      </w:r>
      <w:r w:rsidRPr="005871FB">
        <w:rPr>
          <w:rFonts w:ascii="Gadugi" w:hAnsi="Gadugi"/>
          <w:sz w:val="24"/>
          <w:szCs w:val="24"/>
        </w:rPr>
        <w:t xml:space="preserve">mar Julián Cárdenas Gallego, se </w:t>
      </w:r>
      <w:r>
        <w:rPr>
          <w:rFonts w:ascii="Gadugi" w:hAnsi="Gadugi"/>
          <w:sz w:val="24"/>
          <w:szCs w:val="24"/>
          <w:lang w:val="es-419"/>
        </w:rPr>
        <w:t xml:space="preserve">acreditó la unión marital </w:t>
      </w:r>
      <w:r w:rsidRPr="005871FB">
        <w:rPr>
          <w:rFonts w:ascii="Gadugi" w:hAnsi="Gadugi"/>
          <w:sz w:val="24"/>
          <w:szCs w:val="24"/>
        </w:rPr>
        <w:t xml:space="preserve">de hecho desde el año 2004 y </w:t>
      </w:r>
      <w:r>
        <w:rPr>
          <w:rFonts w:ascii="Gadugi" w:hAnsi="Gadugi"/>
          <w:sz w:val="24"/>
          <w:szCs w:val="24"/>
          <w:lang w:val="es-419"/>
        </w:rPr>
        <w:t>l</w:t>
      </w:r>
      <w:r w:rsidRPr="005871FB">
        <w:rPr>
          <w:rFonts w:ascii="Gadugi" w:hAnsi="Gadugi"/>
          <w:sz w:val="24"/>
          <w:szCs w:val="24"/>
        </w:rPr>
        <w:t xml:space="preserve">a accionante dependía de su </w:t>
      </w:r>
      <w:r>
        <w:rPr>
          <w:rFonts w:ascii="Gadugi" w:hAnsi="Gadugi"/>
          <w:sz w:val="24"/>
          <w:szCs w:val="24"/>
          <w:lang w:val="es-419"/>
        </w:rPr>
        <w:t xml:space="preserve">consorte, lo que </w:t>
      </w:r>
      <w:r w:rsidRPr="005871FB">
        <w:rPr>
          <w:rFonts w:ascii="Gadugi" w:hAnsi="Gadugi"/>
          <w:sz w:val="24"/>
          <w:szCs w:val="24"/>
        </w:rPr>
        <w:t>dejó asentado el causante en un documento del año 2012. Esta situación la u</w:t>
      </w:r>
      <w:r>
        <w:rPr>
          <w:rFonts w:ascii="Gadugi" w:hAnsi="Gadugi"/>
          <w:sz w:val="24"/>
          <w:szCs w:val="24"/>
          <w:lang w:val="es-419"/>
        </w:rPr>
        <w:t>b</w:t>
      </w:r>
      <w:proofErr w:type="spellStart"/>
      <w:r w:rsidRPr="005871FB">
        <w:rPr>
          <w:rFonts w:ascii="Gadugi" w:hAnsi="Gadugi"/>
          <w:sz w:val="24"/>
          <w:szCs w:val="24"/>
        </w:rPr>
        <w:t>ica</w:t>
      </w:r>
      <w:proofErr w:type="spellEnd"/>
      <w:r w:rsidRPr="005871FB">
        <w:rPr>
          <w:rFonts w:ascii="Gadugi" w:hAnsi="Gadugi"/>
          <w:sz w:val="24"/>
          <w:szCs w:val="24"/>
        </w:rPr>
        <w:t xml:space="preserve"> </w:t>
      </w:r>
      <w:r>
        <w:rPr>
          <w:rFonts w:ascii="Gadugi" w:hAnsi="Gadugi"/>
          <w:sz w:val="24"/>
          <w:szCs w:val="24"/>
          <w:lang w:val="es-419"/>
        </w:rPr>
        <w:t>en un estado de indefensión</w:t>
      </w:r>
      <w:r w:rsidRPr="005871FB">
        <w:rPr>
          <w:rFonts w:ascii="Gadugi" w:hAnsi="Gadugi"/>
          <w:sz w:val="24"/>
          <w:szCs w:val="24"/>
        </w:rPr>
        <w:t>, ya que no cuenta con otro sustento y su esposo siempre estuvo a cargo de las tareas del hogar y al cuidado de su hija que se encuentra enferma.</w:t>
      </w:r>
    </w:p>
    <w:p w:rsidR="00B237F8" w:rsidRPr="005871FB" w:rsidRDefault="00B237F8" w:rsidP="00B237F8">
      <w:pPr>
        <w:pStyle w:val="Sangra2detindependiente"/>
        <w:spacing w:after="0" w:line="276" w:lineRule="auto"/>
        <w:ind w:left="0" w:firstLine="2835"/>
        <w:jc w:val="both"/>
        <w:rPr>
          <w:rFonts w:ascii="Gadugi" w:hAnsi="Gadugi"/>
          <w:sz w:val="24"/>
          <w:szCs w:val="24"/>
        </w:rPr>
      </w:pPr>
    </w:p>
    <w:p w:rsidR="00B237F8" w:rsidRPr="005871FB" w:rsidRDefault="00B237F8" w:rsidP="00B237F8">
      <w:pPr>
        <w:pStyle w:val="Sangra2detindependiente"/>
        <w:spacing w:after="0" w:line="276" w:lineRule="auto"/>
        <w:ind w:left="0" w:firstLine="2835"/>
        <w:jc w:val="both"/>
        <w:rPr>
          <w:rFonts w:ascii="Gadugi" w:hAnsi="Gadugi"/>
          <w:sz w:val="24"/>
          <w:szCs w:val="24"/>
        </w:rPr>
      </w:pPr>
      <w:r w:rsidRPr="005871FB">
        <w:rPr>
          <w:rFonts w:ascii="Gadugi" w:hAnsi="Gadugi"/>
          <w:sz w:val="24"/>
          <w:szCs w:val="24"/>
        </w:rPr>
        <w:t>Pidió, por tanto, el amparo de los derechos señalados</w:t>
      </w:r>
      <w:r>
        <w:rPr>
          <w:rFonts w:ascii="Gadugi" w:hAnsi="Gadugi"/>
          <w:sz w:val="24"/>
          <w:szCs w:val="24"/>
          <w:lang w:val="es-419"/>
        </w:rPr>
        <w:t xml:space="preserve">, para evitar un </w:t>
      </w:r>
      <w:r w:rsidRPr="005871FB">
        <w:rPr>
          <w:rFonts w:ascii="Gadugi" w:hAnsi="Gadugi"/>
          <w:sz w:val="24"/>
          <w:szCs w:val="24"/>
        </w:rPr>
        <w:t xml:space="preserve">perjuicio irremediable respecto </w:t>
      </w:r>
      <w:r>
        <w:rPr>
          <w:rFonts w:ascii="Gadugi" w:hAnsi="Gadugi"/>
          <w:sz w:val="24"/>
          <w:szCs w:val="24"/>
          <w:lang w:val="es-419"/>
        </w:rPr>
        <w:t>de</w:t>
      </w:r>
      <w:r w:rsidRPr="005871FB">
        <w:rPr>
          <w:rFonts w:ascii="Gadugi" w:hAnsi="Gadugi"/>
          <w:sz w:val="24"/>
          <w:szCs w:val="24"/>
        </w:rPr>
        <w:t xml:space="preserve"> la salud de su hija</w:t>
      </w:r>
      <w:r>
        <w:rPr>
          <w:rFonts w:ascii="Gadugi" w:hAnsi="Gadugi"/>
          <w:sz w:val="24"/>
          <w:szCs w:val="24"/>
          <w:lang w:val="es-419"/>
        </w:rPr>
        <w:t xml:space="preserve">, por la omisión de la </w:t>
      </w:r>
      <w:r w:rsidRPr="005871FB">
        <w:rPr>
          <w:rFonts w:ascii="Gadugi" w:hAnsi="Gadugi"/>
          <w:sz w:val="24"/>
          <w:szCs w:val="24"/>
        </w:rPr>
        <w:t>sustitución pensional y</w:t>
      </w:r>
      <w:r>
        <w:rPr>
          <w:rFonts w:ascii="Gadugi" w:hAnsi="Gadugi"/>
          <w:sz w:val="24"/>
          <w:szCs w:val="24"/>
          <w:lang w:val="es-419"/>
        </w:rPr>
        <w:t xml:space="preserve">, en consecuencia, que se </w:t>
      </w:r>
      <w:r w:rsidRPr="005871FB">
        <w:rPr>
          <w:rFonts w:ascii="Gadugi" w:hAnsi="Gadugi"/>
          <w:sz w:val="24"/>
          <w:szCs w:val="24"/>
        </w:rPr>
        <w:t>ordene a las demandadas</w:t>
      </w:r>
      <w:r>
        <w:rPr>
          <w:rFonts w:ascii="Gadugi" w:hAnsi="Gadugi"/>
          <w:sz w:val="24"/>
          <w:szCs w:val="24"/>
          <w:lang w:val="es-419"/>
        </w:rPr>
        <w:t xml:space="preserve"> </w:t>
      </w:r>
      <w:r w:rsidRPr="005871FB">
        <w:rPr>
          <w:rFonts w:ascii="Gadugi" w:hAnsi="Gadugi"/>
          <w:sz w:val="24"/>
          <w:szCs w:val="24"/>
        </w:rPr>
        <w:t>emitir respuesta favorable a sus intereses.</w:t>
      </w:r>
    </w:p>
    <w:p w:rsidR="00B237F8" w:rsidRPr="005871FB" w:rsidRDefault="00B237F8" w:rsidP="00B237F8">
      <w:pPr>
        <w:pStyle w:val="Sangra2detindependiente"/>
        <w:spacing w:after="0" w:line="276" w:lineRule="auto"/>
        <w:ind w:left="0" w:firstLine="2835"/>
        <w:jc w:val="both"/>
        <w:rPr>
          <w:rFonts w:ascii="Gadugi" w:hAnsi="Gadugi"/>
          <w:sz w:val="24"/>
          <w:szCs w:val="24"/>
        </w:rPr>
      </w:pPr>
      <w:r w:rsidRPr="005871FB">
        <w:rPr>
          <w:rFonts w:ascii="Gadugi" w:hAnsi="Gadugi"/>
          <w:sz w:val="24"/>
          <w:szCs w:val="24"/>
        </w:rPr>
        <w:t>Con la demanda aportó copias, entre otras,  de las resoluciones expedidas en torno a su reclamación pensional</w:t>
      </w:r>
      <w:r>
        <w:rPr>
          <w:rFonts w:ascii="Gadugi" w:hAnsi="Gadugi"/>
          <w:sz w:val="24"/>
          <w:szCs w:val="24"/>
          <w:lang w:val="es-419"/>
        </w:rPr>
        <w:t xml:space="preserve"> y la </w:t>
      </w:r>
      <w:r w:rsidRPr="005871FB">
        <w:rPr>
          <w:rFonts w:ascii="Gadugi" w:hAnsi="Gadugi"/>
          <w:sz w:val="24"/>
          <w:szCs w:val="24"/>
        </w:rPr>
        <w:t>historia clínica de su hija que da cuenta de un diagnóstico de migraña común.</w:t>
      </w:r>
    </w:p>
    <w:p w:rsidR="00B237F8" w:rsidRPr="005871FB" w:rsidRDefault="00B237F8" w:rsidP="00B237F8">
      <w:pPr>
        <w:pStyle w:val="Sangra2detindependiente"/>
        <w:spacing w:after="0" w:line="276" w:lineRule="auto"/>
        <w:ind w:left="0" w:firstLine="2835"/>
        <w:jc w:val="both"/>
        <w:rPr>
          <w:rFonts w:ascii="Gadugi" w:hAnsi="Gadugi"/>
          <w:sz w:val="24"/>
          <w:szCs w:val="24"/>
        </w:rPr>
      </w:pPr>
    </w:p>
    <w:p w:rsidR="00B237F8" w:rsidRDefault="00B237F8" w:rsidP="00B237F8">
      <w:pPr>
        <w:spacing w:line="276" w:lineRule="auto"/>
        <w:jc w:val="both"/>
        <w:rPr>
          <w:rFonts w:ascii="Gadugi" w:hAnsi="Gadugi" w:cs="Arial"/>
          <w:sz w:val="24"/>
          <w:szCs w:val="24"/>
          <w:lang w:val="es-419"/>
        </w:rPr>
      </w:pPr>
      <w:r w:rsidRPr="005871FB">
        <w:rPr>
          <w:rFonts w:ascii="Gadugi" w:hAnsi="Gadugi" w:cs="Arial"/>
          <w:sz w:val="24"/>
          <w:szCs w:val="24"/>
        </w:rPr>
        <w:t xml:space="preserve">  </w:t>
      </w:r>
      <w:r w:rsidRPr="005871FB">
        <w:rPr>
          <w:rFonts w:ascii="Gadugi" w:hAnsi="Gadugi" w:cs="Arial"/>
          <w:sz w:val="24"/>
          <w:szCs w:val="24"/>
        </w:rPr>
        <w:tab/>
      </w:r>
      <w:r w:rsidRPr="005871FB">
        <w:rPr>
          <w:rFonts w:ascii="Gadugi" w:hAnsi="Gadugi" w:cs="Arial"/>
          <w:sz w:val="24"/>
          <w:szCs w:val="24"/>
        </w:rPr>
        <w:tab/>
      </w:r>
      <w:r w:rsidRPr="005871FB">
        <w:rPr>
          <w:rFonts w:ascii="Gadugi" w:hAnsi="Gadugi" w:cs="Arial"/>
          <w:sz w:val="24"/>
          <w:szCs w:val="24"/>
        </w:rPr>
        <w:tab/>
      </w:r>
      <w:r w:rsidRPr="005871FB">
        <w:rPr>
          <w:rFonts w:ascii="Gadugi" w:hAnsi="Gadugi" w:cs="Arial"/>
          <w:sz w:val="24"/>
          <w:szCs w:val="24"/>
        </w:rPr>
        <w:tab/>
        <w:t xml:space="preserve">Se admitió la acción, se vinculó a Rafael Ángel González Suárez, a quien el citado causante le había conferido poder en una época para que cobrara en su nombre la pensión de vejez, y se corrió traslado por el término de 2 días para que se ejerciera el derecho de defensa. Se pronunció por medio de apoderada judicial el Gobernador de Risaralda, quien, en suma, explicó que no </w:t>
      </w:r>
      <w:r w:rsidRPr="005871FB">
        <w:rPr>
          <w:rFonts w:ascii="Gadugi" w:hAnsi="Gadugi" w:cs="Arial"/>
          <w:sz w:val="24"/>
          <w:szCs w:val="24"/>
        </w:rPr>
        <w:lastRenderedPageBreak/>
        <w:t xml:space="preserve">quedó acreditada la convivencia a que alude la actora, tal como </w:t>
      </w:r>
      <w:r>
        <w:rPr>
          <w:rFonts w:ascii="Gadugi" w:hAnsi="Gadugi" w:cs="Arial"/>
          <w:sz w:val="24"/>
          <w:szCs w:val="24"/>
          <w:lang w:val="es-419"/>
        </w:rPr>
        <w:t xml:space="preserve">se </w:t>
      </w:r>
      <w:proofErr w:type="spellStart"/>
      <w:r w:rsidRPr="005871FB">
        <w:rPr>
          <w:rFonts w:ascii="Gadugi" w:hAnsi="Gadugi" w:cs="Arial"/>
          <w:sz w:val="24"/>
          <w:szCs w:val="24"/>
        </w:rPr>
        <w:t>consign</w:t>
      </w:r>
      <w:proofErr w:type="spellEnd"/>
      <w:r>
        <w:rPr>
          <w:rFonts w:ascii="Gadugi" w:hAnsi="Gadugi" w:cs="Arial"/>
          <w:sz w:val="24"/>
          <w:szCs w:val="24"/>
          <w:lang w:val="es-419"/>
        </w:rPr>
        <w:t>ó</w:t>
      </w:r>
      <w:r w:rsidRPr="005871FB">
        <w:rPr>
          <w:rFonts w:ascii="Gadugi" w:hAnsi="Gadugi" w:cs="Arial"/>
          <w:sz w:val="24"/>
          <w:szCs w:val="24"/>
        </w:rPr>
        <w:t xml:space="preserve"> en los actos administrativos expedidos; </w:t>
      </w:r>
      <w:r>
        <w:rPr>
          <w:rFonts w:ascii="Gadugi" w:hAnsi="Gadugi" w:cs="Arial"/>
          <w:sz w:val="24"/>
          <w:szCs w:val="24"/>
          <w:lang w:val="es-419"/>
        </w:rPr>
        <w:t xml:space="preserve">dijo </w:t>
      </w:r>
      <w:r w:rsidRPr="005871FB">
        <w:rPr>
          <w:rFonts w:ascii="Gadugi" w:hAnsi="Gadugi" w:cs="Arial"/>
          <w:sz w:val="24"/>
          <w:szCs w:val="24"/>
        </w:rPr>
        <w:t xml:space="preserve">que la declaración </w:t>
      </w:r>
      <w:proofErr w:type="spellStart"/>
      <w:r w:rsidRPr="005871FB">
        <w:rPr>
          <w:rFonts w:ascii="Gadugi" w:hAnsi="Gadugi" w:cs="Arial"/>
          <w:sz w:val="24"/>
          <w:szCs w:val="24"/>
        </w:rPr>
        <w:t>extrajuicio</w:t>
      </w:r>
      <w:proofErr w:type="spellEnd"/>
      <w:r w:rsidRPr="005871FB">
        <w:rPr>
          <w:rFonts w:ascii="Gadugi" w:hAnsi="Gadugi" w:cs="Arial"/>
          <w:sz w:val="24"/>
          <w:szCs w:val="24"/>
        </w:rPr>
        <w:t xml:space="preserve"> a la que hace mención la interesada fue valorada en su momento, pero ello no indica, por sí solo, que quedara demostrada la convivencia </w:t>
      </w:r>
      <w:r>
        <w:rPr>
          <w:rFonts w:ascii="Gadugi" w:hAnsi="Gadugi" w:cs="Arial"/>
          <w:sz w:val="24"/>
          <w:szCs w:val="24"/>
          <w:lang w:val="es-419"/>
        </w:rPr>
        <w:t>aducida</w:t>
      </w:r>
      <w:r w:rsidRPr="005871FB">
        <w:rPr>
          <w:rFonts w:ascii="Gadugi" w:hAnsi="Gadugi" w:cs="Arial"/>
          <w:sz w:val="24"/>
          <w:szCs w:val="24"/>
        </w:rPr>
        <w:t xml:space="preserve">; </w:t>
      </w:r>
      <w:r>
        <w:rPr>
          <w:rFonts w:ascii="Gadugi" w:hAnsi="Gadugi" w:cs="Arial"/>
          <w:sz w:val="24"/>
          <w:szCs w:val="24"/>
          <w:lang w:val="es-419"/>
        </w:rPr>
        <w:t xml:space="preserve">además, </w:t>
      </w:r>
      <w:r w:rsidRPr="005871FB">
        <w:rPr>
          <w:rFonts w:ascii="Gadugi" w:hAnsi="Gadugi" w:cs="Arial"/>
          <w:sz w:val="24"/>
          <w:szCs w:val="24"/>
        </w:rPr>
        <w:t>como el matrimonio tuvo ocurrencia el 20 de marzo de 2012 y el deceso del señor Castañeda Osorio lo fue el 14 de enero de 2016, el tiempo respectivo fue de algo más de 3 años; obra ficha de pensionados actualizad</w:t>
      </w:r>
      <w:r>
        <w:rPr>
          <w:rFonts w:ascii="Gadugi" w:hAnsi="Gadugi" w:cs="Arial"/>
          <w:sz w:val="24"/>
          <w:szCs w:val="24"/>
          <w:lang w:val="es-419"/>
        </w:rPr>
        <w:t>a</w:t>
      </w:r>
      <w:r w:rsidRPr="005871FB">
        <w:rPr>
          <w:rFonts w:ascii="Gadugi" w:hAnsi="Gadugi" w:cs="Arial"/>
          <w:sz w:val="24"/>
          <w:szCs w:val="24"/>
        </w:rPr>
        <w:t xml:space="preserve"> y firmad</w:t>
      </w:r>
      <w:r>
        <w:rPr>
          <w:rFonts w:ascii="Gadugi" w:hAnsi="Gadugi" w:cs="Arial"/>
          <w:sz w:val="24"/>
          <w:szCs w:val="24"/>
          <w:lang w:val="es-419"/>
        </w:rPr>
        <w:t>a</w:t>
      </w:r>
      <w:r w:rsidRPr="005871FB">
        <w:rPr>
          <w:rFonts w:ascii="Gadugi" w:hAnsi="Gadugi" w:cs="Arial"/>
          <w:sz w:val="24"/>
          <w:szCs w:val="24"/>
        </w:rPr>
        <w:t xml:space="preserve"> por el causante el 25 de agosto de 2010, en la que declara que su estado civil es soltero, sin ninguna otra observación; la hija de la peticionaria no lo es de</w:t>
      </w:r>
      <w:r>
        <w:rPr>
          <w:rFonts w:ascii="Gadugi" w:hAnsi="Gadugi" w:cs="Arial"/>
          <w:sz w:val="24"/>
          <w:szCs w:val="24"/>
          <w:lang w:val="es-419"/>
        </w:rPr>
        <w:t>l causante</w:t>
      </w:r>
      <w:r w:rsidRPr="005871FB">
        <w:rPr>
          <w:rFonts w:ascii="Gadugi" w:hAnsi="Gadugi" w:cs="Arial"/>
          <w:sz w:val="24"/>
          <w:szCs w:val="24"/>
        </w:rPr>
        <w:t>; queda el interrogante del porqué solo después del año 2012 la señora Sánchez figura como beneficiaria del causante y no antes, si supuestamente dependía del mismo; por ello, tiene a su alcance la jurisdicción laboral en donde se podrán valorar y tener en cuenta todas las pruebas que obren en el expediente</w:t>
      </w:r>
      <w:r>
        <w:rPr>
          <w:rFonts w:ascii="Gadugi" w:hAnsi="Gadugi" w:cs="Arial"/>
          <w:sz w:val="24"/>
          <w:szCs w:val="24"/>
          <w:lang w:val="es-419"/>
        </w:rPr>
        <w:t xml:space="preserve">. </w:t>
      </w:r>
    </w:p>
    <w:p w:rsidR="00B237F8" w:rsidRPr="005871FB" w:rsidRDefault="00B237F8" w:rsidP="00B237F8">
      <w:pPr>
        <w:spacing w:line="276" w:lineRule="auto"/>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sz w:val="24"/>
          <w:szCs w:val="24"/>
          <w:lang w:val="es-CO"/>
        </w:rPr>
      </w:pPr>
      <w:r w:rsidRPr="005871FB">
        <w:rPr>
          <w:rFonts w:ascii="Gadugi" w:hAnsi="Gadugi" w:cs="Arial"/>
          <w:sz w:val="24"/>
          <w:szCs w:val="24"/>
        </w:rPr>
        <w:t xml:space="preserve">El juzgado resolvió negar “por improcedente” la tutela impetrada, porque </w:t>
      </w:r>
      <w:r w:rsidRPr="005871FB">
        <w:rPr>
          <w:rFonts w:ascii="Gadugi" w:hAnsi="Gadugi" w:cs="Arial"/>
          <w:sz w:val="24"/>
          <w:szCs w:val="24"/>
          <w:lang w:val="es-419"/>
        </w:rPr>
        <w:t>no ha sido diseñada para asuntos</w:t>
      </w:r>
      <w:r w:rsidRPr="005871FB">
        <w:rPr>
          <w:rFonts w:ascii="Gadugi" w:hAnsi="Gadugi" w:cs="Arial"/>
          <w:sz w:val="24"/>
          <w:szCs w:val="24"/>
          <w:lang w:val="es-CO"/>
        </w:rPr>
        <w:t xml:space="preserve"> pensionales y en el caso presente, si bien se alude a la vulneración de derechos al mínimo vital y la vida digna, ello no implica, que por ese solo hecho el juez deba reconocer lo pedido, cuando de por medio existen otros mecanismos de defensa judicial y no se demostró que esté en condiciones de inferioridad, debilidad manifiesta o frente un inminente perjuicio, ni figura como persona de especial protección.</w:t>
      </w:r>
    </w:p>
    <w:p w:rsidR="00B237F8" w:rsidRPr="005871FB" w:rsidRDefault="00B237F8" w:rsidP="00B237F8">
      <w:pPr>
        <w:spacing w:line="276" w:lineRule="auto"/>
        <w:ind w:firstLine="2835"/>
        <w:jc w:val="both"/>
        <w:rPr>
          <w:rFonts w:ascii="Gadugi" w:hAnsi="Gadugi" w:cs="Arial"/>
          <w:sz w:val="24"/>
          <w:szCs w:val="24"/>
          <w:lang w:val="es-CO"/>
        </w:rPr>
      </w:pPr>
    </w:p>
    <w:p w:rsidR="00B237F8" w:rsidRPr="005871FB" w:rsidRDefault="00B237F8" w:rsidP="00B237F8">
      <w:pPr>
        <w:spacing w:line="276" w:lineRule="auto"/>
        <w:ind w:firstLine="2835"/>
        <w:jc w:val="both"/>
        <w:rPr>
          <w:rFonts w:ascii="Gadugi" w:hAnsi="Gadugi" w:cs="Arial"/>
          <w:sz w:val="24"/>
          <w:szCs w:val="24"/>
        </w:rPr>
      </w:pPr>
      <w:r w:rsidRPr="005871FB">
        <w:rPr>
          <w:rFonts w:ascii="Gadugi" w:hAnsi="Gadugi" w:cs="Arial"/>
          <w:sz w:val="24"/>
          <w:szCs w:val="24"/>
        </w:rPr>
        <w:t>Inconforme con esa resolución, impugnó la solicitante e indicó que existe un perjuicio irremediable para su núcleo familiar por cuanto su hija sufre una enfermedad crónica y dependían directamente de la pensión de Benjamín Castañeda; que el tiempo para el reconocimiento pretendido es de dos años y en su caso perduró por 9 años.</w:t>
      </w: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spacing w:line="276" w:lineRule="auto"/>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b/>
          <w:bCs/>
          <w:sz w:val="24"/>
          <w:szCs w:val="24"/>
        </w:rPr>
      </w:pPr>
      <w:r w:rsidRPr="005871FB">
        <w:rPr>
          <w:rFonts w:ascii="Gadugi" w:hAnsi="Gadugi" w:cs="Arial"/>
          <w:b/>
          <w:bCs/>
          <w:sz w:val="24"/>
          <w:szCs w:val="24"/>
        </w:rPr>
        <w:t>CONSIDERACIONES</w:t>
      </w:r>
    </w:p>
    <w:p w:rsidR="00B237F8" w:rsidRPr="005871FB" w:rsidRDefault="00B237F8" w:rsidP="00B237F8">
      <w:pPr>
        <w:spacing w:line="276" w:lineRule="auto"/>
        <w:ind w:right="334"/>
        <w:jc w:val="both"/>
        <w:rPr>
          <w:rFonts w:ascii="Gadugi" w:hAnsi="Gadugi" w:cs="Arial"/>
          <w:sz w:val="24"/>
          <w:szCs w:val="24"/>
        </w:rPr>
      </w:pPr>
    </w:p>
    <w:p w:rsidR="00B237F8" w:rsidRPr="005871FB" w:rsidRDefault="00B237F8" w:rsidP="00B237F8">
      <w:pPr>
        <w:spacing w:line="276" w:lineRule="auto"/>
        <w:ind w:right="334"/>
        <w:jc w:val="both"/>
        <w:rPr>
          <w:rFonts w:ascii="Gadugi" w:hAnsi="Gadugi" w:cs="Arial"/>
          <w:sz w:val="24"/>
          <w:szCs w:val="24"/>
        </w:rPr>
      </w:pPr>
    </w:p>
    <w:p w:rsidR="00B237F8" w:rsidRPr="005871FB" w:rsidRDefault="00B237F8" w:rsidP="00B237F8">
      <w:pPr>
        <w:pStyle w:val="BodyText2"/>
        <w:spacing w:line="276" w:lineRule="auto"/>
        <w:ind w:right="334"/>
        <w:rPr>
          <w:rFonts w:ascii="Gadugi" w:hAnsi="Gadugi" w:cs="Arial"/>
          <w:szCs w:val="24"/>
        </w:rPr>
      </w:pPr>
      <w:r w:rsidRPr="005871FB">
        <w:rPr>
          <w:rFonts w:ascii="Gadugi" w:hAnsi="Gadugi" w:cs="Arial"/>
          <w:szCs w:val="24"/>
        </w:rPr>
        <w:t>Se acude en esta ocasión ante el juez constitucional con el fin de que protejan los derechos fundamentales al mínimo vital y la vida digna que la señora Alba Doris Sánchez Zapata estima vulnerados por la Secretaría de Educación Departamental de Risaralda que en primera instancia negó el reconocimiento de sustitución pensional deprecada y por el Gobernador de Risaralda que confirmó esa decisión.</w:t>
      </w:r>
    </w:p>
    <w:p w:rsidR="00B237F8" w:rsidRPr="005871FB" w:rsidRDefault="00B237F8" w:rsidP="00B237F8">
      <w:pPr>
        <w:pStyle w:val="BodyText2"/>
        <w:spacing w:line="276" w:lineRule="auto"/>
        <w:ind w:right="334"/>
        <w:rPr>
          <w:rFonts w:ascii="Gadugi" w:hAnsi="Gadugi" w:cs="Arial"/>
          <w:szCs w:val="24"/>
        </w:rPr>
      </w:pPr>
    </w:p>
    <w:p w:rsidR="00B237F8" w:rsidRPr="005871FB" w:rsidRDefault="00B237F8" w:rsidP="00B237F8">
      <w:pPr>
        <w:pStyle w:val="BodyText2"/>
        <w:spacing w:line="276" w:lineRule="auto"/>
        <w:ind w:right="334"/>
        <w:rPr>
          <w:rFonts w:ascii="Gadugi" w:hAnsi="Gadugi" w:cs="Arial"/>
          <w:szCs w:val="24"/>
        </w:rPr>
      </w:pPr>
      <w:r w:rsidRPr="005871FB">
        <w:rPr>
          <w:rFonts w:ascii="Gadugi" w:hAnsi="Gadugi" w:cs="Arial"/>
          <w:szCs w:val="24"/>
        </w:rPr>
        <w:lastRenderedPageBreak/>
        <w:t xml:space="preserve">Para empezar, como lo definió el juzgado sobre precedente jurisprudencial, bien se sabe que la acción de tutela es improcedente cuando el afectado cuenta con otros mecanismos de defensa judicial y es por ello que reiteradamente se ha sostenido que en asuntos laborales quien se crea con derecho a reclamar un determinado beneficio debe acudir a las vías ordinarias, esto es, ante los jueces laborales o ante la jurisdicción de lo contencioso administrativo, según sea el caso. </w:t>
      </w:r>
    </w:p>
    <w:p w:rsidR="00B237F8" w:rsidRPr="005871FB" w:rsidRDefault="00B237F8" w:rsidP="00B237F8">
      <w:pPr>
        <w:pStyle w:val="BodyText2"/>
        <w:spacing w:line="276" w:lineRule="auto"/>
        <w:ind w:right="334"/>
        <w:rPr>
          <w:rFonts w:ascii="Gadugi" w:hAnsi="Gadugi" w:cs="Arial"/>
          <w:szCs w:val="24"/>
        </w:rPr>
      </w:pPr>
    </w:p>
    <w:p w:rsidR="00B237F8" w:rsidRPr="005871FB" w:rsidRDefault="00B237F8" w:rsidP="00B237F8">
      <w:pPr>
        <w:pStyle w:val="BodyText2"/>
        <w:spacing w:line="276" w:lineRule="auto"/>
        <w:ind w:right="334"/>
        <w:rPr>
          <w:rFonts w:ascii="Gadugi" w:hAnsi="Gadugi" w:cs="Arial"/>
          <w:szCs w:val="24"/>
        </w:rPr>
      </w:pPr>
      <w:r w:rsidRPr="005871FB">
        <w:rPr>
          <w:rFonts w:ascii="Gadugi" w:hAnsi="Gadugi" w:cs="Arial"/>
          <w:szCs w:val="24"/>
        </w:rPr>
        <w:t xml:space="preserve">En el de la accionante, es evidente que el desenlace de su situación debe someterse al escrutinio de la jurisdicción contencioso administrativa mediante la acción de nulidad y restablecimiento del derecho, dada la naturaleza jurídica del ente que debe reconocer y efectuar los pagos que fueren pertinentes, y es ese el escenario propio y natural en dónde ha de </w:t>
      </w:r>
      <w:r>
        <w:rPr>
          <w:rFonts w:ascii="Gadugi" w:hAnsi="Gadugi" w:cs="Arial"/>
          <w:szCs w:val="24"/>
          <w:lang w:val="es-419"/>
        </w:rPr>
        <w:t>ventilarse</w:t>
      </w:r>
      <w:r w:rsidRPr="005871FB">
        <w:rPr>
          <w:rFonts w:ascii="Gadugi" w:hAnsi="Gadugi" w:cs="Arial"/>
          <w:szCs w:val="24"/>
        </w:rPr>
        <w:t xml:space="preserve"> la dificultad que atraviesa para el reconocimiento que depreca por esta vía.</w:t>
      </w:r>
    </w:p>
    <w:p w:rsidR="00B237F8" w:rsidRPr="005871FB" w:rsidRDefault="00B237F8" w:rsidP="00B237F8">
      <w:pPr>
        <w:pStyle w:val="BodyText2"/>
        <w:spacing w:line="276" w:lineRule="auto"/>
        <w:ind w:right="334"/>
        <w:rPr>
          <w:rFonts w:ascii="Gadugi" w:hAnsi="Gadugi" w:cs="Arial"/>
          <w:szCs w:val="24"/>
        </w:rPr>
      </w:pPr>
    </w:p>
    <w:p w:rsidR="00B237F8" w:rsidRPr="005871FB" w:rsidRDefault="00B237F8" w:rsidP="00B237F8">
      <w:pPr>
        <w:pStyle w:val="BodyText2"/>
        <w:spacing w:line="276" w:lineRule="auto"/>
        <w:ind w:right="334"/>
        <w:rPr>
          <w:rFonts w:ascii="Gadugi" w:hAnsi="Gadugi" w:cs="Arial"/>
          <w:szCs w:val="24"/>
        </w:rPr>
      </w:pPr>
      <w:r w:rsidRPr="005871FB">
        <w:rPr>
          <w:rFonts w:ascii="Gadugi" w:hAnsi="Gadugi" w:cs="Arial"/>
          <w:szCs w:val="24"/>
        </w:rPr>
        <w:t>Ahora bien,  a propósito de</w:t>
      </w:r>
      <w:r>
        <w:rPr>
          <w:rFonts w:ascii="Gadugi" w:hAnsi="Gadugi" w:cs="Arial"/>
          <w:szCs w:val="24"/>
          <w:lang w:val="es-419"/>
        </w:rPr>
        <w:t xml:space="preserve">l </w:t>
      </w:r>
      <w:r w:rsidRPr="005871FB">
        <w:rPr>
          <w:rFonts w:ascii="Gadugi" w:hAnsi="Gadugi" w:cs="Arial"/>
          <w:szCs w:val="24"/>
        </w:rPr>
        <w:t xml:space="preserve">perjuicio irremediable </w:t>
      </w:r>
      <w:r>
        <w:rPr>
          <w:rFonts w:ascii="Gadugi" w:hAnsi="Gadugi" w:cs="Arial"/>
          <w:szCs w:val="24"/>
          <w:lang w:val="es-419"/>
        </w:rPr>
        <w:t xml:space="preserve">que menciona </w:t>
      </w:r>
      <w:r w:rsidRPr="005871FB">
        <w:rPr>
          <w:rFonts w:ascii="Gadugi" w:hAnsi="Gadugi" w:cs="Arial"/>
          <w:szCs w:val="24"/>
        </w:rPr>
        <w:t xml:space="preserve">por </w:t>
      </w:r>
      <w:r>
        <w:rPr>
          <w:rFonts w:ascii="Gadugi" w:hAnsi="Gadugi" w:cs="Arial"/>
          <w:szCs w:val="24"/>
          <w:lang w:val="es-419"/>
        </w:rPr>
        <w:t xml:space="preserve">razón dela </w:t>
      </w:r>
      <w:r w:rsidRPr="005871FB">
        <w:rPr>
          <w:rFonts w:ascii="Gadugi" w:hAnsi="Gadugi" w:cs="Arial"/>
          <w:szCs w:val="24"/>
        </w:rPr>
        <w:t xml:space="preserve">la enfermedad que atraviesa su hija, </w:t>
      </w:r>
      <w:r>
        <w:rPr>
          <w:rFonts w:ascii="Gadugi" w:hAnsi="Gadugi" w:cs="Arial"/>
          <w:szCs w:val="24"/>
          <w:lang w:val="es-419"/>
        </w:rPr>
        <w:t xml:space="preserve">se recuerda que </w:t>
      </w:r>
      <w:r w:rsidRPr="005871FB">
        <w:rPr>
          <w:rFonts w:ascii="Gadugi" w:hAnsi="Gadugi" w:cs="Arial"/>
          <w:szCs w:val="24"/>
        </w:rPr>
        <w:t xml:space="preserve">en algunos casos en los que resulte involucrado un derecho fundamental y su desconocimiento acarree ese </w:t>
      </w:r>
      <w:r>
        <w:rPr>
          <w:rFonts w:ascii="Gadugi" w:hAnsi="Gadugi" w:cs="Arial"/>
          <w:szCs w:val="24"/>
          <w:lang w:val="es-419"/>
        </w:rPr>
        <w:t>tipo de daño</w:t>
      </w:r>
      <w:r w:rsidRPr="005871FB">
        <w:rPr>
          <w:rFonts w:ascii="Gadugi" w:hAnsi="Gadugi" w:cs="Arial"/>
          <w:szCs w:val="24"/>
        </w:rPr>
        <w:t>, a</w:t>
      </w:r>
      <w:r>
        <w:rPr>
          <w:rFonts w:ascii="Gadugi" w:hAnsi="Gadugi" w:cs="Arial"/>
          <w:szCs w:val="24"/>
          <w:lang w:val="es-419"/>
        </w:rPr>
        <w:t>u</w:t>
      </w:r>
      <w:r w:rsidRPr="005871FB">
        <w:rPr>
          <w:rFonts w:ascii="Gadugi" w:hAnsi="Gadugi" w:cs="Arial"/>
          <w:szCs w:val="24"/>
        </w:rPr>
        <w:t>n para la consecución de un beneficio laboral, puede ser procedente, pero para que ello ocurra, como se trata de una controversia que versa sobre la legalidad de un acto que deja en suspenso solicitudes relacionadas con sustituciones pensionales, es necesario “</w:t>
      </w:r>
      <w:r w:rsidRPr="005871FB">
        <w:rPr>
          <w:rFonts w:ascii="Gadugi" w:hAnsi="Gadugi" w:cs="Arial"/>
          <w:i/>
          <w:szCs w:val="24"/>
        </w:rPr>
        <w:t>…valorar los elementos que determinan o definen el caso, respecto de las condiciones de la persona, su edad, su capacidad económica y estado de salud, es decir, todo aquello que permita deducir que el procedimiento ordinario no resultaría idóneo para obtener la protección de sus derechos…”.</w:t>
      </w:r>
      <w:r w:rsidRPr="005871FB">
        <w:rPr>
          <w:rFonts w:ascii="Gadugi" w:hAnsi="Gadugi" w:cs="Arial"/>
          <w:szCs w:val="24"/>
        </w:rPr>
        <w:t xml:space="preserve"> </w:t>
      </w:r>
      <w:r w:rsidRPr="005871FB">
        <w:rPr>
          <w:rStyle w:val="Refdenotaalpie"/>
          <w:rFonts w:ascii="Gadugi" w:hAnsi="Gadugi" w:cs="Arial"/>
          <w:szCs w:val="24"/>
        </w:rPr>
        <w:footnoteReference w:id="1"/>
      </w:r>
    </w:p>
    <w:p w:rsidR="00B237F8" w:rsidRPr="005871FB" w:rsidRDefault="00B237F8" w:rsidP="00B237F8">
      <w:pPr>
        <w:pStyle w:val="BodyText2"/>
        <w:spacing w:line="276" w:lineRule="auto"/>
        <w:ind w:right="334"/>
        <w:rPr>
          <w:rFonts w:ascii="Gadugi" w:hAnsi="Gadugi" w:cs="Arial"/>
          <w:szCs w:val="24"/>
        </w:rPr>
      </w:pPr>
    </w:p>
    <w:p w:rsidR="00B237F8" w:rsidRPr="005871FB" w:rsidRDefault="00B237F8" w:rsidP="00B237F8">
      <w:pPr>
        <w:pStyle w:val="BodyText2"/>
        <w:spacing w:line="276" w:lineRule="auto"/>
        <w:ind w:right="334"/>
        <w:rPr>
          <w:rFonts w:ascii="Gadugi" w:hAnsi="Gadugi" w:cs="Arial"/>
          <w:szCs w:val="24"/>
        </w:rPr>
      </w:pPr>
      <w:r w:rsidRPr="005871FB">
        <w:rPr>
          <w:rFonts w:ascii="Gadugi" w:hAnsi="Gadugi" w:cs="Arial"/>
          <w:szCs w:val="24"/>
        </w:rPr>
        <w:t>Expresó la Corte Constitucional</w:t>
      </w:r>
      <w:r w:rsidRPr="005871FB">
        <w:rPr>
          <w:rStyle w:val="Refdenotaalpie"/>
          <w:rFonts w:ascii="Gadugi" w:hAnsi="Gadugi" w:cs="Arial"/>
          <w:szCs w:val="24"/>
        </w:rPr>
        <w:footnoteReference w:id="2"/>
      </w:r>
      <w:r w:rsidRPr="005871FB">
        <w:rPr>
          <w:rFonts w:ascii="Gadugi" w:hAnsi="Gadugi" w:cs="Arial"/>
          <w:szCs w:val="24"/>
        </w:rPr>
        <w:t xml:space="preserve"> que:</w:t>
      </w:r>
    </w:p>
    <w:p w:rsidR="00B237F8" w:rsidRPr="005871FB" w:rsidRDefault="00B237F8" w:rsidP="00B237F8">
      <w:pPr>
        <w:spacing w:line="276" w:lineRule="auto"/>
        <w:ind w:right="334"/>
        <w:jc w:val="both"/>
        <w:rPr>
          <w:rFonts w:ascii="Century Gothic" w:hAnsi="Century Gothic"/>
          <w:color w:val="FF0000"/>
          <w:sz w:val="24"/>
          <w:szCs w:val="24"/>
        </w:rPr>
      </w:pPr>
    </w:p>
    <w:p w:rsidR="00B237F8" w:rsidRPr="00960C7B" w:rsidRDefault="00B237F8" w:rsidP="00B237F8">
      <w:pPr>
        <w:ind w:left="567" w:right="1185"/>
        <w:jc w:val="both"/>
        <w:rPr>
          <w:rFonts w:ascii="Arial Narrow" w:hAnsi="Arial Narrow" w:cs="Arial"/>
          <w:sz w:val="24"/>
          <w:szCs w:val="24"/>
        </w:rPr>
      </w:pPr>
      <w:r w:rsidRPr="005871FB">
        <w:rPr>
          <w:rFonts w:ascii="Century Gothic" w:hAnsi="Century Gothic"/>
          <w:color w:val="FF0000"/>
          <w:sz w:val="24"/>
          <w:szCs w:val="24"/>
        </w:rPr>
        <w:t xml:space="preserve">  </w:t>
      </w:r>
      <w:r w:rsidRPr="005871FB">
        <w:rPr>
          <w:rFonts w:ascii="Century Gothic" w:hAnsi="Century Gothic"/>
          <w:color w:val="FF0000"/>
          <w:sz w:val="24"/>
          <w:szCs w:val="24"/>
        </w:rPr>
        <w:tab/>
      </w:r>
      <w:r w:rsidRPr="005871FB">
        <w:rPr>
          <w:rFonts w:ascii="Century Gothic" w:hAnsi="Century Gothic"/>
          <w:color w:val="FF0000"/>
          <w:sz w:val="24"/>
          <w:szCs w:val="24"/>
        </w:rPr>
        <w:tab/>
      </w:r>
      <w:r w:rsidRPr="005871FB">
        <w:rPr>
          <w:rFonts w:ascii="Century Gothic" w:hAnsi="Century Gothic"/>
          <w:color w:val="FF0000"/>
          <w:sz w:val="24"/>
          <w:szCs w:val="24"/>
        </w:rPr>
        <w:tab/>
        <w:t xml:space="preserve">  </w:t>
      </w:r>
      <w:r w:rsidRPr="005871FB">
        <w:rPr>
          <w:rFonts w:ascii="Century Gothic" w:hAnsi="Century Gothic"/>
          <w:color w:val="FF0000"/>
          <w:sz w:val="24"/>
          <w:szCs w:val="24"/>
        </w:rPr>
        <w:tab/>
      </w:r>
      <w:r w:rsidRPr="00960C7B">
        <w:rPr>
          <w:rFonts w:ascii="Arial Narrow" w:hAnsi="Arial Narrow" w:cs="Arial"/>
          <w:sz w:val="24"/>
          <w:szCs w:val="24"/>
        </w:rPr>
        <w:t>Sin embargo, de manera excepcional y de conformidad con las particularidades del caso concreto, la solicitud de amparo será procedente si el juez de tutela determina que (i) los beneficiarios del derecho pensional son sujetos de especial protección constitucional; (ii) los medios ordinarios de defensa judicial no son idóneos para proteger los derechos presuntamente vulnerados; y, (iii) existe certeza sobre la ocurrencia de un perjuicio irremediable a los derechos fundamentales si el reconocimiento de la pensión no se hace efectivo como mecanismo transitorio.</w:t>
      </w:r>
    </w:p>
    <w:p w:rsidR="00B237F8" w:rsidRPr="005871FB" w:rsidRDefault="00B237F8" w:rsidP="00B237F8">
      <w:pPr>
        <w:pStyle w:val="BodyText2"/>
        <w:spacing w:line="276" w:lineRule="auto"/>
        <w:ind w:right="334"/>
        <w:rPr>
          <w:rFonts w:ascii="Arial" w:hAnsi="Arial" w:cs="Arial"/>
          <w:i/>
          <w:szCs w:val="24"/>
        </w:rPr>
      </w:pPr>
    </w:p>
    <w:p w:rsidR="00B237F8" w:rsidRDefault="00B237F8" w:rsidP="00B237F8">
      <w:pPr>
        <w:pStyle w:val="BodyText2"/>
        <w:spacing w:line="276" w:lineRule="auto"/>
        <w:ind w:right="335"/>
        <w:rPr>
          <w:rFonts w:ascii="Gadugi" w:hAnsi="Gadugi" w:cs="Arial"/>
          <w:szCs w:val="24"/>
        </w:rPr>
      </w:pPr>
      <w:r w:rsidRPr="005871FB">
        <w:rPr>
          <w:rFonts w:ascii="Gadugi" w:hAnsi="Gadugi" w:cs="Arial"/>
          <w:szCs w:val="24"/>
        </w:rPr>
        <w:lastRenderedPageBreak/>
        <w:t xml:space="preserve">Pues bien, en este caso la demandante </w:t>
      </w:r>
      <w:r>
        <w:rPr>
          <w:rFonts w:ascii="Gadugi" w:hAnsi="Gadugi" w:cs="Arial"/>
          <w:szCs w:val="24"/>
          <w:lang w:val="es-419"/>
        </w:rPr>
        <w:t xml:space="preserve">está por fuera de los parámetros para ser catalogada como </w:t>
      </w:r>
      <w:r w:rsidRPr="005871FB">
        <w:rPr>
          <w:rFonts w:ascii="Gadugi" w:hAnsi="Gadugi" w:cs="Arial"/>
          <w:szCs w:val="24"/>
        </w:rPr>
        <w:t>sujeto de especial protección</w:t>
      </w:r>
      <w:r>
        <w:rPr>
          <w:rFonts w:ascii="Gadugi" w:hAnsi="Gadugi" w:cs="Arial"/>
          <w:szCs w:val="24"/>
          <w:lang w:val="es-419"/>
        </w:rPr>
        <w:t xml:space="preserve">. Primero, se desconoce su edad como para ubicarla dentro del margen que la misma </w:t>
      </w:r>
      <w:r w:rsidRPr="005871FB">
        <w:rPr>
          <w:rFonts w:ascii="Gadugi" w:hAnsi="Gadugi" w:cs="Arial"/>
          <w:szCs w:val="24"/>
        </w:rPr>
        <w:t xml:space="preserve">alta Corporación ha </w:t>
      </w:r>
      <w:r>
        <w:rPr>
          <w:rFonts w:ascii="Gadugi" w:hAnsi="Gadugi" w:cs="Arial"/>
          <w:szCs w:val="24"/>
          <w:lang w:val="es-419"/>
        </w:rPr>
        <w:t xml:space="preserve">delineado en sentencias como la </w:t>
      </w:r>
      <w:r w:rsidRPr="005871FB">
        <w:rPr>
          <w:rFonts w:ascii="Gadugi" w:hAnsi="Gadugi" w:cs="Arial"/>
          <w:szCs w:val="24"/>
        </w:rPr>
        <w:t>T-138 de 2010,</w:t>
      </w:r>
      <w:r>
        <w:rPr>
          <w:rFonts w:ascii="Gadugi" w:hAnsi="Gadugi" w:cs="Arial"/>
          <w:szCs w:val="24"/>
          <w:lang w:val="es-419"/>
        </w:rPr>
        <w:t xml:space="preserve"> sin perjuicio de que se diga que las razones que se esgrimen para el amparo son muy diferentes a esta. En segundo lugar, tampoco adujo, ni está demostrada alguna discapacidad </w:t>
      </w:r>
      <w:r w:rsidRPr="005871FB">
        <w:rPr>
          <w:rFonts w:ascii="Gadugi" w:hAnsi="Gadugi" w:cs="Arial"/>
          <w:szCs w:val="24"/>
        </w:rPr>
        <w:t>física o mental</w:t>
      </w:r>
      <w:r>
        <w:rPr>
          <w:rFonts w:ascii="Gadugi" w:hAnsi="Gadugi" w:cs="Arial"/>
          <w:szCs w:val="24"/>
          <w:lang w:val="es-419"/>
        </w:rPr>
        <w:t xml:space="preserve"> que le impida valerse por sí misma; por otro lado, ninguna prueba apunta a demostrar una especial </w:t>
      </w:r>
      <w:r w:rsidRPr="005871FB">
        <w:rPr>
          <w:rFonts w:ascii="Gadugi" w:hAnsi="Gadugi" w:cs="Arial"/>
          <w:szCs w:val="24"/>
        </w:rPr>
        <w:t xml:space="preserve">situación que la </w:t>
      </w:r>
      <w:proofErr w:type="spellStart"/>
      <w:r w:rsidRPr="005871FB">
        <w:rPr>
          <w:rFonts w:ascii="Gadugi" w:hAnsi="Gadugi" w:cs="Arial"/>
          <w:szCs w:val="24"/>
        </w:rPr>
        <w:t>ubi</w:t>
      </w:r>
      <w:proofErr w:type="spellEnd"/>
      <w:r>
        <w:rPr>
          <w:rFonts w:ascii="Gadugi" w:hAnsi="Gadugi" w:cs="Arial"/>
          <w:szCs w:val="24"/>
          <w:lang w:val="es-419"/>
        </w:rPr>
        <w:t xml:space="preserve">que </w:t>
      </w:r>
      <w:r w:rsidRPr="005871FB">
        <w:rPr>
          <w:rFonts w:ascii="Gadugi" w:hAnsi="Gadugi" w:cs="Arial"/>
          <w:szCs w:val="24"/>
        </w:rPr>
        <w:t xml:space="preserve">en un grupo poblacional de aquellos que merecen una </w:t>
      </w:r>
      <w:r>
        <w:rPr>
          <w:rFonts w:ascii="Gadugi" w:hAnsi="Gadugi" w:cs="Arial"/>
          <w:szCs w:val="24"/>
          <w:lang w:val="es-419"/>
        </w:rPr>
        <w:t xml:space="preserve">tratamiento </w:t>
      </w:r>
      <w:proofErr w:type="spellStart"/>
      <w:r w:rsidRPr="005871FB">
        <w:rPr>
          <w:rFonts w:ascii="Gadugi" w:hAnsi="Gadugi" w:cs="Arial"/>
          <w:szCs w:val="24"/>
        </w:rPr>
        <w:t>fortalecid</w:t>
      </w:r>
      <w:proofErr w:type="spellEnd"/>
      <w:r>
        <w:rPr>
          <w:rFonts w:ascii="Gadugi" w:hAnsi="Gadugi" w:cs="Arial"/>
          <w:szCs w:val="24"/>
          <w:lang w:val="es-419"/>
        </w:rPr>
        <w:t>o</w:t>
      </w:r>
      <w:r w:rsidRPr="005871FB">
        <w:rPr>
          <w:rFonts w:ascii="Gadugi" w:hAnsi="Gadugi" w:cs="Arial"/>
          <w:szCs w:val="24"/>
        </w:rPr>
        <w:t xml:space="preserve"> por parte del Estado; </w:t>
      </w:r>
      <w:r>
        <w:rPr>
          <w:rFonts w:ascii="Gadugi" w:hAnsi="Gadugi" w:cs="Arial"/>
          <w:szCs w:val="24"/>
          <w:lang w:val="es-419"/>
        </w:rPr>
        <w:t xml:space="preserve">es más, ni siquiera se indica </w:t>
      </w:r>
      <w:r w:rsidRPr="005871FB">
        <w:rPr>
          <w:rFonts w:ascii="Gadugi" w:hAnsi="Gadugi" w:cs="Arial"/>
          <w:szCs w:val="24"/>
        </w:rPr>
        <w:t>por</w:t>
      </w:r>
      <w:r>
        <w:rPr>
          <w:rFonts w:ascii="Gadugi" w:hAnsi="Gadugi" w:cs="Arial"/>
          <w:szCs w:val="24"/>
          <w:lang w:val="es-419"/>
        </w:rPr>
        <w:t xml:space="preserve"> </w:t>
      </w:r>
      <w:r w:rsidRPr="005871FB">
        <w:rPr>
          <w:rFonts w:ascii="Gadugi" w:hAnsi="Gadugi" w:cs="Arial"/>
          <w:szCs w:val="24"/>
        </w:rPr>
        <w:t xml:space="preserve">qué el proceso </w:t>
      </w:r>
      <w:r>
        <w:rPr>
          <w:rFonts w:ascii="Gadugi" w:hAnsi="Gadugi" w:cs="Arial"/>
          <w:szCs w:val="24"/>
          <w:lang w:val="es-419"/>
        </w:rPr>
        <w:t xml:space="preserve">ante la jurisdicción aludida carece de idoneidad </w:t>
      </w:r>
      <w:r w:rsidRPr="005871FB">
        <w:rPr>
          <w:rFonts w:ascii="Gadugi" w:hAnsi="Gadugi" w:cs="Arial"/>
          <w:szCs w:val="24"/>
        </w:rPr>
        <w:t xml:space="preserve">para la solución de la controversia planteada. </w:t>
      </w:r>
    </w:p>
    <w:p w:rsidR="00B237F8" w:rsidRDefault="00B237F8" w:rsidP="00B237F8">
      <w:pPr>
        <w:pStyle w:val="BodyText2"/>
        <w:spacing w:line="276" w:lineRule="auto"/>
        <w:ind w:right="335"/>
        <w:rPr>
          <w:rFonts w:ascii="Gadugi" w:hAnsi="Gadugi" w:cs="Arial"/>
          <w:szCs w:val="24"/>
        </w:rPr>
      </w:pPr>
    </w:p>
    <w:p w:rsidR="00B237F8" w:rsidRPr="005871FB" w:rsidRDefault="00B237F8" w:rsidP="00B237F8">
      <w:pPr>
        <w:pStyle w:val="BodyText2"/>
        <w:spacing w:line="276" w:lineRule="auto"/>
        <w:ind w:right="335"/>
        <w:rPr>
          <w:rFonts w:ascii="Gadugi" w:hAnsi="Gadugi" w:cs="Arial"/>
          <w:szCs w:val="24"/>
        </w:rPr>
      </w:pPr>
      <w:r w:rsidRPr="005871FB">
        <w:rPr>
          <w:rFonts w:ascii="Gadugi" w:hAnsi="Gadugi" w:cs="Arial"/>
          <w:szCs w:val="24"/>
        </w:rPr>
        <w:t xml:space="preserve">Ahora </w:t>
      </w:r>
      <w:r>
        <w:rPr>
          <w:rFonts w:ascii="Gadugi" w:hAnsi="Gadugi" w:cs="Arial"/>
          <w:szCs w:val="24"/>
          <w:lang w:val="es-419"/>
        </w:rPr>
        <w:t xml:space="preserve">bien, en lo que insiste es en que el perjuicio irremediable deriva de la </w:t>
      </w:r>
      <w:r w:rsidRPr="005871FB">
        <w:rPr>
          <w:rFonts w:ascii="Gadugi" w:hAnsi="Gadugi" w:cs="Arial"/>
          <w:szCs w:val="24"/>
        </w:rPr>
        <w:t>situación de salud de su hija</w:t>
      </w:r>
      <w:r>
        <w:rPr>
          <w:rFonts w:ascii="Gadugi" w:hAnsi="Gadugi" w:cs="Arial"/>
          <w:szCs w:val="24"/>
          <w:lang w:val="es-419"/>
        </w:rPr>
        <w:t xml:space="preserve">; pero, a decir verdad, </w:t>
      </w:r>
      <w:r w:rsidRPr="005871FB">
        <w:rPr>
          <w:rFonts w:ascii="Gadugi" w:hAnsi="Gadugi" w:cs="Arial"/>
          <w:szCs w:val="24"/>
        </w:rPr>
        <w:t>no se tiene noticia de que en la actualidad y para su tratamiento de migraña común, que es el diagnóstico anunciado en la historia clínica allegada, se le haya impedido acceder al servicio de salud del que viene gozando</w:t>
      </w:r>
      <w:r>
        <w:rPr>
          <w:rFonts w:ascii="Gadugi" w:hAnsi="Gadugi" w:cs="Arial"/>
          <w:szCs w:val="24"/>
          <w:lang w:val="es-419"/>
        </w:rPr>
        <w:t xml:space="preserve">; ni que tal padecimiento sea de tal magnitud que le impida a la accionante desempeñar alguna actividad laboral con la cual subvenir sus necesidades básicas hasta tanto se define lo atinente a la pensión reclamada. </w:t>
      </w:r>
    </w:p>
    <w:p w:rsidR="00B237F8" w:rsidRPr="005871FB" w:rsidRDefault="00B237F8" w:rsidP="00B237F8">
      <w:pPr>
        <w:pStyle w:val="BodyText2"/>
        <w:spacing w:line="276" w:lineRule="auto"/>
        <w:ind w:right="335" w:firstLine="0"/>
        <w:rPr>
          <w:rFonts w:ascii="Gadugi" w:hAnsi="Gadugi" w:cs="Arial"/>
          <w:szCs w:val="24"/>
        </w:rPr>
      </w:pPr>
    </w:p>
    <w:p w:rsidR="00B237F8" w:rsidRPr="005871FB" w:rsidRDefault="00B237F8" w:rsidP="00B237F8">
      <w:pPr>
        <w:spacing w:line="276" w:lineRule="auto"/>
        <w:ind w:right="335" w:firstLine="2835"/>
        <w:jc w:val="both"/>
        <w:rPr>
          <w:rFonts w:ascii="Gadugi" w:hAnsi="Gadugi" w:cs="Arial"/>
          <w:sz w:val="24"/>
          <w:szCs w:val="24"/>
        </w:rPr>
      </w:pPr>
      <w:r w:rsidRPr="005871FB">
        <w:rPr>
          <w:rFonts w:ascii="Gadugi" w:hAnsi="Gadugi" w:cs="Arial"/>
          <w:sz w:val="24"/>
          <w:szCs w:val="24"/>
        </w:rPr>
        <w:t xml:space="preserve">Quiere lo anterior significar que nada le </w:t>
      </w:r>
      <w:r>
        <w:rPr>
          <w:rFonts w:ascii="Gadugi" w:hAnsi="Gadugi" w:cs="Arial"/>
          <w:sz w:val="24"/>
          <w:szCs w:val="24"/>
          <w:lang w:val="es-419"/>
        </w:rPr>
        <w:t>obstaculiza</w:t>
      </w:r>
      <w:r w:rsidRPr="005871FB">
        <w:rPr>
          <w:rFonts w:ascii="Gadugi" w:hAnsi="Gadugi" w:cs="Arial"/>
          <w:sz w:val="24"/>
          <w:szCs w:val="24"/>
        </w:rPr>
        <w:t xml:space="preserve"> afrontar el proceso que tiene a su alcance tendiente a establecer si tiene derecho a obtener la sustitución pensional correspondiente.</w:t>
      </w:r>
    </w:p>
    <w:p w:rsidR="00B237F8" w:rsidRPr="005871FB" w:rsidRDefault="00B237F8" w:rsidP="00B237F8">
      <w:pPr>
        <w:spacing w:line="276" w:lineRule="auto"/>
        <w:ind w:right="334" w:firstLine="2835"/>
        <w:jc w:val="both"/>
        <w:rPr>
          <w:rFonts w:ascii="Century Gothic" w:hAnsi="Century Gothic" w:cs="Arial"/>
          <w:color w:val="FF0000"/>
          <w:sz w:val="24"/>
          <w:szCs w:val="24"/>
        </w:rPr>
      </w:pPr>
    </w:p>
    <w:p w:rsidR="00B237F8" w:rsidRPr="005871FB" w:rsidRDefault="00B237F8" w:rsidP="00B237F8">
      <w:pPr>
        <w:spacing w:line="276" w:lineRule="auto"/>
        <w:jc w:val="both"/>
        <w:rPr>
          <w:rFonts w:ascii="Gadugi" w:hAnsi="Gadugi" w:cs="Arial"/>
          <w:bCs/>
          <w:sz w:val="24"/>
          <w:szCs w:val="24"/>
          <w:lang w:val="es-419"/>
        </w:rPr>
      </w:pPr>
      <w:r w:rsidRPr="005871FB">
        <w:rPr>
          <w:rFonts w:ascii="Gadugi" w:hAnsi="Gadugi" w:cs="Arial"/>
          <w:bCs/>
          <w:sz w:val="24"/>
          <w:szCs w:val="24"/>
        </w:rPr>
        <w:t xml:space="preserve">  </w:t>
      </w:r>
      <w:r w:rsidRPr="005871FB">
        <w:rPr>
          <w:rFonts w:ascii="Gadugi" w:hAnsi="Gadugi" w:cs="Arial"/>
          <w:bCs/>
          <w:sz w:val="24"/>
          <w:szCs w:val="24"/>
        </w:rPr>
        <w:tab/>
      </w:r>
      <w:r w:rsidRPr="005871FB">
        <w:rPr>
          <w:rFonts w:ascii="Gadugi" w:hAnsi="Gadugi" w:cs="Arial"/>
          <w:bCs/>
          <w:sz w:val="24"/>
          <w:szCs w:val="24"/>
        </w:rPr>
        <w:tab/>
      </w:r>
      <w:r w:rsidRPr="005871FB">
        <w:rPr>
          <w:rFonts w:ascii="Gadugi" w:hAnsi="Gadugi" w:cs="Arial"/>
          <w:bCs/>
          <w:sz w:val="24"/>
          <w:szCs w:val="24"/>
        </w:rPr>
        <w:tab/>
      </w:r>
      <w:r w:rsidRPr="005871FB">
        <w:rPr>
          <w:rFonts w:ascii="Gadugi" w:hAnsi="Gadugi" w:cs="Arial"/>
          <w:bCs/>
          <w:sz w:val="24"/>
          <w:szCs w:val="24"/>
        </w:rPr>
        <w:tab/>
        <w:t xml:space="preserve">En tales condiciones, se prohijará el fallo de primer grado </w:t>
      </w:r>
      <w:r>
        <w:rPr>
          <w:rFonts w:ascii="Gadugi" w:hAnsi="Gadugi" w:cs="Arial"/>
          <w:bCs/>
          <w:sz w:val="24"/>
          <w:szCs w:val="24"/>
          <w:lang w:val="es-419"/>
        </w:rPr>
        <w:t>con una precisión de técnica, en el sentido de que simplemente ha debido declararse improcedente</w:t>
      </w:r>
      <w:r w:rsidRPr="005871FB">
        <w:rPr>
          <w:rFonts w:ascii="Gadugi" w:hAnsi="Gadugi" w:cs="Arial"/>
          <w:bCs/>
          <w:sz w:val="24"/>
          <w:szCs w:val="24"/>
          <w:lang w:val="es-419"/>
        </w:rPr>
        <w:t xml:space="preserve"> y no negar el amparo, pues lo primero implica que no haya un análisis de fondo de la cuestión</w:t>
      </w:r>
      <w:r>
        <w:rPr>
          <w:rFonts w:ascii="Gadugi" w:hAnsi="Gadugi" w:cs="Arial"/>
          <w:bCs/>
          <w:sz w:val="24"/>
          <w:szCs w:val="24"/>
          <w:lang w:val="es-419"/>
        </w:rPr>
        <w:t>, que sí debe realizarse cuando se deniega.</w:t>
      </w:r>
      <w:r w:rsidRPr="005871FB">
        <w:rPr>
          <w:rFonts w:ascii="Gadugi" w:hAnsi="Gadugi" w:cs="Arial"/>
          <w:bCs/>
          <w:sz w:val="24"/>
          <w:szCs w:val="24"/>
          <w:lang w:val="es-419"/>
        </w:rPr>
        <w:t xml:space="preserve"> </w:t>
      </w:r>
    </w:p>
    <w:p w:rsidR="00B237F8" w:rsidRPr="005871FB" w:rsidRDefault="00B237F8" w:rsidP="00B237F8">
      <w:pPr>
        <w:spacing w:line="276" w:lineRule="auto"/>
        <w:jc w:val="both"/>
        <w:rPr>
          <w:rFonts w:ascii="Gadugi" w:hAnsi="Gadugi" w:cs="Arial"/>
          <w:bCs/>
          <w:sz w:val="24"/>
          <w:szCs w:val="24"/>
          <w:lang w:val="es-419"/>
        </w:rPr>
      </w:pPr>
    </w:p>
    <w:p w:rsidR="00B237F8" w:rsidRPr="005871FB" w:rsidRDefault="00B237F8" w:rsidP="00B237F8">
      <w:pPr>
        <w:spacing w:line="276" w:lineRule="auto"/>
        <w:jc w:val="both"/>
        <w:rPr>
          <w:rFonts w:ascii="Gadugi" w:hAnsi="Gadugi" w:cs="Arial"/>
          <w:bCs/>
          <w:sz w:val="24"/>
          <w:szCs w:val="24"/>
          <w:lang w:val="es-CO"/>
        </w:rPr>
      </w:pPr>
      <w:r w:rsidRPr="005871FB">
        <w:rPr>
          <w:rFonts w:ascii="Gadugi" w:hAnsi="Gadugi" w:cs="Arial"/>
          <w:bCs/>
          <w:sz w:val="24"/>
          <w:szCs w:val="24"/>
          <w:lang w:val="es-CO"/>
        </w:rPr>
        <w:t xml:space="preserve"> </w:t>
      </w:r>
      <w:r w:rsidRPr="005871FB">
        <w:rPr>
          <w:rFonts w:ascii="Gadugi" w:hAnsi="Gadugi" w:cs="Arial"/>
          <w:bCs/>
          <w:sz w:val="24"/>
          <w:szCs w:val="24"/>
          <w:lang w:val="es-CO"/>
        </w:rPr>
        <w:tab/>
      </w:r>
      <w:r w:rsidRPr="005871FB">
        <w:rPr>
          <w:rFonts w:ascii="Gadugi" w:hAnsi="Gadugi" w:cs="Arial"/>
          <w:bCs/>
          <w:sz w:val="24"/>
          <w:szCs w:val="24"/>
          <w:lang w:val="es-CO"/>
        </w:rPr>
        <w:tab/>
      </w:r>
      <w:r w:rsidRPr="005871FB">
        <w:rPr>
          <w:rFonts w:ascii="Gadugi" w:hAnsi="Gadugi" w:cs="Arial"/>
          <w:bCs/>
          <w:sz w:val="24"/>
          <w:szCs w:val="24"/>
          <w:lang w:val="es-CO"/>
        </w:rPr>
        <w:tab/>
      </w:r>
      <w:r w:rsidRPr="005871FB">
        <w:rPr>
          <w:rFonts w:ascii="Gadugi" w:hAnsi="Gadugi" w:cs="Arial"/>
          <w:bCs/>
          <w:sz w:val="24"/>
          <w:szCs w:val="24"/>
          <w:lang w:val="es-CO"/>
        </w:rPr>
        <w:tab/>
        <w:t>Se adicionará igualmente para absolver al vinculado, pues, no se encuentra de su parte que hubiere trasgredido derecho alguno a la parte actora.</w:t>
      </w:r>
    </w:p>
    <w:p w:rsidR="00B237F8" w:rsidRPr="005871FB" w:rsidRDefault="00B237F8" w:rsidP="00B237F8">
      <w:pPr>
        <w:spacing w:line="276" w:lineRule="auto"/>
        <w:ind w:right="51" w:firstLine="2835"/>
        <w:jc w:val="both"/>
        <w:rPr>
          <w:rFonts w:ascii="Gadugi" w:hAnsi="Gadugi" w:cs="Arial"/>
          <w:iCs/>
          <w:color w:val="000000"/>
          <w:sz w:val="24"/>
          <w:szCs w:val="24"/>
        </w:rPr>
      </w:pPr>
    </w:p>
    <w:p w:rsidR="00B237F8" w:rsidRPr="005871FB" w:rsidRDefault="00B237F8" w:rsidP="00B237F8">
      <w:pPr>
        <w:spacing w:line="276" w:lineRule="auto"/>
        <w:ind w:firstLine="2835"/>
        <w:jc w:val="both"/>
        <w:rPr>
          <w:rFonts w:ascii="Gadugi" w:hAnsi="Gadugi" w:cs="Arial"/>
          <w:b/>
          <w:bCs/>
          <w:sz w:val="24"/>
          <w:szCs w:val="24"/>
        </w:rPr>
      </w:pPr>
    </w:p>
    <w:p w:rsidR="00B237F8" w:rsidRPr="005871FB" w:rsidRDefault="00B237F8" w:rsidP="00B237F8">
      <w:pPr>
        <w:spacing w:line="276" w:lineRule="auto"/>
        <w:ind w:firstLine="2835"/>
        <w:jc w:val="both"/>
        <w:rPr>
          <w:rFonts w:ascii="Gadugi" w:hAnsi="Gadugi" w:cs="Arial"/>
          <w:b/>
          <w:bCs/>
          <w:sz w:val="24"/>
          <w:szCs w:val="24"/>
        </w:rPr>
      </w:pPr>
      <w:r w:rsidRPr="005871FB">
        <w:rPr>
          <w:rFonts w:ascii="Gadugi" w:hAnsi="Gadugi" w:cs="Arial"/>
          <w:b/>
          <w:bCs/>
          <w:sz w:val="24"/>
          <w:szCs w:val="24"/>
        </w:rPr>
        <w:t>DECISIÓN</w:t>
      </w: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b/>
          <w:sz w:val="24"/>
          <w:szCs w:val="24"/>
        </w:rPr>
      </w:pPr>
      <w:r w:rsidRPr="005871FB">
        <w:rPr>
          <w:rFonts w:ascii="Gadugi" w:hAnsi="Gadugi"/>
          <w:sz w:val="24"/>
          <w:szCs w:val="24"/>
        </w:rPr>
        <w:lastRenderedPageBreak/>
        <w:t xml:space="preserve">Por lo expuesto, el </w:t>
      </w:r>
      <w:r w:rsidRPr="005871FB">
        <w:rPr>
          <w:rFonts w:ascii="Gadugi" w:hAnsi="Gadugi"/>
          <w:b/>
          <w:bCs/>
          <w:sz w:val="24"/>
          <w:szCs w:val="24"/>
        </w:rPr>
        <w:t>Tribunal Superior del Distrito Judicial de Pereira</w:t>
      </w:r>
      <w:r w:rsidRPr="005871FB">
        <w:rPr>
          <w:rFonts w:ascii="Gadugi" w:hAnsi="Gadugi"/>
          <w:sz w:val="24"/>
          <w:szCs w:val="24"/>
        </w:rPr>
        <w:t xml:space="preserve">, </w:t>
      </w:r>
      <w:r w:rsidRPr="005871FB">
        <w:rPr>
          <w:rFonts w:ascii="Gadugi" w:hAnsi="Gadugi"/>
          <w:b/>
          <w:bCs/>
          <w:sz w:val="24"/>
          <w:szCs w:val="24"/>
        </w:rPr>
        <w:t>Sala de Decisión Civil Familia</w:t>
      </w:r>
      <w:r w:rsidRPr="005871FB">
        <w:rPr>
          <w:rFonts w:ascii="Gadugi" w:hAnsi="Gadugi"/>
          <w:sz w:val="24"/>
          <w:szCs w:val="24"/>
        </w:rPr>
        <w:t xml:space="preserve">, administrando justicia en nombre de </w:t>
      </w:r>
      <w:smartTag w:uri="urn:schemas-microsoft-com:office:smarttags" w:element="PersonName">
        <w:smartTagPr>
          <w:attr w:name="ProductID" w:val="la Rep￺blica"/>
        </w:smartTagPr>
        <w:r w:rsidRPr="005871FB">
          <w:rPr>
            <w:rFonts w:ascii="Gadugi" w:hAnsi="Gadugi"/>
            <w:sz w:val="24"/>
            <w:szCs w:val="24"/>
          </w:rPr>
          <w:t>la República</w:t>
        </w:r>
      </w:smartTag>
      <w:r w:rsidRPr="005871FB">
        <w:rPr>
          <w:rFonts w:ascii="Gadugi" w:hAnsi="Gadugi"/>
          <w:sz w:val="24"/>
          <w:szCs w:val="24"/>
        </w:rPr>
        <w:t xml:space="preserve"> y por autoridad de la ley, </w:t>
      </w:r>
      <w:r w:rsidRPr="005871FB">
        <w:rPr>
          <w:rFonts w:ascii="Gadugi" w:hAnsi="Gadugi"/>
          <w:b/>
          <w:bCs/>
          <w:sz w:val="24"/>
          <w:szCs w:val="24"/>
        </w:rPr>
        <w:t>MODIFICA</w:t>
      </w:r>
      <w:r w:rsidRPr="005871FB">
        <w:rPr>
          <w:rFonts w:ascii="Gadugi" w:hAnsi="Gadugi"/>
          <w:sz w:val="24"/>
          <w:szCs w:val="24"/>
        </w:rPr>
        <w:t xml:space="preserve"> la sentencia </w:t>
      </w:r>
      <w:r w:rsidRPr="005871FB">
        <w:rPr>
          <w:rFonts w:ascii="Gadugi" w:hAnsi="Gadugi" w:cs="Arial"/>
          <w:sz w:val="24"/>
          <w:szCs w:val="24"/>
        </w:rPr>
        <w:t xml:space="preserve">proferida el pasado 9 de septiembre por el Juzgado Tercero Civil del Circuito local, en esta acción de tutela propuesta por </w:t>
      </w:r>
      <w:r w:rsidRPr="005871FB">
        <w:rPr>
          <w:rFonts w:ascii="Gadugi" w:hAnsi="Gadugi" w:cs="Arial"/>
          <w:b/>
          <w:sz w:val="24"/>
          <w:szCs w:val="24"/>
        </w:rPr>
        <w:t xml:space="preserve">Alba Doris Sánchez Zapata </w:t>
      </w:r>
      <w:r w:rsidRPr="005871FB">
        <w:rPr>
          <w:rFonts w:ascii="Gadugi" w:hAnsi="Gadugi" w:cs="Arial"/>
          <w:sz w:val="24"/>
          <w:szCs w:val="24"/>
        </w:rPr>
        <w:t xml:space="preserve">contra la </w:t>
      </w:r>
      <w:r w:rsidRPr="005871FB">
        <w:rPr>
          <w:rFonts w:ascii="Gadugi" w:hAnsi="Gadugi" w:cs="Arial"/>
          <w:b/>
          <w:sz w:val="24"/>
          <w:szCs w:val="24"/>
        </w:rPr>
        <w:t xml:space="preserve">Secretaría de Educación del Departamento de Risaralda </w:t>
      </w:r>
      <w:r w:rsidRPr="005871FB">
        <w:rPr>
          <w:rFonts w:ascii="Gadugi" w:hAnsi="Gadugi" w:cs="Arial"/>
          <w:sz w:val="24"/>
          <w:szCs w:val="24"/>
        </w:rPr>
        <w:t xml:space="preserve">y la </w:t>
      </w:r>
      <w:r w:rsidRPr="005871FB">
        <w:rPr>
          <w:rFonts w:ascii="Gadugi" w:hAnsi="Gadugi" w:cs="Arial"/>
          <w:b/>
          <w:sz w:val="24"/>
          <w:szCs w:val="24"/>
        </w:rPr>
        <w:t xml:space="preserve">Gobernación de Risaralda, </w:t>
      </w:r>
      <w:r w:rsidRPr="005871FB">
        <w:rPr>
          <w:rFonts w:ascii="Gadugi" w:hAnsi="Gadugi" w:cs="Arial"/>
          <w:sz w:val="24"/>
          <w:szCs w:val="24"/>
        </w:rPr>
        <w:t xml:space="preserve">a la que fue vinculado </w:t>
      </w:r>
      <w:r w:rsidRPr="005871FB">
        <w:rPr>
          <w:rFonts w:ascii="Gadugi" w:hAnsi="Gadugi" w:cs="Arial"/>
          <w:b/>
          <w:sz w:val="24"/>
          <w:szCs w:val="24"/>
        </w:rPr>
        <w:t>Rafael Ángel González Suárez</w:t>
      </w:r>
      <w:r w:rsidRPr="005871FB">
        <w:rPr>
          <w:rFonts w:ascii="Gadugi" w:hAnsi="Gadugi" w:cs="Arial"/>
          <w:sz w:val="24"/>
          <w:szCs w:val="24"/>
        </w:rPr>
        <w:t xml:space="preserve">, en cuanto </w:t>
      </w:r>
      <w:r w:rsidRPr="003556CD">
        <w:rPr>
          <w:rFonts w:ascii="Gadugi" w:hAnsi="Gadugi" w:cs="Arial"/>
          <w:sz w:val="24"/>
          <w:szCs w:val="24"/>
        </w:rPr>
        <w:t>se declara</w:t>
      </w:r>
      <w:r w:rsidRPr="005871FB">
        <w:rPr>
          <w:rFonts w:ascii="Gadugi" w:hAnsi="Gadugi" w:cs="Arial"/>
          <w:sz w:val="24"/>
          <w:szCs w:val="24"/>
        </w:rPr>
        <w:t xml:space="preserve">, de manera exclusiva, </w:t>
      </w:r>
      <w:r w:rsidRPr="005871FB">
        <w:rPr>
          <w:rFonts w:ascii="Gadugi" w:hAnsi="Gadugi" w:cs="Arial"/>
          <w:b/>
          <w:sz w:val="24"/>
          <w:szCs w:val="24"/>
        </w:rPr>
        <w:t>IMPROCEDENTE.</w:t>
      </w:r>
    </w:p>
    <w:p w:rsidR="00B237F8" w:rsidRPr="005871FB" w:rsidRDefault="00B237F8" w:rsidP="00B237F8">
      <w:pPr>
        <w:spacing w:line="276" w:lineRule="auto"/>
        <w:jc w:val="both"/>
        <w:rPr>
          <w:rFonts w:ascii="Gadugi" w:hAnsi="Gadugi" w:cs="Arial"/>
          <w:b/>
          <w:bCs/>
          <w:sz w:val="24"/>
          <w:szCs w:val="24"/>
        </w:rPr>
      </w:pPr>
    </w:p>
    <w:p w:rsidR="00B237F8" w:rsidRPr="005871FB" w:rsidRDefault="00B237F8" w:rsidP="00B237F8">
      <w:pPr>
        <w:spacing w:line="276" w:lineRule="auto"/>
        <w:ind w:firstLine="2835"/>
        <w:jc w:val="both"/>
        <w:rPr>
          <w:rFonts w:ascii="Gadugi" w:hAnsi="Gadugi" w:cs="Arial"/>
          <w:sz w:val="24"/>
          <w:szCs w:val="24"/>
        </w:rPr>
      </w:pPr>
      <w:r w:rsidRPr="005871FB">
        <w:rPr>
          <w:rFonts w:ascii="Gadugi" w:hAnsi="Gadugi" w:cs="Arial"/>
          <w:sz w:val="24"/>
          <w:szCs w:val="24"/>
        </w:rPr>
        <w:t xml:space="preserve">Se </w:t>
      </w:r>
      <w:r w:rsidRPr="003556CD">
        <w:rPr>
          <w:rFonts w:ascii="Gadugi" w:hAnsi="Gadugi" w:cs="Arial"/>
          <w:sz w:val="24"/>
          <w:szCs w:val="24"/>
        </w:rPr>
        <w:t>adiciona</w:t>
      </w:r>
      <w:r w:rsidRPr="005871FB">
        <w:rPr>
          <w:rFonts w:ascii="Gadugi" w:hAnsi="Gadugi" w:cs="Arial"/>
          <w:b/>
          <w:sz w:val="24"/>
          <w:szCs w:val="24"/>
        </w:rPr>
        <w:t xml:space="preserve"> </w:t>
      </w:r>
      <w:r w:rsidRPr="005871FB">
        <w:rPr>
          <w:rFonts w:ascii="Gadugi" w:hAnsi="Gadugi" w:cs="Arial"/>
          <w:sz w:val="24"/>
          <w:szCs w:val="24"/>
        </w:rPr>
        <w:t>para absolver a Rafael Ángel González Suárez.</w:t>
      </w: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sz w:val="24"/>
          <w:szCs w:val="24"/>
        </w:rPr>
      </w:pPr>
      <w:r w:rsidRPr="005871FB">
        <w:rPr>
          <w:rFonts w:ascii="Gadugi" w:hAnsi="Gadugi" w:cs="Arial"/>
          <w:sz w:val="24"/>
          <w:szCs w:val="24"/>
        </w:rPr>
        <w:t>Notifíquese  la decisión a las partes en la forma prevista en el artículo 5o. del Decreto 306 de 1992.</w:t>
      </w:r>
    </w:p>
    <w:p w:rsidR="00B237F8" w:rsidRPr="005871FB" w:rsidRDefault="00B237F8" w:rsidP="00B237F8">
      <w:pPr>
        <w:spacing w:line="276" w:lineRule="auto"/>
        <w:ind w:firstLine="2835"/>
        <w:jc w:val="both"/>
        <w:rPr>
          <w:rFonts w:ascii="Gadugi" w:hAnsi="Gadugi" w:cs="Arial"/>
          <w:sz w:val="24"/>
          <w:szCs w:val="24"/>
        </w:rPr>
      </w:pPr>
    </w:p>
    <w:p w:rsidR="00B237F8" w:rsidRPr="003556CD" w:rsidRDefault="00B237F8" w:rsidP="00B237F8">
      <w:pPr>
        <w:spacing w:line="276" w:lineRule="auto"/>
        <w:ind w:firstLine="2835"/>
        <w:jc w:val="both"/>
        <w:rPr>
          <w:rFonts w:ascii="Gadugi" w:hAnsi="Gadugi" w:cs="Arial"/>
          <w:sz w:val="24"/>
          <w:szCs w:val="24"/>
          <w:lang w:val="es-419"/>
        </w:rPr>
      </w:pPr>
      <w:r w:rsidRPr="005871FB">
        <w:rPr>
          <w:rFonts w:ascii="Gadugi" w:hAnsi="Gadugi" w:cs="Arial"/>
          <w:sz w:val="24"/>
          <w:szCs w:val="24"/>
        </w:rPr>
        <w:t xml:space="preserve">Remítase oportunamente el expediente a </w:t>
      </w:r>
      <w:smartTag w:uri="urn:schemas-microsoft-com:office:smarttags" w:element="PersonName">
        <w:smartTagPr>
          <w:attr w:name="ProductID" w:val="la Corte Constitucional"/>
        </w:smartTagPr>
        <w:r w:rsidRPr="005871FB">
          <w:rPr>
            <w:rFonts w:ascii="Gadugi" w:hAnsi="Gadugi" w:cs="Arial"/>
            <w:sz w:val="24"/>
            <w:szCs w:val="24"/>
          </w:rPr>
          <w:t>la Corte Constitucional</w:t>
        </w:r>
      </w:smartTag>
      <w:r w:rsidRPr="005871FB">
        <w:rPr>
          <w:rFonts w:ascii="Gadugi" w:hAnsi="Gadugi" w:cs="Arial"/>
          <w:sz w:val="24"/>
          <w:szCs w:val="24"/>
        </w:rPr>
        <w:t> para su eventual revisión.</w:t>
      </w:r>
      <w:r>
        <w:rPr>
          <w:rFonts w:ascii="Gadugi" w:hAnsi="Gadugi" w:cs="Arial"/>
          <w:sz w:val="24"/>
          <w:szCs w:val="24"/>
          <w:lang w:val="es-419"/>
        </w:rPr>
        <w:t xml:space="preserve"> A su regreso, archívese. </w:t>
      </w:r>
    </w:p>
    <w:p w:rsidR="00B237F8" w:rsidRPr="005871FB" w:rsidRDefault="00B237F8" w:rsidP="00B237F8">
      <w:pPr>
        <w:spacing w:line="276" w:lineRule="auto"/>
        <w:ind w:firstLine="2835"/>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sz w:val="24"/>
          <w:szCs w:val="24"/>
        </w:rPr>
      </w:pPr>
      <w:r w:rsidRPr="005871FB">
        <w:rPr>
          <w:rFonts w:ascii="Gadugi" w:hAnsi="Gadugi" w:cs="Arial"/>
          <w:sz w:val="24"/>
          <w:szCs w:val="24"/>
        </w:rPr>
        <w:t>Los Magistrados,</w:t>
      </w:r>
    </w:p>
    <w:p w:rsidR="00B237F8" w:rsidRDefault="00B237F8" w:rsidP="00B237F8">
      <w:pPr>
        <w:spacing w:line="276" w:lineRule="auto"/>
        <w:jc w:val="both"/>
        <w:rPr>
          <w:rFonts w:ascii="Gadugi" w:hAnsi="Gadugi" w:cs="Arial"/>
          <w:sz w:val="24"/>
          <w:szCs w:val="24"/>
        </w:rPr>
      </w:pPr>
    </w:p>
    <w:p w:rsidR="00B237F8" w:rsidRPr="005871FB" w:rsidRDefault="00B237F8" w:rsidP="00B237F8">
      <w:pPr>
        <w:spacing w:line="276" w:lineRule="auto"/>
        <w:jc w:val="both"/>
        <w:rPr>
          <w:rFonts w:ascii="Gadugi" w:hAnsi="Gadugi" w:cs="Arial"/>
          <w:sz w:val="24"/>
          <w:szCs w:val="24"/>
        </w:rPr>
      </w:pPr>
    </w:p>
    <w:p w:rsidR="00B237F8" w:rsidRPr="005871FB" w:rsidRDefault="00B237F8" w:rsidP="00B237F8">
      <w:pPr>
        <w:spacing w:line="276" w:lineRule="auto"/>
        <w:ind w:firstLine="2835"/>
        <w:jc w:val="both"/>
        <w:rPr>
          <w:rFonts w:ascii="Gadugi" w:hAnsi="Gadugi" w:cs="Arial"/>
          <w:b/>
          <w:bCs/>
          <w:sz w:val="24"/>
          <w:szCs w:val="24"/>
        </w:rPr>
      </w:pPr>
    </w:p>
    <w:p w:rsidR="00B237F8" w:rsidRPr="005871FB" w:rsidRDefault="00B237F8" w:rsidP="00B237F8">
      <w:pPr>
        <w:spacing w:line="276" w:lineRule="auto"/>
        <w:ind w:firstLine="2835"/>
        <w:jc w:val="both"/>
        <w:rPr>
          <w:rFonts w:ascii="Gadugi" w:hAnsi="Gadugi" w:cs="Arial"/>
          <w:b/>
          <w:bCs/>
          <w:sz w:val="24"/>
          <w:szCs w:val="24"/>
        </w:rPr>
      </w:pPr>
    </w:p>
    <w:p w:rsidR="00B237F8" w:rsidRPr="005871FB" w:rsidRDefault="00B237F8" w:rsidP="00B237F8">
      <w:pPr>
        <w:spacing w:line="276" w:lineRule="auto"/>
        <w:ind w:firstLine="2835"/>
        <w:jc w:val="both"/>
        <w:rPr>
          <w:rFonts w:ascii="Gadugi" w:hAnsi="Gadugi" w:cs="Arial"/>
          <w:b/>
          <w:bCs/>
          <w:sz w:val="24"/>
          <w:szCs w:val="24"/>
        </w:rPr>
      </w:pPr>
      <w:r w:rsidRPr="005871FB">
        <w:rPr>
          <w:rFonts w:ascii="Gadugi" w:hAnsi="Gadugi" w:cs="Arial"/>
          <w:b/>
          <w:bCs/>
          <w:sz w:val="24"/>
          <w:szCs w:val="24"/>
        </w:rPr>
        <w:t>JAIME ALBERTO SARAZA NARANJO</w:t>
      </w:r>
    </w:p>
    <w:p w:rsidR="00B237F8" w:rsidRPr="005871FB" w:rsidRDefault="00B237F8" w:rsidP="00B237F8">
      <w:pPr>
        <w:spacing w:line="276" w:lineRule="auto"/>
        <w:ind w:firstLine="2835"/>
        <w:jc w:val="both"/>
        <w:rPr>
          <w:rFonts w:ascii="Gadugi" w:hAnsi="Gadugi" w:cs="Arial"/>
          <w:b/>
          <w:bCs/>
          <w:sz w:val="24"/>
          <w:szCs w:val="24"/>
        </w:rPr>
      </w:pPr>
    </w:p>
    <w:p w:rsidR="00B237F8" w:rsidRPr="005871FB" w:rsidRDefault="00B237F8" w:rsidP="00B237F8">
      <w:pPr>
        <w:spacing w:line="276" w:lineRule="auto"/>
        <w:jc w:val="both"/>
        <w:rPr>
          <w:rFonts w:ascii="Gadugi" w:hAnsi="Gadugi"/>
          <w:b/>
          <w:sz w:val="24"/>
          <w:szCs w:val="24"/>
        </w:rPr>
      </w:pPr>
    </w:p>
    <w:p w:rsidR="00B237F8" w:rsidRDefault="00B237F8" w:rsidP="00B237F8">
      <w:pPr>
        <w:spacing w:line="276" w:lineRule="auto"/>
        <w:jc w:val="both"/>
        <w:rPr>
          <w:rFonts w:ascii="Gadugi" w:hAnsi="Gadugi"/>
          <w:b/>
          <w:sz w:val="24"/>
          <w:szCs w:val="24"/>
        </w:rPr>
      </w:pPr>
    </w:p>
    <w:p w:rsidR="00B237F8" w:rsidRPr="005871FB" w:rsidRDefault="00B237F8" w:rsidP="00B237F8">
      <w:pPr>
        <w:spacing w:line="276" w:lineRule="auto"/>
        <w:jc w:val="both"/>
        <w:rPr>
          <w:rFonts w:ascii="Gadugi" w:hAnsi="Gadugi"/>
          <w:b/>
          <w:sz w:val="24"/>
          <w:szCs w:val="24"/>
        </w:rPr>
      </w:pPr>
    </w:p>
    <w:p w:rsidR="00B237F8" w:rsidRPr="005871FB" w:rsidRDefault="00B237F8" w:rsidP="00B237F8">
      <w:pPr>
        <w:spacing w:line="276" w:lineRule="auto"/>
        <w:jc w:val="both"/>
        <w:rPr>
          <w:rFonts w:ascii="Gadugi" w:hAnsi="Gadugi" w:cs="Arial"/>
          <w:b/>
          <w:bCs/>
          <w:sz w:val="24"/>
          <w:szCs w:val="24"/>
          <w:lang w:val="es-419"/>
        </w:rPr>
      </w:pPr>
      <w:r w:rsidRPr="005871FB">
        <w:rPr>
          <w:rFonts w:ascii="Gadugi" w:hAnsi="Gadugi"/>
          <w:b/>
          <w:sz w:val="24"/>
          <w:szCs w:val="24"/>
        </w:rPr>
        <w:t xml:space="preserve">CLAUDIA MARÍA ARCILA RÍOS      </w:t>
      </w:r>
      <w:r w:rsidRPr="005871FB">
        <w:rPr>
          <w:rFonts w:ascii="Gadugi" w:hAnsi="Gadugi" w:cs="Arial"/>
          <w:b/>
          <w:bCs/>
          <w:sz w:val="24"/>
          <w:szCs w:val="24"/>
        </w:rPr>
        <w:t xml:space="preserve">   </w:t>
      </w:r>
      <w:r w:rsidRPr="005871FB">
        <w:rPr>
          <w:rFonts w:ascii="Gadugi" w:hAnsi="Gadugi" w:cs="Arial"/>
          <w:b/>
          <w:bCs/>
          <w:sz w:val="24"/>
          <w:szCs w:val="24"/>
        </w:rPr>
        <w:tab/>
      </w:r>
      <w:proofErr w:type="spellStart"/>
      <w:r w:rsidRPr="005871FB">
        <w:rPr>
          <w:rFonts w:ascii="Gadugi" w:hAnsi="Gadugi"/>
          <w:b/>
          <w:sz w:val="24"/>
          <w:szCs w:val="24"/>
        </w:rPr>
        <w:t>DUBERNEY</w:t>
      </w:r>
      <w:proofErr w:type="spellEnd"/>
      <w:r w:rsidRPr="005871FB">
        <w:rPr>
          <w:rFonts w:ascii="Gadugi" w:hAnsi="Gadugi"/>
          <w:b/>
          <w:sz w:val="24"/>
          <w:szCs w:val="24"/>
        </w:rPr>
        <w:t xml:space="preserve"> GRISALES HERRERA </w:t>
      </w:r>
      <w:r w:rsidRPr="005871FB">
        <w:rPr>
          <w:rFonts w:ascii="Gadugi" w:hAnsi="Gadugi"/>
          <w:b/>
          <w:sz w:val="24"/>
          <w:szCs w:val="24"/>
        </w:rPr>
        <w:tab/>
      </w:r>
      <w:r w:rsidRPr="005871FB">
        <w:rPr>
          <w:rFonts w:ascii="Gadugi" w:hAnsi="Gadugi"/>
          <w:b/>
          <w:sz w:val="24"/>
          <w:szCs w:val="24"/>
        </w:rPr>
        <w:tab/>
        <w:t xml:space="preserve"> </w:t>
      </w:r>
      <w:r w:rsidRPr="005871FB">
        <w:rPr>
          <w:rFonts w:ascii="Gadugi" w:hAnsi="Gadugi"/>
          <w:b/>
          <w:sz w:val="24"/>
          <w:szCs w:val="24"/>
        </w:rPr>
        <w:tab/>
      </w:r>
      <w:r w:rsidRPr="005871FB">
        <w:rPr>
          <w:rFonts w:ascii="Gadugi" w:hAnsi="Gadugi"/>
          <w:b/>
          <w:sz w:val="24"/>
          <w:szCs w:val="24"/>
          <w:lang w:val="es-419"/>
        </w:rPr>
        <w:t xml:space="preserve">  </w:t>
      </w:r>
      <w:r w:rsidRPr="005871FB">
        <w:rPr>
          <w:rFonts w:ascii="Gadugi" w:hAnsi="Gadugi"/>
          <w:b/>
          <w:sz w:val="24"/>
          <w:szCs w:val="24"/>
          <w:lang w:val="es-419"/>
        </w:rPr>
        <w:tab/>
      </w:r>
      <w:r w:rsidRPr="005871FB">
        <w:rPr>
          <w:rFonts w:ascii="Gadugi" w:hAnsi="Gadugi"/>
          <w:b/>
          <w:sz w:val="24"/>
          <w:szCs w:val="24"/>
          <w:lang w:val="es-419"/>
        </w:rPr>
        <w:tab/>
      </w:r>
      <w:r w:rsidRPr="005871FB">
        <w:rPr>
          <w:rFonts w:ascii="Gadugi" w:hAnsi="Gadugi"/>
          <w:b/>
          <w:sz w:val="24"/>
          <w:szCs w:val="24"/>
          <w:lang w:val="es-419"/>
        </w:rPr>
        <w:tab/>
      </w:r>
      <w:r w:rsidRPr="005871FB">
        <w:rPr>
          <w:rFonts w:ascii="Gadugi" w:hAnsi="Gadugi"/>
          <w:b/>
          <w:sz w:val="24"/>
          <w:szCs w:val="24"/>
          <w:lang w:val="es-419"/>
        </w:rPr>
        <w:tab/>
      </w:r>
      <w:r w:rsidRPr="005871FB">
        <w:rPr>
          <w:rFonts w:ascii="Gadugi" w:hAnsi="Gadugi"/>
          <w:b/>
          <w:sz w:val="24"/>
          <w:szCs w:val="24"/>
          <w:lang w:val="es-419"/>
        </w:rPr>
        <w:tab/>
      </w:r>
    </w:p>
    <w:p w:rsidR="00B237F8" w:rsidRPr="005871FB" w:rsidRDefault="00B237F8" w:rsidP="00B237F8">
      <w:pPr>
        <w:spacing w:line="276" w:lineRule="auto"/>
        <w:ind w:right="334" w:firstLine="2835"/>
        <w:jc w:val="both"/>
        <w:rPr>
          <w:rFonts w:ascii="Gadugi" w:hAnsi="Gadugi" w:cs="Arial"/>
          <w:b/>
          <w:bCs/>
          <w:sz w:val="24"/>
          <w:szCs w:val="24"/>
          <w:lang w:val="es-419"/>
        </w:rPr>
      </w:pPr>
    </w:p>
    <w:p w:rsidR="005F1135" w:rsidRDefault="00AD7C44"/>
    <w:sectPr w:rsidR="005F1135" w:rsidSect="00B237F8">
      <w:footerReference w:type="default" r:id="rId6"/>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44" w:rsidRDefault="00AD7C44" w:rsidP="00B237F8">
      <w:r>
        <w:separator/>
      </w:r>
    </w:p>
  </w:endnote>
  <w:endnote w:type="continuationSeparator" w:id="0">
    <w:p w:rsidR="00AD7C44" w:rsidRDefault="00AD7C44" w:rsidP="00B2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45" w:rsidRDefault="00AD7C4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37F8">
      <w:rPr>
        <w:rStyle w:val="Nmerodepgina"/>
        <w:noProof/>
      </w:rPr>
      <w:t>6</w:t>
    </w:r>
    <w:r>
      <w:rPr>
        <w:rStyle w:val="Nmerodepgina"/>
      </w:rPr>
      <w:fldChar w:fldCharType="end"/>
    </w:r>
  </w:p>
  <w:p w:rsidR="00BE0045" w:rsidRDefault="00AD7C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44" w:rsidRDefault="00AD7C44" w:rsidP="00B237F8">
      <w:r>
        <w:separator/>
      </w:r>
    </w:p>
  </w:footnote>
  <w:footnote w:type="continuationSeparator" w:id="0">
    <w:p w:rsidR="00AD7C44" w:rsidRDefault="00AD7C44" w:rsidP="00B237F8">
      <w:r>
        <w:continuationSeparator/>
      </w:r>
    </w:p>
  </w:footnote>
  <w:footnote w:id="1">
    <w:p w:rsidR="00B237F8" w:rsidRPr="005047E8" w:rsidRDefault="00B237F8" w:rsidP="00B237F8">
      <w:pPr>
        <w:pStyle w:val="Textonotapie"/>
        <w:rPr>
          <w:rFonts w:ascii="Arial Narrow" w:hAnsi="Arial Narrow"/>
          <w:lang w:val="es-CO"/>
        </w:rPr>
      </w:pPr>
      <w:r w:rsidRPr="00691771">
        <w:rPr>
          <w:rStyle w:val="Refdenotaalpie"/>
          <w:rFonts w:ascii="Arial Narrow" w:hAnsi="Arial Narrow"/>
        </w:rPr>
        <w:footnoteRef/>
      </w:r>
      <w:r w:rsidRPr="00691771">
        <w:rPr>
          <w:rFonts w:ascii="Arial Narrow" w:hAnsi="Arial Narrow"/>
        </w:rPr>
        <w:t xml:space="preserve"> </w:t>
      </w:r>
      <w:r w:rsidRPr="00691771">
        <w:rPr>
          <w:rFonts w:ascii="Arial Narrow" w:hAnsi="Arial Narrow"/>
          <w:lang w:val="es-CO"/>
        </w:rPr>
        <w:t>Sentencia T-239 de 20</w:t>
      </w:r>
      <w:r w:rsidRPr="005047E8">
        <w:rPr>
          <w:rFonts w:ascii="Arial Narrow" w:hAnsi="Arial Narrow"/>
          <w:lang w:val="es-CO"/>
        </w:rPr>
        <w:t>08</w:t>
      </w:r>
    </w:p>
  </w:footnote>
  <w:footnote w:id="2">
    <w:p w:rsidR="00B237F8" w:rsidRPr="005047E8" w:rsidRDefault="00B237F8" w:rsidP="00B237F8">
      <w:pPr>
        <w:pStyle w:val="Textonotapie"/>
        <w:rPr>
          <w:lang w:val="es-CO"/>
        </w:rPr>
      </w:pPr>
      <w:r w:rsidRPr="005047E8">
        <w:rPr>
          <w:rStyle w:val="Refdenotaalpie"/>
          <w:rFonts w:ascii="Arial Narrow" w:hAnsi="Arial Narrow"/>
        </w:rPr>
        <w:footnoteRef/>
      </w:r>
      <w:r w:rsidRPr="005047E8">
        <w:rPr>
          <w:rFonts w:ascii="Arial Narrow" w:hAnsi="Arial Narrow"/>
        </w:rPr>
        <w:t xml:space="preserve"> </w:t>
      </w:r>
      <w:r w:rsidRPr="005047E8">
        <w:rPr>
          <w:rFonts w:ascii="Arial Narrow" w:hAnsi="Arial Narrow"/>
          <w:lang w:val="es-CO"/>
        </w:rPr>
        <w:t>Sentencia T-344 de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5C"/>
    <w:rsid w:val="008C2308"/>
    <w:rsid w:val="00AD415C"/>
    <w:rsid w:val="00AD7C44"/>
    <w:rsid w:val="00B237F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A914C8A-6AA6-4DD6-B53E-6E85E0B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rsid w:val="00B237F8"/>
    <w:pPr>
      <w:spacing w:line="360" w:lineRule="auto"/>
      <w:ind w:firstLine="2835"/>
      <w:jc w:val="both"/>
    </w:pPr>
    <w:rPr>
      <w:rFonts w:ascii="Verdana" w:hAnsi="Verdana"/>
      <w:sz w:val="24"/>
    </w:rPr>
  </w:style>
  <w:style w:type="paragraph" w:styleId="Piedepgina">
    <w:name w:val="footer"/>
    <w:basedOn w:val="Normal"/>
    <w:link w:val="PiedepginaCar"/>
    <w:rsid w:val="00B237F8"/>
    <w:pPr>
      <w:tabs>
        <w:tab w:val="center" w:pos="4419"/>
        <w:tab w:val="right" w:pos="8838"/>
      </w:tabs>
    </w:pPr>
  </w:style>
  <w:style w:type="character" w:customStyle="1" w:styleId="PiedepginaCar">
    <w:name w:val="Pie de página Car"/>
    <w:basedOn w:val="Fuentedeprrafopredeter"/>
    <w:link w:val="Piedepgina"/>
    <w:rsid w:val="00B237F8"/>
    <w:rPr>
      <w:rFonts w:ascii="Times New Roman" w:eastAsia="Times New Roman" w:hAnsi="Times New Roman" w:cs="Times New Roman"/>
      <w:sz w:val="20"/>
      <w:szCs w:val="20"/>
      <w:lang w:eastAsia="es-ES"/>
    </w:rPr>
  </w:style>
  <w:style w:type="character" w:styleId="Nmerodepgina">
    <w:name w:val="page number"/>
    <w:basedOn w:val="Fuentedeprrafopredeter"/>
    <w:rsid w:val="00B237F8"/>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
    <w:basedOn w:val="Normal"/>
    <w:link w:val="TextonotapieCar1"/>
    <w:semiHidden/>
    <w:rsid w:val="00B237F8"/>
  </w:style>
  <w:style w:type="character" w:customStyle="1" w:styleId="TextonotapieCar">
    <w:name w:val="Texto nota pie Car"/>
    <w:basedOn w:val="Fuentedeprrafopredeter"/>
    <w:uiPriority w:val="99"/>
    <w:semiHidden/>
    <w:rsid w:val="00B237F8"/>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semiHidden/>
    <w:rsid w:val="00B237F8"/>
    <w:rPr>
      <w:vertAlign w:val="superscript"/>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Footnote reference Car"/>
    <w:basedOn w:val="Fuentedeprrafopredeter"/>
    <w:link w:val="Textonotapie"/>
    <w:semiHidden/>
    <w:locked/>
    <w:rsid w:val="00B237F8"/>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B237F8"/>
    <w:pPr>
      <w:spacing w:after="120" w:line="480" w:lineRule="auto"/>
      <w:ind w:left="283"/>
    </w:pPr>
  </w:style>
  <w:style w:type="character" w:customStyle="1" w:styleId="Sangra2detindependienteCar">
    <w:name w:val="Sangría 2 de t. independiente Car"/>
    <w:basedOn w:val="Fuentedeprrafopredeter"/>
    <w:link w:val="Sangra2detindependiente"/>
    <w:rsid w:val="00B237F8"/>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B237F8"/>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B237F8"/>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2043</Words>
  <Characters>11240</Characters>
  <Application>Microsoft Office Word</Application>
  <DocSecurity>0</DocSecurity>
  <Lines>93</Lines>
  <Paragraphs>26</Paragraphs>
  <ScaleCrop>false</ScaleCrop>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2017-02-08T14:30:00Z</dcterms:created>
  <dcterms:modified xsi:type="dcterms:W3CDTF">2017-02-08T14:39:00Z</dcterms:modified>
</cp:coreProperties>
</file>