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7797" w:rsidRPr="009F7797" w:rsidRDefault="009F7797" w:rsidP="009F7797">
      <w:pPr>
        <w:pBdr>
          <w:top w:val="single" w:sz="4" w:space="1" w:color="auto"/>
          <w:left w:val="single" w:sz="4" w:space="4" w:color="auto"/>
          <w:bottom w:val="single" w:sz="4" w:space="1" w:color="auto"/>
          <w:right w:val="single" w:sz="4" w:space="4" w:color="auto"/>
        </w:pBdr>
        <w:shd w:val="clear" w:color="auto" w:fill="FFFFFF"/>
        <w:overflowPunct/>
        <w:autoSpaceDE/>
        <w:autoSpaceDN/>
        <w:adjustRightInd/>
        <w:spacing w:after="200"/>
        <w:jc w:val="center"/>
        <w:textAlignment w:val="auto"/>
        <w:rPr>
          <w:rFonts w:ascii="Calibri" w:eastAsia="Calibri" w:hAnsi="Calibri" w:cs="Calibri"/>
          <w:color w:val="222222"/>
          <w:sz w:val="24"/>
          <w:szCs w:val="22"/>
          <w:lang w:val="es-CO" w:eastAsia="fr-FR"/>
        </w:rPr>
      </w:pPr>
      <w:r w:rsidRPr="009F7797">
        <w:rPr>
          <w:rFonts w:ascii="Calibri" w:eastAsia="Calibri" w:hAnsi="Calibri" w:cs="Calibri"/>
          <w:color w:val="FF0000"/>
          <w:sz w:val="16"/>
          <w:szCs w:val="16"/>
          <w:lang w:val="es-CO" w:eastAsia="fr-FR"/>
        </w:rPr>
        <w:t>El siguiente es el documento presentado por el Magistrado Ponente que sirvió de base para proferir la providencia dentro del presente proceso. El contenido total y fiel de la decisión debe ser verificado en la Secretaría de esta Corporación.</w:t>
      </w:r>
      <w:r w:rsidRPr="009F7797">
        <w:rPr>
          <w:rFonts w:ascii="Calibri" w:eastAsia="Calibri" w:hAnsi="Calibri" w:cs="Calibri"/>
          <w:color w:val="222222"/>
          <w:sz w:val="18"/>
          <w:szCs w:val="18"/>
          <w:lang w:val="es-CO" w:eastAsia="fr-FR"/>
        </w:rPr>
        <w:t> </w:t>
      </w:r>
    </w:p>
    <w:p w:rsidR="009F7797" w:rsidRPr="009F7797" w:rsidRDefault="009F7797" w:rsidP="009F7797">
      <w:pPr>
        <w:shd w:val="clear" w:color="auto" w:fill="FFFFFF"/>
        <w:overflowPunct/>
        <w:autoSpaceDE/>
        <w:autoSpaceDN/>
        <w:adjustRightInd/>
        <w:ind w:left="2124" w:hanging="2124"/>
        <w:jc w:val="both"/>
        <w:textAlignment w:val="auto"/>
        <w:rPr>
          <w:rFonts w:ascii="Calibri" w:eastAsia="Calibri" w:hAnsi="Calibri" w:cs="Calibri"/>
          <w:color w:val="222222"/>
          <w:sz w:val="18"/>
          <w:szCs w:val="18"/>
          <w:lang w:val="es-CO" w:eastAsia="fr-FR"/>
        </w:rPr>
      </w:pPr>
      <w:r w:rsidRPr="009F7797">
        <w:rPr>
          <w:rFonts w:ascii="Calibri" w:hAnsi="Calibri" w:cs="Calibri"/>
          <w:color w:val="222222"/>
          <w:sz w:val="18"/>
          <w:szCs w:val="18"/>
          <w:lang w:val="es-CO" w:eastAsia="fr-FR"/>
        </w:rPr>
        <w:t>Providencia:</w:t>
      </w:r>
      <w:r w:rsidRPr="009F7797">
        <w:rPr>
          <w:rFonts w:ascii="Calibri" w:hAnsi="Calibri" w:cs="Calibri"/>
          <w:color w:val="222222"/>
          <w:sz w:val="18"/>
          <w:szCs w:val="18"/>
          <w:lang w:val="es-CO" w:eastAsia="fr-FR"/>
        </w:rPr>
        <w:tab/>
        <w:t>SENTENCIA DE TUTELA – 1ª Instancia – 7 de diciembre de 2016</w:t>
      </w:r>
    </w:p>
    <w:p w:rsidR="009F7797" w:rsidRPr="009F7797" w:rsidRDefault="009F7797" w:rsidP="009F7797">
      <w:pPr>
        <w:shd w:val="clear" w:color="auto" w:fill="FFFFFF"/>
        <w:tabs>
          <w:tab w:val="left" w:pos="1418"/>
          <w:tab w:val="left" w:pos="2106"/>
        </w:tabs>
        <w:overflowPunct/>
        <w:autoSpaceDE/>
        <w:autoSpaceDN/>
        <w:adjustRightInd/>
        <w:jc w:val="both"/>
        <w:textAlignment w:val="auto"/>
        <w:rPr>
          <w:rFonts w:ascii="Calibri" w:eastAsia="Calibri" w:hAnsi="Calibri" w:cs="Calibri"/>
          <w:color w:val="222222"/>
          <w:sz w:val="18"/>
          <w:szCs w:val="18"/>
          <w:lang w:eastAsia="fr-FR"/>
        </w:rPr>
      </w:pPr>
      <w:r w:rsidRPr="009F7797">
        <w:rPr>
          <w:rFonts w:ascii="Calibri" w:eastAsia="Calibri" w:hAnsi="Calibri" w:cs="Calibri"/>
          <w:color w:val="222222"/>
          <w:sz w:val="18"/>
          <w:szCs w:val="18"/>
          <w:lang w:val="es-CO" w:eastAsia="fr-FR"/>
        </w:rPr>
        <w:t>Radicación Nro. :</w:t>
      </w:r>
      <w:r w:rsidRPr="009F7797">
        <w:rPr>
          <w:rFonts w:ascii="Calibri" w:eastAsia="Calibri" w:hAnsi="Calibri" w:cs="Calibri"/>
          <w:color w:val="222222"/>
          <w:sz w:val="18"/>
          <w:szCs w:val="18"/>
          <w:lang w:val="es-CO" w:eastAsia="fr-FR"/>
        </w:rPr>
        <w:tab/>
        <w:t xml:space="preserve">  </w:t>
      </w:r>
      <w:r w:rsidRPr="009F7797">
        <w:rPr>
          <w:rFonts w:ascii="Calibri" w:eastAsia="Calibri" w:hAnsi="Calibri" w:cs="Calibri"/>
          <w:color w:val="222222"/>
          <w:sz w:val="18"/>
          <w:szCs w:val="18"/>
          <w:lang w:val="es-CO" w:eastAsia="fr-FR"/>
        </w:rPr>
        <w:tab/>
      </w:r>
      <w:r w:rsidRPr="009F7797">
        <w:rPr>
          <w:rFonts w:ascii="Calibri" w:eastAsia="Calibri" w:hAnsi="Calibri" w:cs="Calibri"/>
          <w:color w:val="222222"/>
          <w:sz w:val="18"/>
          <w:szCs w:val="18"/>
          <w:lang w:eastAsia="fr-FR"/>
        </w:rPr>
        <w:t>66001-22-13-000-2016-01084-00</w:t>
      </w:r>
      <w:r w:rsidRPr="009F7797">
        <w:rPr>
          <w:rFonts w:ascii="Calibri" w:eastAsia="Calibri" w:hAnsi="Calibri" w:cs="Calibri"/>
          <w:color w:val="222222"/>
          <w:sz w:val="18"/>
          <w:szCs w:val="18"/>
          <w:lang w:eastAsia="fr-FR"/>
        </w:rPr>
        <w:tab/>
      </w:r>
    </w:p>
    <w:p w:rsidR="009F7797" w:rsidRPr="009F7797" w:rsidRDefault="009F7797" w:rsidP="009F7797">
      <w:pPr>
        <w:shd w:val="clear" w:color="auto" w:fill="FFFFFF"/>
        <w:tabs>
          <w:tab w:val="left" w:pos="1418"/>
          <w:tab w:val="left" w:pos="2106"/>
        </w:tabs>
        <w:overflowPunct/>
        <w:autoSpaceDE/>
        <w:autoSpaceDN/>
        <w:adjustRightInd/>
        <w:jc w:val="both"/>
        <w:textAlignment w:val="auto"/>
        <w:rPr>
          <w:rFonts w:ascii="Calibri" w:eastAsia="Calibri" w:hAnsi="Calibri" w:cs="Calibri"/>
          <w:color w:val="222222"/>
          <w:sz w:val="18"/>
          <w:szCs w:val="18"/>
          <w:lang w:eastAsia="fr-FR"/>
        </w:rPr>
      </w:pPr>
      <w:r w:rsidRPr="009F7797">
        <w:rPr>
          <w:rFonts w:ascii="Calibri" w:eastAsia="Calibri" w:hAnsi="Calibri" w:cs="Calibri"/>
          <w:color w:val="222222"/>
          <w:sz w:val="18"/>
          <w:szCs w:val="18"/>
          <w:lang w:val="es-CO" w:eastAsia="fr-FR"/>
        </w:rPr>
        <w:t>Accionante:</w:t>
      </w:r>
      <w:r w:rsidRPr="009F7797">
        <w:rPr>
          <w:rFonts w:ascii="Calibri" w:eastAsia="Calibri" w:hAnsi="Calibri" w:cs="Calibri"/>
          <w:color w:val="222222"/>
          <w:sz w:val="18"/>
          <w:szCs w:val="18"/>
          <w:lang w:val="es-CO" w:eastAsia="fr-FR"/>
        </w:rPr>
        <w:tab/>
      </w:r>
      <w:r w:rsidRPr="009F7797">
        <w:rPr>
          <w:rFonts w:ascii="Calibri" w:eastAsia="Calibri" w:hAnsi="Calibri" w:cs="Calibri"/>
          <w:color w:val="222222"/>
          <w:sz w:val="18"/>
          <w:szCs w:val="18"/>
          <w:lang w:val="es-CO" w:eastAsia="fr-FR"/>
        </w:rPr>
        <w:tab/>
      </w:r>
      <w:r w:rsidRPr="009F7797">
        <w:rPr>
          <w:rFonts w:ascii="Calibri" w:eastAsia="Calibri" w:hAnsi="Calibri" w:cs="Calibri"/>
          <w:bCs/>
          <w:color w:val="222222"/>
          <w:sz w:val="18"/>
          <w:szCs w:val="18"/>
          <w:lang w:eastAsia="fr-FR"/>
        </w:rPr>
        <w:t>JUAN MARÍA DUQUE URIBE</w:t>
      </w:r>
    </w:p>
    <w:p w:rsidR="009F7797" w:rsidRPr="009F7797" w:rsidRDefault="009F7797" w:rsidP="009F7797">
      <w:pPr>
        <w:shd w:val="clear" w:color="auto" w:fill="FFFFFF"/>
        <w:tabs>
          <w:tab w:val="left" w:pos="1418"/>
          <w:tab w:val="left" w:pos="2106"/>
        </w:tabs>
        <w:overflowPunct/>
        <w:autoSpaceDE/>
        <w:autoSpaceDN/>
        <w:adjustRightInd/>
        <w:ind w:left="2100" w:hanging="2100"/>
        <w:jc w:val="both"/>
        <w:textAlignment w:val="auto"/>
        <w:rPr>
          <w:rFonts w:ascii="Calibri" w:eastAsia="Calibri" w:hAnsi="Calibri" w:cs="Calibri"/>
          <w:bCs/>
          <w:color w:val="222222"/>
          <w:sz w:val="18"/>
          <w:szCs w:val="18"/>
          <w:lang w:val="es-CO" w:eastAsia="fr-FR"/>
        </w:rPr>
      </w:pPr>
      <w:r w:rsidRPr="009F7797">
        <w:rPr>
          <w:rFonts w:ascii="Calibri" w:eastAsia="Calibri" w:hAnsi="Calibri" w:cs="Calibri"/>
          <w:bCs/>
          <w:color w:val="222222"/>
          <w:sz w:val="18"/>
          <w:szCs w:val="18"/>
          <w:lang w:val="es-ES_tradnl" w:eastAsia="fr-FR"/>
        </w:rPr>
        <w:t>A</w:t>
      </w:r>
      <w:proofErr w:type="spellStart"/>
      <w:r w:rsidRPr="009F7797">
        <w:rPr>
          <w:rFonts w:ascii="Calibri" w:eastAsia="Calibri" w:hAnsi="Calibri" w:cs="Calibri"/>
          <w:color w:val="222222"/>
          <w:sz w:val="18"/>
          <w:szCs w:val="18"/>
          <w:lang w:val="es-CO" w:eastAsia="fr-FR"/>
        </w:rPr>
        <w:t>ccionados</w:t>
      </w:r>
      <w:proofErr w:type="spellEnd"/>
      <w:r w:rsidRPr="009F7797">
        <w:rPr>
          <w:rFonts w:ascii="Calibri" w:eastAsia="Calibri" w:hAnsi="Calibri" w:cs="Calibri"/>
          <w:color w:val="222222"/>
          <w:sz w:val="18"/>
          <w:szCs w:val="18"/>
          <w:lang w:val="es-CO" w:eastAsia="fr-FR"/>
        </w:rPr>
        <w:t>:</w:t>
      </w:r>
      <w:r w:rsidRPr="009F7797">
        <w:rPr>
          <w:rFonts w:ascii="Calibri" w:eastAsia="Calibri" w:hAnsi="Calibri" w:cs="Calibri"/>
          <w:color w:val="222222"/>
          <w:sz w:val="18"/>
          <w:szCs w:val="18"/>
          <w:lang w:val="es-CO" w:eastAsia="fr-FR"/>
        </w:rPr>
        <w:tab/>
        <w:t>     </w:t>
      </w:r>
      <w:r w:rsidRPr="009F7797">
        <w:rPr>
          <w:rFonts w:ascii="Calibri" w:eastAsia="Calibri" w:hAnsi="Calibri" w:cs="Calibri"/>
          <w:color w:val="222222"/>
          <w:sz w:val="18"/>
          <w:szCs w:val="18"/>
          <w:lang w:val="es-CO" w:eastAsia="fr-FR"/>
        </w:rPr>
        <w:tab/>
      </w:r>
      <w:r w:rsidRPr="009F7797">
        <w:rPr>
          <w:rFonts w:ascii="Calibri" w:eastAsia="Calibri" w:hAnsi="Calibri" w:cs="Calibri"/>
          <w:bCs/>
          <w:color w:val="222222"/>
          <w:sz w:val="18"/>
          <w:szCs w:val="18"/>
          <w:lang w:eastAsia="fr-FR"/>
        </w:rPr>
        <w:t>MINISTERIOS DE AGRICULTURA Y DESARROLLO Y CRÉDITO PÚBLICO</w:t>
      </w:r>
    </w:p>
    <w:p w:rsidR="009F7797" w:rsidRPr="009F7797" w:rsidRDefault="009F7797" w:rsidP="009F7797">
      <w:pPr>
        <w:shd w:val="clear" w:color="auto" w:fill="FFFFFF"/>
        <w:overflowPunct/>
        <w:autoSpaceDE/>
        <w:autoSpaceDN/>
        <w:adjustRightInd/>
        <w:ind w:left="2124" w:hanging="2124"/>
        <w:jc w:val="both"/>
        <w:textAlignment w:val="auto"/>
        <w:rPr>
          <w:rFonts w:ascii="Calibri" w:eastAsia="Calibri" w:hAnsi="Calibri" w:cs="Calibri"/>
          <w:color w:val="222222"/>
          <w:sz w:val="18"/>
          <w:szCs w:val="18"/>
          <w:lang w:val="es-CO" w:eastAsia="fr-FR"/>
        </w:rPr>
      </w:pPr>
      <w:r w:rsidRPr="009F7797">
        <w:rPr>
          <w:rFonts w:ascii="Calibri" w:eastAsia="Calibri" w:hAnsi="Calibri" w:cs="Calibri"/>
          <w:color w:val="222222"/>
          <w:sz w:val="18"/>
          <w:szCs w:val="18"/>
          <w:lang w:val="es-CO" w:eastAsia="fr-FR"/>
        </w:rPr>
        <w:t>Proceso:                </w:t>
      </w:r>
      <w:r w:rsidRPr="009F7797">
        <w:rPr>
          <w:rFonts w:ascii="Calibri" w:eastAsia="Calibri" w:hAnsi="Calibri" w:cs="Calibri"/>
          <w:color w:val="222222"/>
          <w:sz w:val="18"/>
          <w:szCs w:val="18"/>
          <w:lang w:val="es-CO" w:eastAsia="fr-FR"/>
        </w:rPr>
        <w:tab/>
        <w:t xml:space="preserve">Acción de Tutela – Declara improcedente el amparo solicitado </w:t>
      </w:r>
    </w:p>
    <w:p w:rsidR="009F7797" w:rsidRPr="009F7797" w:rsidRDefault="009F7797" w:rsidP="009F7797">
      <w:pPr>
        <w:shd w:val="clear" w:color="auto" w:fill="FFFFFF"/>
        <w:overflowPunct/>
        <w:autoSpaceDE/>
        <w:autoSpaceDN/>
        <w:adjustRightInd/>
        <w:ind w:left="2124" w:hanging="2124"/>
        <w:jc w:val="both"/>
        <w:textAlignment w:val="auto"/>
        <w:rPr>
          <w:rFonts w:ascii="Calibri" w:eastAsia="Calibri" w:hAnsi="Calibri" w:cs="Calibri"/>
          <w:bCs/>
          <w:color w:val="222222"/>
          <w:sz w:val="18"/>
          <w:szCs w:val="18"/>
          <w:lang w:val="es-CO" w:eastAsia="fr-FR"/>
        </w:rPr>
      </w:pPr>
      <w:r w:rsidRPr="009F7797">
        <w:rPr>
          <w:rFonts w:ascii="Calibri" w:eastAsia="Calibri" w:hAnsi="Calibri" w:cs="Calibri"/>
          <w:color w:val="222222"/>
          <w:sz w:val="18"/>
          <w:szCs w:val="18"/>
          <w:lang w:val="es-CO" w:eastAsia="fr-FR"/>
        </w:rPr>
        <w:t>Magistrado Ponente: </w:t>
      </w:r>
      <w:r w:rsidRPr="009F7797">
        <w:rPr>
          <w:rFonts w:ascii="Calibri" w:eastAsia="Calibri" w:hAnsi="Calibri" w:cs="Calibri"/>
          <w:color w:val="222222"/>
          <w:sz w:val="18"/>
          <w:szCs w:val="18"/>
          <w:lang w:val="es-CO" w:eastAsia="fr-FR"/>
        </w:rPr>
        <w:tab/>
      </w:r>
      <w:r w:rsidRPr="009F7797">
        <w:rPr>
          <w:rFonts w:ascii="Calibri" w:eastAsia="Calibri" w:hAnsi="Calibri" w:cs="Calibri"/>
          <w:bCs/>
          <w:iCs/>
          <w:color w:val="222222"/>
          <w:sz w:val="18"/>
          <w:szCs w:val="18"/>
          <w:lang w:eastAsia="fr-FR"/>
        </w:rPr>
        <w:t>JAIME ALBERTO SARAZA NARANJO</w:t>
      </w:r>
    </w:p>
    <w:p w:rsidR="009F7797" w:rsidRPr="009F7797" w:rsidRDefault="009F7797" w:rsidP="009F7797">
      <w:pPr>
        <w:shd w:val="clear" w:color="auto" w:fill="FFFFFF"/>
        <w:overflowPunct/>
        <w:autoSpaceDE/>
        <w:autoSpaceDN/>
        <w:adjustRightInd/>
        <w:jc w:val="both"/>
        <w:textAlignment w:val="auto"/>
        <w:rPr>
          <w:rFonts w:ascii="Calibri" w:eastAsia="Calibri" w:hAnsi="Calibri" w:cs="Calibri"/>
          <w:b/>
          <w:bCs/>
          <w:color w:val="222222"/>
          <w:sz w:val="10"/>
          <w:szCs w:val="10"/>
          <w:lang w:val="es-CO" w:eastAsia="fr-FR"/>
        </w:rPr>
      </w:pPr>
    </w:p>
    <w:p w:rsidR="009F7797" w:rsidRPr="009F7797" w:rsidRDefault="009F7797" w:rsidP="009F7797">
      <w:pPr>
        <w:shd w:val="clear" w:color="auto" w:fill="FFFFFF"/>
        <w:overflowPunct/>
        <w:autoSpaceDE/>
        <w:autoSpaceDN/>
        <w:adjustRightInd/>
        <w:spacing w:after="200"/>
        <w:jc w:val="both"/>
        <w:textAlignment w:val="auto"/>
        <w:rPr>
          <w:rFonts w:ascii="Calibri" w:eastAsia="Calibri" w:hAnsi="Calibri" w:cs="Calibri"/>
          <w:b/>
          <w:bCs/>
          <w:color w:val="222222"/>
          <w:sz w:val="18"/>
          <w:szCs w:val="18"/>
          <w:lang w:eastAsia="fr-FR"/>
        </w:rPr>
      </w:pPr>
      <w:r w:rsidRPr="009F7797">
        <w:rPr>
          <w:rFonts w:ascii="Calibri" w:eastAsia="Calibri" w:hAnsi="Calibri" w:cs="Calibri"/>
          <w:b/>
          <w:bCs/>
          <w:color w:val="222222"/>
          <w:sz w:val="18"/>
          <w:szCs w:val="18"/>
          <w:lang w:val="es-CO" w:eastAsia="fr-FR"/>
        </w:rPr>
        <w:t>Temas:</w:t>
      </w:r>
      <w:r w:rsidRPr="009F7797">
        <w:rPr>
          <w:rFonts w:ascii="Calibri" w:eastAsia="Calibri" w:hAnsi="Calibri" w:cs="Calibri"/>
          <w:b/>
          <w:bCs/>
          <w:color w:val="222222"/>
          <w:sz w:val="18"/>
          <w:szCs w:val="18"/>
          <w:lang w:val="es-CO" w:eastAsia="fr-FR"/>
        </w:rPr>
        <w:tab/>
      </w:r>
      <w:r w:rsidRPr="009F7797">
        <w:rPr>
          <w:rFonts w:ascii="Calibri" w:eastAsia="Calibri" w:hAnsi="Calibri" w:cs="Calibri"/>
          <w:b/>
          <w:bCs/>
          <w:color w:val="222222"/>
          <w:sz w:val="18"/>
          <w:szCs w:val="18"/>
          <w:lang w:val="es-CO" w:eastAsia="fr-FR"/>
        </w:rPr>
        <w:tab/>
      </w:r>
      <w:r w:rsidRPr="009F7797">
        <w:rPr>
          <w:rFonts w:ascii="Calibri" w:eastAsia="Calibri" w:hAnsi="Calibri" w:cs="Calibri"/>
          <w:b/>
          <w:bCs/>
          <w:color w:val="222222"/>
          <w:sz w:val="18"/>
          <w:szCs w:val="18"/>
          <w:lang w:val="es-CO" w:eastAsia="fr-FR"/>
        </w:rPr>
        <w:tab/>
        <w:t xml:space="preserve">DERECHOS AL </w:t>
      </w:r>
      <w:r w:rsidRPr="009F7797">
        <w:rPr>
          <w:rFonts w:ascii="Calibri" w:eastAsia="Calibri" w:hAnsi="Calibri" w:cs="Calibri"/>
          <w:b/>
          <w:bCs/>
          <w:color w:val="222222"/>
          <w:sz w:val="18"/>
          <w:szCs w:val="18"/>
          <w:lang w:val="es-MX" w:eastAsia="fr-FR"/>
        </w:rPr>
        <w:t xml:space="preserve">DEBIDO PROCESO, A LA VIDA, AL MÍNIMO VITAL, LA DIGNIDAD HUMANA, LA SALUD, A LA SEGURIDAD SOCIAL E IGUALDAD / INDEMNIZACIÓN SUSTITUTIVA DE LA PENSIÓN DE VEJEZ / IMPROCEDENCIA / </w:t>
      </w:r>
      <w:r w:rsidRPr="009F7797">
        <w:rPr>
          <w:rFonts w:ascii="Calibri" w:eastAsia="Calibri" w:hAnsi="Calibri" w:cs="Calibri"/>
          <w:b/>
          <w:bCs/>
          <w:color w:val="222222"/>
          <w:sz w:val="18"/>
          <w:szCs w:val="18"/>
          <w:lang w:val="es-CO" w:eastAsia="fr-FR"/>
        </w:rPr>
        <w:t>EXISTE OTRO MECANISMO DE DEFENSA JUDICIAL</w:t>
      </w:r>
      <w:r w:rsidRPr="009F7797">
        <w:rPr>
          <w:rFonts w:ascii="Calibri" w:eastAsia="Calibri" w:hAnsi="Calibri" w:cs="Calibri"/>
          <w:b/>
          <w:bCs/>
          <w:color w:val="222222"/>
          <w:sz w:val="18"/>
          <w:szCs w:val="18"/>
          <w:lang w:val="es-MX" w:eastAsia="fr-FR"/>
        </w:rPr>
        <w:t xml:space="preserve">. </w:t>
      </w:r>
      <w:r w:rsidRPr="009F7797">
        <w:rPr>
          <w:rFonts w:ascii="Calibri" w:eastAsia="Calibri" w:hAnsi="Calibri" w:cs="Calibri"/>
          <w:bCs/>
          <w:color w:val="222222"/>
          <w:sz w:val="18"/>
          <w:szCs w:val="18"/>
          <w:lang w:val="es-MX" w:eastAsia="fr-FR"/>
        </w:rPr>
        <w:t>“</w:t>
      </w:r>
      <w:r w:rsidRPr="009F7797">
        <w:rPr>
          <w:rFonts w:ascii="Calibri" w:eastAsia="Calibri" w:hAnsi="Calibri" w:cs="Calibri"/>
          <w:bCs/>
          <w:color w:val="222222"/>
          <w:sz w:val="18"/>
          <w:szCs w:val="18"/>
          <w:lang w:eastAsia="fr-FR"/>
        </w:rPr>
        <w:t xml:space="preserve">Se acude en esta ocasión (…) frente a la negativa que se produjo frente a la negativa de la solicitud de indemnización sustitutiva por pensión de vejez que elevó, resuelta, en últimas por la </w:t>
      </w:r>
      <w:proofErr w:type="spellStart"/>
      <w:r w:rsidRPr="009F7797">
        <w:rPr>
          <w:rFonts w:ascii="Calibri" w:eastAsia="Calibri" w:hAnsi="Calibri" w:cs="Calibri"/>
          <w:bCs/>
          <w:color w:val="222222"/>
          <w:sz w:val="18"/>
          <w:szCs w:val="18"/>
          <w:lang w:eastAsia="fr-FR"/>
        </w:rPr>
        <w:t>UGPP</w:t>
      </w:r>
      <w:proofErr w:type="spellEnd"/>
      <w:r w:rsidRPr="009F7797">
        <w:rPr>
          <w:rFonts w:ascii="Calibri" w:eastAsia="Calibri" w:hAnsi="Calibri" w:cs="Calibri"/>
          <w:bCs/>
          <w:color w:val="222222"/>
          <w:sz w:val="18"/>
          <w:szCs w:val="18"/>
          <w:lang w:eastAsia="fr-FR"/>
        </w:rPr>
        <w:t xml:space="preserve">. </w:t>
      </w:r>
      <w:r w:rsidRPr="009F7797">
        <w:rPr>
          <w:rFonts w:ascii="Calibri" w:eastAsia="Calibri" w:hAnsi="Calibri" w:cs="Calibri"/>
          <w:bCs/>
          <w:color w:val="222222"/>
          <w:sz w:val="18"/>
          <w:szCs w:val="18"/>
          <w:lang w:val="es-419" w:eastAsia="fr-FR"/>
        </w:rPr>
        <w:t xml:space="preserve">De acuerdo con lo que enseña el expediente, el amparo no puede salir avante, </w:t>
      </w:r>
      <w:r w:rsidRPr="009F7797">
        <w:rPr>
          <w:rFonts w:ascii="Calibri" w:eastAsia="Calibri" w:hAnsi="Calibri" w:cs="Calibri"/>
          <w:bCs/>
          <w:color w:val="222222"/>
          <w:sz w:val="18"/>
          <w:szCs w:val="18"/>
          <w:lang w:eastAsia="fr-FR"/>
        </w:rPr>
        <w:t xml:space="preserve">porque </w:t>
      </w:r>
      <w:r w:rsidRPr="009F7797">
        <w:rPr>
          <w:rFonts w:ascii="Calibri" w:eastAsia="Calibri" w:hAnsi="Calibri" w:cs="Calibri"/>
          <w:bCs/>
          <w:color w:val="222222"/>
          <w:sz w:val="18"/>
          <w:szCs w:val="18"/>
          <w:lang w:val="es-419" w:eastAsia="fr-FR"/>
        </w:rPr>
        <w:t>es conocido que</w:t>
      </w:r>
      <w:r w:rsidRPr="009F7797">
        <w:rPr>
          <w:rFonts w:ascii="Calibri" w:eastAsia="Calibri" w:hAnsi="Calibri" w:cs="Calibri"/>
          <w:bCs/>
          <w:color w:val="222222"/>
          <w:sz w:val="18"/>
          <w:szCs w:val="18"/>
          <w:lang w:eastAsia="fr-FR"/>
        </w:rPr>
        <w:t xml:space="preserve"> la acción de tutela tiene naturaleza residual, de manera que se torna improcedente</w:t>
      </w:r>
      <w:r w:rsidRPr="009F7797">
        <w:rPr>
          <w:rFonts w:ascii="Calibri" w:eastAsia="Calibri" w:hAnsi="Calibri" w:cs="Calibri"/>
          <w:bCs/>
          <w:color w:val="222222"/>
          <w:sz w:val="18"/>
          <w:szCs w:val="18"/>
          <w:lang w:val="es-419" w:eastAsia="fr-FR"/>
        </w:rPr>
        <w:t xml:space="preserve"> </w:t>
      </w:r>
      <w:r w:rsidRPr="009F7797">
        <w:rPr>
          <w:rFonts w:ascii="Calibri" w:eastAsia="Calibri" w:hAnsi="Calibri" w:cs="Calibri"/>
          <w:bCs/>
          <w:color w:val="222222"/>
          <w:sz w:val="18"/>
          <w:szCs w:val="18"/>
          <w:lang w:eastAsia="fr-FR"/>
        </w:rPr>
        <w:t>cuando el afectado cuenta con otro mecanismo de defensa judicial</w:t>
      </w:r>
      <w:r w:rsidRPr="009F7797">
        <w:rPr>
          <w:rFonts w:ascii="Calibri" w:eastAsia="Calibri" w:hAnsi="Calibri" w:cs="Calibri"/>
          <w:bCs/>
          <w:color w:val="222222"/>
          <w:sz w:val="18"/>
          <w:szCs w:val="18"/>
          <w:lang w:val="es-419" w:eastAsia="fr-FR"/>
        </w:rPr>
        <w:t xml:space="preserve"> (numeral  1°, art. 6, D. 2591 de 1991)</w:t>
      </w:r>
      <w:r w:rsidRPr="009F7797">
        <w:rPr>
          <w:rFonts w:ascii="Calibri" w:eastAsia="Calibri" w:hAnsi="Calibri" w:cs="Calibri"/>
          <w:bCs/>
          <w:color w:val="222222"/>
          <w:sz w:val="18"/>
          <w:szCs w:val="18"/>
          <w:lang w:eastAsia="fr-FR"/>
        </w:rPr>
        <w:t xml:space="preserve">. En virtud de esa connotación reiteradamente se ha sostenido que en asuntos laborales quien se crea con derecho a reclamar un determinado beneficio debe acudir a las vías ordinarias, esto es, ante los jueces laborales o ante la jurisdicción de lo contencioso administrativo, según sea el caso. (…) [E]l demandante </w:t>
      </w:r>
      <w:r w:rsidRPr="009F7797">
        <w:rPr>
          <w:rFonts w:ascii="Calibri" w:eastAsia="Calibri" w:hAnsi="Calibri" w:cs="Calibri"/>
          <w:bCs/>
          <w:color w:val="222222"/>
          <w:sz w:val="18"/>
          <w:szCs w:val="18"/>
          <w:lang w:val="es-419" w:eastAsia="fr-FR"/>
        </w:rPr>
        <w:t xml:space="preserve">está por fuera de los parámetros para ser catalogado como </w:t>
      </w:r>
      <w:r w:rsidRPr="009F7797">
        <w:rPr>
          <w:rFonts w:ascii="Calibri" w:eastAsia="Calibri" w:hAnsi="Calibri" w:cs="Calibri"/>
          <w:bCs/>
          <w:color w:val="222222"/>
          <w:sz w:val="18"/>
          <w:szCs w:val="18"/>
          <w:lang w:eastAsia="fr-FR"/>
        </w:rPr>
        <w:t>sujeto de especial protección</w:t>
      </w:r>
      <w:r w:rsidRPr="009F7797">
        <w:rPr>
          <w:rFonts w:ascii="Calibri" w:eastAsia="Calibri" w:hAnsi="Calibri" w:cs="Calibri"/>
          <w:bCs/>
          <w:color w:val="222222"/>
          <w:sz w:val="18"/>
          <w:szCs w:val="18"/>
          <w:lang w:val="es-419" w:eastAsia="fr-FR"/>
        </w:rPr>
        <w:t xml:space="preserve">, si bien está por fuera de los parámetros de edad señalados en la sentencia </w:t>
      </w:r>
      <w:r w:rsidRPr="009F7797">
        <w:rPr>
          <w:rFonts w:ascii="Calibri" w:eastAsia="Calibri" w:hAnsi="Calibri" w:cs="Calibri"/>
          <w:bCs/>
          <w:color w:val="222222"/>
          <w:sz w:val="18"/>
          <w:szCs w:val="18"/>
          <w:lang w:eastAsia="fr-FR"/>
        </w:rPr>
        <w:t>T-138 de 2010;</w:t>
      </w:r>
      <w:r w:rsidRPr="009F7797">
        <w:rPr>
          <w:rFonts w:ascii="Calibri" w:eastAsia="Calibri" w:hAnsi="Calibri" w:cs="Calibri"/>
          <w:bCs/>
          <w:color w:val="222222"/>
          <w:sz w:val="18"/>
          <w:szCs w:val="18"/>
          <w:lang w:val="es-419" w:eastAsia="fr-FR"/>
        </w:rPr>
        <w:t xml:space="preserve"> tampoco adujo, ni está demostrada alguna discapacidad </w:t>
      </w:r>
      <w:r w:rsidRPr="009F7797">
        <w:rPr>
          <w:rFonts w:ascii="Calibri" w:eastAsia="Calibri" w:hAnsi="Calibri" w:cs="Calibri"/>
          <w:bCs/>
          <w:color w:val="222222"/>
          <w:sz w:val="18"/>
          <w:szCs w:val="18"/>
          <w:lang w:eastAsia="fr-FR"/>
        </w:rPr>
        <w:t>física o mental</w:t>
      </w:r>
      <w:r w:rsidRPr="009F7797">
        <w:rPr>
          <w:rFonts w:ascii="Calibri" w:eastAsia="Calibri" w:hAnsi="Calibri" w:cs="Calibri"/>
          <w:bCs/>
          <w:color w:val="222222"/>
          <w:sz w:val="18"/>
          <w:szCs w:val="18"/>
          <w:lang w:val="es-419" w:eastAsia="fr-FR"/>
        </w:rPr>
        <w:t xml:space="preserve"> que le impida valerse por sí mismo; por otro lado, ninguna prueba apunta a demostrar una especial </w:t>
      </w:r>
      <w:r w:rsidRPr="009F7797">
        <w:rPr>
          <w:rFonts w:ascii="Calibri" w:eastAsia="Calibri" w:hAnsi="Calibri" w:cs="Calibri"/>
          <w:bCs/>
          <w:color w:val="222222"/>
          <w:sz w:val="18"/>
          <w:szCs w:val="18"/>
          <w:lang w:eastAsia="fr-FR"/>
        </w:rPr>
        <w:t xml:space="preserve">situación que la </w:t>
      </w:r>
      <w:proofErr w:type="spellStart"/>
      <w:r w:rsidRPr="009F7797">
        <w:rPr>
          <w:rFonts w:ascii="Calibri" w:eastAsia="Calibri" w:hAnsi="Calibri" w:cs="Calibri"/>
          <w:bCs/>
          <w:color w:val="222222"/>
          <w:sz w:val="18"/>
          <w:szCs w:val="18"/>
          <w:lang w:eastAsia="fr-FR"/>
        </w:rPr>
        <w:t>ubi</w:t>
      </w:r>
      <w:proofErr w:type="spellEnd"/>
      <w:r w:rsidRPr="009F7797">
        <w:rPr>
          <w:rFonts w:ascii="Calibri" w:eastAsia="Calibri" w:hAnsi="Calibri" w:cs="Calibri"/>
          <w:bCs/>
          <w:color w:val="222222"/>
          <w:sz w:val="18"/>
          <w:szCs w:val="18"/>
          <w:lang w:val="es-419" w:eastAsia="fr-FR"/>
        </w:rPr>
        <w:t xml:space="preserve">que </w:t>
      </w:r>
      <w:r w:rsidRPr="009F7797">
        <w:rPr>
          <w:rFonts w:ascii="Calibri" w:eastAsia="Calibri" w:hAnsi="Calibri" w:cs="Calibri"/>
          <w:bCs/>
          <w:color w:val="222222"/>
          <w:sz w:val="18"/>
          <w:szCs w:val="18"/>
          <w:lang w:eastAsia="fr-FR"/>
        </w:rPr>
        <w:t xml:space="preserve">en un grupo poblacional de aquellos que merecen una </w:t>
      </w:r>
      <w:r w:rsidRPr="009F7797">
        <w:rPr>
          <w:rFonts w:ascii="Calibri" w:eastAsia="Calibri" w:hAnsi="Calibri" w:cs="Calibri"/>
          <w:bCs/>
          <w:color w:val="222222"/>
          <w:sz w:val="18"/>
          <w:szCs w:val="18"/>
          <w:lang w:val="es-419" w:eastAsia="fr-FR"/>
        </w:rPr>
        <w:t xml:space="preserve">tratamiento </w:t>
      </w:r>
      <w:proofErr w:type="spellStart"/>
      <w:r w:rsidRPr="009F7797">
        <w:rPr>
          <w:rFonts w:ascii="Calibri" w:eastAsia="Calibri" w:hAnsi="Calibri" w:cs="Calibri"/>
          <w:bCs/>
          <w:color w:val="222222"/>
          <w:sz w:val="18"/>
          <w:szCs w:val="18"/>
          <w:lang w:eastAsia="fr-FR"/>
        </w:rPr>
        <w:t>fortalecid</w:t>
      </w:r>
      <w:proofErr w:type="spellEnd"/>
      <w:r w:rsidRPr="009F7797">
        <w:rPr>
          <w:rFonts w:ascii="Calibri" w:eastAsia="Calibri" w:hAnsi="Calibri" w:cs="Calibri"/>
          <w:bCs/>
          <w:color w:val="222222"/>
          <w:sz w:val="18"/>
          <w:szCs w:val="18"/>
          <w:lang w:val="es-419" w:eastAsia="fr-FR"/>
        </w:rPr>
        <w:t>o</w:t>
      </w:r>
      <w:r w:rsidRPr="009F7797">
        <w:rPr>
          <w:rFonts w:ascii="Calibri" w:eastAsia="Calibri" w:hAnsi="Calibri" w:cs="Calibri"/>
          <w:bCs/>
          <w:color w:val="222222"/>
          <w:sz w:val="18"/>
          <w:szCs w:val="18"/>
          <w:lang w:eastAsia="fr-FR"/>
        </w:rPr>
        <w:t xml:space="preserve"> por parte del Estado; </w:t>
      </w:r>
      <w:r w:rsidRPr="009F7797">
        <w:rPr>
          <w:rFonts w:ascii="Calibri" w:eastAsia="Calibri" w:hAnsi="Calibri" w:cs="Calibri"/>
          <w:bCs/>
          <w:color w:val="222222"/>
          <w:sz w:val="18"/>
          <w:szCs w:val="18"/>
          <w:lang w:val="es-419" w:eastAsia="fr-FR"/>
        </w:rPr>
        <w:t xml:space="preserve">es más, ni siquiera se indica </w:t>
      </w:r>
      <w:r w:rsidRPr="009F7797">
        <w:rPr>
          <w:rFonts w:ascii="Calibri" w:eastAsia="Calibri" w:hAnsi="Calibri" w:cs="Calibri"/>
          <w:bCs/>
          <w:color w:val="222222"/>
          <w:sz w:val="18"/>
          <w:szCs w:val="18"/>
          <w:lang w:eastAsia="fr-FR"/>
        </w:rPr>
        <w:t>por</w:t>
      </w:r>
      <w:r w:rsidRPr="009F7797">
        <w:rPr>
          <w:rFonts w:ascii="Calibri" w:eastAsia="Calibri" w:hAnsi="Calibri" w:cs="Calibri"/>
          <w:bCs/>
          <w:color w:val="222222"/>
          <w:sz w:val="18"/>
          <w:szCs w:val="18"/>
          <w:lang w:val="es-419" w:eastAsia="fr-FR"/>
        </w:rPr>
        <w:t xml:space="preserve"> </w:t>
      </w:r>
      <w:r w:rsidRPr="009F7797">
        <w:rPr>
          <w:rFonts w:ascii="Calibri" w:eastAsia="Calibri" w:hAnsi="Calibri" w:cs="Calibri"/>
          <w:bCs/>
          <w:color w:val="222222"/>
          <w:sz w:val="18"/>
          <w:szCs w:val="18"/>
          <w:lang w:eastAsia="fr-FR"/>
        </w:rPr>
        <w:t xml:space="preserve">qué el proceso </w:t>
      </w:r>
      <w:r w:rsidRPr="009F7797">
        <w:rPr>
          <w:rFonts w:ascii="Calibri" w:eastAsia="Calibri" w:hAnsi="Calibri" w:cs="Calibri"/>
          <w:bCs/>
          <w:color w:val="222222"/>
          <w:sz w:val="18"/>
          <w:szCs w:val="18"/>
          <w:lang w:val="es-419" w:eastAsia="fr-FR"/>
        </w:rPr>
        <w:t xml:space="preserve">ante la jurisdicción aludida carece de idoneidad </w:t>
      </w:r>
      <w:r w:rsidRPr="009F7797">
        <w:rPr>
          <w:rFonts w:ascii="Calibri" w:eastAsia="Calibri" w:hAnsi="Calibri" w:cs="Calibri"/>
          <w:bCs/>
          <w:color w:val="222222"/>
          <w:sz w:val="18"/>
          <w:szCs w:val="18"/>
          <w:lang w:eastAsia="fr-FR"/>
        </w:rPr>
        <w:t xml:space="preserve">para la solución de la controversia planteada. (…)  Frente a este panorama, </w:t>
      </w:r>
      <w:r w:rsidRPr="009F7797">
        <w:rPr>
          <w:rFonts w:ascii="Calibri" w:eastAsia="Calibri" w:hAnsi="Calibri" w:cs="Calibri"/>
          <w:bCs/>
          <w:color w:val="222222"/>
          <w:sz w:val="18"/>
          <w:szCs w:val="18"/>
          <w:lang w:val="es-419" w:eastAsia="fr-FR"/>
        </w:rPr>
        <w:t xml:space="preserve">se concluye que la </w:t>
      </w:r>
      <w:r w:rsidRPr="009F7797">
        <w:rPr>
          <w:rFonts w:ascii="Calibri" w:eastAsia="Calibri" w:hAnsi="Calibri" w:cs="Calibri"/>
          <w:bCs/>
          <w:color w:val="222222"/>
          <w:sz w:val="18"/>
          <w:szCs w:val="18"/>
          <w:lang w:eastAsia="fr-FR"/>
        </w:rPr>
        <w:t>acción se torna abiertamente improcedente y así se declarará.”.</w:t>
      </w:r>
      <w:r w:rsidRPr="009F7797">
        <w:rPr>
          <w:rFonts w:ascii="Calibri" w:eastAsia="Calibri" w:hAnsi="Calibri" w:cs="Calibri"/>
          <w:b/>
          <w:bCs/>
          <w:color w:val="222222"/>
          <w:sz w:val="18"/>
          <w:szCs w:val="18"/>
          <w:lang w:eastAsia="fr-FR"/>
        </w:rPr>
        <w:t xml:space="preserve"> </w:t>
      </w:r>
    </w:p>
    <w:p w:rsidR="009F7797" w:rsidRPr="009F7797" w:rsidRDefault="009F7797" w:rsidP="009F7797">
      <w:pPr>
        <w:shd w:val="clear" w:color="auto" w:fill="FFFFFF"/>
        <w:overflowPunct/>
        <w:autoSpaceDE/>
        <w:autoSpaceDN/>
        <w:adjustRightInd/>
        <w:jc w:val="both"/>
        <w:textAlignment w:val="auto"/>
        <w:rPr>
          <w:rFonts w:ascii="Calibri" w:eastAsia="Calibri" w:hAnsi="Calibri" w:cs="Calibri"/>
          <w:b/>
          <w:bCs/>
          <w:color w:val="222222"/>
          <w:sz w:val="18"/>
          <w:szCs w:val="18"/>
          <w:lang w:val="es-CO" w:eastAsia="fr-FR"/>
        </w:rPr>
      </w:pPr>
      <w:r w:rsidRPr="009F7797">
        <w:rPr>
          <w:rFonts w:ascii="Calibri" w:eastAsia="Calibri" w:hAnsi="Calibri" w:cs="Calibri"/>
          <w:b/>
          <w:bCs/>
          <w:color w:val="222222"/>
          <w:sz w:val="18"/>
          <w:szCs w:val="18"/>
          <w:lang w:val="es-CO" w:eastAsia="fr-FR"/>
        </w:rPr>
        <w:t>Citación jurisprudencial:</w:t>
      </w:r>
      <w:r w:rsidRPr="009F7797">
        <w:rPr>
          <w:rFonts w:ascii="Calibri" w:eastAsia="Calibri" w:hAnsi="Calibri" w:cs="Calibri"/>
          <w:bCs/>
          <w:color w:val="222222"/>
          <w:sz w:val="18"/>
          <w:szCs w:val="18"/>
          <w:lang w:val="es-CO" w:eastAsia="fr-FR"/>
        </w:rPr>
        <w:t xml:space="preserve"> CORTE CONSTITUCIONAL, </w:t>
      </w:r>
      <w:r w:rsidRPr="009F7797">
        <w:rPr>
          <w:rFonts w:ascii="Calibri" w:eastAsia="Calibri" w:hAnsi="Calibri" w:cs="Calibri"/>
          <w:bCs/>
          <w:color w:val="222222"/>
          <w:sz w:val="18"/>
          <w:szCs w:val="18"/>
          <w:lang w:eastAsia="fr-FR"/>
        </w:rPr>
        <w:t xml:space="preserve">Sentencia C-543 de 1992 / </w:t>
      </w:r>
      <w:r w:rsidRPr="009F7797">
        <w:rPr>
          <w:rFonts w:ascii="Calibri" w:eastAsia="Calibri" w:hAnsi="Calibri" w:cs="Calibri"/>
          <w:bCs/>
          <w:color w:val="222222"/>
          <w:sz w:val="18"/>
          <w:szCs w:val="18"/>
          <w:lang w:val="es-419" w:eastAsia="fr-FR"/>
        </w:rPr>
        <w:t xml:space="preserve">sentencia </w:t>
      </w:r>
      <w:r w:rsidRPr="009F7797">
        <w:rPr>
          <w:rFonts w:ascii="Calibri" w:eastAsia="Calibri" w:hAnsi="Calibri" w:cs="Calibri"/>
          <w:bCs/>
          <w:color w:val="222222"/>
          <w:sz w:val="18"/>
          <w:szCs w:val="18"/>
          <w:lang w:eastAsia="fr-FR"/>
        </w:rPr>
        <w:t xml:space="preserve">T-138 de 2010 / Sentencia </w:t>
      </w:r>
      <w:r w:rsidRPr="009F7797">
        <w:rPr>
          <w:rFonts w:ascii="Calibri" w:eastAsia="Calibri" w:hAnsi="Calibri" w:cs="Calibri"/>
          <w:bCs/>
          <w:color w:val="222222"/>
          <w:sz w:val="18"/>
          <w:szCs w:val="18"/>
          <w:lang w:val="es-CO" w:eastAsia="fr-FR"/>
        </w:rPr>
        <w:t>T-575 de 2015.</w:t>
      </w:r>
    </w:p>
    <w:p w:rsidR="009F7797" w:rsidRDefault="009F7797" w:rsidP="00E35D8D">
      <w:pPr>
        <w:spacing w:line="276" w:lineRule="auto"/>
        <w:ind w:firstLine="2835"/>
        <w:jc w:val="both"/>
        <w:rPr>
          <w:rFonts w:ascii="Gadugi" w:hAnsi="Gadugi"/>
          <w:b/>
          <w:bCs/>
          <w:sz w:val="26"/>
          <w:szCs w:val="26"/>
          <w14:shadow w14:blurRad="50800" w14:dist="38100" w14:dir="2700000" w14:sx="100000" w14:sy="100000" w14:kx="0" w14:ky="0" w14:algn="tl">
            <w14:srgbClr w14:val="000000">
              <w14:alpha w14:val="60000"/>
            </w14:srgbClr>
          </w14:shadow>
        </w:rPr>
      </w:pPr>
    </w:p>
    <w:p w:rsidR="00E35D8D" w:rsidRPr="00E35D8D" w:rsidRDefault="00E35D8D" w:rsidP="00E35D8D">
      <w:pPr>
        <w:spacing w:line="276" w:lineRule="auto"/>
        <w:ind w:firstLine="2835"/>
        <w:jc w:val="both"/>
        <w:rPr>
          <w:rFonts w:ascii="Gadugi" w:hAnsi="Gadugi"/>
          <w:b/>
          <w:bCs/>
          <w:sz w:val="26"/>
          <w:szCs w:val="26"/>
          <w14:shadow w14:blurRad="50800" w14:dist="38100" w14:dir="2700000" w14:sx="100000" w14:sy="100000" w14:kx="0" w14:ky="0" w14:algn="tl">
            <w14:srgbClr w14:val="000000">
              <w14:alpha w14:val="60000"/>
            </w14:srgbClr>
          </w14:shadow>
        </w:rPr>
      </w:pPr>
      <w:r w:rsidRPr="00E35D8D">
        <w:rPr>
          <w:rFonts w:ascii="Gadugi" w:hAnsi="Gadugi"/>
          <w:b/>
          <w:bCs/>
          <w:sz w:val="26"/>
          <w:szCs w:val="26"/>
          <w14:shadow w14:blurRad="50800" w14:dist="38100" w14:dir="2700000" w14:sx="100000" w14:sy="100000" w14:kx="0" w14:ky="0" w14:algn="tl">
            <w14:srgbClr w14:val="000000">
              <w14:alpha w14:val="60000"/>
            </w14:srgbClr>
          </w14:shadow>
        </w:rPr>
        <w:t>TRIBUNAL SUPERIOR DEL DISTRITO JUDICIAL</w:t>
      </w:r>
    </w:p>
    <w:p w:rsidR="00E35D8D" w:rsidRPr="00E35D8D" w:rsidRDefault="00E35D8D" w:rsidP="00E35D8D">
      <w:pPr>
        <w:spacing w:line="276" w:lineRule="auto"/>
        <w:ind w:firstLine="2835"/>
        <w:jc w:val="both"/>
        <w:rPr>
          <w:rFonts w:ascii="Gadugi" w:hAnsi="Gadugi"/>
          <w:b/>
          <w:bCs/>
          <w:sz w:val="26"/>
          <w:szCs w:val="26"/>
          <w14:shadow w14:blurRad="50800" w14:dist="38100" w14:dir="2700000" w14:sx="100000" w14:sy="100000" w14:kx="0" w14:ky="0" w14:algn="tl">
            <w14:srgbClr w14:val="000000">
              <w14:alpha w14:val="60000"/>
            </w14:srgbClr>
          </w14:shadow>
        </w:rPr>
      </w:pPr>
      <w:r w:rsidRPr="00E35D8D">
        <w:rPr>
          <w:rFonts w:ascii="Gadugi" w:hAnsi="Gadugi"/>
          <w:b/>
          <w:bCs/>
          <w:sz w:val="26"/>
          <w:szCs w:val="26"/>
          <w14:shadow w14:blurRad="50800" w14:dist="38100" w14:dir="2700000" w14:sx="100000" w14:sy="100000" w14:kx="0" w14:ky="0" w14:algn="tl">
            <w14:srgbClr w14:val="000000">
              <w14:alpha w14:val="60000"/>
            </w14:srgbClr>
          </w14:shadow>
        </w:rPr>
        <w:t xml:space="preserve">        </w:t>
      </w:r>
      <w:r w:rsidRPr="00E35D8D">
        <w:rPr>
          <w:rFonts w:ascii="Gadugi" w:hAnsi="Gadugi"/>
          <w:b/>
          <w:bCs/>
          <w:sz w:val="26"/>
          <w:szCs w:val="26"/>
          <w:lang w:val="es-419"/>
          <w14:shadow w14:blurRad="50800" w14:dist="38100" w14:dir="2700000" w14:sx="100000" w14:sy="100000" w14:kx="0" w14:ky="0" w14:algn="tl">
            <w14:srgbClr w14:val="000000">
              <w14:alpha w14:val="60000"/>
            </w14:srgbClr>
          </w14:shadow>
        </w:rPr>
        <w:t xml:space="preserve">  </w:t>
      </w:r>
      <w:r w:rsidRPr="00E35D8D">
        <w:rPr>
          <w:rFonts w:ascii="Gadugi" w:hAnsi="Gadugi"/>
          <w:b/>
          <w:bCs/>
          <w:sz w:val="26"/>
          <w:szCs w:val="26"/>
          <w14:shadow w14:blurRad="50800" w14:dist="38100" w14:dir="2700000" w14:sx="100000" w14:sy="100000" w14:kx="0" w14:ky="0" w14:algn="tl">
            <w14:srgbClr w14:val="000000">
              <w14:alpha w14:val="60000"/>
            </w14:srgbClr>
          </w14:shadow>
        </w:rPr>
        <w:t>SALA DE DECISIÓN CIVIL FAMILIA</w:t>
      </w:r>
    </w:p>
    <w:p w:rsidR="00E35D8D" w:rsidRPr="005871FB" w:rsidRDefault="00E35D8D" w:rsidP="00E35D8D">
      <w:pPr>
        <w:spacing w:line="276" w:lineRule="auto"/>
        <w:ind w:firstLine="2835"/>
        <w:jc w:val="both"/>
        <w:rPr>
          <w:rFonts w:ascii="Gadugi" w:hAnsi="Gadugi"/>
          <w:sz w:val="24"/>
          <w:szCs w:val="24"/>
        </w:rPr>
      </w:pPr>
    </w:p>
    <w:p w:rsidR="00E35D8D" w:rsidRPr="005871FB" w:rsidRDefault="00E35D8D" w:rsidP="00E35D8D">
      <w:pPr>
        <w:spacing w:line="276" w:lineRule="auto"/>
        <w:ind w:firstLine="2835"/>
        <w:jc w:val="both"/>
        <w:rPr>
          <w:rFonts w:ascii="Gadugi" w:hAnsi="Gadugi"/>
          <w:sz w:val="24"/>
          <w:szCs w:val="24"/>
        </w:rPr>
      </w:pPr>
    </w:p>
    <w:p w:rsidR="00E35D8D" w:rsidRPr="005871FB" w:rsidRDefault="00E35D8D" w:rsidP="00E35D8D">
      <w:pPr>
        <w:spacing w:line="276" w:lineRule="auto"/>
        <w:ind w:firstLine="2835"/>
        <w:jc w:val="both"/>
        <w:rPr>
          <w:rFonts w:ascii="Gadugi" w:hAnsi="Gadugi" w:cs="Arial"/>
          <w:sz w:val="24"/>
          <w:szCs w:val="24"/>
        </w:rPr>
      </w:pPr>
      <w:r w:rsidRPr="005871FB">
        <w:rPr>
          <w:rFonts w:ascii="Gadugi" w:hAnsi="Gadugi" w:cs="Arial"/>
          <w:sz w:val="24"/>
          <w:szCs w:val="24"/>
        </w:rPr>
        <w:t>Magistrado Ponente: Jaime Alberto Saraza Naranjo</w:t>
      </w:r>
    </w:p>
    <w:p w:rsidR="00E35D8D" w:rsidRPr="008424A6" w:rsidRDefault="00E35D8D" w:rsidP="00E35D8D">
      <w:pPr>
        <w:spacing w:line="276" w:lineRule="auto"/>
        <w:ind w:firstLine="2835"/>
        <w:jc w:val="both"/>
        <w:rPr>
          <w:rFonts w:ascii="Gadugi" w:hAnsi="Gadugi" w:cs="Arial"/>
          <w:sz w:val="24"/>
          <w:szCs w:val="24"/>
          <w:lang w:val="es-419"/>
        </w:rPr>
      </w:pPr>
      <w:r w:rsidRPr="005871FB">
        <w:rPr>
          <w:rFonts w:ascii="Gadugi" w:hAnsi="Gadugi" w:cs="Arial"/>
          <w:sz w:val="24"/>
          <w:szCs w:val="24"/>
        </w:rPr>
        <w:t xml:space="preserve">Pereira, </w:t>
      </w:r>
      <w:r>
        <w:rPr>
          <w:rFonts w:ascii="Gadugi" w:hAnsi="Gadugi" w:cs="Arial"/>
          <w:sz w:val="24"/>
          <w:szCs w:val="24"/>
          <w:lang w:val="es-419"/>
        </w:rPr>
        <w:t>diciembre siete de dos mil dieciséis</w:t>
      </w:r>
    </w:p>
    <w:p w:rsidR="00E35D8D" w:rsidRPr="005871FB" w:rsidRDefault="00E35D8D" w:rsidP="00E35D8D">
      <w:pPr>
        <w:spacing w:line="276" w:lineRule="auto"/>
        <w:ind w:firstLine="2835"/>
        <w:jc w:val="both"/>
        <w:rPr>
          <w:rFonts w:ascii="Gadugi" w:hAnsi="Gadugi" w:cs="Arial"/>
          <w:sz w:val="24"/>
          <w:szCs w:val="24"/>
        </w:rPr>
      </w:pPr>
      <w:r w:rsidRPr="005871FB">
        <w:rPr>
          <w:rFonts w:ascii="Gadugi" w:hAnsi="Gadugi" w:cs="Arial"/>
          <w:sz w:val="24"/>
          <w:szCs w:val="24"/>
        </w:rPr>
        <w:t>Expediente</w:t>
      </w:r>
      <w:r>
        <w:rPr>
          <w:rFonts w:ascii="Gadugi" w:hAnsi="Gadugi" w:cs="Arial"/>
          <w:sz w:val="24"/>
          <w:szCs w:val="24"/>
          <w:lang w:val="es-419"/>
        </w:rPr>
        <w:t>:</w:t>
      </w:r>
      <w:r w:rsidRPr="005871FB">
        <w:rPr>
          <w:rFonts w:ascii="Gadugi" w:hAnsi="Gadugi" w:cs="Arial"/>
          <w:sz w:val="24"/>
          <w:szCs w:val="24"/>
        </w:rPr>
        <w:t xml:space="preserve"> 66001-</w:t>
      </w:r>
      <w:r>
        <w:rPr>
          <w:rFonts w:ascii="Gadugi" w:hAnsi="Gadugi" w:cs="Arial"/>
          <w:sz w:val="24"/>
          <w:szCs w:val="24"/>
        </w:rPr>
        <w:t>22-1</w:t>
      </w:r>
      <w:r w:rsidRPr="005871FB">
        <w:rPr>
          <w:rFonts w:ascii="Gadugi" w:hAnsi="Gadugi" w:cs="Arial"/>
          <w:sz w:val="24"/>
          <w:szCs w:val="24"/>
        </w:rPr>
        <w:t>3-00</w:t>
      </w:r>
      <w:r>
        <w:rPr>
          <w:rFonts w:ascii="Gadugi" w:hAnsi="Gadugi" w:cs="Arial"/>
          <w:sz w:val="24"/>
          <w:szCs w:val="24"/>
        </w:rPr>
        <w:t>0</w:t>
      </w:r>
      <w:r w:rsidRPr="005871FB">
        <w:rPr>
          <w:rFonts w:ascii="Gadugi" w:hAnsi="Gadugi" w:cs="Arial"/>
          <w:sz w:val="24"/>
          <w:szCs w:val="24"/>
        </w:rPr>
        <w:t>-2016</w:t>
      </w:r>
      <w:r>
        <w:rPr>
          <w:rFonts w:ascii="Gadugi" w:hAnsi="Gadugi" w:cs="Arial"/>
          <w:sz w:val="24"/>
          <w:szCs w:val="24"/>
        </w:rPr>
        <w:t>-01084-00</w:t>
      </w:r>
    </w:p>
    <w:p w:rsidR="00E35D8D" w:rsidRPr="008424A6" w:rsidRDefault="00E35D8D" w:rsidP="00E35D8D">
      <w:pPr>
        <w:spacing w:line="276" w:lineRule="auto"/>
        <w:ind w:firstLine="2835"/>
        <w:jc w:val="both"/>
        <w:rPr>
          <w:rFonts w:ascii="Gadugi" w:hAnsi="Gadugi" w:cs="Arial"/>
          <w:sz w:val="24"/>
          <w:szCs w:val="24"/>
          <w:lang w:val="es-419"/>
        </w:rPr>
      </w:pPr>
      <w:r w:rsidRPr="005871FB">
        <w:rPr>
          <w:rFonts w:ascii="Gadugi" w:hAnsi="Gadugi" w:cs="Arial"/>
          <w:sz w:val="24"/>
          <w:szCs w:val="24"/>
        </w:rPr>
        <w:t xml:space="preserve">Acta N° </w:t>
      </w:r>
      <w:r>
        <w:rPr>
          <w:rFonts w:ascii="Gadugi" w:hAnsi="Gadugi" w:cs="Arial"/>
          <w:sz w:val="24"/>
          <w:szCs w:val="24"/>
          <w:lang w:val="es-419"/>
        </w:rPr>
        <w:t>580 de diciembre 7 de 2016</w:t>
      </w:r>
    </w:p>
    <w:p w:rsidR="00E35D8D" w:rsidRDefault="00E35D8D" w:rsidP="00E35D8D">
      <w:pPr>
        <w:spacing w:line="276" w:lineRule="auto"/>
        <w:jc w:val="both"/>
        <w:rPr>
          <w:rFonts w:ascii="Gadugi" w:hAnsi="Gadugi"/>
          <w:sz w:val="24"/>
          <w:szCs w:val="24"/>
        </w:rPr>
      </w:pPr>
    </w:p>
    <w:p w:rsidR="00E35D8D" w:rsidRPr="001409E7" w:rsidRDefault="00E35D8D" w:rsidP="00E35D8D">
      <w:pPr>
        <w:pStyle w:val="Corpsdetexte21"/>
        <w:spacing w:line="276" w:lineRule="auto"/>
        <w:ind w:firstLine="0"/>
        <w:rPr>
          <w:rFonts w:ascii="Gadugi" w:hAnsi="Gadugi" w:cs="Century Gothic"/>
          <w:szCs w:val="24"/>
          <w:lang w:val="es-CO"/>
        </w:rPr>
      </w:pPr>
      <w:r>
        <w:rPr>
          <w:rFonts w:ascii="Gadugi" w:hAnsi="Gadugi" w:cs="Century Gothic"/>
          <w:szCs w:val="24"/>
          <w:lang w:val="es-419"/>
        </w:rPr>
        <w:t xml:space="preserve">  </w:t>
      </w:r>
      <w:r>
        <w:rPr>
          <w:rFonts w:ascii="Gadugi" w:hAnsi="Gadugi" w:cs="Century Gothic"/>
          <w:szCs w:val="24"/>
          <w:lang w:val="es-419"/>
        </w:rPr>
        <w:tab/>
      </w:r>
      <w:r>
        <w:rPr>
          <w:rFonts w:ascii="Gadugi" w:hAnsi="Gadugi" w:cs="Century Gothic"/>
          <w:szCs w:val="24"/>
          <w:lang w:val="es-419"/>
        </w:rPr>
        <w:tab/>
      </w:r>
      <w:r>
        <w:rPr>
          <w:rFonts w:ascii="Gadugi" w:hAnsi="Gadugi" w:cs="Century Gothic"/>
          <w:szCs w:val="24"/>
          <w:lang w:val="es-419"/>
        </w:rPr>
        <w:tab/>
      </w:r>
      <w:r>
        <w:rPr>
          <w:rFonts w:ascii="Gadugi" w:hAnsi="Gadugi" w:cs="Century Gothic"/>
          <w:szCs w:val="24"/>
          <w:lang w:val="es-419"/>
        </w:rPr>
        <w:tab/>
      </w:r>
      <w:r w:rsidRPr="00C85DCD">
        <w:rPr>
          <w:rFonts w:ascii="Gadugi" w:hAnsi="Gadugi" w:cs="Century Gothic"/>
          <w:szCs w:val="24"/>
        </w:rPr>
        <w:t>Decide la Sala la acción de tutela</w:t>
      </w:r>
      <w:r w:rsidRPr="00C85DCD">
        <w:rPr>
          <w:rFonts w:ascii="Gadugi" w:hAnsi="Gadugi" w:cs="Century Gothic"/>
          <w:szCs w:val="24"/>
          <w:lang w:val="es-419"/>
        </w:rPr>
        <w:t xml:space="preserve"> </w:t>
      </w:r>
      <w:r w:rsidRPr="00C85DCD">
        <w:rPr>
          <w:rFonts w:ascii="Gadugi" w:hAnsi="Gadugi" w:cs="Century Gothic"/>
          <w:szCs w:val="24"/>
        </w:rPr>
        <w:t xml:space="preserve">propuesta por </w:t>
      </w:r>
      <w:r w:rsidRPr="00C85DCD">
        <w:rPr>
          <w:rFonts w:ascii="Gadugi" w:hAnsi="Gadugi" w:cs="Century Gothic"/>
          <w:b/>
          <w:szCs w:val="24"/>
        </w:rPr>
        <w:t xml:space="preserve">Juan María Duque Uribe </w:t>
      </w:r>
      <w:r w:rsidRPr="00C85DCD">
        <w:rPr>
          <w:rFonts w:ascii="Gadugi" w:hAnsi="Gadugi" w:cs="Century Gothic"/>
          <w:szCs w:val="24"/>
        </w:rPr>
        <w:t>contra la</w:t>
      </w:r>
      <w:r w:rsidRPr="00C85DCD">
        <w:rPr>
          <w:rFonts w:ascii="Gadugi" w:hAnsi="Gadugi" w:cs="Century Gothic"/>
          <w:b/>
          <w:szCs w:val="24"/>
        </w:rPr>
        <w:t xml:space="preserve"> </w:t>
      </w:r>
      <w:r w:rsidRPr="00C85DCD">
        <w:rPr>
          <w:rFonts w:ascii="Gadugi" w:hAnsi="Gadugi" w:cs="Arial"/>
          <w:szCs w:val="24"/>
          <w:lang w:val="es-CO"/>
        </w:rPr>
        <w:t xml:space="preserve">contra los </w:t>
      </w:r>
      <w:r>
        <w:rPr>
          <w:rFonts w:ascii="Gadugi" w:hAnsi="Gadugi" w:cs="Arial"/>
          <w:b/>
          <w:szCs w:val="24"/>
          <w:lang w:val="es-CO"/>
        </w:rPr>
        <w:t xml:space="preserve">Ministerios de </w:t>
      </w:r>
      <w:r w:rsidRPr="00C85DCD">
        <w:rPr>
          <w:rFonts w:ascii="Gadugi" w:hAnsi="Gadugi" w:cs="Arial"/>
          <w:b/>
          <w:szCs w:val="24"/>
          <w:lang w:val="es-CO"/>
        </w:rPr>
        <w:t xml:space="preserve">Agricultura y Desarrollo Rural </w:t>
      </w:r>
      <w:r w:rsidRPr="00C85DCD">
        <w:rPr>
          <w:rFonts w:ascii="Gadugi" w:hAnsi="Gadugi" w:cs="Arial"/>
          <w:szCs w:val="24"/>
          <w:lang w:val="es-CO"/>
        </w:rPr>
        <w:t xml:space="preserve">y </w:t>
      </w:r>
      <w:r w:rsidRPr="00C85DCD">
        <w:rPr>
          <w:rFonts w:ascii="Gadugi" w:hAnsi="Gadugi" w:cs="Arial"/>
          <w:b/>
          <w:szCs w:val="24"/>
          <w:lang w:val="es-CO"/>
        </w:rPr>
        <w:t>Hacienda y Crédito</w:t>
      </w:r>
      <w:r>
        <w:rPr>
          <w:rFonts w:ascii="Gadugi" w:hAnsi="Gadugi" w:cs="Arial"/>
          <w:b/>
          <w:szCs w:val="24"/>
          <w:lang w:val="es-CO"/>
        </w:rPr>
        <w:t xml:space="preserve"> Público, </w:t>
      </w:r>
      <w:r>
        <w:rPr>
          <w:rFonts w:ascii="Gadugi" w:hAnsi="Gadugi" w:cs="Arial"/>
          <w:szCs w:val="24"/>
          <w:lang w:val="es-CO"/>
        </w:rPr>
        <w:t>a la que fueron vinculados la</w:t>
      </w:r>
      <w:r w:rsidRPr="00C85DCD">
        <w:rPr>
          <w:rFonts w:ascii="Gadugi" w:hAnsi="Gadugi" w:cs="Arial"/>
          <w:szCs w:val="24"/>
          <w:lang w:val="es-CO"/>
        </w:rPr>
        <w:t xml:space="preserve"> </w:t>
      </w:r>
      <w:r w:rsidRPr="00C85DCD">
        <w:rPr>
          <w:rFonts w:ascii="Gadugi" w:hAnsi="Gadugi" w:cs="Arial"/>
          <w:b/>
          <w:szCs w:val="24"/>
          <w:lang w:val="es-CO"/>
        </w:rPr>
        <w:t xml:space="preserve">Unidad Administrativa Especial de Gestión Pensional y Contribuciones Parafiscales de la Protección Social </w:t>
      </w:r>
      <w:proofErr w:type="spellStart"/>
      <w:r w:rsidRPr="00C85DCD">
        <w:rPr>
          <w:rFonts w:ascii="Gadugi" w:hAnsi="Gadugi" w:cs="Arial"/>
          <w:b/>
          <w:szCs w:val="24"/>
          <w:lang w:val="es-CO"/>
        </w:rPr>
        <w:t>UGPP</w:t>
      </w:r>
      <w:proofErr w:type="spellEnd"/>
      <w:r w:rsidRPr="00C85DCD">
        <w:rPr>
          <w:rFonts w:ascii="Gadugi" w:hAnsi="Gadugi" w:cs="Arial"/>
          <w:b/>
          <w:szCs w:val="24"/>
          <w:lang w:val="es-CO"/>
        </w:rPr>
        <w:t xml:space="preserve">; </w:t>
      </w:r>
      <w:r w:rsidRPr="00C85DCD">
        <w:rPr>
          <w:rFonts w:ascii="Gadugi" w:hAnsi="Gadugi" w:cs="Arial"/>
          <w:szCs w:val="24"/>
          <w:lang w:val="es-CO"/>
        </w:rPr>
        <w:t xml:space="preserve">la </w:t>
      </w:r>
      <w:r w:rsidRPr="00C85DCD">
        <w:rPr>
          <w:rFonts w:ascii="Gadugi" w:hAnsi="Gadugi" w:cs="Arial"/>
          <w:b/>
          <w:szCs w:val="24"/>
          <w:lang w:val="es-CO"/>
        </w:rPr>
        <w:t>Administradora Colom</w:t>
      </w:r>
      <w:r>
        <w:rPr>
          <w:rFonts w:ascii="Gadugi" w:hAnsi="Gadugi" w:cs="Arial"/>
          <w:b/>
          <w:szCs w:val="24"/>
          <w:lang w:val="es-CO"/>
        </w:rPr>
        <w:t xml:space="preserve">biana de Pensiones </w:t>
      </w:r>
      <w:proofErr w:type="spellStart"/>
      <w:r>
        <w:rPr>
          <w:rFonts w:ascii="Gadugi" w:hAnsi="Gadugi" w:cs="Arial"/>
          <w:b/>
          <w:szCs w:val="24"/>
          <w:lang w:val="es-CO"/>
        </w:rPr>
        <w:t>COLPENSIONE</w:t>
      </w:r>
      <w:proofErr w:type="spellEnd"/>
      <w:r>
        <w:rPr>
          <w:rFonts w:ascii="Gadugi" w:hAnsi="Gadugi" w:cs="Arial"/>
          <w:b/>
          <w:szCs w:val="24"/>
          <w:lang w:val="es-CO"/>
        </w:rPr>
        <w:t xml:space="preserve">; </w:t>
      </w:r>
      <w:r>
        <w:rPr>
          <w:rFonts w:ascii="Gadugi" w:hAnsi="Gadugi" w:cs="Arial"/>
          <w:szCs w:val="24"/>
          <w:lang w:val="es-CO"/>
        </w:rPr>
        <w:t>el</w:t>
      </w:r>
      <w:r w:rsidRPr="00C85DCD">
        <w:rPr>
          <w:rFonts w:ascii="Gadugi" w:hAnsi="Gadugi" w:cs="Arial"/>
          <w:b/>
          <w:szCs w:val="24"/>
          <w:lang w:val="es-CO"/>
        </w:rPr>
        <w:t xml:space="preserve"> Consorcio </w:t>
      </w:r>
      <w:proofErr w:type="spellStart"/>
      <w:r w:rsidRPr="00C85DCD">
        <w:rPr>
          <w:rFonts w:ascii="Gadugi" w:hAnsi="Gadugi" w:cs="Arial"/>
          <w:b/>
          <w:szCs w:val="24"/>
          <w:lang w:val="es-CO"/>
        </w:rPr>
        <w:t>FOPEP</w:t>
      </w:r>
      <w:proofErr w:type="spellEnd"/>
      <w:r w:rsidRPr="00C85DCD">
        <w:rPr>
          <w:rFonts w:ascii="Gadugi" w:hAnsi="Gadugi" w:cs="Arial"/>
          <w:b/>
          <w:szCs w:val="24"/>
          <w:lang w:val="es-CO"/>
        </w:rPr>
        <w:t xml:space="preserve">; </w:t>
      </w:r>
      <w:r w:rsidRPr="00FD6B3A">
        <w:rPr>
          <w:rFonts w:ascii="Gadugi" w:hAnsi="Gadugi" w:cs="Arial"/>
          <w:b/>
          <w:szCs w:val="24"/>
          <w:lang w:val="es-CO"/>
        </w:rPr>
        <w:t>Olga Lucía Rodríguez López</w:t>
      </w:r>
      <w:r w:rsidRPr="00C85DCD">
        <w:rPr>
          <w:rFonts w:ascii="Gadugi" w:hAnsi="Gadugi" w:cs="Arial"/>
          <w:i/>
          <w:szCs w:val="24"/>
          <w:lang w:val="es-CO"/>
        </w:rPr>
        <w:t xml:space="preserve">, </w:t>
      </w:r>
      <w:r w:rsidRPr="00C85DCD">
        <w:rPr>
          <w:rFonts w:ascii="Gadugi" w:hAnsi="Gadugi" w:cs="Arial"/>
          <w:szCs w:val="24"/>
          <w:lang w:val="es-CO"/>
        </w:rPr>
        <w:t xml:space="preserve">en calidad de </w:t>
      </w:r>
      <w:r w:rsidRPr="00C85DCD">
        <w:rPr>
          <w:rFonts w:ascii="Gadugi" w:hAnsi="Gadugi" w:cs="Arial"/>
          <w:b/>
          <w:szCs w:val="24"/>
          <w:lang w:val="es-CO"/>
        </w:rPr>
        <w:t xml:space="preserve">Coordinadora Grupo de Gestión Integral de Entidades Liquidadas </w:t>
      </w:r>
      <w:r w:rsidRPr="00C85DCD">
        <w:rPr>
          <w:rFonts w:ascii="Gadugi" w:hAnsi="Gadugi" w:cs="Arial"/>
          <w:szCs w:val="24"/>
          <w:lang w:val="es-CO"/>
        </w:rPr>
        <w:t xml:space="preserve">de </w:t>
      </w:r>
      <w:proofErr w:type="spellStart"/>
      <w:r w:rsidRPr="00C85DCD">
        <w:rPr>
          <w:rFonts w:ascii="Gadugi" w:hAnsi="Gadugi" w:cs="Arial"/>
          <w:szCs w:val="24"/>
          <w:lang w:val="es-CO"/>
        </w:rPr>
        <w:t>Minagricultura</w:t>
      </w:r>
      <w:proofErr w:type="spellEnd"/>
      <w:r w:rsidRPr="00C85DCD">
        <w:rPr>
          <w:rFonts w:ascii="Gadugi" w:hAnsi="Gadugi" w:cs="Arial"/>
          <w:szCs w:val="24"/>
          <w:lang w:val="es-CO"/>
        </w:rPr>
        <w:t>;</w:t>
      </w:r>
      <w:r>
        <w:rPr>
          <w:rFonts w:ascii="Gadugi" w:hAnsi="Gadugi" w:cs="Arial"/>
          <w:szCs w:val="24"/>
          <w:lang w:val="es-CO"/>
        </w:rPr>
        <w:t xml:space="preserve"> el</w:t>
      </w:r>
      <w:r w:rsidRPr="00C85DCD">
        <w:rPr>
          <w:rFonts w:ascii="Gadugi" w:hAnsi="Gadugi" w:cs="Arial"/>
          <w:szCs w:val="24"/>
          <w:lang w:val="es-CO"/>
        </w:rPr>
        <w:t xml:space="preserve"> </w:t>
      </w:r>
      <w:r w:rsidRPr="00C85DCD">
        <w:rPr>
          <w:rFonts w:ascii="Gadugi" w:hAnsi="Gadugi" w:cs="Arial"/>
          <w:b/>
          <w:szCs w:val="24"/>
          <w:lang w:val="es-CO"/>
        </w:rPr>
        <w:t>Fondo de Pasivo Social de Ferrocarriles Nacionales de Colombia</w:t>
      </w:r>
      <w:r w:rsidRPr="00C85DCD">
        <w:rPr>
          <w:rFonts w:ascii="Gadugi" w:hAnsi="Gadugi" w:cs="Arial"/>
          <w:szCs w:val="24"/>
          <w:lang w:val="es-CO"/>
        </w:rPr>
        <w:t xml:space="preserve">; </w:t>
      </w:r>
      <w:proofErr w:type="spellStart"/>
      <w:r w:rsidRPr="00C85DCD">
        <w:rPr>
          <w:rFonts w:ascii="Gadugi" w:hAnsi="Gadugi" w:cs="Arial"/>
          <w:b/>
          <w:szCs w:val="24"/>
          <w:lang w:val="es-CO"/>
        </w:rPr>
        <w:t>FIDUPREVISORA</w:t>
      </w:r>
      <w:proofErr w:type="spellEnd"/>
      <w:r w:rsidRPr="00C85DCD">
        <w:rPr>
          <w:rFonts w:ascii="Gadugi" w:hAnsi="Gadugi" w:cs="Arial"/>
          <w:b/>
          <w:szCs w:val="24"/>
          <w:lang w:val="es-CO"/>
        </w:rPr>
        <w:t xml:space="preserve"> </w:t>
      </w:r>
      <w:proofErr w:type="spellStart"/>
      <w:r w:rsidRPr="00C85DCD">
        <w:rPr>
          <w:rFonts w:ascii="Gadugi" w:hAnsi="Gadugi" w:cs="Arial"/>
          <w:b/>
          <w:szCs w:val="24"/>
          <w:lang w:val="es-CO"/>
        </w:rPr>
        <w:t>SA</w:t>
      </w:r>
      <w:proofErr w:type="spellEnd"/>
      <w:r>
        <w:rPr>
          <w:rFonts w:ascii="Gadugi" w:hAnsi="Gadugi" w:cs="Arial"/>
          <w:b/>
          <w:szCs w:val="24"/>
          <w:lang w:val="es-CO"/>
        </w:rPr>
        <w:t xml:space="preserve">, </w:t>
      </w:r>
      <w:r>
        <w:rPr>
          <w:rFonts w:ascii="Gadugi" w:hAnsi="Gadugi" w:cs="Arial"/>
          <w:szCs w:val="24"/>
          <w:lang w:val="es-CO"/>
        </w:rPr>
        <w:t>a</w:t>
      </w:r>
      <w:r w:rsidRPr="00C85DCD">
        <w:rPr>
          <w:rFonts w:ascii="Gadugi" w:hAnsi="Gadugi" w:cs="Arial"/>
          <w:szCs w:val="24"/>
          <w:lang w:val="es-CO"/>
        </w:rPr>
        <w:t xml:space="preserve"> la </w:t>
      </w:r>
      <w:r w:rsidRPr="00C85DCD">
        <w:rPr>
          <w:rFonts w:ascii="Gadugi" w:hAnsi="Gadugi" w:cs="Arial"/>
          <w:b/>
          <w:szCs w:val="24"/>
          <w:lang w:val="es-CO"/>
        </w:rPr>
        <w:t xml:space="preserve">Oficina de Bonos Pensionales </w:t>
      </w:r>
      <w:r w:rsidRPr="00FD6B3A">
        <w:rPr>
          <w:rFonts w:ascii="Gadugi" w:hAnsi="Gadugi" w:cs="Arial"/>
          <w:szCs w:val="24"/>
          <w:lang w:val="es-CO"/>
        </w:rPr>
        <w:t>del Ministerio de Hacienda y Crédito Público,</w:t>
      </w:r>
      <w:r>
        <w:rPr>
          <w:rFonts w:ascii="Gadugi" w:hAnsi="Gadugi" w:cs="Arial"/>
          <w:szCs w:val="24"/>
          <w:lang w:val="es-CO"/>
        </w:rPr>
        <w:t xml:space="preserve"> y a la </w:t>
      </w:r>
      <w:r w:rsidRPr="007C4AD2">
        <w:rPr>
          <w:rFonts w:ascii="Gadugi" w:hAnsi="Gadugi" w:cs="Century Gothic"/>
          <w:b/>
          <w:szCs w:val="24"/>
          <w:lang w:val="es-CO"/>
        </w:rPr>
        <w:t xml:space="preserve">Subdirección de Determinación de Derechos Pensionales </w:t>
      </w:r>
      <w:r w:rsidRPr="007C4AD2">
        <w:rPr>
          <w:rFonts w:ascii="Gadugi" w:hAnsi="Gadugi" w:cs="Century Gothic"/>
          <w:szCs w:val="24"/>
          <w:lang w:val="es-CO"/>
        </w:rPr>
        <w:t>y a</w:t>
      </w:r>
      <w:r w:rsidRPr="007C4AD2">
        <w:rPr>
          <w:rFonts w:ascii="Gadugi" w:hAnsi="Gadugi" w:cs="Century Gothic"/>
          <w:b/>
          <w:szCs w:val="24"/>
          <w:lang w:val="es-CO"/>
        </w:rPr>
        <w:t xml:space="preserve"> la Dirección de Pensiones de la </w:t>
      </w:r>
      <w:proofErr w:type="spellStart"/>
      <w:r w:rsidRPr="007C4AD2">
        <w:rPr>
          <w:rFonts w:ascii="Gadugi" w:hAnsi="Gadugi" w:cs="Century Gothic"/>
          <w:b/>
          <w:szCs w:val="24"/>
          <w:lang w:val="es-CO"/>
        </w:rPr>
        <w:t>UGPP</w:t>
      </w:r>
      <w:proofErr w:type="spellEnd"/>
      <w:r>
        <w:rPr>
          <w:rFonts w:ascii="Gadugi" w:hAnsi="Gadugi" w:cs="Century Gothic"/>
          <w:szCs w:val="24"/>
          <w:lang w:val="es-CO"/>
        </w:rPr>
        <w:t>.</w:t>
      </w:r>
    </w:p>
    <w:p w:rsidR="00E35D8D" w:rsidRPr="0083618C" w:rsidRDefault="00E35D8D" w:rsidP="00E35D8D">
      <w:pPr>
        <w:pStyle w:val="Titre4"/>
        <w:spacing w:line="276" w:lineRule="auto"/>
        <w:rPr>
          <w:rFonts w:ascii="Gadugi" w:hAnsi="Gadugi"/>
          <w:b/>
          <w:sz w:val="24"/>
          <w:szCs w:val="24"/>
        </w:rPr>
      </w:pPr>
      <w:r w:rsidRPr="0083618C">
        <w:rPr>
          <w:rFonts w:ascii="Gadugi" w:hAnsi="Gadugi"/>
          <w:b/>
          <w:sz w:val="24"/>
          <w:szCs w:val="24"/>
        </w:rPr>
        <w:lastRenderedPageBreak/>
        <w:t>ANTECEDENTES</w:t>
      </w:r>
    </w:p>
    <w:p w:rsidR="00E35D8D" w:rsidRPr="0083618C" w:rsidRDefault="00E35D8D" w:rsidP="00E35D8D">
      <w:pPr>
        <w:spacing w:line="276" w:lineRule="auto"/>
        <w:ind w:firstLine="2835"/>
        <w:jc w:val="both"/>
        <w:rPr>
          <w:rFonts w:ascii="Gadugi" w:hAnsi="Gadugi" w:cs="Century Gothic"/>
          <w:b/>
          <w:bCs/>
          <w:sz w:val="24"/>
          <w:szCs w:val="24"/>
        </w:rPr>
      </w:pPr>
    </w:p>
    <w:p w:rsidR="00E35D8D" w:rsidRPr="0083618C" w:rsidRDefault="00E35D8D" w:rsidP="00E35D8D">
      <w:pPr>
        <w:spacing w:line="276" w:lineRule="auto"/>
        <w:ind w:firstLine="2835"/>
        <w:jc w:val="both"/>
        <w:rPr>
          <w:rFonts w:ascii="Gadugi" w:hAnsi="Gadugi" w:cs="Century Gothic"/>
          <w:sz w:val="24"/>
          <w:szCs w:val="24"/>
        </w:rPr>
      </w:pPr>
    </w:p>
    <w:p w:rsidR="00E35D8D" w:rsidRPr="0083618C" w:rsidRDefault="00E35D8D" w:rsidP="00E35D8D">
      <w:pPr>
        <w:pStyle w:val="Corpsdetexte21"/>
        <w:spacing w:line="276" w:lineRule="auto"/>
        <w:rPr>
          <w:rFonts w:ascii="Gadugi" w:hAnsi="Gadugi"/>
          <w:szCs w:val="24"/>
          <w:lang w:val="es-MX"/>
        </w:rPr>
      </w:pPr>
      <w:r>
        <w:rPr>
          <w:rFonts w:ascii="Gadugi" w:hAnsi="Gadugi" w:cs="Century Gothic"/>
          <w:szCs w:val="24"/>
        </w:rPr>
        <w:t>Juan María Duque Uribe</w:t>
      </w:r>
      <w:r w:rsidRPr="0083618C">
        <w:rPr>
          <w:rFonts w:ascii="Gadugi" w:hAnsi="Gadugi" w:cs="Century Gothic"/>
          <w:szCs w:val="24"/>
        </w:rPr>
        <w:t xml:space="preserve">, quien actúa por medio de apoderado judicial, </w:t>
      </w:r>
      <w:r w:rsidRPr="0083618C">
        <w:rPr>
          <w:rFonts w:ascii="Gadugi" w:hAnsi="Gadugi"/>
          <w:szCs w:val="24"/>
          <w:lang w:val="es-MX"/>
        </w:rPr>
        <w:t xml:space="preserve">promueve </w:t>
      </w:r>
      <w:r>
        <w:rPr>
          <w:rFonts w:ascii="Gadugi" w:hAnsi="Gadugi"/>
          <w:szCs w:val="24"/>
          <w:lang w:val="es-419"/>
        </w:rPr>
        <w:t xml:space="preserve">esta </w:t>
      </w:r>
      <w:r w:rsidRPr="0083618C">
        <w:rPr>
          <w:rFonts w:ascii="Gadugi" w:hAnsi="Gadugi"/>
          <w:szCs w:val="24"/>
          <w:lang w:val="es-MX"/>
        </w:rPr>
        <w:t xml:space="preserve">acción de tutela frente a </w:t>
      </w:r>
      <w:r w:rsidRPr="00BD4F78">
        <w:rPr>
          <w:rFonts w:ascii="Gadugi" w:hAnsi="Gadugi"/>
          <w:szCs w:val="24"/>
          <w:lang w:val="es-MX"/>
        </w:rPr>
        <w:t xml:space="preserve">los </w:t>
      </w:r>
      <w:r w:rsidRPr="00BD4F78">
        <w:rPr>
          <w:rFonts w:ascii="Gadugi" w:hAnsi="Gadugi" w:cs="Arial"/>
          <w:szCs w:val="24"/>
          <w:lang w:val="es-CO"/>
        </w:rPr>
        <w:t>Ministerios de Agricultura y Desarrollo Rural y Hacienda y Crédito Públic</w:t>
      </w:r>
      <w:r>
        <w:rPr>
          <w:rFonts w:ascii="Gadugi" w:hAnsi="Gadugi" w:cs="Arial"/>
          <w:szCs w:val="24"/>
          <w:lang w:val="es-CO"/>
        </w:rPr>
        <w:t>o</w:t>
      </w:r>
      <w:r w:rsidRPr="00BD4F78">
        <w:rPr>
          <w:rFonts w:ascii="Gadugi" w:hAnsi="Gadugi"/>
          <w:szCs w:val="24"/>
          <w:lang w:val="es-MX"/>
        </w:rPr>
        <w:t>,</w:t>
      </w:r>
      <w:r w:rsidRPr="0083618C">
        <w:rPr>
          <w:rFonts w:ascii="Gadugi" w:hAnsi="Gadugi"/>
          <w:szCs w:val="24"/>
          <w:lang w:val="es-MX"/>
        </w:rPr>
        <w:t xml:space="preserve"> en procura de la protección de los derechos constitucionales fundamentales </w:t>
      </w:r>
      <w:r w:rsidRPr="0083618C">
        <w:rPr>
          <w:rFonts w:ascii="Gadugi" w:hAnsi="Gadugi"/>
          <w:i/>
          <w:szCs w:val="24"/>
          <w:lang w:val="es-MX"/>
        </w:rPr>
        <w:t xml:space="preserve">“al </w:t>
      </w:r>
      <w:r>
        <w:rPr>
          <w:rFonts w:ascii="Gadugi" w:hAnsi="Gadugi"/>
          <w:i/>
          <w:szCs w:val="24"/>
          <w:lang w:val="es-MX"/>
        </w:rPr>
        <w:t>debido proceso, a la vida, al mínimo vital, la dignidad humana, la salud, a la seguridad social e igualdad</w:t>
      </w:r>
      <w:r w:rsidRPr="0083618C">
        <w:rPr>
          <w:rFonts w:ascii="Gadugi" w:hAnsi="Gadugi"/>
          <w:i/>
          <w:szCs w:val="24"/>
          <w:lang w:val="es-MX"/>
        </w:rPr>
        <w:t xml:space="preserve">”, </w:t>
      </w:r>
      <w:r w:rsidRPr="0083618C">
        <w:rPr>
          <w:rFonts w:ascii="Gadugi" w:hAnsi="Gadugi"/>
          <w:szCs w:val="24"/>
          <w:lang w:val="es-MX"/>
        </w:rPr>
        <w:t>que estima trasgredidos por la</w:t>
      </w:r>
      <w:r>
        <w:rPr>
          <w:rFonts w:ascii="Gadugi" w:hAnsi="Gadugi"/>
          <w:szCs w:val="24"/>
          <w:lang w:val="es-MX"/>
        </w:rPr>
        <w:t>s</w:t>
      </w:r>
      <w:r w:rsidRPr="0083618C">
        <w:rPr>
          <w:rFonts w:ascii="Gadugi" w:hAnsi="Gadugi"/>
          <w:szCs w:val="24"/>
          <w:lang w:val="es-MX"/>
        </w:rPr>
        <w:t xml:space="preserve"> citada</w:t>
      </w:r>
      <w:r>
        <w:rPr>
          <w:rFonts w:ascii="Gadugi" w:hAnsi="Gadugi"/>
          <w:szCs w:val="24"/>
          <w:lang w:val="es-MX"/>
        </w:rPr>
        <w:t>s</w:t>
      </w:r>
      <w:r w:rsidRPr="0083618C">
        <w:rPr>
          <w:rFonts w:ascii="Gadugi" w:hAnsi="Gadugi"/>
          <w:szCs w:val="24"/>
          <w:lang w:val="es-MX"/>
        </w:rPr>
        <w:t xml:space="preserve"> entidad</w:t>
      </w:r>
      <w:r>
        <w:rPr>
          <w:rFonts w:ascii="Gadugi" w:hAnsi="Gadugi"/>
          <w:szCs w:val="24"/>
          <w:lang w:val="es-MX"/>
        </w:rPr>
        <w:t>es</w:t>
      </w:r>
      <w:r w:rsidRPr="0083618C">
        <w:rPr>
          <w:rFonts w:ascii="Gadugi" w:hAnsi="Gadugi"/>
          <w:szCs w:val="24"/>
          <w:lang w:val="es-MX"/>
        </w:rPr>
        <w:t>.</w:t>
      </w:r>
    </w:p>
    <w:p w:rsidR="00E35D8D" w:rsidRDefault="00E35D8D" w:rsidP="00E35D8D">
      <w:pPr>
        <w:pStyle w:val="Corpsdetexte21"/>
        <w:spacing w:line="276" w:lineRule="auto"/>
        <w:rPr>
          <w:rFonts w:ascii="Gadugi" w:hAnsi="Gadugi"/>
          <w:szCs w:val="24"/>
          <w:lang w:val="es-MX"/>
        </w:rPr>
      </w:pPr>
    </w:p>
    <w:p w:rsidR="00E35D8D" w:rsidRDefault="00E35D8D" w:rsidP="00E35D8D">
      <w:pPr>
        <w:pStyle w:val="Corpsdetexte21"/>
        <w:spacing w:line="276" w:lineRule="auto"/>
        <w:rPr>
          <w:rFonts w:ascii="Gadugi" w:hAnsi="Gadugi"/>
          <w:szCs w:val="24"/>
          <w:lang w:val="es-MX"/>
        </w:rPr>
      </w:pPr>
      <w:r>
        <w:rPr>
          <w:rFonts w:ascii="Gadugi" w:hAnsi="Gadugi"/>
          <w:szCs w:val="24"/>
          <w:lang w:val="es-MX"/>
        </w:rPr>
        <w:t xml:space="preserve">Expuso, en resumen, que laboró para el </w:t>
      </w:r>
      <w:proofErr w:type="spellStart"/>
      <w:r>
        <w:rPr>
          <w:rFonts w:ascii="Gadugi" w:hAnsi="Gadugi"/>
          <w:szCs w:val="24"/>
          <w:lang w:val="es-MX"/>
        </w:rPr>
        <w:t>INCORA</w:t>
      </w:r>
      <w:proofErr w:type="spellEnd"/>
      <w:r>
        <w:rPr>
          <w:rFonts w:ascii="Gadugi" w:hAnsi="Gadugi"/>
          <w:szCs w:val="24"/>
          <w:lang w:val="es-MX"/>
        </w:rPr>
        <w:t xml:space="preserve"> entre el 15 de octubre de 1973 y el 9 de diciembre de 1984, para un total de 11 años; el 27 de abril de 2015 solicitó la indemnización sustitutiva o devolución de aportes ante el </w:t>
      </w:r>
      <w:proofErr w:type="spellStart"/>
      <w:r>
        <w:rPr>
          <w:rFonts w:ascii="Gadugi" w:hAnsi="Gadugi"/>
          <w:szCs w:val="24"/>
          <w:lang w:val="es-MX"/>
        </w:rPr>
        <w:t>MINAGRICULTURA</w:t>
      </w:r>
      <w:proofErr w:type="spellEnd"/>
      <w:r>
        <w:rPr>
          <w:rFonts w:ascii="Gadugi" w:hAnsi="Gadugi"/>
          <w:szCs w:val="24"/>
          <w:lang w:val="es-MX"/>
        </w:rPr>
        <w:t xml:space="preserve"> y se le respondió que tal responsabilidad recaía en la </w:t>
      </w:r>
      <w:proofErr w:type="spellStart"/>
      <w:r>
        <w:rPr>
          <w:rFonts w:ascii="Gadugi" w:hAnsi="Gadugi"/>
          <w:szCs w:val="24"/>
          <w:lang w:val="es-MX"/>
        </w:rPr>
        <w:t>UGPP</w:t>
      </w:r>
      <w:proofErr w:type="spellEnd"/>
      <w:r>
        <w:rPr>
          <w:rFonts w:ascii="Gadugi" w:hAnsi="Gadugi"/>
          <w:szCs w:val="24"/>
          <w:lang w:val="es-MX"/>
        </w:rPr>
        <w:t xml:space="preserve">; que como el </w:t>
      </w:r>
      <w:proofErr w:type="spellStart"/>
      <w:r>
        <w:rPr>
          <w:rFonts w:ascii="Gadugi" w:hAnsi="Gadugi"/>
          <w:szCs w:val="24"/>
          <w:lang w:val="es-MX"/>
        </w:rPr>
        <w:t>INCORA</w:t>
      </w:r>
      <w:proofErr w:type="spellEnd"/>
      <w:r>
        <w:rPr>
          <w:rFonts w:ascii="Gadugi" w:hAnsi="Gadugi"/>
          <w:szCs w:val="24"/>
          <w:lang w:val="es-MX"/>
        </w:rPr>
        <w:t xml:space="preserve"> fue adscrito a la citada Cartera, todo lo de su competencia recae en esta; los aportes a la seguridad social los efectuó ante el Instituto en mención porque en su momento era su propia caja de previsión social; en la legislación colombiana existe la posibilidad del bono pensional tipo B, creado para la consecución de los valores necesarios para el financiamiento de la pensión de los empleados que se trasladaron al régimen de prima media con prestación definida como en su caso, en el que continuó con cotizaciones ante el Instituto Colombiano de Seguros Sociales; dicho bono es responsabilidad del Ministerio de Hacienda, una vez se hayan certificado los tiempos públicos laborados en cada entidad y se encarga del desembolso de los dineros del caso. Ante la liquidación del </w:t>
      </w:r>
      <w:proofErr w:type="spellStart"/>
      <w:r>
        <w:rPr>
          <w:rFonts w:ascii="Gadugi" w:hAnsi="Gadugi"/>
          <w:szCs w:val="24"/>
          <w:lang w:val="es-MX"/>
        </w:rPr>
        <w:t>INCORA</w:t>
      </w:r>
      <w:proofErr w:type="spellEnd"/>
      <w:r>
        <w:rPr>
          <w:rFonts w:ascii="Gadugi" w:hAnsi="Gadugi"/>
          <w:szCs w:val="24"/>
          <w:lang w:val="es-MX"/>
        </w:rPr>
        <w:t xml:space="preserve"> sus aportes pasaron a estar bajo la responsabilidad de este Ministerio; tiene derecho a una indemnización sustitutiva o devolución de aportes a cargo del Ministerio de Agricultura; así, la sana lógica indica que l</w:t>
      </w:r>
      <w:r>
        <w:rPr>
          <w:rFonts w:ascii="Gadugi" w:hAnsi="Gadugi"/>
          <w:szCs w:val="24"/>
          <w:lang w:val="es-419"/>
        </w:rPr>
        <w:t xml:space="preserve">os dos Ministerios </w:t>
      </w:r>
      <w:r>
        <w:rPr>
          <w:rFonts w:ascii="Gadugi" w:hAnsi="Gadugi"/>
          <w:szCs w:val="24"/>
          <w:lang w:val="es-MX"/>
        </w:rPr>
        <w:t>demandad</w:t>
      </w:r>
      <w:r>
        <w:rPr>
          <w:rFonts w:ascii="Gadugi" w:hAnsi="Gadugi"/>
          <w:szCs w:val="24"/>
          <w:lang w:val="es-419"/>
        </w:rPr>
        <w:t>o</w:t>
      </w:r>
      <w:r>
        <w:rPr>
          <w:rFonts w:ascii="Gadugi" w:hAnsi="Gadugi"/>
          <w:szCs w:val="24"/>
          <w:lang w:val="es-MX"/>
        </w:rPr>
        <w:t>s son l</w:t>
      </w:r>
      <w:r>
        <w:rPr>
          <w:rFonts w:ascii="Gadugi" w:hAnsi="Gadugi"/>
          <w:szCs w:val="24"/>
          <w:lang w:val="es-419"/>
        </w:rPr>
        <w:t>o</w:t>
      </w:r>
      <w:r>
        <w:rPr>
          <w:rFonts w:ascii="Gadugi" w:hAnsi="Gadugi"/>
          <w:szCs w:val="24"/>
          <w:lang w:val="es-MX"/>
        </w:rPr>
        <w:t>s encargad</w:t>
      </w:r>
      <w:r>
        <w:rPr>
          <w:rFonts w:ascii="Gadugi" w:hAnsi="Gadugi"/>
          <w:szCs w:val="24"/>
          <w:lang w:val="es-419"/>
        </w:rPr>
        <w:t>o</w:t>
      </w:r>
      <w:r>
        <w:rPr>
          <w:rFonts w:ascii="Gadugi" w:hAnsi="Gadugi"/>
          <w:szCs w:val="24"/>
          <w:lang w:val="es-MX"/>
        </w:rPr>
        <w:t>s de certificar los tiempo</w:t>
      </w:r>
      <w:r>
        <w:rPr>
          <w:rFonts w:ascii="Gadugi" w:hAnsi="Gadugi"/>
          <w:szCs w:val="24"/>
          <w:lang w:val="es-419"/>
        </w:rPr>
        <w:t>s</w:t>
      </w:r>
      <w:r>
        <w:rPr>
          <w:rFonts w:ascii="Gadugi" w:hAnsi="Gadugi"/>
          <w:szCs w:val="24"/>
          <w:lang w:val="es-MX"/>
        </w:rPr>
        <w:t xml:space="preserve"> y </w:t>
      </w:r>
      <w:r>
        <w:rPr>
          <w:rFonts w:ascii="Gadugi" w:hAnsi="Gadugi"/>
          <w:szCs w:val="24"/>
          <w:lang w:val="es-419"/>
        </w:rPr>
        <w:t>generar</w:t>
      </w:r>
      <w:r>
        <w:rPr>
          <w:rFonts w:ascii="Gadugi" w:hAnsi="Gadugi"/>
          <w:szCs w:val="24"/>
          <w:lang w:val="es-MX"/>
        </w:rPr>
        <w:t xml:space="preserve"> los bonos pensionales para ser entregados a </w:t>
      </w:r>
      <w:proofErr w:type="spellStart"/>
      <w:r>
        <w:rPr>
          <w:rFonts w:ascii="Gadugi" w:hAnsi="Gadugi"/>
          <w:szCs w:val="24"/>
          <w:lang w:val="es-MX"/>
        </w:rPr>
        <w:t>Colpensiones</w:t>
      </w:r>
      <w:proofErr w:type="spellEnd"/>
      <w:r>
        <w:rPr>
          <w:rFonts w:ascii="Gadugi" w:hAnsi="Gadugi"/>
          <w:szCs w:val="24"/>
          <w:lang w:val="es-MX"/>
        </w:rPr>
        <w:t xml:space="preserve"> y no se puede permitir un enriquecimiento sin justa causa en </w:t>
      </w:r>
      <w:r>
        <w:rPr>
          <w:rFonts w:ascii="Gadugi" w:hAnsi="Gadugi"/>
          <w:szCs w:val="24"/>
          <w:lang w:val="es-419"/>
        </w:rPr>
        <w:t>beneficio</w:t>
      </w:r>
      <w:r>
        <w:rPr>
          <w:rFonts w:ascii="Gadugi" w:hAnsi="Gadugi"/>
          <w:szCs w:val="24"/>
          <w:lang w:val="es-MX"/>
        </w:rPr>
        <w:t xml:space="preserve"> de las entidades estatales y en perjuicio del trabajador.</w:t>
      </w:r>
    </w:p>
    <w:p w:rsidR="00E35D8D" w:rsidRDefault="00E35D8D" w:rsidP="00E35D8D">
      <w:pPr>
        <w:pStyle w:val="Corpsdetexte21"/>
        <w:spacing w:line="276" w:lineRule="auto"/>
        <w:rPr>
          <w:rFonts w:ascii="Gadugi" w:hAnsi="Gadugi"/>
          <w:szCs w:val="24"/>
          <w:lang w:val="es-MX"/>
        </w:rPr>
      </w:pPr>
    </w:p>
    <w:p w:rsidR="00E35D8D" w:rsidRDefault="00E35D8D" w:rsidP="00E35D8D">
      <w:pPr>
        <w:pStyle w:val="Corpsdetexte21"/>
        <w:spacing w:line="276" w:lineRule="auto"/>
        <w:rPr>
          <w:rFonts w:ascii="Gadugi" w:hAnsi="Gadugi"/>
          <w:szCs w:val="24"/>
          <w:lang w:val="es-MX"/>
        </w:rPr>
      </w:pPr>
      <w:r>
        <w:rPr>
          <w:rFonts w:ascii="Gadugi" w:hAnsi="Gadugi"/>
          <w:szCs w:val="24"/>
          <w:lang w:val="es-MX"/>
        </w:rPr>
        <w:t xml:space="preserve">Pidió, por tanto, </w:t>
      </w:r>
      <w:r>
        <w:rPr>
          <w:rFonts w:ascii="Gadugi" w:hAnsi="Gadugi"/>
          <w:szCs w:val="24"/>
          <w:lang w:val="es-419"/>
        </w:rPr>
        <w:t xml:space="preserve">que </w:t>
      </w:r>
      <w:r>
        <w:rPr>
          <w:rFonts w:ascii="Gadugi" w:hAnsi="Gadugi"/>
          <w:szCs w:val="24"/>
          <w:lang w:val="es-MX"/>
        </w:rPr>
        <w:t xml:space="preserve">se ordene a </w:t>
      </w:r>
      <w:r>
        <w:rPr>
          <w:rFonts w:ascii="Gadugi" w:hAnsi="Gadugi"/>
          <w:szCs w:val="24"/>
          <w:lang w:val="es-419"/>
        </w:rPr>
        <w:t>esas dependencias</w:t>
      </w:r>
      <w:r>
        <w:rPr>
          <w:rFonts w:ascii="Gadugi" w:hAnsi="Gadugi"/>
          <w:szCs w:val="24"/>
          <w:lang w:val="es-MX"/>
        </w:rPr>
        <w:t xml:space="preserve"> realizar las gestiones pertinentes para la obtención del bono pensional y </w:t>
      </w:r>
      <w:proofErr w:type="spellStart"/>
      <w:r>
        <w:rPr>
          <w:rFonts w:ascii="Gadugi" w:hAnsi="Gadugi"/>
          <w:szCs w:val="24"/>
          <w:lang w:val="es-MX"/>
        </w:rPr>
        <w:t>remit</w:t>
      </w:r>
      <w:proofErr w:type="spellEnd"/>
      <w:r>
        <w:rPr>
          <w:rFonts w:ascii="Gadugi" w:hAnsi="Gadugi"/>
          <w:szCs w:val="24"/>
          <w:lang w:val="es-419"/>
        </w:rPr>
        <w:t>ir</w:t>
      </w:r>
      <w:r>
        <w:rPr>
          <w:rFonts w:ascii="Gadugi" w:hAnsi="Gadugi"/>
          <w:szCs w:val="24"/>
          <w:lang w:val="es-MX"/>
        </w:rPr>
        <w:t xml:space="preserve"> los documentos necesarios ante </w:t>
      </w:r>
      <w:proofErr w:type="spellStart"/>
      <w:r>
        <w:rPr>
          <w:rFonts w:ascii="Gadugi" w:hAnsi="Gadugi"/>
          <w:szCs w:val="24"/>
          <w:lang w:val="es-MX"/>
        </w:rPr>
        <w:t>Colpensiones</w:t>
      </w:r>
      <w:proofErr w:type="spellEnd"/>
      <w:r>
        <w:rPr>
          <w:rFonts w:ascii="Gadugi" w:hAnsi="Gadugi"/>
          <w:szCs w:val="24"/>
          <w:lang w:val="es-419"/>
        </w:rPr>
        <w:t>,</w:t>
      </w:r>
      <w:r>
        <w:rPr>
          <w:rFonts w:ascii="Gadugi" w:hAnsi="Gadugi"/>
          <w:szCs w:val="24"/>
          <w:lang w:val="es-MX"/>
        </w:rPr>
        <w:t xml:space="preserve"> para su efectivo pago.</w:t>
      </w:r>
    </w:p>
    <w:p w:rsidR="00E35D8D" w:rsidRPr="009F7797" w:rsidRDefault="00E35D8D" w:rsidP="00E35D8D">
      <w:pPr>
        <w:pStyle w:val="Corpsdetexte21"/>
        <w:spacing w:line="276" w:lineRule="auto"/>
        <w:rPr>
          <w:rFonts w:ascii="Gadugi" w:hAnsi="Gadugi"/>
          <w:sz w:val="28"/>
          <w:szCs w:val="28"/>
          <w:lang w:val="es-MX"/>
        </w:rPr>
      </w:pPr>
    </w:p>
    <w:p w:rsidR="00E35D8D" w:rsidRPr="009E6E58" w:rsidRDefault="00E35D8D" w:rsidP="00E35D8D">
      <w:pPr>
        <w:pStyle w:val="Corpsdetexte21"/>
        <w:spacing w:line="276" w:lineRule="auto"/>
        <w:rPr>
          <w:rFonts w:ascii="Gadugi" w:hAnsi="Gadugi"/>
          <w:szCs w:val="24"/>
          <w:lang w:val="es-MX"/>
        </w:rPr>
      </w:pPr>
      <w:r w:rsidRPr="0083618C">
        <w:rPr>
          <w:rFonts w:ascii="Gadugi" w:hAnsi="Gadugi"/>
          <w:szCs w:val="24"/>
          <w:lang w:val="es-CO"/>
        </w:rPr>
        <w:t xml:space="preserve">Con la demanda aportó copias </w:t>
      </w:r>
      <w:r w:rsidRPr="009E6E58">
        <w:rPr>
          <w:rFonts w:ascii="Gadugi" w:hAnsi="Gadugi"/>
          <w:i/>
          <w:szCs w:val="24"/>
          <w:lang w:val="es-CO"/>
        </w:rPr>
        <w:t xml:space="preserve">(i) </w:t>
      </w:r>
      <w:r w:rsidRPr="0083618C">
        <w:rPr>
          <w:rFonts w:ascii="Gadugi" w:hAnsi="Gadugi"/>
          <w:szCs w:val="24"/>
          <w:lang w:val="es-CO"/>
        </w:rPr>
        <w:t>de</w:t>
      </w:r>
      <w:r>
        <w:rPr>
          <w:rFonts w:ascii="Gadugi" w:hAnsi="Gadugi"/>
          <w:szCs w:val="24"/>
          <w:lang w:val="es-CO"/>
        </w:rPr>
        <w:t xml:space="preserve"> la respuesta que le brindó el Coordinador Grupo de Gestión Integral de Entidades Liquidadas del Ministerio de Agricultura y Desarrollo Rural, relacionada con la negativa de su </w:t>
      </w:r>
      <w:r>
        <w:rPr>
          <w:rFonts w:ascii="Gadugi" w:hAnsi="Gadugi"/>
          <w:szCs w:val="24"/>
          <w:lang w:val="es-CO"/>
        </w:rPr>
        <w:lastRenderedPageBreak/>
        <w:t xml:space="preserve">solicitud de devolución de aportes y/o indemnización sustitutiva y del traslado que de la misma se le dio a la </w:t>
      </w:r>
      <w:proofErr w:type="spellStart"/>
      <w:r>
        <w:rPr>
          <w:rFonts w:ascii="Gadugi" w:hAnsi="Gadugi"/>
          <w:szCs w:val="24"/>
          <w:lang w:val="es-CO"/>
        </w:rPr>
        <w:t>UGPP</w:t>
      </w:r>
      <w:proofErr w:type="spellEnd"/>
      <w:r>
        <w:rPr>
          <w:rFonts w:ascii="Gadugi" w:hAnsi="Gadugi"/>
          <w:szCs w:val="24"/>
          <w:lang w:val="es-CO"/>
        </w:rPr>
        <w:t xml:space="preserve"> por razones de competencia, y </w:t>
      </w:r>
      <w:r>
        <w:rPr>
          <w:rFonts w:ascii="Gadugi" w:hAnsi="Gadugi"/>
          <w:i/>
          <w:szCs w:val="24"/>
          <w:lang w:val="es-CO"/>
        </w:rPr>
        <w:t xml:space="preserve">(ii) </w:t>
      </w:r>
      <w:r>
        <w:rPr>
          <w:rFonts w:ascii="Gadugi" w:hAnsi="Gadugi"/>
          <w:szCs w:val="24"/>
          <w:lang w:val="es-CO"/>
        </w:rPr>
        <w:t>de la citación que de esta Unidad se le hizo para notificarlo del acto administrativo proferido allí el 18 de diciembre de 2015.</w:t>
      </w:r>
    </w:p>
    <w:p w:rsidR="00E35D8D" w:rsidRPr="009E6E58" w:rsidRDefault="00E35D8D" w:rsidP="00E35D8D">
      <w:pPr>
        <w:pStyle w:val="Corpsdetexte21"/>
        <w:spacing w:line="276" w:lineRule="auto"/>
        <w:rPr>
          <w:rFonts w:ascii="Gadugi" w:hAnsi="Gadugi"/>
          <w:szCs w:val="24"/>
          <w:lang w:val="es-419"/>
        </w:rPr>
      </w:pPr>
    </w:p>
    <w:p w:rsidR="00E35D8D" w:rsidRPr="00B0068B" w:rsidRDefault="00E35D8D" w:rsidP="00E35D8D">
      <w:pPr>
        <w:spacing w:line="276" w:lineRule="auto"/>
        <w:jc w:val="both"/>
        <w:rPr>
          <w:rFonts w:ascii="Gadugi" w:hAnsi="Gadugi" w:cs="Arial"/>
          <w:sz w:val="24"/>
          <w:szCs w:val="24"/>
          <w:lang w:val="es-CO"/>
        </w:rPr>
      </w:pPr>
      <w:r w:rsidRPr="009E6E58">
        <w:rPr>
          <w:rFonts w:ascii="Gadugi" w:hAnsi="Gadugi" w:cs="Century Gothic"/>
          <w:sz w:val="24"/>
          <w:szCs w:val="24"/>
        </w:rPr>
        <w:t xml:space="preserve">  </w:t>
      </w:r>
      <w:r w:rsidRPr="009E6E58">
        <w:rPr>
          <w:rFonts w:ascii="Gadugi" w:hAnsi="Gadugi" w:cs="Century Gothic"/>
          <w:sz w:val="24"/>
          <w:szCs w:val="24"/>
        </w:rPr>
        <w:tab/>
      </w:r>
      <w:r w:rsidRPr="009E6E58">
        <w:rPr>
          <w:rFonts w:ascii="Gadugi" w:hAnsi="Gadugi" w:cs="Century Gothic"/>
          <w:sz w:val="24"/>
          <w:szCs w:val="24"/>
        </w:rPr>
        <w:tab/>
      </w:r>
      <w:r w:rsidRPr="009E6E58">
        <w:rPr>
          <w:rFonts w:ascii="Gadugi" w:hAnsi="Gadugi" w:cs="Century Gothic"/>
          <w:sz w:val="24"/>
          <w:szCs w:val="24"/>
        </w:rPr>
        <w:tab/>
      </w:r>
      <w:r w:rsidRPr="009E6E58">
        <w:rPr>
          <w:rFonts w:ascii="Gadugi" w:hAnsi="Gadugi" w:cs="Century Gothic"/>
          <w:sz w:val="24"/>
          <w:szCs w:val="24"/>
        </w:rPr>
        <w:tab/>
        <w:t xml:space="preserve">Se dio a la acción el impulso de rigor con la vinculación de  </w:t>
      </w:r>
      <w:r w:rsidRPr="009E6E58">
        <w:rPr>
          <w:rFonts w:ascii="Gadugi" w:hAnsi="Gadugi" w:cs="Arial"/>
          <w:sz w:val="24"/>
          <w:szCs w:val="24"/>
          <w:lang w:val="es-CO"/>
        </w:rPr>
        <w:t xml:space="preserve">la Unidad Administrativa Especial de Gestión Pensional y Contribuciones Parafiscales de la Protección Social </w:t>
      </w:r>
      <w:proofErr w:type="spellStart"/>
      <w:r w:rsidRPr="009E6E58">
        <w:rPr>
          <w:rFonts w:ascii="Gadugi" w:hAnsi="Gadugi" w:cs="Arial"/>
          <w:sz w:val="24"/>
          <w:szCs w:val="24"/>
          <w:lang w:val="es-CO"/>
        </w:rPr>
        <w:t>UGPP</w:t>
      </w:r>
      <w:proofErr w:type="spellEnd"/>
      <w:r w:rsidRPr="009E6E58">
        <w:rPr>
          <w:rFonts w:ascii="Gadugi" w:hAnsi="Gadugi" w:cs="Arial"/>
          <w:sz w:val="24"/>
          <w:szCs w:val="24"/>
          <w:lang w:val="es-CO"/>
        </w:rPr>
        <w:t xml:space="preserve">; la Administradora Colombiana de Pensiones </w:t>
      </w:r>
      <w:proofErr w:type="spellStart"/>
      <w:r w:rsidRPr="009E6E58">
        <w:rPr>
          <w:rFonts w:ascii="Gadugi" w:hAnsi="Gadugi" w:cs="Arial"/>
          <w:sz w:val="24"/>
          <w:szCs w:val="24"/>
          <w:lang w:val="es-CO"/>
        </w:rPr>
        <w:t>COLPENSIONE</w:t>
      </w:r>
      <w:proofErr w:type="spellEnd"/>
      <w:r w:rsidRPr="009E6E58">
        <w:rPr>
          <w:rFonts w:ascii="Gadugi" w:hAnsi="Gadugi" w:cs="Arial"/>
          <w:sz w:val="24"/>
          <w:szCs w:val="24"/>
          <w:lang w:val="es-CO"/>
        </w:rPr>
        <w:t xml:space="preserve">; el Consorcio </w:t>
      </w:r>
      <w:proofErr w:type="spellStart"/>
      <w:r w:rsidRPr="009E6E58">
        <w:rPr>
          <w:rFonts w:ascii="Gadugi" w:hAnsi="Gadugi" w:cs="Arial"/>
          <w:sz w:val="24"/>
          <w:szCs w:val="24"/>
          <w:lang w:val="es-CO"/>
        </w:rPr>
        <w:t>FOPEP</w:t>
      </w:r>
      <w:proofErr w:type="spellEnd"/>
      <w:r w:rsidRPr="009E6E58">
        <w:rPr>
          <w:rFonts w:ascii="Gadugi" w:hAnsi="Gadugi" w:cs="Arial"/>
          <w:sz w:val="24"/>
          <w:szCs w:val="24"/>
          <w:lang w:val="es-CO"/>
        </w:rPr>
        <w:t xml:space="preserve">; </w:t>
      </w:r>
      <w:r w:rsidRPr="00FD6B3A">
        <w:rPr>
          <w:rFonts w:ascii="Gadugi" w:hAnsi="Gadugi" w:cs="Arial"/>
          <w:sz w:val="24"/>
          <w:szCs w:val="24"/>
          <w:lang w:val="es-CO"/>
        </w:rPr>
        <w:t>Olga Lucía Rodríguez López</w:t>
      </w:r>
      <w:r w:rsidRPr="009E6E58">
        <w:rPr>
          <w:rFonts w:ascii="Gadugi" w:hAnsi="Gadugi" w:cs="Arial"/>
          <w:i/>
          <w:sz w:val="24"/>
          <w:szCs w:val="24"/>
          <w:lang w:val="es-CO"/>
        </w:rPr>
        <w:t xml:space="preserve">, </w:t>
      </w:r>
      <w:r w:rsidRPr="009E6E58">
        <w:rPr>
          <w:rFonts w:ascii="Gadugi" w:hAnsi="Gadugi" w:cs="Arial"/>
          <w:sz w:val="24"/>
          <w:szCs w:val="24"/>
          <w:lang w:val="es-CO"/>
        </w:rPr>
        <w:t xml:space="preserve">en calidad de Coordinadora Grupo de Gestión Integral de Entidades Liquidadas de </w:t>
      </w:r>
      <w:proofErr w:type="spellStart"/>
      <w:r w:rsidRPr="009E6E58">
        <w:rPr>
          <w:rFonts w:ascii="Gadugi" w:hAnsi="Gadugi" w:cs="Arial"/>
          <w:sz w:val="24"/>
          <w:szCs w:val="24"/>
          <w:lang w:val="es-CO"/>
        </w:rPr>
        <w:t>Minagricultura</w:t>
      </w:r>
      <w:proofErr w:type="spellEnd"/>
      <w:r w:rsidRPr="009E6E58">
        <w:rPr>
          <w:rFonts w:ascii="Gadugi" w:hAnsi="Gadugi" w:cs="Arial"/>
          <w:sz w:val="24"/>
          <w:szCs w:val="24"/>
          <w:lang w:val="es-CO"/>
        </w:rPr>
        <w:t xml:space="preserve">; el Fondo de Pasivo Social de Ferrocarriles Nacionales de Colombia; </w:t>
      </w:r>
      <w:proofErr w:type="spellStart"/>
      <w:r w:rsidRPr="009E6E58">
        <w:rPr>
          <w:rFonts w:ascii="Gadugi" w:hAnsi="Gadugi" w:cs="Arial"/>
          <w:sz w:val="24"/>
          <w:szCs w:val="24"/>
          <w:lang w:val="es-CO"/>
        </w:rPr>
        <w:t>FIDUPREVISORA</w:t>
      </w:r>
      <w:proofErr w:type="spellEnd"/>
      <w:r w:rsidRPr="009E6E58">
        <w:rPr>
          <w:rFonts w:ascii="Gadugi" w:hAnsi="Gadugi" w:cs="Arial"/>
          <w:sz w:val="24"/>
          <w:szCs w:val="24"/>
          <w:lang w:val="es-CO"/>
        </w:rPr>
        <w:t xml:space="preserve"> </w:t>
      </w:r>
      <w:proofErr w:type="spellStart"/>
      <w:r w:rsidRPr="009E6E58">
        <w:rPr>
          <w:rFonts w:ascii="Gadugi" w:hAnsi="Gadugi" w:cs="Arial"/>
          <w:sz w:val="24"/>
          <w:szCs w:val="24"/>
          <w:lang w:val="es-CO"/>
        </w:rPr>
        <w:t>SA</w:t>
      </w:r>
      <w:proofErr w:type="spellEnd"/>
      <w:r w:rsidRPr="009E6E58">
        <w:rPr>
          <w:rFonts w:ascii="Gadugi" w:hAnsi="Gadugi" w:cs="Arial"/>
          <w:sz w:val="24"/>
          <w:szCs w:val="24"/>
          <w:lang w:val="es-CO"/>
        </w:rPr>
        <w:t xml:space="preserve"> y  la Oficina de Bonos Pensionales </w:t>
      </w:r>
      <w:r w:rsidRPr="00FD6B3A">
        <w:rPr>
          <w:rFonts w:ascii="Gadugi" w:hAnsi="Gadugi" w:cs="Arial"/>
          <w:sz w:val="24"/>
          <w:szCs w:val="24"/>
          <w:lang w:val="es-CO"/>
        </w:rPr>
        <w:t>del Ministerio de Hacienda y Crédito Público</w:t>
      </w:r>
      <w:r>
        <w:rPr>
          <w:rFonts w:ascii="Gadugi" w:hAnsi="Gadugi" w:cs="Arial"/>
          <w:sz w:val="24"/>
          <w:szCs w:val="24"/>
          <w:lang w:val="es-CO"/>
        </w:rPr>
        <w:t xml:space="preserve">, y se </w:t>
      </w:r>
      <w:r w:rsidRPr="00B0068B">
        <w:rPr>
          <w:rFonts w:ascii="Gadugi" w:hAnsi="Gadugi" w:cs="Century Gothic"/>
          <w:sz w:val="24"/>
          <w:szCs w:val="24"/>
        </w:rPr>
        <w:t xml:space="preserve"> corrió traslado por el término de 2 días para que se </w:t>
      </w:r>
      <w:r>
        <w:rPr>
          <w:rFonts w:ascii="Gadugi" w:hAnsi="Gadugi" w:cs="Century Gothic"/>
          <w:sz w:val="24"/>
          <w:szCs w:val="24"/>
        </w:rPr>
        <w:t>ejerciera el derecho de defensa, a la vez que se decretaron pruebas</w:t>
      </w:r>
      <w:r w:rsidRPr="00B0068B">
        <w:rPr>
          <w:rFonts w:ascii="Gadugi" w:hAnsi="Gadugi" w:cs="Century Gothic"/>
          <w:sz w:val="24"/>
          <w:szCs w:val="24"/>
        </w:rPr>
        <w:t>.</w:t>
      </w:r>
    </w:p>
    <w:p w:rsidR="00E35D8D" w:rsidRPr="0083618C" w:rsidRDefault="00E35D8D" w:rsidP="00E35D8D">
      <w:pPr>
        <w:pStyle w:val="Corpsdetexte21"/>
        <w:spacing w:line="276" w:lineRule="auto"/>
        <w:rPr>
          <w:rFonts w:ascii="Gadugi" w:hAnsi="Gadugi" w:cs="Century Gothic"/>
          <w:szCs w:val="24"/>
          <w:lang w:val="es-419"/>
        </w:rPr>
      </w:pPr>
    </w:p>
    <w:p w:rsidR="00E35D8D" w:rsidRDefault="00E35D8D" w:rsidP="00E35D8D">
      <w:pPr>
        <w:pStyle w:val="Corpsdetexte21"/>
        <w:spacing w:line="276" w:lineRule="auto"/>
        <w:rPr>
          <w:rFonts w:ascii="Gadugi" w:hAnsi="Gadugi" w:cs="Century Gothic"/>
          <w:szCs w:val="24"/>
          <w:lang w:val="es-CO"/>
        </w:rPr>
      </w:pPr>
      <w:r w:rsidRPr="0083618C">
        <w:rPr>
          <w:rFonts w:ascii="Gadugi" w:hAnsi="Gadugi" w:cs="Century Gothic"/>
          <w:szCs w:val="24"/>
          <w:lang w:val="es-CO"/>
        </w:rPr>
        <w:t xml:space="preserve">Intervino </w:t>
      </w:r>
      <w:r>
        <w:rPr>
          <w:rFonts w:ascii="Gadugi" w:hAnsi="Gadugi" w:cs="Century Gothic"/>
          <w:szCs w:val="24"/>
          <w:lang w:val="es-CO"/>
        </w:rPr>
        <w:t xml:space="preserve">el Patrimonio Autónomo de Remanentes del Instituto de Seguros Sociales en Liquidación </w:t>
      </w:r>
      <w:r>
        <w:rPr>
          <w:rFonts w:ascii="Gadugi" w:hAnsi="Gadugi" w:cs="Century Gothic"/>
          <w:szCs w:val="24"/>
          <w:lang w:val="es-419"/>
        </w:rPr>
        <w:t>-</w:t>
      </w:r>
      <w:proofErr w:type="spellStart"/>
      <w:r>
        <w:rPr>
          <w:rFonts w:ascii="Gadugi" w:hAnsi="Gadugi" w:cs="Century Gothic"/>
          <w:szCs w:val="24"/>
          <w:lang w:val="es-CO"/>
        </w:rPr>
        <w:t>PARISS</w:t>
      </w:r>
      <w:proofErr w:type="spellEnd"/>
      <w:r>
        <w:rPr>
          <w:rFonts w:ascii="Gadugi" w:hAnsi="Gadugi" w:cs="Century Gothic"/>
          <w:szCs w:val="24"/>
          <w:lang w:val="es-419"/>
        </w:rPr>
        <w:t>-</w:t>
      </w:r>
      <w:r>
        <w:rPr>
          <w:rFonts w:ascii="Gadugi" w:hAnsi="Gadugi" w:cs="Century Gothic"/>
          <w:szCs w:val="24"/>
          <w:lang w:val="es-CO"/>
        </w:rPr>
        <w:t xml:space="preserve">, por intermedio de apoderado general, quien dio cuenta de que se encuentra administrado por </w:t>
      </w:r>
      <w:proofErr w:type="spellStart"/>
      <w:r>
        <w:rPr>
          <w:rFonts w:ascii="Gadugi" w:hAnsi="Gadugi" w:cs="Century Gothic"/>
          <w:szCs w:val="24"/>
          <w:lang w:val="es-CO"/>
        </w:rPr>
        <w:t>FIDUAGRARIA</w:t>
      </w:r>
      <w:proofErr w:type="spellEnd"/>
      <w:r>
        <w:rPr>
          <w:rFonts w:ascii="Gadugi" w:hAnsi="Gadugi" w:cs="Century Gothic"/>
          <w:szCs w:val="24"/>
          <w:lang w:val="es-CO"/>
        </w:rPr>
        <w:t xml:space="preserve"> </w:t>
      </w:r>
      <w:proofErr w:type="spellStart"/>
      <w:r>
        <w:rPr>
          <w:rFonts w:ascii="Gadugi" w:hAnsi="Gadugi" w:cs="Century Gothic"/>
          <w:szCs w:val="24"/>
          <w:lang w:val="es-CO"/>
        </w:rPr>
        <w:t>SA</w:t>
      </w:r>
      <w:proofErr w:type="spellEnd"/>
      <w:r>
        <w:rPr>
          <w:rFonts w:ascii="Gadugi" w:hAnsi="Gadugi" w:cs="Century Gothic"/>
          <w:szCs w:val="24"/>
          <w:lang w:val="es-CO"/>
        </w:rPr>
        <w:t xml:space="preserve"> y puso de presente el proceso de liquidación por el que atravesó el </w:t>
      </w:r>
      <w:proofErr w:type="spellStart"/>
      <w:r>
        <w:rPr>
          <w:rFonts w:ascii="Gadugi" w:hAnsi="Gadugi" w:cs="Century Gothic"/>
          <w:szCs w:val="24"/>
          <w:lang w:val="es-CO"/>
        </w:rPr>
        <w:t>ISS</w:t>
      </w:r>
      <w:proofErr w:type="spellEnd"/>
      <w:r>
        <w:rPr>
          <w:rFonts w:ascii="Gadugi" w:hAnsi="Gadugi" w:cs="Century Gothic"/>
          <w:szCs w:val="24"/>
          <w:lang w:val="es-CO"/>
        </w:rPr>
        <w:t xml:space="preserve"> y explicó que de esta demanda lo puso al tanto la </w:t>
      </w:r>
      <w:proofErr w:type="spellStart"/>
      <w:r>
        <w:rPr>
          <w:rFonts w:ascii="Gadugi" w:hAnsi="Gadugi" w:cs="Century Gothic"/>
          <w:szCs w:val="24"/>
          <w:lang w:val="es-CO"/>
        </w:rPr>
        <w:t>Fiduprevisora</w:t>
      </w:r>
      <w:proofErr w:type="spellEnd"/>
      <w:r>
        <w:rPr>
          <w:rFonts w:ascii="Gadugi" w:hAnsi="Gadugi" w:cs="Century Gothic"/>
          <w:szCs w:val="24"/>
          <w:lang w:val="es-CO"/>
        </w:rPr>
        <w:t xml:space="preserve"> </w:t>
      </w:r>
      <w:proofErr w:type="spellStart"/>
      <w:r>
        <w:rPr>
          <w:rFonts w:ascii="Gadugi" w:hAnsi="Gadugi" w:cs="Century Gothic"/>
          <w:szCs w:val="24"/>
          <w:lang w:val="es-CO"/>
        </w:rPr>
        <w:t>SA</w:t>
      </w:r>
      <w:proofErr w:type="spellEnd"/>
      <w:r>
        <w:rPr>
          <w:rFonts w:ascii="Gadugi" w:hAnsi="Gadugi" w:cs="Century Gothic"/>
          <w:szCs w:val="24"/>
          <w:lang w:val="es-CO"/>
        </w:rPr>
        <w:t xml:space="preserve">, quien la remitió por presunta competencia, pero que en ningún momento el Patrimonio es sucesor procesal o </w:t>
      </w:r>
      <w:proofErr w:type="spellStart"/>
      <w:r>
        <w:rPr>
          <w:rFonts w:ascii="Gadugi" w:hAnsi="Gadugi" w:cs="Century Gothic"/>
          <w:szCs w:val="24"/>
          <w:lang w:val="es-CO"/>
        </w:rPr>
        <w:t>subrogatario</w:t>
      </w:r>
      <w:proofErr w:type="spellEnd"/>
      <w:r>
        <w:rPr>
          <w:rFonts w:ascii="Gadugi" w:hAnsi="Gadugi" w:cs="Century Gothic"/>
          <w:szCs w:val="24"/>
          <w:lang w:val="es-CO"/>
        </w:rPr>
        <w:t xml:space="preserve"> de la extinta entidad; que ordenada la supresión del </w:t>
      </w:r>
      <w:proofErr w:type="spellStart"/>
      <w:r>
        <w:rPr>
          <w:rFonts w:ascii="Gadugi" w:hAnsi="Gadugi" w:cs="Century Gothic"/>
          <w:szCs w:val="24"/>
          <w:lang w:val="es-CO"/>
        </w:rPr>
        <w:t>ISS</w:t>
      </w:r>
      <w:proofErr w:type="spellEnd"/>
      <w:r>
        <w:rPr>
          <w:rFonts w:ascii="Gadugi" w:hAnsi="Gadugi" w:cs="Century Gothic"/>
          <w:szCs w:val="24"/>
          <w:lang w:val="es-CO"/>
        </w:rPr>
        <w:t xml:space="preserve">,  hoy </w:t>
      </w:r>
      <w:proofErr w:type="spellStart"/>
      <w:r>
        <w:rPr>
          <w:rFonts w:ascii="Gadugi" w:hAnsi="Gadugi" w:cs="Century Gothic"/>
          <w:szCs w:val="24"/>
          <w:lang w:val="es-CO"/>
        </w:rPr>
        <w:t>Colpensiones</w:t>
      </w:r>
      <w:proofErr w:type="spellEnd"/>
      <w:r>
        <w:rPr>
          <w:rFonts w:ascii="Gadugi" w:hAnsi="Gadugi" w:cs="Century Gothic"/>
          <w:szCs w:val="24"/>
          <w:lang w:val="es-CO"/>
        </w:rPr>
        <w:t xml:space="preserve">, la Unidad Administrativa Especial en Gestión Pensional y Contribuciones Parafiscales de la Protección Social </w:t>
      </w:r>
      <w:proofErr w:type="spellStart"/>
      <w:r>
        <w:rPr>
          <w:rFonts w:ascii="Gadugi" w:hAnsi="Gadugi" w:cs="Century Gothic"/>
          <w:szCs w:val="24"/>
          <w:lang w:val="es-CO"/>
        </w:rPr>
        <w:t>UGPP</w:t>
      </w:r>
      <w:proofErr w:type="spellEnd"/>
      <w:r>
        <w:rPr>
          <w:rFonts w:ascii="Gadugi" w:hAnsi="Gadugi" w:cs="Century Gothic"/>
          <w:szCs w:val="24"/>
          <w:lang w:val="es-CO"/>
        </w:rPr>
        <w:t xml:space="preserve">, asumiría la administración de los derechos pensionales reconocidos por el </w:t>
      </w:r>
      <w:proofErr w:type="spellStart"/>
      <w:r>
        <w:rPr>
          <w:rFonts w:ascii="Gadugi" w:hAnsi="Gadugi" w:cs="Century Gothic"/>
          <w:szCs w:val="24"/>
          <w:lang w:val="es-CO"/>
        </w:rPr>
        <w:t>ISS</w:t>
      </w:r>
      <w:proofErr w:type="spellEnd"/>
      <w:r>
        <w:rPr>
          <w:rFonts w:ascii="Gadugi" w:hAnsi="Gadugi" w:cs="Century Gothic"/>
          <w:szCs w:val="24"/>
          <w:lang w:val="es-CO"/>
        </w:rPr>
        <w:t xml:space="preserve">, y concluido el proceso de liquidación de este, </w:t>
      </w:r>
      <w:proofErr w:type="spellStart"/>
      <w:r>
        <w:rPr>
          <w:rFonts w:ascii="Gadugi" w:hAnsi="Gadugi" w:cs="Century Gothic"/>
          <w:szCs w:val="24"/>
          <w:lang w:val="es-CO"/>
        </w:rPr>
        <w:t>Fiduprevisora</w:t>
      </w:r>
      <w:proofErr w:type="spellEnd"/>
      <w:r>
        <w:rPr>
          <w:rFonts w:ascii="Gadugi" w:hAnsi="Gadugi" w:cs="Century Gothic"/>
          <w:szCs w:val="24"/>
          <w:lang w:val="es-CO"/>
        </w:rPr>
        <w:t xml:space="preserve"> </w:t>
      </w:r>
      <w:proofErr w:type="spellStart"/>
      <w:r>
        <w:rPr>
          <w:rFonts w:ascii="Gadugi" w:hAnsi="Gadugi" w:cs="Century Gothic"/>
          <w:szCs w:val="24"/>
          <w:lang w:val="es-CO"/>
        </w:rPr>
        <w:t>SA</w:t>
      </w:r>
      <w:proofErr w:type="spellEnd"/>
      <w:r>
        <w:rPr>
          <w:rFonts w:ascii="Gadugi" w:hAnsi="Gadugi" w:cs="Century Gothic"/>
          <w:szCs w:val="24"/>
          <w:lang w:val="es-CO"/>
        </w:rPr>
        <w:t xml:space="preserve"> estaba encargado  única y exclusivamente de efectuar la entrega al </w:t>
      </w:r>
      <w:proofErr w:type="spellStart"/>
      <w:r>
        <w:rPr>
          <w:rFonts w:ascii="Gadugi" w:hAnsi="Gadugi" w:cs="Century Gothic"/>
          <w:szCs w:val="24"/>
          <w:lang w:val="es-CO"/>
        </w:rPr>
        <w:t>PARISS</w:t>
      </w:r>
      <w:proofErr w:type="spellEnd"/>
      <w:r>
        <w:rPr>
          <w:rFonts w:ascii="Gadugi" w:hAnsi="Gadugi" w:cs="Century Gothic"/>
          <w:szCs w:val="24"/>
          <w:lang w:val="es-CO"/>
        </w:rPr>
        <w:t xml:space="preserve">, cuya representación legal corresponde la citada </w:t>
      </w:r>
      <w:proofErr w:type="spellStart"/>
      <w:r>
        <w:rPr>
          <w:rFonts w:ascii="Gadugi" w:hAnsi="Gadugi" w:cs="Century Gothic"/>
          <w:szCs w:val="24"/>
          <w:lang w:val="es-CO"/>
        </w:rPr>
        <w:t>Fiduagraria</w:t>
      </w:r>
      <w:proofErr w:type="spellEnd"/>
      <w:r>
        <w:rPr>
          <w:rFonts w:ascii="Gadugi" w:hAnsi="Gadugi" w:cs="Century Gothic"/>
          <w:szCs w:val="24"/>
          <w:lang w:val="es-CO"/>
        </w:rPr>
        <w:t xml:space="preserve"> </w:t>
      </w:r>
      <w:proofErr w:type="spellStart"/>
      <w:r>
        <w:rPr>
          <w:rFonts w:ascii="Gadugi" w:hAnsi="Gadugi" w:cs="Century Gothic"/>
          <w:szCs w:val="24"/>
          <w:lang w:val="es-CO"/>
        </w:rPr>
        <w:t>SA</w:t>
      </w:r>
      <w:proofErr w:type="spellEnd"/>
      <w:r>
        <w:rPr>
          <w:rFonts w:ascii="Gadugi" w:hAnsi="Gadugi" w:cs="Century Gothic"/>
          <w:szCs w:val="24"/>
          <w:lang w:val="es-CO"/>
        </w:rPr>
        <w:t>, por lo que solicitó su desvinculación del asunto.</w:t>
      </w:r>
    </w:p>
    <w:p w:rsidR="00E35D8D" w:rsidRDefault="00E35D8D" w:rsidP="00E35D8D">
      <w:pPr>
        <w:pStyle w:val="Corpsdetexte21"/>
        <w:spacing w:line="276" w:lineRule="auto"/>
        <w:rPr>
          <w:rFonts w:ascii="Gadugi" w:hAnsi="Gadugi" w:cs="Century Gothic"/>
          <w:szCs w:val="24"/>
          <w:lang w:val="es-CO"/>
        </w:rPr>
      </w:pPr>
    </w:p>
    <w:p w:rsidR="00E35D8D" w:rsidRDefault="00E35D8D" w:rsidP="00E35D8D">
      <w:pPr>
        <w:pStyle w:val="Corpsdetexte21"/>
        <w:spacing w:line="276" w:lineRule="auto"/>
        <w:rPr>
          <w:rFonts w:ascii="Gadugi" w:hAnsi="Gadugi" w:cs="Century Gothic"/>
          <w:szCs w:val="24"/>
          <w:lang w:val="es-CO"/>
        </w:rPr>
      </w:pPr>
      <w:r>
        <w:rPr>
          <w:rFonts w:ascii="Gadugi" w:hAnsi="Gadugi" w:cs="Century Gothic"/>
          <w:szCs w:val="24"/>
          <w:lang w:val="es-CO"/>
        </w:rPr>
        <w:t xml:space="preserve">La </w:t>
      </w:r>
      <w:proofErr w:type="spellStart"/>
      <w:r>
        <w:rPr>
          <w:rFonts w:ascii="Gadugi" w:hAnsi="Gadugi" w:cs="Century Gothic"/>
          <w:szCs w:val="24"/>
          <w:lang w:val="es-CO"/>
        </w:rPr>
        <w:t>UGPP</w:t>
      </w:r>
      <w:proofErr w:type="spellEnd"/>
      <w:r>
        <w:rPr>
          <w:rFonts w:ascii="Gadugi" w:hAnsi="Gadugi" w:cs="Century Gothic"/>
          <w:szCs w:val="24"/>
          <w:lang w:val="es-CO"/>
        </w:rPr>
        <w:t xml:space="preserve">, por conducto del Subdirector Jurídico Pensional, explicó, en síntesis, que mediante Resolución </w:t>
      </w:r>
      <w:proofErr w:type="spellStart"/>
      <w:r>
        <w:rPr>
          <w:rFonts w:ascii="Gadugi" w:hAnsi="Gadugi" w:cs="Century Gothic"/>
          <w:szCs w:val="24"/>
          <w:lang w:val="es-CO"/>
        </w:rPr>
        <w:t>RDP</w:t>
      </w:r>
      <w:proofErr w:type="spellEnd"/>
      <w:r>
        <w:rPr>
          <w:rFonts w:ascii="Gadugi" w:hAnsi="Gadugi" w:cs="Century Gothic"/>
          <w:szCs w:val="24"/>
          <w:lang w:val="es-CO"/>
        </w:rPr>
        <w:t xml:space="preserve"> 54561 del 18 de diciembre de 2015, negó la indemnización sustitutiva de la pensión vejez al accionante por </w:t>
      </w:r>
      <w:r>
        <w:rPr>
          <w:rFonts w:ascii="Gadugi" w:hAnsi="Gadugi" w:cs="Century Gothic"/>
          <w:szCs w:val="24"/>
          <w:lang w:val="es-419"/>
        </w:rPr>
        <w:t xml:space="preserve">cuanto faltaron </w:t>
      </w:r>
      <w:r>
        <w:rPr>
          <w:rFonts w:ascii="Gadugi" w:hAnsi="Gadugi" w:cs="Century Gothic"/>
          <w:szCs w:val="24"/>
          <w:lang w:val="es-CO"/>
        </w:rPr>
        <w:t xml:space="preserve">documentos necesarios para el estudio del caso; posteriormente, el 29 de enero de 2016, se negó de nuevo la misma petición por improcedente, decisión que fue confirmada, al desatar recurso de apelación, mediante la Resolución </w:t>
      </w:r>
      <w:proofErr w:type="spellStart"/>
      <w:r>
        <w:rPr>
          <w:rFonts w:ascii="Gadugi" w:hAnsi="Gadugi" w:cs="Century Gothic"/>
          <w:szCs w:val="24"/>
          <w:lang w:val="es-CO"/>
        </w:rPr>
        <w:t>RDP013919</w:t>
      </w:r>
      <w:proofErr w:type="spellEnd"/>
      <w:r>
        <w:rPr>
          <w:rFonts w:ascii="Gadugi" w:hAnsi="Gadugi" w:cs="Century Gothic"/>
          <w:szCs w:val="24"/>
          <w:lang w:val="es-CO"/>
        </w:rPr>
        <w:t xml:space="preserve"> del 30 de marzo de 2016; actos administrativos que fueron notificados al interesado; que esas decisiones tuvieron cimiento en el hecho de que </w:t>
      </w:r>
      <w:r>
        <w:rPr>
          <w:rFonts w:ascii="Gadugi" w:hAnsi="Gadugi" w:cs="Century Gothic"/>
          <w:szCs w:val="24"/>
          <w:lang w:val="es-419"/>
        </w:rPr>
        <w:t xml:space="preserve">respecto de </w:t>
      </w:r>
      <w:r>
        <w:rPr>
          <w:rFonts w:ascii="Gadugi" w:hAnsi="Gadugi" w:cs="Century Gothic"/>
          <w:szCs w:val="24"/>
          <w:lang w:val="es-CO"/>
        </w:rPr>
        <w:t xml:space="preserve">los aportes realizados por el </w:t>
      </w:r>
      <w:proofErr w:type="spellStart"/>
      <w:r>
        <w:rPr>
          <w:rFonts w:ascii="Gadugi" w:hAnsi="Gadugi" w:cs="Century Gothic"/>
          <w:szCs w:val="24"/>
          <w:lang w:val="es-CO"/>
        </w:rPr>
        <w:t>INCORA</w:t>
      </w:r>
      <w:proofErr w:type="spellEnd"/>
      <w:r>
        <w:rPr>
          <w:rFonts w:ascii="Gadugi" w:hAnsi="Gadugi" w:cs="Century Gothic"/>
          <w:szCs w:val="24"/>
          <w:lang w:val="es-CO"/>
        </w:rPr>
        <w:t xml:space="preserve">, de conformidad </w:t>
      </w:r>
      <w:r>
        <w:rPr>
          <w:rFonts w:ascii="Gadugi" w:hAnsi="Gadugi" w:cs="Century Gothic"/>
          <w:szCs w:val="24"/>
          <w:lang w:val="es-CO"/>
        </w:rPr>
        <w:lastRenderedPageBreak/>
        <w:t xml:space="preserve">con el Decreto 1730 de 2001, </w:t>
      </w:r>
      <w:r>
        <w:rPr>
          <w:rFonts w:ascii="Gadugi" w:hAnsi="Gadugi" w:cs="Century Gothic"/>
          <w:szCs w:val="24"/>
          <w:lang w:val="es-419"/>
        </w:rPr>
        <w:t xml:space="preserve">se </w:t>
      </w:r>
      <w:r>
        <w:rPr>
          <w:rFonts w:ascii="Gadugi" w:hAnsi="Gadugi" w:cs="Century Gothic"/>
          <w:szCs w:val="24"/>
          <w:lang w:val="es-CO"/>
        </w:rPr>
        <w:t xml:space="preserve">hizo mención a las pensiones otorgadas por el Seguro Social o por las cajas de previsión que recibieron cotizaciones y no a aquellos empleadores otorgadores directos de las pensiones de jubilación, como era el caso del </w:t>
      </w:r>
      <w:proofErr w:type="spellStart"/>
      <w:r>
        <w:rPr>
          <w:rFonts w:ascii="Gadugi" w:hAnsi="Gadugi" w:cs="Century Gothic"/>
          <w:szCs w:val="24"/>
          <w:lang w:val="es-CO"/>
        </w:rPr>
        <w:t>INCORA</w:t>
      </w:r>
      <w:proofErr w:type="spellEnd"/>
      <w:r>
        <w:rPr>
          <w:rFonts w:ascii="Gadugi" w:hAnsi="Gadugi" w:cs="Century Gothic"/>
          <w:szCs w:val="24"/>
          <w:lang w:val="es-CO"/>
        </w:rPr>
        <w:t xml:space="preserve">; </w:t>
      </w:r>
      <w:r>
        <w:rPr>
          <w:rFonts w:ascii="Gadugi" w:hAnsi="Gadugi" w:cs="Century Gothic"/>
          <w:szCs w:val="24"/>
          <w:lang w:val="es-419"/>
        </w:rPr>
        <w:t>agregó que l</w:t>
      </w:r>
      <w:r>
        <w:rPr>
          <w:rFonts w:ascii="Gadugi" w:hAnsi="Gadugi" w:cs="Century Gothic"/>
          <w:szCs w:val="24"/>
          <w:lang w:val="es-CO"/>
        </w:rPr>
        <w:t xml:space="preserve">a acción de tutela </w:t>
      </w:r>
      <w:r>
        <w:rPr>
          <w:rFonts w:ascii="Gadugi" w:hAnsi="Gadugi" w:cs="Century Gothic"/>
          <w:szCs w:val="24"/>
          <w:lang w:val="es-419"/>
        </w:rPr>
        <w:t>es una</w:t>
      </w:r>
      <w:r>
        <w:rPr>
          <w:rFonts w:ascii="Gadugi" w:hAnsi="Gadugi" w:cs="Century Gothic"/>
          <w:szCs w:val="24"/>
          <w:lang w:val="es-CO"/>
        </w:rPr>
        <w:t xml:space="preserve"> vía </w:t>
      </w:r>
      <w:r>
        <w:rPr>
          <w:rFonts w:ascii="Gadugi" w:hAnsi="Gadugi" w:cs="Century Gothic"/>
          <w:szCs w:val="24"/>
          <w:lang w:val="es-419"/>
        </w:rPr>
        <w:t>in</w:t>
      </w:r>
      <w:r>
        <w:rPr>
          <w:rFonts w:ascii="Gadugi" w:hAnsi="Gadugi" w:cs="Century Gothic"/>
          <w:szCs w:val="24"/>
          <w:lang w:val="es-CO"/>
        </w:rPr>
        <w:t>adecuada para reclamar prestaciones económicas y solicitó declarar su improcedencia.</w:t>
      </w:r>
    </w:p>
    <w:p w:rsidR="00E35D8D" w:rsidRDefault="00E35D8D" w:rsidP="00E35D8D">
      <w:pPr>
        <w:pStyle w:val="Corpsdetexte21"/>
        <w:spacing w:line="276" w:lineRule="auto"/>
        <w:rPr>
          <w:rFonts w:ascii="Gadugi" w:hAnsi="Gadugi" w:cs="Century Gothic"/>
          <w:szCs w:val="24"/>
          <w:lang w:val="es-CO"/>
        </w:rPr>
      </w:pPr>
    </w:p>
    <w:p w:rsidR="00E35D8D" w:rsidRDefault="00E35D8D" w:rsidP="00E35D8D">
      <w:pPr>
        <w:pStyle w:val="Corpsdetexte21"/>
        <w:spacing w:line="276" w:lineRule="auto"/>
        <w:rPr>
          <w:rFonts w:ascii="Gadugi" w:hAnsi="Gadugi" w:cs="Century Gothic"/>
          <w:szCs w:val="24"/>
          <w:lang w:val="es-CO"/>
        </w:rPr>
      </w:pPr>
      <w:r>
        <w:rPr>
          <w:rFonts w:ascii="Gadugi" w:hAnsi="Gadugi" w:cs="Century Gothic"/>
          <w:szCs w:val="24"/>
          <w:lang w:val="es-CO"/>
        </w:rPr>
        <w:t xml:space="preserve">El Gerente General del Consorcio </w:t>
      </w:r>
      <w:proofErr w:type="spellStart"/>
      <w:r>
        <w:rPr>
          <w:rFonts w:ascii="Gadugi" w:hAnsi="Gadugi" w:cs="Century Gothic"/>
          <w:szCs w:val="24"/>
          <w:lang w:val="es-CO"/>
        </w:rPr>
        <w:t>FOPEP</w:t>
      </w:r>
      <w:proofErr w:type="spellEnd"/>
      <w:r>
        <w:rPr>
          <w:rFonts w:ascii="Gadugi" w:hAnsi="Gadugi" w:cs="Century Gothic"/>
          <w:szCs w:val="24"/>
          <w:lang w:val="es-CO"/>
        </w:rPr>
        <w:t xml:space="preserve">, explicó lo atañedero a su naturaleza y objeto; que no es sustituto procesal del </w:t>
      </w:r>
      <w:proofErr w:type="spellStart"/>
      <w:r>
        <w:rPr>
          <w:rFonts w:ascii="Gadugi" w:hAnsi="Gadugi" w:cs="Century Gothic"/>
          <w:szCs w:val="24"/>
          <w:lang w:val="es-CO"/>
        </w:rPr>
        <w:t>INCORA</w:t>
      </w:r>
      <w:proofErr w:type="spellEnd"/>
      <w:r>
        <w:rPr>
          <w:rFonts w:ascii="Gadugi" w:hAnsi="Gadugi" w:cs="Century Gothic"/>
          <w:szCs w:val="24"/>
          <w:lang w:val="es-CO"/>
        </w:rPr>
        <w:t xml:space="preserve"> y </w:t>
      </w:r>
      <w:r>
        <w:rPr>
          <w:rFonts w:ascii="Gadugi" w:hAnsi="Gadugi" w:cs="Century Gothic"/>
          <w:szCs w:val="24"/>
          <w:lang w:val="es-419"/>
        </w:rPr>
        <w:t>carece de</w:t>
      </w:r>
      <w:r>
        <w:rPr>
          <w:rFonts w:ascii="Gadugi" w:hAnsi="Gadugi" w:cs="Century Gothic"/>
          <w:szCs w:val="24"/>
          <w:lang w:val="es-CO"/>
        </w:rPr>
        <w:t xml:space="preserve"> competencia para el estudio, reconocimiento, expedición de actos administrativos, reajustes pensionales o actividades afines, en relación con el pedimento elevado, pues, ello, está exclusivamente en cabeza de la </w:t>
      </w:r>
      <w:proofErr w:type="spellStart"/>
      <w:r>
        <w:rPr>
          <w:rFonts w:ascii="Gadugi" w:hAnsi="Gadugi" w:cs="Century Gothic"/>
          <w:szCs w:val="24"/>
          <w:lang w:val="es-CO"/>
        </w:rPr>
        <w:t>UGPP</w:t>
      </w:r>
      <w:proofErr w:type="spellEnd"/>
      <w:r>
        <w:rPr>
          <w:rFonts w:ascii="Gadugi" w:hAnsi="Gadugi" w:cs="Century Gothic"/>
          <w:szCs w:val="24"/>
          <w:lang w:val="es-CO"/>
        </w:rPr>
        <w:t xml:space="preserve"> y, por ende, solicitó negar la acción propuesta en su contra.</w:t>
      </w:r>
    </w:p>
    <w:p w:rsidR="00E35D8D" w:rsidRDefault="00E35D8D" w:rsidP="00E35D8D">
      <w:pPr>
        <w:pStyle w:val="Corpsdetexte21"/>
        <w:spacing w:line="276" w:lineRule="auto"/>
        <w:rPr>
          <w:rFonts w:ascii="Gadugi" w:hAnsi="Gadugi" w:cs="Century Gothic"/>
          <w:szCs w:val="24"/>
          <w:lang w:val="es-CO"/>
        </w:rPr>
      </w:pPr>
    </w:p>
    <w:p w:rsidR="00E35D8D" w:rsidRDefault="00E35D8D" w:rsidP="00E35D8D">
      <w:pPr>
        <w:pStyle w:val="Corpsdetexte21"/>
        <w:spacing w:line="276" w:lineRule="auto"/>
        <w:rPr>
          <w:rFonts w:ascii="Gadugi" w:hAnsi="Gadugi" w:cs="Century Gothic"/>
          <w:szCs w:val="24"/>
          <w:lang w:val="es-CO"/>
        </w:rPr>
      </w:pPr>
      <w:r>
        <w:rPr>
          <w:rFonts w:ascii="Gadugi" w:hAnsi="Gadugi" w:cs="Century Gothic"/>
          <w:szCs w:val="24"/>
          <w:lang w:val="es-CO"/>
        </w:rPr>
        <w:t xml:space="preserve">Por su parte, el Ministerio de Hacienda, por intermedio del Jefe Oficina Bonos Pensionales, </w:t>
      </w:r>
      <w:r>
        <w:rPr>
          <w:rFonts w:ascii="Gadugi" w:hAnsi="Gadugi" w:cs="Century Gothic"/>
          <w:szCs w:val="24"/>
          <w:lang w:val="es-419"/>
        </w:rPr>
        <w:t>señaló</w:t>
      </w:r>
      <w:r>
        <w:rPr>
          <w:rFonts w:ascii="Gadugi" w:hAnsi="Gadugi" w:cs="Century Gothic"/>
          <w:szCs w:val="24"/>
          <w:lang w:val="es-CO"/>
        </w:rPr>
        <w:t xml:space="preserve"> que el accionante nunca ha tramitado derecho de petición ante esa dependencia y tampoco ha solicitado eventual bono pensional a su nombre y que en relación con los tiempos reclamados por el servicio prestado al </w:t>
      </w:r>
      <w:proofErr w:type="spellStart"/>
      <w:r>
        <w:rPr>
          <w:rFonts w:ascii="Gadugi" w:hAnsi="Gadugi" w:cs="Century Gothic"/>
          <w:szCs w:val="24"/>
          <w:lang w:val="es-CO"/>
        </w:rPr>
        <w:t>INCORA</w:t>
      </w:r>
      <w:proofErr w:type="spellEnd"/>
      <w:r>
        <w:rPr>
          <w:rFonts w:ascii="Gadugi" w:hAnsi="Gadugi" w:cs="Century Gothic"/>
          <w:szCs w:val="24"/>
          <w:lang w:val="es-CO"/>
        </w:rPr>
        <w:t xml:space="preserve">, no hay de parte de La Nación obligación alguna conforme a lo señalado por el artículo 121 de la Ley 100 de 1993 y que de igual manera, la acción de tutela se torna improcedente para esta especie de solicitud. </w:t>
      </w:r>
    </w:p>
    <w:p w:rsidR="00E35D8D" w:rsidRDefault="00E35D8D" w:rsidP="00E35D8D">
      <w:pPr>
        <w:pStyle w:val="Corpsdetexte21"/>
        <w:spacing w:line="276" w:lineRule="auto"/>
        <w:rPr>
          <w:rFonts w:ascii="Gadugi" w:hAnsi="Gadugi" w:cs="Century Gothic"/>
          <w:szCs w:val="24"/>
          <w:lang w:val="es-CO"/>
        </w:rPr>
      </w:pPr>
    </w:p>
    <w:p w:rsidR="00E35D8D" w:rsidRDefault="00E35D8D" w:rsidP="00E35D8D">
      <w:pPr>
        <w:pStyle w:val="Corpsdetexte21"/>
        <w:spacing w:line="276" w:lineRule="auto"/>
        <w:rPr>
          <w:rFonts w:ascii="Gadugi" w:hAnsi="Gadugi" w:cs="Century Gothic"/>
          <w:szCs w:val="24"/>
          <w:lang w:val="es-CO"/>
        </w:rPr>
      </w:pPr>
      <w:r>
        <w:rPr>
          <w:rFonts w:ascii="Gadugi" w:hAnsi="Gadugi" w:cs="Century Gothic"/>
          <w:szCs w:val="24"/>
          <w:lang w:val="es-CO"/>
        </w:rPr>
        <w:t xml:space="preserve">Con esas respuestas, se tuvo por vinculado al asunto al </w:t>
      </w:r>
      <w:proofErr w:type="spellStart"/>
      <w:r>
        <w:rPr>
          <w:rFonts w:ascii="Gadugi" w:hAnsi="Gadugi" w:cs="Century Gothic"/>
          <w:szCs w:val="24"/>
          <w:lang w:val="es-CO"/>
        </w:rPr>
        <w:t>PARISS</w:t>
      </w:r>
      <w:proofErr w:type="spellEnd"/>
      <w:r>
        <w:rPr>
          <w:rFonts w:ascii="Gadugi" w:hAnsi="Gadugi" w:cs="Century Gothic"/>
          <w:szCs w:val="24"/>
          <w:lang w:val="es-CO"/>
        </w:rPr>
        <w:t xml:space="preserve"> y se procedió a vincular a la Subdirección de Determinación de Derechos Pensionales y a la Dirección de Pensiones de la </w:t>
      </w:r>
      <w:proofErr w:type="spellStart"/>
      <w:r>
        <w:rPr>
          <w:rFonts w:ascii="Gadugi" w:hAnsi="Gadugi" w:cs="Century Gothic"/>
          <w:szCs w:val="24"/>
          <w:lang w:val="es-CO"/>
        </w:rPr>
        <w:t>UGPP</w:t>
      </w:r>
      <w:proofErr w:type="spellEnd"/>
      <w:r>
        <w:rPr>
          <w:rFonts w:ascii="Gadugi" w:hAnsi="Gadugi" w:cs="Century Gothic"/>
          <w:szCs w:val="24"/>
          <w:lang w:val="es-CO"/>
        </w:rPr>
        <w:t>. Se pronunció el Subdirector Jurídico Pensional de esta Unidad, para hacer extensiva la respuesta ya brindada en torno a esta nueva citación.</w:t>
      </w:r>
    </w:p>
    <w:p w:rsidR="00E35D8D" w:rsidRDefault="00E35D8D" w:rsidP="00E35D8D">
      <w:pPr>
        <w:pStyle w:val="Corpsdetexte21"/>
        <w:spacing w:line="276" w:lineRule="auto"/>
        <w:rPr>
          <w:rFonts w:ascii="Gadugi" w:hAnsi="Gadugi" w:cs="Century Gothic"/>
          <w:szCs w:val="24"/>
          <w:lang w:val="es-CO"/>
        </w:rPr>
      </w:pPr>
    </w:p>
    <w:p w:rsidR="00E35D8D" w:rsidRDefault="00E35D8D" w:rsidP="00E35D8D">
      <w:pPr>
        <w:pStyle w:val="Corpsdetexte21"/>
        <w:spacing w:line="276" w:lineRule="auto"/>
        <w:rPr>
          <w:rFonts w:ascii="Gadugi" w:hAnsi="Gadugi" w:cs="Century Gothic"/>
          <w:szCs w:val="24"/>
          <w:lang w:val="es-419"/>
        </w:rPr>
      </w:pPr>
      <w:r>
        <w:rPr>
          <w:rFonts w:ascii="Gadugi" w:hAnsi="Gadugi" w:cs="Century Gothic"/>
          <w:szCs w:val="24"/>
          <w:lang w:val="es-CO"/>
        </w:rPr>
        <w:t xml:space="preserve">El Vicepresidente Jurídico y Secretario General de </w:t>
      </w:r>
      <w:proofErr w:type="spellStart"/>
      <w:r>
        <w:rPr>
          <w:rFonts w:ascii="Gadugi" w:hAnsi="Gadugi" w:cs="Century Gothic"/>
          <w:szCs w:val="24"/>
          <w:lang w:val="es-CO"/>
        </w:rPr>
        <w:t>COLPENSIONES</w:t>
      </w:r>
      <w:proofErr w:type="spellEnd"/>
      <w:r>
        <w:rPr>
          <w:rFonts w:ascii="Gadugi" w:hAnsi="Gadugi" w:cs="Century Gothic"/>
          <w:szCs w:val="24"/>
          <w:lang w:val="es-CO"/>
        </w:rPr>
        <w:t xml:space="preserve">, expresó que </w:t>
      </w:r>
      <w:r>
        <w:rPr>
          <w:rFonts w:ascii="Gadugi" w:hAnsi="Gadugi" w:cs="Century Gothic"/>
          <w:szCs w:val="24"/>
          <w:lang w:val="es-419"/>
        </w:rPr>
        <w:t xml:space="preserve">la entidad solo </w:t>
      </w:r>
      <w:r>
        <w:rPr>
          <w:rFonts w:ascii="Gadugi" w:hAnsi="Gadugi" w:cs="Century Gothic"/>
          <w:szCs w:val="24"/>
          <w:lang w:val="es-CO"/>
        </w:rPr>
        <w:t>puede asumir asuntos relativos a la administración del régimen de prima media con prestación definida en materia pensional</w:t>
      </w:r>
      <w:r>
        <w:rPr>
          <w:rFonts w:ascii="Gadugi" w:hAnsi="Gadugi" w:cs="Century Gothic"/>
          <w:szCs w:val="24"/>
          <w:lang w:val="es-419"/>
        </w:rPr>
        <w:t xml:space="preserve">, </w:t>
      </w:r>
      <w:r>
        <w:rPr>
          <w:rFonts w:ascii="Gadugi" w:hAnsi="Gadugi" w:cs="Century Gothic"/>
          <w:szCs w:val="24"/>
          <w:lang w:val="es-CO"/>
        </w:rPr>
        <w:t>por lo que no tiene responsabilidad en la trasgresión que se alega</w:t>
      </w:r>
      <w:r>
        <w:rPr>
          <w:rFonts w:ascii="Gadugi" w:hAnsi="Gadugi" w:cs="Century Gothic"/>
          <w:szCs w:val="24"/>
          <w:lang w:val="es-419"/>
        </w:rPr>
        <w:t>.</w:t>
      </w:r>
    </w:p>
    <w:p w:rsidR="00E35D8D" w:rsidRDefault="00E35D8D" w:rsidP="00E35D8D">
      <w:pPr>
        <w:pStyle w:val="Corpsdetexte21"/>
        <w:spacing w:line="276" w:lineRule="auto"/>
        <w:rPr>
          <w:rFonts w:ascii="Gadugi" w:hAnsi="Gadugi" w:cs="Century Gothic"/>
          <w:szCs w:val="24"/>
          <w:lang w:val="es-CO"/>
        </w:rPr>
      </w:pPr>
      <w:r>
        <w:rPr>
          <w:rFonts w:ascii="Gadugi" w:hAnsi="Gadugi" w:cs="Century Gothic"/>
          <w:szCs w:val="24"/>
          <w:lang w:val="es-CO"/>
        </w:rPr>
        <w:t xml:space="preserve"> </w:t>
      </w:r>
    </w:p>
    <w:p w:rsidR="00E35D8D" w:rsidRDefault="00E35D8D" w:rsidP="00E35D8D">
      <w:pPr>
        <w:pStyle w:val="Corpsdetexte21"/>
        <w:spacing w:line="276" w:lineRule="auto"/>
        <w:rPr>
          <w:rFonts w:ascii="Gadugi" w:hAnsi="Gadugi" w:cs="Century Gothic"/>
          <w:szCs w:val="24"/>
          <w:lang w:val="es-CO"/>
        </w:rPr>
      </w:pPr>
      <w:r>
        <w:rPr>
          <w:rFonts w:ascii="Gadugi" w:hAnsi="Gadugi" w:cs="Century Gothic"/>
          <w:szCs w:val="24"/>
          <w:lang w:val="es-CO"/>
        </w:rPr>
        <w:t>Finalmente, el coordinador Grupo Procesos Judiciales del Ministerio de Agricultura, se opuso a las pretensiones, como quiera que mediante oficio del 5 de diciembre de 2016 dio respuesta de fondo al accionante y explicó lo relacionado con el bono tipo B de que da cuenta la demanda, y no es el competente para promover expedición y emisión de alguno, ni para devolución de aportes.</w:t>
      </w:r>
    </w:p>
    <w:p w:rsidR="00E35D8D" w:rsidRPr="001409E7" w:rsidRDefault="00E35D8D" w:rsidP="00E35D8D">
      <w:pPr>
        <w:pStyle w:val="Corpsdetexte21"/>
        <w:spacing w:line="276" w:lineRule="auto"/>
        <w:rPr>
          <w:rFonts w:ascii="Gadugi" w:hAnsi="Gadugi" w:cs="Century Gothic"/>
          <w:szCs w:val="24"/>
          <w:lang w:val="es-CO"/>
        </w:rPr>
      </w:pPr>
    </w:p>
    <w:p w:rsidR="00E35D8D" w:rsidRPr="00FE5CA6" w:rsidRDefault="00E35D8D" w:rsidP="00E35D8D">
      <w:pPr>
        <w:spacing w:line="276" w:lineRule="auto"/>
        <w:ind w:firstLine="2835"/>
        <w:jc w:val="both"/>
        <w:rPr>
          <w:rFonts w:ascii="Gadugi" w:hAnsi="Gadugi" w:cs="Arial"/>
          <w:b/>
          <w:bCs/>
          <w:sz w:val="24"/>
          <w:szCs w:val="24"/>
        </w:rPr>
      </w:pPr>
      <w:r w:rsidRPr="00FE5CA6">
        <w:rPr>
          <w:rFonts w:ascii="Gadugi" w:hAnsi="Gadugi" w:cs="Arial"/>
          <w:b/>
          <w:bCs/>
          <w:sz w:val="24"/>
          <w:szCs w:val="24"/>
        </w:rPr>
        <w:lastRenderedPageBreak/>
        <w:t>CONSIDERACIONES</w:t>
      </w:r>
    </w:p>
    <w:p w:rsidR="00E35D8D" w:rsidRDefault="00E35D8D" w:rsidP="00E35D8D">
      <w:pPr>
        <w:spacing w:line="276" w:lineRule="auto"/>
        <w:ind w:right="334"/>
        <w:jc w:val="both"/>
        <w:rPr>
          <w:rFonts w:ascii="Gadugi" w:hAnsi="Gadugi" w:cs="Arial"/>
          <w:sz w:val="24"/>
          <w:szCs w:val="24"/>
        </w:rPr>
      </w:pPr>
    </w:p>
    <w:p w:rsidR="00E35D8D" w:rsidRPr="00FE5CA6" w:rsidRDefault="00E35D8D" w:rsidP="00E35D8D">
      <w:pPr>
        <w:spacing w:line="276" w:lineRule="auto"/>
        <w:ind w:firstLine="2835"/>
        <w:jc w:val="both"/>
        <w:rPr>
          <w:rFonts w:ascii="Gadugi" w:hAnsi="Gadugi"/>
          <w:bCs/>
          <w:sz w:val="24"/>
          <w:szCs w:val="24"/>
        </w:rPr>
      </w:pPr>
      <w:r w:rsidRPr="00FE5CA6">
        <w:rPr>
          <w:rFonts w:ascii="Gadugi" w:hAnsi="Gadugi"/>
          <w:bCs/>
          <w:sz w:val="24"/>
          <w:szCs w:val="24"/>
        </w:rPr>
        <w:t xml:space="preserve">Se tiene que desde 1991 impera en nuestro sistema jurídico la acción de tutela como un mecanismo constitucional que, de acuerdo con el artículo 86 de </w:t>
      </w:r>
      <w:smartTag w:uri="urn:schemas-microsoft-com:office:smarttags" w:element="metricconverter">
        <w:smartTagPr>
          <w:attr w:name="ProductID" w:val="la Carta"/>
        </w:smartTagPr>
        <w:r w:rsidRPr="00FE5CA6">
          <w:rPr>
            <w:rFonts w:ascii="Gadugi" w:hAnsi="Gadugi"/>
            <w:bCs/>
            <w:sz w:val="24"/>
            <w:szCs w:val="24"/>
          </w:rPr>
          <w:t>la Carta</w:t>
        </w:r>
      </w:smartTag>
      <w:r w:rsidRPr="00FE5CA6">
        <w:rPr>
          <w:rFonts w:ascii="Gadugi" w:hAnsi="Gadugi"/>
          <w:bCs/>
          <w:sz w:val="24"/>
          <w:szCs w:val="24"/>
        </w:rPr>
        <w:t xml:space="preserve">, le permite a toda persona acudir a un juez para conseguir la protección de sus derechos fundamentales, siempre que ellos estén siendo amenazados o vulnerados por una autoridad, y en algunos casos por particulares. </w:t>
      </w:r>
    </w:p>
    <w:p w:rsidR="00E35D8D" w:rsidRPr="00FE5CA6" w:rsidRDefault="00E35D8D" w:rsidP="00E35D8D">
      <w:pPr>
        <w:spacing w:line="276" w:lineRule="auto"/>
        <w:ind w:right="334"/>
        <w:jc w:val="both"/>
        <w:rPr>
          <w:rFonts w:ascii="Gadugi" w:hAnsi="Gadugi" w:cs="Arial"/>
          <w:sz w:val="24"/>
          <w:szCs w:val="24"/>
        </w:rPr>
      </w:pPr>
    </w:p>
    <w:p w:rsidR="00E35D8D" w:rsidRPr="00FE5CA6" w:rsidRDefault="00E35D8D" w:rsidP="00E35D8D">
      <w:pPr>
        <w:pStyle w:val="Corpsdetexte21"/>
        <w:spacing w:line="276" w:lineRule="auto"/>
        <w:ind w:right="334"/>
        <w:rPr>
          <w:rFonts w:ascii="Gadugi" w:hAnsi="Gadugi" w:cs="Arial"/>
          <w:szCs w:val="24"/>
        </w:rPr>
      </w:pPr>
      <w:r w:rsidRPr="00FE5CA6">
        <w:rPr>
          <w:rFonts w:ascii="Gadugi" w:hAnsi="Gadugi" w:cs="Arial"/>
          <w:szCs w:val="24"/>
        </w:rPr>
        <w:t xml:space="preserve">Se acude en esta ocasión ante el juez constitucional con el fin de que protejan los derechos fundamentales arriba señalados y que Juan María Duque Uribe, estima vulnerados por las entidades a las que demandó, atendiendo, según se desprende del trámite adelantado, frente a la negativa que se produjo frente a la negativa de la solicitud de indemnización sustitutiva por pensión de vejez que elevó, resuelta, en últimas por la </w:t>
      </w:r>
      <w:proofErr w:type="spellStart"/>
      <w:r w:rsidRPr="00FE5CA6">
        <w:rPr>
          <w:rFonts w:ascii="Gadugi" w:hAnsi="Gadugi" w:cs="Arial"/>
          <w:szCs w:val="24"/>
        </w:rPr>
        <w:t>UGPP</w:t>
      </w:r>
      <w:proofErr w:type="spellEnd"/>
      <w:r w:rsidRPr="00FE5CA6">
        <w:rPr>
          <w:rFonts w:ascii="Gadugi" w:hAnsi="Gadugi" w:cs="Arial"/>
          <w:szCs w:val="24"/>
        </w:rPr>
        <w:t>.</w:t>
      </w:r>
    </w:p>
    <w:p w:rsidR="00E35D8D" w:rsidRPr="00FE5CA6" w:rsidRDefault="00E35D8D" w:rsidP="00E35D8D">
      <w:pPr>
        <w:pStyle w:val="Corpsdetexte21"/>
        <w:spacing w:line="276" w:lineRule="auto"/>
        <w:ind w:right="334"/>
        <w:rPr>
          <w:rFonts w:ascii="Gadugi" w:hAnsi="Gadugi" w:cs="Arial"/>
          <w:szCs w:val="24"/>
        </w:rPr>
      </w:pPr>
    </w:p>
    <w:p w:rsidR="00E35D8D" w:rsidRPr="00FE5CA6" w:rsidRDefault="00E35D8D" w:rsidP="00E35D8D">
      <w:pPr>
        <w:spacing w:line="276" w:lineRule="auto"/>
        <w:ind w:right="334" w:firstLine="2835"/>
        <w:jc w:val="both"/>
        <w:rPr>
          <w:rFonts w:ascii="Gadugi" w:hAnsi="Gadugi" w:cs="Century Gothic"/>
          <w:sz w:val="24"/>
          <w:szCs w:val="24"/>
        </w:rPr>
      </w:pPr>
      <w:r>
        <w:rPr>
          <w:rFonts w:ascii="Gadugi" w:hAnsi="Gadugi" w:cs="Century Gothic"/>
          <w:sz w:val="24"/>
          <w:szCs w:val="24"/>
          <w:lang w:val="es-419"/>
        </w:rPr>
        <w:t xml:space="preserve">De acuerdo con lo que enseña el expediente, el amparo no puede salir avante, </w:t>
      </w:r>
      <w:r w:rsidRPr="00FE5CA6">
        <w:rPr>
          <w:rFonts w:ascii="Gadugi" w:hAnsi="Gadugi" w:cs="Century Gothic"/>
          <w:sz w:val="24"/>
          <w:szCs w:val="24"/>
        </w:rPr>
        <w:t xml:space="preserve">porque </w:t>
      </w:r>
      <w:r>
        <w:rPr>
          <w:rFonts w:ascii="Gadugi" w:hAnsi="Gadugi" w:cs="Century Gothic"/>
          <w:sz w:val="24"/>
          <w:szCs w:val="24"/>
          <w:lang w:val="es-419"/>
        </w:rPr>
        <w:t>es conocido que</w:t>
      </w:r>
      <w:r w:rsidRPr="00FE5CA6">
        <w:rPr>
          <w:rFonts w:ascii="Gadugi" w:hAnsi="Gadugi" w:cs="Century Gothic"/>
          <w:sz w:val="24"/>
          <w:szCs w:val="24"/>
        </w:rPr>
        <w:t xml:space="preserve"> la acción de tutela tiene naturaleza residual, de manera que se torna improcedente</w:t>
      </w:r>
      <w:r>
        <w:rPr>
          <w:rFonts w:ascii="Gadugi" w:hAnsi="Gadugi" w:cs="Century Gothic"/>
          <w:sz w:val="24"/>
          <w:szCs w:val="24"/>
          <w:lang w:val="es-419"/>
        </w:rPr>
        <w:t xml:space="preserve"> </w:t>
      </w:r>
      <w:r w:rsidRPr="00FE5CA6">
        <w:rPr>
          <w:rFonts w:ascii="Gadugi" w:hAnsi="Gadugi" w:cs="Century Gothic"/>
          <w:sz w:val="24"/>
          <w:szCs w:val="24"/>
        </w:rPr>
        <w:t>cuando el afectado cuenta con otro mecanismo de defensa judicial</w:t>
      </w:r>
      <w:r>
        <w:rPr>
          <w:rFonts w:ascii="Gadugi" w:hAnsi="Gadugi" w:cs="Century Gothic"/>
          <w:sz w:val="24"/>
          <w:szCs w:val="24"/>
          <w:lang w:val="es-419"/>
        </w:rPr>
        <w:t xml:space="preserve"> (numeral  1°, art. 6, D. 2591 de 1991)</w:t>
      </w:r>
      <w:r w:rsidRPr="00FE5CA6">
        <w:rPr>
          <w:rFonts w:ascii="Gadugi" w:hAnsi="Gadugi" w:cs="Century Gothic"/>
          <w:sz w:val="24"/>
          <w:szCs w:val="24"/>
        </w:rPr>
        <w:t>. En virtud de esa connotación reiteradamente se ha sostenido que en asuntos laborales quien se crea con derecho a reclamar un determinado beneficio debe acudir a las vías ordinarias, esto es, ante los jueces laborales o ante la jurisdicción de lo contencioso administrativo, según sea el caso.</w:t>
      </w:r>
    </w:p>
    <w:p w:rsidR="00E35D8D" w:rsidRPr="00FE5CA6" w:rsidRDefault="00E35D8D" w:rsidP="00E35D8D">
      <w:pPr>
        <w:spacing w:line="276" w:lineRule="auto"/>
        <w:ind w:right="334" w:firstLine="2835"/>
        <w:jc w:val="both"/>
        <w:rPr>
          <w:rFonts w:ascii="Gadugi" w:hAnsi="Gadugi" w:cs="Century Gothic"/>
          <w:sz w:val="24"/>
          <w:szCs w:val="24"/>
        </w:rPr>
      </w:pPr>
    </w:p>
    <w:p w:rsidR="00E35D8D" w:rsidRDefault="00E35D8D" w:rsidP="00E35D8D">
      <w:pPr>
        <w:spacing w:line="276" w:lineRule="auto"/>
        <w:ind w:right="334" w:firstLine="2835"/>
        <w:jc w:val="both"/>
        <w:rPr>
          <w:rFonts w:ascii="Gadugi" w:hAnsi="Gadugi" w:cs="Century Gothic"/>
          <w:sz w:val="24"/>
          <w:szCs w:val="24"/>
          <w:lang w:val="es-419"/>
        </w:rPr>
      </w:pPr>
      <w:r w:rsidRPr="00FE5CA6">
        <w:rPr>
          <w:rFonts w:ascii="Gadugi" w:hAnsi="Gadugi" w:cs="Century Gothic"/>
          <w:sz w:val="24"/>
          <w:szCs w:val="24"/>
        </w:rPr>
        <w:t xml:space="preserve">Y aunque es cierto que en algunos casos en los que resulte involucrado un derecho fundamental y su desconocimiento acarree un perjuicio irremediable, aun para la adquisición de un beneficio laboral puede acudirse a este instrumento excepcional de la tutela, para que ello ocurra, como lo ha venido reiterando la jurisprudencia constitucional, como se trata de una controversia que versa sobre la legalidad de actos o pronunciamientos que niegan la prestación reclamada por el demandante, en las que si bien, no es de su resorte soportar problemas inter-administrativos, es necesario </w:t>
      </w:r>
      <w:r>
        <w:rPr>
          <w:rFonts w:ascii="Gadugi" w:hAnsi="Gadugi" w:cs="Century Gothic"/>
          <w:sz w:val="24"/>
          <w:szCs w:val="24"/>
          <w:lang w:val="es-419"/>
        </w:rPr>
        <w:t>valorar las condiciones particulares del afectado. Recientemente recordó:</w:t>
      </w:r>
    </w:p>
    <w:p w:rsidR="00E35D8D" w:rsidRDefault="00E35D8D" w:rsidP="00E35D8D">
      <w:pPr>
        <w:spacing w:line="276" w:lineRule="auto"/>
        <w:ind w:right="334" w:firstLine="2835"/>
        <w:jc w:val="both"/>
        <w:rPr>
          <w:rFonts w:ascii="Gadugi" w:hAnsi="Gadugi" w:cs="Century Gothic"/>
          <w:sz w:val="24"/>
          <w:szCs w:val="24"/>
          <w:lang w:val="es-419"/>
        </w:rPr>
      </w:pPr>
    </w:p>
    <w:p w:rsidR="00E35D8D" w:rsidRPr="00241988" w:rsidRDefault="00E35D8D" w:rsidP="00E35D8D">
      <w:pPr>
        <w:widowControl w:val="0"/>
        <w:ind w:left="851" w:right="618" w:firstLine="1984"/>
        <w:jc w:val="both"/>
        <w:rPr>
          <w:rFonts w:ascii="Arial Narrow" w:hAnsi="Arial Narrow"/>
          <w:b/>
          <w:bCs/>
          <w:sz w:val="24"/>
          <w:szCs w:val="24"/>
          <w:lang w:val="es-ES_tradnl"/>
        </w:rPr>
      </w:pPr>
      <w:r w:rsidRPr="00241988">
        <w:rPr>
          <w:rFonts w:ascii="Arial Narrow" w:hAnsi="Arial Narrow"/>
          <w:b/>
          <w:bCs/>
          <w:sz w:val="24"/>
          <w:szCs w:val="24"/>
          <w:lang w:val="es-ES_tradnl"/>
        </w:rPr>
        <w:t>4. Procedencia excepcional de la acción de tutela en materia de reconocimiento de prestaciones de carácter pensional</w:t>
      </w:r>
      <w:r w:rsidRPr="00241988">
        <w:rPr>
          <w:rFonts w:ascii="Arial Narrow" w:hAnsi="Arial Narrow"/>
          <w:b/>
          <w:bCs/>
          <w:sz w:val="24"/>
          <w:szCs w:val="24"/>
          <w:vertAlign w:val="superscript"/>
          <w:lang w:val="es-ES_tradnl"/>
        </w:rPr>
        <w:footnoteReference w:id="1"/>
      </w:r>
      <w:r w:rsidRPr="00241988">
        <w:rPr>
          <w:rFonts w:ascii="Arial Narrow" w:hAnsi="Arial Narrow"/>
          <w:b/>
          <w:bCs/>
          <w:sz w:val="24"/>
          <w:szCs w:val="24"/>
          <w:lang w:val="es-ES_tradnl"/>
        </w:rPr>
        <w:t>. Reiteración de jurisprudencia</w:t>
      </w:r>
    </w:p>
    <w:p w:rsidR="00E35D8D" w:rsidRPr="00241988" w:rsidRDefault="00E35D8D" w:rsidP="00E35D8D">
      <w:pPr>
        <w:widowControl w:val="0"/>
        <w:ind w:left="851" w:right="618" w:firstLine="1984"/>
        <w:jc w:val="both"/>
        <w:rPr>
          <w:rFonts w:ascii="Arial Narrow" w:hAnsi="Arial Narrow"/>
          <w:sz w:val="24"/>
          <w:szCs w:val="24"/>
          <w:lang w:val="es-ES_tradnl"/>
        </w:rPr>
      </w:pPr>
    </w:p>
    <w:p w:rsidR="00E35D8D" w:rsidRPr="00AC62FB" w:rsidRDefault="00E35D8D" w:rsidP="00E35D8D">
      <w:pPr>
        <w:widowControl w:val="0"/>
        <w:ind w:left="851" w:right="618" w:firstLine="1984"/>
        <w:jc w:val="both"/>
        <w:rPr>
          <w:rFonts w:ascii="Arial Narrow" w:hAnsi="Arial Narrow"/>
          <w:sz w:val="24"/>
          <w:szCs w:val="24"/>
          <w:lang w:val="es-419"/>
        </w:rPr>
      </w:pPr>
      <w:r>
        <w:rPr>
          <w:rFonts w:ascii="Arial Narrow" w:hAnsi="Arial Narrow"/>
          <w:sz w:val="24"/>
          <w:szCs w:val="24"/>
          <w:lang w:val="es-419"/>
        </w:rPr>
        <w:t>…</w:t>
      </w:r>
    </w:p>
    <w:p w:rsidR="00E35D8D" w:rsidRPr="00241988" w:rsidRDefault="00E35D8D" w:rsidP="00E35D8D">
      <w:pPr>
        <w:widowControl w:val="0"/>
        <w:ind w:left="851" w:right="618" w:firstLine="1984"/>
        <w:jc w:val="both"/>
        <w:rPr>
          <w:rFonts w:ascii="Arial Narrow" w:hAnsi="Arial Narrow"/>
          <w:sz w:val="24"/>
          <w:szCs w:val="24"/>
          <w:lang w:val="es-ES_tradnl"/>
        </w:rPr>
      </w:pPr>
      <w:r w:rsidRPr="00241988">
        <w:rPr>
          <w:rFonts w:ascii="Arial Narrow" w:hAnsi="Arial Narrow"/>
          <w:sz w:val="24"/>
          <w:szCs w:val="24"/>
          <w:lang w:val="es-ES_tradnl"/>
        </w:rPr>
        <w:lastRenderedPageBreak/>
        <w:t>Así pues, tratándose del reconocimiento de prestaciones laborales, particularmente, en materia de pensiones, la jurisprudencia constitucional ha sentado una sólida doctrina conforme a la cual, en principio, la acción de tutela resulta improcedente para este propósito, por encontrarse comprometidos derechos litigiosos de naturaleza legal y de desarrollo progresivo, cuya protección debe procurarse a través de las acciones laborales –ordinarias o contenciosas–, según el caso. No obstante, de manera excepcional, se ha admitido su procedencia, cuando tales acciones pierden eficacia jurídica para alcanzar el objeto que buscan proteger, concretamente, cuando un análisis de las circunstancias fácticas del caso o de la situación particular de quien solicita el amparo así lo determina. En estos eventos, la controversia suscitada puede desbordar el marco meramente legal y pasar a convertirse en un problema de índole constitucional, siendo necesaria la intervención del juez de tutela.</w:t>
      </w:r>
    </w:p>
    <w:p w:rsidR="00E35D8D" w:rsidRPr="00241988" w:rsidRDefault="00E35D8D" w:rsidP="00E35D8D">
      <w:pPr>
        <w:widowControl w:val="0"/>
        <w:ind w:left="851" w:right="618" w:firstLine="1984"/>
        <w:jc w:val="both"/>
        <w:rPr>
          <w:rFonts w:ascii="Arial Narrow" w:hAnsi="Arial Narrow"/>
          <w:sz w:val="24"/>
          <w:szCs w:val="24"/>
          <w:lang w:val="es-ES_tradnl"/>
        </w:rPr>
      </w:pPr>
    </w:p>
    <w:p w:rsidR="00E35D8D" w:rsidRPr="00241988" w:rsidRDefault="00E35D8D" w:rsidP="00E35D8D">
      <w:pPr>
        <w:widowControl w:val="0"/>
        <w:ind w:left="851" w:right="618" w:firstLine="1984"/>
        <w:jc w:val="both"/>
        <w:rPr>
          <w:rFonts w:ascii="Arial Narrow" w:hAnsi="Arial Narrow"/>
          <w:sz w:val="24"/>
          <w:szCs w:val="24"/>
          <w:lang w:val="es-ES_tradnl"/>
        </w:rPr>
      </w:pPr>
      <w:r w:rsidRPr="00241988">
        <w:rPr>
          <w:rFonts w:ascii="Arial Narrow" w:hAnsi="Arial Narrow"/>
          <w:sz w:val="24"/>
          <w:szCs w:val="24"/>
          <w:lang w:val="es-ES_tradnl"/>
        </w:rPr>
        <w:t xml:space="preserve">Bajo esa premisa, esta Corporación ha admitido la procedencia de la acción de tutela para el reconocimiento de pensiones, cuando el titular del derecho en discusión es un sujeto de especial protección constitucional o que por su condición económica, física o mental se encuentra en situación de debilidad manifiesta, lo que permite otorgarle un tratamiento especial y preferente respecto de los demás miembros de la sociedad, dado que someterlo a los rigores de un proceso judicial puede resultar desproporcionado y altamente lesivo de sus garantías fundamentales.  </w:t>
      </w:r>
    </w:p>
    <w:p w:rsidR="00E35D8D" w:rsidRPr="00241988" w:rsidRDefault="00E35D8D" w:rsidP="00E35D8D">
      <w:pPr>
        <w:widowControl w:val="0"/>
        <w:ind w:left="851" w:right="618" w:firstLine="1984"/>
        <w:jc w:val="both"/>
        <w:rPr>
          <w:rFonts w:ascii="Arial Narrow" w:hAnsi="Arial Narrow"/>
          <w:sz w:val="24"/>
          <w:szCs w:val="24"/>
          <w:lang w:val="es-ES_tradnl"/>
        </w:rPr>
      </w:pPr>
    </w:p>
    <w:p w:rsidR="00E35D8D" w:rsidRPr="00241988" w:rsidRDefault="00E35D8D" w:rsidP="00E35D8D">
      <w:pPr>
        <w:widowControl w:val="0"/>
        <w:ind w:left="851" w:right="618" w:firstLine="1984"/>
        <w:jc w:val="both"/>
        <w:rPr>
          <w:rFonts w:ascii="Arial Narrow" w:hAnsi="Arial Narrow"/>
          <w:sz w:val="24"/>
          <w:szCs w:val="24"/>
          <w:vertAlign w:val="superscript"/>
          <w:lang w:val="es-ES_tradnl"/>
        </w:rPr>
      </w:pPr>
      <w:r w:rsidRPr="00241988">
        <w:rPr>
          <w:rFonts w:ascii="Arial Narrow" w:hAnsi="Arial Narrow"/>
          <w:sz w:val="24"/>
          <w:szCs w:val="24"/>
          <w:lang w:val="es-ES_tradnl"/>
        </w:rPr>
        <w:t xml:space="preserve">No obstante, es menester aclarar en este punto que la condición de sujeto de especial protección constitucional no constituye </w:t>
      </w:r>
      <w:r w:rsidRPr="00241988">
        <w:rPr>
          <w:rFonts w:ascii="Arial Narrow" w:hAnsi="Arial Narrow"/>
          <w:i/>
          <w:iCs/>
          <w:sz w:val="24"/>
          <w:szCs w:val="24"/>
          <w:lang w:val="es-ES_tradnl"/>
        </w:rPr>
        <w:t>per se</w:t>
      </w:r>
      <w:r w:rsidRPr="00241988">
        <w:rPr>
          <w:rFonts w:ascii="Arial Narrow" w:hAnsi="Arial Narrow"/>
          <w:sz w:val="24"/>
          <w:szCs w:val="24"/>
          <w:lang w:val="es-ES_tradnl"/>
        </w:rPr>
        <w:t xml:space="preserve"> razón suficiente para admitir la procedencia de la acción de tutela. En efecto, reiterando lo expuesto por la Corte en distintos pronunciamientos sobre la materia, para que el mecanismo de amparo constitucional pueda desplazar la labor del juez ordinario o contencioso, según se trate, es también necesario acreditar, por una parte, la ocurrencia de un perjuicio irremediable derivado de la amenaza, vulneración o afectación de derechos fundamentales como la vida digna, el mínimo vital y la salud; y, por otra, que acudir a otra vía judicial puede comprometer aún más sus derechos fundamentales.</w:t>
      </w:r>
      <w:r w:rsidRPr="00241988">
        <w:rPr>
          <w:rFonts w:ascii="Arial Narrow" w:hAnsi="Arial Narrow"/>
          <w:sz w:val="24"/>
          <w:szCs w:val="24"/>
          <w:vertAlign w:val="superscript"/>
          <w:lang w:val="es-ES_tradnl"/>
        </w:rPr>
        <w:t xml:space="preserve"> </w:t>
      </w:r>
    </w:p>
    <w:p w:rsidR="00E35D8D" w:rsidRPr="00241988" w:rsidRDefault="00E35D8D" w:rsidP="00E35D8D">
      <w:pPr>
        <w:widowControl w:val="0"/>
        <w:ind w:left="851" w:right="618" w:firstLine="1984"/>
        <w:jc w:val="both"/>
        <w:rPr>
          <w:rFonts w:ascii="Arial Narrow" w:hAnsi="Arial Narrow"/>
          <w:sz w:val="24"/>
          <w:szCs w:val="24"/>
          <w:lang w:val="es-ES_tradnl"/>
        </w:rPr>
      </w:pPr>
    </w:p>
    <w:p w:rsidR="00E35D8D" w:rsidRPr="00AC62FB" w:rsidRDefault="00E35D8D" w:rsidP="00E35D8D">
      <w:pPr>
        <w:widowControl w:val="0"/>
        <w:ind w:left="851" w:right="618" w:firstLine="1984"/>
        <w:jc w:val="both"/>
        <w:rPr>
          <w:rFonts w:ascii="Arial Narrow" w:hAnsi="Arial Narrow"/>
          <w:sz w:val="24"/>
          <w:szCs w:val="24"/>
          <w:lang w:val="es-419"/>
        </w:rPr>
      </w:pPr>
      <w:r w:rsidRPr="00241988">
        <w:rPr>
          <w:rFonts w:ascii="Arial Narrow" w:hAnsi="Arial Narrow"/>
          <w:sz w:val="24"/>
          <w:szCs w:val="24"/>
          <w:lang w:val="es-ES_tradnl"/>
        </w:rPr>
        <w:t>Así las cosas, por regla general, la acción de tutela es improcedente para obtener el reconocimiento y pago de prestaciones de carácter pensional, por cuanto para ello el legislador ha previsto otros medios judiciales de defensa. Sin embargo, tratándose de sujetos que por su condición económica, física o mental se encuentren en circunstancia de debilidad manifiesta, la misma será procedente para estos efectos, siempre y cuando este acreditada la ocurrencia de un perjuicio irremediable, derivado de la amenaza, vulneración o grave afectación de derechos de raigambre fundamental, que no puedan ser protegidos oportunamente a través de dichos mecanismos, de manera tal que se entienda que estos han perdido toda su eficacia material y jurídica</w:t>
      </w:r>
      <w:r w:rsidRPr="00AC62FB">
        <w:rPr>
          <w:rStyle w:val="Appelnotedebasdep"/>
          <w:rFonts w:ascii="Gadugi" w:hAnsi="Gadugi" w:cs="Century Gothic"/>
          <w:iCs/>
          <w:sz w:val="24"/>
          <w:szCs w:val="24"/>
        </w:rPr>
        <w:footnoteReference w:id="2"/>
      </w:r>
      <w:r>
        <w:rPr>
          <w:rFonts w:ascii="Arial Narrow" w:hAnsi="Arial Narrow"/>
          <w:sz w:val="24"/>
          <w:szCs w:val="24"/>
          <w:lang w:val="es-419"/>
        </w:rPr>
        <w:t>.</w:t>
      </w:r>
    </w:p>
    <w:p w:rsidR="00E35D8D" w:rsidRPr="00FE5CA6" w:rsidRDefault="00E35D8D" w:rsidP="00E35D8D">
      <w:pPr>
        <w:spacing w:line="276" w:lineRule="auto"/>
        <w:ind w:right="334" w:firstLine="2835"/>
        <w:jc w:val="both"/>
        <w:rPr>
          <w:rFonts w:ascii="Gadugi" w:hAnsi="Gadugi" w:cs="Century Gothic"/>
          <w:sz w:val="24"/>
          <w:szCs w:val="24"/>
        </w:rPr>
      </w:pPr>
    </w:p>
    <w:p w:rsidR="00E35D8D" w:rsidRPr="00A24FCD" w:rsidRDefault="00E35D8D" w:rsidP="00E35D8D">
      <w:pPr>
        <w:spacing w:line="276" w:lineRule="auto"/>
        <w:jc w:val="both"/>
        <w:rPr>
          <w:rFonts w:ascii="Gadugi" w:hAnsi="Gadugi" w:cs="Arial"/>
          <w:sz w:val="24"/>
          <w:szCs w:val="24"/>
        </w:rPr>
      </w:pPr>
      <w:r w:rsidRPr="00FE5CA6">
        <w:rPr>
          <w:rFonts w:ascii="Gadugi" w:hAnsi="Gadugi" w:cs="Century Gothic"/>
          <w:iCs/>
          <w:sz w:val="24"/>
          <w:szCs w:val="24"/>
        </w:rPr>
        <w:t xml:space="preserve">  </w:t>
      </w:r>
      <w:r w:rsidRPr="00FE5CA6">
        <w:rPr>
          <w:rFonts w:ascii="Gadugi" w:hAnsi="Gadugi" w:cs="Century Gothic"/>
          <w:iCs/>
          <w:sz w:val="24"/>
          <w:szCs w:val="24"/>
        </w:rPr>
        <w:tab/>
      </w:r>
      <w:r w:rsidRPr="00FE5CA6">
        <w:rPr>
          <w:rFonts w:ascii="Gadugi" w:hAnsi="Gadugi" w:cs="Century Gothic"/>
          <w:iCs/>
          <w:sz w:val="24"/>
          <w:szCs w:val="24"/>
        </w:rPr>
        <w:tab/>
      </w:r>
      <w:r w:rsidRPr="00FE5CA6">
        <w:rPr>
          <w:rFonts w:ascii="Gadugi" w:hAnsi="Gadugi" w:cs="Century Gothic"/>
          <w:iCs/>
          <w:sz w:val="24"/>
          <w:szCs w:val="24"/>
        </w:rPr>
        <w:tab/>
      </w:r>
      <w:r>
        <w:rPr>
          <w:rFonts w:ascii="Gadugi" w:hAnsi="Gadugi" w:cs="Century Gothic"/>
          <w:iCs/>
          <w:sz w:val="24"/>
          <w:szCs w:val="24"/>
        </w:rPr>
        <w:t xml:space="preserve"> </w:t>
      </w:r>
      <w:r>
        <w:rPr>
          <w:rFonts w:ascii="Gadugi" w:hAnsi="Gadugi" w:cs="Century Gothic"/>
          <w:iCs/>
          <w:sz w:val="24"/>
          <w:szCs w:val="24"/>
        </w:rPr>
        <w:tab/>
      </w:r>
      <w:r>
        <w:rPr>
          <w:rFonts w:ascii="Gadugi" w:hAnsi="Gadugi" w:cs="Century Gothic"/>
          <w:iCs/>
          <w:sz w:val="24"/>
          <w:szCs w:val="24"/>
          <w:lang w:val="es-419"/>
        </w:rPr>
        <w:t>E</w:t>
      </w:r>
      <w:r w:rsidRPr="00FE5CA6">
        <w:rPr>
          <w:rFonts w:ascii="Gadugi" w:hAnsi="Gadugi" w:cs="Century Gothic"/>
          <w:iCs/>
          <w:sz w:val="24"/>
          <w:szCs w:val="24"/>
        </w:rPr>
        <w:t xml:space="preserve">n el caso presente, más allá de referirse a que se está en un eventual enriquecimiento sin justa causa por parte del Estado en su contra, ni se presenta la demanda bajo la égida del mecanismo transitorio para evitar un perjuicio irremediable, ni afloran circunstancias de tal envergadura que permitan </w:t>
      </w:r>
      <w:r w:rsidRPr="00FE5CA6">
        <w:rPr>
          <w:rFonts w:ascii="Gadugi" w:hAnsi="Gadugi" w:cs="Century Gothic"/>
          <w:iCs/>
          <w:sz w:val="24"/>
          <w:szCs w:val="24"/>
        </w:rPr>
        <w:lastRenderedPageBreak/>
        <w:t xml:space="preserve">soslayar la </w:t>
      </w:r>
      <w:r>
        <w:rPr>
          <w:rFonts w:ascii="Gadugi" w:hAnsi="Gadugi" w:cs="Century Gothic"/>
          <w:iCs/>
          <w:sz w:val="24"/>
          <w:szCs w:val="24"/>
          <w:lang w:val="es-419"/>
        </w:rPr>
        <w:t>intervención d</w:t>
      </w:r>
      <w:r w:rsidRPr="00FE5CA6">
        <w:rPr>
          <w:rFonts w:ascii="Gadugi" w:hAnsi="Gadugi" w:cs="Century Gothic"/>
          <w:iCs/>
          <w:sz w:val="24"/>
          <w:szCs w:val="24"/>
        </w:rPr>
        <w:t xml:space="preserve">el juez natural que </w:t>
      </w:r>
      <w:proofErr w:type="spellStart"/>
      <w:r w:rsidRPr="00FE5CA6">
        <w:rPr>
          <w:rFonts w:ascii="Gadugi" w:hAnsi="Gadugi" w:cs="Century Gothic"/>
          <w:iCs/>
          <w:sz w:val="24"/>
          <w:szCs w:val="24"/>
        </w:rPr>
        <w:t>deb</w:t>
      </w:r>
      <w:proofErr w:type="spellEnd"/>
      <w:r>
        <w:rPr>
          <w:rFonts w:ascii="Gadugi" w:hAnsi="Gadugi" w:cs="Century Gothic"/>
          <w:iCs/>
          <w:sz w:val="24"/>
          <w:szCs w:val="24"/>
          <w:lang w:val="es-419"/>
        </w:rPr>
        <w:t>e</w:t>
      </w:r>
      <w:r w:rsidRPr="00FE5CA6">
        <w:rPr>
          <w:rFonts w:ascii="Gadugi" w:hAnsi="Gadugi" w:cs="Century Gothic"/>
          <w:iCs/>
          <w:sz w:val="24"/>
          <w:szCs w:val="24"/>
        </w:rPr>
        <w:t xml:space="preserve"> resolver una causa como la invocada</w:t>
      </w:r>
      <w:r>
        <w:rPr>
          <w:rFonts w:ascii="Gadugi" w:hAnsi="Gadugi" w:cs="Century Gothic"/>
          <w:iCs/>
          <w:sz w:val="24"/>
          <w:szCs w:val="24"/>
          <w:lang w:val="es-419"/>
        </w:rPr>
        <w:t xml:space="preserve">. En efecto, </w:t>
      </w:r>
      <w:r>
        <w:rPr>
          <w:rFonts w:ascii="Gadugi" w:hAnsi="Gadugi" w:cs="Arial"/>
          <w:sz w:val="24"/>
          <w:szCs w:val="24"/>
        </w:rPr>
        <w:t>el</w:t>
      </w:r>
      <w:r w:rsidRPr="00A24FCD">
        <w:rPr>
          <w:rFonts w:ascii="Gadugi" w:hAnsi="Gadugi" w:cs="Arial"/>
          <w:sz w:val="24"/>
          <w:szCs w:val="24"/>
        </w:rPr>
        <w:t xml:space="preserve"> demandante </w:t>
      </w:r>
      <w:r w:rsidRPr="00A24FCD">
        <w:rPr>
          <w:rFonts w:ascii="Gadugi" w:hAnsi="Gadugi" w:cs="Arial"/>
          <w:sz w:val="24"/>
          <w:szCs w:val="24"/>
          <w:lang w:val="es-419"/>
        </w:rPr>
        <w:t>está por fuera de lo</w:t>
      </w:r>
      <w:r>
        <w:rPr>
          <w:rFonts w:ascii="Gadugi" w:hAnsi="Gadugi" w:cs="Arial"/>
          <w:sz w:val="24"/>
          <w:szCs w:val="24"/>
          <w:lang w:val="es-419"/>
        </w:rPr>
        <w:t>s parámetros para ser catalogado</w:t>
      </w:r>
      <w:r w:rsidRPr="00A24FCD">
        <w:rPr>
          <w:rFonts w:ascii="Gadugi" w:hAnsi="Gadugi" w:cs="Arial"/>
          <w:sz w:val="24"/>
          <w:szCs w:val="24"/>
          <w:lang w:val="es-419"/>
        </w:rPr>
        <w:t xml:space="preserve"> como </w:t>
      </w:r>
      <w:r w:rsidRPr="00A24FCD">
        <w:rPr>
          <w:rFonts w:ascii="Gadugi" w:hAnsi="Gadugi" w:cs="Arial"/>
          <w:sz w:val="24"/>
          <w:szCs w:val="24"/>
        </w:rPr>
        <w:t>sujeto de especial protección</w:t>
      </w:r>
      <w:r>
        <w:rPr>
          <w:rFonts w:ascii="Gadugi" w:hAnsi="Gadugi" w:cs="Arial"/>
          <w:sz w:val="24"/>
          <w:szCs w:val="24"/>
          <w:lang w:val="es-419"/>
        </w:rPr>
        <w:t xml:space="preserve">, si bien está por fuera de los parámetros de edad señalados en la sentencia </w:t>
      </w:r>
      <w:r w:rsidRPr="00A24FCD">
        <w:rPr>
          <w:rFonts w:ascii="Gadugi" w:hAnsi="Gadugi" w:cs="Arial"/>
          <w:sz w:val="24"/>
          <w:szCs w:val="24"/>
        </w:rPr>
        <w:t>T-138</w:t>
      </w:r>
      <w:r>
        <w:rPr>
          <w:rFonts w:ascii="Gadugi" w:hAnsi="Gadugi" w:cs="Arial"/>
          <w:sz w:val="24"/>
          <w:szCs w:val="24"/>
        </w:rPr>
        <w:t xml:space="preserve"> de 2010;</w:t>
      </w:r>
      <w:r w:rsidRPr="00A24FCD">
        <w:rPr>
          <w:rFonts w:ascii="Gadugi" w:hAnsi="Gadugi" w:cs="Arial"/>
          <w:sz w:val="24"/>
          <w:szCs w:val="24"/>
          <w:lang w:val="es-419"/>
        </w:rPr>
        <w:t xml:space="preserve"> tampoco adujo, ni está demostrada alguna discapacidad </w:t>
      </w:r>
      <w:r w:rsidRPr="00A24FCD">
        <w:rPr>
          <w:rFonts w:ascii="Gadugi" w:hAnsi="Gadugi" w:cs="Arial"/>
          <w:sz w:val="24"/>
          <w:szCs w:val="24"/>
        </w:rPr>
        <w:t>física o mental</w:t>
      </w:r>
      <w:r w:rsidRPr="00A24FCD">
        <w:rPr>
          <w:rFonts w:ascii="Gadugi" w:hAnsi="Gadugi" w:cs="Arial"/>
          <w:sz w:val="24"/>
          <w:szCs w:val="24"/>
          <w:lang w:val="es-419"/>
        </w:rPr>
        <w:t xml:space="preserve"> que le impida valerse por sí </w:t>
      </w:r>
      <w:r>
        <w:rPr>
          <w:rFonts w:ascii="Gadugi" w:hAnsi="Gadugi" w:cs="Arial"/>
          <w:sz w:val="24"/>
          <w:szCs w:val="24"/>
          <w:lang w:val="es-419"/>
        </w:rPr>
        <w:t>mismo</w:t>
      </w:r>
      <w:r w:rsidRPr="00A24FCD">
        <w:rPr>
          <w:rFonts w:ascii="Gadugi" w:hAnsi="Gadugi" w:cs="Arial"/>
          <w:sz w:val="24"/>
          <w:szCs w:val="24"/>
          <w:lang w:val="es-419"/>
        </w:rPr>
        <w:t xml:space="preserve">; por otro lado, ninguna prueba apunta a demostrar una especial </w:t>
      </w:r>
      <w:r w:rsidRPr="00A24FCD">
        <w:rPr>
          <w:rFonts w:ascii="Gadugi" w:hAnsi="Gadugi" w:cs="Arial"/>
          <w:sz w:val="24"/>
          <w:szCs w:val="24"/>
        </w:rPr>
        <w:t xml:space="preserve">situación que la </w:t>
      </w:r>
      <w:proofErr w:type="spellStart"/>
      <w:r w:rsidRPr="00A24FCD">
        <w:rPr>
          <w:rFonts w:ascii="Gadugi" w:hAnsi="Gadugi" w:cs="Arial"/>
          <w:sz w:val="24"/>
          <w:szCs w:val="24"/>
        </w:rPr>
        <w:t>ubi</w:t>
      </w:r>
      <w:proofErr w:type="spellEnd"/>
      <w:r w:rsidRPr="00A24FCD">
        <w:rPr>
          <w:rFonts w:ascii="Gadugi" w:hAnsi="Gadugi" w:cs="Arial"/>
          <w:sz w:val="24"/>
          <w:szCs w:val="24"/>
          <w:lang w:val="es-419"/>
        </w:rPr>
        <w:t xml:space="preserve">que </w:t>
      </w:r>
      <w:r w:rsidRPr="00A24FCD">
        <w:rPr>
          <w:rFonts w:ascii="Gadugi" w:hAnsi="Gadugi" w:cs="Arial"/>
          <w:sz w:val="24"/>
          <w:szCs w:val="24"/>
        </w:rPr>
        <w:t xml:space="preserve">en un grupo poblacional de aquellos que merecen una </w:t>
      </w:r>
      <w:r w:rsidRPr="00A24FCD">
        <w:rPr>
          <w:rFonts w:ascii="Gadugi" w:hAnsi="Gadugi" w:cs="Arial"/>
          <w:sz w:val="24"/>
          <w:szCs w:val="24"/>
          <w:lang w:val="es-419"/>
        </w:rPr>
        <w:t xml:space="preserve">tratamiento </w:t>
      </w:r>
      <w:proofErr w:type="spellStart"/>
      <w:r w:rsidRPr="00A24FCD">
        <w:rPr>
          <w:rFonts w:ascii="Gadugi" w:hAnsi="Gadugi" w:cs="Arial"/>
          <w:sz w:val="24"/>
          <w:szCs w:val="24"/>
        </w:rPr>
        <w:t>fortalecid</w:t>
      </w:r>
      <w:proofErr w:type="spellEnd"/>
      <w:r w:rsidRPr="00A24FCD">
        <w:rPr>
          <w:rFonts w:ascii="Gadugi" w:hAnsi="Gadugi" w:cs="Arial"/>
          <w:sz w:val="24"/>
          <w:szCs w:val="24"/>
          <w:lang w:val="es-419"/>
        </w:rPr>
        <w:t>o</w:t>
      </w:r>
      <w:r w:rsidRPr="00A24FCD">
        <w:rPr>
          <w:rFonts w:ascii="Gadugi" w:hAnsi="Gadugi" w:cs="Arial"/>
          <w:sz w:val="24"/>
          <w:szCs w:val="24"/>
        </w:rPr>
        <w:t xml:space="preserve"> por parte del Estado; </w:t>
      </w:r>
      <w:r w:rsidRPr="00A24FCD">
        <w:rPr>
          <w:rFonts w:ascii="Gadugi" w:hAnsi="Gadugi" w:cs="Arial"/>
          <w:sz w:val="24"/>
          <w:szCs w:val="24"/>
          <w:lang w:val="es-419"/>
        </w:rPr>
        <w:t xml:space="preserve">es más, ni siquiera se indica </w:t>
      </w:r>
      <w:r w:rsidRPr="00A24FCD">
        <w:rPr>
          <w:rFonts w:ascii="Gadugi" w:hAnsi="Gadugi" w:cs="Arial"/>
          <w:sz w:val="24"/>
          <w:szCs w:val="24"/>
        </w:rPr>
        <w:t>por</w:t>
      </w:r>
      <w:r w:rsidRPr="00A24FCD">
        <w:rPr>
          <w:rFonts w:ascii="Gadugi" w:hAnsi="Gadugi" w:cs="Arial"/>
          <w:sz w:val="24"/>
          <w:szCs w:val="24"/>
          <w:lang w:val="es-419"/>
        </w:rPr>
        <w:t xml:space="preserve"> </w:t>
      </w:r>
      <w:r w:rsidRPr="00A24FCD">
        <w:rPr>
          <w:rFonts w:ascii="Gadugi" w:hAnsi="Gadugi" w:cs="Arial"/>
          <w:sz w:val="24"/>
          <w:szCs w:val="24"/>
        </w:rPr>
        <w:t xml:space="preserve">qué el proceso </w:t>
      </w:r>
      <w:r w:rsidRPr="00A24FCD">
        <w:rPr>
          <w:rFonts w:ascii="Gadugi" w:hAnsi="Gadugi" w:cs="Arial"/>
          <w:sz w:val="24"/>
          <w:szCs w:val="24"/>
          <w:lang w:val="es-419"/>
        </w:rPr>
        <w:t xml:space="preserve">ante la jurisdicción aludida carece de idoneidad </w:t>
      </w:r>
      <w:r w:rsidRPr="00A24FCD">
        <w:rPr>
          <w:rFonts w:ascii="Gadugi" w:hAnsi="Gadugi" w:cs="Arial"/>
          <w:sz w:val="24"/>
          <w:szCs w:val="24"/>
        </w:rPr>
        <w:t xml:space="preserve">para la solución de la controversia planteada. </w:t>
      </w:r>
    </w:p>
    <w:p w:rsidR="00E35D8D" w:rsidRPr="00A24FCD" w:rsidRDefault="00E35D8D" w:rsidP="00E35D8D">
      <w:pPr>
        <w:spacing w:line="276" w:lineRule="auto"/>
        <w:ind w:right="51"/>
        <w:jc w:val="both"/>
        <w:rPr>
          <w:rFonts w:ascii="Gadugi" w:hAnsi="Gadugi" w:cs="Century Gothic"/>
          <w:sz w:val="24"/>
          <w:szCs w:val="24"/>
        </w:rPr>
      </w:pPr>
    </w:p>
    <w:p w:rsidR="00E35D8D" w:rsidRPr="00FE5CA6" w:rsidRDefault="00E35D8D" w:rsidP="00E35D8D">
      <w:pPr>
        <w:spacing w:line="276" w:lineRule="auto"/>
        <w:ind w:right="51" w:firstLine="2835"/>
        <w:jc w:val="both"/>
        <w:rPr>
          <w:rFonts w:ascii="Gadugi" w:hAnsi="Gadugi" w:cs="Century Gothic"/>
          <w:sz w:val="24"/>
          <w:szCs w:val="24"/>
        </w:rPr>
      </w:pPr>
      <w:r w:rsidRPr="00FE5CA6">
        <w:rPr>
          <w:rFonts w:ascii="Gadugi" w:hAnsi="Gadugi" w:cs="Century Gothic"/>
          <w:sz w:val="24"/>
          <w:szCs w:val="24"/>
        </w:rPr>
        <w:t>Su sola edad, 65 años</w:t>
      </w:r>
      <w:r>
        <w:rPr>
          <w:rFonts w:ascii="Gadugi" w:hAnsi="Gadugi" w:cs="Century Gothic"/>
          <w:sz w:val="24"/>
          <w:szCs w:val="24"/>
          <w:lang w:val="es-419"/>
        </w:rPr>
        <w:t xml:space="preserve"> (f. 73, 101)</w:t>
      </w:r>
      <w:r w:rsidRPr="00FE5CA6">
        <w:rPr>
          <w:rFonts w:ascii="Gadugi" w:hAnsi="Gadugi" w:cs="Century Gothic"/>
          <w:sz w:val="24"/>
          <w:szCs w:val="24"/>
        </w:rPr>
        <w:t xml:space="preserve">, no demuestra por sí misma que esté impedido para afrontar un proceso tendiente a que le sea reconocida, por el organismo que corresponda, su indemnización sustitutiva o </w:t>
      </w:r>
      <w:r>
        <w:rPr>
          <w:rFonts w:ascii="Gadugi" w:hAnsi="Gadugi" w:cs="Century Gothic"/>
          <w:sz w:val="24"/>
          <w:szCs w:val="24"/>
          <w:lang w:val="es-419"/>
        </w:rPr>
        <w:t xml:space="preserve">la </w:t>
      </w:r>
      <w:r w:rsidRPr="00FE5CA6">
        <w:rPr>
          <w:rFonts w:ascii="Gadugi" w:hAnsi="Gadugi" w:cs="Century Gothic"/>
          <w:sz w:val="24"/>
          <w:szCs w:val="24"/>
        </w:rPr>
        <w:t xml:space="preserve">devolución de aportes, dentro de un escenario probatorio amplio que </w:t>
      </w:r>
      <w:proofErr w:type="spellStart"/>
      <w:r w:rsidRPr="00FE5CA6">
        <w:rPr>
          <w:rFonts w:ascii="Gadugi" w:hAnsi="Gadugi" w:cs="Century Gothic"/>
          <w:sz w:val="24"/>
          <w:szCs w:val="24"/>
        </w:rPr>
        <w:t>permit</w:t>
      </w:r>
      <w:proofErr w:type="spellEnd"/>
      <w:r>
        <w:rPr>
          <w:rFonts w:ascii="Gadugi" w:hAnsi="Gadugi" w:cs="Century Gothic"/>
          <w:sz w:val="24"/>
          <w:szCs w:val="24"/>
          <w:lang w:val="es-419"/>
        </w:rPr>
        <w:t>a</w:t>
      </w:r>
      <w:r w:rsidRPr="00FE5CA6">
        <w:rPr>
          <w:rFonts w:ascii="Gadugi" w:hAnsi="Gadugi" w:cs="Century Gothic"/>
          <w:sz w:val="24"/>
          <w:szCs w:val="24"/>
        </w:rPr>
        <w:t xml:space="preserve"> concluir lo que fuere legalmente del caso</w:t>
      </w:r>
      <w:r>
        <w:rPr>
          <w:rFonts w:ascii="Gadugi" w:hAnsi="Gadugi" w:cs="Century Gothic"/>
          <w:sz w:val="24"/>
          <w:szCs w:val="24"/>
          <w:lang w:val="es-419"/>
        </w:rPr>
        <w:t>; además, se</w:t>
      </w:r>
      <w:r w:rsidRPr="00FE5CA6">
        <w:rPr>
          <w:rFonts w:ascii="Gadugi" w:hAnsi="Gadugi" w:cs="Century Gothic"/>
          <w:sz w:val="24"/>
          <w:szCs w:val="24"/>
        </w:rPr>
        <w:t xml:space="preserve"> repite</w:t>
      </w:r>
      <w:r>
        <w:rPr>
          <w:rFonts w:ascii="Gadugi" w:hAnsi="Gadugi" w:cs="Century Gothic"/>
          <w:sz w:val="24"/>
          <w:szCs w:val="24"/>
          <w:lang w:val="es-419"/>
        </w:rPr>
        <w:t xml:space="preserve"> que no está acreditado </w:t>
      </w:r>
      <w:r w:rsidRPr="00FE5CA6">
        <w:rPr>
          <w:rFonts w:ascii="Gadugi" w:hAnsi="Gadugi" w:cs="Century Gothic"/>
          <w:sz w:val="24"/>
          <w:szCs w:val="24"/>
        </w:rPr>
        <w:t xml:space="preserve">que la falta de ese reconocimiento le </w:t>
      </w:r>
      <w:r>
        <w:rPr>
          <w:rFonts w:ascii="Gadugi" w:hAnsi="Gadugi" w:cs="Century Gothic"/>
          <w:sz w:val="24"/>
          <w:szCs w:val="24"/>
          <w:lang w:val="es-419"/>
        </w:rPr>
        <w:t xml:space="preserve">impida </w:t>
      </w:r>
      <w:r w:rsidRPr="00FE5CA6">
        <w:rPr>
          <w:rFonts w:ascii="Gadugi" w:hAnsi="Gadugi" w:cs="Century Gothic"/>
          <w:sz w:val="24"/>
          <w:szCs w:val="24"/>
        </w:rPr>
        <w:t xml:space="preserve">vivir en condiciones dignas, de manera que no está en juego su mínimo vital. En </w:t>
      </w:r>
      <w:r>
        <w:rPr>
          <w:rFonts w:ascii="Gadugi" w:hAnsi="Gadugi" w:cs="Century Gothic"/>
          <w:sz w:val="24"/>
          <w:szCs w:val="24"/>
          <w:lang w:val="es-419"/>
        </w:rPr>
        <w:t>situaciones</w:t>
      </w:r>
      <w:r w:rsidRPr="00FE5CA6">
        <w:rPr>
          <w:rFonts w:ascii="Gadugi" w:hAnsi="Gadugi" w:cs="Century Gothic"/>
          <w:sz w:val="24"/>
          <w:szCs w:val="24"/>
        </w:rPr>
        <w:t xml:space="preserve"> como la suya, cualquier discusión que se pueda suscitar en torno a quién corresponde el respectivo reconocimiento prestacional y si tiene derecho al mismo, está reservada, se repite, al conocimiento de la jurisdicción ordinaria o contencioso administrativa</w:t>
      </w:r>
      <w:r>
        <w:rPr>
          <w:rFonts w:ascii="Gadugi" w:hAnsi="Gadugi" w:cs="Century Gothic"/>
          <w:sz w:val="24"/>
          <w:szCs w:val="24"/>
          <w:lang w:val="es-419"/>
        </w:rPr>
        <w:t xml:space="preserve">. </w:t>
      </w:r>
    </w:p>
    <w:p w:rsidR="00E35D8D" w:rsidRPr="00FE5CA6" w:rsidRDefault="00E35D8D" w:rsidP="00E35D8D">
      <w:pPr>
        <w:spacing w:line="276" w:lineRule="auto"/>
        <w:jc w:val="both"/>
        <w:rPr>
          <w:rFonts w:ascii="Gadugi" w:hAnsi="Gadugi"/>
          <w:sz w:val="24"/>
          <w:szCs w:val="24"/>
          <w:lang w:val="es-CO"/>
        </w:rPr>
      </w:pPr>
    </w:p>
    <w:p w:rsidR="00E35D8D" w:rsidRPr="00FE5CA6" w:rsidRDefault="00E35D8D" w:rsidP="00E35D8D">
      <w:pPr>
        <w:spacing w:line="276" w:lineRule="auto"/>
        <w:ind w:right="51" w:firstLine="2835"/>
        <w:jc w:val="both"/>
        <w:rPr>
          <w:rFonts w:ascii="Gadugi" w:hAnsi="Gadugi" w:cs="Century Gothic"/>
          <w:sz w:val="24"/>
          <w:szCs w:val="24"/>
        </w:rPr>
      </w:pPr>
      <w:r>
        <w:rPr>
          <w:rFonts w:ascii="Gadugi" w:hAnsi="Gadugi" w:cs="Century Gothic"/>
          <w:sz w:val="24"/>
          <w:szCs w:val="24"/>
        </w:rPr>
        <w:t xml:space="preserve">Frente a este panorama, </w:t>
      </w:r>
      <w:r>
        <w:rPr>
          <w:rFonts w:ascii="Gadugi" w:hAnsi="Gadugi" w:cs="Century Gothic"/>
          <w:sz w:val="24"/>
          <w:szCs w:val="24"/>
          <w:lang w:val="es-419"/>
        </w:rPr>
        <w:t xml:space="preserve">se concluye que la </w:t>
      </w:r>
      <w:r>
        <w:rPr>
          <w:rFonts w:ascii="Gadugi" w:hAnsi="Gadugi" w:cs="Century Gothic"/>
          <w:sz w:val="24"/>
          <w:szCs w:val="24"/>
        </w:rPr>
        <w:t xml:space="preserve">acción se torna abiertamente improcedente y así se declarará. </w:t>
      </w:r>
    </w:p>
    <w:p w:rsidR="00E35D8D" w:rsidRDefault="00E35D8D" w:rsidP="00E35D8D">
      <w:pPr>
        <w:spacing w:line="276" w:lineRule="auto"/>
        <w:ind w:right="51" w:firstLine="2835"/>
        <w:jc w:val="both"/>
        <w:rPr>
          <w:rFonts w:ascii="Gadugi" w:hAnsi="Gadugi" w:cs="Century Gothic"/>
          <w:sz w:val="24"/>
          <w:szCs w:val="24"/>
        </w:rPr>
      </w:pPr>
    </w:p>
    <w:p w:rsidR="00E35D8D" w:rsidRDefault="00E35D8D" w:rsidP="00E35D8D">
      <w:pPr>
        <w:spacing w:line="276" w:lineRule="auto"/>
        <w:ind w:right="51" w:firstLine="2835"/>
        <w:jc w:val="both"/>
        <w:rPr>
          <w:rFonts w:ascii="Gadugi" w:hAnsi="Gadugi" w:cs="Century Gothic"/>
          <w:sz w:val="24"/>
          <w:szCs w:val="24"/>
        </w:rPr>
      </w:pPr>
    </w:p>
    <w:p w:rsidR="00E35D8D" w:rsidRPr="00314EC4" w:rsidRDefault="00E35D8D" w:rsidP="00E35D8D">
      <w:pPr>
        <w:spacing w:line="276" w:lineRule="auto"/>
        <w:ind w:firstLine="2835"/>
        <w:jc w:val="both"/>
        <w:rPr>
          <w:rFonts w:ascii="Gadugi" w:hAnsi="Gadugi" w:cs="Arial"/>
          <w:b/>
          <w:sz w:val="26"/>
          <w:szCs w:val="26"/>
        </w:rPr>
      </w:pPr>
      <w:r w:rsidRPr="00314EC4">
        <w:rPr>
          <w:rFonts w:ascii="Gadugi" w:hAnsi="Gadugi" w:cs="Arial"/>
          <w:b/>
          <w:sz w:val="26"/>
          <w:szCs w:val="26"/>
        </w:rPr>
        <w:t>DECISIÓN</w:t>
      </w:r>
    </w:p>
    <w:p w:rsidR="00E35D8D" w:rsidRPr="00314EC4" w:rsidRDefault="00E35D8D" w:rsidP="00E35D8D">
      <w:pPr>
        <w:spacing w:line="276" w:lineRule="auto"/>
        <w:jc w:val="both"/>
        <w:rPr>
          <w:rFonts w:ascii="Gadugi" w:hAnsi="Gadugi"/>
          <w:sz w:val="24"/>
          <w:szCs w:val="24"/>
        </w:rPr>
      </w:pPr>
      <w:r w:rsidRPr="00314EC4">
        <w:rPr>
          <w:rFonts w:ascii="Gadugi" w:hAnsi="Gadugi"/>
          <w:sz w:val="24"/>
          <w:szCs w:val="24"/>
        </w:rPr>
        <w:t xml:space="preserve">  </w:t>
      </w:r>
      <w:r w:rsidRPr="00314EC4">
        <w:rPr>
          <w:rFonts w:ascii="Gadugi" w:hAnsi="Gadugi"/>
          <w:sz w:val="24"/>
          <w:szCs w:val="24"/>
        </w:rPr>
        <w:tab/>
      </w:r>
      <w:r w:rsidRPr="00314EC4">
        <w:rPr>
          <w:rFonts w:ascii="Gadugi" w:hAnsi="Gadugi"/>
          <w:sz w:val="24"/>
          <w:szCs w:val="24"/>
        </w:rPr>
        <w:tab/>
      </w:r>
      <w:r w:rsidRPr="00314EC4">
        <w:rPr>
          <w:rFonts w:ascii="Gadugi" w:hAnsi="Gadugi"/>
          <w:sz w:val="24"/>
          <w:szCs w:val="24"/>
        </w:rPr>
        <w:tab/>
      </w:r>
    </w:p>
    <w:p w:rsidR="00E35D8D" w:rsidRPr="00314EC4" w:rsidRDefault="00E35D8D" w:rsidP="00E35D8D">
      <w:pPr>
        <w:pStyle w:val="Textoindependiente21"/>
        <w:spacing w:line="276" w:lineRule="auto"/>
        <w:rPr>
          <w:rFonts w:ascii="Gadugi" w:hAnsi="Gadugi"/>
          <w:lang w:val="es-CO"/>
        </w:rPr>
      </w:pPr>
    </w:p>
    <w:p w:rsidR="00E35D8D" w:rsidRPr="00AA2503" w:rsidRDefault="00E35D8D" w:rsidP="00E35D8D">
      <w:pPr>
        <w:pStyle w:val="Corpsdetexte21"/>
        <w:spacing w:line="276" w:lineRule="auto"/>
        <w:rPr>
          <w:rFonts w:ascii="Gadugi" w:hAnsi="Gadugi" w:cs="Century Gothic"/>
          <w:szCs w:val="24"/>
          <w:lang w:val="es-CO"/>
        </w:rPr>
      </w:pPr>
      <w:r w:rsidRPr="00314EC4">
        <w:rPr>
          <w:rFonts w:ascii="Gadugi" w:hAnsi="Gadugi" w:cs="Arial"/>
          <w:szCs w:val="24"/>
        </w:rPr>
        <w:t xml:space="preserve">En armonía con lo dicho, la Sala Civil Familia del Tribunal Superior de Pereira, administrando justicia en nombre de la República y por </w:t>
      </w:r>
      <w:r w:rsidRPr="00AA2503">
        <w:rPr>
          <w:rFonts w:ascii="Gadugi" w:hAnsi="Gadugi" w:cs="Arial"/>
          <w:szCs w:val="24"/>
        </w:rPr>
        <w:t>autoridad de la Ley,</w:t>
      </w:r>
      <w:r w:rsidRPr="00AA2503">
        <w:rPr>
          <w:rFonts w:ascii="Gadugi" w:hAnsi="Gadugi" w:cs="Arial"/>
          <w:szCs w:val="24"/>
          <w:lang w:val="es-419"/>
        </w:rPr>
        <w:t xml:space="preserve"> </w:t>
      </w:r>
      <w:r w:rsidRPr="00AA2503">
        <w:rPr>
          <w:rFonts w:ascii="Gadugi" w:hAnsi="Gadugi" w:cs="Arial"/>
          <w:szCs w:val="24"/>
          <w:lang w:val="es-CO"/>
        </w:rPr>
        <w:t xml:space="preserve">declara </w:t>
      </w:r>
      <w:r w:rsidRPr="00AA2503">
        <w:rPr>
          <w:rFonts w:ascii="Gadugi" w:hAnsi="Gadugi" w:cs="Arial"/>
          <w:b/>
          <w:szCs w:val="24"/>
          <w:lang w:val="es-CO"/>
        </w:rPr>
        <w:t>IMPROCEDENTE</w:t>
      </w:r>
      <w:r w:rsidRPr="00AA2503">
        <w:rPr>
          <w:rFonts w:ascii="Gadugi" w:hAnsi="Gadugi" w:cs="Arial"/>
          <w:b/>
          <w:szCs w:val="24"/>
          <w:lang w:val="es-419"/>
        </w:rPr>
        <w:t xml:space="preserve"> </w:t>
      </w:r>
      <w:r w:rsidRPr="00AA2503">
        <w:rPr>
          <w:rFonts w:ascii="Gadugi" w:hAnsi="Gadugi" w:cs="Arial"/>
          <w:szCs w:val="24"/>
          <w:lang w:val="es-CO"/>
        </w:rPr>
        <w:t>e</w:t>
      </w:r>
      <w:r w:rsidRPr="00AA2503">
        <w:rPr>
          <w:rFonts w:ascii="Gadugi" w:hAnsi="Gadugi" w:cs="Arial"/>
          <w:szCs w:val="24"/>
          <w:lang w:val="es-419"/>
        </w:rPr>
        <w:t xml:space="preserve">l </w:t>
      </w:r>
      <w:r w:rsidRPr="00AA2503">
        <w:rPr>
          <w:rFonts w:ascii="Gadugi" w:hAnsi="Gadugi" w:cs="Arial"/>
          <w:szCs w:val="24"/>
        </w:rPr>
        <w:t>amparo impetrado por</w:t>
      </w:r>
      <w:r w:rsidRPr="00AA2503">
        <w:rPr>
          <w:rFonts w:ascii="Gadugi" w:hAnsi="Gadugi" w:cs="Century Gothic"/>
          <w:b/>
          <w:szCs w:val="24"/>
        </w:rPr>
        <w:t xml:space="preserve"> Juan María Duque Uribe </w:t>
      </w:r>
      <w:r w:rsidRPr="00AA2503">
        <w:rPr>
          <w:rFonts w:ascii="Gadugi" w:hAnsi="Gadugi" w:cs="Century Gothic"/>
          <w:szCs w:val="24"/>
        </w:rPr>
        <w:t>contra la</w:t>
      </w:r>
      <w:r w:rsidRPr="00AA2503">
        <w:rPr>
          <w:rFonts w:ascii="Gadugi" w:hAnsi="Gadugi" w:cs="Century Gothic"/>
          <w:b/>
          <w:szCs w:val="24"/>
        </w:rPr>
        <w:t xml:space="preserve"> </w:t>
      </w:r>
      <w:r w:rsidRPr="00AA2503">
        <w:rPr>
          <w:rFonts w:ascii="Gadugi" w:hAnsi="Gadugi" w:cs="Arial"/>
          <w:szCs w:val="24"/>
          <w:lang w:val="es-CO"/>
        </w:rPr>
        <w:t xml:space="preserve">contra los </w:t>
      </w:r>
      <w:r w:rsidRPr="00AA2503">
        <w:rPr>
          <w:rFonts w:ascii="Gadugi" w:hAnsi="Gadugi" w:cs="Arial"/>
          <w:b/>
          <w:szCs w:val="24"/>
          <w:lang w:val="es-CO"/>
        </w:rPr>
        <w:t xml:space="preserve">Ministerios de Agricultura y Desarrollo Rural </w:t>
      </w:r>
      <w:r w:rsidRPr="00AA2503">
        <w:rPr>
          <w:rFonts w:ascii="Gadugi" w:hAnsi="Gadugi" w:cs="Arial"/>
          <w:szCs w:val="24"/>
          <w:lang w:val="es-CO"/>
        </w:rPr>
        <w:t xml:space="preserve">y </w:t>
      </w:r>
      <w:r w:rsidRPr="00AA2503">
        <w:rPr>
          <w:rFonts w:ascii="Gadugi" w:hAnsi="Gadugi" w:cs="Arial"/>
          <w:b/>
          <w:szCs w:val="24"/>
          <w:lang w:val="es-CO"/>
        </w:rPr>
        <w:t xml:space="preserve">Hacienda y Crédito Público, </w:t>
      </w:r>
      <w:r w:rsidRPr="00AA2503">
        <w:rPr>
          <w:rFonts w:ascii="Gadugi" w:hAnsi="Gadugi" w:cs="Arial"/>
          <w:szCs w:val="24"/>
          <w:lang w:val="es-CO"/>
        </w:rPr>
        <w:t xml:space="preserve">a la que fueron vinculados la </w:t>
      </w:r>
      <w:r w:rsidRPr="00AA2503">
        <w:rPr>
          <w:rFonts w:ascii="Gadugi" w:hAnsi="Gadugi" w:cs="Arial"/>
          <w:b/>
          <w:szCs w:val="24"/>
          <w:lang w:val="es-CO"/>
        </w:rPr>
        <w:t xml:space="preserve">Unidad Administrativa Especial de Gestión Pensional y Contribuciones Parafiscales de la Protección Social </w:t>
      </w:r>
      <w:proofErr w:type="spellStart"/>
      <w:r w:rsidRPr="00AA2503">
        <w:rPr>
          <w:rFonts w:ascii="Gadugi" w:hAnsi="Gadugi" w:cs="Arial"/>
          <w:b/>
          <w:szCs w:val="24"/>
          <w:lang w:val="es-CO"/>
        </w:rPr>
        <w:t>UGPP</w:t>
      </w:r>
      <w:proofErr w:type="spellEnd"/>
      <w:r w:rsidRPr="00AA2503">
        <w:rPr>
          <w:rFonts w:ascii="Gadugi" w:hAnsi="Gadugi" w:cs="Arial"/>
          <w:b/>
          <w:szCs w:val="24"/>
          <w:lang w:val="es-CO"/>
        </w:rPr>
        <w:t xml:space="preserve">; </w:t>
      </w:r>
      <w:r w:rsidRPr="00AA2503">
        <w:rPr>
          <w:rFonts w:ascii="Gadugi" w:hAnsi="Gadugi" w:cs="Arial"/>
          <w:szCs w:val="24"/>
          <w:lang w:val="es-CO"/>
        </w:rPr>
        <w:t xml:space="preserve">la </w:t>
      </w:r>
      <w:r w:rsidRPr="00AA2503">
        <w:rPr>
          <w:rFonts w:ascii="Gadugi" w:hAnsi="Gadugi" w:cs="Arial"/>
          <w:b/>
          <w:szCs w:val="24"/>
          <w:lang w:val="es-CO"/>
        </w:rPr>
        <w:t xml:space="preserve">Administradora Colombiana de Pensiones </w:t>
      </w:r>
      <w:proofErr w:type="spellStart"/>
      <w:r w:rsidRPr="00AA2503">
        <w:rPr>
          <w:rFonts w:ascii="Gadugi" w:hAnsi="Gadugi" w:cs="Arial"/>
          <w:b/>
          <w:szCs w:val="24"/>
          <w:lang w:val="es-CO"/>
        </w:rPr>
        <w:t>COLPENSIONE</w:t>
      </w:r>
      <w:proofErr w:type="spellEnd"/>
      <w:r w:rsidRPr="00AA2503">
        <w:rPr>
          <w:rFonts w:ascii="Gadugi" w:hAnsi="Gadugi" w:cs="Arial"/>
          <w:b/>
          <w:szCs w:val="24"/>
          <w:lang w:val="es-CO"/>
        </w:rPr>
        <w:t xml:space="preserve">; </w:t>
      </w:r>
      <w:r w:rsidRPr="00AA2503">
        <w:rPr>
          <w:rFonts w:ascii="Gadugi" w:hAnsi="Gadugi" w:cs="Arial"/>
          <w:szCs w:val="24"/>
          <w:lang w:val="es-CO"/>
        </w:rPr>
        <w:t>el</w:t>
      </w:r>
      <w:r w:rsidRPr="00AA2503">
        <w:rPr>
          <w:rFonts w:ascii="Gadugi" w:hAnsi="Gadugi" w:cs="Arial"/>
          <w:b/>
          <w:szCs w:val="24"/>
          <w:lang w:val="es-CO"/>
        </w:rPr>
        <w:t xml:space="preserve"> Consorcio </w:t>
      </w:r>
      <w:proofErr w:type="spellStart"/>
      <w:r w:rsidRPr="00AA2503">
        <w:rPr>
          <w:rFonts w:ascii="Gadugi" w:hAnsi="Gadugi" w:cs="Arial"/>
          <w:b/>
          <w:szCs w:val="24"/>
          <w:lang w:val="es-CO"/>
        </w:rPr>
        <w:t>FOPEP</w:t>
      </w:r>
      <w:proofErr w:type="spellEnd"/>
      <w:r w:rsidRPr="00AA2503">
        <w:rPr>
          <w:rFonts w:ascii="Gadugi" w:hAnsi="Gadugi" w:cs="Arial"/>
          <w:b/>
          <w:szCs w:val="24"/>
          <w:lang w:val="es-CO"/>
        </w:rPr>
        <w:t>; Olga Lucía Rodríguez López</w:t>
      </w:r>
      <w:r w:rsidRPr="00AA2503">
        <w:rPr>
          <w:rFonts w:ascii="Gadugi" w:hAnsi="Gadugi" w:cs="Arial"/>
          <w:szCs w:val="24"/>
          <w:lang w:val="es-CO"/>
        </w:rPr>
        <w:t xml:space="preserve">, en calidad de </w:t>
      </w:r>
      <w:r w:rsidRPr="00AA2503">
        <w:rPr>
          <w:rFonts w:ascii="Gadugi" w:hAnsi="Gadugi" w:cs="Arial"/>
          <w:b/>
          <w:szCs w:val="24"/>
          <w:lang w:val="es-CO"/>
        </w:rPr>
        <w:t xml:space="preserve">Coordinadora Grupo de Gestión Integral de Entidades Liquidadas </w:t>
      </w:r>
      <w:r w:rsidRPr="00AA2503">
        <w:rPr>
          <w:rFonts w:ascii="Gadugi" w:hAnsi="Gadugi" w:cs="Arial"/>
          <w:szCs w:val="24"/>
          <w:lang w:val="es-CO"/>
        </w:rPr>
        <w:t xml:space="preserve">de </w:t>
      </w:r>
      <w:proofErr w:type="spellStart"/>
      <w:r w:rsidRPr="00AA2503">
        <w:rPr>
          <w:rFonts w:ascii="Gadugi" w:hAnsi="Gadugi" w:cs="Arial"/>
          <w:szCs w:val="24"/>
          <w:lang w:val="es-CO"/>
        </w:rPr>
        <w:lastRenderedPageBreak/>
        <w:t>Minagricultura</w:t>
      </w:r>
      <w:proofErr w:type="spellEnd"/>
      <w:r w:rsidRPr="00AA2503">
        <w:rPr>
          <w:rFonts w:ascii="Gadugi" w:hAnsi="Gadugi" w:cs="Arial"/>
          <w:szCs w:val="24"/>
          <w:lang w:val="es-CO"/>
        </w:rPr>
        <w:t xml:space="preserve">; el </w:t>
      </w:r>
      <w:r w:rsidRPr="00AA2503">
        <w:rPr>
          <w:rFonts w:ascii="Gadugi" w:hAnsi="Gadugi" w:cs="Arial"/>
          <w:b/>
          <w:szCs w:val="24"/>
          <w:lang w:val="es-CO"/>
        </w:rPr>
        <w:t>Fondo de Pasivo Social de Ferrocarriles Nacionales de Colombia</w:t>
      </w:r>
      <w:r w:rsidRPr="00AA2503">
        <w:rPr>
          <w:rFonts w:ascii="Gadugi" w:hAnsi="Gadugi" w:cs="Arial"/>
          <w:szCs w:val="24"/>
          <w:lang w:val="es-CO"/>
        </w:rPr>
        <w:t xml:space="preserve">; </w:t>
      </w:r>
      <w:proofErr w:type="spellStart"/>
      <w:r w:rsidRPr="00AA2503">
        <w:rPr>
          <w:rFonts w:ascii="Gadugi" w:hAnsi="Gadugi" w:cs="Arial"/>
          <w:b/>
          <w:szCs w:val="24"/>
          <w:lang w:val="es-CO"/>
        </w:rPr>
        <w:t>FIDUPREVISORA</w:t>
      </w:r>
      <w:proofErr w:type="spellEnd"/>
      <w:r w:rsidRPr="00AA2503">
        <w:rPr>
          <w:rFonts w:ascii="Gadugi" w:hAnsi="Gadugi" w:cs="Arial"/>
          <w:b/>
          <w:szCs w:val="24"/>
          <w:lang w:val="es-CO"/>
        </w:rPr>
        <w:t xml:space="preserve"> </w:t>
      </w:r>
      <w:proofErr w:type="spellStart"/>
      <w:r w:rsidRPr="00AA2503">
        <w:rPr>
          <w:rFonts w:ascii="Gadugi" w:hAnsi="Gadugi" w:cs="Arial"/>
          <w:b/>
          <w:szCs w:val="24"/>
          <w:lang w:val="es-CO"/>
        </w:rPr>
        <w:t>SA</w:t>
      </w:r>
      <w:proofErr w:type="spellEnd"/>
      <w:r w:rsidRPr="00AA2503">
        <w:rPr>
          <w:rFonts w:ascii="Gadugi" w:hAnsi="Gadugi" w:cs="Arial"/>
          <w:b/>
          <w:szCs w:val="24"/>
          <w:lang w:val="es-CO"/>
        </w:rPr>
        <w:t xml:space="preserve">, </w:t>
      </w:r>
      <w:r w:rsidRPr="00AA2503">
        <w:rPr>
          <w:rFonts w:ascii="Gadugi" w:hAnsi="Gadugi" w:cs="Arial"/>
          <w:szCs w:val="24"/>
          <w:lang w:val="es-CO"/>
        </w:rPr>
        <w:t xml:space="preserve">a la </w:t>
      </w:r>
      <w:r w:rsidRPr="00AA2503">
        <w:rPr>
          <w:rFonts w:ascii="Gadugi" w:hAnsi="Gadugi" w:cs="Arial"/>
          <w:b/>
          <w:szCs w:val="24"/>
          <w:lang w:val="es-CO"/>
        </w:rPr>
        <w:t xml:space="preserve">Oficina de Bonos Pensionales </w:t>
      </w:r>
      <w:r w:rsidRPr="00AA2503">
        <w:rPr>
          <w:rFonts w:ascii="Gadugi" w:hAnsi="Gadugi" w:cs="Arial"/>
          <w:szCs w:val="24"/>
          <w:lang w:val="es-CO"/>
        </w:rPr>
        <w:t xml:space="preserve">del Ministerio de Hacienda y Crédito Público, y a la </w:t>
      </w:r>
      <w:r w:rsidRPr="00AA2503">
        <w:rPr>
          <w:rFonts w:ascii="Gadugi" w:hAnsi="Gadugi" w:cs="Century Gothic"/>
          <w:b/>
          <w:szCs w:val="24"/>
          <w:lang w:val="es-CO"/>
        </w:rPr>
        <w:t xml:space="preserve">Subdirección de Determinación de Derechos Pensionales </w:t>
      </w:r>
      <w:r w:rsidRPr="00AA2503">
        <w:rPr>
          <w:rFonts w:ascii="Gadugi" w:hAnsi="Gadugi" w:cs="Century Gothic"/>
          <w:szCs w:val="24"/>
          <w:lang w:val="es-CO"/>
        </w:rPr>
        <w:t>y a</w:t>
      </w:r>
      <w:r w:rsidRPr="00AA2503">
        <w:rPr>
          <w:rFonts w:ascii="Gadugi" w:hAnsi="Gadugi" w:cs="Century Gothic"/>
          <w:b/>
          <w:szCs w:val="24"/>
          <w:lang w:val="es-CO"/>
        </w:rPr>
        <w:t xml:space="preserve"> la Dirección de Pensiones de la </w:t>
      </w:r>
      <w:proofErr w:type="spellStart"/>
      <w:r w:rsidRPr="00AA2503">
        <w:rPr>
          <w:rFonts w:ascii="Gadugi" w:hAnsi="Gadugi" w:cs="Century Gothic"/>
          <w:b/>
          <w:szCs w:val="24"/>
          <w:lang w:val="es-CO"/>
        </w:rPr>
        <w:t>UGPP</w:t>
      </w:r>
      <w:proofErr w:type="spellEnd"/>
      <w:r w:rsidRPr="00AA2503">
        <w:rPr>
          <w:rFonts w:ascii="Gadugi" w:hAnsi="Gadugi" w:cs="Century Gothic"/>
          <w:szCs w:val="24"/>
          <w:lang w:val="es-CO"/>
        </w:rPr>
        <w:t>.</w:t>
      </w:r>
    </w:p>
    <w:p w:rsidR="00E35D8D" w:rsidRPr="00AA2503" w:rsidRDefault="00E35D8D" w:rsidP="00E35D8D">
      <w:pPr>
        <w:spacing w:line="276" w:lineRule="auto"/>
        <w:jc w:val="both"/>
        <w:rPr>
          <w:rFonts w:ascii="Gadugi" w:hAnsi="Gadugi" w:cs="Arial"/>
          <w:sz w:val="24"/>
          <w:szCs w:val="24"/>
        </w:rPr>
      </w:pPr>
    </w:p>
    <w:p w:rsidR="00E35D8D" w:rsidRPr="00314EC4" w:rsidRDefault="00E35D8D" w:rsidP="00E35D8D">
      <w:pPr>
        <w:spacing w:line="276" w:lineRule="auto"/>
        <w:ind w:firstLine="2835"/>
        <w:jc w:val="both"/>
        <w:rPr>
          <w:rFonts w:ascii="Gadugi" w:hAnsi="Gadugi" w:cs="Arial"/>
          <w:sz w:val="24"/>
          <w:szCs w:val="24"/>
          <w:lang w:val="es-CO"/>
        </w:rPr>
      </w:pPr>
      <w:r w:rsidRPr="00314EC4">
        <w:rPr>
          <w:rFonts w:ascii="Gadugi" w:hAnsi="Gadugi" w:cs="Arial"/>
          <w:sz w:val="24"/>
          <w:szCs w:val="24"/>
        </w:rPr>
        <w:t>Notifíquese la decisión a las partes en la forma prevista en el artículo 5º del Decreto 306 de 1992</w:t>
      </w:r>
      <w:r w:rsidRPr="00314EC4">
        <w:rPr>
          <w:rFonts w:ascii="Gadugi" w:hAnsi="Gadugi" w:cs="Arial"/>
          <w:sz w:val="24"/>
          <w:szCs w:val="24"/>
          <w:lang w:val="es-419"/>
        </w:rPr>
        <w:t>, y si no es impugnada rem</w:t>
      </w:r>
      <w:proofErr w:type="spellStart"/>
      <w:r w:rsidRPr="00314EC4">
        <w:rPr>
          <w:rFonts w:ascii="Gadugi" w:hAnsi="Gadugi" w:cs="Arial"/>
          <w:sz w:val="24"/>
          <w:szCs w:val="24"/>
          <w:lang w:val="es-CO"/>
        </w:rPr>
        <w:t>ítase</w:t>
      </w:r>
      <w:proofErr w:type="spellEnd"/>
      <w:r w:rsidRPr="00314EC4">
        <w:rPr>
          <w:rFonts w:ascii="Gadugi" w:hAnsi="Gadugi" w:cs="Arial"/>
          <w:sz w:val="24"/>
          <w:szCs w:val="24"/>
          <w:lang w:val="es-CO"/>
        </w:rPr>
        <w:t xml:space="preserve"> a la Corte Constitucional para su eventual revisión.</w:t>
      </w:r>
    </w:p>
    <w:p w:rsidR="00E35D8D" w:rsidRPr="00314EC4" w:rsidRDefault="00E35D8D" w:rsidP="00E35D8D">
      <w:pPr>
        <w:spacing w:line="276" w:lineRule="auto"/>
        <w:ind w:firstLine="2835"/>
        <w:jc w:val="both"/>
        <w:rPr>
          <w:rFonts w:ascii="Gadugi" w:hAnsi="Gadugi" w:cs="Arial"/>
          <w:sz w:val="24"/>
          <w:szCs w:val="24"/>
          <w:lang w:val="es-CO"/>
        </w:rPr>
      </w:pPr>
    </w:p>
    <w:p w:rsidR="00E35D8D" w:rsidRPr="00314EC4" w:rsidRDefault="00E35D8D" w:rsidP="00E35D8D">
      <w:pPr>
        <w:spacing w:line="276" w:lineRule="auto"/>
        <w:ind w:firstLine="2835"/>
        <w:jc w:val="both"/>
        <w:rPr>
          <w:rFonts w:ascii="Gadugi" w:hAnsi="Gadugi" w:cs="Arial"/>
          <w:sz w:val="24"/>
          <w:szCs w:val="24"/>
          <w:lang w:val="es-419"/>
        </w:rPr>
      </w:pPr>
      <w:r w:rsidRPr="00314EC4">
        <w:rPr>
          <w:rFonts w:ascii="Gadugi" w:hAnsi="Gadugi" w:cs="Arial"/>
          <w:sz w:val="24"/>
          <w:szCs w:val="24"/>
          <w:lang w:val="es-CO"/>
        </w:rPr>
        <w:t xml:space="preserve">A su regreso, archívese el expediente. </w:t>
      </w:r>
    </w:p>
    <w:p w:rsidR="00E35D8D" w:rsidRPr="00314EC4" w:rsidRDefault="00E35D8D" w:rsidP="00E35D8D">
      <w:pPr>
        <w:spacing w:line="276" w:lineRule="auto"/>
        <w:ind w:firstLine="2835"/>
        <w:jc w:val="both"/>
        <w:rPr>
          <w:rFonts w:ascii="Gadugi" w:hAnsi="Gadugi" w:cs="Arial"/>
          <w:sz w:val="24"/>
          <w:szCs w:val="24"/>
        </w:rPr>
      </w:pPr>
    </w:p>
    <w:p w:rsidR="00E35D8D" w:rsidRPr="00314EC4" w:rsidRDefault="00E35D8D" w:rsidP="00E35D8D">
      <w:pPr>
        <w:spacing w:line="276" w:lineRule="auto"/>
        <w:ind w:firstLine="2835"/>
        <w:jc w:val="both"/>
        <w:rPr>
          <w:rFonts w:ascii="Gadugi" w:hAnsi="Gadugi" w:cs="Arial"/>
          <w:bCs/>
          <w:sz w:val="24"/>
          <w:szCs w:val="24"/>
        </w:rPr>
      </w:pPr>
      <w:r w:rsidRPr="00314EC4">
        <w:rPr>
          <w:rFonts w:ascii="Gadugi" w:hAnsi="Gadugi" w:cs="Arial"/>
          <w:bCs/>
          <w:sz w:val="24"/>
          <w:szCs w:val="24"/>
        </w:rPr>
        <w:t>Los Magistrados,</w:t>
      </w:r>
    </w:p>
    <w:p w:rsidR="00E35D8D" w:rsidRPr="00314EC4" w:rsidRDefault="00E35D8D" w:rsidP="00E35D8D">
      <w:pPr>
        <w:spacing w:line="276" w:lineRule="auto"/>
        <w:ind w:firstLine="2835"/>
        <w:jc w:val="both"/>
        <w:rPr>
          <w:rFonts w:ascii="Gadugi" w:hAnsi="Gadugi" w:cs="Arial"/>
          <w:b/>
          <w:sz w:val="24"/>
          <w:szCs w:val="24"/>
        </w:rPr>
      </w:pPr>
    </w:p>
    <w:p w:rsidR="00E35D8D" w:rsidRPr="00314EC4" w:rsidRDefault="00E35D8D" w:rsidP="00E35D8D">
      <w:pPr>
        <w:spacing w:line="276" w:lineRule="auto"/>
        <w:ind w:firstLine="2835"/>
        <w:jc w:val="both"/>
        <w:rPr>
          <w:rFonts w:ascii="Gadugi" w:hAnsi="Gadugi" w:cs="Arial"/>
          <w:b/>
          <w:sz w:val="24"/>
          <w:szCs w:val="24"/>
        </w:rPr>
      </w:pPr>
    </w:p>
    <w:p w:rsidR="00E35D8D" w:rsidRPr="00314EC4" w:rsidRDefault="00E35D8D" w:rsidP="00E35D8D">
      <w:pPr>
        <w:spacing w:line="276" w:lineRule="auto"/>
        <w:ind w:firstLine="2835"/>
        <w:jc w:val="both"/>
        <w:rPr>
          <w:rFonts w:ascii="Gadugi" w:hAnsi="Gadugi" w:cs="Arial"/>
          <w:b/>
          <w:sz w:val="24"/>
          <w:szCs w:val="24"/>
        </w:rPr>
      </w:pPr>
    </w:p>
    <w:p w:rsidR="00E35D8D" w:rsidRPr="00314EC4" w:rsidRDefault="00E35D8D" w:rsidP="00E35D8D">
      <w:pPr>
        <w:spacing w:line="276" w:lineRule="auto"/>
        <w:ind w:firstLine="2835"/>
        <w:jc w:val="both"/>
        <w:rPr>
          <w:rFonts w:ascii="Gadugi" w:hAnsi="Gadugi" w:cs="Arial"/>
          <w:b/>
          <w:sz w:val="24"/>
          <w:szCs w:val="24"/>
        </w:rPr>
      </w:pPr>
      <w:r w:rsidRPr="00314EC4">
        <w:rPr>
          <w:rFonts w:ascii="Gadugi" w:hAnsi="Gadugi" w:cs="Arial"/>
          <w:b/>
          <w:sz w:val="24"/>
          <w:szCs w:val="24"/>
        </w:rPr>
        <w:t>JAIME ALBERTO SARAZA NARANJO</w:t>
      </w:r>
    </w:p>
    <w:p w:rsidR="00E35D8D" w:rsidRPr="00314EC4" w:rsidRDefault="00E35D8D" w:rsidP="00E35D8D">
      <w:pPr>
        <w:spacing w:line="276" w:lineRule="auto"/>
        <w:jc w:val="both"/>
        <w:rPr>
          <w:rFonts w:ascii="Gadugi" w:hAnsi="Gadugi" w:cs="Arial"/>
          <w:b/>
          <w:sz w:val="24"/>
          <w:szCs w:val="24"/>
        </w:rPr>
      </w:pPr>
    </w:p>
    <w:p w:rsidR="00E35D8D" w:rsidRPr="00314EC4" w:rsidRDefault="00E35D8D" w:rsidP="00E35D8D">
      <w:pPr>
        <w:spacing w:line="276" w:lineRule="auto"/>
        <w:jc w:val="both"/>
        <w:rPr>
          <w:rFonts w:ascii="Gadugi" w:hAnsi="Gadugi" w:cs="Arial"/>
          <w:b/>
          <w:sz w:val="24"/>
          <w:szCs w:val="24"/>
        </w:rPr>
      </w:pPr>
    </w:p>
    <w:p w:rsidR="00E35D8D" w:rsidRPr="00314EC4" w:rsidRDefault="00E35D8D" w:rsidP="00E35D8D">
      <w:pPr>
        <w:spacing w:line="276" w:lineRule="auto"/>
        <w:jc w:val="both"/>
        <w:rPr>
          <w:rFonts w:ascii="Gadugi" w:hAnsi="Gadugi" w:cs="Arial"/>
          <w:b/>
          <w:sz w:val="24"/>
          <w:szCs w:val="24"/>
        </w:rPr>
      </w:pPr>
    </w:p>
    <w:p w:rsidR="00E35D8D" w:rsidRDefault="00E35D8D" w:rsidP="00E35D8D">
      <w:pPr>
        <w:spacing w:line="276" w:lineRule="auto"/>
        <w:jc w:val="both"/>
        <w:rPr>
          <w:rFonts w:ascii="Gadugi" w:hAnsi="Gadugi" w:cs="Arial"/>
          <w:b/>
          <w:sz w:val="24"/>
          <w:szCs w:val="24"/>
          <w:lang w:val="es-ES_tradnl"/>
        </w:rPr>
      </w:pPr>
      <w:r w:rsidRPr="00314EC4">
        <w:rPr>
          <w:rFonts w:ascii="Gadugi" w:hAnsi="Gadugi" w:cs="Arial"/>
          <w:b/>
          <w:sz w:val="24"/>
          <w:szCs w:val="24"/>
          <w:lang w:val="es-ES_tradnl"/>
        </w:rPr>
        <w:t xml:space="preserve">CLAUDIA MARÍA ARCILA RÍOS  </w:t>
      </w:r>
      <w:r w:rsidRPr="00314EC4">
        <w:rPr>
          <w:rFonts w:ascii="Gadugi" w:hAnsi="Gadugi" w:cs="Arial"/>
          <w:b/>
          <w:sz w:val="24"/>
          <w:szCs w:val="24"/>
          <w:lang w:val="es-ES_tradnl"/>
        </w:rPr>
        <w:tab/>
      </w:r>
      <w:r w:rsidRPr="00314EC4">
        <w:rPr>
          <w:rFonts w:ascii="Gadugi" w:hAnsi="Gadugi" w:cs="Arial"/>
          <w:b/>
          <w:sz w:val="24"/>
          <w:szCs w:val="24"/>
          <w:lang w:val="es-ES_tradnl"/>
        </w:rPr>
        <w:tab/>
        <w:t xml:space="preserve">    </w:t>
      </w:r>
      <w:proofErr w:type="spellStart"/>
      <w:r w:rsidRPr="00314EC4">
        <w:rPr>
          <w:rFonts w:ascii="Gadugi" w:hAnsi="Gadugi" w:cs="Arial"/>
          <w:b/>
          <w:sz w:val="24"/>
          <w:szCs w:val="24"/>
          <w:lang w:val="es-ES_tradnl"/>
        </w:rPr>
        <w:t>DUBERNEY</w:t>
      </w:r>
      <w:proofErr w:type="spellEnd"/>
      <w:r w:rsidRPr="00314EC4">
        <w:rPr>
          <w:rFonts w:ascii="Gadugi" w:hAnsi="Gadugi" w:cs="Arial"/>
          <w:b/>
          <w:sz w:val="24"/>
          <w:szCs w:val="24"/>
          <w:lang w:val="es-ES_tradnl"/>
        </w:rPr>
        <w:t xml:space="preserve"> GRISALES HERRERA </w:t>
      </w:r>
    </w:p>
    <w:p w:rsidR="00E35D8D" w:rsidRPr="007C0BC0" w:rsidRDefault="00E35D8D" w:rsidP="00E35D8D">
      <w:pPr>
        <w:spacing w:line="276" w:lineRule="auto"/>
        <w:jc w:val="both"/>
        <w:rPr>
          <w:rFonts w:ascii="Gadugi" w:hAnsi="Gadugi"/>
          <w:sz w:val="24"/>
          <w:szCs w:val="24"/>
        </w:rPr>
      </w:pPr>
      <w:r>
        <w:rPr>
          <w:rFonts w:ascii="Gadugi" w:hAnsi="Gadugi" w:cs="Arial"/>
          <w:b/>
          <w:sz w:val="24"/>
          <w:szCs w:val="24"/>
          <w:lang w:val="es-ES_tradnl"/>
        </w:rPr>
        <w:t xml:space="preserve">  </w:t>
      </w:r>
      <w:r>
        <w:rPr>
          <w:rFonts w:ascii="Gadugi" w:hAnsi="Gadugi" w:cs="Arial"/>
          <w:b/>
          <w:sz w:val="24"/>
          <w:szCs w:val="24"/>
          <w:lang w:val="es-419"/>
        </w:rPr>
        <w:t xml:space="preserve">     </w:t>
      </w:r>
      <w:r w:rsidRPr="007C0BC0">
        <w:rPr>
          <w:rFonts w:ascii="Gadugi" w:hAnsi="Gadugi" w:cs="Arial"/>
          <w:sz w:val="24"/>
          <w:szCs w:val="24"/>
          <w:lang w:val="es-ES_tradnl"/>
        </w:rPr>
        <w:t xml:space="preserve">En uso de permiso </w:t>
      </w:r>
      <w:r w:rsidRPr="007C0BC0">
        <w:rPr>
          <w:rFonts w:ascii="Gadugi" w:hAnsi="Gadugi"/>
          <w:sz w:val="24"/>
          <w:szCs w:val="24"/>
          <w:lang w:val="es-419"/>
        </w:rPr>
        <w:t xml:space="preserve"> </w:t>
      </w:r>
      <w:r w:rsidRPr="007C0BC0">
        <w:rPr>
          <w:rFonts w:ascii="Gadugi" w:hAnsi="Gadugi" w:cs="Arial"/>
          <w:b/>
          <w:sz w:val="24"/>
          <w:szCs w:val="24"/>
          <w:lang w:val="es-ES_tradnl"/>
        </w:rPr>
        <w:tab/>
      </w:r>
      <w:r w:rsidRPr="007C0BC0">
        <w:rPr>
          <w:rFonts w:ascii="Gadugi" w:hAnsi="Gadugi" w:cs="Arial"/>
          <w:b/>
          <w:sz w:val="24"/>
          <w:szCs w:val="24"/>
          <w:lang w:val="es-ES_tradnl"/>
        </w:rPr>
        <w:tab/>
      </w:r>
      <w:r w:rsidRPr="007C0BC0">
        <w:rPr>
          <w:rFonts w:ascii="Gadugi" w:hAnsi="Gadugi" w:cs="Arial"/>
          <w:b/>
          <w:sz w:val="24"/>
          <w:szCs w:val="24"/>
          <w:lang w:val="es-ES_tradnl"/>
        </w:rPr>
        <w:tab/>
      </w:r>
      <w:r w:rsidRPr="007C0BC0">
        <w:rPr>
          <w:rFonts w:ascii="Gadugi" w:hAnsi="Gadugi" w:cs="Arial"/>
          <w:b/>
          <w:sz w:val="24"/>
          <w:szCs w:val="24"/>
          <w:lang w:val="es-ES_tradnl"/>
        </w:rPr>
        <w:tab/>
      </w:r>
      <w:r w:rsidRPr="007C0BC0">
        <w:rPr>
          <w:rFonts w:ascii="Gadugi" w:hAnsi="Gadugi" w:cs="Arial"/>
          <w:b/>
          <w:sz w:val="24"/>
          <w:szCs w:val="24"/>
          <w:lang w:val="es-ES_tradnl"/>
        </w:rPr>
        <w:tab/>
      </w:r>
      <w:r w:rsidRPr="007C0BC0">
        <w:rPr>
          <w:rFonts w:ascii="Gadugi" w:hAnsi="Gadugi" w:cs="Arial"/>
          <w:sz w:val="24"/>
          <w:szCs w:val="24"/>
          <w:lang w:val="es-ES_tradnl"/>
        </w:rPr>
        <w:t xml:space="preserve">         </w:t>
      </w:r>
    </w:p>
    <w:p w:rsidR="00E35D8D" w:rsidRPr="00314EC4" w:rsidRDefault="00E35D8D" w:rsidP="00E35D8D">
      <w:pPr>
        <w:pStyle w:val="Sansinterligne1"/>
        <w:spacing w:line="276" w:lineRule="auto"/>
        <w:ind w:right="51"/>
        <w:jc w:val="both"/>
        <w:rPr>
          <w:rFonts w:ascii="Gadugi" w:hAnsi="Gadugi" w:cs="Arial"/>
          <w:u w:val="single"/>
        </w:rPr>
      </w:pPr>
    </w:p>
    <w:p w:rsidR="00E35D8D" w:rsidRPr="00FE5CA6" w:rsidRDefault="00E35D8D" w:rsidP="00E35D8D">
      <w:pPr>
        <w:spacing w:line="276" w:lineRule="auto"/>
        <w:ind w:right="51" w:firstLine="2835"/>
        <w:jc w:val="both"/>
        <w:rPr>
          <w:rFonts w:ascii="Gadugi" w:hAnsi="Gadugi" w:cs="Century Gothic"/>
          <w:sz w:val="24"/>
          <w:szCs w:val="24"/>
        </w:rPr>
      </w:pPr>
    </w:p>
    <w:p w:rsidR="00E35D8D" w:rsidRPr="00ED3920" w:rsidRDefault="00E35D8D" w:rsidP="00E35D8D">
      <w:pPr>
        <w:spacing w:line="276" w:lineRule="auto"/>
        <w:jc w:val="both"/>
        <w:rPr>
          <w:rFonts w:ascii="Century Gothic" w:hAnsi="Century Gothic" w:cs="Century Gothic"/>
          <w:color w:val="FF0000"/>
          <w:sz w:val="24"/>
          <w:szCs w:val="24"/>
        </w:rPr>
      </w:pPr>
      <w:r w:rsidRPr="00ED3920">
        <w:rPr>
          <w:rFonts w:ascii="Century Gothic" w:hAnsi="Century Gothic" w:cs="Century Gothic"/>
          <w:color w:val="FF0000"/>
          <w:sz w:val="24"/>
          <w:szCs w:val="24"/>
        </w:rPr>
        <w:t xml:space="preserve">  </w:t>
      </w:r>
      <w:r w:rsidRPr="00ED3920">
        <w:rPr>
          <w:rFonts w:ascii="Century Gothic" w:hAnsi="Century Gothic" w:cs="Century Gothic"/>
          <w:color w:val="FF0000"/>
          <w:sz w:val="24"/>
          <w:szCs w:val="24"/>
        </w:rPr>
        <w:tab/>
      </w:r>
      <w:r w:rsidRPr="00ED3920">
        <w:rPr>
          <w:rFonts w:ascii="Century Gothic" w:hAnsi="Century Gothic" w:cs="Century Gothic"/>
          <w:color w:val="FF0000"/>
          <w:sz w:val="24"/>
          <w:szCs w:val="24"/>
        </w:rPr>
        <w:tab/>
      </w:r>
      <w:r w:rsidRPr="00ED3920">
        <w:rPr>
          <w:rFonts w:ascii="Century Gothic" w:hAnsi="Century Gothic" w:cs="Century Gothic"/>
          <w:color w:val="FF0000"/>
          <w:sz w:val="24"/>
          <w:szCs w:val="24"/>
        </w:rPr>
        <w:tab/>
      </w:r>
      <w:r w:rsidRPr="00ED3920">
        <w:rPr>
          <w:rFonts w:ascii="Century Gothic" w:hAnsi="Century Gothic" w:cs="Century Gothic"/>
          <w:color w:val="FF0000"/>
          <w:sz w:val="24"/>
          <w:szCs w:val="24"/>
        </w:rPr>
        <w:tab/>
      </w:r>
    </w:p>
    <w:p w:rsidR="00E35D8D" w:rsidRPr="00ED3920" w:rsidRDefault="00E35D8D" w:rsidP="00E35D8D">
      <w:pPr>
        <w:spacing w:line="276" w:lineRule="auto"/>
        <w:ind w:right="51" w:firstLine="2835"/>
        <w:jc w:val="both"/>
        <w:rPr>
          <w:rFonts w:ascii="Century Gothic" w:hAnsi="Century Gothic" w:cs="Century Gothic"/>
          <w:color w:val="FF0000"/>
          <w:sz w:val="24"/>
          <w:szCs w:val="24"/>
        </w:rPr>
      </w:pPr>
    </w:p>
    <w:p w:rsidR="00E35D8D" w:rsidRPr="005871FB" w:rsidRDefault="00E35D8D" w:rsidP="00E35D8D">
      <w:pPr>
        <w:spacing w:line="276" w:lineRule="auto"/>
        <w:ind w:right="334" w:firstLine="2835"/>
        <w:jc w:val="both"/>
        <w:rPr>
          <w:rFonts w:ascii="Gadugi" w:hAnsi="Gadugi" w:cs="Arial"/>
          <w:b/>
          <w:bCs/>
          <w:sz w:val="24"/>
          <w:szCs w:val="24"/>
          <w:lang w:val="es-419"/>
        </w:rPr>
      </w:pPr>
    </w:p>
    <w:p w:rsidR="005F1135" w:rsidRDefault="009359D0">
      <w:bookmarkStart w:id="0" w:name="_GoBack"/>
      <w:bookmarkEnd w:id="0"/>
    </w:p>
    <w:sectPr w:rsidR="005F1135" w:rsidSect="00E35D8D">
      <w:footerReference w:type="default" r:id="rId7"/>
      <w:pgSz w:w="12242" w:h="18722" w:code="119"/>
      <w:pgMar w:top="2268" w:right="1701" w:bottom="1985" w:left="1701" w:header="567" w:footer="113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59D0" w:rsidRDefault="009359D0" w:rsidP="00E35D8D">
      <w:r>
        <w:separator/>
      </w:r>
    </w:p>
  </w:endnote>
  <w:endnote w:type="continuationSeparator" w:id="0">
    <w:p w:rsidR="009359D0" w:rsidRDefault="009359D0" w:rsidP="00E35D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erpetua">
    <w:panose1 w:val="02020502060401020303"/>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Gadugi">
    <w:panose1 w:val="020B0502040204020203"/>
    <w:charset w:val="00"/>
    <w:family w:val="swiss"/>
    <w:pitch w:val="variable"/>
    <w:sig w:usb0="80000003" w:usb1="00000000" w:usb2="00003000" w:usb3="00000000" w:csb0="00000001"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045" w:rsidRDefault="000920C0">
    <w:pPr>
      <w:pStyle w:val="Pieddepage"/>
      <w:framePr w:wrap="auto"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9F7797">
      <w:rPr>
        <w:rStyle w:val="Numrodepage"/>
        <w:noProof/>
      </w:rPr>
      <w:t>8</w:t>
    </w:r>
    <w:r>
      <w:rPr>
        <w:rStyle w:val="Numrodepage"/>
      </w:rPr>
      <w:fldChar w:fldCharType="end"/>
    </w:r>
  </w:p>
  <w:p w:rsidR="00BE0045" w:rsidRDefault="009359D0">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59D0" w:rsidRDefault="009359D0" w:rsidP="00E35D8D">
      <w:r>
        <w:separator/>
      </w:r>
    </w:p>
  </w:footnote>
  <w:footnote w:type="continuationSeparator" w:id="0">
    <w:p w:rsidR="009359D0" w:rsidRDefault="009359D0" w:rsidP="00E35D8D">
      <w:r>
        <w:continuationSeparator/>
      </w:r>
    </w:p>
  </w:footnote>
  <w:footnote w:id="1">
    <w:p w:rsidR="00E35D8D" w:rsidRDefault="00E35D8D" w:rsidP="00E35D8D">
      <w:pPr>
        <w:pStyle w:val="Notedebasdepage"/>
        <w:jc w:val="both"/>
      </w:pPr>
      <w:r w:rsidRPr="002C2A65">
        <w:rPr>
          <w:vertAlign w:val="superscript"/>
        </w:rPr>
        <w:footnoteRef/>
      </w:r>
      <w:r w:rsidRPr="002C2A65">
        <w:t xml:space="preserve"> </w:t>
      </w:r>
      <w:r w:rsidRPr="002C2A65">
        <w:rPr>
          <w:lang w:val="es-CO"/>
        </w:rPr>
        <w:t xml:space="preserve">T-575 de 2015 </w:t>
      </w:r>
      <w:proofErr w:type="spellStart"/>
      <w:r w:rsidRPr="002C2A65">
        <w:rPr>
          <w:lang w:val="es-CO"/>
        </w:rPr>
        <w:t>M.P</w:t>
      </w:r>
      <w:proofErr w:type="spellEnd"/>
      <w:r w:rsidRPr="002C2A65">
        <w:rPr>
          <w:lang w:val="es-CO"/>
        </w:rPr>
        <w:t>. Gabriel Eduardo Mendoza Martelo.</w:t>
      </w:r>
    </w:p>
  </w:footnote>
  <w:footnote w:id="2">
    <w:p w:rsidR="00E35D8D" w:rsidRPr="00AC62FB" w:rsidRDefault="00E35D8D" w:rsidP="00E35D8D">
      <w:pPr>
        <w:pStyle w:val="Notedebasdepage"/>
        <w:rPr>
          <w:rFonts w:ascii="Agency FB" w:hAnsi="Agency FB"/>
          <w:lang w:val="es-CO"/>
        </w:rPr>
      </w:pPr>
      <w:r w:rsidRPr="00AC62FB">
        <w:rPr>
          <w:rStyle w:val="Appelnotedebasdep"/>
          <w:rFonts w:ascii="Agency FB" w:hAnsi="Agency FB"/>
        </w:rPr>
        <w:footnoteRef/>
      </w:r>
      <w:r w:rsidRPr="00AC62FB">
        <w:rPr>
          <w:rFonts w:ascii="Agency FB" w:hAnsi="Agency FB"/>
        </w:rPr>
        <w:t xml:space="preserve"> </w:t>
      </w:r>
      <w:r w:rsidRPr="00AC62FB">
        <w:rPr>
          <w:rFonts w:ascii="Agency FB" w:hAnsi="Agency FB"/>
          <w:lang w:val="es-CO"/>
        </w:rPr>
        <w:t>Sentencia T-</w:t>
      </w:r>
      <w:r>
        <w:rPr>
          <w:rFonts w:ascii="Agency FB" w:hAnsi="Agency FB"/>
          <w:lang w:val="es-419"/>
        </w:rPr>
        <w:t>593 de 2016</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CF4"/>
    <w:rsid w:val="000920C0"/>
    <w:rsid w:val="00543CF4"/>
    <w:rsid w:val="008C2308"/>
    <w:rsid w:val="009359D0"/>
    <w:rsid w:val="009F7797"/>
    <w:rsid w:val="00B82871"/>
    <w:rsid w:val="00E35D8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5D8D"/>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s-ES"/>
    </w:rPr>
  </w:style>
  <w:style w:type="paragraph" w:styleId="Titre4">
    <w:name w:val="heading 4"/>
    <w:basedOn w:val="Normal"/>
    <w:next w:val="Normal"/>
    <w:link w:val="Titre4Car"/>
    <w:qFormat/>
    <w:rsid w:val="00E35D8D"/>
    <w:pPr>
      <w:keepNext/>
      <w:spacing w:line="312" w:lineRule="auto"/>
      <w:ind w:firstLine="2835"/>
      <w:jc w:val="both"/>
      <w:outlineLvl w:val="3"/>
    </w:pPr>
    <w:rPr>
      <w:rFonts w:ascii="Perpetua" w:hAnsi="Perpetua"/>
      <w:sz w:val="28"/>
      <w:lang w:val="es-MX"/>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rsid w:val="00E35D8D"/>
    <w:rPr>
      <w:rFonts w:ascii="Perpetua" w:eastAsia="Times New Roman" w:hAnsi="Perpetua" w:cs="Times New Roman"/>
      <w:sz w:val="28"/>
      <w:szCs w:val="20"/>
      <w:lang w:val="es-MX" w:eastAsia="es-ES"/>
    </w:rPr>
  </w:style>
  <w:style w:type="paragraph" w:customStyle="1" w:styleId="Corpsdetexte21">
    <w:name w:val="Corps de texte 21"/>
    <w:basedOn w:val="Normal"/>
    <w:rsid w:val="00E35D8D"/>
    <w:pPr>
      <w:spacing w:line="360" w:lineRule="auto"/>
      <w:ind w:firstLine="2835"/>
      <w:jc w:val="both"/>
    </w:pPr>
    <w:rPr>
      <w:rFonts w:ascii="Verdana" w:hAnsi="Verdana"/>
      <w:sz w:val="24"/>
    </w:rPr>
  </w:style>
  <w:style w:type="paragraph" w:styleId="Pieddepage">
    <w:name w:val="footer"/>
    <w:basedOn w:val="Normal"/>
    <w:link w:val="PieddepageCar"/>
    <w:rsid w:val="00E35D8D"/>
    <w:pPr>
      <w:tabs>
        <w:tab w:val="center" w:pos="4419"/>
        <w:tab w:val="right" w:pos="8838"/>
      </w:tabs>
    </w:pPr>
  </w:style>
  <w:style w:type="character" w:customStyle="1" w:styleId="PieddepageCar">
    <w:name w:val="Pied de page Car"/>
    <w:basedOn w:val="Policepardfaut"/>
    <w:link w:val="Pieddepage"/>
    <w:rsid w:val="00E35D8D"/>
    <w:rPr>
      <w:rFonts w:ascii="Times New Roman" w:eastAsia="Times New Roman" w:hAnsi="Times New Roman" w:cs="Times New Roman"/>
      <w:sz w:val="20"/>
      <w:szCs w:val="20"/>
      <w:lang w:eastAsia="es-ES"/>
    </w:rPr>
  </w:style>
  <w:style w:type="character" w:styleId="Numrodepage">
    <w:name w:val="page number"/>
    <w:basedOn w:val="Policepardfaut"/>
    <w:rsid w:val="00E35D8D"/>
  </w:style>
  <w:style w:type="paragraph" w:styleId="Notedebasdepage">
    <w:name w:val="footnote text"/>
    <w:aliases w:val="Footnote Text Char,Footnote Text Char Char Char Char,Footnote Text Char Char Char Char Char Char Char Char,Footnote Text Char Char Char Char Char Char1,Footnote Text Char Char Char Char Char Char Char1,Footnote referenc,f"/>
    <w:basedOn w:val="Normal"/>
    <w:link w:val="NotedebasdepageCar"/>
    <w:uiPriority w:val="99"/>
    <w:qFormat/>
    <w:rsid w:val="00E35D8D"/>
  </w:style>
  <w:style w:type="character" w:customStyle="1" w:styleId="TextonotapieCar">
    <w:name w:val="Texto nota pie Car"/>
    <w:basedOn w:val="Policepardfaut"/>
    <w:uiPriority w:val="99"/>
    <w:semiHidden/>
    <w:rsid w:val="00E35D8D"/>
    <w:rPr>
      <w:rFonts w:ascii="Times New Roman" w:eastAsia="Times New Roman" w:hAnsi="Times New Roman" w:cs="Times New Roman"/>
      <w:sz w:val="20"/>
      <w:szCs w:val="20"/>
      <w:lang w:eastAsia="es-ES"/>
    </w:rPr>
  </w:style>
  <w:style w:type="character" w:styleId="Appelnotedebasdep">
    <w:name w:val="footnote reference"/>
    <w:aliases w:val="Texto de nota al pie,referencia nota al pie,Appel note de bas de page,Footnotes refss,Fago Fußnotenzeichen,Nota a pie,Ref. de nota al pie 2,Footnote symbol,Footnote,Char Car Car Car Ca,Ref. de nota al pie2,Nota de pie,R"/>
    <w:rsid w:val="00E35D8D"/>
    <w:rPr>
      <w:vertAlign w:val="superscript"/>
    </w:rPr>
  </w:style>
  <w:style w:type="character" w:customStyle="1" w:styleId="NotedebasdepageCar">
    <w:name w:val="Note de bas de page Car"/>
    <w:aliases w:val="Footnote Text Char Car,Footnote Text Char Char Char Char Car,Footnote Text Char Char Char Char Char Char Char Char Car,Footnote Text Char Char Char Char Char Char1 Car,Footnote Text Char Char Char Char Char Char Char1 Car,f Car"/>
    <w:basedOn w:val="Policepardfaut"/>
    <w:link w:val="Notedebasdepage"/>
    <w:uiPriority w:val="99"/>
    <w:locked/>
    <w:rsid w:val="00E35D8D"/>
    <w:rPr>
      <w:rFonts w:ascii="Times New Roman" w:eastAsia="Times New Roman" w:hAnsi="Times New Roman" w:cs="Times New Roman"/>
      <w:sz w:val="20"/>
      <w:szCs w:val="20"/>
      <w:lang w:eastAsia="es-ES"/>
    </w:rPr>
  </w:style>
  <w:style w:type="paragraph" w:customStyle="1" w:styleId="Sansinterligne1">
    <w:name w:val="Sans interligne1"/>
    <w:link w:val="NoSpacingChar"/>
    <w:rsid w:val="00E35D8D"/>
    <w:pPr>
      <w:overflowPunct w:val="0"/>
      <w:autoSpaceDE w:val="0"/>
      <w:autoSpaceDN w:val="0"/>
      <w:adjustRightInd w:val="0"/>
      <w:spacing w:after="0" w:line="240" w:lineRule="auto"/>
      <w:textAlignment w:val="baseline"/>
    </w:pPr>
    <w:rPr>
      <w:rFonts w:ascii="Times New Roman" w:eastAsia="Times New Roman" w:hAnsi="Times New Roman" w:cs="Times New Roman"/>
      <w:sz w:val="28"/>
      <w:szCs w:val="28"/>
      <w:lang w:val="es-CO" w:eastAsia="es-ES"/>
    </w:rPr>
  </w:style>
  <w:style w:type="character" w:customStyle="1" w:styleId="NoSpacingChar">
    <w:name w:val="No Spacing Char"/>
    <w:link w:val="Sansinterligne1"/>
    <w:locked/>
    <w:rsid w:val="00E35D8D"/>
    <w:rPr>
      <w:rFonts w:ascii="Times New Roman" w:eastAsia="Times New Roman" w:hAnsi="Times New Roman" w:cs="Times New Roman"/>
      <w:sz w:val="28"/>
      <w:szCs w:val="28"/>
      <w:lang w:val="es-CO" w:eastAsia="es-ES"/>
    </w:rPr>
  </w:style>
  <w:style w:type="paragraph" w:customStyle="1" w:styleId="Textoindependiente21">
    <w:name w:val="Texto independiente 21"/>
    <w:basedOn w:val="Normal"/>
    <w:rsid w:val="00E35D8D"/>
    <w:pPr>
      <w:overflowPunct/>
      <w:autoSpaceDE/>
      <w:autoSpaceDN/>
      <w:adjustRightInd/>
      <w:spacing w:line="336" w:lineRule="auto"/>
      <w:ind w:firstLine="2835"/>
      <w:jc w:val="both"/>
      <w:textAlignment w:val="auto"/>
    </w:pPr>
    <w:rPr>
      <w:rFonts w:ascii="Verdana" w:hAnsi="Verdana"/>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5D8D"/>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s-ES"/>
    </w:rPr>
  </w:style>
  <w:style w:type="paragraph" w:styleId="Titre4">
    <w:name w:val="heading 4"/>
    <w:basedOn w:val="Normal"/>
    <w:next w:val="Normal"/>
    <w:link w:val="Titre4Car"/>
    <w:qFormat/>
    <w:rsid w:val="00E35D8D"/>
    <w:pPr>
      <w:keepNext/>
      <w:spacing w:line="312" w:lineRule="auto"/>
      <w:ind w:firstLine="2835"/>
      <w:jc w:val="both"/>
      <w:outlineLvl w:val="3"/>
    </w:pPr>
    <w:rPr>
      <w:rFonts w:ascii="Perpetua" w:hAnsi="Perpetua"/>
      <w:sz w:val="28"/>
      <w:lang w:val="es-MX"/>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rsid w:val="00E35D8D"/>
    <w:rPr>
      <w:rFonts w:ascii="Perpetua" w:eastAsia="Times New Roman" w:hAnsi="Perpetua" w:cs="Times New Roman"/>
      <w:sz w:val="28"/>
      <w:szCs w:val="20"/>
      <w:lang w:val="es-MX" w:eastAsia="es-ES"/>
    </w:rPr>
  </w:style>
  <w:style w:type="paragraph" w:customStyle="1" w:styleId="Corpsdetexte21">
    <w:name w:val="Corps de texte 21"/>
    <w:basedOn w:val="Normal"/>
    <w:rsid w:val="00E35D8D"/>
    <w:pPr>
      <w:spacing w:line="360" w:lineRule="auto"/>
      <w:ind w:firstLine="2835"/>
      <w:jc w:val="both"/>
    </w:pPr>
    <w:rPr>
      <w:rFonts w:ascii="Verdana" w:hAnsi="Verdana"/>
      <w:sz w:val="24"/>
    </w:rPr>
  </w:style>
  <w:style w:type="paragraph" w:styleId="Pieddepage">
    <w:name w:val="footer"/>
    <w:basedOn w:val="Normal"/>
    <w:link w:val="PieddepageCar"/>
    <w:rsid w:val="00E35D8D"/>
    <w:pPr>
      <w:tabs>
        <w:tab w:val="center" w:pos="4419"/>
        <w:tab w:val="right" w:pos="8838"/>
      </w:tabs>
    </w:pPr>
  </w:style>
  <w:style w:type="character" w:customStyle="1" w:styleId="PieddepageCar">
    <w:name w:val="Pied de page Car"/>
    <w:basedOn w:val="Policepardfaut"/>
    <w:link w:val="Pieddepage"/>
    <w:rsid w:val="00E35D8D"/>
    <w:rPr>
      <w:rFonts w:ascii="Times New Roman" w:eastAsia="Times New Roman" w:hAnsi="Times New Roman" w:cs="Times New Roman"/>
      <w:sz w:val="20"/>
      <w:szCs w:val="20"/>
      <w:lang w:eastAsia="es-ES"/>
    </w:rPr>
  </w:style>
  <w:style w:type="character" w:styleId="Numrodepage">
    <w:name w:val="page number"/>
    <w:basedOn w:val="Policepardfaut"/>
    <w:rsid w:val="00E35D8D"/>
  </w:style>
  <w:style w:type="paragraph" w:styleId="Notedebasdepage">
    <w:name w:val="footnote text"/>
    <w:aliases w:val="Footnote Text Char,Footnote Text Char Char Char Char,Footnote Text Char Char Char Char Char Char Char Char,Footnote Text Char Char Char Char Char Char1,Footnote Text Char Char Char Char Char Char Char1,Footnote referenc,f"/>
    <w:basedOn w:val="Normal"/>
    <w:link w:val="NotedebasdepageCar"/>
    <w:uiPriority w:val="99"/>
    <w:qFormat/>
    <w:rsid w:val="00E35D8D"/>
  </w:style>
  <w:style w:type="character" w:customStyle="1" w:styleId="TextonotapieCar">
    <w:name w:val="Texto nota pie Car"/>
    <w:basedOn w:val="Policepardfaut"/>
    <w:uiPriority w:val="99"/>
    <w:semiHidden/>
    <w:rsid w:val="00E35D8D"/>
    <w:rPr>
      <w:rFonts w:ascii="Times New Roman" w:eastAsia="Times New Roman" w:hAnsi="Times New Roman" w:cs="Times New Roman"/>
      <w:sz w:val="20"/>
      <w:szCs w:val="20"/>
      <w:lang w:eastAsia="es-ES"/>
    </w:rPr>
  </w:style>
  <w:style w:type="character" w:styleId="Appelnotedebasdep">
    <w:name w:val="footnote reference"/>
    <w:aliases w:val="Texto de nota al pie,referencia nota al pie,Appel note de bas de page,Footnotes refss,Fago Fußnotenzeichen,Nota a pie,Ref. de nota al pie 2,Footnote symbol,Footnote,Char Car Car Car Ca,Ref. de nota al pie2,Nota de pie,R"/>
    <w:rsid w:val="00E35D8D"/>
    <w:rPr>
      <w:vertAlign w:val="superscript"/>
    </w:rPr>
  </w:style>
  <w:style w:type="character" w:customStyle="1" w:styleId="NotedebasdepageCar">
    <w:name w:val="Note de bas de page Car"/>
    <w:aliases w:val="Footnote Text Char Car,Footnote Text Char Char Char Char Car,Footnote Text Char Char Char Char Char Char Char Char Car,Footnote Text Char Char Char Char Char Char1 Car,Footnote Text Char Char Char Char Char Char Char1 Car,f Car"/>
    <w:basedOn w:val="Policepardfaut"/>
    <w:link w:val="Notedebasdepage"/>
    <w:uiPriority w:val="99"/>
    <w:locked/>
    <w:rsid w:val="00E35D8D"/>
    <w:rPr>
      <w:rFonts w:ascii="Times New Roman" w:eastAsia="Times New Roman" w:hAnsi="Times New Roman" w:cs="Times New Roman"/>
      <w:sz w:val="20"/>
      <w:szCs w:val="20"/>
      <w:lang w:eastAsia="es-ES"/>
    </w:rPr>
  </w:style>
  <w:style w:type="paragraph" w:customStyle="1" w:styleId="Sansinterligne1">
    <w:name w:val="Sans interligne1"/>
    <w:link w:val="NoSpacingChar"/>
    <w:rsid w:val="00E35D8D"/>
    <w:pPr>
      <w:overflowPunct w:val="0"/>
      <w:autoSpaceDE w:val="0"/>
      <w:autoSpaceDN w:val="0"/>
      <w:adjustRightInd w:val="0"/>
      <w:spacing w:after="0" w:line="240" w:lineRule="auto"/>
      <w:textAlignment w:val="baseline"/>
    </w:pPr>
    <w:rPr>
      <w:rFonts w:ascii="Times New Roman" w:eastAsia="Times New Roman" w:hAnsi="Times New Roman" w:cs="Times New Roman"/>
      <w:sz w:val="28"/>
      <w:szCs w:val="28"/>
      <w:lang w:val="es-CO" w:eastAsia="es-ES"/>
    </w:rPr>
  </w:style>
  <w:style w:type="character" w:customStyle="1" w:styleId="NoSpacingChar">
    <w:name w:val="No Spacing Char"/>
    <w:link w:val="Sansinterligne1"/>
    <w:locked/>
    <w:rsid w:val="00E35D8D"/>
    <w:rPr>
      <w:rFonts w:ascii="Times New Roman" w:eastAsia="Times New Roman" w:hAnsi="Times New Roman" w:cs="Times New Roman"/>
      <w:sz w:val="28"/>
      <w:szCs w:val="28"/>
      <w:lang w:val="es-CO" w:eastAsia="es-ES"/>
    </w:rPr>
  </w:style>
  <w:style w:type="paragraph" w:customStyle="1" w:styleId="Textoindependiente21">
    <w:name w:val="Texto independiente 21"/>
    <w:basedOn w:val="Normal"/>
    <w:rsid w:val="00E35D8D"/>
    <w:pPr>
      <w:overflowPunct/>
      <w:autoSpaceDE/>
      <w:autoSpaceDN/>
      <w:adjustRightInd/>
      <w:spacing w:line="336" w:lineRule="auto"/>
      <w:ind w:firstLine="2835"/>
      <w:jc w:val="both"/>
      <w:textAlignment w:val="auto"/>
    </w:pPr>
    <w:rPr>
      <w:rFonts w:ascii="Verdana" w:hAnsi="Verdan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8</Pages>
  <Words>2995</Words>
  <Characters>16476</Characters>
  <Application>Microsoft Office Word</Application>
  <DocSecurity>0</DocSecurity>
  <Lines>137</Lines>
  <Paragraphs>38</Paragraphs>
  <ScaleCrop>false</ScaleCrop>
  <Company/>
  <LinksUpToDate>false</LinksUpToDate>
  <CharactersWithSpaces>19433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 Lora Rodriguez</dc:creator>
  <cp:keywords/>
  <dc:description/>
  <cp:lastModifiedBy>Malucimedina</cp:lastModifiedBy>
  <cp:revision>3</cp:revision>
  <dcterms:created xsi:type="dcterms:W3CDTF">2017-02-27T19:09:00Z</dcterms:created>
  <dcterms:modified xsi:type="dcterms:W3CDTF">2017-03-01T15:02:00Z</dcterms:modified>
</cp:coreProperties>
</file>