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9C" w:rsidRPr="00837DC2" w:rsidRDefault="001854A6" w:rsidP="00837DC2">
      <w:pPr>
        <w:rPr>
          <w:rFonts w:ascii="Arial" w:hAnsi="Arial" w:cs="Arial"/>
          <w:bCs/>
          <w:sz w:val="18"/>
          <w:szCs w:val="18"/>
        </w:rPr>
      </w:pPr>
      <w:r w:rsidRPr="00837DC2">
        <w:rPr>
          <w:rFonts w:ascii="Arial" w:hAnsi="Arial" w:cs="Arial"/>
          <w:bCs/>
          <w:sz w:val="18"/>
          <w:szCs w:val="18"/>
        </w:rPr>
        <w:t xml:space="preserve">INCIDENTE DE DESACATO/ </w:t>
      </w:r>
      <w:r w:rsidR="00AA120D" w:rsidRPr="00837DC2">
        <w:rPr>
          <w:rFonts w:ascii="Arial" w:hAnsi="Arial" w:cs="Arial"/>
          <w:bCs/>
          <w:sz w:val="18"/>
          <w:szCs w:val="18"/>
        </w:rPr>
        <w:t xml:space="preserve">Cumplimiento del fallo en sede de consulta deja sin fundamento la sanción </w:t>
      </w:r>
    </w:p>
    <w:p w:rsidR="00AA120D" w:rsidRPr="00837DC2" w:rsidRDefault="00AA120D" w:rsidP="00837DC2">
      <w:pPr>
        <w:pStyle w:val="Sinespaciado"/>
        <w:jc w:val="both"/>
        <w:rPr>
          <w:rFonts w:ascii="Arial" w:hAnsi="Arial" w:cs="Arial"/>
          <w:bCs/>
          <w:sz w:val="18"/>
          <w:szCs w:val="18"/>
        </w:rPr>
      </w:pPr>
    </w:p>
    <w:p w:rsidR="00AA120D" w:rsidRPr="00837DC2" w:rsidRDefault="00AA120D" w:rsidP="00837DC2">
      <w:pPr>
        <w:pStyle w:val="Sinespaciado"/>
        <w:jc w:val="both"/>
        <w:rPr>
          <w:rFonts w:ascii="Arial" w:hAnsi="Arial" w:cs="Arial"/>
          <w:bCs/>
          <w:sz w:val="18"/>
          <w:szCs w:val="18"/>
        </w:rPr>
      </w:pPr>
      <w:r w:rsidRPr="00837DC2">
        <w:rPr>
          <w:rFonts w:ascii="Arial" w:hAnsi="Arial" w:cs="Arial"/>
          <w:bCs/>
          <w:sz w:val="18"/>
          <w:szCs w:val="18"/>
        </w:rPr>
        <w:t>“(…)</w:t>
      </w:r>
      <w:r w:rsidR="00837DC2" w:rsidRPr="00837DC2">
        <w:rPr>
          <w:rFonts w:ascii="Arial" w:hAnsi="Arial" w:cs="Arial"/>
          <w:bCs/>
          <w:sz w:val="18"/>
          <w:szCs w:val="18"/>
        </w:rPr>
        <w:t xml:space="preserve"> </w:t>
      </w:r>
      <w:r w:rsidR="00837DC2" w:rsidRPr="00837DC2">
        <w:rPr>
          <w:rFonts w:ascii="Arial" w:hAnsi="Arial" w:cs="Arial"/>
          <w:bCs/>
          <w:sz w:val="18"/>
          <w:szCs w:val="18"/>
        </w:rPr>
        <w:t xml:space="preserve">evidencia esta Sala de Decisión que en el expediente, ciertamente, obran elementos demostrativos que imponen señalar que, aunque de manera tardía, se adoptaron las determinaciones necesarias para acatar la orden que suscitó el trámite concluido mediante la providencia que es objeto de consulta, por consiguiente, resulta viable para esta Corporación </w:t>
      </w:r>
      <w:r w:rsidR="00837DC2" w:rsidRPr="00837DC2">
        <w:rPr>
          <w:rFonts w:ascii="Arial" w:hAnsi="Arial" w:cs="Arial"/>
          <w:sz w:val="18"/>
          <w:szCs w:val="18"/>
        </w:rPr>
        <w:t xml:space="preserve">declarar que se cumplió la orden impartida por </w:t>
      </w:r>
      <w:r w:rsidR="00837DC2" w:rsidRPr="00837DC2">
        <w:rPr>
          <w:rFonts w:ascii="Arial" w:hAnsi="Arial" w:cs="Arial"/>
          <w:sz w:val="18"/>
          <w:szCs w:val="18"/>
        </w:rPr>
        <w:t xml:space="preserve">el Juez constitucional </w:t>
      </w:r>
      <w:r w:rsidRPr="00837DC2">
        <w:rPr>
          <w:rFonts w:ascii="Arial" w:hAnsi="Arial" w:cs="Arial"/>
          <w:bCs/>
          <w:sz w:val="18"/>
          <w:szCs w:val="18"/>
        </w:rPr>
        <w:t>(</w:t>
      </w:r>
      <w:r w:rsidR="00837DC2" w:rsidRPr="00837DC2">
        <w:rPr>
          <w:rFonts w:ascii="Arial" w:hAnsi="Arial" w:cs="Arial"/>
          <w:bCs/>
          <w:sz w:val="18"/>
          <w:szCs w:val="18"/>
        </w:rPr>
        <w:t>…)”</w:t>
      </w:r>
    </w:p>
    <w:p w:rsidR="00AA120D" w:rsidRPr="00837DC2" w:rsidRDefault="00AA120D" w:rsidP="00837DC2">
      <w:pPr>
        <w:pStyle w:val="Sinespaciado"/>
        <w:jc w:val="both"/>
        <w:rPr>
          <w:rFonts w:ascii="Arial" w:hAnsi="Arial" w:cs="Arial"/>
          <w:bCs/>
          <w:sz w:val="18"/>
          <w:szCs w:val="18"/>
          <w:highlight w:val="cyan"/>
        </w:rPr>
      </w:pPr>
    </w:p>
    <w:p w:rsidR="00837DC2" w:rsidRPr="0056430F" w:rsidRDefault="0056430F" w:rsidP="00837DC2">
      <w:pPr>
        <w:pStyle w:val="Textonotapie"/>
        <w:jc w:val="both"/>
        <w:rPr>
          <w:rFonts w:ascii="Arial" w:hAnsi="Arial" w:cs="Arial"/>
          <w:sz w:val="16"/>
          <w:szCs w:val="18"/>
          <w:lang w:val="es-CO"/>
        </w:rPr>
      </w:pPr>
      <w:r w:rsidRPr="0056430F">
        <w:rPr>
          <w:rFonts w:ascii="Arial" w:hAnsi="Arial" w:cs="Arial"/>
          <w:sz w:val="16"/>
          <w:szCs w:val="18"/>
          <w:lang w:val="es-CO"/>
        </w:rPr>
        <w:t>Citas: Corte Constitucional, s</w:t>
      </w:r>
      <w:r w:rsidR="00837DC2" w:rsidRPr="0056430F">
        <w:rPr>
          <w:rFonts w:ascii="Arial" w:hAnsi="Arial" w:cs="Arial"/>
          <w:sz w:val="16"/>
          <w:szCs w:val="18"/>
          <w:lang w:val="es-CO"/>
        </w:rPr>
        <w:t>entencia</w:t>
      </w:r>
      <w:r w:rsidRPr="0056430F">
        <w:rPr>
          <w:rFonts w:ascii="Arial" w:hAnsi="Arial" w:cs="Arial"/>
          <w:sz w:val="16"/>
          <w:szCs w:val="18"/>
          <w:lang w:val="es-CO"/>
        </w:rPr>
        <w:t>s</w:t>
      </w:r>
      <w:r w:rsidR="00837DC2" w:rsidRPr="0056430F">
        <w:rPr>
          <w:rFonts w:ascii="Arial" w:hAnsi="Arial" w:cs="Arial"/>
          <w:sz w:val="16"/>
          <w:szCs w:val="18"/>
          <w:lang w:val="es-CO"/>
        </w:rPr>
        <w:t xml:space="preserve"> T-421</w:t>
      </w:r>
      <w:r w:rsidRPr="0056430F">
        <w:rPr>
          <w:rFonts w:ascii="Arial" w:hAnsi="Arial" w:cs="Arial"/>
          <w:sz w:val="16"/>
          <w:szCs w:val="18"/>
          <w:lang w:val="es-CO"/>
        </w:rPr>
        <w:t xml:space="preserve"> y</w:t>
      </w:r>
      <w:r w:rsidR="00837DC2" w:rsidRPr="0056430F">
        <w:rPr>
          <w:rFonts w:ascii="Arial" w:hAnsi="Arial" w:cs="Arial"/>
          <w:sz w:val="16"/>
          <w:szCs w:val="18"/>
          <w:lang w:val="es-CO"/>
        </w:rPr>
        <w:t xml:space="preserve"> </w:t>
      </w:r>
      <w:r w:rsidRPr="0056430F">
        <w:rPr>
          <w:rFonts w:ascii="Arial" w:hAnsi="Arial" w:cs="Arial"/>
          <w:sz w:val="16"/>
          <w:szCs w:val="18"/>
          <w:lang w:val="es-CO"/>
        </w:rPr>
        <w:t xml:space="preserve">T-459 </w:t>
      </w:r>
      <w:r w:rsidRPr="0056430F">
        <w:rPr>
          <w:rFonts w:ascii="Arial" w:hAnsi="Arial" w:cs="Arial"/>
          <w:sz w:val="16"/>
          <w:szCs w:val="18"/>
          <w:lang w:val="es-CO"/>
        </w:rPr>
        <w:t xml:space="preserve">de 2003, </w:t>
      </w:r>
      <w:r w:rsidRPr="0056430F">
        <w:rPr>
          <w:rFonts w:ascii="Arial" w:hAnsi="Arial" w:cs="Arial"/>
          <w:bCs/>
          <w:iCs/>
          <w:sz w:val="16"/>
          <w:szCs w:val="18"/>
        </w:rPr>
        <w:t>T-1113 y T-368 de 2005</w:t>
      </w:r>
      <w:r w:rsidRPr="0056430F">
        <w:rPr>
          <w:rFonts w:ascii="Arial" w:hAnsi="Arial" w:cs="Arial"/>
          <w:bCs/>
          <w:iCs/>
          <w:sz w:val="16"/>
          <w:szCs w:val="18"/>
        </w:rPr>
        <w:t>;</w:t>
      </w:r>
      <w:r w:rsidRPr="0056430F">
        <w:rPr>
          <w:rFonts w:ascii="Arial" w:hAnsi="Arial" w:cs="Arial"/>
          <w:sz w:val="16"/>
          <w:szCs w:val="18"/>
          <w:lang w:val="es-CO"/>
        </w:rPr>
        <w:t xml:space="preserve"> </w:t>
      </w:r>
      <w:r w:rsidRPr="0056430F">
        <w:rPr>
          <w:rFonts w:ascii="Arial" w:hAnsi="Arial" w:cs="Arial"/>
          <w:sz w:val="16"/>
          <w:szCs w:val="18"/>
        </w:rPr>
        <w:t>Tribunal Superior de Pereira, Sala Civil – Familia, auto de</w:t>
      </w:r>
      <w:r w:rsidR="00837DC2" w:rsidRPr="0056430F">
        <w:rPr>
          <w:rFonts w:ascii="Arial" w:hAnsi="Arial" w:cs="Arial"/>
          <w:sz w:val="16"/>
          <w:szCs w:val="18"/>
        </w:rPr>
        <w:t xml:space="preserve"> 14</w:t>
      </w:r>
      <w:r w:rsidRPr="0056430F">
        <w:rPr>
          <w:rFonts w:ascii="Arial" w:hAnsi="Arial" w:cs="Arial"/>
          <w:sz w:val="16"/>
          <w:szCs w:val="18"/>
        </w:rPr>
        <w:t xml:space="preserve"> de noviembre de </w:t>
      </w:r>
      <w:r w:rsidR="00837DC2" w:rsidRPr="0056430F">
        <w:rPr>
          <w:rFonts w:ascii="Arial" w:hAnsi="Arial" w:cs="Arial"/>
          <w:sz w:val="16"/>
          <w:szCs w:val="18"/>
        </w:rPr>
        <w:t>2014</w:t>
      </w:r>
      <w:r w:rsidRPr="0056430F">
        <w:rPr>
          <w:rFonts w:ascii="Arial" w:hAnsi="Arial" w:cs="Arial"/>
          <w:sz w:val="16"/>
          <w:szCs w:val="18"/>
        </w:rPr>
        <w:t xml:space="preserve"> -rad</w:t>
      </w:r>
      <w:r w:rsidR="00837DC2" w:rsidRPr="0056430F">
        <w:rPr>
          <w:rFonts w:ascii="Arial" w:hAnsi="Arial" w:cs="Arial"/>
          <w:sz w:val="16"/>
          <w:szCs w:val="18"/>
        </w:rPr>
        <w:t>.</w:t>
      </w:r>
      <w:r w:rsidR="008D7E37">
        <w:rPr>
          <w:rFonts w:ascii="Arial" w:hAnsi="Arial" w:cs="Arial"/>
          <w:sz w:val="16"/>
          <w:szCs w:val="18"/>
        </w:rPr>
        <w:t xml:space="preserve"> </w:t>
      </w:r>
      <w:bookmarkStart w:id="0" w:name="_GoBack"/>
      <w:bookmarkEnd w:id="0"/>
      <w:r w:rsidR="00837DC2" w:rsidRPr="0056430F">
        <w:rPr>
          <w:rFonts w:ascii="Arial" w:hAnsi="Arial" w:cs="Arial"/>
          <w:sz w:val="16"/>
          <w:szCs w:val="18"/>
        </w:rPr>
        <w:t>2014-00095-01</w:t>
      </w:r>
      <w:r w:rsidRPr="0056430F">
        <w:rPr>
          <w:rFonts w:ascii="Arial" w:hAnsi="Arial" w:cs="Arial"/>
          <w:sz w:val="16"/>
          <w:szCs w:val="18"/>
        </w:rPr>
        <w:t>-</w:t>
      </w:r>
      <w:r w:rsidR="00837DC2" w:rsidRPr="0056430F">
        <w:rPr>
          <w:rFonts w:ascii="Arial" w:hAnsi="Arial" w:cs="Arial"/>
          <w:sz w:val="16"/>
          <w:szCs w:val="18"/>
        </w:rPr>
        <w:t>.</w:t>
      </w:r>
    </w:p>
    <w:p w:rsidR="001854A6" w:rsidRPr="00907E33" w:rsidRDefault="001854A6" w:rsidP="0056430F">
      <w:pPr>
        <w:spacing w:line="360" w:lineRule="auto"/>
        <w:rPr>
          <w:rFonts w:ascii="Arial" w:hAnsi="Arial" w:cs="Arial"/>
          <w:bCs/>
          <w:sz w:val="26"/>
          <w:szCs w:val="26"/>
        </w:rPr>
      </w:pPr>
    </w:p>
    <w:p w:rsidR="00EA7B9C" w:rsidRPr="00907E33" w:rsidRDefault="00EA7B9C" w:rsidP="00EA7B9C">
      <w:pPr>
        <w:spacing w:line="360" w:lineRule="auto"/>
        <w:jc w:val="center"/>
        <w:rPr>
          <w:rFonts w:ascii="Arial" w:hAnsi="Arial" w:cs="Arial"/>
          <w:bCs/>
          <w:sz w:val="26"/>
          <w:szCs w:val="26"/>
        </w:rPr>
      </w:pPr>
      <w:r w:rsidRPr="00907E33">
        <w:rPr>
          <w:rFonts w:ascii="Arial" w:hAnsi="Arial" w:cs="Arial"/>
          <w:bCs/>
          <w:sz w:val="26"/>
          <w:szCs w:val="26"/>
        </w:rPr>
        <w:t>TRIBUNAL SUPERIOR DE PEREIRA</w:t>
      </w:r>
    </w:p>
    <w:p w:rsidR="00EA7B9C" w:rsidRPr="00907E33" w:rsidRDefault="00EA7B9C" w:rsidP="00EA7B9C">
      <w:pPr>
        <w:spacing w:line="360" w:lineRule="auto"/>
        <w:jc w:val="center"/>
        <w:rPr>
          <w:rFonts w:ascii="Arial" w:hAnsi="Arial" w:cs="Arial"/>
          <w:bCs/>
          <w:sz w:val="26"/>
          <w:szCs w:val="26"/>
        </w:rPr>
      </w:pPr>
      <w:r w:rsidRPr="00125D41">
        <w:rPr>
          <w:rFonts w:ascii="Arial" w:hAnsi="Arial" w:cs="Arial"/>
          <w:bCs/>
          <w:sz w:val="26"/>
          <w:szCs w:val="26"/>
        </w:rPr>
        <w:t>Sala Civil Familia Unitaria</w:t>
      </w:r>
    </w:p>
    <w:p w:rsidR="00EA7B9C" w:rsidRPr="00907E33" w:rsidRDefault="00EA7B9C" w:rsidP="00EA7B9C">
      <w:pPr>
        <w:spacing w:line="360" w:lineRule="auto"/>
        <w:rPr>
          <w:rFonts w:ascii="Arial" w:hAnsi="Arial" w:cs="Arial"/>
          <w:bCs/>
          <w:sz w:val="26"/>
          <w:szCs w:val="26"/>
        </w:rPr>
      </w:pPr>
    </w:p>
    <w:p w:rsidR="00EA7B9C" w:rsidRPr="00907E33" w:rsidRDefault="00EA7B9C" w:rsidP="00EA7B9C">
      <w:pPr>
        <w:spacing w:line="360" w:lineRule="auto"/>
        <w:rPr>
          <w:rFonts w:ascii="Arial" w:hAnsi="Arial" w:cs="Arial"/>
          <w:bCs/>
          <w:sz w:val="26"/>
          <w:szCs w:val="26"/>
        </w:rPr>
      </w:pPr>
    </w:p>
    <w:p w:rsidR="00EA7B9C" w:rsidRPr="00907E33" w:rsidRDefault="00EA7B9C" w:rsidP="00EA7B9C">
      <w:pPr>
        <w:spacing w:line="360" w:lineRule="auto"/>
        <w:jc w:val="center"/>
        <w:rPr>
          <w:rFonts w:ascii="Arial" w:hAnsi="Arial" w:cs="Arial"/>
          <w:bCs/>
          <w:sz w:val="26"/>
          <w:szCs w:val="26"/>
        </w:rPr>
      </w:pPr>
      <w:r w:rsidRPr="00907E33">
        <w:rPr>
          <w:rFonts w:ascii="Arial" w:hAnsi="Arial" w:cs="Arial"/>
          <w:bCs/>
          <w:sz w:val="26"/>
          <w:szCs w:val="26"/>
        </w:rPr>
        <w:t xml:space="preserve">Magistrado Ponente: </w:t>
      </w:r>
    </w:p>
    <w:p w:rsidR="00EA7B9C" w:rsidRPr="00907E33" w:rsidRDefault="00EA7B9C" w:rsidP="00EA7B9C">
      <w:pPr>
        <w:spacing w:line="360" w:lineRule="auto"/>
        <w:jc w:val="center"/>
        <w:rPr>
          <w:rFonts w:ascii="Arial" w:hAnsi="Arial" w:cs="Arial"/>
          <w:bCs/>
          <w:sz w:val="24"/>
          <w:szCs w:val="24"/>
        </w:rPr>
      </w:pPr>
      <w:r w:rsidRPr="00907E33">
        <w:rPr>
          <w:rFonts w:ascii="Arial" w:hAnsi="Arial" w:cs="Arial"/>
          <w:bCs/>
          <w:sz w:val="24"/>
          <w:szCs w:val="24"/>
        </w:rPr>
        <w:t>EDDER JIMMY SÁNCHEZ CALAMBÁS</w:t>
      </w:r>
    </w:p>
    <w:p w:rsidR="00EA7B9C" w:rsidRPr="00907E33" w:rsidRDefault="00EA7B9C" w:rsidP="00EA7B9C">
      <w:pPr>
        <w:spacing w:line="360" w:lineRule="auto"/>
        <w:rPr>
          <w:rFonts w:ascii="Arial" w:hAnsi="Arial" w:cs="Arial"/>
          <w:bCs/>
          <w:sz w:val="26"/>
          <w:szCs w:val="26"/>
        </w:rPr>
      </w:pPr>
    </w:p>
    <w:p w:rsidR="00EA7B9C" w:rsidRPr="00907E33" w:rsidRDefault="00EA7B9C" w:rsidP="00EA7B9C">
      <w:pPr>
        <w:spacing w:line="360" w:lineRule="auto"/>
        <w:rPr>
          <w:rFonts w:ascii="Arial" w:hAnsi="Arial" w:cs="Arial"/>
          <w:bCs/>
          <w:sz w:val="26"/>
          <w:szCs w:val="26"/>
        </w:rPr>
      </w:pPr>
    </w:p>
    <w:p w:rsidR="00EA7B9C" w:rsidRPr="00907E33" w:rsidRDefault="00EA7B9C" w:rsidP="00EA7B9C">
      <w:pPr>
        <w:spacing w:line="360" w:lineRule="auto"/>
        <w:jc w:val="center"/>
        <w:rPr>
          <w:rFonts w:ascii="Arial" w:hAnsi="Arial" w:cs="Arial"/>
          <w:bCs/>
          <w:sz w:val="26"/>
          <w:szCs w:val="26"/>
        </w:rPr>
      </w:pPr>
      <w:r w:rsidRPr="00907E33">
        <w:rPr>
          <w:rFonts w:ascii="Arial" w:hAnsi="Arial" w:cs="Arial"/>
          <w:bCs/>
          <w:sz w:val="26"/>
          <w:szCs w:val="26"/>
        </w:rPr>
        <w:t xml:space="preserve">Pereira, </w:t>
      </w:r>
      <w:r w:rsidR="00240A33" w:rsidRPr="00907E33">
        <w:rPr>
          <w:rFonts w:ascii="Arial" w:hAnsi="Arial" w:cs="Arial"/>
          <w:bCs/>
          <w:sz w:val="26"/>
          <w:szCs w:val="26"/>
        </w:rPr>
        <w:t>dieciséis (16</w:t>
      </w:r>
      <w:r w:rsidRPr="00907E33">
        <w:rPr>
          <w:rFonts w:ascii="Arial" w:hAnsi="Arial" w:cs="Arial"/>
          <w:bCs/>
          <w:sz w:val="26"/>
          <w:szCs w:val="26"/>
        </w:rPr>
        <w:t xml:space="preserve">) de </w:t>
      </w:r>
      <w:r w:rsidR="00240A33" w:rsidRPr="00907E33">
        <w:rPr>
          <w:rFonts w:ascii="Arial" w:hAnsi="Arial" w:cs="Arial"/>
          <w:bCs/>
          <w:sz w:val="26"/>
          <w:szCs w:val="26"/>
        </w:rPr>
        <w:t>agosto</w:t>
      </w:r>
      <w:r w:rsidRPr="00907E33">
        <w:rPr>
          <w:rFonts w:ascii="Arial" w:hAnsi="Arial" w:cs="Arial"/>
          <w:bCs/>
          <w:sz w:val="26"/>
          <w:szCs w:val="26"/>
        </w:rPr>
        <w:t xml:space="preserve"> de dos mil dieciséis 2016)</w:t>
      </w:r>
    </w:p>
    <w:p w:rsidR="00EA7B9C" w:rsidRPr="00907E33" w:rsidRDefault="00240A33" w:rsidP="00EA7B9C">
      <w:pPr>
        <w:spacing w:line="360" w:lineRule="auto"/>
        <w:jc w:val="center"/>
        <w:rPr>
          <w:rFonts w:ascii="Arial" w:hAnsi="Arial" w:cs="Arial"/>
          <w:bCs/>
          <w:sz w:val="26"/>
          <w:szCs w:val="26"/>
        </w:rPr>
      </w:pPr>
      <w:r w:rsidRPr="00907E33">
        <w:rPr>
          <w:rFonts w:ascii="Arial" w:hAnsi="Arial" w:cs="Arial"/>
          <w:sz w:val="26"/>
          <w:szCs w:val="26"/>
        </w:rPr>
        <w:t>Acta Nº</w:t>
      </w:r>
      <w:r w:rsidR="00EA7B9C" w:rsidRPr="00907E33">
        <w:rPr>
          <w:rFonts w:ascii="Arial" w:hAnsi="Arial" w:cs="Arial"/>
          <w:sz w:val="26"/>
          <w:szCs w:val="26"/>
        </w:rPr>
        <w:t xml:space="preserve"> </w:t>
      </w:r>
      <w:r w:rsidRPr="00907E33">
        <w:rPr>
          <w:rFonts w:ascii="Arial" w:hAnsi="Arial" w:cs="Arial"/>
          <w:sz w:val="26"/>
          <w:szCs w:val="26"/>
        </w:rPr>
        <w:t>387 de 16-08</w:t>
      </w:r>
      <w:r w:rsidR="00EA7B9C" w:rsidRPr="00907E33">
        <w:rPr>
          <w:rFonts w:ascii="Arial" w:hAnsi="Arial" w:cs="Arial"/>
          <w:sz w:val="26"/>
          <w:szCs w:val="26"/>
        </w:rPr>
        <w:t>-2016</w:t>
      </w:r>
    </w:p>
    <w:p w:rsidR="00EA7B9C" w:rsidRPr="00907E33" w:rsidRDefault="00EA7B9C" w:rsidP="00EA7B9C">
      <w:pPr>
        <w:spacing w:line="360" w:lineRule="auto"/>
        <w:jc w:val="center"/>
        <w:rPr>
          <w:rFonts w:ascii="Arial" w:hAnsi="Arial" w:cs="Arial"/>
          <w:bCs/>
          <w:sz w:val="26"/>
          <w:szCs w:val="26"/>
        </w:rPr>
      </w:pPr>
      <w:r w:rsidRPr="00907E33">
        <w:rPr>
          <w:rFonts w:ascii="Arial" w:hAnsi="Arial" w:cs="Arial"/>
          <w:sz w:val="26"/>
          <w:szCs w:val="26"/>
        </w:rPr>
        <w:t>Referencia: 66001-31-03-002-2016-00035-01</w:t>
      </w:r>
    </w:p>
    <w:p w:rsidR="00EA7B9C" w:rsidRPr="00907E33" w:rsidRDefault="00EA7B9C" w:rsidP="00EA7B9C">
      <w:pPr>
        <w:spacing w:line="360" w:lineRule="auto"/>
        <w:ind w:firstLine="2835"/>
        <w:rPr>
          <w:rFonts w:ascii="Arial" w:hAnsi="Arial" w:cs="Arial"/>
          <w:bCs/>
          <w:sz w:val="32"/>
          <w:szCs w:val="26"/>
        </w:rPr>
      </w:pPr>
    </w:p>
    <w:p w:rsidR="00EA7B9C" w:rsidRPr="00907E33" w:rsidRDefault="00EA7B9C" w:rsidP="00EA7B9C">
      <w:pPr>
        <w:spacing w:line="360" w:lineRule="auto"/>
        <w:ind w:firstLine="2835"/>
        <w:rPr>
          <w:rFonts w:ascii="Arial" w:hAnsi="Arial" w:cs="Arial"/>
          <w:bCs/>
          <w:sz w:val="32"/>
          <w:szCs w:val="26"/>
        </w:rPr>
      </w:pPr>
    </w:p>
    <w:p w:rsidR="00EA7B9C" w:rsidRPr="00FE2C40" w:rsidRDefault="00EA7B9C" w:rsidP="00EA7B9C">
      <w:pPr>
        <w:pStyle w:val="Sinespaciado1"/>
        <w:spacing w:line="360" w:lineRule="auto"/>
        <w:ind w:firstLine="2835"/>
        <w:rPr>
          <w:rFonts w:ascii="Arial" w:hAnsi="Arial" w:cs="Arial"/>
          <w:b/>
          <w:szCs w:val="26"/>
          <w:lang w:val="es-ES" w:eastAsia="es-ES"/>
        </w:rPr>
      </w:pPr>
      <w:r w:rsidRPr="00FE2C40">
        <w:rPr>
          <w:rFonts w:ascii="Arial" w:hAnsi="Arial" w:cs="Arial"/>
          <w:b/>
          <w:szCs w:val="26"/>
          <w:lang w:val="es-ES" w:eastAsia="es-ES"/>
        </w:rPr>
        <w:t>I. ASUNTO</w:t>
      </w:r>
    </w:p>
    <w:p w:rsidR="00EA7B9C" w:rsidRPr="00FE2C40" w:rsidRDefault="00EA7B9C" w:rsidP="00EA7B9C">
      <w:pPr>
        <w:spacing w:line="360" w:lineRule="auto"/>
        <w:ind w:firstLine="2835"/>
        <w:jc w:val="both"/>
        <w:rPr>
          <w:rFonts w:ascii="Arial" w:hAnsi="Arial" w:cs="Arial"/>
          <w:sz w:val="24"/>
          <w:szCs w:val="26"/>
        </w:rPr>
      </w:pPr>
    </w:p>
    <w:p w:rsidR="00EA7B9C" w:rsidRPr="00FE2C40" w:rsidRDefault="00EA7B9C" w:rsidP="00EA7B9C">
      <w:pPr>
        <w:spacing w:line="360" w:lineRule="auto"/>
        <w:ind w:firstLine="2835"/>
        <w:jc w:val="both"/>
        <w:rPr>
          <w:rFonts w:ascii="Arial" w:hAnsi="Arial" w:cs="Arial"/>
          <w:sz w:val="26"/>
          <w:szCs w:val="26"/>
        </w:rPr>
      </w:pPr>
      <w:r w:rsidRPr="00FE2C40">
        <w:rPr>
          <w:rFonts w:ascii="Arial" w:hAnsi="Arial"/>
          <w:sz w:val="26"/>
          <w:szCs w:val="26"/>
        </w:rPr>
        <w:t>Decide la Sala el grado de consulta de la decisión proferida por el Juzgado Segundo Civil del Circuito de Pereira el 26 de abril hogaño, que resolvió el incidente de</w:t>
      </w:r>
      <w:r w:rsidRPr="00FE2C40">
        <w:rPr>
          <w:rFonts w:ascii="Arial" w:hAnsi="Arial" w:cs="Arial"/>
          <w:sz w:val="26"/>
          <w:szCs w:val="26"/>
        </w:rPr>
        <w:t xml:space="preserve"> desacato promovido por </w:t>
      </w:r>
      <w:r w:rsidRPr="00FE2C40">
        <w:rPr>
          <w:rFonts w:ascii="Arial" w:hAnsi="Arial" w:cs="Arial"/>
          <w:sz w:val="22"/>
          <w:szCs w:val="26"/>
        </w:rPr>
        <w:t>BENJAMÍN ARICAPA SUÁREZ</w:t>
      </w:r>
      <w:r w:rsidRPr="00FE2C40">
        <w:rPr>
          <w:rFonts w:ascii="Arial" w:hAnsi="Arial" w:cs="Arial"/>
          <w:sz w:val="26"/>
          <w:szCs w:val="26"/>
        </w:rPr>
        <w:t xml:space="preserve">, contra la Unidad para la Atención y Reparación Integral a las Víctimas -en adelante </w:t>
      </w:r>
      <w:r w:rsidRPr="00FE2C40">
        <w:rPr>
          <w:rFonts w:ascii="Arial" w:hAnsi="Arial" w:cs="Arial"/>
          <w:sz w:val="22"/>
          <w:szCs w:val="26"/>
        </w:rPr>
        <w:t>UARIV</w:t>
      </w:r>
      <w:r w:rsidRPr="00FE2C40">
        <w:rPr>
          <w:rFonts w:ascii="Arial" w:hAnsi="Arial" w:cs="Arial"/>
          <w:sz w:val="26"/>
          <w:szCs w:val="26"/>
        </w:rPr>
        <w:t>-.</w:t>
      </w:r>
    </w:p>
    <w:p w:rsidR="00EA7B9C" w:rsidRPr="00FE2C40" w:rsidRDefault="00EA7B9C" w:rsidP="00EA7B9C">
      <w:pPr>
        <w:spacing w:line="360" w:lineRule="auto"/>
        <w:ind w:firstLine="2835"/>
        <w:jc w:val="both"/>
        <w:rPr>
          <w:rFonts w:ascii="Arial" w:hAnsi="Arial" w:cs="Arial"/>
          <w:sz w:val="24"/>
          <w:szCs w:val="26"/>
        </w:rPr>
      </w:pPr>
    </w:p>
    <w:p w:rsidR="00EA7B9C" w:rsidRPr="00FE2C40" w:rsidRDefault="00EA7B9C" w:rsidP="00EA7B9C">
      <w:pPr>
        <w:spacing w:line="360" w:lineRule="auto"/>
        <w:ind w:firstLine="2835"/>
        <w:jc w:val="both"/>
        <w:rPr>
          <w:rFonts w:ascii="Arial" w:hAnsi="Arial"/>
          <w:b/>
          <w:sz w:val="22"/>
          <w:szCs w:val="26"/>
        </w:rPr>
      </w:pPr>
      <w:r w:rsidRPr="00FE2C40">
        <w:rPr>
          <w:rFonts w:ascii="Arial" w:hAnsi="Arial" w:cs="Arial"/>
          <w:b/>
          <w:sz w:val="22"/>
          <w:szCs w:val="26"/>
        </w:rPr>
        <w:t>II. ANTECEDENTES</w:t>
      </w:r>
    </w:p>
    <w:p w:rsidR="00EA7B9C" w:rsidRPr="00FE2C40" w:rsidRDefault="00EA7B9C" w:rsidP="00EA7B9C">
      <w:pPr>
        <w:spacing w:line="360" w:lineRule="auto"/>
        <w:ind w:firstLine="2835"/>
        <w:jc w:val="both"/>
        <w:rPr>
          <w:rFonts w:ascii="Arial" w:hAnsi="Arial"/>
          <w:sz w:val="24"/>
          <w:szCs w:val="26"/>
        </w:rPr>
      </w:pPr>
    </w:p>
    <w:p w:rsidR="00EA7B9C" w:rsidRPr="00FE2C40" w:rsidRDefault="00EA7B9C" w:rsidP="00EA7B9C">
      <w:pPr>
        <w:spacing w:line="360" w:lineRule="auto"/>
        <w:ind w:firstLine="2835"/>
        <w:jc w:val="both"/>
        <w:rPr>
          <w:rFonts w:ascii="Arial" w:hAnsi="Arial" w:cs="Arial"/>
          <w:sz w:val="26"/>
          <w:szCs w:val="26"/>
        </w:rPr>
      </w:pPr>
      <w:r w:rsidRPr="00FE2C40">
        <w:rPr>
          <w:rFonts w:ascii="Arial" w:hAnsi="Arial" w:cs="Arial"/>
          <w:sz w:val="26"/>
          <w:szCs w:val="26"/>
        </w:rPr>
        <w:t xml:space="preserve">1. </w:t>
      </w:r>
      <w:r w:rsidRPr="00FE2C40">
        <w:rPr>
          <w:rFonts w:ascii="Arial" w:hAnsi="Arial" w:cs="Arial"/>
          <w:sz w:val="22"/>
          <w:szCs w:val="26"/>
        </w:rPr>
        <w:t xml:space="preserve">BENJAMÍN ARICAPA SUÁREZ </w:t>
      </w:r>
      <w:r w:rsidRPr="00FE2C40">
        <w:rPr>
          <w:rFonts w:ascii="Arial" w:hAnsi="Arial" w:cs="Arial"/>
          <w:sz w:val="26"/>
          <w:szCs w:val="26"/>
        </w:rPr>
        <w:t>p</w:t>
      </w:r>
      <w:r w:rsidRPr="00FE2C40">
        <w:rPr>
          <w:rFonts w:ascii="Arial" w:hAnsi="Arial"/>
          <w:sz w:val="26"/>
          <w:szCs w:val="26"/>
        </w:rPr>
        <w:t xml:space="preserve">resentó </w:t>
      </w:r>
      <w:r w:rsidRPr="00FE2C40">
        <w:rPr>
          <w:rFonts w:ascii="Arial" w:hAnsi="Arial" w:cs="Arial"/>
          <w:sz w:val="26"/>
          <w:szCs w:val="26"/>
        </w:rPr>
        <w:t>solicitud orientada a que se adelante incidente de desacato para que se haga cumplir el fallo de tutela, que ordenó dar respuesta a su derecho de petición y su silencio le causa un gran perjuicio (</w:t>
      </w:r>
      <w:r w:rsidRPr="00FE2C40">
        <w:rPr>
          <w:rFonts w:ascii="Arial" w:hAnsi="Arial" w:cs="Arial"/>
          <w:sz w:val="24"/>
          <w:szCs w:val="26"/>
        </w:rPr>
        <w:t>fls. 3 Cd. Desacato</w:t>
      </w:r>
      <w:r w:rsidRPr="00FE2C40">
        <w:rPr>
          <w:rFonts w:ascii="Arial" w:hAnsi="Arial" w:cs="Arial"/>
          <w:sz w:val="26"/>
          <w:szCs w:val="26"/>
        </w:rPr>
        <w:t>).</w:t>
      </w:r>
    </w:p>
    <w:p w:rsidR="00EA7B9C" w:rsidRPr="00FE2C40" w:rsidRDefault="00EA7B9C" w:rsidP="00EA7B9C">
      <w:pPr>
        <w:spacing w:line="360" w:lineRule="auto"/>
        <w:ind w:firstLine="2835"/>
        <w:jc w:val="both"/>
        <w:rPr>
          <w:rFonts w:ascii="Arial" w:hAnsi="Arial" w:cs="Arial"/>
          <w:sz w:val="16"/>
          <w:szCs w:val="28"/>
        </w:rPr>
      </w:pPr>
    </w:p>
    <w:p w:rsidR="00EA7B9C" w:rsidRPr="00FE2C40" w:rsidRDefault="00EA7B9C" w:rsidP="00EA7B9C">
      <w:pPr>
        <w:spacing w:line="360" w:lineRule="auto"/>
        <w:ind w:firstLine="2835"/>
        <w:jc w:val="both"/>
        <w:rPr>
          <w:rFonts w:ascii="Arial" w:hAnsi="Arial" w:cs="Arial"/>
          <w:sz w:val="26"/>
          <w:szCs w:val="26"/>
        </w:rPr>
      </w:pPr>
      <w:r w:rsidRPr="00FE2C40">
        <w:rPr>
          <w:rFonts w:ascii="Arial" w:hAnsi="Arial" w:cs="Arial"/>
          <w:sz w:val="26"/>
          <w:szCs w:val="26"/>
        </w:rPr>
        <w:t xml:space="preserve">2. El despacho judicial de primera sede, el 15 de marzo último, instó al Director Territorial y a la Directora de Registro y Gestión de la Información de la </w:t>
      </w:r>
      <w:r w:rsidRPr="00FE2C40">
        <w:rPr>
          <w:rFonts w:ascii="Arial" w:hAnsi="Arial" w:cs="Arial"/>
          <w:sz w:val="22"/>
          <w:szCs w:val="26"/>
        </w:rPr>
        <w:t>UARIV</w:t>
      </w:r>
      <w:r w:rsidRPr="00FE2C40">
        <w:rPr>
          <w:rFonts w:ascii="Arial" w:hAnsi="Arial" w:cs="Arial"/>
          <w:sz w:val="26"/>
          <w:szCs w:val="26"/>
        </w:rPr>
        <w:t>, para que en el término de 5 días informaran si dieron cumplimiento a la sentencia de fecha 23 de febrero de este año, t</w:t>
      </w:r>
      <w:r w:rsidR="001854A6">
        <w:rPr>
          <w:rFonts w:ascii="Arial" w:hAnsi="Arial" w:cs="Arial"/>
          <w:sz w:val="26"/>
          <w:szCs w:val="26"/>
        </w:rPr>
        <w:t xml:space="preserve">érmino que venció en silencio. </w:t>
      </w:r>
      <w:r w:rsidRPr="00FE2C40">
        <w:rPr>
          <w:rFonts w:ascii="Arial" w:hAnsi="Arial" w:cs="Arial"/>
          <w:sz w:val="26"/>
          <w:szCs w:val="26"/>
        </w:rPr>
        <w:t>En el mismo proveído, se requirió a la Directora General de esa Unidad, a fin que, si aún no lo había hecho tomara las acciones tendientes a que se cumpliera lo ordenado y como superiora jerárquica de los prenombrados funcionarios iniciara u ordenara dar trámite al procedimiento disciplinario contra sus subalternos, sin que en el plazo de 5 días concedido para ello hubiere hecho pronunciamiento alguno (</w:t>
      </w:r>
      <w:r w:rsidRPr="000C40F6">
        <w:rPr>
          <w:rFonts w:ascii="Arial" w:hAnsi="Arial" w:cs="Arial"/>
          <w:sz w:val="24"/>
          <w:szCs w:val="26"/>
        </w:rPr>
        <w:t>fl. 4 vto. íd</w:t>
      </w:r>
      <w:r w:rsidRPr="00FE2C40">
        <w:rPr>
          <w:rFonts w:ascii="Arial" w:hAnsi="Arial" w:cs="Arial"/>
          <w:sz w:val="26"/>
          <w:szCs w:val="26"/>
        </w:rPr>
        <w:t>).</w:t>
      </w:r>
    </w:p>
    <w:p w:rsidR="00EA7B9C" w:rsidRPr="000C40F6" w:rsidRDefault="00EA7B9C" w:rsidP="00EA7B9C">
      <w:pPr>
        <w:spacing w:line="360" w:lineRule="auto"/>
        <w:ind w:firstLine="2835"/>
        <w:jc w:val="both"/>
        <w:rPr>
          <w:rFonts w:ascii="Arial" w:hAnsi="Arial" w:cs="Arial"/>
          <w:sz w:val="16"/>
          <w:szCs w:val="26"/>
        </w:rPr>
      </w:pPr>
    </w:p>
    <w:p w:rsidR="00EA7B9C" w:rsidRPr="00907E33" w:rsidRDefault="00EA7B9C" w:rsidP="00EA7B9C">
      <w:pPr>
        <w:spacing w:line="360" w:lineRule="auto"/>
        <w:ind w:firstLine="2835"/>
        <w:jc w:val="both"/>
        <w:rPr>
          <w:rFonts w:ascii="Arial" w:hAnsi="Arial" w:cs="Arial"/>
          <w:sz w:val="28"/>
          <w:szCs w:val="28"/>
        </w:rPr>
      </w:pPr>
      <w:r w:rsidRPr="000C40F6">
        <w:rPr>
          <w:rFonts w:ascii="Arial" w:hAnsi="Arial" w:cs="Arial"/>
          <w:sz w:val="26"/>
          <w:szCs w:val="26"/>
        </w:rPr>
        <w:t>Por auto del 11 de abril, dio apertura al incidente por desacato contra la Directora de Registro y Gestión de la Información, doctora Gladys Celeide Prada Pardo, le concedió 5 días</w:t>
      </w:r>
      <w:r w:rsidRPr="00907E33">
        <w:rPr>
          <w:rFonts w:ascii="Arial" w:hAnsi="Arial" w:cs="Arial"/>
          <w:sz w:val="28"/>
          <w:szCs w:val="26"/>
        </w:rPr>
        <w:t xml:space="preserve"> “…</w:t>
      </w:r>
      <w:r w:rsidRPr="00907E33">
        <w:rPr>
          <w:rFonts w:ascii="Arial" w:hAnsi="Arial" w:cs="Arial"/>
          <w:i/>
          <w:sz w:val="24"/>
          <w:szCs w:val="26"/>
        </w:rPr>
        <w:t>para que tome las acciones tendientes a que se cumpla lo ordenado en el fallo de tutela de fecha 23 de febrero de 2016 y aporte las pruebas que pretenda hacer valer</w:t>
      </w:r>
      <w:r w:rsidRPr="00907E33">
        <w:rPr>
          <w:rFonts w:ascii="Arial" w:hAnsi="Arial" w:cs="Arial"/>
          <w:sz w:val="28"/>
          <w:szCs w:val="26"/>
        </w:rPr>
        <w:t xml:space="preserve">…”, </w:t>
      </w:r>
      <w:r w:rsidRPr="000C40F6">
        <w:rPr>
          <w:rFonts w:ascii="Arial" w:hAnsi="Arial" w:cs="Arial"/>
          <w:sz w:val="26"/>
          <w:szCs w:val="26"/>
        </w:rPr>
        <w:t xml:space="preserve">sin que se hiciera uso de ellos.  Finalmente el día 26 del mismo mes, la </w:t>
      </w:r>
      <w:r w:rsidRPr="000C40F6">
        <w:rPr>
          <w:rFonts w:ascii="Arial" w:hAnsi="Arial" w:cs="Arial"/>
          <w:i/>
          <w:sz w:val="26"/>
          <w:szCs w:val="26"/>
        </w:rPr>
        <w:t xml:space="preserve">a quo </w:t>
      </w:r>
      <w:r w:rsidRPr="000C40F6">
        <w:rPr>
          <w:rFonts w:ascii="Arial" w:hAnsi="Arial" w:cs="Arial"/>
          <w:sz w:val="26"/>
          <w:szCs w:val="26"/>
        </w:rPr>
        <w:t>declaró que se incurrió en desacato por la citada funcionaria, en impuso en su contra multa de 5 salarios mínimos legales mensuales vigentes y 5 días de arresto</w:t>
      </w:r>
      <w:r w:rsidRPr="00907E33">
        <w:rPr>
          <w:rFonts w:ascii="Arial" w:hAnsi="Arial" w:cs="Arial"/>
          <w:sz w:val="28"/>
          <w:szCs w:val="28"/>
        </w:rPr>
        <w:t xml:space="preserve"> (</w:t>
      </w:r>
      <w:r w:rsidRPr="00907E33">
        <w:rPr>
          <w:rFonts w:ascii="Arial" w:hAnsi="Arial" w:cs="Arial"/>
          <w:sz w:val="24"/>
          <w:szCs w:val="28"/>
        </w:rPr>
        <w:t>fl. 20 Ib.</w:t>
      </w:r>
      <w:r w:rsidRPr="00907E33">
        <w:rPr>
          <w:rFonts w:ascii="Arial" w:hAnsi="Arial" w:cs="Arial"/>
          <w:sz w:val="28"/>
          <w:szCs w:val="28"/>
        </w:rPr>
        <w:t>).</w:t>
      </w:r>
    </w:p>
    <w:p w:rsidR="00EA7B9C" w:rsidRPr="00907E33" w:rsidRDefault="00EA7B9C" w:rsidP="00EA7B9C">
      <w:pPr>
        <w:spacing w:line="360" w:lineRule="auto"/>
        <w:ind w:firstLine="2835"/>
        <w:jc w:val="both"/>
        <w:rPr>
          <w:rFonts w:ascii="Arial" w:hAnsi="Arial" w:cs="Arial"/>
          <w:sz w:val="22"/>
          <w:szCs w:val="28"/>
        </w:rPr>
      </w:pPr>
    </w:p>
    <w:p w:rsidR="00C814C2" w:rsidRDefault="00EA7B9C" w:rsidP="00EA7B9C">
      <w:pPr>
        <w:spacing w:line="360" w:lineRule="auto"/>
        <w:ind w:firstLine="2835"/>
        <w:jc w:val="both"/>
        <w:rPr>
          <w:rFonts w:ascii="Arial" w:hAnsi="Arial" w:cs="Arial"/>
          <w:sz w:val="26"/>
          <w:szCs w:val="26"/>
        </w:rPr>
      </w:pPr>
      <w:r w:rsidRPr="000C40F6">
        <w:rPr>
          <w:rFonts w:ascii="Arial" w:hAnsi="Arial" w:cs="Arial"/>
          <w:sz w:val="26"/>
          <w:szCs w:val="26"/>
        </w:rPr>
        <w:t>3. Al tenor de lo normado en el artículo 52 del Decreto 2591 de 1991, reglamentario de la Acción de Tutela consagrada en el artículo 86 de la Constitucional Nacional, se envió el expediente a esta Sala de</w:t>
      </w:r>
      <w:r w:rsidR="00AF73BC">
        <w:rPr>
          <w:rFonts w:ascii="Arial" w:hAnsi="Arial" w:cs="Arial"/>
          <w:sz w:val="26"/>
          <w:szCs w:val="26"/>
        </w:rPr>
        <w:t xml:space="preserve">l Tribunal </w:t>
      </w:r>
      <w:r w:rsidRPr="000C40F6">
        <w:rPr>
          <w:rFonts w:ascii="Arial" w:hAnsi="Arial" w:cs="Arial"/>
          <w:sz w:val="26"/>
          <w:szCs w:val="26"/>
        </w:rPr>
        <w:t>a efecto de que se cumpla aquí, por vía de consulta, el con</w:t>
      </w:r>
      <w:r w:rsidR="001C4FE4">
        <w:rPr>
          <w:rFonts w:ascii="Arial" w:hAnsi="Arial" w:cs="Arial"/>
          <w:sz w:val="26"/>
          <w:szCs w:val="26"/>
        </w:rPr>
        <w:t>trol de legalidad de la sanción</w:t>
      </w:r>
      <w:r w:rsidR="0086729C">
        <w:rPr>
          <w:rFonts w:ascii="Arial" w:hAnsi="Arial" w:cs="Arial"/>
          <w:sz w:val="26"/>
          <w:szCs w:val="26"/>
        </w:rPr>
        <w:t xml:space="preserve">, la que </w:t>
      </w:r>
      <w:r w:rsidR="001C4FE4">
        <w:rPr>
          <w:rFonts w:ascii="Arial" w:hAnsi="Arial" w:cs="Arial"/>
          <w:sz w:val="26"/>
          <w:szCs w:val="26"/>
        </w:rPr>
        <w:t>en conso</w:t>
      </w:r>
      <w:r w:rsidR="00AF73BC">
        <w:rPr>
          <w:rFonts w:ascii="Arial" w:hAnsi="Arial" w:cs="Arial"/>
          <w:sz w:val="26"/>
          <w:szCs w:val="26"/>
        </w:rPr>
        <w:t>nancia con el artículo 35 del CG</w:t>
      </w:r>
      <w:r w:rsidR="001C4FE4">
        <w:rPr>
          <w:rFonts w:ascii="Arial" w:hAnsi="Arial" w:cs="Arial"/>
          <w:sz w:val="26"/>
          <w:szCs w:val="26"/>
        </w:rPr>
        <w:t>P</w:t>
      </w:r>
      <w:r w:rsidR="0086729C">
        <w:rPr>
          <w:rStyle w:val="Refdenotaalpie"/>
          <w:rFonts w:ascii="Arial" w:hAnsi="Arial" w:cs="Arial"/>
          <w:sz w:val="26"/>
          <w:szCs w:val="26"/>
        </w:rPr>
        <w:footnoteReference w:id="1"/>
      </w:r>
      <w:r w:rsidR="001C4FE4">
        <w:rPr>
          <w:rFonts w:ascii="Arial" w:hAnsi="Arial" w:cs="Arial"/>
          <w:sz w:val="26"/>
          <w:szCs w:val="26"/>
        </w:rPr>
        <w:t xml:space="preserve">, </w:t>
      </w:r>
      <w:r w:rsidR="006A6106">
        <w:rPr>
          <w:rFonts w:ascii="Arial" w:hAnsi="Arial" w:cs="Arial"/>
          <w:sz w:val="26"/>
          <w:szCs w:val="26"/>
        </w:rPr>
        <w:t xml:space="preserve">se </w:t>
      </w:r>
      <w:r w:rsidR="00AF73BC">
        <w:rPr>
          <w:rFonts w:ascii="Arial" w:hAnsi="Arial" w:cs="Arial"/>
          <w:sz w:val="26"/>
          <w:szCs w:val="26"/>
        </w:rPr>
        <w:t xml:space="preserve">resuelve </w:t>
      </w:r>
      <w:r w:rsidR="006A6106">
        <w:rPr>
          <w:rFonts w:ascii="Arial" w:hAnsi="Arial" w:cs="Arial"/>
          <w:sz w:val="26"/>
          <w:szCs w:val="26"/>
        </w:rPr>
        <w:t>en Sala Unitaria.</w:t>
      </w:r>
      <w:r w:rsidR="00AF73BC">
        <w:rPr>
          <w:rFonts w:ascii="Arial" w:hAnsi="Arial" w:cs="Arial"/>
          <w:sz w:val="26"/>
          <w:szCs w:val="26"/>
        </w:rPr>
        <w:t xml:space="preserve"> Si bien es cierto, tales consultas se venían fallando en Salas de Decisión, considera el suscrito Magistrado que, conforme a la norma citada, este asunto, como ya se dijo, ha de resolverse en Sala Unitaria.</w:t>
      </w:r>
    </w:p>
    <w:p w:rsidR="00EA7B9C" w:rsidRDefault="00EA7B9C" w:rsidP="00EA7B9C">
      <w:pPr>
        <w:spacing w:line="360" w:lineRule="auto"/>
        <w:ind w:firstLine="2835"/>
        <w:jc w:val="both"/>
        <w:rPr>
          <w:rFonts w:ascii="Arial" w:hAnsi="Arial" w:cs="Arial"/>
          <w:sz w:val="24"/>
          <w:szCs w:val="26"/>
        </w:rPr>
      </w:pPr>
    </w:p>
    <w:p w:rsidR="00AF73BC" w:rsidRPr="000C40F6" w:rsidRDefault="00AF73BC" w:rsidP="00EA7B9C">
      <w:pPr>
        <w:spacing w:line="360" w:lineRule="auto"/>
        <w:ind w:firstLine="2835"/>
        <w:jc w:val="both"/>
        <w:rPr>
          <w:rFonts w:ascii="Arial" w:hAnsi="Arial" w:cs="Arial"/>
          <w:sz w:val="24"/>
          <w:szCs w:val="26"/>
        </w:rPr>
      </w:pPr>
    </w:p>
    <w:p w:rsidR="00EA7B9C" w:rsidRPr="000C40F6" w:rsidRDefault="00EA7B9C" w:rsidP="00EA7B9C">
      <w:pPr>
        <w:spacing w:line="360" w:lineRule="auto"/>
        <w:ind w:firstLine="2835"/>
        <w:jc w:val="both"/>
        <w:rPr>
          <w:rFonts w:ascii="Arial" w:hAnsi="Arial" w:cs="Arial"/>
          <w:b/>
          <w:sz w:val="22"/>
          <w:szCs w:val="26"/>
        </w:rPr>
      </w:pPr>
      <w:r w:rsidRPr="000C40F6">
        <w:rPr>
          <w:rFonts w:ascii="Arial" w:hAnsi="Arial" w:cs="Arial"/>
          <w:b/>
          <w:sz w:val="22"/>
          <w:szCs w:val="26"/>
        </w:rPr>
        <w:t>III. CONSIDERACIONES</w:t>
      </w:r>
    </w:p>
    <w:p w:rsidR="00EA7B9C" w:rsidRPr="000C40F6" w:rsidRDefault="00EA7B9C" w:rsidP="00EA7B9C">
      <w:pPr>
        <w:spacing w:line="360" w:lineRule="auto"/>
        <w:ind w:firstLine="2835"/>
        <w:jc w:val="both"/>
        <w:rPr>
          <w:rFonts w:ascii="Arial" w:hAnsi="Arial" w:cs="Arial"/>
          <w:sz w:val="24"/>
          <w:szCs w:val="26"/>
        </w:rPr>
      </w:pPr>
    </w:p>
    <w:p w:rsidR="00EA7B9C" w:rsidRPr="000C40F6" w:rsidRDefault="00EA7B9C" w:rsidP="00EA7B9C">
      <w:pPr>
        <w:spacing w:line="360" w:lineRule="auto"/>
        <w:ind w:firstLine="2835"/>
        <w:jc w:val="both"/>
        <w:rPr>
          <w:rFonts w:ascii="Arial" w:hAnsi="Arial" w:cs="Arial"/>
          <w:bCs/>
          <w:sz w:val="26"/>
          <w:szCs w:val="26"/>
        </w:rPr>
      </w:pPr>
      <w:r w:rsidRPr="000C40F6">
        <w:rPr>
          <w:rFonts w:ascii="Arial" w:hAnsi="Arial" w:cs="Arial"/>
          <w:bCs/>
          <w:sz w:val="26"/>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EA7B9C" w:rsidRPr="000C40F6" w:rsidRDefault="00EA7B9C" w:rsidP="00EA7B9C">
      <w:pPr>
        <w:spacing w:line="360" w:lineRule="auto"/>
        <w:ind w:firstLine="2835"/>
        <w:jc w:val="both"/>
        <w:rPr>
          <w:rFonts w:ascii="Arial" w:hAnsi="Arial" w:cs="Arial"/>
          <w:bCs/>
          <w:sz w:val="16"/>
          <w:szCs w:val="26"/>
        </w:rPr>
      </w:pPr>
    </w:p>
    <w:p w:rsidR="00EA7B9C" w:rsidRPr="000C40F6" w:rsidRDefault="00EA7B9C" w:rsidP="00EA7B9C">
      <w:pPr>
        <w:spacing w:line="360" w:lineRule="auto"/>
        <w:ind w:firstLine="2835"/>
        <w:jc w:val="both"/>
        <w:rPr>
          <w:rFonts w:ascii="Arial" w:hAnsi="Arial" w:cs="Arial"/>
          <w:bCs/>
          <w:sz w:val="26"/>
          <w:szCs w:val="26"/>
        </w:rPr>
      </w:pPr>
      <w:r w:rsidRPr="000C40F6">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0C40F6">
        <w:rPr>
          <w:rFonts w:ascii="Arial" w:hAnsi="Arial" w:cs="Arial"/>
          <w:bCs/>
          <w:i/>
          <w:iCs/>
          <w:sz w:val="26"/>
          <w:szCs w:val="26"/>
        </w:rPr>
        <w:t xml:space="preserve"> </w:t>
      </w:r>
      <w:r w:rsidRPr="000C40F6">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0C40F6">
        <w:rPr>
          <w:rStyle w:val="Refdenotaalpie"/>
          <w:rFonts w:ascii="Arial" w:hAnsi="Arial" w:cs="Arial"/>
          <w:bCs/>
          <w:sz w:val="26"/>
          <w:szCs w:val="26"/>
        </w:rPr>
        <w:footnoteReference w:id="2"/>
      </w:r>
      <w:r w:rsidRPr="000C40F6">
        <w:rPr>
          <w:rFonts w:ascii="Arial" w:hAnsi="Arial" w:cs="Arial"/>
          <w:bCs/>
          <w:sz w:val="26"/>
          <w:szCs w:val="26"/>
        </w:rPr>
        <w:t>.</w:t>
      </w:r>
    </w:p>
    <w:p w:rsidR="00EA7B9C" w:rsidRPr="000C40F6" w:rsidRDefault="00EA7B9C" w:rsidP="00EA7B9C">
      <w:pPr>
        <w:spacing w:line="360" w:lineRule="auto"/>
        <w:ind w:firstLine="2835"/>
        <w:jc w:val="both"/>
        <w:rPr>
          <w:rFonts w:ascii="Arial" w:hAnsi="Arial" w:cs="Arial"/>
          <w:bCs/>
          <w:sz w:val="16"/>
          <w:szCs w:val="26"/>
        </w:rPr>
      </w:pPr>
    </w:p>
    <w:p w:rsidR="00EA7B9C" w:rsidRPr="00907E33" w:rsidRDefault="00EA7B9C" w:rsidP="00EA7B9C">
      <w:pPr>
        <w:spacing w:line="360" w:lineRule="auto"/>
        <w:ind w:firstLine="2835"/>
        <w:jc w:val="both"/>
        <w:rPr>
          <w:rFonts w:ascii="Arial" w:hAnsi="Arial" w:cs="Arial"/>
          <w:bCs/>
          <w:i/>
          <w:iCs/>
          <w:sz w:val="23"/>
          <w:szCs w:val="23"/>
        </w:rPr>
      </w:pPr>
      <w:r w:rsidRPr="00907E33">
        <w:rPr>
          <w:rFonts w:ascii="Arial" w:hAnsi="Arial" w:cs="Arial"/>
          <w:bCs/>
          <w:sz w:val="28"/>
          <w:szCs w:val="26"/>
        </w:rPr>
        <w:t>3</w:t>
      </w:r>
      <w:r w:rsidRPr="000C40F6">
        <w:rPr>
          <w:rFonts w:ascii="Arial" w:hAnsi="Arial" w:cs="Arial"/>
          <w:bCs/>
          <w:sz w:val="26"/>
          <w:szCs w:val="26"/>
        </w:rPr>
        <w:t>. Por otra parte, la jurisprudencia constitucional ha precisado que</w:t>
      </w:r>
      <w:r w:rsidRPr="00907E33">
        <w:rPr>
          <w:rFonts w:ascii="Arial" w:hAnsi="Arial" w:cs="Arial"/>
          <w:bCs/>
          <w:sz w:val="28"/>
          <w:szCs w:val="26"/>
        </w:rPr>
        <w:t xml:space="preserve"> </w:t>
      </w:r>
      <w:r w:rsidRPr="00907E33">
        <w:rPr>
          <w:rFonts w:ascii="Arial" w:hAnsi="Arial" w:cs="Arial"/>
          <w:bCs/>
          <w:i/>
          <w:iCs/>
          <w:sz w:val="23"/>
          <w:szCs w:val="23"/>
        </w:rPr>
        <w:t>“…</w:t>
      </w:r>
      <w:r w:rsidRPr="00907E33">
        <w:rPr>
          <w:rFonts w:ascii="Arial" w:hAnsi="Arial" w:cs="Arial"/>
          <w:bCs/>
          <w:i/>
          <w:iCs/>
          <w:sz w:val="24"/>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907E33">
        <w:rPr>
          <w:rFonts w:ascii="Arial" w:hAnsi="Arial" w:cs="Arial"/>
          <w:bCs/>
          <w:i/>
          <w:iCs/>
          <w:sz w:val="23"/>
          <w:szCs w:val="23"/>
        </w:rPr>
        <w:t>…</w:t>
      </w:r>
      <w:r w:rsidRPr="00907E33">
        <w:rPr>
          <w:rStyle w:val="Refdenotaalpie"/>
          <w:rFonts w:ascii="Arial" w:hAnsi="Arial" w:cs="Arial"/>
          <w:bCs/>
          <w:i/>
          <w:iCs/>
          <w:sz w:val="23"/>
          <w:szCs w:val="23"/>
        </w:rPr>
        <w:footnoteReference w:id="3"/>
      </w:r>
      <w:r w:rsidRPr="00907E33">
        <w:rPr>
          <w:rFonts w:ascii="Arial" w:hAnsi="Arial" w:cs="Arial"/>
          <w:bCs/>
          <w:i/>
          <w:iCs/>
          <w:sz w:val="23"/>
          <w:szCs w:val="23"/>
        </w:rPr>
        <w:t>”.</w:t>
      </w:r>
    </w:p>
    <w:p w:rsidR="00EA7B9C" w:rsidRPr="000C40F6" w:rsidRDefault="00EA7B9C" w:rsidP="00EA7B9C">
      <w:pPr>
        <w:spacing w:line="360" w:lineRule="auto"/>
        <w:ind w:firstLine="2835"/>
        <w:jc w:val="both"/>
        <w:rPr>
          <w:rFonts w:ascii="Arial" w:hAnsi="Arial" w:cs="Arial"/>
          <w:bCs/>
          <w:i/>
          <w:iCs/>
          <w:sz w:val="16"/>
          <w:szCs w:val="23"/>
        </w:rPr>
      </w:pPr>
    </w:p>
    <w:p w:rsidR="00EA7B9C" w:rsidRPr="00CD37A3" w:rsidRDefault="00EA7B9C" w:rsidP="00EA7B9C">
      <w:pPr>
        <w:spacing w:line="360" w:lineRule="auto"/>
        <w:ind w:firstLine="2835"/>
        <w:jc w:val="both"/>
        <w:rPr>
          <w:rFonts w:ascii="Arial" w:hAnsi="Arial" w:cs="Arial"/>
          <w:bCs/>
          <w:iCs/>
          <w:sz w:val="26"/>
          <w:szCs w:val="26"/>
        </w:rPr>
      </w:pPr>
      <w:r w:rsidRPr="000C40F6">
        <w:rPr>
          <w:rFonts w:ascii="Arial" w:hAnsi="Arial" w:cs="Arial"/>
          <w:bCs/>
          <w:sz w:val="26"/>
          <w:szCs w:val="26"/>
        </w:rPr>
        <w:t xml:space="preserve">4. En este orden de ideas, la autoridad judicial que decide el desacato debe limitarse </w:t>
      </w:r>
      <w:r w:rsidRPr="000C40F6">
        <w:rPr>
          <w:rFonts w:ascii="Arial" w:hAnsi="Arial" w:cs="Arial"/>
          <w:bCs/>
          <w:iCs/>
          <w:sz w:val="26"/>
          <w:szCs w:val="26"/>
        </w:rPr>
        <w:t>a verificar</w:t>
      </w:r>
      <w:r w:rsidRPr="00907E33">
        <w:rPr>
          <w:rFonts w:ascii="Arial" w:hAnsi="Arial" w:cs="Arial"/>
          <w:bCs/>
          <w:iCs/>
          <w:sz w:val="28"/>
          <w:szCs w:val="26"/>
        </w:rPr>
        <w:t xml:space="preserve">: </w:t>
      </w:r>
      <w:r w:rsidRPr="00907E33">
        <w:rPr>
          <w:rFonts w:ascii="Arial" w:hAnsi="Arial" w:cs="Arial"/>
          <w:bCs/>
          <w:iCs/>
          <w:sz w:val="24"/>
          <w:szCs w:val="26"/>
        </w:rPr>
        <w:t xml:space="preserve">(1) a quién estaba dirigida la orden; (2) cuál fue el término otorgado para ejecutarla; (3) y el alcance de la misma. Esto, con el objeto de concluir si el destinatario de la decisión la cumplió de forma oportuna y completa, o si efectivamente incumplió la orden impartida a través de la sentencia de tutela y, de existir el incumplimiento, debe identificar si fue integral o parcial. </w:t>
      </w:r>
      <w:r w:rsidRPr="00CD37A3">
        <w:rPr>
          <w:rFonts w:ascii="Arial" w:hAnsi="Arial" w:cs="Arial"/>
          <w:bCs/>
          <w:iCs/>
          <w:sz w:val="26"/>
          <w:szCs w:val="26"/>
        </w:rPr>
        <w:t>Una vez verificado el incumplimiento debe identificar las razones por las cuales se produjo con el fin de establecer las medidas necesarias para proteger efectivamente el derecho.</w:t>
      </w:r>
    </w:p>
    <w:p w:rsidR="00EA7B9C" w:rsidRPr="00CD37A3" w:rsidRDefault="00EA7B9C" w:rsidP="00EA7B9C">
      <w:pPr>
        <w:spacing w:line="360" w:lineRule="auto"/>
        <w:ind w:firstLine="2835"/>
        <w:jc w:val="both"/>
        <w:rPr>
          <w:rFonts w:ascii="Arial" w:hAnsi="Arial" w:cs="Arial"/>
          <w:bCs/>
          <w:iCs/>
          <w:sz w:val="16"/>
          <w:szCs w:val="26"/>
        </w:rPr>
      </w:pPr>
    </w:p>
    <w:p w:rsidR="00EA7B9C" w:rsidRPr="00907E33" w:rsidRDefault="00EA7B9C" w:rsidP="00EA7B9C">
      <w:pPr>
        <w:spacing w:line="360" w:lineRule="auto"/>
        <w:ind w:firstLine="2835"/>
        <w:jc w:val="both"/>
        <w:rPr>
          <w:rFonts w:ascii="Arial" w:hAnsi="Arial" w:cs="Arial"/>
          <w:bCs/>
          <w:i/>
          <w:iCs/>
          <w:sz w:val="23"/>
          <w:szCs w:val="23"/>
        </w:rPr>
      </w:pPr>
      <w:r w:rsidRPr="00CD37A3">
        <w:rPr>
          <w:rFonts w:ascii="Arial" w:hAnsi="Arial" w:cs="Arial"/>
          <w:bCs/>
          <w:sz w:val="26"/>
          <w:szCs w:val="26"/>
        </w:rPr>
        <w:t>5. Por otro lado, es obligación del juez garantizar los derechos al debido proceso y de defensa de la persona contra quien se ejerce, en virtud de lo cual deberá</w:t>
      </w:r>
      <w:r w:rsidRPr="00907E33">
        <w:rPr>
          <w:rFonts w:ascii="Arial" w:hAnsi="Arial" w:cs="Arial"/>
          <w:bCs/>
          <w:sz w:val="28"/>
          <w:szCs w:val="28"/>
        </w:rPr>
        <w:t>:</w:t>
      </w:r>
      <w:r w:rsidRPr="00907E33">
        <w:rPr>
          <w:rFonts w:ascii="Arial" w:hAnsi="Arial" w:cs="Arial"/>
          <w:bCs/>
          <w:sz w:val="23"/>
          <w:szCs w:val="23"/>
        </w:rPr>
        <w:t xml:space="preserve"> </w:t>
      </w:r>
      <w:r w:rsidRPr="00907E33">
        <w:rPr>
          <w:rFonts w:ascii="Arial" w:hAnsi="Arial" w:cs="Arial"/>
          <w:bCs/>
          <w:i/>
          <w:iCs/>
          <w:sz w:val="24"/>
          <w:szCs w:val="23"/>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Pr="00907E33">
        <w:rPr>
          <w:rStyle w:val="Refdenotaalpie"/>
          <w:rFonts w:ascii="Arial" w:hAnsi="Arial" w:cs="Arial"/>
          <w:bCs/>
          <w:i/>
          <w:iCs/>
          <w:sz w:val="23"/>
          <w:szCs w:val="23"/>
        </w:rPr>
        <w:footnoteReference w:id="4"/>
      </w:r>
      <w:r w:rsidRPr="00907E33">
        <w:rPr>
          <w:rFonts w:ascii="Arial" w:hAnsi="Arial" w:cs="Arial"/>
          <w:bCs/>
          <w:i/>
          <w:iCs/>
          <w:sz w:val="23"/>
          <w:szCs w:val="23"/>
        </w:rPr>
        <w:t>”.</w:t>
      </w:r>
    </w:p>
    <w:p w:rsidR="00EA7B9C" w:rsidRPr="00CD37A3" w:rsidRDefault="00EA7B9C" w:rsidP="00EA7B9C">
      <w:pPr>
        <w:spacing w:line="360" w:lineRule="auto"/>
        <w:ind w:firstLine="2835"/>
        <w:jc w:val="both"/>
        <w:rPr>
          <w:rFonts w:ascii="Arial" w:hAnsi="Arial" w:cs="Arial"/>
          <w:bCs/>
          <w:i/>
          <w:iCs/>
          <w:sz w:val="16"/>
          <w:szCs w:val="23"/>
        </w:rPr>
      </w:pPr>
    </w:p>
    <w:p w:rsidR="00EA7B9C" w:rsidRPr="00907E33" w:rsidRDefault="00EA7B9C" w:rsidP="00EA7B9C">
      <w:pPr>
        <w:spacing w:line="360" w:lineRule="auto"/>
        <w:ind w:firstLine="2835"/>
        <w:jc w:val="both"/>
        <w:rPr>
          <w:rFonts w:ascii="Arial" w:hAnsi="Arial" w:cs="Arial"/>
          <w:bCs/>
          <w:i/>
          <w:iCs/>
          <w:sz w:val="23"/>
          <w:szCs w:val="23"/>
        </w:rPr>
      </w:pPr>
      <w:r w:rsidRPr="00CD37A3">
        <w:rPr>
          <w:rFonts w:ascii="Arial" w:hAnsi="Arial" w:cs="Arial"/>
          <w:bCs/>
          <w:sz w:val="26"/>
          <w:szCs w:val="26"/>
        </w:rPr>
        <w:t xml:space="preserve">6. En el trámite del desacato siempre será necesario demostrar la responsabilidad subjetiva en el incumplimiento del fallo de tutela, </w:t>
      </w:r>
      <w:r w:rsidRPr="00CD37A3">
        <w:rPr>
          <w:rFonts w:ascii="Arial" w:hAnsi="Arial" w:cs="Arial"/>
          <w:bCs/>
          <w:iCs/>
          <w:sz w:val="26"/>
          <w:szCs w:val="26"/>
        </w:rPr>
        <w:t xml:space="preserve">por tanto dentro del proceso debe aparecer probada la negligencia de la persona que desconoció el referido fallo, lo cual conlleva que no pueda presumirse la responsabilidad por el sólo hecho del incumplimiento. </w:t>
      </w:r>
      <w:r w:rsidRPr="00CD37A3">
        <w:rPr>
          <w:rFonts w:ascii="Arial" w:hAnsi="Arial" w:cs="Arial"/>
          <w:bCs/>
          <w:sz w:val="26"/>
          <w:szCs w:val="26"/>
        </w:rPr>
        <w:t>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w:t>
      </w:r>
      <w:r w:rsidRPr="00907E33">
        <w:rPr>
          <w:rFonts w:ascii="Arial" w:hAnsi="Arial" w:cs="Arial"/>
          <w:bCs/>
          <w:sz w:val="28"/>
          <w:szCs w:val="26"/>
        </w:rPr>
        <w:t xml:space="preserve"> </w:t>
      </w:r>
      <w:r w:rsidRPr="00907E33">
        <w:rPr>
          <w:rFonts w:ascii="Arial" w:hAnsi="Arial" w:cs="Arial"/>
          <w:bCs/>
          <w:i/>
          <w:iCs/>
          <w:sz w:val="24"/>
          <w:szCs w:val="23"/>
        </w:rPr>
        <w:t>“(i) la orden impartida por el juez de tutela no ha sido precisa -porque no se determinó quien debe cumplirla o su contenido es difuso y, (ii) cuando el obligado de buena fe quiere cumplir la orden pero no se le ha dado la oportunidad de hacerlo</w:t>
      </w:r>
      <w:r w:rsidRPr="00907E33">
        <w:rPr>
          <w:rStyle w:val="Refdenotaalpie"/>
          <w:rFonts w:ascii="Arial" w:hAnsi="Arial" w:cs="Arial"/>
          <w:bCs/>
          <w:i/>
          <w:iCs/>
          <w:sz w:val="23"/>
          <w:szCs w:val="23"/>
        </w:rPr>
        <w:footnoteReference w:id="5"/>
      </w:r>
      <w:r w:rsidRPr="00907E33">
        <w:rPr>
          <w:rFonts w:ascii="Arial" w:hAnsi="Arial" w:cs="Arial"/>
          <w:bCs/>
          <w:i/>
          <w:iCs/>
          <w:sz w:val="23"/>
          <w:szCs w:val="23"/>
        </w:rPr>
        <w:t>”.</w:t>
      </w:r>
    </w:p>
    <w:p w:rsidR="00EA7B9C" w:rsidRPr="00AF73BC" w:rsidRDefault="00EA7B9C" w:rsidP="00EA7B9C">
      <w:pPr>
        <w:spacing w:line="360" w:lineRule="auto"/>
        <w:ind w:firstLine="2835"/>
        <w:jc w:val="both"/>
        <w:rPr>
          <w:rFonts w:ascii="Arial" w:hAnsi="Arial" w:cs="Arial"/>
          <w:bCs/>
          <w:iCs/>
          <w:sz w:val="16"/>
          <w:szCs w:val="23"/>
        </w:rPr>
      </w:pPr>
    </w:p>
    <w:p w:rsidR="00EA7B9C" w:rsidRDefault="00EA7B9C" w:rsidP="00AF73BC">
      <w:pPr>
        <w:spacing w:line="360" w:lineRule="auto"/>
        <w:ind w:firstLine="2835"/>
        <w:jc w:val="both"/>
        <w:rPr>
          <w:rFonts w:ascii="Arial" w:hAnsi="Arial" w:cs="Arial"/>
          <w:bCs/>
          <w:iCs/>
          <w:sz w:val="26"/>
          <w:szCs w:val="26"/>
        </w:rPr>
      </w:pPr>
      <w:r w:rsidRPr="00CD37A3">
        <w:rPr>
          <w:rFonts w:ascii="Arial" w:hAnsi="Arial" w:cs="Arial"/>
          <w:bCs/>
          <w:iCs/>
          <w:sz w:val="26"/>
          <w:szCs w:val="26"/>
        </w:rPr>
        <w:t>Finalmente, si existe responsabilidad deberá imponer la sanción adecuada, proporcionada y razonable a los hechos.</w:t>
      </w:r>
    </w:p>
    <w:p w:rsidR="00AF73BC" w:rsidRPr="00AF73BC" w:rsidRDefault="00AF73BC" w:rsidP="00AF73BC">
      <w:pPr>
        <w:spacing w:line="360" w:lineRule="auto"/>
        <w:ind w:firstLine="2835"/>
        <w:jc w:val="both"/>
        <w:rPr>
          <w:rFonts w:ascii="Arial" w:hAnsi="Arial" w:cs="Arial"/>
          <w:szCs w:val="26"/>
        </w:rPr>
      </w:pPr>
    </w:p>
    <w:p w:rsidR="00EA7B9C" w:rsidRPr="00CD37A3" w:rsidRDefault="00EA7B9C" w:rsidP="00EA7B9C">
      <w:pPr>
        <w:pStyle w:val="Sinespaciado"/>
        <w:spacing w:line="360" w:lineRule="auto"/>
        <w:ind w:firstLine="2835"/>
        <w:rPr>
          <w:rFonts w:ascii="Arial" w:hAnsi="Arial" w:cs="Arial"/>
          <w:b/>
          <w:bCs/>
          <w:sz w:val="22"/>
          <w:szCs w:val="26"/>
        </w:rPr>
      </w:pPr>
      <w:r w:rsidRPr="00CD37A3">
        <w:rPr>
          <w:rFonts w:ascii="Arial" w:hAnsi="Arial" w:cs="Arial"/>
          <w:b/>
          <w:spacing w:val="-3"/>
          <w:sz w:val="22"/>
          <w:szCs w:val="26"/>
        </w:rPr>
        <w:t xml:space="preserve">IV. </w:t>
      </w:r>
      <w:r w:rsidRPr="00CD37A3">
        <w:rPr>
          <w:rFonts w:ascii="Arial" w:hAnsi="Arial" w:cs="Arial"/>
          <w:b/>
          <w:bCs/>
          <w:sz w:val="22"/>
          <w:szCs w:val="26"/>
        </w:rPr>
        <w:t>EL CASO CONCRETO</w:t>
      </w:r>
    </w:p>
    <w:p w:rsidR="00EA7B9C" w:rsidRPr="00907E33" w:rsidRDefault="00EA7B9C" w:rsidP="00EA7B9C">
      <w:pPr>
        <w:pStyle w:val="Sinespaciado"/>
        <w:spacing w:line="360" w:lineRule="auto"/>
        <w:ind w:firstLine="2835"/>
        <w:jc w:val="both"/>
        <w:rPr>
          <w:rFonts w:ascii="Arial" w:hAnsi="Arial" w:cs="Arial"/>
          <w:bCs/>
          <w:sz w:val="22"/>
          <w:szCs w:val="26"/>
          <w:highlight w:val="darkGray"/>
        </w:rPr>
      </w:pPr>
    </w:p>
    <w:p w:rsidR="00EA7B9C" w:rsidRPr="00CD37A3" w:rsidRDefault="00EA7B9C" w:rsidP="00EA7B9C">
      <w:pPr>
        <w:pStyle w:val="Sinespaciado"/>
        <w:spacing w:line="360" w:lineRule="auto"/>
        <w:ind w:firstLine="2835"/>
        <w:jc w:val="both"/>
        <w:rPr>
          <w:rFonts w:ascii="Arial" w:hAnsi="Arial" w:cs="Arial"/>
          <w:bCs/>
          <w:sz w:val="26"/>
          <w:szCs w:val="26"/>
        </w:rPr>
      </w:pPr>
      <w:r w:rsidRPr="00CD37A3">
        <w:rPr>
          <w:rFonts w:ascii="Arial" w:hAnsi="Arial" w:cs="Arial"/>
          <w:bCs/>
          <w:sz w:val="26"/>
          <w:szCs w:val="26"/>
        </w:rPr>
        <w:t xml:space="preserve">1. En el caso que ocupa la atención de la Sala, la Jueza constitucional dictó el 26 de abril último, el auto que hoy se consulta, declaró que se incurrió en desacato por parte de </w:t>
      </w:r>
      <w:r w:rsidRPr="00CD37A3">
        <w:rPr>
          <w:rFonts w:ascii="Arial" w:hAnsi="Arial" w:cs="Arial"/>
          <w:sz w:val="26"/>
          <w:szCs w:val="26"/>
        </w:rPr>
        <w:t xml:space="preserve">Gladys Celeide Prada Pardo </w:t>
      </w:r>
      <w:r w:rsidRPr="00CD37A3">
        <w:rPr>
          <w:rFonts w:ascii="Arial" w:hAnsi="Arial" w:cs="Arial"/>
          <w:bCs/>
          <w:sz w:val="26"/>
          <w:szCs w:val="26"/>
        </w:rPr>
        <w:t>Directora de Registro y Gestión de la Información de la UARIV (</w:t>
      </w:r>
      <w:r w:rsidRPr="00CD37A3">
        <w:rPr>
          <w:rFonts w:ascii="Arial" w:hAnsi="Arial" w:cs="Arial"/>
          <w:bCs/>
          <w:sz w:val="24"/>
          <w:szCs w:val="26"/>
        </w:rPr>
        <w:t>fls. 18-19</w:t>
      </w:r>
      <w:r w:rsidRPr="00CD37A3">
        <w:rPr>
          <w:rFonts w:ascii="Arial" w:hAnsi="Arial" w:cs="Arial"/>
          <w:bCs/>
          <w:sz w:val="26"/>
          <w:szCs w:val="26"/>
        </w:rPr>
        <w:t>).</w:t>
      </w:r>
    </w:p>
    <w:p w:rsidR="00AF73BC" w:rsidRPr="00AF73BC" w:rsidRDefault="00AF73BC" w:rsidP="00EA7B9C">
      <w:pPr>
        <w:pStyle w:val="Sinespaciado"/>
        <w:spacing w:line="360" w:lineRule="auto"/>
        <w:ind w:firstLine="2835"/>
        <w:jc w:val="both"/>
        <w:rPr>
          <w:rFonts w:ascii="Arial" w:hAnsi="Arial" w:cs="Arial"/>
          <w:bCs/>
          <w:sz w:val="16"/>
          <w:szCs w:val="26"/>
        </w:rPr>
      </w:pPr>
    </w:p>
    <w:p w:rsidR="00EA7B9C" w:rsidRPr="00907E33" w:rsidRDefault="00EA7B9C" w:rsidP="00EA7B9C">
      <w:pPr>
        <w:pStyle w:val="Sinespaciado"/>
        <w:spacing w:line="360" w:lineRule="auto"/>
        <w:ind w:firstLine="2835"/>
        <w:jc w:val="both"/>
        <w:rPr>
          <w:rFonts w:ascii="Arial" w:hAnsi="Arial" w:cs="Arial"/>
          <w:bCs/>
          <w:sz w:val="28"/>
          <w:szCs w:val="26"/>
        </w:rPr>
      </w:pPr>
      <w:r w:rsidRPr="00CD37A3">
        <w:rPr>
          <w:rFonts w:ascii="Arial" w:hAnsi="Arial" w:cs="Arial"/>
          <w:bCs/>
          <w:sz w:val="26"/>
          <w:szCs w:val="26"/>
        </w:rPr>
        <w:t xml:space="preserve">2. Sanción que tuvo ocasión ante el incumplimiento a la orden dada en sentencia de tutela del 23 de febrero de este año, </w:t>
      </w:r>
      <w:r w:rsidRPr="00CD37A3">
        <w:rPr>
          <w:rFonts w:ascii="Arial" w:hAnsi="Arial" w:cs="Arial"/>
          <w:sz w:val="26"/>
          <w:szCs w:val="26"/>
        </w:rPr>
        <w:t xml:space="preserve">que ordenó a </w:t>
      </w:r>
      <w:r w:rsidRPr="00CD37A3">
        <w:rPr>
          <w:rFonts w:ascii="Arial" w:hAnsi="Arial"/>
          <w:sz w:val="26"/>
          <w:szCs w:val="26"/>
        </w:rPr>
        <w:t xml:space="preserve">Omar Alonso Toro Sánchez Director Regional de la </w:t>
      </w:r>
      <w:r w:rsidRPr="00CD37A3">
        <w:rPr>
          <w:rFonts w:ascii="Arial" w:hAnsi="Arial" w:cs="Arial"/>
          <w:sz w:val="26"/>
          <w:szCs w:val="26"/>
        </w:rPr>
        <w:t>UARIV</w:t>
      </w:r>
      <w:r w:rsidRPr="00907E33">
        <w:rPr>
          <w:rFonts w:ascii="Arial" w:hAnsi="Arial" w:cs="Arial"/>
          <w:sz w:val="24"/>
          <w:szCs w:val="24"/>
        </w:rPr>
        <w:t xml:space="preserve"> </w:t>
      </w:r>
      <w:r w:rsidRPr="00907E33">
        <w:rPr>
          <w:rFonts w:ascii="Arial" w:hAnsi="Arial" w:cs="Arial"/>
          <w:i/>
          <w:sz w:val="26"/>
          <w:szCs w:val="26"/>
        </w:rPr>
        <w:t>“…</w:t>
      </w:r>
      <w:r w:rsidRPr="00907E33">
        <w:rPr>
          <w:rFonts w:ascii="Arial" w:hAnsi="Arial" w:cs="Arial"/>
          <w:i/>
          <w:sz w:val="24"/>
          <w:szCs w:val="26"/>
        </w:rPr>
        <w:t xml:space="preserve">en el término de cinco (5) días contadas (sic) a partir de la notificación de la presente providencia, responda de fondo la petición que presentó el señor </w:t>
      </w:r>
      <w:r w:rsidRPr="00907E33">
        <w:rPr>
          <w:rFonts w:ascii="Arial" w:hAnsi="Arial" w:cs="Arial"/>
          <w:i/>
          <w:szCs w:val="26"/>
        </w:rPr>
        <w:t xml:space="preserve">BENJAMÍN ARICAPA SUAREZ </w:t>
      </w:r>
      <w:r w:rsidRPr="00907E33">
        <w:rPr>
          <w:rFonts w:ascii="Arial" w:hAnsi="Arial" w:cs="Arial"/>
          <w:i/>
          <w:sz w:val="24"/>
          <w:szCs w:val="26"/>
        </w:rPr>
        <w:t>el 12 de enero 2016</w:t>
      </w:r>
      <w:r w:rsidRPr="00907E33">
        <w:rPr>
          <w:rFonts w:ascii="Arial" w:hAnsi="Arial" w:cs="Arial"/>
          <w:i/>
          <w:sz w:val="26"/>
          <w:szCs w:val="26"/>
        </w:rPr>
        <w:t>…”</w:t>
      </w:r>
    </w:p>
    <w:p w:rsidR="00EA7B9C" w:rsidRPr="0030367D" w:rsidRDefault="00EA7B9C" w:rsidP="00EA7B9C">
      <w:pPr>
        <w:pStyle w:val="Sinespaciado"/>
        <w:spacing w:line="360" w:lineRule="auto"/>
        <w:ind w:firstLine="2835"/>
        <w:jc w:val="both"/>
        <w:rPr>
          <w:rFonts w:ascii="Arial" w:hAnsi="Arial" w:cs="Arial"/>
          <w:bCs/>
          <w:sz w:val="16"/>
          <w:szCs w:val="26"/>
        </w:rPr>
      </w:pPr>
    </w:p>
    <w:p w:rsidR="00EA7B9C" w:rsidRPr="0030367D" w:rsidRDefault="00EA7B9C" w:rsidP="00EA7B9C">
      <w:pPr>
        <w:pStyle w:val="Sinespaciado"/>
        <w:spacing w:line="360" w:lineRule="auto"/>
        <w:ind w:firstLine="2835"/>
        <w:jc w:val="both"/>
        <w:rPr>
          <w:rFonts w:ascii="Arial" w:hAnsi="Arial" w:cs="Arial"/>
          <w:bCs/>
          <w:sz w:val="26"/>
          <w:szCs w:val="26"/>
        </w:rPr>
      </w:pPr>
      <w:r w:rsidRPr="0030367D">
        <w:rPr>
          <w:rFonts w:ascii="Arial" w:hAnsi="Arial" w:cs="Arial"/>
          <w:bCs/>
          <w:sz w:val="26"/>
          <w:szCs w:val="26"/>
        </w:rPr>
        <w:t>3. Ahora, si bien las diligencias se encuentran en esta sede, con el fin de que se surta el grado jurisdiccional de consulta que dispone el Decreto 2591 de 1991, deberá revocarse la sanción atribuida a la mentada funcionaria, por las razones que pasan a explicarse:</w:t>
      </w:r>
    </w:p>
    <w:p w:rsidR="00EA7B9C" w:rsidRPr="0030367D" w:rsidRDefault="00EA7B9C" w:rsidP="00EA7B9C">
      <w:pPr>
        <w:pStyle w:val="Sinespaciado"/>
        <w:spacing w:line="360" w:lineRule="auto"/>
        <w:ind w:firstLine="2835"/>
        <w:jc w:val="both"/>
        <w:rPr>
          <w:rFonts w:ascii="Arial" w:hAnsi="Arial" w:cs="Arial"/>
          <w:bCs/>
          <w:sz w:val="16"/>
          <w:szCs w:val="26"/>
        </w:rPr>
      </w:pPr>
    </w:p>
    <w:p w:rsidR="00EA7B9C" w:rsidRPr="0030367D" w:rsidRDefault="00EA7B9C" w:rsidP="00EA7B9C">
      <w:pPr>
        <w:pStyle w:val="Sinespaciado1"/>
        <w:spacing w:line="360" w:lineRule="auto"/>
        <w:ind w:firstLine="2835"/>
        <w:jc w:val="both"/>
        <w:rPr>
          <w:rFonts w:ascii="Arial" w:hAnsi="Arial" w:cs="Arial"/>
          <w:bCs/>
          <w:sz w:val="26"/>
          <w:szCs w:val="26"/>
        </w:rPr>
      </w:pPr>
      <w:r w:rsidRPr="0030367D">
        <w:rPr>
          <w:rFonts w:ascii="Arial" w:hAnsi="Arial" w:cs="Arial"/>
          <w:bCs/>
          <w:sz w:val="26"/>
          <w:szCs w:val="26"/>
        </w:rPr>
        <w:t>3.1. Primeramente se tiene que, r</w:t>
      </w:r>
      <w:r w:rsidRPr="0030367D">
        <w:rPr>
          <w:rFonts w:ascii="Arial" w:hAnsi="Arial" w:cs="Arial"/>
          <w:bCs/>
          <w:iCs/>
          <w:sz w:val="26"/>
          <w:szCs w:val="26"/>
        </w:rPr>
        <w:t xml:space="preserve">evisado el contenido de la sentencia sobre la cual se reclama su cumplimiento, </w:t>
      </w:r>
      <w:r w:rsidRPr="0030367D">
        <w:rPr>
          <w:rFonts w:ascii="Arial" w:hAnsi="Arial" w:cs="Arial"/>
          <w:bCs/>
          <w:sz w:val="26"/>
          <w:szCs w:val="26"/>
        </w:rPr>
        <w:t xml:space="preserve">la orden fue dirigida de manera concreta </w:t>
      </w:r>
      <w:r w:rsidRPr="0030367D">
        <w:rPr>
          <w:rFonts w:ascii="Arial" w:hAnsi="Arial" w:cs="Arial"/>
          <w:bCs/>
          <w:iCs/>
          <w:sz w:val="26"/>
          <w:szCs w:val="26"/>
        </w:rPr>
        <w:t xml:space="preserve">a Omar Alonso Toro Sánchez, Director Territorial de la </w:t>
      </w:r>
      <w:r w:rsidRPr="0030367D">
        <w:rPr>
          <w:rFonts w:ascii="Arial" w:hAnsi="Arial" w:cs="Arial"/>
          <w:bCs/>
          <w:iCs/>
          <w:szCs w:val="26"/>
        </w:rPr>
        <w:t>UARIV</w:t>
      </w:r>
      <w:r w:rsidR="00AF73BC">
        <w:rPr>
          <w:rFonts w:ascii="Arial" w:hAnsi="Arial" w:cs="Arial"/>
          <w:bCs/>
          <w:iCs/>
          <w:szCs w:val="26"/>
        </w:rPr>
        <w:t>,</w:t>
      </w:r>
      <w:r w:rsidRPr="0030367D">
        <w:rPr>
          <w:rFonts w:ascii="Arial" w:hAnsi="Arial" w:cs="Arial"/>
          <w:bCs/>
          <w:iCs/>
          <w:sz w:val="26"/>
          <w:szCs w:val="26"/>
        </w:rPr>
        <w:t xml:space="preserve"> para que brindara una respuesta a la petición elevada por el accionante,</w:t>
      </w:r>
      <w:r w:rsidR="00AF73BC">
        <w:rPr>
          <w:rFonts w:ascii="Arial" w:hAnsi="Arial" w:cs="Arial"/>
          <w:bCs/>
          <w:iCs/>
          <w:sz w:val="26"/>
          <w:szCs w:val="26"/>
        </w:rPr>
        <w:t xml:space="preserve"> relacionada con desvincular de</w:t>
      </w:r>
      <w:r w:rsidRPr="0030367D">
        <w:rPr>
          <w:rFonts w:ascii="Arial" w:hAnsi="Arial" w:cs="Arial"/>
          <w:bCs/>
          <w:iCs/>
          <w:sz w:val="26"/>
          <w:szCs w:val="26"/>
        </w:rPr>
        <w:t xml:space="preserve"> su grupo familiar a los menores Samuel de la Cruz y Nicole de la Cruz Franco, por no ser hijos suyos y que se le expidiera certificación; así mismo, la inclusión de su señora madre Romelia Suárez Muñoz, su hermana especial Lucía Aricapa Suárez y su hermano Wilmar Aricapa Suárez.</w:t>
      </w:r>
    </w:p>
    <w:p w:rsidR="00EA7B9C" w:rsidRPr="006606C7" w:rsidRDefault="00EA7B9C" w:rsidP="00EA7B9C">
      <w:pPr>
        <w:pStyle w:val="Sinespaciado"/>
        <w:spacing w:line="360" w:lineRule="auto"/>
        <w:ind w:firstLine="2835"/>
        <w:jc w:val="both"/>
        <w:rPr>
          <w:rFonts w:ascii="Arial" w:hAnsi="Arial" w:cs="Arial"/>
          <w:bCs/>
          <w:sz w:val="16"/>
          <w:szCs w:val="26"/>
        </w:rPr>
      </w:pPr>
    </w:p>
    <w:p w:rsidR="00AF73BC" w:rsidRDefault="00EA7B9C" w:rsidP="00AF73BC">
      <w:pPr>
        <w:pStyle w:val="Sinespaciado"/>
        <w:spacing w:line="360" w:lineRule="auto"/>
        <w:ind w:firstLine="2835"/>
        <w:jc w:val="both"/>
        <w:rPr>
          <w:rFonts w:ascii="Arial" w:hAnsi="Arial" w:cs="Arial"/>
          <w:bCs/>
          <w:iCs/>
          <w:sz w:val="26"/>
          <w:szCs w:val="26"/>
        </w:rPr>
      </w:pPr>
      <w:r w:rsidRPr="0030367D">
        <w:rPr>
          <w:rFonts w:ascii="Arial" w:hAnsi="Arial" w:cs="Arial"/>
          <w:bCs/>
          <w:iCs/>
          <w:sz w:val="26"/>
          <w:szCs w:val="26"/>
        </w:rPr>
        <w:t>3.2. Sin embargo, en concordancia con el Decreto 4802 de 2011, por el cual se establece la estructura de la</w:t>
      </w:r>
      <w:r w:rsidR="00AF73BC">
        <w:rPr>
          <w:rFonts w:ascii="Arial" w:hAnsi="Arial" w:cs="Arial"/>
          <w:bCs/>
          <w:iCs/>
          <w:sz w:val="26"/>
          <w:szCs w:val="26"/>
        </w:rPr>
        <w:t xml:space="preserve"> entidad accionada</w:t>
      </w:r>
      <w:r w:rsidRPr="0030367D">
        <w:rPr>
          <w:rFonts w:ascii="Arial" w:hAnsi="Arial" w:cs="Arial"/>
          <w:bCs/>
          <w:iCs/>
          <w:sz w:val="26"/>
          <w:szCs w:val="26"/>
        </w:rPr>
        <w:t>, a quien corresponde decidir lo atinente a las solicitudes de inscripción en el Registro Único de Víctimas y c</w:t>
      </w:r>
      <w:r w:rsidRPr="0030367D">
        <w:rPr>
          <w:rFonts w:ascii="Arial" w:hAnsi="Arial" w:cs="Arial"/>
          <w:color w:val="000000"/>
          <w:sz w:val="26"/>
          <w:szCs w:val="26"/>
        </w:rPr>
        <w:t xml:space="preserve">oordinar el procedimiento de su exclusión, </w:t>
      </w:r>
      <w:r w:rsidRPr="0030367D">
        <w:rPr>
          <w:rFonts w:ascii="Arial" w:hAnsi="Arial" w:cs="Arial"/>
          <w:bCs/>
          <w:iCs/>
          <w:sz w:val="26"/>
          <w:szCs w:val="26"/>
        </w:rPr>
        <w:t xml:space="preserve">es a la Directora </w:t>
      </w:r>
      <w:r w:rsidRPr="0030367D">
        <w:rPr>
          <w:rFonts w:ascii="Arial" w:hAnsi="Arial" w:cs="Arial"/>
          <w:bCs/>
          <w:sz w:val="26"/>
          <w:szCs w:val="26"/>
        </w:rPr>
        <w:t>de Registro y Gestión de la Información de la UARIV</w:t>
      </w:r>
      <w:r w:rsidRPr="0030367D">
        <w:rPr>
          <w:rFonts w:ascii="Arial" w:hAnsi="Arial" w:cs="Arial"/>
          <w:bCs/>
          <w:iCs/>
          <w:sz w:val="26"/>
          <w:szCs w:val="26"/>
        </w:rPr>
        <w:t>, así está señalado en los numerales 6 y 9 del artículo 24 de la precitada norma</w:t>
      </w:r>
      <w:r w:rsidRPr="0030367D">
        <w:rPr>
          <w:rStyle w:val="Refdenotaalpie"/>
          <w:rFonts w:ascii="Arial" w:hAnsi="Arial" w:cs="Arial"/>
          <w:bCs/>
          <w:iCs/>
          <w:sz w:val="26"/>
          <w:szCs w:val="26"/>
        </w:rPr>
        <w:footnoteReference w:id="6"/>
      </w:r>
      <w:r w:rsidRPr="0030367D">
        <w:rPr>
          <w:rFonts w:ascii="Arial" w:hAnsi="Arial" w:cs="Arial"/>
          <w:bCs/>
          <w:iCs/>
          <w:sz w:val="26"/>
          <w:szCs w:val="26"/>
        </w:rPr>
        <w:t>.</w:t>
      </w:r>
    </w:p>
    <w:p w:rsidR="00AF73BC" w:rsidRPr="00AF73BC" w:rsidRDefault="00AF73BC" w:rsidP="00AF73BC">
      <w:pPr>
        <w:pStyle w:val="Sinespaciado"/>
        <w:spacing w:line="360" w:lineRule="auto"/>
        <w:ind w:firstLine="2835"/>
        <w:jc w:val="both"/>
        <w:rPr>
          <w:rFonts w:ascii="Arial" w:hAnsi="Arial" w:cs="Arial"/>
          <w:bCs/>
          <w:iCs/>
          <w:sz w:val="16"/>
          <w:szCs w:val="26"/>
        </w:rPr>
      </w:pPr>
    </w:p>
    <w:p w:rsidR="00EA7B9C" w:rsidRPr="00AF73BC" w:rsidRDefault="00EA7B9C" w:rsidP="00AF73BC">
      <w:pPr>
        <w:pStyle w:val="Sinespaciado"/>
        <w:spacing w:line="360" w:lineRule="auto"/>
        <w:ind w:firstLine="2835"/>
        <w:jc w:val="both"/>
        <w:rPr>
          <w:rFonts w:ascii="Arial" w:hAnsi="Arial" w:cs="Arial"/>
          <w:bCs/>
          <w:iCs/>
          <w:sz w:val="26"/>
          <w:szCs w:val="26"/>
        </w:rPr>
      </w:pPr>
      <w:r w:rsidRPr="0030367D">
        <w:rPr>
          <w:rFonts w:ascii="Arial" w:hAnsi="Arial" w:cs="Arial"/>
          <w:bCs/>
          <w:iCs/>
          <w:sz w:val="26"/>
          <w:szCs w:val="26"/>
        </w:rPr>
        <w:t xml:space="preserve">3.3. Ahora, si bien se impusieron las sanciones a quien en verdad corresponde atender el pedimento del señor Aricapa Suárez, lo cierto es que, se hizo con </w:t>
      </w:r>
      <w:r w:rsidRPr="0030367D">
        <w:rPr>
          <w:rFonts w:ascii="Arial" w:hAnsi="Arial" w:cs="Arial"/>
          <w:sz w:val="26"/>
          <w:szCs w:val="26"/>
        </w:rPr>
        <w:t xml:space="preserve">violación de su derecho </w:t>
      </w:r>
      <w:r w:rsidR="00AF73BC">
        <w:rPr>
          <w:rFonts w:ascii="Arial" w:hAnsi="Arial" w:cs="Arial"/>
          <w:sz w:val="26"/>
          <w:szCs w:val="26"/>
        </w:rPr>
        <w:t>de defensa y al debido proceso;</w:t>
      </w:r>
      <w:r w:rsidRPr="0030367D">
        <w:rPr>
          <w:rFonts w:ascii="Arial" w:hAnsi="Arial" w:cs="Arial"/>
          <w:sz w:val="26"/>
          <w:szCs w:val="26"/>
        </w:rPr>
        <w:t xml:space="preserve"> </w:t>
      </w:r>
      <w:r w:rsidRPr="0030367D">
        <w:rPr>
          <w:rFonts w:ascii="Arial" w:hAnsi="Arial" w:cs="Arial"/>
          <w:bCs/>
          <w:iCs/>
          <w:sz w:val="26"/>
          <w:szCs w:val="26"/>
        </w:rPr>
        <w:t xml:space="preserve">las actuaciones del juzgado </w:t>
      </w:r>
      <w:r w:rsidRPr="0030367D">
        <w:rPr>
          <w:rFonts w:ascii="Arial" w:hAnsi="Arial" w:cs="Arial"/>
          <w:sz w:val="26"/>
          <w:szCs w:val="26"/>
        </w:rPr>
        <w:t xml:space="preserve">se dirigieron a efectuar sendos requerimientos a la funcionaria Gladys Celeide Prada Pardo, Directora de Registro y Gestión de la Información de la </w:t>
      </w:r>
      <w:r w:rsidRPr="0030367D">
        <w:rPr>
          <w:rFonts w:ascii="Arial" w:hAnsi="Arial" w:cs="Arial"/>
          <w:sz w:val="22"/>
          <w:szCs w:val="26"/>
        </w:rPr>
        <w:t>UARIV</w:t>
      </w:r>
      <w:r w:rsidRPr="0030367D">
        <w:rPr>
          <w:rFonts w:ascii="Arial" w:hAnsi="Arial" w:cs="Arial"/>
          <w:sz w:val="26"/>
          <w:szCs w:val="26"/>
        </w:rPr>
        <w:t>, siendo claro que para la fecha en que se abrió el incidente por desacato, previamente no se le dio a conocer la sentencia de tutela, sobre la cual se reclamaba su cumplimiento, por tanto, ninguna orden se le había impuesto y a la postre resultó sancionada con la decisión motivo de consulta, y así procedió el Juzgado a penarla pecuniariamente y con una medida que además afecta su libertad personal. Por lo que puede entonces concluirse, que se impusieron las sanciones con desconocimiento de las normas constitucionales y legales que mandan aplicar el debido proceso en todas las actuaciones judiciales y administrativas.</w:t>
      </w:r>
    </w:p>
    <w:p w:rsidR="00EA7B9C" w:rsidRPr="006606C7" w:rsidRDefault="00EA7B9C" w:rsidP="00EA7B9C">
      <w:pPr>
        <w:pStyle w:val="Sinespaciado"/>
        <w:spacing w:line="360" w:lineRule="auto"/>
        <w:ind w:firstLine="2835"/>
        <w:jc w:val="both"/>
        <w:rPr>
          <w:rFonts w:ascii="Arial" w:hAnsi="Arial" w:cs="Arial"/>
          <w:bCs/>
          <w:iCs/>
          <w:sz w:val="16"/>
          <w:szCs w:val="26"/>
        </w:rPr>
      </w:pPr>
    </w:p>
    <w:p w:rsidR="00EA7B9C" w:rsidRPr="0030367D" w:rsidRDefault="00EA7B9C" w:rsidP="00EA7B9C">
      <w:pPr>
        <w:pStyle w:val="Sinespaciado"/>
        <w:spacing w:line="360" w:lineRule="auto"/>
        <w:ind w:firstLine="2835"/>
        <w:jc w:val="both"/>
        <w:rPr>
          <w:rFonts w:ascii="Arial" w:hAnsi="Arial" w:cs="Arial"/>
          <w:bCs/>
          <w:sz w:val="26"/>
          <w:szCs w:val="26"/>
        </w:rPr>
      </w:pPr>
      <w:r w:rsidRPr="0030367D">
        <w:rPr>
          <w:rFonts w:ascii="Arial" w:hAnsi="Arial" w:cs="Arial"/>
          <w:bCs/>
          <w:sz w:val="26"/>
          <w:szCs w:val="26"/>
        </w:rPr>
        <w:t>4. Es sabido que las sentencias de tutela producen efectos de cosa juzgada constitucional y es por tal razón que puede obtenerse su cumplimiento de manera forzosa, por medio del incidente de desacato que consagra el artículo 52 del Decreto 2591 de 1991, sin perjuicio de las sanciones penales a que haya lugar.  No obstante, tiene dicho la Corte Constitucional que excepcionalmente es posible modificarlas en tres (3) casos, a efectos de dotarlas de efectividad en el amparo de los derechos fundamentales. Expone la citada Colegiatura, en criterio acogido por esta Sala:</w:t>
      </w:r>
    </w:p>
    <w:p w:rsidR="00EA7B9C" w:rsidRPr="006606C7" w:rsidRDefault="00EA7B9C" w:rsidP="00EA7B9C">
      <w:pPr>
        <w:pStyle w:val="Sinespaciado"/>
        <w:spacing w:line="360" w:lineRule="auto"/>
        <w:ind w:firstLine="708"/>
        <w:jc w:val="both"/>
        <w:rPr>
          <w:rFonts w:ascii="Arial" w:hAnsi="Arial" w:cs="Arial"/>
          <w:bCs/>
          <w:i/>
          <w:sz w:val="16"/>
          <w:szCs w:val="23"/>
          <w:highlight w:val="darkGray"/>
        </w:rPr>
      </w:pPr>
    </w:p>
    <w:p w:rsidR="00EA7B9C" w:rsidRPr="00907E33" w:rsidRDefault="00EA7B9C" w:rsidP="00EA7B9C">
      <w:pPr>
        <w:pStyle w:val="Sinespaciado"/>
        <w:spacing w:line="360" w:lineRule="auto"/>
        <w:ind w:firstLine="708"/>
        <w:jc w:val="both"/>
        <w:rPr>
          <w:rFonts w:ascii="Arial" w:hAnsi="Arial" w:cs="Arial"/>
          <w:bCs/>
          <w:i/>
          <w:sz w:val="24"/>
          <w:szCs w:val="23"/>
        </w:rPr>
      </w:pPr>
      <w:r w:rsidRPr="00907E33">
        <w:rPr>
          <w:rFonts w:ascii="Arial" w:hAnsi="Arial" w:cs="Arial"/>
          <w:bCs/>
          <w:i/>
          <w:sz w:val="24"/>
          <w:szCs w:val="23"/>
        </w:rPr>
        <w:t>“Así lo explicó en sentencia T-086 de 2003:</w:t>
      </w:r>
    </w:p>
    <w:p w:rsidR="00EA7B9C" w:rsidRPr="00907E33" w:rsidRDefault="00EA7B9C" w:rsidP="00EA7B9C">
      <w:pPr>
        <w:pStyle w:val="Sinespaciado"/>
        <w:ind w:left="709" w:right="618"/>
        <w:jc w:val="both"/>
        <w:rPr>
          <w:rFonts w:ascii="Arial" w:hAnsi="Arial" w:cs="Arial"/>
          <w:bCs/>
          <w:i/>
          <w:sz w:val="24"/>
          <w:szCs w:val="23"/>
        </w:rPr>
      </w:pPr>
      <w:r w:rsidRPr="00907E33">
        <w:rPr>
          <w:rFonts w:ascii="Arial" w:hAnsi="Arial" w:cs="Arial"/>
          <w:bCs/>
          <w:i/>
          <w:sz w:val="24"/>
          <w:szCs w:val="23"/>
        </w:rPr>
        <w:t>…La modificación de la orden impartida por el juez no puede tener lugar en cualquier caso. Éste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cumplimiento no es exigible porque se trata de una obligación imposible o porque implica sacrificar de forma grave, directa, cierta, manifiesta e inminente el interés público; y (c) cuando es evidente que siempre será imposible cumplir la orden.</w:t>
      </w:r>
    </w:p>
    <w:p w:rsidR="00EA7B9C" w:rsidRPr="00907E33" w:rsidRDefault="00EA7B9C" w:rsidP="00EA7B9C">
      <w:pPr>
        <w:pStyle w:val="Sinespaciado"/>
        <w:ind w:left="709" w:right="618"/>
        <w:jc w:val="both"/>
        <w:rPr>
          <w:rFonts w:ascii="Arial" w:hAnsi="Arial" w:cs="Arial"/>
          <w:bCs/>
          <w:i/>
          <w:sz w:val="24"/>
          <w:szCs w:val="23"/>
        </w:rPr>
      </w:pPr>
    </w:p>
    <w:p w:rsidR="00EA7B9C" w:rsidRPr="00907E33" w:rsidRDefault="00EA7B9C" w:rsidP="00EA7B9C">
      <w:pPr>
        <w:pStyle w:val="Sinespaciado"/>
        <w:ind w:left="709" w:right="618"/>
        <w:jc w:val="both"/>
        <w:rPr>
          <w:rFonts w:ascii="Arial" w:hAnsi="Arial" w:cs="Arial"/>
          <w:bCs/>
          <w:i/>
          <w:sz w:val="24"/>
          <w:szCs w:val="23"/>
        </w:rPr>
      </w:pPr>
      <w:r w:rsidRPr="00907E33">
        <w:rPr>
          <w:rFonts w:ascii="Arial" w:hAnsi="Arial" w:cs="Arial"/>
          <w:bCs/>
          <w:i/>
          <w:sz w:val="24"/>
          <w:szCs w:val="23"/>
        </w:rPr>
        <w:t>4.1.1. (a) Que la orden pueda ser modificada cuando nunca protegió el derecho, devino inane o simplemente no es posible cumplirla, es algo que se deriva de la función misma de la tutela. En este sentido apuntan tanto la consagración constitucional que exige a los jueces garantizar el goce efectivo de los derechos (C.P., arts. 2º y 86) como el Decreto 2591 de 1991 (art. 27), que señala expresamente que el juez de tutela mantiene la competencia del proceso “(...) hasta que esté completamente restablecido el derecho o eliminadas las causas de la amenaza”.</w:t>
      </w:r>
    </w:p>
    <w:p w:rsidR="00EA7B9C" w:rsidRPr="00907E33" w:rsidRDefault="00EA7B9C" w:rsidP="00EA7B9C">
      <w:pPr>
        <w:pStyle w:val="Sinespaciado"/>
        <w:ind w:left="709" w:right="618"/>
        <w:jc w:val="both"/>
        <w:rPr>
          <w:rFonts w:ascii="Arial" w:hAnsi="Arial" w:cs="Arial"/>
          <w:bCs/>
          <w:i/>
          <w:sz w:val="24"/>
          <w:szCs w:val="23"/>
        </w:rPr>
      </w:pPr>
    </w:p>
    <w:p w:rsidR="00EA7B9C" w:rsidRPr="00907E33" w:rsidRDefault="00EA7B9C" w:rsidP="00EA7B9C">
      <w:pPr>
        <w:pStyle w:val="Sinespaciado"/>
        <w:ind w:left="709" w:right="618"/>
        <w:jc w:val="both"/>
        <w:rPr>
          <w:rFonts w:ascii="Arial" w:hAnsi="Arial" w:cs="Arial"/>
          <w:bCs/>
          <w:i/>
          <w:sz w:val="24"/>
          <w:szCs w:val="23"/>
        </w:rPr>
      </w:pPr>
      <w:r w:rsidRPr="00907E33">
        <w:rPr>
          <w:rFonts w:ascii="Arial" w:hAnsi="Arial" w:cs="Arial"/>
          <w:bCs/>
          <w:i/>
          <w:sz w:val="24"/>
          <w:szCs w:val="23"/>
        </w:rPr>
        <w:t>4.1.2. (b) El segundo caso, cuando haya una afectación grave, directa, cierta, manifiesta e inminente del interés público, surge también de la Constitución y el Decreto 2591 de 1991…</w:t>
      </w:r>
    </w:p>
    <w:p w:rsidR="00EA7B9C" w:rsidRPr="00907E33" w:rsidRDefault="00EA7B9C" w:rsidP="00EA7B9C">
      <w:pPr>
        <w:pStyle w:val="Sinespaciado"/>
        <w:ind w:left="709" w:right="618"/>
        <w:jc w:val="both"/>
        <w:rPr>
          <w:rFonts w:ascii="Arial" w:hAnsi="Arial" w:cs="Arial"/>
          <w:bCs/>
          <w:i/>
          <w:sz w:val="24"/>
          <w:szCs w:val="23"/>
        </w:rPr>
      </w:pPr>
    </w:p>
    <w:p w:rsidR="00EA7B9C" w:rsidRPr="00907E33" w:rsidRDefault="00EA7B9C" w:rsidP="00EA7B9C">
      <w:pPr>
        <w:pStyle w:val="Sinespaciado"/>
        <w:ind w:left="709" w:right="618"/>
        <w:jc w:val="both"/>
        <w:rPr>
          <w:rFonts w:ascii="Arial" w:hAnsi="Arial" w:cs="Arial"/>
          <w:bCs/>
          <w:i/>
          <w:sz w:val="24"/>
          <w:szCs w:val="23"/>
        </w:rPr>
      </w:pPr>
      <w:r w:rsidRPr="00907E33">
        <w:rPr>
          <w:rFonts w:ascii="Arial" w:hAnsi="Arial" w:cs="Arial"/>
          <w:bCs/>
          <w:i/>
          <w:sz w:val="24"/>
          <w:szCs w:val="23"/>
        </w:rPr>
        <w:t>4.1.3. (c) El tercer evento en el que se podría presentar la necesidad de ajustar la orden es cuando es evidente que siempre será imposible cumplir lo ordenado. Este caso es tan solo una aplicación del principio general del derecho según el cual “nadie puede ser obligado a lo imposible” (nemo potest ad impossibile obligari). …No obstante, es preciso advertir que como ya lo ha señalado la jurisprudencia constitucional, se debe tratar de una verdadera imposibilidad, no cualquier dificultad para cumplir una obligación implica que ésta deba ser tenida por imposible. Así por ejemplo, la desidia administrativa, la falta de dinero o las trabas burocráticas, por sí mismas, no pueden ser invocadas como razones de la imposibilidad para cumplir una orden…”.</w:t>
      </w:r>
      <w:r w:rsidRPr="00907E33">
        <w:rPr>
          <w:rStyle w:val="Refdenotaalpie"/>
          <w:rFonts w:ascii="Arial" w:hAnsi="Arial" w:cs="Arial"/>
          <w:bCs/>
          <w:i/>
          <w:sz w:val="24"/>
          <w:szCs w:val="23"/>
        </w:rPr>
        <w:footnoteReference w:id="7"/>
      </w:r>
    </w:p>
    <w:p w:rsidR="00EA7B9C" w:rsidRPr="006606C7" w:rsidRDefault="00EA7B9C" w:rsidP="00EA7B9C">
      <w:pPr>
        <w:pStyle w:val="Sinespaciado"/>
        <w:ind w:left="709" w:right="618" w:firstLine="2126"/>
        <w:jc w:val="both"/>
        <w:rPr>
          <w:rFonts w:ascii="Arial" w:hAnsi="Arial" w:cs="Arial"/>
          <w:bCs/>
          <w:i/>
          <w:sz w:val="16"/>
          <w:szCs w:val="23"/>
        </w:rPr>
      </w:pPr>
    </w:p>
    <w:p w:rsidR="00EA7B9C" w:rsidRPr="006606C7" w:rsidRDefault="00EA7B9C" w:rsidP="00EA7B9C">
      <w:pPr>
        <w:pStyle w:val="Sinespaciado"/>
        <w:spacing w:line="360" w:lineRule="auto"/>
        <w:ind w:firstLine="2835"/>
        <w:jc w:val="both"/>
        <w:rPr>
          <w:rFonts w:ascii="Arial" w:hAnsi="Arial" w:cs="Arial"/>
          <w:bCs/>
          <w:sz w:val="26"/>
          <w:szCs w:val="26"/>
        </w:rPr>
      </w:pPr>
      <w:r w:rsidRPr="006606C7">
        <w:rPr>
          <w:rFonts w:ascii="Arial" w:hAnsi="Arial" w:cs="Arial"/>
          <w:bCs/>
          <w:sz w:val="26"/>
          <w:szCs w:val="26"/>
        </w:rPr>
        <w:t xml:space="preserve">5. </w:t>
      </w:r>
      <w:r w:rsidRPr="006606C7">
        <w:rPr>
          <w:rFonts w:ascii="Arial" w:hAnsi="Arial" w:cs="Arial"/>
          <w:bCs/>
          <w:iCs/>
          <w:sz w:val="26"/>
          <w:szCs w:val="26"/>
        </w:rPr>
        <w:t>En tal sentido,</w:t>
      </w:r>
      <w:r w:rsidRPr="006606C7">
        <w:rPr>
          <w:rFonts w:ascii="Arial" w:hAnsi="Arial" w:cs="Arial"/>
          <w:bCs/>
          <w:sz w:val="26"/>
          <w:szCs w:val="26"/>
        </w:rPr>
        <w:t xml:space="preserve"> conforme el análisis hecho, deberán revocarse las sanciones atribuidas a la Directora de Registro y Gestión de la Información de la </w:t>
      </w:r>
      <w:r w:rsidRPr="006606C7">
        <w:rPr>
          <w:rFonts w:ascii="Arial" w:hAnsi="Arial" w:cs="Arial"/>
          <w:bCs/>
          <w:sz w:val="22"/>
          <w:szCs w:val="26"/>
        </w:rPr>
        <w:t>UARIV</w:t>
      </w:r>
      <w:r w:rsidRPr="006606C7">
        <w:rPr>
          <w:rFonts w:ascii="Arial" w:hAnsi="Arial" w:cs="Arial"/>
          <w:bCs/>
          <w:sz w:val="26"/>
          <w:szCs w:val="26"/>
        </w:rPr>
        <w:t>.</w:t>
      </w:r>
    </w:p>
    <w:p w:rsidR="00EA7B9C" w:rsidRPr="00907E33" w:rsidRDefault="00EA7B9C" w:rsidP="00EA7B9C">
      <w:pPr>
        <w:pStyle w:val="Sinespaciado"/>
        <w:spacing w:line="360" w:lineRule="auto"/>
        <w:ind w:firstLine="2835"/>
        <w:jc w:val="both"/>
        <w:rPr>
          <w:rFonts w:ascii="Arial" w:hAnsi="Arial" w:cs="Arial"/>
          <w:bCs/>
          <w:sz w:val="16"/>
          <w:szCs w:val="26"/>
        </w:rPr>
      </w:pPr>
    </w:p>
    <w:p w:rsidR="00EA7B9C" w:rsidRPr="00F818B3" w:rsidRDefault="00EA7B9C" w:rsidP="00EA7B9C">
      <w:pPr>
        <w:pStyle w:val="Sinespaciado"/>
        <w:spacing w:line="360" w:lineRule="auto"/>
        <w:ind w:firstLine="2835"/>
        <w:jc w:val="both"/>
        <w:rPr>
          <w:rFonts w:ascii="Arial" w:hAnsi="Arial" w:cs="Arial"/>
          <w:bCs/>
          <w:sz w:val="26"/>
          <w:szCs w:val="26"/>
        </w:rPr>
      </w:pPr>
      <w:r w:rsidRPr="00F818B3">
        <w:rPr>
          <w:rFonts w:ascii="Arial" w:hAnsi="Arial" w:cs="Arial"/>
          <w:bCs/>
          <w:sz w:val="26"/>
          <w:szCs w:val="26"/>
        </w:rPr>
        <w:t>6. No obstante</w:t>
      </w:r>
      <w:r w:rsidR="00B04016" w:rsidRPr="00F818B3">
        <w:rPr>
          <w:rFonts w:ascii="Arial" w:hAnsi="Arial" w:cs="Arial"/>
          <w:bCs/>
          <w:sz w:val="26"/>
          <w:szCs w:val="26"/>
        </w:rPr>
        <w:t xml:space="preserve"> lo anterior</w:t>
      </w:r>
      <w:r w:rsidRPr="00F818B3">
        <w:rPr>
          <w:rFonts w:ascii="Arial" w:hAnsi="Arial" w:cs="Arial"/>
          <w:bCs/>
          <w:sz w:val="26"/>
          <w:szCs w:val="26"/>
        </w:rPr>
        <w:t xml:space="preserve">, se ha verificado la orden impartida en el fallo de tutela; pues ante el informe presentado por la UARIV el día 6 de julio del año que avanza, este despacho nuevamente estableció comunicación con el señor Aricapa Suárez, con el fin de verificar si había recibido respuesta a su derecho de petición, manifestando que se acercó a la entidad prenombrada previa llamada que le hicieron, donde le entregaron </w:t>
      </w:r>
      <w:r w:rsidR="00DF78EC" w:rsidRPr="00F818B3">
        <w:rPr>
          <w:rFonts w:ascii="Arial" w:hAnsi="Arial" w:cs="Arial"/>
          <w:bCs/>
          <w:sz w:val="26"/>
          <w:szCs w:val="26"/>
        </w:rPr>
        <w:t>contestación</w:t>
      </w:r>
      <w:r w:rsidRPr="00F818B3">
        <w:rPr>
          <w:rFonts w:ascii="Arial" w:hAnsi="Arial" w:cs="Arial"/>
          <w:bCs/>
          <w:sz w:val="26"/>
          <w:szCs w:val="26"/>
        </w:rPr>
        <w:t xml:space="preserve"> </w:t>
      </w:r>
      <w:r w:rsidR="00DF78EC" w:rsidRPr="00F818B3">
        <w:rPr>
          <w:rFonts w:ascii="Arial" w:hAnsi="Arial" w:cs="Arial"/>
          <w:bCs/>
          <w:sz w:val="26"/>
          <w:szCs w:val="26"/>
        </w:rPr>
        <w:t>diciéndole</w:t>
      </w:r>
      <w:r w:rsidRPr="00F818B3">
        <w:rPr>
          <w:rFonts w:ascii="Arial" w:hAnsi="Arial" w:cs="Arial"/>
          <w:bCs/>
          <w:sz w:val="26"/>
          <w:szCs w:val="26"/>
        </w:rPr>
        <w:t xml:space="preserve"> que no era posible la desvinculación de los dos menores de edad por él solicitada, pues aunque no eran hijos suyos, formaban parte del grupo familiar (</w:t>
      </w:r>
      <w:r w:rsidRPr="00F818B3">
        <w:rPr>
          <w:rFonts w:ascii="Arial" w:hAnsi="Arial" w:cs="Arial"/>
          <w:bCs/>
          <w:sz w:val="24"/>
          <w:szCs w:val="26"/>
        </w:rPr>
        <w:t>fls. 5-12 Cd. consulta</w:t>
      </w:r>
      <w:r w:rsidRPr="00F818B3">
        <w:rPr>
          <w:rFonts w:ascii="Arial" w:hAnsi="Arial" w:cs="Arial"/>
          <w:bCs/>
          <w:sz w:val="26"/>
          <w:szCs w:val="26"/>
        </w:rPr>
        <w:t>).</w:t>
      </w:r>
    </w:p>
    <w:p w:rsidR="00EA7B9C" w:rsidRPr="00F818B3" w:rsidRDefault="00EA7B9C" w:rsidP="00EA7B9C">
      <w:pPr>
        <w:pStyle w:val="Sinespaciado"/>
        <w:spacing w:line="360" w:lineRule="auto"/>
        <w:ind w:firstLine="2835"/>
        <w:jc w:val="both"/>
        <w:rPr>
          <w:rFonts w:ascii="Arial" w:hAnsi="Arial" w:cs="Arial"/>
          <w:bCs/>
          <w:sz w:val="16"/>
          <w:szCs w:val="28"/>
          <w:highlight w:val="cyan"/>
        </w:rPr>
      </w:pPr>
    </w:p>
    <w:p w:rsidR="00EA7B9C" w:rsidRPr="00F818B3" w:rsidRDefault="00EA7B9C" w:rsidP="00EA7B9C">
      <w:pPr>
        <w:pStyle w:val="Sinespaciado"/>
        <w:spacing w:line="360" w:lineRule="auto"/>
        <w:ind w:firstLine="2835"/>
        <w:jc w:val="both"/>
        <w:rPr>
          <w:rFonts w:ascii="Arial" w:hAnsi="Arial" w:cs="Arial"/>
          <w:sz w:val="26"/>
          <w:szCs w:val="26"/>
        </w:rPr>
      </w:pPr>
      <w:r w:rsidRPr="00F818B3">
        <w:rPr>
          <w:rFonts w:ascii="Arial" w:hAnsi="Arial" w:cs="Arial"/>
          <w:bCs/>
          <w:sz w:val="26"/>
          <w:szCs w:val="26"/>
        </w:rPr>
        <w:t xml:space="preserve">7. Así las cosas, evidencia esta Sala de Decisión que en el expediente, ciertamente, obran elementos demostrativos que imponen señalar que, aunque de manera tardía, se adoptaron las determinaciones necesarias para acatar la orden que suscitó el trámite concluido mediante la providencia que es objeto de consulta, por consiguiente, resulta viable para esta Corporación </w:t>
      </w:r>
      <w:r w:rsidR="0068445A" w:rsidRPr="00F818B3">
        <w:rPr>
          <w:rFonts w:ascii="Arial" w:hAnsi="Arial" w:cs="Arial"/>
          <w:sz w:val="26"/>
          <w:szCs w:val="26"/>
        </w:rPr>
        <w:t>declara</w:t>
      </w:r>
      <w:r w:rsidR="00286B95" w:rsidRPr="00F818B3">
        <w:rPr>
          <w:rFonts w:ascii="Arial" w:hAnsi="Arial" w:cs="Arial"/>
          <w:sz w:val="26"/>
          <w:szCs w:val="26"/>
        </w:rPr>
        <w:t>r</w:t>
      </w:r>
      <w:r w:rsidR="0068445A" w:rsidRPr="00F818B3">
        <w:rPr>
          <w:rFonts w:ascii="Arial" w:hAnsi="Arial" w:cs="Arial"/>
          <w:sz w:val="26"/>
          <w:szCs w:val="26"/>
        </w:rPr>
        <w:t xml:space="preserve"> que se cumplió la orden impartida por </w:t>
      </w:r>
      <w:r w:rsidR="00286B95" w:rsidRPr="00F818B3">
        <w:rPr>
          <w:rFonts w:ascii="Arial" w:hAnsi="Arial" w:cs="Arial"/>
          <w:sz w:val="26"/>
          <w:szCs w:val="26"/>
        </w:rPr>
        <w:t>el Juez constitucional.</w:t>
      </w:r>
    </w:p>
    <w:p w:rsidR="00EA7B9C" w:rsidRPr="00F818B3" w:rsidRDefault="00EA7B9C" w:rsidP="00EA7B9C">
      <w:pPr>
        <w:pStyle w:val="Sinespaciado"/>
        <w:spacing w:line="360" w:lineRule="auto"/>
        <w:ind w:firstLine="2835"/>
        <w:jc w:val="both"/>
        <w:rPr>
          <w:rFonts w:ascii="Arial" w:hAnsi="Arial" w:cs="Arial"/>
          <w:bCs/>
          <w:sz w:val="16"/>
          <w:szCs w:val="28"/>
          <w:highlight w:val="cyan"/>
        </w:rPr>
      </w:pPr>
    </w:p>
    <w:p w:rsidR="00D8350D" w:rsidRDefault="00EA7B9C" w:rsidP="00D8350D">
      <w:pPr>
        <w:pStyle w:val="Sinespaciado"/>
        <w:spacing w:line="360" w:lineRule="auto"/>
        <w:ind w:firstLine="2835"/>
        <w:jc w:val="both"/>
        <w:rPr>
          <w:rFonts w:ascii="Arial" w:hAnsi="Arial" w:cs="Arial"/>
          <w:i/>
          <w:sz w:val="24"/>
          <w:szCs w:val="24"/>
          <w:lang w:val="es-CO"/>
        </w:rPr>
      </w:pPr>
      <w:r w:rsidRPr="00F818B3">
        <w:rPr>
          <w:rFonts w:ascii="Arial" w:hAnsi="Arial" w:cs="Arial"/>
          <w:sz w:val="26"/>
          <w:szCs w:val="26"/>
          <w:lang w:val="es-CO"/>
        </w:rPr>
        <w:t>8. Y es que el incidente de desacato tiene como finalidad principal buscar que la autoridad vinculada cumpla la orden impartida por el juez o jueza y no la imposición de una sanción de las contempladas en el artículo 52 del decreto 2591 de 1991.  Como lo tiene dicho</w:t>
      </w:r>
      <w:r w:rsidRPr="00F818B3">
        <w:rPr>
          <w:sz w:val="26"/>
          <w:szCs w:val="26"/>
        </w:rPr>
        <w:t xml:space="preserve"> </w:t>
      </w:r>
      <w:r w:rsidRPr="00F818B3">
        <w:rPr>
          <w:rFonts w:ascii="Arial" w:hAnsi="Arial" w:cs="Arial"/>
          <w:sz w:val="26"/>
          <w:szCs w:val="26"/>
          <w:lang w:val="es-CO"/>
        </w:rPr>
        <w:t>la Corte Constitucional:</w:t>
      </w:r>
      <w:r w:rsidRPr="00907E33">
        <w:rPr>
          <w:rFonts w:ascii="Arial" w:hAnsi="Arial" w:cs="Arial"/>
          <w:sz w:val="28"/>
          <w:szCs w:val="28"/>
          <w:lang w:val="es-CO"/>
        </w:rPr>
        <w:t xml:space="preserve"> </w:t>
      </w:r>
      <w:r w:rsidRPr="00907E33">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Pr="00907E33">
        <w:rPr>
          <w:rStyle w:val="Refdenotaalpie"/>
          <w:rFonts w:ascii="Arial" w:hAnsi="Arial" w:cs="Arial"/>
          <w:sz w:val="28"/>
          <w:szCs w:val="28"/>
          <w:lang w:val="es-CO"/>
        </w:rPr>
        <w:footnoteReference w:id="8"/>
      </w:r>
    </w:p>
    <w:p w:rsidR="00D8350D" w:rsidRDefault="00D8350D" w:rsidP="00D8350D">
      <w:pPr>
        <w:pStyle w:val="Sinespaciado"/>
        <w:spacing w:line="360" w:lineRule="auto"/>
        <w:ind w:firstLine="2835"/>
        <w:jc w:val="both"/>
        <w:rPr>
          <w:rFonts w:ascii="Arial" w:hAnsi="Arial" w:cs="Arial"/>
          <w:i/>
          <w:sz w:val="24"/>
          <w:szCs w:val="24"/>
          <w:lang w:val="es-CO"/>
        </w:rPr>
      </w:pPr>
    </w:p>
    <w:p w:rsidR="00D8350D" w:rsidRDefault="00D8350D" w:rsidP="00D8350D">
      <w:pPr>
        <w:pStyle w:val="Sinespaciado"/>
        <w:spacing w:line="360" w:lineRule="auto"/>
        <w:ind w:firstLine="2835"/>
        <w:jc w:val="both"/>
        <w:rPr>
          <w:rFonts w:ascii="Arial" w:hAnsi="Arial" w:cs="Arial"/>
          <w:i/>
          <w:sz w:val="24"/>
          <w:szCs w:val="24"/>
          <w:lang w:val="es-CO"/>
        </w:rPr>
      </w:pPr>
    </w:p>
    <w:p w:rsidR="00D8350D" w:rsidRDefault="00D8350D" w:rsidP="00D8350D">
      <w:pPr>
        <w:pStyle w:val="Sinespaciado"/>
        <w:spacing w:line="360" w:lineRule="auto"/>
        <w:ind w:firstLine="2835"/>
        <w:jc w:val="both"/>
        <w:rPr>
          <w:rFonts w:ascii="Arial" w:hAnsi="Arial" w:cs="Arial"/>
          <w:i/>
          <w:sz w:val="24"/>
          <w:szCs w:val="24"/>
          <w:lang w:val="es-CO"/>
        </w:rPr>
      </w:pPr>
    </w:p>
    <w:p w:rsidR="00907E33" w:rsidRPr="00D8350D" w:rsidRDefault="00907E33" w:rsidP="00D8350D">
      <w:pPr>
        <w:pStyle w:val="Sinespaciado"/>
        <w:spacing w:line="360" w:lineRule="auto"/>
        <w:ind w:firstLine="2835"/>
        <w:jc w:val="both"/>
        <w:rPr>
          <w:rFonts w:ascii="Arial" w:hAnsi="Arial" w:cs="Arial"/>
          <w:bCs/>
          <w:sz w:val="26"/>
          <w:szCs w:val="26"/>
        </w:rPr>
      </w:pPr>
      <w:r w:rsidRPr="00F818B3">
        <w:rPr>
          <w:rFonts w:ascii="Arial" w:hAnsi="Arial" w:cs="Arial"/>
          <w:b/>
          <w:bCs/>
          <w:sz w:val="22"/>
          <w:szCs w:val="26"/>
        </w:rPr>
        <w:t>V. DECISIÓN</w:t>
      </w:r>
    </w:p>
    <w:p w:rsidR="00907E33" w:rsidRPr="00F818B3" w:rsidRDefault="00907E33" w:rsidP="00EA7B9C">
      <w:pPr>
        <w:pStyle w:val="Sinespaciado"/>
        <w:spacing w:line="360" w:lineRule="auto"/>
        <w:ind w:firstLine="2835"/>
        <w:jc w:val="both"/>
        <w:rPr>
          <w:rFonts w:ascii="Arial" w:hAnsi="Arial" w:cs="Arial"/>
          <w:bCs/>
          <w:sz w:val="24"/>
          <w:szCs w:val="26"/>
        </w:rPr>
      </w:pPr>
    </w:p>
    <w:p w:rsidR="00F818B3" w:rsidRPr="00D8350D" w:rsidRDefault="00EA7B9C" w:rsidP="00D8350D">
      <w:pPr>
        <w:spacing w:line="360" w:lineRule="auto"/>
        <w:ind w:firstLine="2835"/>
        <w:jc w:val="both"/>
        <w:rPr>
          <w:rFonts w:ascii="Arial" w:hAnsi="Arial" w:cs="Arial"/>
          <w:sz w:val="26"/>
          <w:szCs w:val="26"/>
          <w:lang w:val="es-CO"/>
        </w:rPr>
      </w:pPr>
      <w:r w:rsidRPr="00F818B3">
        <w:rPr>
          <w:rFonts w:ascii="Arial" w:hAnsi="Arial" w:cs="Arial"/>
          <w:bCs/>
          <w:sz w:val="26"/>
          <w:szCs w:val="26"/>
        </w:rPr>
        <w:t>En mérito de lo dicho, el Tribunal Superior del Distrito Judicial de Pereira, Sala Civil Familia,</w:t>
      </w:r>
    </w:p>
    <w:p w:rsidR="00F818B3" w:rsidRPr="00D8350D" w:rsidRDefault="00F818B3" w:rsidP="00F818B3">
      <w:pPr>
        <w:pStyle w:val="Sinespaciado"/>
        <w:spacing w:line="360" w:lineRule="auto"/>
        <w:ind w:firstLine="2835"/>
        <w:rPr>
          <w:rFonts w:ascii="Arial" w:hAnsi="Arial" w:cs="Arial"/>
          <w:sz w:val="24"/>
          <w:szCs w:val="28"/>
          <w:highlight w:val="darkGray"/>
        </w:rPr>
      </w:pPr>
    </w:p>
    <w:p w:rsidR="00EA7B9C" w:rsidRPr="00D8350D" w:rsidRDefault="00907E33" w:rsidP="00EA7B9C">
      <w:pPr>
        <w:pStyle w:val="Sinespaciado"/>
        <w:spacing w:line="360" w:lineRule="auto"/>
        <w:ind w:firstLine="2835"/>
        <w:rPr>
          <w:rFonts w:ascii="Arial" w:hAnsi="Arial" w:cs="Arial"/>
          <w:b/>
          <w:sz w:val="28"/>
          <w:szCs w:val="28"/>
        </w:rPr>
      </w:pPr>
      <w:r w:rsidRPr="00D8350D">
        <w:rPr>
          <w:rFonts w:ascii="Arial" w:hAnsi="Arial" w:cs="Arial"/>
          <w:b/>
          <w:sz w:val="24"/>
          <w:szCs w:val="28"/>
        </w:rPr>
        <w:t>RESUELVE</w:t>
      </w:r>
      <w:r w:rsidR="00EA7B9C" w:rsidRPr="00D8350D">
        <w:rPr>
          <w:rFonts w:ascii="Arial" w:hAnsi="Arial" w:cs="Arial"/>
          <w:b/>
          <w:sz w:val="28"/>
          <w:szCs w:val="28"/>
        </w:rPr>
        <w:t>:</w:t>
      </w:r>
    </w:p>
    <w:p w:rsidR="00EA7B9C" w:rsidRPr="00F818B3" w:rsidRDefault="00EA7B9C" w:rsidP="00EA7B9C">
      <w:pPr>
        <w:pStyle w:val="Sinespaciado"/>
        <w:spacing w:line="360" w:lineRule="auto"/>
        <w:ind w:firstLine="2835"/>
        <w:jc w:val="both"/>
        <w:rPr>
          <w:rFonts w:ascii="Arial" w:hAnsi="Arial" w:cs="Arial"/>
          <w:sz w:val="24"/>
          <w:szCs w:val="28"/>
          <w:highlight w:val="darkGray"/>
        </w:rPr>
      </w:pPr>
    </w:p>
    <w:p w:rsidR="00EA7B9C" w:rsidRPr="00F818B3" w:rsidRDefault="00EA7B9C" w:rsidP="00EA7B9C">
      <w:pPr>
        <w:spacing w:line="360" w:lineRule="auto"/>
        <w:ind w:firstLine="2835"/>
        <w:jc w:val="both"/>
        <w:rPr>
          <w:rFonts w:ascii="Arial" w:hAnsi="Arial"/>
          <w:sz w:val="26"/>
          <w:szCs w:val="26"/>
        </w:rPr>
      </w:pPr>
      <w:r w:rsidRPr="00F818B3">
        <w:rPr>
          <w:rFonts w:ascii="Arial" w:hAnsi="Arial" w:cs="Arial"/>
          <w:sz w:val="26"/>
          <w:szCs w:val="26"/>
          <w:lang w:val="es-CO"/>
        </w:rPr>
        <w:t>Primero: Revocar las sanciones impuestas por el Juzgado Segundo Civil del Circuito de Pereira</w:t>
      </w:r>
      <w:r w:rsidRPr="00F818B3">
        <w:rPr>
          <w:rFonts w:ascii="Arial" w:hAnsi="Arial"/>
          <w:sz w:val="26"/>
          <w:szCs w:val="26"/>
        </w:rPr>
        <w:t xml:space="preserve">, </w:t>
      </w:r>
      <w:r w:rsidRPr="00F818B3">
        <w:rPr>
          <w:rFonts w:ascii="Arial" w:hAnsi="Arial" w:cs="Arial"/>
          <w:sz w:val="26"/>
          <w:szCs w:val="26"/>
          <w:lang w:val="es-CO"/>
        </w:rPr>
        <w:t xml:space="preserve">en proveído del 26 de abril de 2016 </w:t>
      </w:r>
      <w:r w:rsidRPr="00F818B3">
        <w:rPr>
          <w:rFonts w:ascii="Arial" w:hAnsi="Arial" w:cs="Arial"/>
          <w:sz w:val="26"/>
          <w:szCs w:val="26"/>
        </w:rPr>
        <w:t>y se declara que se cumplió la orden impartida por ese estrado judicial</w:t>
      </w:r>
      <w:r w:rsidRPr="00F818B3">
        <w:rPr>
          <w:rFonts w:ascii="Arial" w:hAnsi="Arial" w:cs="Arial"/>
          <w:bCs/>
          <w:sz w:val="26"/>
          <w:szCs w:val="26"/>
        </w:rPr>
        <w:t>.</w:t>
      </w:r>
    </w:p>
    <w:p w:rsidR="00EA7B9C" w:rsidRPr="00F818B3" w:rsidRDefault="00EA7B9C" w:rsidP="00EA7B9C">
      <w:pPr>
        <w:spacing w:line="360" w:lineRule="auto"/>
        <w:ind w:firstLine="2835"/>
        <w:jc w:val="both"/>
        <w:rPr>
          <w:rFonts w:ascii="Arial" w:hAnsi="Arial"/>
          <w:sz w:val="16"/>
          <w:szCs w:val="28"/>
        </w:rPr>
      </w:pPr>
    </w:p>
    <w:p w:rsidR="00EA7B9C" w:rsidRPr="00F818B3" w:rsidRDefault="00EA7B9C" w:rsidP="00EA7B9C">
      <w:pPr>
        <w:spacing w:line="360" w:lineRule="auto"/>
        <w:ind w:firstLine="2835"/>
        <w:jc w:val="both"/>
        <w:rPr>
          <w:rFonts w:ascii="Arial" w:hAnsi="Arial" w:cs="Arial"/>
          <w:sz w:val="26"/>
          <w:szCs w:val="26"/>
          <w:lang w:val="es-CO"/>
        </w:rPr>
      </w:pPr>
      <w:r w:rsidRPr="00F818B3">
        <w:rPr>
          <w:rFonts w:ascii="Arial" w:hAnsi="Arial" w:cs="Arial"/>
          <w:sz w:val="26"/>
          <w:szCs w:val="26"/>
          <w:lang w:val="es-CO"/>
        </w:rPr>
        <w:t>Segundo: Comunicar a los interesados en la forma prevista por el artículo 30 del Decreto 2591 de 1991.</w:t>
      </w:r>
    </w:p>
    <w:p w:rsidR="00907E33" w:rsidRPr="00F818B3" w:rsidRDefault="00907E33" w:rsidP="00EA7B9C">
      <w:pPr>
        <w:spacing w:line="360" w:lineRule="auto"/>
        <w:ind w:firstLine="2835"/>
        <w:jc w:val="both"/>
        <w:rPr>
          <w:rFonts w:ascii="Arial" w:hAnsi="Arial" w:cs="Arial"/>
          <w:sz w:val="16"/>
          <w:szCs w:val="28"/>
          <w:lang w:val="es-CO"/>
        </w:rPr>
      </w:pPr>
    </w:p>
    <w:p w:rsidR="00EA7B9C" w:rsidRPr="00F818B3" w:rsidRDefault="00EA7B9C" w:rsidP="00EA7B9C">
      <w:pPr>
        <w:spacing w:line="360" w:lineRule="auto"/>
        <w:ind w:firstLine="2835"/>
        <w:jc w:val="both"/>
        <w:rPr>
          <w:rFonts w:ascii="Arial" w:hAnsi="Arial" w:cs="Arial"/>
          <w:sz w:val="26"/>
          <w:szCs w:val="26"/>
          <w:lang w:val="es-CO"/>
        </w:rPr>
      </w:pPr>
      <w:r w:rsidRPr="00F818B3">
        <w:rPr>
          <w:rFonts w:ascii="Arial" w:hAnsi="Arial" w:cs="Arial"/>
          <w:sz w:val="26"/>
          <w:szCs w:val="26"/>
          <w:lang w:val="es-CO"/>
        </w:rPr>
        <w:t xml:space="preserve">Tercero: Devolver la actuación al juzgado de origen </w:t>
      </w:r>
      <w:r w:rsidRPr="00F818B3">
        <w:rPr>
          <w:rFonts w:ascii="Arial" w:hAnsi="Arial" w:cs="Arial"/>
          <w:sz w:val="26"/>
          <w:szCs w:val="26"/>
        </w:rPr>
        <w:t>para lo de su competencia.</w:t>
      </w:r>
    </w:p>
    <w:p w:rsidR="00EA7B9C" w:rsidRPr="00F818B3" w:rsidRDefault="00EA7B9C" w:rsidP="00EA7B9C">
      <w:pPr>
        <w:spacing w:line="360" w:lineRule="auto"/>
        <w:ind w:firstLine="2835"/>
        <w:jc w:val="both"/>
        <w:rPr>
          <w:rFonts w:ascii="Arial" w:hAnsi="Arial" w:cs="Arial"/>
          <w:sz w:val="16"/>
          <w:szCs w:val="28"/>
          <w:highlight w:val="darkGray"/>
          <w:lang w:val="es-CO"/>
        </w:rPr>
      </w:pPr>
    </w:p>
    <w:p w:rsidR="00EA7B9C" w:rsidRPr="00F818B3" w:rsidRDefault="00EA7B9C" w:rsidP="00EA7B9C">
      <w:pPr>
        <w:pStyle w:val="Sinespaciado"/>
        <w:spacing w:line="360" w:lineRule="auto"/>
        <w:ind w:firstLine="2835"/>
        <w:jc w:val="both"/>
        <w:rPr>
          <w:rFonts w:ascii="Arial" w:hAnsi="Arial" w:cs="Arial"/>
          <w:sz w:val="26"/>
          <w:szCs w:val="26"/>
        </w:rPr>
      </w:pPr>
      <w:r w:rsidRPr="00F818B3">
        <w:rPr>
          <w:rFonts w:ascii="Arial" w:hAnsi="Arial" w:cs="Arial"/>
          <w:sz w:val="26"/>
          <w:szCs w:val="26"/>
        </w:rPr>
        <w:t>Notifíquese y cúmplase,</w:t>
      </w:r>
    </w:p>
    <w:p w:rsidR="00EA7B9C" w:rsidRPr="00F818B3" w:rsidRDefault="00EA7B9C" w:rsidP="00EA7B9C">
      <w:pPr>
        <w:pStyle w:val="Sinespaciado"/>
        <w:spacing w:line="360" w:lineRule="auto"/>
        <w:ind w:firstLine="2835"/>
        <w:jc w:val="both"/>
        <w:rPr>
          <w:rFonts w:ascii="Arial" w:hAnsi="Arial" w:cs="Arial"/>
          <w:bCs/>
          <w:iCs/>
          <w:sz w:val="16"/>
          <w:szCs w:val="28"/>
        </w:rPr>
      </w:pPr>
    </w:p>
    <w:p w:rsidR="00EA7B9C" w:rsidRPr="00F818B3" w:rsidRDefault="00CA68E0" w:rsidP="00EA7B9C">
      <w:pPr>
        <w:pStyle w:val="Sinespaciado"/>
        <w:spacing w:line="360" w:lineRule="auto"/>
        <w:ind w:firstLine="2835"/>
        <w:jc w:val="both"/>
        <w:rPr>
          <w:rFonts w:ascii="Arial" w:hAnsi="Arial" w:cs="Arial"/>
          <w:spacing w:val="-3"/>
          <w:sz w:val="26"/>
          <w:szCs w:val="26"/>
        </w:rPr>
      </w:pPr>
      <w:r w:rsidRPr="00F818B3">
        <w:rPr>
          <w:rFonts w:ascii="Arial" w:hAnsi="Arial" w:cs="Arial"/>
          <w:spacing w:val="-3"/>
          <w:sz w:val="26"/>
          <w:szCs w:val="26"/>
        </w:rPr>
        <w:t>El Magistrado</w:t>
      </w:r>
      <w:r w:rsidR="00EA7B9C" w:rsidRPr="00F818B3">
        <w:rPr>
          <w:rFonts w:ascii="Arial" w:hAnsi="Arial" w:cs="Arial"/>
          <w:spacing w:val="-3"/>
          <w:sz w:val="26"/>
          <w:szCs w:val="26"/>
        </w:rPr>
        <w:t>,</w:t>
      </w:r>
    </w:p>
    <w:p w:rsidR="00EA7B9C" w:rsidRPr="00907E33" w:rsidRDefault="00EA7B9C" w:rsidP="00EA7B9C">
      <w:pPr>
        <w:pStyle w:val="Sinespaciado"/>
        <w:spacing w:line="360" w:lineRule="auto"/>
        <w:ind w:firstLine="2835"/>
        <w:jc w:val="both"/>
        <w:rPr>
          <w:rFonts w:ascii="Arial" w:hAnsi="Arial" w:cs="Arial"/>
          <w:spacing w:val="-3"/>
          <w:sz w:val="28"/>
          <w:szCs w:val="28"/>
        </w:rPr>
      </w:pPr>
    </w:p>
    <w:p w:rsidR="00EA7B9C" w:rsidRPr="00907E33" w:rsidRDefault="00EA7B9C" w:rsidP="00EA7B9C">
      <w:pPr>
        <w:pStyle w:val="Sinespaciado"/>
        <w:spacing w:line="360" w:lineRule="auto"/>
        <w:ind w:firstLine="2835"/>
        <w:jc w:val="both"/>
        <w:rPr>
          <w:rFonts w:ascii="Arial" w:hAnsi="Arial" w:cs="Arial"/>
          <w:spacing w:val="-3"/>
          <w:sz w:val="28"/>
          <w:szCs w:val="28"/>
        </w:rPr>
      </w:pPr>
    </w:p>
    <w:p w:rsidR="00EA7B9C" w:rsidRPr="00907E33" w:rsidRDefault="00EA7B9C" w:rsidP="00EA7B9C">
      <w:pPr>
        <w:pStyle w:val="Sinespaciado"/>
        <w:spacing w:line="360" w:lineRule="auto"/>
        <w:ind w:firstLine="2835"/>
        <w:jc w:val="both"/>
        <w:rPr>
          <w:rFonts w:ascii="Arial" w:hAnsi="Arial" w:cs="Arial"/>
          <w:spacing w:val="-3"/>
          <w:sz w:val="28"/>
          <w:szCs w:val="28"/>
        </w:rPr>
      </w:pPr>
    </w:p>
    <w:p w:rsidR="00EA7B9C" w:rsidRPr="00D8350D" w:rsidRDefault="00EA7B9C" w:rsidP="00EA7B9C">
      <w:pPr>
        <w:pStyle w:val="Sinespaciado"/>
        <w:spacing w:line="360" w:lineRule="auto"/>
        <w:ind w:firstLine="2835"/>
        <w:jc w:val="both"/>
        <w:rPr>
          <w:rFonts w:ascii="Arial" w:hAnsi="Arial" w:cs="Arial"/>
          <w:b/>
          <w:spacing w:val="-3"/>
          <w:sz w:val="28"/>
          <w:szCs w:val="28"/>
        </w:rPr>
      </w:pPr>
    </w:p>
    <w:p w:rsidR="00EA7B9C" w:rsidRPr="00907E33" w:rsidRDefault="00EA7B9C" w:rsidP="00EA7B9C">
      <w:pPr>
        <w:pStyle w:val="Sinespaciado"/>
        <w:spacing w:line="360" w:lineRule="auto"/>
        <w:ind w:firstLine="2835"/>
        <w:jc w:val="both"/>
        <w:rPr>
          <w:rFonts w:ascii="Arial" w:hAnsi="Arial" w:cs="Arial"/>
          <w:spacing w:val="-3"/>
          <w:sz w:val="24"/>
          <w:szCs w:val="24"/>
        </w:rPr>
      </w:pPr>
      <w:r w:rsidRPr="00D8350D">
        <w:rPr>
          <w:rFonts w:ascii="Arial" w:hAnsi="Arial" w:cs="Arial"/>
          <w:b/>
          <w:spacing w:val="-3"/>
          <w:sz w:val="24"/>
          <w:szCs w:val="24"/>
        </w:rPr>
        <w:t>EDDER JIMMY SÁNCHEZ CALAMBÁS</w:t>
      </w:r>
    </w:p>
    <w:sectPr w:rsidR="00EA7B9C" w:rsidRPr="00907E33" w:rsidSect="00FD4CE9">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95" w:rsidRDefault="00D70095" w:rsidP="001D4EB3">
      <w:r>
        <w:separator/>
      </w:r>
    </w:p>
  </w:endnote>
  <w:endnote w:type="continuationSeparator" w:id="0">
    <w:p w:rsidR="00D70095" w:rsidRDefault="00D70095" w:rsidP="001D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1E58B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70095">
      <w:rPr>
        <w:rFonts w:ascii="Arial" w:hAnsi="Arial" w:cs="Arial"/>
        <w:noProof/>
        <w:sz w:val="22"/>
        <w:szCs w:val="22"/>
      </w:rPr>
      <w:t>1</w:t>
    </w:r>
    <w:r w:rsidRPr="00B97631">
      <w:rPr>
        <w:rFonts w:ascii="Arial" w:hAnsi="Arial" w:cs="Arial"/>
        <w:sz w:val="22"/>
        <w:szCs w:val="22"/>
      </w:rPr>
      <w:fldChar w:fldCharType="end"/>
    </w:r>
  </w:p>
  <w:p w:rsidR="00DF4F29" w:rsidRDefault="00D700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95" w:rsidRDefault="00D70095" w:rsidP="001D4EB3">
      <w:r>
        <w:separator/>
      </w:r>
    </w:p>
  </w:footnote>
  <w:footnote w:type="continuationSeparator" w:id="0">
    <w:p w:rsidR="00D70095" w:rsidRDefault="00D70095" w:rsidP="001D4EB3">
      <w:r>
        <w:continuationSeparator/>
      </w:r>
    </w:p>
  </w:footnote>
  <w:footnote w:id="1">
    <w:p w:rsidR="0086729C" w:rsidRPr="00A81463" w:rsidRDefault="0086729C" w:rsidP="00C572DD">
      <w:pPr>
        <w:pStyle w:val="Textonotapie"/>
        <w:jc w:val="both"/>
        <w:rPr>
          <w:rFonts w:ascii="Arial" w:hAnsi="Arial" w:cs="Arial"/>
          <w:lang w:val="es-CO"/>
        </w:rPr>
      </w:pPr>
      <w:r w:rsidRPr="00A81463">
        <w:rPr>
          <w:rStyle w:val="Refdenotaalpie"/>
          <w:rFonts w:ascii="Arial" w:hAnsi="Arial" w:cs="Arial"/>
          <w:sz w:val="18"/>
        </w:rPr>
        <w:footnoteRef/>
      </w:r>
      <w:r w:rsidRPr="00A81463">
        <w:rPr>
          <w:rFonts w:ascii="Arial" w:hAnsi="Arial" w:cs="Arial"/>
          <w:sz w:val="18"/>
        </w:rPr>
        <w:t xml:space="preserve"> </w:t>
      </w:r>
      <w:bookmarkStart w:id="1" w:name="_Toc330085979"/>
      <w:bookmarkStart w:id="2" w:name="_Toc330301736"/>
      <w:bookmarkStart w:id="3" w:name="_Toc330304846"/>
      <w:r w:rsidR="00511261" w:rsidRPr="00A81463">
        <w:rPr>
          <w:rStyle w:val="Ttulo1Car"/>
          <w:b w:val="0"/>
          <w:sz w:val="18"/>
          <w:szCs w:val="20"/>
        </w:rPr>
        <w:t>Artículo 35. Atribuciones de las salas de decisión y del magistrado sustanciador.</w:t>
      </w:r>
      <w:bookmarkEnd w:id="1"/>
      <w:bookmarkEnd w:id="2"/>
      <w:bookmarkEnd w:id="3"/>
      <w:r w:rsidR="00511261" w:rsidRPr="00A81463">
        <w:rPr>
          <w:rFonts w:ascii="Arial" w:hAnsi="Arial" w:cs="Arial"/>
          <w:i/>
          <w:iCs/>
          <w:spacing w:val="-1"/>
          <w:sz w:val="18"/>
          <w:lang w:val="es-ES_tradnl"/>
        </w:rPr>
        <w:t xml:space="preserve"> </w:t>
      </w:r>
      <w:r w:rsidR="00511261" w:rsidRPr="00A81463">
        <w:rPr>
          <w:rFonts w:ascii="Arial" w:hAnsi="Arial" w:cs="Arial"/>
          <w:spacing w:val="-1"/>
          <w:sz w:val="18"/>
          <w:lang w:val="es-ES_tradnl"/>
        </w:rPr>
        <w:t xml:space="preserve">Corresponde a las salas de decisión dictar las sentencias y los autos que decidan la apelación contra el que rechace el incidente </w:t>
      </w:r>
      <w:r w:rsidR="00511261" w:rsidRPr="00A81463">
        <w:rPr>
          <w:rFonts w:ascii="Arial" w:hAnsi="Arial" w:cs="Arial"/>
          <w:spacing w:val="-2"/>
          <w:sz w:val="18"/>
          <w:lang w:val="es-ES_tradnl"/>
        </w:rPr>
        <w:t xml:space="preserve">de liquidación de perjuicios de condena impuesta en abstracto o el que rechace la oposición a la diligencia de entrega o resuelva sobre ella. </w:t>
      </w:r>
      <w:r w:rsidR="00511261" w:rsidRPr="00A81463">
        <w:rPr>
          <w:rFonts w:ascii="Arial" w:hAnsi="Arial" w:cs="Arial"/>
          <w:spacing w:val="-2"/>
          <w:sz w:val="18"/>
          <w:u w:val="single"/>
          <w:lang w:val="es-ES_tradnl"/>
        </w:rPr>
        <w:t>El magistrado sustanciador dictará los demás autos que no correspondan a la sala de decisión</w:t>
      </w:r>
      <w:r w:rsidR="00511261" w:rsidRPr="00A81463">
        <w:rPr>
          <w:rFonts w:ascii="Arial" w:hAnsi="Arial" w:cs="Arial"/>
          <w:spacing w:val="-2"/>
          <w:sz w:val="18"/>
          <w:lang w:val="es-ES_tradnl"/>
        </w:rPr>
        <w:t>…”</w:t>
      </w:r>
      <w:r w:rsidR="00C572DD" w:rsidRPr="00A81463">
        <w:rPr>
          <w:rFonts w:ascii="Arial" w:hAnsi="Arial" w:cs="Arial"/>
          <w:spacing w:val="-2"/>
          <w:sz w:val="18"/>
          <w:lang w:val="es-ES_tradnl"/>
        </w:rPr>
        <w:t xml:space="preserve"> (Subrayado fuera de texto).</w:t>
      </w:r>
    </w:p>
  </w:footnote>
  <w:footnote w:id="2">
    <w:p w:rsidR="00EA7B9C" w:rsidRPr="009752D4" w:rsidRDefault="00EA7B9C" w:rsidP="00EA7B9C">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3">
    <w:p w:rsidR="00EA7B9C" w:rsidRPr="004A078E" w:rsidRDefault="00EA7B9C" w:rsidP="00EA7B9C">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4">
    <w:p w:rsidR="00EA7B9C" w:rsidRPr="001D4B86" w:rsidRDefault="00EA7B9C" w:rsidP="00EA7B9C">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5">
    <w:p w:rsidR="00EA7B9C" w:rsidRPr="0001724F" w:rsidRDefault="00EA7B9C" w:rsidP="00EA7B9C">
      <w:pPr>
        <w:pStyle w:val="Textonotapie"/>
        <w:jc w:val="both"/>
        <w:rPr>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 w:id="6">
    <w:p w:rsidR="00EA7B9C" w:rsidRPr="0030367D" w:rsidRDefault="00EA7B9C" w:rsidP="00962225">
      <w:pPr>
        <w:spacing w:before="100" w:beforeAutospacing="1" w:after="100" w:afterAutospacing="1"/>
        <w:jc w:val="both"/>
        <w:rPr>
          <w:rFonts w:ascii="Arial" w:hAnsi="Arial" w:cs="Arial"/>
        </w:rPr>
      </w:pPr>
      <w:r w:rsidRPr="0030367D">
        <w:rPr>
          <w:rStyle w:val="Refdenotaalpie"/>
          <w:rFonts w:ascii="Arial" w:hAnsi="Arial" w:cs="Arial"/>
        </w:rPr>
        <w:footnoteRef/>
      </w:r>
      <w:r w:rsidRPr="0030367D">
        <w:rPr>
          <w:rFonts w:ascii="Arial" w:hAnsi="Arial" w:cs="Arial"/>
        </w:rPr>
        <w:t xml:space="preserve"> </w:t>
      </w:r>
      <w:bookmarkStart w:id="4" w:name="24"/>
      <w:r w:rsidRPr="0030367D">
        <w:rPr>
          <w:rFonts w:ascii="Arial" w:hAnsi="Arial" w:cs="Arial"/>
          <w:bCs/>
        </w:rPr>
        <w:t>ARTÍCULO 24. DIRECCIÓN DE REGISTRO Y GESTIÓN DE LA INFORMACIÓN.</w:t>
      </w:r>
      <w:bookmarkEnd w:id="4"/>
      <w:r w:rsidRPr="0030367D">
        <w:rPr>
          <w:rFonts w:ascii="Arial" w:hAnsi="Arial" w:cs="Arial"/>
        </w:rPr>
        <w:t xml:space="preserve"> Son funciones de la Dirección de Registro y Gestión de la Información las siguientes:</w:t>
      </w:r>
    </w:p>
    <w:p w:rsidR="00EA7B9C" w:rsidRPr="006606C7" w:rsidRDefault="00EA7B9C" w:rsidP="00962225">
      <w:pPr>
        <w:spacing w:before="100" w:beforeAutospacing="1" w:after="100" w:afterAutospacing="1"/>
        <w:jc w:val="both"/>
        <w:rPr>
          <w:rFonts w:ascii="Arial" w:hAnsi="Arial" w:cs="Arial"/>
        </w:rPr>
      </w:pPr>
      <w:r w:rsidRPr="0030367D">
        <w:rPr>
          <w:rFonts w:ascii="Arial" w:hAnsi="Arial" w:cs="Arial"/>
        </w:rPr>
        <w:t>6. Decidir la solicitud de inscripción en el Registro Único de Víctimas y resolver los recursos de la vía gubernativa de su competencia, atendiendo lo establecido en los artículos </w:t>
      </w:r>
      <w:hyperlink r:id="rId1" w:anchor="157" w:history="1">
        <w:r w:rsidRPr="0030367D">
          <w:rPr>
            <w:rFonts w:ascii="Arial" w:hAnsi="Arial" w:cs="Arial"/>
          </w:rPr>
          <w:t>157</w:t>
        </w:r>
      </w:hyperlink>
      <w:r w:rsidRPr="0030367D">
        <w:rPr>
          <w:rFonts w:ascii="Arial" w:hAnsi="Arial" w:cs="Arial"/>
        </w:rPr>
        <w:t> y </w:t>
      </w:r>
      <w:hyperlink r:id="rId2" w:anchor="158" w:history="1">
        <w:r w:rsidRPr="0030367D">
          <w:rPr>
            <w:rFonts w:ascii="Arial" w:hAnsi="Arial" w:cs="Arial"/>
          </w:rPr>
          <w:t>158</w:t>
        </w:r>
      </w:hyperlink>
      <w:r w:rsidRPr="0030367D">
        <w:rPr>
          <w:rFonts w:ascii="Arial" w:hAnsi="Arial" w:cs="Arial"/>
        </w:rPr>
        <w:t> de la Ley 1448</w:t>
      </w:r>
      <w:r w:rsidRPr="00962225">
        <w:rPr>
          <w:rFonts w:ascii="Arial" w:hAnsi="Arial" w:cs="Arial"/>
        </w:rPr>
        <w:t xml:space="preserve"> </w:t>
      </w:r>
      <w:r w:rsidRPr="006606C7">
        <w:rPr>
          <w:rFonts w:ascii="Arial" w:hAnsi="Arial" w:cs="Arial"/>
        </w:rPr>
        <w:t>de 2011 y las normas que la modifiquen, adicionen o reglamenten, en coordinación con la Oficina Asesora Jurídica.</w:t>
      </w:r>
    </w:p>
    <w:p w:rsidR="00EA7B9C" w:rsidRPr="00F153FD" w:rsidRDefault="00EA7B9C" w:rsidP="00962225">
      <w:pPr>
        <w:pStyle w:val="Textonotapie"/>
        <w:jc w:val="both"/>
        <w:rPr>
          <w:lang w:val="es-CO"/>
        </w:rPr>
      </w:pPr>
      <w:r w:rsidRPr="006606C7">
        <w:rPr>
          <w:rFonts w:ascii="Arial" w:hAnsi="Arial" w:cs="Arial"/>
        </w:rPr>
        <w:t>9. Coordinar el procedimiento de exclusión de las presuntas víctimas que haya ingresado al Registro Único de Víctimas, en los términos señalados en los artículos </w:t>
      </w:r>
      <w:hyperlink r:id="rId3" w:anchor="198" w:history="1">
        <w:r w:rsidRPr="006606C7">
          <w:rPr>
            <w:rFonts w:ascii="Arial" w:hAnsi="Arial" w:cs="Arial"/>
          </w:rPr>
          <w:t>198</w:t>
        </w:r>
      </w:hyperlink>
      <w:r w:rsidRPr="006606C7">
        <w:rPr>
          <w:rFonts w:ascii="Arial" w:hAnsi="Arial" w:cs="Arial"/>
        </w:rPr>
        <w:t> y </w:t>
      </w:r>
      <w:hyperlink r:id="rId4" w:anchor="199" w:history="1">
        <w:r w:rsidRPr="006606C7">
          <w:rPr>
            <w:rFonts w:ascii="Arial" w:hAnsi="Arial" w:cs="Arial"/>
          </w:rPr>
          <w:t>199</w:t>
        </w:r>
      </w:hyperlink>
      <w:r w:rsidRPr="006606C7">
        <w:rPr>
          <w:rFonts w:ascii="Arial" w:hAnsi="Arial" w:cs="Arial"/>
        </w:rPr>
        <w:t> de la Ley 1448 de 2011 y las normas que la modifiquen, adicionen o reglamenten.</w:t>
      </w:r>
    </w:p>
  </w:footnote>
  <w:footnote w:id="7">
    <w:p w:rsidR="00EA7B9C" w:rsidRPr="00CC0A93" w:rsidRDefault="00EA7B9C" w:rsidP="00EA7B9C">
      <w:pPr>
        <w:pStyle w:val="Textonotapie"/>
        <w:rPr>
          <w:rFonts w:ascii="Arial" w:hAnsi="Arial" w:cs="Arial"/>
          <w:lang w:val="es-CO"/>
        </w:rPr>
      </w:pPr>
      <w:r w:rsidRPr="00CC0A93">
        <w:rPr>
          <w:rStyle w:val="Refdenotaalpie"/>
          <w:rFonts w:ascii="Arial" w:hAnsi="Arial" w:cs="Arial"/>
        </w:rPr>
        <w:footnoteRef/>
      </w:r>
      <w:r w:rsidRPr="00CC0A93">
        <w:rPr>
          <w:rFonts w:ascii="Arial" w:hAnsi="Arial" w:cs="Arial"/>
        </w:rPr>
        <w:t xml:space="preserve">   TRIBUNAL SUPERIOR DE PEREIRA, Sala Civil – Familia. Auto del 14-11-2014; M.P: Claudia Ma. Arcila R., expediente No.2014-00095-01.</w:t>
      </w:r>
    </w:p>
  </w:footnote>
  <w:footnote w:id="8">
    <w:p w:rsidR="00EA7B9C" w:rsidRPr="0085585E" w:rsidRDefault="00EA7B9C" w:rsidP="00EA7B9C">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1E58B0"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1E58B0"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6D872A1D" wp14:editId="75679DCE">
          <wp:simplePos x="0" y="0"/>
          <wp:positionH relativeFrom="column">
            <wp:posOffset>685800</wp:posOffset>
          </wp:positionH>
          <wp:positionV relativeFrom="paragraph">
            <wp:posOffset>19685</wp:posOffset>
          </wp:positionV>
          <wp:extent cx="407670" cy="394335"/>
          <wp:effectExtent l="0" t="0" r="0" b="5715"/>
          <wp:wrapNone/>
          <wp:docPr id="5" name="Imagen 5"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70095" w:rsidP="005B38E1">
    <w:pPr>
      <w:pStyle w:val="Sinespaciado1"/>
      <w:rPr>
        <w:rFonts w:ascii="Arial" w:hAnsi="Arial" w:cs="Arial"/>
        <w:sz w:val="16"/>
        <w:szCs w:val="16"/>
      </w:rPr>
    </w:pPr>
  </w:p>
  <w:p w:rsidR="00DF4F29" w:rsidRPr="005643A9" w:rsidRDefault="00D70095" w:rsidP="005B38E1">
    <w:pPr>
      <w:pStyle w:val="Sinespaciado"/>
      <w:rPr>
        <w:rFonts w:ascii="Arial" w:hAnsi="Arial" w:cs="Arial"/>
        <w:sz w:val="16"/>
        <w:szCs w:val="16"/>
      </w:rPr>
    </w:pPr>
  </w:p>
  <w:p w:rsidR="00DF4F29" w:rsidRDefault="001E58B0"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1E58B0"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66001-31-03-002-2016-00035-01</w:t>
    </w:r>
  </w:p>
  <w:p w:rsidR="00DF4F29" w:rsidRDefault="00D70095">
    <w:pPr>
      <w:pStyle w:val="Encabezado"/>
      <w:rPr>
        <w:rFonts w:ascii="Arial" w:hAnsi="Arial" w:cs="Arial"/>
        <w:sz w:val="16"/>
        <w:szCs w:val="16"/>
      </w:rPr>
    </w:pPr>
  </w:p>
  <w:p w:rsidR="00DF4F29" w:rsidRPr="005643A9" w:rsidRDefault="001E58B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B3"/>
    <w:rsid w:val="000510E6"/>
    <w:rsid w:val="0006052B"/>
    <w:rsid w:val="000C40F6"/>
    <w:rsid w:val="000F5F82"/>
    <w:rsid w:val="001031DD"/>
    <w:rsid w:val="00121810"/>
    <w:rsid w:val="00125D41"/>
    <w:rsid w:val="00147F04"/>
    <w:rsid w:val="0016587F"/>
    <w:rsid w:val="00165CA3"/>
    <w:rsid w:val="001854A6"/>
    <w:rsid w:val="00197FA7"/>
    <w:rsid w:val="001A461A"/>
    <w:rsid w:val="001C4FE4"/>
    <w:rsid w:val="001D4EB3"/>
    <w:rsid w:val="001E58B0"/>
    <w:rsid w:val="00240A33"/>
    <w:rsid w:val="00286B95"/>
    <w:rsid w:val="002D49FA"/>
    <w:rsid w:val="0030367D"/>
    <w:rsid w:val="003770D3"/>
    <w:rsid w:val="00401C6C"/>
    <w:rsid w:val="004115D5"/>
    <w:rsid w:val="00427907"/>
    <w:rsid w:val="00446CE2"/>
    <w:rsid w:val="004818CA"/>
    <w:rsid w:val="004A5620"/>
    <w:rsid w:val="00511261"/>
    <w:rsid w:val="00514099"/>
    <w:rsid w:val="005354B9"/>
    <w:rsid w:val="005550E3"/>
    <w:rsid w:val="00560541"/>
    <w:rsid w:val="0056430F"/>
    <w:rsid w:val="00577995"/>
    <w:rsid w:val="00590251"/>
    <w:rsid w:val="005C556B"/>
    <w:rsid w:val="005C6D6A"/>
    <w:rsid w:val="005E61E4"/>
    <w:rsid w:val="00631DBF"/>
    <w:rsid w:val="00642C15"/>
    <w:rsid w:val="006606C7"/>
    <w:rsid w:val="0068445A"/>
    <w:rsid w:val="00691E0A"/>
    <w:rsid w:val="006A6106"/>
    <w:rsid w:val="00762AB2"/>
    <w:rsid w:val="007702FD"/>
    <w:rsid w:val="0077084F"/>
    <w:rsid w:val="0077114D"/>
    <w:rsid w:val="00793709"/>
    <w:rsid w:val="00793AA7"/>
    <w:rsid w:val="00837DC2"/>
    <w:rsid w:val="0084383F"/>
    <w:rsid w:val="0086729C"/>
    <w:rsid w:val="008D7E37"/>
    <w:rsid w:val="00907E33"/>
    <w:rsid w:val="00916E6B"/>
    <w:rsid w:val="0092314F"/>
    <w:rsid w:val="00962225"/>
    <w:rsid w:val="009E4FFE"/>
    <w:rsid w:val="00A044FD"/>
    <w:rsid w:val="00A81463"/>
    <w:rsid w:val="00AA04E0"/>
    <w:rsid w:val="00AA120D"/>
    <w:rsid w:val="00AD6EB8"/>
    <w:rsid w:val="00AE75FC"/>
    <w:rsid w:val="00AF6E60"/>
    <w:rsid w:val="00AF73BC"/>
    <w:rsid w:val="00B04016"/>
    <w:rsid w:val="00B064A1"/>
    <w:rsid w:val="00B263F0"/>
    <w:rsid w:val="00B34683"/>
    <w:rsid w:val="00B7262F"/>
    <w:rsid w:val="00B74ECF"/>
    <w:rsid w:val="00B76A23"/>
    <w:rsid w:val="00C138A3"/>
    <w:rsid w:val="00C450B6"/>
    <w:rsid w:val="00C572DD"/>
    <w:rsid w:val="00C814C2"/>
    <w:rsid w:val="00CA68E0"/>
    <w:rsid w:val="00CC0728"/>
    <w:rsid w:val="00CC0A93"/>
    <w:rsid w:val="00CD37A3"/>
    <w:rsid w:val="00D34C32"/>
    <w:rsid w:val="00D70095"/>
    <w:rsid w:val="00D8350D"/>
    <w:rsid w:val="00D97BAF"/>
    <w:rsid w:val="00DA3C7F"/>
    <w:rsid w:val="00DF78EC"/>
    <w:rsid w:val="00E1159C"/>
    <w:rsid w:val="00E53C47"/>
    <w:rsid w:val="00E920C0"/>
    <w:rsid w:val="00EA7B9C"/>
    <w:rsid w:val="00EC2734"/>
    <w:rsid w:val="00F23598"/>
    <w:rsid w:val="00F818B3"/>
    <w:rsid w:val="00FA5809"/>
    <w:rsid w:val="00FC4F7F"/>
    <w:rsid w:val="00FD4CE9"/>
    <w:rsid w:val="00FE2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51766-1CC7-4038-948F-72354FF0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B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511261"/>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1D4EB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1D4EB3"/>
    <w:rPr>
      <w:rFonts w:ascii="Times New Roman" w:eastAsia="Times New Roman" w:hAnsi="Times New Roman" w:cs="Times New Roman"/>
      <w:sz w:val="20"/>
      <w:szCs w:val="20"/>
      <w:lang w:eastAsia="es-ES"/>
    </w:rPr>
  </w:style>
  <w:style w:type="character" w:styleId="Refdenotaalpie">
    <w:name w:val="footnote reference"/>
    <w:aliases w:val="Texto de nota al pie"/>
    <w:rsid w:val="001D4EB3"/>
    <w:rPr>
      <w:vertAlign w:val="superscript"/>
    </w:rPr>
  </w:style>
  <w:style w:type="paragraph" w:customStyle="1" w:styleId="Sinespaciado1">
    <w:name w:val="Sin espaciado1"/>
    <w:rsid w:val="001D4EB3"/>
    <w:pPr>
      <w:spacing w:after="0" w:line="240" w:lineRule="auto"/>
    </w:pPr>
    <w:rPr>
      <w:rFonts w:ascii="Calibri" w:eastAsia="Times New Roman" w:hAnsi="Calibri" w:cs="Times New Roman"/>
      <w:lang w:val="es-CO"/>
    </w:rPr>
  </w:style>
  <w:style w:type="paragraph" w:styleId="Encabezado">
    <w:name w:val="header"/>
    <w:basedOn w:val="Normal"/>
    <w:link w:val="EncabezadoCar"/>
    <w:rsid w:val="001D4EB3"/>
    <w:pPr>
      <w:tabs>
        <w:tab w:val="center" w:pos="4419"/>
        <w:tab w:val="right" w:pos="8838"/>
      </w:tabs>
    </w:pPr>
  </w:style>
  <w:style w:type="character" w:customStyle="1" w:styleId="EncabezadoCar">
    <w:name w:val="Encabezado Car"/>
    <w:basedOn w:val="Fuentedeprrafopredeter"/>
    <w:link w:val="Encabezado"/>
    <w:rsid w:val="001D4EB3"/>
    <w:rPr>
      <w:rFonts w:ascii="Times New Roman" w:eastAsia="Times New Roman" w:hAnsi="Times New Roman" w:cs="Times New Roman"/>
      <w:sz w:val="20"/>
      <w:szCs w:val="20"/>
      <w:lang w:eastAsia="es-ES"/>
    </w:rPr>
  </w:style>
  <w:style w:type="paragraph" w:styleId="Piedepgina">
    <w:name w:val="footer"/>
    <w:basedOn w:val="Normal"/>
    <w:link w:val="PiedepginaCar"/>
    <w:rsid w:val="001D4EB3"/>
    <w:pPr>
      <w:tabs>
        <w:tab w:val="center" w:pos="4419"/>
        <w:tab w:val="right" w:pos="8838"/>
      </w:tabs>
    </w:pPr>
  </w:style>
  <w:style w:type="character" w:customStyle="1" w:styleId="PiedepginaCar">
    <w:name w:val="Pie de página Car"/>
    <w:basedOn w:val="Fuentedeprrafopredeter"/>
    <w:link w:val="Piedepgina"/>
    <w:rsid w:val="001D4EB3"/>
    <w:rPr>
      <w:rFonts w:ascii="Times New Roman" w:eastAsia="Times New Roman" w:hAnsi="Times New Roman" w:cs="Times New Roman"/>
      <w:sz w:val="20"/>
      <w:szCs w:val="20"/>
      <w:lang w:eastAsia="es-ES"/>
    </w:rPr>
  </w:style>
  <w:style w:type="paragraph" w:styleId="Sinespaciado">
    <w:name w:val="No Spacing"/>
    <w:uiPriority w:val="99"/>
    <w:qFormat/>
    <w:rsid w:val="001D4EB3"/>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907E33"/>
    <w:pPr>
      <w:spacing w:after="0" w:line="240" w:lineRule="auto"/>
    </w:pPr>
    <w:rPr>
      <w:rFonts w:ascii="Times New Roman" w:eastAsia="Calibri" w:hAnsi="Times New Roman" w:cs="Times New Roman"/>
      <w:sz w:val="20"/>
      <w:szCs w:val="20"/>
      <w:lang w:eastAsia="es-ES"/>
    </w:rPr>
  </w:style>
  <w:style w:type="character" w:customStyle="1" w:styleId="Ttulo1Car">
    <w:name w:val="Título 1 Car"/>
    <w:basedOn w:val="Fuentedeprrafopredeter"/>
    <w:link w:val="Ttulo1"/>
    <w:rsid w:val="00511261"/>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D835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50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cbf.gov.co/cargues/avance/docs/ley_1448_2011_pr004.htm" TargetMode="External"/><Relationship Id="rId2" Type="http://schemas.openxmlformats.org/officeDocument/2006/relationships/hyperlink" Target="http://www.icbf.gov.co/cargues/avance/docs/ley_1448_2011_pr003.htm" TargetMode="External"/><Relationship Id="rId1" Type="http://schemas.openxmlformats.org/officeDocument/2006/relationships/hyperlink" Target="http://www.icbf.gov.co/cargues/avance/docs/ley_1448_2011_pr003.htm" TargetMode="External"/><Relationship Id="rId4" Type="http://schemas.openxmlformats.org/officeDocument/2006/relationships/hyperlink" Target="http://www.icbf.gov.co/cargues/avance/docs/ley_1448_2011_pr004.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92A3-60B4-4A31-A60A-9CC7254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2403</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29</cp:revision>
  <cp:lastPrinted>2016-08-16T19:59:00Z</cp:lastPrinted>
  <dcterms:created xsi:type="dcterms:W3CDTF">2016-08-12T15:00:00Z</dcterms:created>
  <dcterms:modified xsi:type="dcterms:W3CDTF">2016-10-11T12:28:00Z</dcterms:modified>
</cp:coreProperties>
</file>