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F57992">
      <w:pPr>
        <w:tabs>
          <w:tab w:val="center" w:pos="4419"/>
          <w:tab w:val="right" w:pos="8838"/>
        </w:tabs>
        <w:ind w:right="-7" w:firstLine="851"/>
        <w:rPr>
          <w:rFonts w:ascii="Arial Narrow" w:hAnsi="Arial Narrow" w:cs="Tahoma"/>
          <w:i/>
          <w:sz w:val="28"/>
          <w:szCs w:val="28"/>
          <w:lang w:val="x-none" w:eastAsia="x-none"/>
        </w:rPr>
      </w:pPr>
    </w:p>
    <w:p w:rsidR="00EF2DB9" w:rsidRPr="00D37B15" w:rsidRDefault="00EF2DB9" w:rsidP="00F57992">
      <w:pPr>
        <w:tabs>
          <w:tab w:val="center" w:pos="4419"/>
          <w:tab w:val="right" w:pos="8838"/>
        </w:tabs>
        <w:ind w:right="-7" w:firstLine="851"/>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00E01EB2">
        <w:rPr>
          <w:rFonts w:ascii="Arial Narrow" w:hAnsi="Arial Narrow" w:cs="Tahoma"/>
          <w:b/>
          <w:i/>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F450A2">
        <w:rPr>
          <w:rFonts w:ascii="Arial Narrow" w:hAnsi="Arial Narrow"/>
          <w:bCs/>
          <w:i/>
          <w:sz w:val="18"/>
          <w:szCs w:val="18"/>
          <w:lang w:eastAsia="x-none"/>
        </w:rPr>
        <w:t>5</w:t>
      </w:r>
      <w:r w:rsidRPr="00D37B15">
        <w:rPr>
          <w:rFonts w:ascii="Arial Narrow" w:hAnsi="Arial Narrow"/>
          <w:bCs/>
          <w:i/>
          <w:sz w:val="18"/>
          <w:szCs w:val="18"/>
          <w:lang w:eastAsia="x-none"/>
        </w:rPr>
        <w:t>-2015-00</w:t>
      </w:r>
      <w:r w:rsidR="00E77E97">
        <w:rPr>
          <w:rFonts w:ascii="Arial Narrow" w:hAnsi="Arial Narrow"/>
          <w:bCs/>
          <w:i/>
          <w:sz w:val="18"/>
          <w:szCs w:val="18"/>
          <w:lang w:eastAsia="x-none"/>
        </w:rPr>
        <w:t>5</w:t>
      </w:r>
      <w:r w:rsidR="00B6038F">
        <w:rPr>
          <w:rFonts w:ascii="Arial Narrow" w:hAnsi="Arial Narrow"/>
          <w:bCs/>
          <w:i/>
          <w:sz w:val="18"/>
          <w:szCs w:val="18"/>
          <w:lang w:eastAsia="x-none"/>
        </w:rPr>
        <w:t>64</w:t>
      </w:r>
      <w:r w:rsidRPr="00D37B15">
        <w:rPr>
          <w:rFonts w:ascii="Arial Narrow" w:hAnsi="Arial Narrow"/>
          <w:bCs/>
          <w:i/>
          <w:sz w:val="18"/>
          <w:szCs w:val="18"/>
          <w:lang w:eastAsia="x-none"/>
        </w:rPr>
        <w:t>-01</w:t>
      </w:r>
    </w:p>
    <w:p w:rsidR="00EF2DB9" w:rsidRPr="00D37B15" w:rsidRDefault="00EF2DB9" w:rsidP="00F57992">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01EB2" w:rsidP="00F57992">
      <w:pPr>
        <w:ind w:firstLine="851"/>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t xml:space="preserve">                 </w:t>
      </w:r>
      <w:r w:rsidR="00EF2DB9">
        <w:rPr>
          <w:rFonts w:ascii="Arial Narrow" w:hAnsi="Arial Narrow" w:cs="Tahoma"/>
          <w:i/>
          <w:sz w:val="18"/>
          <w:szCs w:val="18"/>
          <w:lang w:val="es-CO"/>
        </w:rPr>
        <w:t>:</w:t>
      </w:r>
      <w:r>
        <w:rPr>
          <w:rFonts w:ascii="Arial Narrow" w:hAnsi="Arial Narrow" w:cs="Tahoma"/>
          <w:i/>
          <w:sz w:val="18"/>
          <w:szCs w:val="18"/>
          <w:lang w:val="es-CO"/>
        </w:rPr>
        <w:tab/>
      </w:r>
      <w:r w:rsidR="00B6038F">
        <w:rPr>
          <w:rFonts w:ascii="Arial Narrow" w:hAnsi="Arial Narrow" w:cs="Tahoma"/>
          <w:i/>
          <w:sz w:val="18"/>
          <w:szCs w:val="18"/>
          <w:lang w:val="es-CO"/>
        </w:rPr>
        <w:t>María del Pilar Galvis</w:t>
      </w:r>
    </w:p>
    <w:p w:rsidR="00EF2DB9" w:rsidRPr="00D37B15" w:rsidRDefault="00EF2DB9" w:rsidP="00F57992">
      <w:pPr>
        <w:ind w:firstLine="851"/>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 xml:space="preserve">Accionado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00E01EB2">
        <w:rPr>
          <w:rFonts w:ascii="Arial Narrow" w:hAnsi="Arial Narrow" w:cs="Tahoma"/>
          <w:i/>
          <w:sz w:val="18"/>
          <w:szCs w:val="18"/>
          <w:lang w:val="es-CO"/>
        </w:rPr>
        <w:tab/>
      </w:r>
      <w:r w:rsidR="00B6038F">
        <w:rPr>
          <w:rFonts w:ascii="Arial Narrow" w:hAnsi="Arial Narrow" w:cs="Arial"/>
          <w:i/>
          <w:sz w:val="18"/>
          <w:szCs w:val="18"/>
        </w:rPr>
        <w:t>Instituto Geográfico Agustín Codazzi</w:t>
      </w:r>
    </w:p>
    <w:p w:rsidR="00EF2DB9" w:rsidRPr="00D37B15" w:rsidRDefault="00EF2DB9" w:rsidP="00F57992">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 xml:space="preserve">:  </w:t>
      </w:r>
      <w:r w:rsidRPr="00D37B15">
        <w:rPr>
          <w:rFonts w:ascii="Arial Narrow" w:hAnsi="Arial Narrow" w:cs="Tahoma"/>
          <w:i/>
          <w:sz w:val="18"/>
          <w:szCs w:val="18"/>
          <w:lang w:val="es-CO"/>
        </w:rPr>
        <w:tab/>
      </w:r>
      <w:r w:rsidR="00F450A2">
        <w:rPr>
          <w:rFonts w:ascii="Arial Narrow" w:hAnsi="Arial Narrow" w:cs="Tahoma"/>
          <w:i/>
          <w:sz w:val="18"/>
          <w:szCs w:val="18"/>
          <w:lang w:val="es-CO"/>
        </w:rPr>
        <w:t>Quinto</w:t>
      </w:r>
      <w:r>
        <w:rPr>
          <w:rFonts w:ascii="Arial Narrow" w:hAnsi="Arial Narrow" w:cs="Tahoma"/>
          <w:i/>
          <w:sz w:val="18"/>
          <w:szCs w:val="18"/>
          <w:lang w:val="es-CO"/>
        </w:rPr>
        <w:t xml:space="preserve"> Laboral del Circuito </w:t>
      </w:r>
    </w:p>
    <w:p w:rsidR="00DB0105" w:rsidRDefault="00EF2DB9" w:rsidP="00DB0105">
      <w:pPr>
        <w:ind w:firstLine="851"/>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00E01EB2">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556A22" w:rsidRDefault="00EF2DB9" w:rsidP="00315BBC">
      <w:pPr>
        <w:ind w:left="3544" w:hanging="2693"/>
        <w:jc w:val="both"/>
        <w:rPr>
          <w:rFonts w:ascii="Arial Narrow" w:hAnsi="Arial Narrow" w:cs="Tahoma"/>
          <w:bCs/>
          <w:i/>
          <w:sz w:val="18"/>
          <w:szCs w:val="18"/>
          <w:lang w:val="es-CO"/>
        </w:rPr>
      </w:pPr>
      <w:r w:rsidRPr="00684A67">
        <w:rPr>
          <w:rFonts w:ascii="Arial Narrow" w:hAnsi="Arial Narrow" w:cs="Tahoma"/>
          <w:bCs/>
          <w:i/>
          <w:sz w:val="18"/>
          <w:szCs w:val="18"/>
          <w:lang w:val="es-CO"/>
        </w:rPr>
        <w:t>Tema                                    :</w:t>
      </w:r>
      <w:r w:rsidRPr="00684A67">
        <w:rPr>
          <w:rFonts w:ascii="Arial Narrow" w:hAnsi="Arial Narrow" w:cs="Tahoma"/>
          <w:bCs/>
          <w:i/>
          <w:sz w:val="18"/>
          <w:szCs w:val="18"/>
          <w:lang w:val="es-CO"/>
        </w:rPr>
        <w:tab/>
      </w:r>
    </w:p>
    <w:p w:rsidR="00684A67" w:rsidRPr="00315BBC" w:rsidRDefault="00FA3CCA" w:rsidP="00556A22">
      <w:pPr>
        <w:ind w:left="3544"/>
        <w:jc w:val="both"/>
        <w:rPr>
          <w:rFonts w:ascii="Arial Narrow" w:hAnsi="Arial Narrow" w:cs="Tahoma"/>
          <w:bCs/>
          <w:i/>
          <w:sz w:val="18"/>
          <w:szCs w:val="18"/>
          <w:lang w:val="es-CO"/>
        </w:rPr>
      </w:pPr>
      <w:r>
        <w:rPr>
          <w:rFonts w:ascii="Arial Narrow" w:hAnsi="Arial Narrow" w:cs="Tahoma"/>
          <w:bCs/>
          <w:i/>
          <w:sz w:val="18"/>
          <w:szCs w:val="18"/>
          <w:lang w:val="es-CO"/>
        </w:rPr>
        <w:t xml:space="preserve">HECHO SUPERADO/ </w:t>
      </w:r>
      <w:r w:rsidR="00181388">
        <w:rPr>
          <w:rFonts w:ascii="Arial Narrow" w:hAnsi="Arial Narrow" w:cs="Tahoma"/>
          <w:bCs/>
          <w:i/>
          <w:sz w:val="18"/>
          <w:szCs w:val="18"/>
          <w:lang w:val="es-CO"/>
        </w:rPr>
        <w:t xml:space="preserve">Para </w:t>
      </w:r>
      <w:r>
        <w:rPr>
          <w:rFonts w:ascii="Arial Narrow" w:hAnsi="Arial Narrow" w:cs="Tahoma"/>
          <w:bCs/>
          <w:i/>
          <w:sz w:val="18"/>
          <w:szCs w:val="18"/>
          <w:lang w:val="es-CO"/>
        </w:rPr>
        <w:t>su</w:t>
      </w:r>
      <w:r w:rsidR="00181388">
        <w:rPr>
          <w:rFonts w:ascii="Arial Narrow" w:hAnsi="Arial Narrow" w:cs="Tahoma"/>
          <w:bCs/>
          <w:i/>
          <w:sz w:val="18"/>
          <w:szCs w:val="18"/>
          <w:lang w:val="es-CO"/>
        </w:rPr>
        <w:t xml:space="preserve"> configuración</w:t>
      </w:r>
      <w:r>
        <w:rPr>
          <w:rFonts w:ascii="Arial Narrow" w:hAnsi="Arial Narrow" w:cs="Tahoma"/>
          <w:bCs/>
          <w:i/>
          <w:sz w:val="18"/>
          <w:szCs w:val="18"/>
          <w:lang w:val="es-CO"/>
        </w:rPr>
        <w:t xml:space="preserve"> </w:t>
      </w:r>
      <w:r w:rsidR="00DB0105" w:rsidRPr="00DB0105">
        <w:rPr>
          <w:rFonts w:ascii="Arial Narrow" w:hAnsi="Arial Narrow" w:cs="Tahoma"/>
          <w:bCs/>
          <w:i/>
          <w:sz w:val="18"/>
          <w:szCs w:val="18"/>
          <w:lang w:val="es-CO"/>
        </w:rPr>
        <w:t>es</w:t>
      </w:r>
      <w:r w:rsidR="00DB0105">
        <w:rPr>
          <w:rFonts w:ascii="Arial Narrow" w:hAnsi="Arial Narrow" w:cs="Tahoma"/>
          <w:bCs/>
          <w:i/>
          <w:sz w:val="18"/>
          <w:szCs w:val="18"/>
          <w:lang w:val="es-CO"/>
        </w:rPr>
        <w:t xml:space="preserve"> </w:t>
      </w:r>
      <w:r w:rsidR="00315BBC">
        <w:rPr>
          <w:rFonts w:ascii="Arial Narrow" w:hAnsi="Arial Narrow" w:cs="Tahoma"/>
          <w:bCs/>
          <w:i/>
          <w:sz w:val="18"/>
          <w:szCs w:val="18"/>
          <w:lang w:val="es-CO"/>
        </w:rPr>
        <w:t>necesario</w:t>
      </w:r>
      <w:r>
        <w:rPr>
          <w:rFonts w:ascii="Arial Narrow" w:hAnsi="Arial Narrow" w:cs="Tahoma"/>
          <w:bCs/>
          <w:i/>
          <w:sz w:val="18"/>
          <w:szCs w:val="18"/>
          <w:lang w:val="es-CO"/>
        </w:rPr>
        <w:t xml:space="preserve"> determinar si</w:t>
      </w:r>
      <w:r w:rsidR="00315BBC">
        <w:rPr>
          <w:rFonts w:ascii="Arial Narrow" w:hAnsi="Arial Narrow" w:cs="Tahoma"/>
          <w:bCs/>
          <w:i/>
          <w:sz w:val="18"/>
          <w:szCs w:val="18"/>
          <w:lang w:val="es-CO"/>
        </w:rPr>
        <w:t xml:space="preserve"> el</w:t>
      </w:r>
      <w:r w:rsidR="00315BBC" w:rsidRPr="00DB0105">
        <w:rPr>
          <w:rFonts w:ascii="Arial Narrow" w:hAnsi="Arial Narrow" w:cs="Tahoma"/>
          <w:bCs/>
          <w:i/>
          <w:sz w:val="18"/>
          <w:szCs w:val="18"/>
          <w:lang w:val="es-CO"/>
        </w:rPr>
        <w:t xml:space="preserve"> </w:t>
      </w:r>
      <w:r w:rsidR="00315BBC">
        <w:rPr>
          <w:rFonts w:ascii="Arial Narrow" w:hAnsi="Arial Narrow" w:cs="Tahoma"/>
          <w:bCs/>
          <w:i/>
          <w:sz w:val="18"/>
          <w:szCs w:val="18"/>
          <w:lang w:val="es-CO"/>
        </w:rPr>
        <w:t>núcleo esencial del derecho fundamental se encuentra satisfecho</w:t>
      </w:r>
      <w:r w:rsidR="00165166">
        <w:rPr>
          <w:rFonts w:ascii="Arial Narrow" w:hAnsi="Arial Narrow" w:cs="Tahoma"/>
          <w:bCs/>
          <w:i/>
          <w:sz w:val="18"/>
          <w:szCs w:val="18"/>
          <w:lang w:val="es-CO"/>
        </w:rPr>
        <w:t>.</w:t>
      </w:r>
      <w:bookmarkStart w:id="0" w:name="_GoBack"/>
      <w:bookmarkEnd w:id="0"/>
    </w:p>
    <w:p w:rsidR="00684A67" w:rsidRPr="00684A67" w:rsidRDefault="00684A67" w:rsidP="00684A67">
      <w:pPr>
        <w:ind w:left="3544" w:hanging="2693"/>
        <w:jc w:val="both"/>
        <w:rPr>
          <w:rFonts w:ascii="Arial Narrow" w:hAnsi="Arial Narrow" w:cs="Tahoma"/>
          <w:bCs/>
          <w:i/>
          <w:sz w:val="18"/>
          <w:szCs w:val="18"/>
        </w:rPr>
      </w:pPr>
    </w:p>
    <w:p w:rsidR="00684A67" w:rsidRPr="00684A67" w:rsidRDefault="00315BBC" w:rsidP="001846CD">
      <w:pPr>
        <w:ind w:left="3544"/>
        <w:jc w:val="both"/>
        <w:rPr>
          <w:rFonts w:ascii="Arial Narrow" w:hAnsi="Arial Narrow" w:cs="Tahoma"/>
          <w:bCs/>
          <w:i/>
          <w:sz w:val="18"/>
          <w:szCs w:val="18"/>
        </w:rPr>
      </w:pPr>
      <w:r>
        <w:rPr>
          <w:rFonts w:ascii="Arial Narrow" w:hAnsi="Arial Narrow" w:cs="Tahoma"/>
          <w:bCs/>
          <w:i/>
          <w:sz w:val="18"/>
          <w:szCs w:val="18"/>
        </w:rPr>
        <w:t>“(…)</w:t>
      </w:r>
      <w:r w:rsidR="00684A67" w:rsidRPr="00684A67">
        <w:rPr>
          <w:rFonts w:ascii="Arial Narrow" w:hAnsi="Arial Narrow" w:cs="Tahoma"/>
          <w:bCs/>
          <w:i/>
          <w:sz w:val="18"/>
          <w:szCs w:val="18"/>
        </w:rPr>
        <w:t xml:space="preserve"> la petición se encamina a la obtención de una ficha catastral sobre un predio que</w:t>
      </w:r>
      <w:r w:rsidR="00181388">
        <w:rPr>
          <w:rFonts w:ascii="Arial Narrow" w:hAnsi="Arial Narrow" w:cs="Tahoma"/>
          <w:bCs/>
          <w:i/>
          <w:sz w:val="18"/>
          <w:szCs w:val="18"/>
        </w:rPr>
        <w:t xml:space="preserve"> ostenta la demandante</w:t>
      </w:r>
      <w:r w:rsidR="00A117FB">
        <w:rPr>
          <w:rFonts w:ascii="Arial Narrow" w:hAnsi="Arial Narrow" w:cs="Tahoma"/>
          <w:bCs/>
          <w:i/>
          <w:sz w:val="18"/>
          <w:szCs w:val="18"/>
        </w:rPr>
        <w:t xml:space="preserve"> (…)</w:t>
      </w:r>
      <w:r w:rsidR="008F4206">
        <w:rPr>
          <w:rFonts w:ascii="Arial Narrow" w:hAnsi="Arial Narrow" w:cs="Tahoma"/>
          <w:bCs/>
          <w:i/>
          <w:sz w:val="18"/>
          <w:szCs w:val="18"/>
        </w:rPr>
        <w:t xml:space="preserve"> </w:t>
      </w:r>
      <w:r w:rsidR="00684A67" w:rsidRPr="00684A67">
        <w:rPr>
          <w:rFonts w:ascii="Arial Narrow" w:hAnsi="Arial Narrow" w:cs="Tahoma"/>
          <w:bCs/>
          <w:i/>
          <w:sz w:val="18"/>
          <w:szCs w:val="18"/>
        </w:rPr>
        <w:t xml:space="preserve">Y la respuesta que dio el Instituto Geográfico Agustín Codazzi </w:t>
      </w:r>
      <w:r w:rsidR="00A117FB">
        <w:rPr>
          <w:rFonts w:ascii="Arial Narrow" w:hAnsi="Arial Narrow" w:cs="Tahoma"/>
          <w:bCs/>
          <w:i/>
          <w:sz w:val="18"/>
          <w:szCs w:val="18"/>
        </w:rPr>
        <w:t>(…)</w:t>
      </w:r>
      <w:r w:rsidR="00684A67" w:rsidRPr="00684A67">
        <w:rPr>
          <w:rFonts w:ascii="Arial Narrow" w:hAnsi="Arial Narrow" w:cs="Tahoma"/>
          <w:bCs/>
          <w:i/>
          <w:sz w:val="18"/>
          <w:szCs w:val="18"/>
        </w:rPr>
        <w:t xml:space="preserve"> se limita a informar que existe una incoherencia en la petición o mejor, que se radicó mal y que además hacen falta unos documentos, puntualmente la escritura pública y el certificado de tradición del predio, para poder asignar una ficha catastral. </w:t>
      </w:r>
    </w:p>
    <w:p w:rsidR="00684A67" w:rsidRPr="00684A67" w:rsidRDefault="00684A67" w:rsidP="001846CD">
      <w:pPr>
        <w:ind w:left="3544"/>
        <w:jc w:val="both"/>
        <w:rPr>
          <w:rFonts w:ascii="Arial Narrow" w:hAnsi="Arial Narrow" w:cs="Tahoma"/>
          <w:bCs/>
          <w:i/>
          <w:sz w:val="18"/>
          <w:szCs w:val="18"/>
        </w:rPr>
      </w:pPr>
    </w:p>
    <w:p w:rsidR="00684A67" w:rsidRPr="00684A67" w:rsidRDefault="00684A67" w:rsidP="001846CD">
      <w:pPr>
        <w:ind w:left="3544"/>
        <w:jc w:val="both"/>
        <w:rPr>
          <w:rFonts w:ascii="Arial Narrow" w:hAnsi="Arial Narrow" w:cs="Tahoma"/>
          <w:bCs/>
          <w:i/>
          <w:sz w:val="18"/>
          <w:szCs w:val="18"/>
        </w:rPr>
      </w:pPr>
      <w:r w:rsidRPr="00684A67">
        <w:rPr>
          <w:rFonts w:ascii="Arial Narrow" w:hAnsi="Arial Narrow" w:cs="Tahoma"/>
          <w:bCs/>
          <w:i/>
          <w:sz w:val="18"/>
          <w:szCs w:val="18"/>
        </w:rPr>
        <w:t>Esta respuesta</w:t>
      </w:r>
      <w:r w:rsidR="00A117FB">
        <w:rPr>
          <w:rFonts w:ascii="Arial Narrow" w:hAnsi="Arial Narrow" w:cs="Tahoma"/>
          <w:bCs/>
          <w:i/>
          <w:sz w:val="18"/>
          <w:szCs w:val="18"/>
        </w:rPr>
        <w:t xml:space="preserve"> (…) </w:t>
      </w:r>
      <w:r w:rsidRPr="00684A67">
        <w:rPr>
          <w:rFonts w:ascii="Arial Narrow" w:hAnsi="Arial Narrow" w:cs="Tahoma"/>
          <w:bCs/>
          <w:i/>
          <w:sz w:val="18"/>
          <w:szCs w:val="18"/>
        </w:rPr>
        <w:t>deja sin resolver el fondo del asunto, pues no se determina si se asigna o no la ficha catastral pretendida, desconociéndose con ello el núcleo esencial del derecho de petición, situación que amerita que el Juez de tutela, como lo hizo la a-quo, disponga lo necesario para corregir la situación.</w:t>
      </w:r>
      <w:r w:rsidR="001846CD">
        <w:rPr>
          <w:rFonts w:ascii="Arial Narrow" w:hAnsi="Arial Narrow" w:cs="Tahoma"/>
          <w:bCs/>
          <w:i/>
          <w:sz w:val="18"/>
          <w:szCs w:val="18"/>
        </w:rPr>
        <w:t>”</w:t>
      </w:r>
    </w:p>
    <w:p w:rsidR="00684A67" w:rsidRPr="001846CD" w:rsidRDefault="00684A67" w:rsidP="006052E8">
      <w:pPr>
        <w:jc w:val="both"/>
        <w:rPr>
          <w:rFonts w:ascii="Arial Narrow" w:hAnsi="Arial Narrow" w:cs="Tahoma"/>
          <w:bCs/>
          <w:i/>
          <w:sz w:val="16"/>
          <w:szCs w:val="18"/>
        </w:rPr>
      </w:pPr>
    </w:p>
    <w:p w:rsidR="00684A67" w:rsidRPr="001846CD" w:rsidRDefault="00684A67" w:rsidP="001846CD">
      <w:pPr>
        <w:ind w:left="3544"/>
        <w:jc w:val="both"/>
        <w:rPr>
          <w:rFonts w:ascii="Arial Narrow" w:hAnsi="Arial Narrow" w:cs="Tahoma"/>
          <w:bCs/>
          <w:i/>
          <w:sz w:val="16"/>
          <w:szCs w:val="18"/>
        </w:rPr>
      </w:pPr>
      <w:r w:rsidRPr="001846CD">
        <w:rPr>
          <w:rFonts w:ascii="Arial Narrow" w:hAnsi="Arial Narrow" w:cs="Tahoma"/>
          <w:bCs/>
          <w:i/>
          <w:sz w:val="16"/>
          <w:szCs w:val="18"/>
        </w:rPr>
        <w:t xml:space="preserve">Cita: </w:t>
      </w:r>
      <w:r w:rsidR="001846CD" w:rsidRPr="001846CD">
        <w:rPr>
          <w:rFonts w:ascii="Arial Narrow" w:hAnsi="Arial Narrow" w:cs="Tahoma"/>
          <w:bCs/>
          <w:i/>
          <w:sz w:val="16"/>
          <w:szCs w:val="18"/>
        </w:rPr>
        <w:t>Corte Constitucional, sentencia T-481 de 2010.</w:t>
      </w:r>
    </w:p>
    <w:p w:rsidR="00EF2DB9" w:rsidRDefault="00EF2DB9" w:rsidP="006052E8">
      <w:pPr>
        <w:spacing w:line="276" w:lineRule="auto"/>
        <w:jc w:val="both"/>
        <w:rPr>
          <w:rFonts w:ascii="Arial Narrow" w:hAnsi="Arial Narrow" w:cs="Tahoma"/>
          <w:bCs/>
          <w:i/>
          <w:sz w:val="18"/>
          <w:szCs w:val="18"/>
        </w:rPr>
      </w:pPr>
    </w:p>
    <w:p w:rsidR="00EF2DB9" w:rsidRPr="004C7DB7" w:rsidRDefault="00EF2DB9" w:rsidP="00F57992">
      <w:pPr>
        <w:spacing w:line="360" w:lineRule="auto"/>
        <w:ind w:firstLine="851"/>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8730BC">
        <w:rPr>
          <w:rFonts w:ascii="Arial Narrow" w:hAnsi="Arial Narrow" w:cs="Tahoma"/>
          <w:sz w:val="28"/>
          <w:szCs w:val="28"/>
          <w:lang w:val="es-CO"/>
        </w:rPr>
        <w:t>veinte</w:t>
      </w:r>
      <w:r w:rsidR="00F450A2">
        <w:rPr>
          <w:rFonts w:ascii="Arial Narrow" w:hAnsi="Arial Narrow" w:cs="Tahoma"/>
          <w:sz w:val="28"/>
          <w:szCs w:val="28"/>
          <w:lang w:val="es-CO"/>
        </w:rPr>
        <w:t xml:space="preserve"> </w:t>
      </w:r>
      <w:r w:rsidR="00E77E97">
        <w:rPr>
          <w:rFonts w:ascii="Arial Narrow" w:hAnsi="Arial Narrow" w:cs="Tahoma"/>
          <w:sz w:val="28"/>
          <w:szCs w:val="28"/>
          <w:lang w:val="es-CO"/>
        </w:rPr>
        <w:t xml:space="preserve">de </w:t>
      </w:r>
      <w:r w:rsidR="00B6038F">
        <w:rPr>
          <w:rFonts w:ascii="Arial Narrow" w:hAnsi="Arial Narrow" w:cs="Tahoma"/>
          <w:sz w:val="28"/>
          <w:szCs w:val="28"/>
          <w:lang w:val="es-CO"/>
        </w:rPr>
        <w:t>enero</w:t>
      </w:r>
      <w:r>
        <w:rPr>
          <w:rFonts w:ascii="Arial Narrow" w:hAnsi="Arial Narrow" w:cs="Tahoma"/>
          <w:sz w:val="28"/>
          <w:szCs w:val="28"/>
          <w:lang w:val="es-CO"/>
        </w:rPr>
        <w:t xml:space="preserve"> de dos mil </w:t>
      </w:r>
      <w:r w:rsidR="00B6038F">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F57992">
      <w:pPr>
        <w:spacing w:line="360" w:lineRule="auto"/>
        <w:ind w:firstLine="851"/>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F450A2">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8730BC">
        <w:rPr>
          <w:rFonts w:ascii="Arial Narrow" w:hAnsi="Arial Narrow" w:cs="Tahoma"/>
          <w:sz w:val="28"/>
          <w:szCs w:val="28"/>
          <w:lang w:val="es-CO"/>
        </w:rPr>
        <w:t>20</w:t>
      </w:r>
      <w:r>
        <w:rPr>
          <w:rFonts w:ascii="Arial Narrow" w:hAnsi="Arial Narrow" w:cs="Tahoma"/>
          <w:sz w:val="28"/>
          <w:szCs w:val="28"/>
          <w:lang w:val="es-CO"/>
        </w:rPr>
        <w:t xml:space="preserve"> de </w:t>
      </w:r>
      <w:r w:rsidR="00B6038F">
        <w:rPr>
          <w:rFonts w:ascii="Arial Narrow" w:hAnsi="Arial Narrow" w:cs="Tahoma"/>
          <w:sz w:val="28"/>
          <w:szCs w:val="28"/>
          <w:lang w:val="es-CO"/>
        </w:rPr>
        <w:t>enero</w:t>
      </w:r>
      <w:r>
        <w:rPr>
          <w:rFonts w:ascii="Arial Narrow" w:hAnsi="Arial Narrow" w:cs="Tahoma"/>
          <w:sz w:val="28"/>
          <w:szCs w:val="28"/>
          <w:lang w:val="es-CO"/>
        </w:rPr>
        <w:t xml:space="preserve"> de 201</w:t>
      </w:r>
      <w:r w:rsidR="00B6038F">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F57992">
      <w:pPr>
        <w:ind w:firstLine="851"/>
        <w:jc w:val="center"/>
        <w:rPr>
          <w:rFonts w:ascii="Arial Narrow" w:hAnsi="Arial Narrow" w:cs="Tahoma"/>
          <w:sz w:val="28"/>
          <w:szCs w:val="28"/>
          <w:lang w:val="es-CO"/>
        </w:rPr>
      </w:pPr>
    </w:p>
    <w:p w:rsidR="00EF2DB9" w:rsidRPr="004C7DB7"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F450A2">
        <w:rPr>
          <w:rFonts w:ascii="Arial Narrow" w:hAnsi="Arial Narrow" w:cs="Tahoma"/>
          <w:sz w:val="28"/>
          <w:szCs w:val="28"/>
        </w:rPr>
        <w:t>Quinto</w:t>
      </w:r>
      <w:r>
        <w:rPr>
          <w:rFonts w:ascii="Arial Narrow" w:hAnsi="Arial Narrow" w:cs="Tahoma"/>
          <w:sz w:val="28"/>
          <w:szCs w:val="28"/>
        </w:rPr>
        <w:t xml:space="preserve">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B6038F">
        <w:rPr>
          <w:rFonts w:ascii="Arial Narrow" w:hAnsi="Arial Narrow" w:cs="Tahoma"/>
          <w:sz w:val="28"/>
          <w:szCs w:val="28"/>
        </w:rPr>
        <w:t>04</w:t>
      </w:r>
      <w:r>
        <w:rPr>
          <w:rFonts w:ascii="Arial Narrow" w:hAnsi="Arial Narrow" w:cs="Tahoma"/>
          <w:sz w:val="28"/>
          <w:szCs w:val="28"/>
        </w:rPr>
        <w:t xml:space="preserve"> de </w:t>
      </w:r>
      <w:r w:rsidR="00B6038F">
        <w:rPr>
          <w:rFonts w:ascii="Arial Narrow" w:hAnsi="Arial Narrow" w:cs="Tahoma"/>
          <w:sz w:val="28"/>
          <w:szCs w:val="28"/>
        </w:rPr>
        <w:t>noviembre</w:t>
      </w:r>
      <w:r>
        <w:rPr>
          <w:rFonts w:ascii="Arial Narrow" w:hAnsi="Arial Narrow" w:cs="Tahoma"/>
          <w:sz w:val="28"/>
          <w:szCs w:val="28"/>
        </w:rPr>
        <w:t xml:space="preserve"> de</w:t>
      </w:r>
      <w:r w:rsidR="00B6038F">
        <w:rPr>
          <w:rFonts w:ascii="Arial Narrow" w:hAnsi="Arial Narrow" w:cs="Tahoma"/>
          <w:sz w:val="28"/>
          <w:szCs w:val="28"/>
        </w:rPr>
        <w:t xml:space="preserve"> 2015</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B6038F">
        <w:rPr>
          <w:rFonts w:ascii="Arial Narrow" w:hAnsi="Arial Narrow" w:cs="Tahoma"/>
          <w:b/>
          <w:i/>
          <w:sz w:val="28"/>
          <w:szCs w:val="28"/>
        </w:rPr>
        <w:t>María del Pilar Galvis</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l </w:t>
      </w:r>
      <w:r w:rsidR="00B6038F">
        <w:rPr>
          <w:rFonts w:ascii="Arial Narrow" w:hAnsi="Arial Narrow" w:cs="Tahoma"/>
          <w:b/>
          <w:i/>
          <w:sz w:val="28"/>
          <w:szCs w:val="28"/>
        </w:rPr>
        <w:t>Instituto Geográfico Agustín Codazzi</w:t>
      </w:r>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w:t>
      </w:r>
      <w:r w:rsidR="00F450A2">
        <w:rPr>
          <w:rFonts w:ascii="Arial Narrow" w:hAnsi="Arial Narrow" w:cs="Tahoma"/>
          <w:sz w:val="28"/>
          <w:szCs w:val="28"/>
        </w:rPr>
        <w:t xml:space="preserve"> fundamental de petición.</w:t>
      </w:r>
    </w:p>
    <w:p w:rsidR="00EF2DB9" w:rsidRPr="004C7DB7" w:rsidRDefault="00EF2DB9" w:rsidP="00F57992">
      <w:pPr>
        <w:ind w:firstLine="851"/>
        <w:jc w:val="both"/>
        <w:rPr>
          <w:rFonts w:ascii="Arial Narrow" w:hAnsi="Arial Narrow" w:cs="Tahoma"/>
          <w:b/>
          <w:sz w:val="28"/>
          <w:szCs w:val="28"/>
        </w:rPr>
      </w:pPr>
    </w:p>
    <w:p w:rsidR="00EF2DB9"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F57992">
      <w:pPr>
        <w:ind w:firstLine="851"/>
        <w:jc w:val="both"/>
        <w:rPr>
          <w:rFonts w:ascii="Arial Narrow" w:hAnsi="Arial Narrow" w:cs="Tahoma"/>
          <w:sz w:val="28"/>
          <w:szCs w:val="28"/>
        </w:rPr>
      </w:pPr>
    </w:p>
    <w:p w:rsidR="00EF2DB9" w:rsidRPr="00601FBD" w:rsidRDefault="00EF2DB9" w:rsidP="00F57992">
      <w:pPr>
        <w:spacing w:line="360" w:lineRule="auto"/>
        <w:ind w:firstLine="851"/>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F57992">
      <w:pPr>
        <w:ind w:firstLine="851"/>
        <w:jc w:val="center"/>
        <w:rPr>
          <w:rFonts w:ascii="Arial Narrow" w:hAnsi="Arial Narrow" w:cs="Tahoma"/>
          <w:sz w:val="28"/>
          <w:szCs w:val="28"/>
          <w:lang w:val="es-CO"/>
        </w:rPr>
      </w:pPr>
    </w:p>
    <w:p w:rsidR="00EF2DB9" w:rsidRDefault="00EF2DB9" w:rsidP="00F57992">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F57992">
      <w:pPr>
        <w:pStyle w:val="Sinespaciado"/>
        <w:ind w:firstLine="851"/>
      </w:pPr>
    </w:p>
    <w:p w:rsidR="00B6038F" w:rsidRDefault="006F5D16"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 xml:space="preserve">Relata </w:t>
      </w:r>
      <w:r w:rsidR="00F450A2">
        <w:rPr>
          <w:rFonts w:ascii="Arial Narrow" w:hAnsi="Arial Narrow" w:cs="Tahoma"/>
          <w:spacing w:val="-3"/>
          <w:sz w:val="28"/>
          <w:szCs w:val="28"/>
        </w:rPr>
        <w:t>la accionante que</w:t>
      </w:r>
      <w:r w:rsidR="00B6038F">
        <w:rPr>
          <w:rFonts w:ascii="Arial Narrow" w:hAnsi="Arial Narrow" w:cs="Tahoma"/>
          <w:spacing w:val="-3"/>
          <w:sz w:val="28"/>
          <w:szCs w:val="28"/>
        </w:rPr>
        <w:t xml:space="preserve"> es propietaria de un inmueble ubicado en el Barrio Villa santana, que el </w:t>
      </w:r>
      <w:r w:rsidR="00D13E8E">
        <w:rPr>
          <w:rFonts w:ascii="Arial Narrow" w:hAnsi="Arial Narrow" w:cs="Tahoma"/>
          <w:spacing w:val="-3"/>
          <w:sz w:val="28"/>
          <w:szCs w:val="28"/>
        </w:rPr>
        <w:t>mismo</w:t>
      </w:r>
      <w:r w:rsidR="00B6038F">
        <w:rPr>
          <w:rFonts w:ascii="Arial Narrow" w:hAnsi="Arial Narrow" w:cs="Tahoma"/>
          <w:spacing w:val="-3"/>
          <w:sz w:val="28"/>
          <w:szCs w:val="28"/>
        </w:rPr>
        <w:t xml:space="preserve"> lo adquirió por medio de promesa de compraventa, que construyó su casa con servicios públicos, que radicó petición el 26 de mayo de 2015 ante el IGAC con el fin de obtener la ficha catastral del predio, sin recibir respuesta de fondo.</w:t>
      </w:r>
    </w:p>
    <w:p w:rsidR="00AB6FA6" w:rsidRDefault="00AB6FA6" w:rsidP="00F57992">
      <w:pPr>
        <w:spacing w:line="360" w:lineRule="auto"/>
        <w:ind w:firstLine="851"/>
        <w:jc w:val="both"/>
        <w:rPr>
          <w:rFonts w:ascii="Arial Narrow" w:hAnsi="Arial Narrow" w:cs="Tahoma"/>
          <w:spacing w:val="-3"/>
          <w:sz w:val="28"/>
          <w:szCs w:val="28"/>
        </w:rPr>
      </w:pPr>
    </w:p>
    <w:p w:rsidR="00EF2DB9" w:rsidRDefault="00F450A2"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tal razón pide que se </w:t>
      </w:r>
      <w:r w:rsidR="00B6038F">
        <w:rPr>
          <w:rFonts w:ascii="Arial Narrow" w:hAnsi="Arial Narrow" w:cs="Tahoma"/>
          <w:spacing w:val="-3"/>
          <w:sz w:val="28"/>
          <w:szCs w:val="28"/>
        </w:rPr>
        <w:t>ampare su derecho de petición</w:t>
      </w:r>
      <w:r>
        <w:rPr>
          <w:rFonts w:ascii="Arial Narrow" w:hAnsi="Arial Narrow" w:cs="Tahoma"/>
          <w:spacing w:val="-3"/>
          <w:sz w:val="28"/>
          <w:szCs w:val="28"/>
        </w:rPr>
        <w:t>.</w:t>
      </w:r>
    </w:p>
    <w:p w:rsidR="00BC6097" w:rsidRDefault="00BC6097" w:rsidP="00F57992">
      <w:pPr>
        <w:spacing w:line="360" w:lineRule="auto"/>
        <w:ind w:firstLine="851"/>
        <w:jc w:val="both"/>
        <w:rPr>
          <w:rFonts w:ascii="Arial Narrow" w:hAnsi="Arial Narrow" w:cs="Tahoma"/>
          <w:spacing w:val="-3"/>
          <w:sz w:val="28"/>
          <w:szCs w:val="28"/>
        </w:rPr>
      </w:pPr>
    </w:p>
    <w:p w:rsidR="00EF2DB9" w:rsidRPr="0056435D" w:rsidRDefault="00EF2DB9" w:rsidP="00F57992">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F57992">
      <w:pPr>
        <w:pStyle w:val="Sinespaciado"/>
        <w:ind w:firstLine="851"/>
      </w:pPr>
    </w:p>
    <w:p w:rsidR="00D13E8E" w:rsidRDefault="00F450A2" w:rsidP="00F57992">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al </w:t>
      </w:r>
      <w:r w:rsidR="00BC6097">
        <w:rPr>
          <w:rFonts w:ascii="Arial Narrow" w:hAnsi="Arial Narrow" w:cs="Tahoma"/>
          <w:sz w:val="28"/>
          <w:szCs w:val="28"/>
          <w:lang w:val="es-ES_tradnl"/>
        </w:rPr>
        <w:t>Instituto Geográfico Agustín Codazzi</w:t>
      </w:r>
      <w:r>
        <w:rPr>
          <w:rFonts w:ascii="Arial Narrow" w:hAnsi="Arial Narrow" w:cs="Tahoma"/>
          <w:sz w:val="28"/>
          <w:szCs w:val="28"/>
          <w:lang w:val="es-ES_tradnl"/>
        </w:rPr>
        <w:t>, entidad que allegó contestación informando</w:t>
      </w:r>
      <w:r w:rsidR="00BC6097">
        <w:rPr>
          <w:rFonts w:ascii="Arial Narrow" w:hAnsi="Arial Narrow" w:cs="Tahoma"/>
          <w:sz w:val="28"/>
          <w:szCs w:val="28"/>
          <w:lang w:val="es-ES_tradnl"/>
        </w:rPr>
        <w:t xml:space="preserve"> que dio respuesta a la petición</w:t>
      </w:r>
      <w:r w:rsidR="00D13E8E">
        <w:rPr>
          <w:rFonts w:ascii="Arial Narrow" w:hAnsi="Arial Narrow" w:cs="Tahoma"/>
          <w:sz w:val="28"/>
          <w:szCs w:val="28"/>
          <w:lang w:val="es-ES_tradnl"/>
        </w:rPr>
        <w:t xml:space="preserve"> el 27 de octubre de 2015, indicando la improcedencia del trámite pedido por cuanto lo que se tiene es un documento de promesa de compraventa y no una compraventa como tal.</w:t>
      </w:r>
    </w:p>
    <w:p w:rsidR="00D13E8E" w:rsidRDefault="00D13E8E" w:rsidP="00F57992">
      <w:pPr>
        <w:spacing w:line="360" w:lineRule="auto"/>
        <w:ind w:firstLine="851"/>
        <w:jc w:val="both"/>
        <w:rPr>
          <w:rFonts w:ascii="Arial Narrow" w:hAnsi="Arial Narrow" w:cs="Tahoma"/>
          <w:sz w:val="28"/>
          <w:szCs w:val="28"/>
          <w:lang w:val="es-ES_tradnl"/>
        </w:rPr>
      </w:pPr>
    </w:p>
    <w:p w:rsidR="00EF2DB9" w:rsidRPr="0056435D"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F57992">
      <w:pPr>
        <w:pStyle w:val="Sinespaciado"/>
        <w:ind w:firstLine="851"/>
      </w:pPr>
    </w:p>
    <w:p w:rsidR="00426F72" w:rsidRDefault="00EF2DB9" w:rsidP="00F57992">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w:t>
      </w:r>
      <w:r w:rsidR="00D13E8E">
        <w:rPr>
          <w:rFonts w:ascii="Arial Narrow" w:hAnsi="Arial Narrow" w:cs="Tahoma"/>
          <w:sz w:val="28"/>
          <w:szCs w:val="28"/>
        </w:rPr>
        <w:t>tuteló el derecho fundamental de petición y le ordenó a la entidad accionada que, en el término de diez días, una vez la actora radicará los documentos que se mencionaban en la comunicación del IGAC, dé respuesta de fondo a la situación del predio de la accionante</w:t>
      </w:r>
      <w:r w:rsidR="00426F72">
        <w:rPr>
          <w:rFonts w:ascii="Arial Narrow" w:hAnsi="Arial Narrow" w:cs="Tahoma"/>
          <w:sz w:val="28"/>
          <w:szCs w:val="28"/>
        </w:rPr>
        <w:t>.</w:t>
      </w:r>
    </w:p>
    <w:p w:rsidR="00EF2DB9" w:rsidRDefault="00EF2DB9"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F57992">
      <w:pPr>
        <w:pStyle w:val="Sinespaciado"/>
        <w:ind w:firstLine="851"/>
      </w:pPr>
    </w:p>
    <w:p w:rsidR="00426F72" w:rsidRDefault="00426F72"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demandada estuvo inconforme con la decisión de primera instancia, amén que estima que ya realizó el estudio que le competía, frente a la solicitud elevada por la actora. Además, el trámite es absolutamente improcedente porque el documento en que la actora sustenta su pedido, una promesa de compraventa, no es un documento idóneo para realizar la inscripción catastral sobre el terreno, pues para ello es indispensable que se presente la escritura pública y el respectivo folio de matrícula inmobiliaria. Si lo que se persigue es </w:t>
      </w:r>
      <w:r w:rsidR="00312A1B">
        <w:rPr>
          <w:rFonts w:ascii="Arial Narrow" w:hAnsi="Arial Narrow" w:cs="Tahoma"/>
          <w:sz w:val="28"/>
          <w:szCs w:val="28"/>
        </w:rPr>
        <w:t>la obtención de una ficha catastral so</w:t>
      </w:r>
      <w:r w:rsidR="00B943CA">
        <w:rPr>
          <w:rFonts w:ascii="Arial Narrow" w:hAnsi="Arial Narrow" w:cs="Tahoma"/>
          <w:sz w:val="28"/>
          <w:szCs w:val="28"/>
        </w:rPr>
        <w:t xml:space="preserve">bre la construcción, debe aportar una declaración extraprocesal. </w:t>
      </w:r>
    </w:p>
    <w:p w:rsidR="00B76B80" w:rsidRDefault="00B76B80"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B76B80" w:rsidRPr="00601FBD" w:rsidRDefault="00B76B80" w:rsidP="00F57992">
      <w:pPr>
        <w:spacing w:line="360" w:lineRule="auto"/>
        <w:ind w:firstLine="851"/>
        <w:jc w:val="center"/>
        <w:rPr>
          <w:rFonts w:ascii="Arial Narrow" w:hAnsi="Arial Narrow" w:cs="Tahoma"/>
          <w:b/>
          <w:bCs/>
          <w:i/>
          <w:sz w:val="28"/>
          <w:szCs w:val="28"/>
        </w:rPr>
      </w:pPr>
    </w:p>
    <w:p w:rsidR="00EF2DB9" w:rsidRPr="003318FF" w:rsidRDefault="00EF2DB9" w:rsidP="00F57992">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F57992">
      <w:pPr>
        <w:ind w:firstLine="851"/>
        <w:jc w:val="both"/>
        <w:rPr>
          <w:rFonts w:ascii="Arial Narrow" w:hAnsi="Arial Narrow" w:cs="Tahoma"/>
          <w:b/>
          <w:bCs/>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F57992">
      <w:pPr>
        <w:ind w:firstLine="851"/>
        <w:jc w:val="both"/>
        <w:rPr>
          <w:rFonts w:ascii="Arial Narrow" w:hAnsi="Arial Narrow" w:cs="Tahoma"/>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F57992">
      <w:pPr>
        <w:ind w:firstLine="851"/>
        <w:jc w:val="both"/>
        <w:rPr>
          <w:rFonts w:ascii="Arial Narrow" w:hAnsi="Arial Narrow" w:cs="Tahoma"/>
          <w:sz w:val="28"/>
          <w:szCs w:val="28"/>
        </w:rPr>
      </w:pPr>
    </w:p>
    <w:p w:rsidR="00EF2DB9" w:rsidRDefault="00EF2DB9" w:rsidP="00AD2815">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AD2815">
        <w:rPr>
          <w:rFonts w:ascii="Arial Narrow" w:hAnsi="Arial Narrow" w:cs="Arial"/>
          <w:i/>
          <w:color w:val="000000"/>
          <w:spacing w:val="-2"/>
          <w:sz w:val="28"/>
          <w:szCs w:val="28"/>
        </w:rPr>
        <w:t>Cumplió la entidad demandada su deber de dar respuesta de fondo a la petición elevada por la accionante?</w:t>
      </w:r>
    </w:p>
    <w:p w:rsidR="00121DE2" w:rsidRPr="003318FF" w:rsidRDefault="00121DE2" w:rsidP="00F57992">
      <w:pPr>
        <w:ind w:firstLine="851"/>
        <w:jc w:val="both"/>
        <w:rPr>
          <w:rFonts w:ascii="Arial Narrow" w:hAnsi="Arial Narrow" w:cs="Arial"/>
          <w:i/>
          <w:color w:val="000000"/>
          <w:spacing w:val="-2"/>
          <w:sz w:val="28"/>
          <w:szCs w:val="28"/>
        </w:rPr>
      </w:pPr>
    </w:p>
    <w:p w:rsidR="00EF2DB9" w:rsidRPr="003318FF" w:rsidRDefault="00EF2DB9" w:rsidP="00F57992">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Pr="00810555" w:rsidRDefault="00EF2DB9" w:rsidP="00F57992">
      <w:pPr>
        <w:tabs>
          <w:tab w:val="left" w:pos="-720"/>
        </w:tabs>
        <w:suppressAutoHyphens/>
        <w:spacing w:line="360" w:lineRule="auto"/>
        <w:ind w:right="-7" w:firstLine="851"/>
        <w:jc w:val="both"/>
        <w:rPr>
          <w:rFonts w:ascii="Arial Narrow" w:hAnsi="Arial Narrow" w:cs="Tahoma"/>
          <w:b/>
          <w:color w:val="000000"/>
          <w:spacing w:val="-2"/>
          <w:sz w:val="28"/>
          <w:szCs w:val="28"/>
        </w:rPr>
      </w:pPr>
      <w:r>
        <w:rPr>
          <w:rFonts w:ascii="Arial Narrow" w:hAnsi="Arial Narrow" w:cs="Tahoma"/>
          <w:b/>
          <w:i/>
          <w:color w:val="000000"/>
          <w:spacing w:val="-2"/>
          <w:sz w:val="28"/>
          <w:szCs w:val="28"/>
        </w:rPr>
        <w:tab/>
      </w:r>
    </w:p>
    <w:p w:rsidR="00F57992" w:rsidRDefault="00EF2DB9"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121DE2">
        <w:rPr>
          <w:rFonts w:ascii="Arial Narrow" w:hAnsi="Arial Narrow" w:cs="Tahoma"/>
          <w:color w:val="000000"/>
          <w:spacing w:val="-2"/>
          <w:sz w:val="28"/>
          <w:szCs w:val="28"/>
        </w:rPr>
        <w:t>La acción de tutela se estableció por el constituyente de 1991 como el mecanismo de protección de los derechos fundamentales, cuando quiera que estos resulten amenazados, conculcados o vulnerados. Entre sus características se encuentra la de ser una acción que busca contrarrestar un perjuicio actual o inminente a las garantías fundamentales, por lo que si la amenaza o afectación desaparece o se materi</w:t>
      </w:r>
      <w:r w:rsidR="003250C2">
        <w:rPr>
          <w:rFonts w:ascii="Arial Narrow" w:hAnsi="Arial Narrow" w:cs="Tahoma"/>
          <w:color w:val="000000"/>
          <w:spacing w:val="-2"/>
          <w:sz w:val="28"/>
          <w:szCs w:val="28"/>
        </w:rPr>
        <w:t>aliza un perjuicio irremediable que impida que las cosas vuelvan a su estado anterior, la tutela pierde su objeto</w:t>
      </w:r>
      <w:r w:rsidR="00F57992">
        <w:rPr>
          <w:rFonts w:ascii="Arial Narrow" w:hAnsi="Arial Narrow" w:cs="Tahoma"/>
          <w:color w:val="000000"/>
          <w:spacing w:val="-2"/>
          <w:sz w:val="28"/>
          <w:szCs w:val="28"/>
        </w:rPr>
        <w:t xml:space="preserve">. Sobre el tema hay una vasta línea jurisprudencial de la Corte Constitucional, siendo pertinente, para tener claridad sobre el tema, citar una decisión que trata el hecho superado en materia de acción de tutela: </w:t>
      </w:r>
    </w:p>
    <w:p w:rsidR="00F57992" w:rsidRDefault="00F57992"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F57992" w:rsidRPr="00F57992" w:rsidRDefault="00F57992" w:rsidP="00F57992">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F57992">
        <w:rPr>
          <w:rFonts w:ascii="Arial Narrow" w:hAnsi="Arial Narrow" w:cs="Tahoma"/>
          <w:i/>
          <w:color w:val="000000"/>
          <w:spacing w:val="-2"/>
          <w:sz w:val="28"/>
          <w:szCs w:val="28"/>
        </w:rPr>
        <w:t>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r>
        <w:rPr>
          <w:rFonts w:ascii="Arial Narrow" w:hAnsi="Arial Narrow" w:cs="Tahoma"/>
          <w:i/>
          <w:color w:val="000000"/>
          <w:spacing w:val="-2"/>
          <w:sz w:val="28"/>
          <w:szCs w:val="28"/>
        </w:rPr>
        <w:t>” (sentencia T-481 de 2010).</w:t>
      </w:r>
    </w:p>
    <w:p w:rsidR="00F57992" w:rsidRDefault="00F57992"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F57992" w:rsidRDefault="00F57992"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Para determinar si en un caso puntual se configuró un hecho superado, es indispensable determinar si el núcleo esencial del derecho fundamental en disputa se encuentra debidamente satisfecho. Entratándose del derecho de petición contenido en el canon 23 del texto superior, el núcleo esencial implica la satisfacción de tres presupuestos esenciales: (i) que se dé una respuesta de fondo; (ii) que la misma se brinde en término oportuno y (iii) que la misma sea puesta en conocimiento del solicitante.</w:t>
      </w:r>
    </w:p>
    <w:p w:rsidR="00F57992" w:rsidRDefault="00F57992"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F57992" w:rsidRDefault="00F57992"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Frente a la respuesta de fondo, que exige la norma en mención, ha de decirse que es indistinto al objeto del derecho de petición si la respuesta es negativa o positiva a los intereses del solicitante, simplemente basta, para que se entienda satisfecha esta obligación, que se abarquen todos los temas y pedidos contenidos en el escrito petitorio.</w:t>
      </w:r>
    </w:p>
    <w:p w:rsidR="00F57992" w:rsidRDefault="00F57992"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B03830" w:rsidRDefault="00D62ECF"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Pues bien, en el caso puntual se tiene que la petición se encamina a la obtención de una ficha catastral sobre un predio que ostenta la demandante en tutela. La respuesta a la petición –entonces- deb</w:t>
      </w:r>
      <w:r w:rsidR="0007343D">
        <w:rPr>
          <w:rFonts w:ascii="Arial Narrow" w:hAnsi="Arial Narrow" w:cs="Tahoma"/>
          <w:color w:val="000000"/>
          <w:spacing w:val="-2"/>
          <w:sz w:val="28"/>
          <w:szCs w:val="28"/>
        </w:rPr>
        <w:t>ía encaminarse a establecer la viabilidad o no de la asignación de ficha catastral, atendiendo la normatividad aplicable. Y la respuesta que dio el Instituto Geográfico Agustín Codazzi –fl. 15-, no decide de fondo el asunto planteado, puesto que apenas se limita a informar que existe una incoherencia en la petición o mejor, que se radicó mal</w:t>
      </w:r>
      <w:r w:rsidR="00B03830">
        <w:rPr>
          <w:rFonts w:ascii="Arial Narrow" w:hAnsi="Arial Narrow" w:cs="Tahoma"/>
          <w:color w:val="000000"/>
          <w:spacing w:val="-2"/>
          <w:sz w:val="28"/>
          <w:szCs w:val="28"/>
        </w:rPr>
        <w:t xml:space="preserve"> y que además hacen falta unos documentos, puntualmente la escritura pública y el certificado de tradición del predio</w:t>
      </w:r>
      <w:r w:rsidR="00F57992">
        <w:rPr>
          <w:rFonts w:ascii="Arial Narrow" w:hAnsi="Arial Narrow" w:cs="Tahoma"/>
          <w:color w:val="000000"/>
          <w:spacing w:val="-2"/>
          <w:sz w:val="28"/>
          <w:szCs w:val="28"/>
        </w:rPr>
        <w:t>,</w:t>
      </w:r>
      <w:r w:rsidR="00B03830">
        <w:rPr>
          <w:rFonts w:ascii="Arial Narrow" w:hAnsi="Arial Narrow" w:cs="Tahoma"/>
          <w:color w:val="000000"/>
          <w:spacing w:val="-2"/>
          <w:sz w:val="28"/>
          <w:szCs w:val="28"/>
        </w:rPr>
        <w:t xml:space="preserve"> para poder asignar una ficha catastral. </w:t>
      </w:r>
    </w:p>
    <w:p w:rsidR="00B03830" w:rsidRDefault="00B03830"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107A23" w:rsidRDefault="00B03830"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Esta respuesta, en el sentir de la Colegiatura y tal como lo determinó la Jueza de primer grado, deja sin resolver el fondo del asunto, pues no se determina si se asigna o no la ficha catastral pretendida, desconociéndose </w:t>
      </w:r>
      <w:r w:rsidR="00107A23">
        <w:rPr>
          <w:rFonts w:ascii="Arial Narrow" w:hAnsi="Arial Narrow" w:cs="Tahoma"/>
          <w:color w:val="000000"/>
          <w:spacing w:val="-2"/>
          <w:sz w:val="28"/>
          <w:szCs w:val="28"/>
        </w:rPr>
        <w:t>con ello el núcleo esencial del derecho de petición, situación que amerita que el Juez de tutela, como lo hizo la a-quo, disponga lo necesario para corregir la situación.</w:t>
      </w:r>
    </w:p>
    <w:p w:rsidR="00107A23" w:rsidRDefault="00107A23"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274F61" w:rsidRDefault="00107A23"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Es pues, evidente para esta Sala que el derecho de petición que elevó la señora Galvis no ha obtenido respuesta de fondo, conforme a lo exigido en la Carta Política</w:t>
      </w:r>
      <w:r w:rsidR="00274F61">
        <w:rPr>
          <w:rFonts w:ascii="Arial Narrow" w:hAnsi="Arial Narrow" w:cs="Tahoma"/>
          <w:color w:val="000000"/>
          <w:spacing w:val="-2"/>
          <w:sz w:val="28"/>
          <w:szCs w:val="28"/>
        </w:rPr>
        <w:t xml:space="preserve"> y que las medidas que dispuso la Juzgadora de primera instancia protegen de manera adecuada la garantía fundamental agredida, por lo que habrá de confirmarse la sentencia de tutela.</w:t>
      </w:r>
    </w:p>
    <w:p w:rsidR="00EF2DB9" w:rsidRPr="00074CDE" w:rsidRDefault="00EF2DB9" w:rsidP="00F57992">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F57992">
      <w:pPr>
        <w:ind w:firstLine="851"/>
        <w:jc w:val="center"/>
        <w:rPr>
          <w:rFonts w:ascii="Arial Narrow" w:hAnsi="Arial Narrow" w:cs="Arial"/>
          <w:b/>
          <w:i/>
          <w:sz w:val="28"/>
          <w:szCs w:val="28"/>
        </w:rPr>
      </w:pPr>
    </w:p>
    <w:p w:rsidR="00EF2DB9" w:rsidRPr="00074CDE" w:rsidRDefault="00EF2DB9" w:rsidP="00F57992">
      <w:pPr>
        <w:ind w:firstLine="851"/>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F57992">
      <w:pPr>
        <w:ind w:firstLine="851"/>
        <w:jc w:val="center"/>
        <w:rPr>
          <w:rFonts w:ascii="Arial Narrow" w:hAnsi="Arial Narrow" w:cs="Arial"/>
          <w:b/>
          <w:i/>
          <w:sz w:val="28"/>
          <w:szCs w:val="28"/>
        </w:rPr>
      </w:pPr>
    </w:p>
    <w:p w:rsidR="00E01EB2" w:rsidRDefault="00EF2DB9" w:rsidP="00F57992">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274F61">
        <w:rPr>
          <w:rFonts w:ascii="Arial Narrow" w:hAnsi="Arial Narrow" w:cs="Arial"/>
          <w:b/>
          <w:i/>
          <w:color w:val="000000"/>
          <w:spacing w:val="-2"/>
          <w:sz w:val="28"/>
          <w:szCs w:val="28"/>
        </w:rPr>
        <w:t>Confirmar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 xml:space="preserve">el fallo </w:t>
      </w:r>
      <w:r w:rsidR="00E01EB2">
        <w:rPr>
          <w:rFonts w:ascii="Arial Narrow" w:hAnsi="Arial Narrow" w:cs="Arial"/>
          <w:color w:val="000000"/>
          <w:spacing w:val="-2"/>
          <w:sz w:val="28"/>
          <w:szCs w:val="28"/>
        </w:rPr>
        <w:t xml:space="preserve">del </w:t>
      </w:r>
      <w:r w:rsidR="00274F61">
        <w:rPr>
          <w:rFonts w:ascii="Arial Narrow" w:hAnsi="Arial Narrow" w:cs="Arial"/>
          <w:color w:val="000000"/>
          <w:spacing w:val="-2"/>
          <w:sz w:val="28"/>
          <w:szCs w:val="28"/>
        </w:rPr>
        <w:t>04</w:t>
      </w:r>
      <w:r w:rsidR="00E01EB2">
        <w:rPr>
          <w:rFonts w:ascii="Arial Narrow" w:hAnsi="Arial Narrow" w:cs="Arial"/>
          <w:color w:val="000000"/>
          <w:spacing w:val="-2"/>
          <w:sz w:val="28"/>
          <w:szCs w:val="28"/>
        </w:rPr>
        <w:t xml:space="preserve"> de </w:t>
      </w:r>
      <w:r w:rsidR="00274F61">
        <w:rPr>
          <w:rFonts w:ascii="Arial Narrow" w:hAnsi="Arial Narrow" w:cs="Arial"/>
          <w:color w:val="000000"/>
          <w:spacing w:val="-2"/>
          <w:sz w:val="28"/>
          <w:szCs w:val="28"/>
        </w:rPr>
        <w:t>noviembre</w:t>
      </w:r>
      <w:r w:rsidR="00E01EB2">
        <w:rPr>
          <w:rFonts w:ascii="Arial Narrow" w:hAnsi="Arial Narrow" w:cs="Arial"/>
          <w:color w:val="000000"/>
          <w:spacing w:val="-2"/>
          <w:sz w:val="28"/>
          <w:szCs w:val="28"/>
        </w:rPr>
        <w:t xml:space="preserve"> de 2015, proferido por el </w:t>
      </w:r>
      <w:r w:rsidRPr="00EF4B89">
        <w:rPr>
          <w:rFonts w:ascii="Arial Narrow" w:hAnsi="Arial Narrow" w:cs="Arial"/>
          <w:color w:val="000000"/>
          <w:spacing w:val="-2"/>
          <w:sz w:val="28"/>
          <w:szCs w:val="28"/>
        </w:rPr>
        <w:t xml:space="preserve">Juzgado </w:t>
      </w:r>
      <w:r w:rsidR="00E01EB2">
        <w:rPr>
          <w:rFonts w:ascii="Arial Narrow" w:hAnsi="Arial Narrow" w:cs="Arial"/>
          <w:color w:val="000000"/>
          <w:spacing w:val="-2"/>
          <w:sz w:val="28"/>
          <w:szCs w:val="28"/>
        </w:rPr>
        <w:t>Quinto</w:t>
      </w:r>
      <w:r w:rsidRPr="00EF4B89">
        <w:rPr>
          <w:rFonts w:ascii="Arial Narrow" w:hAnsi="Arial Narrow" w:cs="Arial"/>
          <w:color w:val="000000"/>
          <w:spacing w:val="-2"/>
          <w:sz w:val="28"/>
          <w:szCs w:val="28"/>
        </w:rPr>
        <w:t xml:space="preserve"> Laboral del Circuito de Pereira Risaralda</w:t>
      </w:r>
      <w:r w:rsidR="00274F61">
        <w:rPr>
          <w:rFonts w:ascii="Arial Narrow" w:hAnsi="Arial Narrow" w:cs="Arial"/>
          <w:color w:val="000000"/>
          <w:spacing w:val="-2"/>
          <w:sz w:val="28"/>
          <w:szCs w:val="28"/>
        </w:rPr>
        <w:t xml:space="preserve"> dentro de la acción de tutela adelantada por la señora </w:t>
      </w:r>
      <w:r w:rsidR="00274F61">
        <w:rPr>
          <w:rFonts w:ascii="Arial Narrow" w:hAnsi="Arial Narrow" w:cs="Arial"/>
          <w:b/>
          <w:color w:val="000000"/>
          <w:spacing w:val="-2"/>
          <w:sz w:val="28"/>
          <w:szCs w:val="28"/>
        </w:rPr>
        <w:t xml:space="preserve">Maria del Pilar Galvis </w:t>
      </w:r>
      <w:r w:rsidR="00274F61">
        <w:rPr>
          <w:rFonts w:ascii="Arial Narrow" w:hAnsi="Arial Narrow" w:cs="Arial"/>
          <w:color w:val="000000"/>
          <w:spacing w:val="-2"/>
          <w:sz w:val="28"/>
          <w:szCs w:val="28"/>
        </w:rPr>
        <w:t xml:space="preserve">en contra del </w:t>
      </w:r>
      <w:r w:rsidR="00274F61">
        <w:rPr>
          <w:rFonts w:ascii="Arial Narrow" w:hAnsi="Arial Narrow" w:cs="Arial"/>
          <w:b/>
          <w:color w:val="000000"/>
          <w:spacing w:val="-2"/>
          <w:sz w:val="28"/>
          <w:szCs w:val="28"/>
        </w:rPr>
        <w:t>Instituto Geográfico Agustín Codazzi</w:t>
      </w:r>
    </w:p>
    <w:p w:rsidR="00EF2DB9" w:rsidRPr="00074CDE" w:rsidRDefault="00EF2DB9" w:rsidP="00F57992">
      <w:pPr>
        <w:ind w:firstLine="851"/>
        <w:jc w:val="both"/>
        <w:rPr>
          <w:rFonts w:ascii="Arial Narrow" w:hAnsi="Arial Narrow" w:cs="Tahoma"/>
          <w:b/>
          <w:i/>
          <w:sz w:val="28"/>
          <w:szCs w:val="28"/>
        </w:rPr>
      </w:pPr>
    </w:p>
    <w:p w:rsidR="00EF2DB9" w:rsidRPr="00074CDE" w:rsidRDefault="00EF2DB9" w:rsidP="00F57992">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F57992">
      <w:pPr>
        <w:ind w:firstLine="851"/>
        <w:jc w:val="both"/>
        <w:rPr>
          <w:rFonts w:ascii="Arial Narrow" w:hAnsi="Arial Narrow" w:cs="Arial"/>
          <w:i/>
          <w:sz w:val="28"/>
          <w:szCs w:val="28"/>
        </w:rPr>
      </w:pPr>
    </w:p>
    <w:p w:rsidR="00EF2DB9" w:rsidRPr="00074CDE" w:rsidRDefault="00EF2DB9" w:rsidP="00F57992">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F57992">
      <w:pPr>
        <w:pStyle w:val="Prrafodelista1"/>
        <w:ind w:left="0" w:firstLine="851"/>
        <w:jc w:val="both"/>
        <w:rPr>
          <w:rFonts w:ascii="Arial Narrow" w:hAnsi="Arial Narrow"/>
          <w:b/>
          <w:i/>
          <w:sz w:val="28"/>
          <w:szCs w:val="28"/>
        </w:rPr>
      </w:pPr>
    </w:p>
    <w:p w:rsidR="00EF2DB9" w:rsidRPr="00074CDE" w:rsidRDefault="00EF2DB9" w:rsidP="00F57992">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Pr="00074CDE" w:rsidRDefault="00EF2DB9" w:rsidP="00F57992">
      <w:pPr>
        <w:spacing w:line="360" w:lineRule="auto"/>
        <w:ind w:firstLine="851"/>
        <w:jc w:val="both"/>
        <w:rPr>
          <w:rFonts w:ascii="Arial Narrow" w:hAnsi="Arial Narrow" w:cs="Arial"/>
          <w:sz w:val="28"/>
          <w:szCs w:val="28"/>
        </w:rPr>
      </w:pPr>
    </w:p>
    <w:p w:rsidR="00EF2DB9" w:rsidRDefault="00EF2DB9" w:rsidP="00F57992">
      <w:pPr>
        <w:spacing w:line="480" w:lineRule="auto"/>
        <w:ind w:firstLine="851"/>
        <w:jc w:val="both"/>
        <w:rPr>
          <w:rFonts w:ascii="Arial Narrow" w:hAnsi="Arial Narrow" w:cs="Arial"/>
          <w:b/>
          <w:bCs/>
          <w:i/>
          <w:iCs/>
          <w:sz w:val="28"/>
          <w:szCs w:val="28"/>
        </w:rPr>
      </w:pPr>
      <w:r w:rsidRPr="00074CDE">
        <w:rPr>
          <w:rFonts w:ascii="Arial Narrow" w:hAnsi="Arial Narrow" w:cs="Arial"/>
          <w:sz w:val="28"/>
          <w:szCs w:val="28"/>
        </w:rPr>
        <w:tab/>
      </w:r>
      <w:r w:rsidRPr="00074CDE">
        <w:rPr>
          <w:rFonts w:ascii="Arial Narrow" w:hAnsi="Arial Narrow" w:cs="Arial"/>
          <w:sz w:val="28"/>
          <w:szCs w:val="28"/>
        </w:rPr>
        <w:tab/>
      </w:r>
    </w:p>
    <w:p w:rsidR="00EF2DB9" w:rsidRPr="00074CDE" w:rsidRDefault="00EF2DB9" w:rsidP="00F57992">
      <w:pPr>
        <w:ind w:firstLine="851"/>
        <w:jc w:val="center"/>
        <w:rPr>
          <w:rFonts w:ascii="Arial Narrow" w:hAnsi="Arial Narrow" w:cs="Arial"/>
          <w:b/>
          <w:bCs/>
          <w:iCs/>
          <w:sz w:val="28"/>
          <w:szCs w:val="28"/>
        </w:rPr>
      </w:pPr>
      <w:r w:rsidRPr="00074CDE">
        <w:rPr>
          <w:rFonts w:ascii="Arial Narrow" w:hAnsi="Arial Narrow" w:cs="Arial"/>
          <w:b/>
          <w:bCs/>
          <w:iCs/>
          <w:sz w:val="28"/>
          <w:szCs w:val="28"/>
        </w:rPr>
        <w:t>FRANCISCO JAVIER TAMAYO TABARES</w:t>
      </w:r>
    </w:p>
    <w:p w:rsidR="00EF2DB9" w:rsidRPr="00074CDE" w:rsidRDefault="00EF2DB9" w:rsidP="00F57992">
      <w:pPr>
        <w:spacing w:line="360" w:lineRule="auto"/>
        <w:ind w:firstLine="851"/>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Pr="00074CDE" w:rsidRDefault="00EF2DB9" w:rsidP="00F57992">
      <w:pPr>
        <w:pStyle w:val="Sinespaciado"/>
        <w:ind w:firstLine="851"/>
      </w:pPr>
    </w:p>
    <w:p w:rsidR="00EF2DB9" w:rsidRDefault="00EF2DB9" w:rsidP="00F57992">
      <w:pPr>
        <w:spacing w:line="360" w:lineRule="auto"/>
        <w:ind w:firstLine="851"/>
        <w:jc w:val="both"/>
        <w:rPr>
          <w:rFonts w:ascii="Arial Narrow" w:hAnsi="Arial Narrow" w:cs="Arial"/>
          <w:b/>
          <w:i/>
          <w:sz w:val="28"/>
          <w:szCs w:val="28"/>
        </w:rPr>
      </w:pPr>
    </w:p>
    <w:p w:rsidR="00EF2DB9" w:rsidRDefault="00EF2DB9" w:rsidP="00F57992">
      <w:pPr>
        <w:spacing w:line="360" w:lineRule="auto"/>
        <w:ind w:firstLine="851"/>
        <w:jc w:val="both"/>
        <w:rPr>
          <w:rFonts w:ascii="Arial Narrow" w:hAnsi="Arial Narrow" w:cs="Arial"/>
          <w:b/>
          <w:i/>
          <w:sz w:val="28"/>
          <w:szCs w:val="28"/>
        </w:rPr>
      </w:pPr>
    </w:p>
    <w:p w:rsidR="00EF2DB9" w:rsidRPr="00074CDE" w:rsidRDefault="006A5917" w:rsidP="00F57992">
      <w:pPr>
        <w:tabs>
          <w:tab w:val="left" w:pos="6225"/>
          <w:tab w:val="left" w:pos="6750"/>
        </w:tabs>
        <w:ind w:firstLine="851"/>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EF2DB9" w:rsidP="00F57992">
      <w:pPr>
        <w:tabs>
          <w:tab w:val="left" w:pos="8647"/>
        </w:tabs>
        <w:ind w:firstLine="851"/>
        <w:jc w:val="both"/>
        <w:rPr>
          <w:rFonts w:ascii="Arial Narrow" w:hAnsi="Arial Narrow" w:cs="Arial"/>
          <w:b/>
          <w:bCs/>
          <w:iCs/>
          <w:sz w:val="28"/>
          <w:szCs w:val="28"/>
        </w:rPr>
      </w:pPr>
      <w:r w:rsidRPr="00074CDE">
        <w:rPr>
          <w:rFonts w:ascii="Arial Narrow" w:hAnsi="Arial Narrow" w:cs="Arial"/>
          <w:b/>
          <w:bCs/>
          <w:iCs/>
          <w:sz w:val="28"/>
          <w:szCs w:val="28"/>
        </w:rPr>
        <w:t>ANA LUCÍA CAICEDO CALDERÓN              JULIO CÉSAR SALAZAR MUÑOZ</w:t>
      </w:r>
    </w:p>
    <w:p w:rsidR="00EF2DB9" w:rsidRPr="00074CDE" w:rsidRDefault="00EF2DB9" w:rsidP="00F57992">
      <w:pPr>
        <w:ind w:firstLine="851"/>
        <w:jc w:val="both"/>
        <w:rPr>
          <w:rFonts w:ascii="Arial Narrow" w:hAnsi="Arial Narrow" w:cs="Arial"/>
          <w:bCs/>
          <w:iCs/>
          <w:sz w:val="28"/>
          <w:szCs w:val="28"/>
        </w:rPr>
      </w:pPr>
      <w:r w:rsidRPr="00074CDE">
        <w:rPr>
          <w:rFonts w:ascii="Arial Narrow" w:hAnsi="Arial Narrow" w:cs="Arial"/>
          <w:bCs/>
          <w:iCs/>
          <w:sz w:val="28"/>
          <w:szCs w:val="28"/>
        </w:rPr>
        <w:tab/>
        <w:t xml:space="preserve">      Magistrada</w:t>
      </w:r>
      <w:r w:rsidRPr="00074CDE">
        <w:rPr>
          <w:rFonts w:ascii="Arial Narrow" w:hAnsi="Arial Narrow" w:cs="Arial"/>
          <w:bCs/>
          <w:iCs/>
          <w:sz w:val="28"/>
          <w:szCs w:val="28"/>
        </w:rPr>
        <w:tab/>
      </w:r>
      <w:r w:rsidRPr="00074CDE">
        <w:rPr>
          <w:rFonts w:ascii="Arial Narrow" w:hAnsi="Arial Narrow" w:cs="Arial"/>
          <w:bCs/>
          <w:iCs/>
          <w:sz w:val="28"/>
          <w:szCs w:val="28"/>
        </w:rPr>
        <w:tab/>
      </w:r>
      <w:r w:rsidRPr="00074CDE">
        <w:rPr>
          <w:rFonts w:ascii="Arial Narrow" w:hAnsi="Arial Narrow" w:cs="Arial"/>
          <w:bCs/>
          <w:iCs/>
          <w:sz w:val="28"/>
          <w:szCs w:val="28"/>
        </w:rPr>
        <w:tab/>
      </w:r>
      <w:r w:rsidRPr="00074CDE">
        <w:rPr>
          <w:rFonts w:ascii="Arial Narrow" w:hAnsi="Arial Narrow" w:cs="Arial"/>
          <w:bCs/>
          <w:iCs/>
          <w:sz w:val="28"/>
          <w:szCs w:val="28"/>
        </w:rPr>
        <w:tab/>
      </w:r>
      <w:r w:rsidRPr="00074CDE">
        <w:rPr>
          <w:rFonts w:ascii="Arial Narrow" w:hAnsi="Arial Narrow" w:cs="Arial"/>
          <w:bCs/>
          <w:iCs/>
          <w:sz w:val="28"/>
          <w:szCs w:val="28"/>
        </w:rPr>
        <w:tab/>
        <w:t>Magistrado</w:t>
      </w:r>
    </w:p>
    <w:p w:rsidR="00EF2DB9" w:rsidRPr="00074CDE" w:rsidRDefault="00EF2DB9" w:rsidP="00F57992">
      <w:pPr>
        <w:ind w:firstLine="851"/>
        <w:jc w:val="center"/>
        <w:rPr>
          <w:rFonts w:ascii="Arial Narrow" w:hAnsi="Arial Narrow" w:cs="Arial"/>
          <w:bCs/>
          <w:iCs/>
          <w:sz w:val="28"/>
          <w:szCs w:val="28"/>
        </w:rPr>
      </w:pPr>
    </w:p>
    <w:p w:rsidR="00EF2DB9" w:rsidRPr="00074CDE" w:rsidRDefault="00EF2DB9" w:rsidP="00F57992">
      <w:pPr>
        <w:spacing w:line="360" w:lineRule="auto"/>
        <w:ind w:firstLine="851"/>
        <w:jc w:val="center"/>
        <w:rPr>
          <w:rFonts w:ascii="Arial Narrow" w:hAnsi="Arial Narrow" w:cs="Arial"/>
          <w:bCs/>
          <w:iCs/>
          <w:sz w:val="28"/>
          <w:szCs w:val="28"/>
        </w:rPr>
      </w:pPr>
    </w:p>
    <w:p w:rsidR="00EF2DB9" w:rsidRPr="00074CDE" w:rsidRDefault="00EF2DB9" w:rsidP="00F57992">
      <w:pPr>
        <w:ind w:firstLine="851"/>
        <w:jc w:val="center"/>
        <w:rPr>
          <w:rFonts w:ascii="Arial Narrow" w:hAnsi="Arial Narrow" w:cs="Arial"/>
          <w:b/>
          <w:bCs/>
          <w:iCs/>
          <w:sz w:val="28"/>
          <w:szCs w:val="28"/>
        </w:rPr>
      </w:pPr>
      <w:r w:rsidRPr="00074CDE">
        <w:rPr>
          <w:rFonts w:ascii="Arial Narrow" w:hAnsi="Arial Narrow" w:cs="Arial"/>
          <w:b/>
          <w:bCs/>
          <w:iCs/>
          <w:sz w:val="28"/>
          <w:szCs w:val="28"/>
        </w:rPr>
        <w:t xml:space="preserve">Edna Patricia Duque Isaza </w:t>
      </w:r>
    </w:p>
    <w:p w:rsidR="00D84850" w:rsidRDefault="00EF2DB9" w:rsidP="00DB0105">
      <w:pPr>
        <w:spacing w:line="360" w:lineRule="auto"/>
        <w:ind w:firstLine="851"/>
        <w:jc w:val="center"/>
      </w:pPr>
      <w:r w:rsidRPr="00074CDE">
        <w:rPr>
          <w:rFonts w:ascii="Arial Narrow" w:hAnsi="Arial Narrow" w:cs="Arial"/>
          <w:iCs/>
          <w:sz w:val="28"/>
          <w:szCs w:val="28"/>
        </w:rPr>
        <w:t>Secretaria</w:t>
      </w:r>
    </w:p>
    <w:sectPr w:rsidR="00D84850" w:rsidSect="0074785B">
      <w:headerReference w:type="even" r:id="rId8"/>
      <w:headerReference w:type="default" r:id="rId9"/>
      <w:footerReference w:type="even" r:id="rId10"/>
      <w:footerReference w:type="default" r:id="rId11"/>
      <w:headerReference w:type="first" r:id="rId12"/>
      <w:footerReference w:type="first" r:id="rId13"/>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0F" w:rsidRDefault="00CD500F" w:rsidP="00EF2DB9">
      <w:r>
        <w:separator/>
      </w:r>
    </w:p>
  </w:endnote>
  <w:endnote w:type="continuationSeparator" w:id="0">
    <w:p w:rsidR="00CD500F" w:rsidRDefault="00CD500F"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165166"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165166">
          <w:rPr>
            <w:noProof/>
          </w:rPr>
          <w:t>5</w:t>
        </w:r>
        <w:r>
          <w:fldChar w:fldCharType="end"/>
        </w:r>
      </w:p>
    </w:sdtContent>
  </w:sdt>
  <w:p w:rsidR="003318FF" w:rsidRDefault="00165166"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165166">
          <w:rPr>
            <w:noProof/>
          </w:rPr>
          <w:t>1</w:t>
        </w:r>
        <w:r>
          <w:fldChar w:fldCharType="end"/>
        </w:r>
      </w:p>
    </w:sdtContent>
  </w:sdt>
  <w:p w:rsidR="003318FF" w:rsidRDefault="001651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0F" w:rsidRDefault="00CD500F" w:rsidP="00EF2DB9">
      <w:r>
        <w:separator/>
      </w:r>
    </w:p>
  </w:footnote>
  <w:footnote w:type="continuationSeparator" w:id="0">
    <w:p w:rsidR="00CD500F" w:rsidRDefault="00CD500F"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16516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1" w:rsidRDefault="00274F61" w:rsidP="00274F61">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5</w:t>
    </w:r>
    <w:r w:rsidRPr="00095F59">
      <w:rPr>
        <w:rFonts w:ascii="Arial Narrow" w:hAnsi="Arial Narrow" w:cs="Arial"/>
        <w:bCs/>
        <w:i/>
        <w:iCs/>
        <w:lang w:eastAsia="es-MX"/>
      </w:rPr>
      <w:t>-201</w:t>
    </w:r>
    <w:r>
      <w:rPr>
        <w:rFonts w:ascii="Arial Narrow" w:hAnsi="Arial Narrow" w:cs="Arial"/>
        <w:bCs/>
        <w:i/>
        <w:iCs/>
        <w:lang w:eastAsia="es-MX"/>
      </w:rPr>
      <w:t>5-00564</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274F61" w:rsidRPr="00EF2DB9" w:rsidRDefault="00274F61" w:rsidP="00274F61">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María del Pilar Galvis </w:t>
    </w:r>
    <w:r>
      <w:rPr>
        <w:rFonts w:ascii="Arial Narrow" w:hAnsi="Arial Narrow"/>
        <w:i/>
      </w:rPr>
      <w:t>vs Instituto Geográfico Agustín Codazzi.</w:t>
    </w:r>
  </w:p>
  <w:p w:rsidR="00706D8C" w:rsidRPr="00121DE2" w:rsidRDefault="00165166" w:rsidP="00121D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F450A2">
      <w:rPr>
        <w:rFonts w:ascii="Arial Narrow" w:hAnsi="Arial Narrow" w:cs="Arial"/>
        <w:bCs/>
        <w:i/>
        <w:iCs/>
        <w:lang w:eastAsia="es-MX"/>
      </w:rPr>
      <w:t>5</w:t>
    </w:r>
    <w:r w:rsidRPr="00095F59">
      <w:rPr>
        <w:rFonts w:ascii="Arial Narrow" w:hAnsi="Arial Narrow" w:cs="Arial"/>
        <w:bCs/>
        <w:i/>
        <w:iCs/>
        <w:lang w:eastAsia="es-MX"/>
      </w:rPr>
      <w:t>-201</w:t>
    </w:r>
    <w:r>
      <w:rPr>
        <w:rFonts w:ascii="Arial Narrow" w:hAnsi="Arial Narrow" w:cs="Arial"/>
        <w:bCs/>
        <w:i/>
        <w:iCs/>
        <w:lang w:eastAsia="es-MX"/>
      </w:rPr>
      <w:t>5-00</w:t>
    </w:r>
    <w:r w:rsidR="00E77E97">
      <w:rPr>
        <w:rFonts w:ascii="Arial Narrow" w:hAnsi="Arial Narrow" w:cs="Arial"/>
        <w:bCs/>
        <w:i/>
        <w:iCs/>
        <w:lang w:eastAsia="es-MX"/>
      </w:rPr>
      <w:t>5</w:t>
    </w:r>
    <w:r w:rsidR="00B6038F">
      <w:rPr>
        <w:rFonts w:ascii="Arial Narrow" w:hAnsi="Arial Narrow" w:cs="Arial"/>
        <w:bCs/>
        <w:i/>
        <w:iCs/>
        <w:lang w:eastAsia="es-MX"/>
      </w:rPr>
      <w:t>64</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B6038F"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María del Pilar Galvis</w:t>
    </w:r>
    <w:r w:rsidR="00EF2DB9">
      <w:rPr>
        <w:rFonts w:ascii="Arial Narrow" w:hAnsi="Arial Narrow" w:cs="Arial"/>
        <w:bCs/>
        <w:i/>
        <w:iCs/>
        <w:lang w:eastAsia="es-MX"/>
      </w:rPr>
      <w:t xml:space="preserve"> </w:t>
    </w:r>
    <w:r w:rsidR="00094D1A">
      <w:rPr>
        <w:rFonts w:ascii="Arial Narrow" w:hAnsi="Arial Narrow"/>
        <w:i/>
      </w:rPr>
      <w:t xml:space="preserve">vs </w:t>
    </w:r>
    <w:r>
      <w:rPr>
        <w:rFonts w:ascii="Arial Narrow" w:hAnsi="Arial Narrow"/>
        <w:i/>
      </w:rPr>
      <w:t>Instituto Geográfico Agustín Codazzi</w:t>
    </w:r>
    <w:r w:rsidR="00E77E97">
      <w:rPr>
        <w:rFonts w:ascii="Arial Narrow" w:hAnsi="Arial Narrow"/>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34D62"/>
    <w:rsid w:val="00051539"/>
    <w:rsid w:val="0007343D"/>
    <w:rsid w:val="000806AE"/>
    <w:rsid w:val="00094D1A"/>
    <w:rsid w:val="00096CD4"/>
    <w:rsid w:val="000A366F"/>
    <w:rsid w:val="000C217D"/>
    <w:rsid w:val="000E7F42"/>
    <w:rsid w:val="000F6CA5"/>
    <w:rsid w:val="00107A23"/>
    <w:rsid w:val="00114C5D"/>
    <w:rsid w:val="00121DE2"/>
    <w:rsid w:val="00161FA5"/>
    <w:rsid w:val="00165166"/>
    <w:rsid w:val="00172834"/>
    <w:rsid w:val="00181388"/>
    <w:rsid w:val="001846CD"/>
    <w:rsid w:val="00195F57"/>
    <w:rsid w:val="001B1244"/>
    <w:rsid w:val="001B7B2B"/>
    <w:rsid w:val="001D5943"/>
    <w:rsid w:val="001F4796"/>
    <w:rsid w:val="00205D4E"/>
    <w:rsid w:val="00210B27"/>
    <w:rsid w:val="00211384"/>
    <w:rsid w:val="00242152"/>
    <w:rsid w:val="0025420E"/>
    <w:rsid w:val="00257042"/>
    <w:rsid w:val="002708F8"/>
    <w:rsid w:val="00274E22"/>
    <w:rsid w:val="00274F61"/>
    <w:rsid w:val="002A2BDD"/>
    <w:rsid w:val="002B69F7"/>
    <w:rsid w:val="002C2326"/>
    <w:rsid w:val="00301BC5"/>
    <w:rsid w:val="00312A1B"/>
    <w:rsid w:val="00315BBC"/>
    <w:rsid w:val="003250C2"/>
    <w:rsid w:val="003676D2"/>
    <w:rsid w:val="003827EE"/>
    <w:rsid w:val="003C4DC9"/>
    <w:rsid w:val="004151EF"/>
    <w:rsid w:val="00426F72"/>
    <w:rsid w:val="00483E33"/>
    <w:rsid w:val="004A48A9"/>
    <w:rsid w:val="004C3CF0"/>
    <w:rsid w:val="004C43B9"/>
    <w:rsid w:val="004D01C5"/>
    <w:rsid w:val="004F4B24"/>
    <w:rsid w:val="0050739C"/>
    <w:rsid w:val="00515BDC"/>
    <w:rsid w:val="0054131E"/>
    <w:rsid w:val="00542BCB"/>
    <w:rsid w:val="00556A22"/>
    <w:rsid w:val="00562DFA"/>
    <w:rsid w:val="00563496"/>
    <w:rsid w:val="0058546D"/>
    <w:rsid w:val="00597689"/>
    <w:rsid w:val="005B19CF"/>
    <w:rsid w:val="005B5408"/>
    <w:rsid w:val="005C4C63"/>
    <w:rsid w:val="005D48E3"/>
    <w:rsid w:val="005E05E9"/>
    <w:rsid w:val="005F5E82"/>
    <w:rsid w:val="00601243"/>
    <w:rsid w:val="006052E8"/>
    <w:rsid w:val="00606A5A"/>
    <w:rsid w:val="006135E9"/>
    <w:rsid w:val="006226B6"/>
    <w:rsid w:val="00662BBF"/>
    <w:rsid w:val="0067518A"/>
    <w:rsid w:val="00677EA6"/>
    <w:rsid w:val="00684A67"/>
    <w:rsid w:val="00697F4A"/>
    <w:rsid w:val="006A5917"/>
    <w:rsid w:val="006E6C05"/>
    <w:rsid w:val="006E7812"/>
    <w:rsid w:val="006F2FF3"/>
    <w:rsid w:val="006F5D16"/>
    <w:rsid w:val="0074785B"/>
    <w:rsid w:val="00763B52"/>
    <w:rsid w:val="007A05D5"/>
    <w:rsid w:val="007B5499"/>
    <w:rsid w:val="007C11D0"/>
    <w:rsid w:val="007E245C"/>
    <w:rsid w:val="00801EA7"/>
    <w:rsid w:val="008730BC"/>
    <w:rsid w:val="00890536"/>
    <w:rsid w:val="008B3744"/>
    <w:rsid w:val="008C413A"/>
    <w:rsid w:val="008F003B"/>
    <w:rsid w:val="008F4206"/>
    <w:rsid w:val="00904726"/>
    <w:rsid w:val="00907A5F"/>
    <w:rsid w:val="00910D9F"/>
    <w:rsid w:val="009121FD"/>
    <w:rsid w:val="009250B7"/>
    <w:rsid w:val="009954D7"/>
    <w:rsid w:val="009B79E4"/>
    <w:rsid w:val="009C77F3"/>
    <w:rsid w:val="00A117FB"/>
    <w:rsid w:val="00A23CFA"/>
    <w:rsid w:val="00A63CEE"/>
    <w:rsid w:val="00A83C94"/>
    <w:rsid w:val="00A94EC4"/>
    <w:rsid w:val="00AA18C3"/>
    <w:rsid w:val="00AB3F8F"/>
    <w:rsid w:val="00AB6FA6"/>
    <w:rsid w:val="00AD113A"/>
    <w:rsid w:val="00AD1743"/>
    <w:rsid w:val="00AD2815"/>
    <w:rsid w:val="00AF6191"/>
    <w:rsid w:val="00AF7E3D"/>
    <w:rsid w:val="00B03830"/>
    <w:rsid w:val="00B56E76"/>
    <w:rsid w:val="00B6038F"/>
    <w:rsid w:val="00B76B80"/>
    <w:rsid w:val="00B81DE5"/>
    <w:rsid w:val="00B943CA"/>
    <w:rsid w:val="00BC1F3C"/>
    <w:rsid w:val="00BC6097"/>
    <w:rsid w:val="00C312EE"/>
    <w:rsid w:val="00C32B09"/>
    <w:rsid w:val="00C33999"/>
    <w:rsid w:val="00CA4D07"/>
    <w:rsid w:val="00CC7FF3"/>
    <w:rsid w:val="00CD500F"/>
    <w:rsid w:val="00CF150C"/>
    <w:rsid w:val="00CF576A"/>
    <w:rsid w:val="00D13E8E"/>
    <w:rsid w:val="00D62ECF"/>
    <w:rsid w:val="00DB0105"/>
    <w:rsid w:val="00DB6BF3"/>
    <w:rsid w:val="00DC29C8"/>
    <w:rsid w:val="00DD36B5"/>
    <w:rsid w:val="00DF2E4F"/>
    <w:rsid w:val="00DF30A5"/>
    <w:rsid w:val="00E01EB2"/>
    <w:rsid w:val="00E27B52"/>
    <w:rsid w:val="00E34FC3"/>
    <w:rsid w:val="00E77E97"/>
    <w:rsid w:val="00E8795B"/>
    <w:rsid w:val="00EA2928"/>
    <w:rsid w:val="00EA6F5D"/>
    <w:rsid w:val="00ED1490"/>
    <w:rsid w:val="00EF2313"/>
    <w:rsid w:val="00EF2DB9"/>
    <w:rsid w:val="00F404A0"/>
    <w:rsid w:val="00F450A2"/>
    <w:rsid w:val="00F50C95"/>
    <w:rsid w:val="00F51301"/>
    <w:rsid w:val="00F57992"/>
    <w:rsid w:val="00F65645"/>
    <w:rsid w:val="00FA3C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1315</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14</cp:revision>
  <cp:lastPrinted>2016-01-20T12:32:00Z</cp:lastPrinted>
  <dcterms:created xsi:type="dcterms:W3CDTF">2016-01-18T14:53:00Z</dcterms:created>
  <dcterms:modified xsi:type="dcterms:W3CDTF">2016-08-01T20:34:00Z</dcterms:modified>
</cp:coreProperties>
</file>