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54" w:rsidRPr="008E038A" w:rsidRDefault="001E1554" w:rsidP="008E038A">
      <w:pPr>
        <w:jc w:val="both"/>
        <w:rPr>
          <w:rFonts w:ascii="Arial" w:hAnsi="Arial" w:cs="Arial"/>
          <w:iCs/>
          <w:sz w:val="19"/>
          <w:szCs w:val="19"/>
        </w:rPr>
      </w:pPr>
      <w:r w:rsidRPr="008E038A">
        <w:rPr>
          <w:rFonts w:ascii="Arial" w:hAnsi="Arial" w:cs="Arial"/>
          <w:iCs/>
          <w:sz w:val="19"/>
          <w:szCs w:val="19"/>
        </w:rPr>
        <w:t>CARENCIA ACTUAL DE OBJETO/ Superación del hecho que ten</w:t>
      </w:r>
      <w:r w:rsidR="008E038A" w:rsidRPr="008E038A">
        <w:rPr>
          <w:rFonts w:ascii="Arial" w:hAnsi="Arial" w:cs="Arial"/>
          <w:iCs/>
          <w:sz w:val="19"/>
          <w:szCs w:val="19"/>
        </w:rPr>
        <w:t>ía en vilo las garantías fund</w:t>
      </w:r>
      <w:r w:rsidRPr="008E038A">
        <w:rPr>
          <w:rFonts w:ascii="Arial" w:hAnsi="Arial" w:cs="Arial"/>
          <w:iCs/>
          <w:sz w:val="19"/>
          <w:szCs w:val="19"/>
        </w:rPr>
        <w:t>amentales</w:t>
      </w:r>
    </w:p>
    <w:p w:rsidR="001E1554" w:rsidRPr="008E038A" w:rsidRDefault="001E1554" w:rsidP="008E038A">
      <w:pPr>
        <w:jc w:val="both"/>
        <w:rPr>
          <w:rFonts w:ascii="Arial" w:hAnsi="Arial" w:cs="Arial"/>
          <w:iCs/>
          <w:sz w:val="19"/>
          <w:szCs w:val="19"/>
        </w:rPr>
      </w:pPr>
    </w:p>
    <w:p w:rsidR="001E1554" w:rsidRPr="008E038A" w:rsidRDefault="001E1554" w:rsidP="008E038A">
      <w:pPr>
        <w:jc w:val="both"/>
        <w:rPr>
          <w:rFonts w:ascii="Arial" w:hAnsi="Arial" w:cs="Arial"/>
          <w:iCs/>
          <w:sz w:val="19"/>
          <w:szCs w:val="19"/>
        </w:rPr>
      </w:pPr>
      <w:r w:rsidRPr="008E038A">
        <w:rPr>
          <w:rFonts w:ascii="Arial" w:hAnsi="Arial" w:cs="Arial"/>
          <w:iCs/>
          <w:sz w:val="19"/>
          <w:szCs w:val="19"/>
        </w:rPr>
        <w:t>“(…)</w:t>
      </w:r>
      <w:r w:rsidRPr="008E038A">
        <w:rPr>
          <w:rFonts w:ascii="Arial" w:hAnsi="Arial" w:cs="Arial"/>
          <w:iCs/>
          <w:sz w:val="19"/>
          <w:szCs w:val="19"/>
        </w:rPr>
        <w:t xml:space="preserve"> se tiene que la Policía Nacional al dar respuesta a la acción de tutela por medio de la Teniente Coronel Sandra Julieta Montañez Rubiano, afirmó y demostró el pago de las mesadas adeudadas a la accionante, entre los meses de junio y diciembre de 2015.</w:t>
      </w:r>
      <w:r w:rsidRPr="008E038A">
        <w:rPr>
          <w:rFonts w:ascii="Arial" w:hAnsi="Arial" w:cs="Arial"/>
          <w:iCs/>
          <w:sz w:val="19"/>
          <w:szCs w:val="19"/>
        </w:rPr>
        <w:t>”</w:t>
      </w:r>
    </w:p>
    <w:p w:rsidR="001E1554" w:rsidRPr="008E038A" w:rsidRDefault="001E1554" w:rsidP="008E038A">
      <w:pPr>
        <w:jc w:val="both"/>
        <w:rPr>
          <w:rFonts w:ascii="Arial" w:hAnsi="Arial" w:cs="Arial"/>
          <w:iCs/>
          <w:sz w:val="19"/>
          <w:szCs w:val="19"/>
        </w:rPr>
      </w:pPr>
    </w:p>
    <w:p w:rsidR="004F3DE2" w:rsidRPr="008E038A" w:rsidRDefault="004F3DE2" w:rsidP="008E038A">
      <w:pPr>
        <w:jc w:val="both"/>
        <w:rPr>
          <w:rFonts w:ascii="Arial" w:hAnsi="Arial" w:cs="Arial"/>
          <w:i/>
          <w:iCs/>
          <w:sz w:val="17"/>
          <w:szCs w:val="17"/>
        </w:rPr>
      </w:pPr>
      <w:r w:rsidRPr="008E038A">
        <w:rPr>
          <w:rFonts w:ascii="Arial" w:hAnsi="Arial" w:cs="Arial"/>
          <w:iCs/>
          <w:sz w:val="17"/>
          <w:szCs w:val="17"/>
        </w:rPr>
        <w:t xml:space="preserve">Cita: </w:t>
      </w:r>
      <w:r w:rsidRPr="008E038A">
        <w:rPr>
          <w:rFonts w:ascii="Arial" w:hAnsi="Arial" w:cs="Arial"/>
          <w:iCs/>
          <w:sz w:val="17"/>
          <w:szCs w:val="17"/>
        </w:rPr>
        <w:t>Corte Constitucional</w:t>
      </w:r>
      <w:r w:rsidR="001E1554" w:rsidRPr="008E038A">
        <w:rPr>
          <w:rFonts w:ascii="Arial" w:hAnsi="Arial" w:cs="Arial"/>
          <w:i/>
          <w:iCs/>
          <w:sz w:val="17"/>
          <w:szCs w:val="17"/>
        </w:rPr>
        <w:t>, s</w:t>
      </w:r>
      <w:r w:rsidRPr="008E038A">
        <w:rPr>
          <w:rFonts w:ascii="Arial" w:hAnsi="Arial" w:cs="Arial"/>
          <w:color w:val="2D2D2D"/>
          <w:sz w:val="17"/>
          <w:szCs w:val="17"/>
          <w:shd w:val="clear" w:color="auto" w:fill="FFFFFF"/>
        </w:rPr>
        <w:t>entencia T-308 de 2003</w:t>
      </w:r>
      <w:r w:rsidR="001E1554" w:rsidRPr="008E038A">
        <w:rPr>
          <w:rFonts w:ascii="Arial" w:hAnsi="Arial" w:cs="Arial"/>
          <w:color w:val="2D2D2D"/>
          <w:sz w:val="17"/>
          <w:szCs w:val="17"/>
          <w:shd w:val="clear" w:color="auto" w:fill="FFFFFF"/>
        </w:rPr>
        <w:t>.</w:t>
      </w:r>
    </w:p>
    <w:p w:rsidR="004F3DE2" w:rsidRDefault="004F3DE2" w:rsidP="002F2145">
      <w:pPr>
        <w:pStyle w:val="Encabezado"/>
        <w:spacing w:line="360" w:lineRule="auto"/>
        <w:ind w:right="-7"/>
        <w:jc w:val="center"/>
        <w:rPr>
          <w:rFonts w:ascii="Arial Narrow" w:hAnsi="Arial Narrow"/>
          <w:b/>
          <w:sz w:val="28"/>
          <w:szCs w:val="28"/>
        </w:rPr>
      </w:pPr>
      <w:bookmarkStart w:id="0" w:name="_GoBack"/>
      <w:bookmarkEnd w:id="0"/>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4.25pt" o:ole="" fillcolor="window">
            <v:imagedata r:id="rId8" o:title=""/>
          </v:shape>
          <o:OLEObject Type="Embed" ProgID="PBrush" ShapeID="_x0000_i1025" DrawAspect="Content" ObjectID="_1530681553"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0053EA">
        <w:rPr>
          <w:rFonts w:ascii="Arial Narrow" w:hAnsi="Arial Narrow" w:cs="Tahoma"/>
          <w:bCs/>
          <w:sz w:val="18"/>
          <w:szCs w:val="18"/>
        </w:rPr>
        <w:t>60</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7A49F2">
        <w:rPr>
          <w:rFonts w:ascii="Arial Narrow" w:hAnsi="Arial Narrow" w:cs="Tahoma"/>
          <w:sz w:val="18"/>
          <w:szCs w:val="18"/>
        </w:rPr>
        <w:t>Luisa María Valencia Gómez</w:t>
      </w:r>
      <w:r w:rsidR="00CD4302">
        <w:rPr>
          <w:rFonts w:ascii="Arial Narrow" w:hAnsi="Arial Narrow" w:cs="Tahoma"/>
          <w:sz w:val="18"/>
          <w:szCs w:val="18"/>
        </w:rPr>
        <w:t>.</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w:t>
      </w:r>
      <w:r w:rsidR="007A49F2">
        <w:rPr>
          <w:rFonts w:ascii="Arial Narrow" w:hAnsi="Arial Narrow" w:cs="Tahoma"/>
          <w:sz w:val="18"/>
          <w:szCs w:val="18"/>
        </w:rPr>
        <w:t>Policía Nacional y Jefatura de Grupo de Pensionados de la Policía Nacional</w:t>
      </w:r>
      <w:r w:rsidR="00CD4302">
        <w:rPr>
          <w:rFonts w:ascii="Arial Narrow" w:hAnsi="Arial Narrow" w:cs="Tahoma"/>
          <w:sz w:val="18"/>
          <w:szCs w:val="18"/>
        </w:rPr>
        <w:t>.</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6F7F7F" w:rsidRDefault="002F2145" w:rsidP="006F7F7F">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6F7F7F">
        <w:rPr>
          <w:rFonts w:ascii="Arial Narrow" w:hAnsi="Arial Narrow" w:cs="Tahoma"/>
          <w:b/>
          <w:bCs/>
          <w:i/>
          <w:sz w:val="18"/>
          <w:szCs w:val="18"/>
        </w:rPr>
        <w:t xml:space="preserve">Acción de tutela. Hecho superado. </w:t>
      </w:r>
      <w:r w:rsidR="006F7F7F" w:rsidRPr="006F7F7F">
        <w:rPr>
          <w:rFonts w:ascii="Arial Narrow" w:hAnsi="Arial Narrow" w:cs="Tahoma"/>
          <w:bCs/>
          <w:i/>
          <w:sz w:val="18"/>
          <w:szCs w:val="18"/>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cesa, la acción de tutela pierde su objeto de protección, debiendo declararse improcedente.</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6F7F7F">
        <w:rPr>
          <w:rFonts w:ascii="Arial Narrow" w:hAnsi="Arial Narrow" w:cs="Tahoma"/>
          <w:sz w:val="28"/>
          <w:szCs w:val="28"/>
        </w:rPr>
        <w:t>treinta</w:t>
      </w:r>
      <w:r>
        <w:rPr>
          <w:rFonts w:ascii="Arial Narrow" w:hAnsi="Arial Narrow" w:cs="Tahoma"/>
          <w:sz w:val="28"/>
          <w:szCs w:val="28"/>
        </w:rPr>
        <w:t xml:space="preserve"> </w:t>
      </w:r>
      <w:r w:rsidRPr="00AF7EA4">
        <w:rPr>
          <w:rFonts w:ascii="Arial Narrow" w:hAnsi="Arial Narrow" w:cs="Tahoma"/>
          <w:sz w:val="28"/>
          <w:szCs w:val="28"/>
        </w:rPr>
        <w:t>(</w:t>
      </w:r>
      <w:r w:rsidR="006F7F7F">
        <w:rPr>
          <w:rFonts w:ascii="Arial Narrow" w:hAnsi="Arial Narrow" w:cs="Tahoma"/>
          <w:sz w:val="28"/>
          <w:szCs w:val="28"/>
        </w:rPr>
        <w:t>30</w:t>
      </w:r>
      <w:r w:rsidRPr="00AF7EA4">
        <w:rPr>
          <w:rFonts w:ascii="Arial Narrow" w:hAnsi="Arial Narrow" w:cs="Tahoma"/>
          <w:sz w:val="28"/>
          <w:szCs w:val="28"/>
        </w:rPr>
        <w:t xml:space="preserve">) de </w:t>
      </w:r>
      <w:r w:rsidR="006F7F7F">
        <w:rPr>
          <w:rFonts w:ascii="Arial Narrow" w:hAnsi="Arial Narrow" w:cs="Tahoma"/>
          <w:sz w:val="28"/>
          <w:szCs w:val="28"/>
        </w:rPr>
        <w:t>marzo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6F7F7F">
        <w:rPr>
          <w:rFonts w:ascii="Arial Narrow" w:hAnsi="Arial Narrow" w:cs="Tahoma"/>
          <w:sz w:val="28"/>
          <w:szCs w:val="28"/>
        </w:rPr>
        <w:t>30</w:t>
      </w:r>
      <w:r>
        <w:rPr>
          <w:rFonts w:ascii="Arial Narrow" w:hAnsi="Arial Narrow" w:cs="Tahoma"/>
          <w:sz w:val="28"/>
          <w:szCs w:val="28"/>
        </w:rPr>
        <w:t xml:space="preserve"> de </w:t>
      </w:r>
      <w:r w:rsidR="006F7F7F">
        <w:rPr>
          <w:rFonts w:ascii="Arial Narrow" w:hAnsi="Arial Narrow" w:cs="Tahoma"/>
          <w:sz w:val="28"/>
          <w:szCs w:val="28"/>
        </w:rPr>
        <w:t>marzo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7A49F2">
        <w:rPr>
          <w:rFonts w:ascii="Arial Narrow" w:hAnsi="Arial Narrow" w:cs="Tahoma"/>
          <w:sz w:val="28"/>
          <w:szCs w:val="28"/>
        </w:rPr>
        <w:t>la</w:t>
      </w:r>
      <w:r w:rsidRPr="00AF7EA4">
        <w:rPr>
          <w:rFonts w:ascii="Arial Narrow" w:hAnsi="Arial Narrow" w:cs="Tahoma"/>
          <w:sz w:val="28"/>
          <w:szCs w:val="28"/>
        </w:rPr>
        <w:t xml:space="preserve"> señor</w:t>
      </w:r>
      <w:r w:rsidR="007A49F2">
        <w:rPr>
          <w:rFonts w:ascii="Arial Narrow" w:hAnsi="Arial Narrow" w:cs="Tahoma"/>
          <w:sz w:val="28"/>
          <w:szCs w:val="28"/>
        </w:rPr>
        <w:t>a</w:t>
      </w:r>
      <w:r>
        <w:rPr>
          <w:rFonts w:ascii="Arial Narrow" w:hAnsi="Arial Narrow" w:cs="Tahoma"/>
          <w:sz w:val="28"/>
          <w:szCs w:val="28"/>
        </w:rPr>
        <w:t xml:space="preserve"> </w:t>
      </w:r>
      <w:r w:rsidR="00FE1C16">
        <w:rPr>
          <w:rFonts w:ascii="Arial Narrow" w:hAnsi="Arial Narrow" w:cs="Tahoma"/>
          <w:b/>
          <w:i/>
          <w:sz w:val="28"/>
          <w:szCs w:val="28"/>
        </w:rPr>
        <w:t xml:space="preserve">Luisa María Valencia Gómez </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Defensa Nacional, </w:t>
      </w:r>
      <w:r w:rsidR="00FE1C16">
        <w:rPr>
          <w:rFonts w:ascii="Arial Narrow" w:hAnsi="Arial Narrow" w:cs="Tahoma"/>
          <w:b/>
          <w:i/>
          <w:sz w:val="28"/>
          <w:szCs w:val="28"/>
        </w:rPr>
        <w:t>Policía Nacional y Jefatura Grupo de Pensionados de la Policía Nacional</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al</w:t>
      </w:r>
      <w:r w:rsidR="00FE1C16">
        <w:rPr>
          <w:rFonts w:ascii="Arial Narrow" w:hAnsi="Arial Narrow" w:cs="Tahoma"/>
          <w:sz w:val="28"/>
          <w:szCs w:val="28"/>
        </w:rPr>
        <w:t xml:space="preserve"> mínimo vital y</w:t>
      </w:r>
      <w:r w:rsidR="00CD4302">
        <w:rPr>
          <w:rFonts w:ascii="Arial Narrow" w:hAnsi="Arial Narrow" w:cs="Tahoma"/>
          <w:sz w:val="28"/>
          <w:szCs w:val="28"/>
        </w:rPr>
        <w:t xml:space="preserve">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FE1C16">
        <w:rPr>
          <w:rFonts w:ascii="Arial Narrow" w:hAnsi="Arial Narrow" w:cs="Tahoma"/>
          <w:sz w:val="28"/>
          <w:szCs w:val="28"/>
        </w:rPr>
        <w:t xml:space="preserve"> </w:t>
      </w:r>
      <w:r>
        <w:rPr>
          <w:rFonts w:ascii="Arial Narrow" w:hAnsi="Arial Narrow" w:cs="Tahoma"/>
          <w:sz w:val="28"/>
          <w:szCs w:val="28"/>
        </w:rPr>
        <w:t>l</w:t>
      </w:r>
      <w:r w:rsidR="00FE1C16">
        <w:rPr>
          <w:rFonts w:ascii="Arial Narrow" w:hAnsi="Arial Narrow" w:cs="Tahoma"/>
          <w:sz w:val="28"/>
          <w:szCs w:val="28"/>
        </w:rPr>
        <w:t>a</w:t>
      </w:r>
      <w:r>
        <w:rPr>
          <w:rFonts w:ascii="Arial Narrow" w:hAnsi="Arial Narrow" w:cs="Tahoma"/>
          <w:sz w:val="28"/>
          <w:szCs w:val="28"/>
        </w:rPr>
        <w:t xml:space="preserve"> señor</w:t>
      </w:r>
      <w:r w:rsidR="00FE1C16">
        <w:rPr>
          <w:rFonts w:ascii="Arial Narrow" w:hAnsi="Arial Narrow" w:cs="Tahoma"/>
          <w:sz w:val="28"/>
          <w:szCs w:val="28"/>
        </w:rPr>
        <w:t>a</w:t>
      </w:r>
      <w:r>
        <w:rPr>
          <w:rFonts w:ascii="Arial Narrow" w:hAnsi="Arial Narrow" w:cs="Tahoma"/>
          <w:sz w:val="28"/>
          <w:szCs w:val="28"/>
        </w:rPr>
        <w:t xml:space="preserve"> </w:t>
      </w:r>
      <w:r w:rsidR="00FE1C16">
        <w:rPr>
          <w:rFonts w:ascii="Arial Narrow" w:hAnsi="Arial Narrow" w:cs="Tahoma"/>
          <w:sz w:val="28"/>
          <w:szCs w:val="28"/>
        </w:rPr>
        <w:t>Luisa María Valencia Gómez</w:t>
      </w:r>
      <w:r>
        <w:rPr>
          <w:rFonts w:ascii="Arial Narrow" w:hAnsi="Arial Narrow" w:cs="Tahoma"/>
          <w:sz w:val="28"/>
          <w:szCs w:val="28"/>
        </w:rPr>
        <w:t>, identificad</w:t>
      </w:r>
      <w:r w:rsidR="00FE1C16">
        <w:rPr>
          <w:rFonts w:ascii="Arial Narrow" w:hAnsi="Arial Narrow" w:cs="Tahoma"/>
          <w:sz w:val="28"/>
          <w:szCs w:val="28"/>
        </w:rPr>
        <w:t>a</w:t>
      </w:r>
      <w:r>
        <w:rPr>
          <w:rFonts w:ascii="Arial Narrow" w:hAnsi="Arial Narrow" w:cs="Tahoma"/>
          <w:sz w:val="28"/>
          <w:szCs w:val="28"/>
        </w:rPr>
        <w:t xml:space="preserve"> con c.c. No. </w:t>
      </w:r>
      <w:r w:rsidR="00FE1C16">
        <w:rPr>
          <w:rFonts w:ascii="Arial Narrow" w:hAnsi="Arial Narrow" w:cs="Tahoma"/>
          <w:sz w:val="28"/>
          <w:szCs w:val="28"/>
        </w:rPr>
        <w:t>1.087.559.514</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FE1C16"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Policía Nacional</w:t>
      </w:r>
      <w:r w:rsidR="00C500C8">
        <w:rPr>
          <w:rFonts w:ascii="Arial Narrow" w:hAnsi="Arial Narrow" w:cs="Tahoma"/>
          <w:sz w:val="28"/>
          <w:szCs w:val="28"/>
        </w:rPr>
        <w:t>, representad</w:t>
      </w:r>
      <w:r>
        <w:rPr>
          <w:rFonts w:ascii="Arial Narrow" w:hAnsi="Arial Narrow" w:cs="Tahoma"/>
          <w:sz w:val="28"/>
          <w:szCs w:val="28"/>
        </w:rPr>
        <w:t>a</w:t>
      </w:r>
      <w:r w:rsidR="00C500C8">
        <w:rPr>
          <w:rFonts w:ascii="Arial Narrow" w:hAnsi="Arial Narrow" w:cs="Tahoma"/>
          <w:sz w:val="28"/>
          <w:szCs w:val="28"/>
        </w:rPr>
        <w:t xml:space="preserve"> </w:t>
      </w:r>
      <w:r>
        <w:rPr>
          <w:rFonts w:ascii="Arial Narrow" w:hAnsi="Arial Narrow" w:cs="Tahoma"/>
          <w:sz w:val="28"/>
          <w:szCs w:val="28"/>
        </w:rPr>
        <w:t>por el Mayor General de la Policía Nacional Jorge Hernando Nieto Rojas.</w:t>
      </w:r>
    </w:p>
    <w:p w:rsidR="00FE1C16" w:rsidRDefault="00FE1C16"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Jefatura de Grupo de Pensionados</w:t>
      </w:r>
      <w:r w:rsidR="00C500C8">
        <w:rPr>
          <w:rFonts w:ascii="Arial Narrow" w:hAnsi="Arial Narrow" w:cs="Tahoma"/>
          <w:sz w:val="28"/>
          <w:szCs w:val="28"/>
        </w:rPr>
        <w:t>, representad</w:t>
      </w:r>
      <w:r>
        <w:rPr>
          <w:rFonts w:ascii="Arial Narrow" w:hAnsi="Arial Narrow" w:cs="Tahoma"/>
          <w:sz w:val="28"/>
          <w:szCs w:val="28"/>
        </w:rPr>
        <w:t>a por la Teniente Coronel Sandra Julieta Montañez Rubiano Jefe Área de Prestaciones</w:t>
      </w:r>
      <w:r w:rsidR="00C500C8">
        <w:rPr>
          <w:rFonts w:ascii="Arial Narrow" w:hAnsi="Arial Narrow" w:cs="Tahoma"/>
          <w:sz w:val="28"/>
          <w:szCs w:val="28"/>
        </w:rPr>
        <w:t xml:space="preserve"> </w:t>
      </w:r>
      <w:r>
        <w:rPr>
          <w:rFonts w:ascii="Arial Narrow" w:hAnsi="Arial Narrow" w:cs="Tahoma"/>
          <w:sz w:val="28"/>
          <w:szCs w:val="28"/>
        </w:rPr>
        <w:t>Sociales.</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7D75C6" w:rsidRDefault="00FE1C16"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la accionante que ha sido beneficiaria de un porcentaje de la pensión generada con el deceso del gendarme Ferney Valencia Tobón, que al cumplir la mayoría de edad se le suspendió ese beneficio al no encontrarse estudiando, que el 08 de septiembre de 2015 envió derecho de petición a la Secretaria General de la </w:t>
      </w:r>
      <w:r w:rsidR="006B710E">
        <w:rPr>
          <w:rFonts w:ascii="Arial Narrow" w:hAnsi="Arial Narrow" w:cs="Tahoma"/>
          <w:b w:val="0"/>
          <w:szCs w:val="28"/>
        </w:rPr>
        <w:t>Policía, con el fin de que se le otorgará nuevamente el derecho a la mesada pensional, que en noviembre de 2015 recibió nuevamente respuesta al derecho de petición, indicándole que le iban a pagar la mesada pensional nuevamente en la nómina de noviembre, reconociéndole el retroactivo generado desde el mes de junio de 2015, que actualizados los datos respectivos</w:t>
      </w:r>
      <w:r w:rsidR="007D75C6">
        <w:rPr>
          <w:rFonts w:ascii="Arial Narrow" w:hAnsi="Arial Narrow" w:cs="Tahoma"/>
          <w:b w:val="0"/>
          <w:szCs w:val="28"/>
        </w:rPr>
        <w:t>, se le informó que el pago solo se haría hasta el mes de enero de este año, cuando efectivamente se pagó, pero omitiendo el pago del retroactivo.</w:t>
      </w:r>
    </w:p>
    <w:p w:rsidR="00C771A1" w:rsidRDefault="00C771A1" w:rsidP="00C771A1">
      <w:pPr>
        <w:pStyle w:val="Textoindependiente21"/>
        <w:spacing w:line="240" w:lineRule="auto"/>
        <w:ind w:firstLine="851"/>
        <w:rPr>
          <w:rFonts w:ascii="Arial Narrow" w:hAnsi="Arial Narrow" w:cs="Tahoma"/>
          <w:b w:val="0"/>
          <w:szCs w:val="28"/>
        </w:rPr>
      </w:pPr>
    </w:p>
    <w:p w:rsidR="000A361C" w:rsidRDefault="00C771A1" w:rsidP="002F2145">
      <w:pPr>
        <w:pStyle w:val="Textoindependiente21"/>
        <w:ind w:firstLine="851"/>
        <w:rPr>
          <w:rFonts w:ascii="Arial Narrow" w:hAnsi="Arial Narrow" w:cs="Tahoma"/>
          <w:b w:val="0"/>
          <w:szCs w:val="28"/>
        </w:rPr>
      </w:pPr>
      <w:r>
        <w:rPr>
          <w:rFonts w:ascii="Arial Narrow" w:hAnsi="Arial Narrow" w:cs="Tahoma"/>
          <w:b w:val="0"/>
          <w:szCs w:val="28"/>
        </w:rPr>
        <w:t xml:space="preserve">En razón de lo anterior, solicita </w:t>
      </w:r>
      <w:r w:rsidR="00104370">
        <w:rPr>
          <w:rFonts w:ascii="Arial Narrow" w:hAnsi="Arial Narrow" w:cs="Tahoma"/>
          <w:b w:val="0"/>
          <w:szCs w:val="28"/>
        </w:rPr>
        <w:t>que se tutelen los derechos fundamentales a</w:t>
      </w:r>
      <w:r w:rsidR="007D75C6">
        <w:rPr>
          <w:rFonts w:ascii="Arial Narrow" w:hAnsi="Arial Narrow" w:cs="Tahoma"/>
          <w:b w:val="0"/>
          <w:szCs w:val="28"/>
        </w:rPr>
        <w:t>l mínimo vital y a la vida digna y se ordene el pago de las mesadas</w:t>
      </w:r>
      <w:r w:rsidR="000A361C">
        <w:rPr>
          <w:rFonts w:ascii="Arial Narrow" w:hAnsi="Arial Narrow" w:cs="Tahoma"/>
          <w:b w:val="0"/>
          <w:szCs w:val="28"/>
        </w:rPr>
        <w:t>.</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7D75C6" w:rsidRDefault="007D75C6" w:rsidP="00C771A1">
      <w:pPr>
        <w:pStyle w:val="Textoindependiente21"/>
        <w:ind w:firstLine="851"/>
        <w:rPr>
          <w:rFonts w:ascii="Arial Narrow" w:hAnsi="Arial Narrow" w:cs="Tahoma"/>
          <w:b w:val="0"/>
          <w:szCs w:val="28"/>
        </w:rPr>
      </w:pPr>
      <w:r>
        <w:rPr>
          <w:rFonts w:ascii="Arial Narrow" w:hAnsi="Arial Narrow" w:cs="Tahoma"/>
          <w:b w:val="0"/>
          <w:szCs w:val="28"/>
        </w:rPr>
        <w:t>La Jefatura del Grupo de Pensionados de la Policía Nacional, por medio de la Teniente coronel Sandra Julieta Montañez Rubiano, allegó respuesta en la que indicó que los días 17 y 18 de marzo de este año había girado la suma de $1.274.053,96, correspondiente al retroactivo a la cuenta de ahorros de la cual es titular la accionante y por medio de correo electrónico, le comunicó esta circunstancia. Por tal motivo depreca que se declare un hecho superado.</w:t>
      </w:r>
    </w:p>
    <w:p w:rsidR="007D75C6" w:rsidRDefault="007D75C6" w:rsidP="00C771A1">
      <w:pPr>
        <w:pStyle w:val="Textoindependiente21"/>
        <w:ind w:firstLine="851"/>
        <w:rPr>
          <w:rFonts w:ascii="Arial Narrow" w:hAnsi="Arial Narrow" w:cs="Tahoma"/>
          <w:b w:val="0"/>
          <w:szCs w:val="28"/>
        </w:rPr>
      </w:pPr>
    </w:p>
    <w:p w:rsidR="000A361C" w:rsidRDefault="000A361C" w:rsidP="00C771A1">
      <w:pPr>
        <w:pStyle w:val="Textoindependiente21"/>
        <w:ind w:firstLine="851"/>
        <w:rPr>
          <w:rFonts w:ascii="Arial Narrow" w:hAnsi="Arial Narrow" w:cs="Tahoma"/>
          <w:b w:val="0"/>
          <w:szCs w:val="28"/>
        </w:rPr>
      </w:pPr>
      <w:r>
        <w:rPr>
          <w:rFonts w:ascii="Arial Narrow" w:hAnsi="Arial Narrow" w:cs="Tahoma"/>
          <w:b w:val="0"/>
          <w:szCs w:val="28"/>
        </w:rPr>
        <w:t>Los restantes accionados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7D75C6">
        <w:rPr>
          <w:rFonts w:ascii="Arial Narrow" w:hAnsi="Arial Narrow" w:cs="Tahoma"/>
          <w:bCs/>
          <w:i/>
          <w:color w:val="000000"/>
          <w:spacing w:val="-2"/>
          <w:sz w:val="28"/>
          <w:szCs w:val="28"/>
        </w:rPr>
        <w:t>Se configura un hecho superado frente a la amenaza de los derechos fundamentales de la 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CB275F" w:rsidRDefault="00957CA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acción de tutela</w:t>
      </w:r>
      <w:r w:rsidR="00CB275F">
        <w:rPr>
          <w:rFonts w:ascii="Arial Narrow" w:hAnsi="Arial Narrow" w:cs="Arial"/>
          <w:iCs/>
          <w:sz w:val="28"/>
          <w:szCs w:val="28"/>
        </w:rPr>
        <w:t>, contenida en el artículo 86 de la Carta Política,</w:t>
      </w:r>
      <w:r>
        <w:rPr>
          <w:rFonts w:ascii="Arial Narrow" w:hAnsi="Arial Narrow" w:cs="Arial"/>
          <w:iCs/>
          <w:sz w:val="28"/>
          <w:szCs w:val="28"/>
        </w:rPr>
        <w:t xml:space="preserve"> tiene como objeto la protección</w:t>
      </w:r>
      <w:r w:rsidR="00CB275F">
        <w:rPr>
          <w:rFonts w:ascii="Arial Narrow" w:hAnsi="Arial Narrow" w:cs="Arial"/>
          <w:iCs/>
          <w:sz w:val="28"/>
          <w:szCs w:val="28"/>
        </w:rPr>
        <w:t xml:space="preserve"> pronta y eficaz </w:t>
      </w:r>
      <w:r>
        <w:rPr>
          <w:rFonts w:ascii="Arial Narrow" w:hAnsi="Arial Narrow" w:cs="Arial"/>
          <w:iCs/>
          <w:sz w:val="28"/>
          <w:szCs w:val="28"/>
        </w:rPr>
        <w:t>de los derechos fundamentales, cuando quiera que estos se vean afectados o conculcados</w:t>
      </w:r>
      <w:r w:rsidR="00CB275F">
        <w:rPr>
          <w:rFonts w:ascii="Arial Narrow" w:hAnsi="Arial Narrow" w:cs="Arial"/>
          <w:iCs/>
          <w:sz w:val="28"/>
          <w:szCs w:val="28"/>
        </w:rPr>
        <w:t xml:space="preserve">, dotando al Juez de las herramientas necesarias para tomar todas las medidas pertinentes para salvaguardarlos.  </w:t>
      </w:r>
    </w:p>
    <w:p w:rsidR="00CB275F" w:rsidRDefault="00CB275F" w:rsidP="002F2145">
      <w:pPr>
        <w:spacing w:line="360" w:lineRule="auto"/>
        <w:ind w:firstLine="993"/>
        <w:jc w:val="both"/>
        <w:rPr>
          <w:rFonts w:ascii="Arial Narrow" w:hAnsi="Arial Narrow" w:cs="Arial"/>
          <w:iCs/>
          <w:sz w:val="28"/>
          <w:szCs w:val="28"/>
        </w:rPr>
      </w:pPr>
    </w:p>
    <w:p w:rsidR="00CB275F" w:rsidRDefault="00CB275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CB275F" w:rsidRDefault="00CB275F" w:rsidP="002F2145">
      <w:pPr>
        <w:spacing w:line="360" w:lineRule="auto"/>
        <w:ind w:firstLine="993"/>
        <w:jc w:val="both"/>
        <w:rPr>
          <w:rFonts w:ascii="Arial Narrow" w:hAnsi="Arial Narrow" w:cs="Arial"/>
          <w:iCs/>
          <w:sz w:val="28"/>
          <w:szCs w:val="28"/>
        </w:rPr>
      </w:pP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CB275F" w:rsidRPr="00CB275F" w:rsidRDefault="00CB275F" w:rsidP="00CB275F">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CB275F" w:rsidRDefault="00CB275F" w:rsidP="002F2145">
      <w:pPr>
        <w:spacing w:line="360" w:lineRule="auto"/>
        <w:ind w:firstLine="993"/>
        <w:jc w:val="both"/>
        <w:rPr>
          <w:rFonts w:ascii="Arial Narrow" w:hAnsi="Arial Narrow" w:cs="Arial"/>
          <w:iCs/>
          <w:sz w:val="28"/>
          <w:szCs w:val="28"/>
        </w:rPr>
      </w:pPr>
    </w:p>
    <w:p w:rsidR="00FA52EE" w:rsidRDefault="00CB275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el presente caso, se tiene que la Policía Nacional</w:t>
      </w:r>
      <w:r w:rsidR="00024C17">
        <w:rPr>
          <w:rFonts w:ascii="Arial Narrow" w:hAnsi="Arial Narrow" w:cs="Arial"/>
          <w:iCs/>
          <w:sz w:val="28"/>
          <w:szCs w:val="28"/>
        </w:rPr>
        <w:t xml:space="preserve"> al dar respuesta a la acción de tutela por medio de la</w:t>
      </w:r>
      <w:r w:rsidR="00FA52EE">
        <w:rPr>
          <w:rFonts w:ascii="Arial Narrow" w:hAnsi="Arial Narrow" w:cs="Arial"/>
          <w:iCs/>
          <w:sz w:val="28"/>
          <w:szCs w:val="28"/>
        </w:rPr>
        <w:t xml:space="preserve"> Teniente Coronel Sandra Julieta Montañez Rubiano, afirmó y demostró el pago de las mesadas adeudadas a la accionante, entre los meses de junio y diciembre de 2015.</w:t>
      </w:r>
    </w:p>
    <w:p w:rsidR="00FA52EE" w:rsidRDefault="00FA52EE" w:rsidP="002F2145">
      <w:pPr>
        <w:spacing w:line="360" w:lineRule="auto"/>
        <w:ind w:firstLine="993"/>
        <w:jc w:val="both"/>
        <w:rPr>
          <w:rFonts w:ascii="Arial Narrow" w:hAnsi="Arial Narrow" w:cs="Arial"/>
          <w:iCs/>
          <w:sz w:val="28"/>
          <w:szCs w:val="28"/>
        </w:rPr>
      </w:pPr>
    </w:p>
    <w:p w:rsidR="00FA52EE" w:rsidRDefault="00FA52E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Con esta actuación se superó cualquier afectación del derecho al mínimo vital y a la vida digna, los cuales estaban siendo afectados, según lo relat</w:t>
      </w:r>
      <w:r w:rsidR="006F7F7F">
        <w:rPr>
          <w:rFonts w:ascii="Arial Narrow" w:hAnsi="Arial Narrow" w:cs="Arial"/>
          <w:iCs/>
          <w:sz w:val="28"/>
          <w:szCs w:val="28"/>
        </w:rPr>
        <w:t>ó</w:t>
      </w:r>
      <w:r>
        <w:rPr>
          <w:rFonts w:ascii="Arial Narrow" w:hAnsi="Arial Narrow" w:cs="Arial"/>
          <w:iCs/>
          <w:sz w:val="28"/>
          <w:szCs w:val="28"/>
        </w:rPr>
        <w:t xml:space="preserve"> la accionante, por el no pago del retroactivo</w:t>
      </w:r>
      <w:r w:rsidR="006F7F7F">
        <w:rPr>
          <w:rFonts w:ascii="Arial Narrow" w:hAnsi="Arial Narrow" w:cs="Arial"/>
          <w:iCs/>
          <w:sz w:val="28"/>
          <w:szCs w:val="28"/>
        </w:rPr>
        <w:t>.</w:t>
      </w:r>
    </w:p>
    <w:p w:rsidR="00FA52EE" w:rsidRDefault="00FA52EE" w:rsidP="002F2145">
      <w:pPr>
        <w:spacing w:line="360" w:lineRule="auto"/>
        <w:ind w:firstLine="993"/>
        <w:jc w:val="both"/>
        <w:rPr>
          <w:rFonts w:ascii="Arial Narrow" w:hAnsi="Arial Narrow" w:cs="Arial"/>
          <w:iCs/>
          <w:sz w:val="28"/>
          <w:szCs w:val="28"/>
        </w:rPr>
      </w:pPr>
    </w:p>
    <w:p w:rsidR="006F7F7F" w:rsidRDefault="00FA52E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lo tanto, </w:t>
      </w:r>
      <w:r w:rsidR="006F7F7F">
        <w:rPr>
          <w:rFonts w:ascii="Arial Narrow" w:hAnsi="Arial Narrow" w:cs="Arial"/>
          <w:iCs/>
          <w:sz w:val="28"/>
          <w:szCs w:val="28"/>
        </w:rPr>
        <w:t>se deberá declarar el hecho superado y, en consecuencia, negar el amparo de tutela deprecado.</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6F7F7F" w:rsidRDefault="002F2145" w:rsidP="002F2145">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6F7F7F">
        <w:rPr>
          <w:rFonts w:ascii="Arial Narrow" w:hAnsi="Arial Narrow" w:cs="Arial"/>
          <w:b/>
          <w:color w:val="000000"/>
          <w:spacing w:val="-2"/>
          <w:sz w:val="28"/>
          <w:szCs w:val="28"/>
        </w:rPr>
        <w:t>Negar</w:t>
      </w:r>
      <w:r w:rsidR="006F7F7F">
        <w:rPr>
          <w:rFonts w:ascii="Arial Narrow" w:eastAsia="SimSun" w:hAnsi="Arial Narrow" w:cs="Arial"/>
          <w:b/>
          <w:i/>
          <w:sz w:val="28"/>
          <w:szCs w:val="28"/>
        </w:rPr>
        <w:t xml:space="preserve"> </w:t>
      </w:r>
      <w:r w:rsidR="006F7F7F">
        <w:rPr>
          <w:rFonts w:ascii="Arial Narrow" w:eastAsia="SimSun" w:hAnsi="Arial Narrow" w:cs="Arial"/>
          <w:sz w:val="28"/>
          <w:szCs w:val="28"/>
        </w:rPr>
        <w:t>la acción de tutela impetrada por la señora Luisa María Valencia Gómez, por haberse configurado un hecho superado.</w:t>
      </w:r>
    </w:p>
    <w:p w:rsidR="00BD3863" w:rsidRPr="00BD3863" w:rsidRDefault="00BD3863" w:rsidP="002F2145">
      <w:pPr>
        <w:ind w:firstLine="900"/>
        <w:jc w:val="both"/>
        <w:rPr>
          <w:rFonts w:ascii="Arial Narrow" w:hAnsi="Arial Narrow" w:cs="Arial"/>
          <w:b/>
          <w:sz w:val="28"/>
          <w:szCs w:val="28"/>
        </w:rPr>
      </w:pPr>
    </w:p>
    <w:p w:rsidR="002F2145" w:rsidRPr="00AF7EA4" w:rsidRDefault="006F7F7F"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2</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6F7F7F"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Default="002F2145" w:rsidP="002F2145">
      <w:pPr>
        <w:tabs>
          <w:tab w:val="left" w:pos="-720"/>
        </w:tabs>
        <w:suppressAutoHyphens/>
        <w:ind w:right="-7"/>
        <w:jc w:val="both"/>
        <w:rPr>
          <w:rFonts w:ascii="Arial Narrow" w:hAnsi="Arial Narrow" w:cs="Tahoma"/>
          <w:color w:val="000000"/>
          <w:spacing w:val="-2"/>
          <w:sz w:val="28"/>
          <w:szCs w:val="28"/>
        </w:rPr>
      </w:pPr>
    </w:p>
    <w:p w:rsidR="006F7F7F" w:rsidRDefault="006F7F7F" w:rsidP="002F2145">
      <w:pPr>
        <w:tabs>
          <w:tab w:val="left" w:pos="-720"/>
        </w:tabs>
        <w:suppressAutoHyphens/>
        <w:ind w:right="-7"/>
        <w:jc w:val="both"/>
        <w:rPr>
          <w:rFonts w:ascii="Arial Narrow" w:hAnsi="Arial Narrow" w:cs="Tahoma"/>
          <w:color w:val="000000"/>
          <w:spacing w:val="-2"/>
          <w:sz w:val="28"/>
          <w:szCs w:val="28"/>
        </w:rPr>
      </w:pPr>
    </w:p>
    <w:p w:rsidR="006F7F7F" w:rsidRPr="00AF7EA4" w:rsidRDefault="006F7F7F"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spacing w:line="360" w:lineRule="auto"/>
        <w:jc w:val="center"/>
        <w:rPr>
          <w:rFonts w:ascii="Arial Narrow" w:hAnsi="Arial Narrow" w:cs="Tahoma"/>
          <w:b/>
          <w:bCs/>
          <w:i/>
          <w:iCs/>
          <w:sz w:val="28"/>
          <w:szCs w:val="28"/>
        </w:rPr>
      </w:pP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BD3863" w:rsidP="002F2145">
      <w:pPr>
        <w:jc w:val="center"/>
        <w:rPr>
          <w:rFonts w:ascii="Arial Narrow" w:hAnsi="Arial Narrow" w:cs="Tahoma"/>
          <w:b/>
          <w:bCs/>
          <w:iCs/>
          <w:sz w:val="28"/>
          <w:szCs w:val="28"/>
        </w:rPr>
      </w:pPr>
      <w:r>
        <w:rPr>
          <w:rFonts w:ascii="Arial Narrow" w:hAnsi="Arial Narrow" w:cs="Tahoma"/>
          <w:b/>
          <w:bCs/>
          <w:iCs/>
          <w:sz w:val="28"/>
          <w:szCs w:val="28"/>
        </w:rPr>
        <w:t>Leonardo Cortes Pérez</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AB" w:rsidRDefault="009122AB" w:rsidP="002F2145">
      <w:r>
        <w:separator/>
      </w:r>
    </w:p>
  </w:endnote>
  <w:endnote w:type="continuationSeparator" w:id="0">
    <w:p w:rsidR="009122AB" w:rsidRDefault="009122AB"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9122AB"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9122AB"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9122AB">
      <w:rPr>
        <w:noProof/>
      </w:rPr>
      <w:t>1</w:t>
    </w:r>
    <w:r>
      <w:fldChar w:fldCharType="end"/>
    </w:r>
  </w:p>
  <w:p w:rsidR="00CD2D16" w:rsidRDefault="009122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AB" w:rsidRDefault="009122AB" w:rsidP="002F2145">
      <w:r>
        <w:separator/>
      </w:r>
    </w:p>
  </w:footnote>
  <w:footnote w:type="continuationSeparator" w:id="0">
    <w:p w:rsidR="009122AB" w:rsidRDefault="009122AB" w:rsidP="002F2145">
      <w:r>
        <w:continuationSeparator/>
      </w:r>
    </w:p>
  </w:footnote>
  <w:footnote w:id="1">
    <w:p w:rsidR="00CB275F" w:rsidRDefault="00CB275F">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9122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E" w:rsidRPr="002F2145" w:rsidRDefault="005A239E" w:rsidP="005A239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024</w:t>
    </w:r>
    <w:r w:rsidRPr="002F2145">
      <w:rPr>
        <w:rFonts w:ascii="Arial Narrow" w:hAnsi="Arial Narrow" w:cs="Arial"/>
        <w:bCs/>
        <w:iCs/>
        <w:lang w:eastAsia="es-MX"/>
      </w:rPr>
      <w:t>-00</w:t>
    </w:r>
    <w:r w:rsidRPr="002F2145">
      <w:rPr>
        <w:rFonts w:ascii="Arial Narrow" w:hAnsi="Arial Narrow" w:cs="Arial"/>
        <w:bCs/>
        <w:iCs/>
        <w:lang w:eastAsia="es-MX"/>
      </w:rPr>
      <w:tab/>
    </w:r>
  </w:p>
  <w:p w:rsidR="005A239E" w:rsidRPr="002F2145" w:rsidRDefault="005A239E" w:rsidP="005A239E">
    <w:pPr>
      <w:rPr>
        <w:rFonts w:ascii="Arial Narrow" w:hAnsi="Arial Narrow"/>
      </w:rPr>
    </w:pPr>
    <w:r>
      <w:rPr>
        <w:rFonts w:ascii="Arial Narrow" w:hAnsi="Arial Narrow"/>
      </w:rPr>
      <w:t>Oscar Santiago Sánchez vs. Ministerio de Defensa Nacional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0053EA">
      <w:rPr>
        <w:rFonts w:ascii="Arial Narrow" w:hAnsi="Arial Narrow" w:cs="Arial"/>
        <w:bCs/>
        <w:iCs/>
        <w:lang w:eastAsia="es-MX"/>
      </w:rPr>
      <w:t>60</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0053EA" w:rsidP="008F2146">
    <w:pPr>
      <w:rPr>
        <w:rFonts w:ascii="Arial Narrow" w:hAnsi="Arial Narrow"/>
      </w:rPr>
    </w:pPr>
    <w:r>
      <w:rPr>
        <w:rFonts w:ascii="Arial Narrow" w:hAnsi="Arial Narrow"/>
      </w:rPr>
      <w:t>Luisa María Valencia Gómez</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053EA"/>
    <w:rsid w:val="00024C17"/>
    <w:rsid w:val="0004677C"/>
    <w:rsid w:val="00076475"/>
    <w:rsid w:val="000A361C"/>
    <w:rsid w:val="000E5245"/>
    <w:rsid w:val="00104370"/>
    <w:rsid w:val="00125594"/>
    <w:rsid w:val="00140F9F"/>
    <w:rsid w:val="001549EF"/>
    <w:rsid w:val="00157112"/>
    <w:rsid w:val="00197403"/>
    <w:rsid w:val="001B5C33"/>
    <w:rsid w:val="001C5609"/>
    <w:rsid w:val="001E1554"/>
    <w:rsid w:val="001F6FDB"/>
    <w:rsid w:val="00242C4F"/>
    <w:rsid w:val="002478A7"/>
    <w:rsid w:val="00280F2D"/>
    <w:rsid w:val="00294CBB"/>
    <w:rsid w:val="002C21E8"/>
    <w:rsid w:val="002F2145"/>
    <w:rsid w:val="00367810"/>
    <w:rsid w:val="003C20DC"/>
    <w:rsid w:val="004754E6"/>
    <w:rsid w:val="004F3DE2"/>
    <w:rsid w:val="005134F8"/>
    <w:rsid w:val="005412FC"/>
    <w:rsid w:val="00551E6C"/>
    <w:rsid w:val="005524CA"/>
    <w:rsid w:val="0057197A"/>
    <w:rsid w:val="005A1814"/>
    <w:rsid w:val="005A239E"/>
    <w:rsid w:val="005C7E20"/>
    <w:rsid w:val="005F077C"/>
    <w:rsid w:val="00624956"/>
    <w:rsid w:val="006B302F"/>
    <w:rsid w:val="006B710E"/>
    <w:rsid w:val="006F16BD"/>
    <w:rsid w:val="006F7F7F"/>
    <w:rsid w:val="00704096"/>
    <w:rsid w:val="00730342"/>
    <w:rsid w:val="00764677"/>
    <w:rsid w:val="007A49F2"/>
    <w:rsid w:val="007B6605"/>
    <w:rsid w:val="007B78A9"/>
    <w:rsid w:val="007C2EC0"/>
    <w:rsid w:val="007D75C6"/>
    <w:rsid w:val="00873073"/>
    <w:rsid w:val="008A1578"/>
    <w:rsid w:val="008C054C"/>
    <w:rsid w:val="008D0272"/>
    <w:rsid w:val="008E038A"/>
    <w:rsid w:val="009122AB"/>
    <w:rsid w:val="009214FE"/>
    <w:rsid w:val="00957CA1"/>
    <w:rsid w:val="00974EF6"/>
    <w:rsid w:val="009B35F9"/>
    <w:rsid w:val="009B3FE8"/>
    <w:rsid w:val="00A25DA1"/>
    <w:rsid w:val="00A769E3"/>
    <w:rsid w:val="00AA796E"/>
    <w:rsid w:val="00AA7B37"/>
    <w:rsid w:val="00AF0395"/>
    <w:rsid w:val="00AF1622"/>
    <w:rsid w:val="00AF3F2F"/>
    <w:rsid w:val="00B22D93"/>
    <w:rsid w:val="00B61E0A"/>
    <w:rsid w:val="00B81A1A"/>
    <w:rsid w:val="00B82F9B"/>
    <w:rsid w:val="00BA3F3D"/>
    <w:rsid w:val="00BC3BAA"/>
    <w:rsid w:val="00BD3863"/>
    <w:rsid w:val="00C075FF"/>
    <w:rsid w:val="00C27958"/>
    <w:rsid w:val="00C500C8"/>
    <w:rsid w:val="00C5039D"/>
    <w:rsid w:val="00C65529"/>
    <w:rsid w:val="00C771A1"/>
    <w:rsid w:val="00CA6BDD"/>
    <w:rsid w:val="00CB275F"/>
    <w:rsid w:val="00CC4164"/>
    <w:rsid w:val="00CD4302"/>
    <w:rsid w:val="00CD4A03"/>
    <w:rsid w:val="00CF52F4"/>
    <w:rsid w:val="00CF5E21"/>
    <w:rsid w:val="00D02C07"/>
    <w:rsid w:val="00D06FCC"/>
    <w:rsid w:val="00D557E5"/>
    <w:rsid w:val="00D66406"/>
    <w:rsid w:val="00D90480"/>
    <w:rsid w:val="00DB6078"/>
    <w:rsid w:val="00E04692"/>
    <w:rsid w:val="00E20C51"/>
    <w:rsid w:val="00E753AC"/>
    <w:rsid w:val="00E84590"/>
    <w:rsid w:val="00E8646B"/>
    <w:rsid w:val="00E948DF"/>
    <w:rsid w:val="00EA3A0F"/>
    <w:rsid w:val="00EB4CF3"/>
    <w:rsid w:val="00F01DB4"/>
    <w:rsid w:val="00F30CB2"/>
    <w:rsid w:val="00F32B04"/>
    <w:rsid w:val="00F54646"/>
    <w:rsid w:val="00F57658"/>
    <w:rsid w:val="00F90DC3"/>
    <w:rsid w:val="00FA52EE"/>
    <w:rsid w:val="00FD7FDE"/>
    <w:rsid w:val="00FE1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748">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2318-6AC1-463E-B152-B903E463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1182</Words>
  <Characters>6505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5</cp:revision>
  <cp:lastPrinted>2016-03-29T20:32:00Z</cp:lastPrinted>
  <dcterms:created xsi:type="dcterms:W3CDTF">2016-03-29T16:52:00Z</dcterms:created>
  <dcterms:modified xsi:type="dcterms:W3CDTF">2016-07-22T13:33:00Z</dcterms:modified>
</cp:coreProperties>
</file>