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1B6" w:rsidRPr="0021756A" w:rsidRDefault="00BB41B6" w:rsidP="00BB41B6">
      <w:pPr>
        <w:tabs>
          <w:tab w:val="left" w:pos="2127"/>
        </w:tabs>
        <w:jc w:val="both"/>
        <w:rPr>
          <w:rFonts w:ascii="Arial" w:hAnsi="Arial" w:cs="Arial"/>
          <w:sz w:val="20"/>
          <w:szCs w:val="24"/>
        </w:rPr>
      </w:pPr>
      <w:bookmarkStart w:id="0" w:name="_GoBack"/>
      <w:bookmarkEnd w:id="0"/>
      <w:r w:rsidRPr="0021756A">
        <w:rPr>
          <w:rFonts w:ascii="Arial" w:hAnsi="Arial" w:cs="Arial"/>
          <w:b/>
          <w:sz w:val="20"/>
          <w:szCs w:val="24"/>
        </w:rPr>
        <w:t>Providencia</w:t>
      </w:r>
      <w:r w:rsidRPr="0021756A">
        <w:rPr>
          <w:rFonts w:ascii="Arial" w:hAnsi="Arial" w:cs="Arial"/>
          <w:sz w:val="20"/>
          <w:szCs w:val="24"/>
        </w:rPr>
        <w:t>:</w:t>
      </w:r>
      <w:r w:rsidRPr="0021756A">
        <w:rPr>
          <w:rFonts w:ascii="Arial" w:hAnsi="Arial" w:cs="Arial"/>
          <w:b/>
          <w:sz w:val="20"/>
          <w:szCs w:val="24"/>
        </w:rPr>
        <w:t xml:space="preserve"> </w:t>
      </w:r>
      <w:r w:rsidRPr="0021756A">
        <w:rPr>
          <w:rFonts w:ascii="Arial" w:hAnsi="Arial" w:cs="Arial"/>
          <w:sz w:val="20"/>
          <w:szCs w:val="24"/>
        </w:rPr>
        <w:tab/>
        <w:t>Sentencia de Segunda Instancia, jueves 28 de abril de 2016</w:t>
      </w:r>
    </w:p>
    <w:p w:rsidR="00BB41B6" w:rsidRPr="0021756A" w:rsidRDefault="00BB41B6" w:rsidP="00BB41B6">
      <w:pPr>
        <w:tabs>
          <w:tab w:val="left" w:pos="2127"/>
        </w:tabs>
        <w:jc w:val="both"/>
        <w:rPr>
          <w:rFonts w:ascii="Arial" w:hAnsi="Arial" w:cs="Arial"/>
          <w:bCs/>
          <w:iCs/>
          <w:sz w:val="20"/>
          <w:szCs w:val="24"/>
        </w:rPr>
      </w:pPr>
      <w:r w:rsidRPr="0021756A">
        <w:rPr>
          <w:rFonts w:ascii="Arial" w:hAnsi="Arial" w:cs="Arial"/>
          <w:b/>
          <w:bCs/>
          <w:sz w:val="20"/>
          <w:szCs w:val="24"/>
        </w:rPr>
        <w:t>Radicación No</w:t>
      </w:r>
      <w:r w:rsidRPr="0021756A">
        <w:rPr>
          <w:rFonts w:ascii="Arial" w:hAnsi="Arial" w:cs="Arial"/>
          <w:bCs/>
          <w:sz w:val="20"/>
          <w:szCs w:val="24"/>
        </w:rPr>
        <w:t>:</w:t>
      </w:r>
      <w:r w:rsidRPr="0021756A">
        <w:rPr>
          <w:rFonts w:ascii="Arial" w:hAnsi="Arial" w:cs="Arial"/>
          <w:b/>
          <w:bCs/>
          <w:sz w:val="20"/>
          <w:szCs w:val="24"/>
        </w:rPr>
        <w:t xml:space="preserve"> </w:t>
      </w:r>
      <w:r w:rsidRPr="0021756A">
        <w:rPr>
          <w:rFonts w:ascii="Arial" w:hAnsi="Arial" w:cs="Arial"/>
          <w:b/>
          <w:bCs/>
          <w:sz w:val="20"/>
          <w:szCs w:val="24"/>
        </w:rPr>
        <w:tab/>
      </w:r>
      <w:r w:rsidRPr="0021756A">
        <w:rPr>
          <w:rFonts w:ascii="Arial" w:hAnsi="Arial" w:cs="Arial"/>
          <w:bCs/>
          <w:sz w:val="20"/>
          <w:szCs w:val="24"/>
        </w:rPr>
        <w:t>66001–31-05–002-2013-00051-01</w:t>
      </w:r>
    </w:p>
    <w:p w:rsidR="00BB41B6" w:rsidRPr="0021756A" w:rsidRDefault="00BB41B6" w:rsidP="00BB41B6">
      <w:pPr>
        <w:tabs>
          <w:tab w:val="left" w:pos="2127"/>
        </w:tabs>
        <w:jc w:val="both"/>
        <w:rPr>
          <w:rFonts w:ascii="Arial" w:hAnsi="Arial" w:cs="Arial"/>
          <w:iCs/>
          <w:sz w:val="20"/>
          <w:szCs w:val="24"/>
        </w:rPr>
      </w:pPr>
      <w:r w:rsidRPr="0021756A">
        <w:rPr>
          <w:rFonts w:ascii="Arial" w:hAnsi="Arial" w:cs="Arial"/>
          <w:b/>
          <w:bCs/>
          <w:iCs/>
          <w:sz w:val="20"/>
          <w:szCs w:val="24"/>
        </w:rPr>
        <w:t>Proceso</w:t>
      </w:r>
      <w:r w:rsidRPr="0021756A">
        <w:rPr>
          <w:rFonts w:ascii="Arial" w:hAnsi="Arial" w:cs="Arial"/>
          <w:bCs/>
          <w:iCs/>
          <w:sz w:val="20"/>
          <w:szCs w:val="24"/>
        </w:rPr>
        <w:t>:</w:t>
      </w:r>
      <w:r w:rsidRPr="0021756A">
        <w:rPr>
          <w:rFonts w:ascii="Arial" w:hAnsi="Arial" w:cs="Arial"/>
          <w:iCs/>
          <w:sz w:val="20"/>
          <w:szCs w:val="24"/>
        </w:rPr>
        <w:t xml:space="preserve"> </w:t>
      </w:r>
      <w:r w:rsidRPr="0021756A">
        <w:rPr>
          <w:rFonts w:ascii="Arial" w:hAnsi="Arial" w:cs="Arial"/>
          <w:b/>
          <w:iCs/>
          <w:sz w:val="20"/>
          <w:szCs w:val="24"/>
        </w:rPr>
        <w:tab/>
      </w:r>
      <w:r w:rsidRPr="0021756A">
        <w:rPr>
          <w:rFonts w:ascii="Arial" w:hAnsi="Arial" w:cs="Arial"/>
          <w:iCs/>
          <w:sz w:val="20"/>
          <w:szCs w:val="24"/>
        </w:rPr>
        <w:t>Ordinario Laboral</w:t>
      </w:r>
    </w:p>
    <w:p w:rsidR="00BB41B6" w:rsidRPr="0021756A" w:rsidRDefault="00BB41B6" w:rsidP="00BB41B6">
      <w:pPr>
        <w:tabs>
          <w:tab w:val="left" w:pos="2127"/>
        </w:tabs>
        <w:jc w:val="both"/>
        <w:rPr>
          <w:rFonts w:ascii="Arial" w:hAnsi="Arial" w:cs="Arial"/>
          <w:bCs/>
          <w:sz w:val="20"/>
          <w:szCs w:val="24"/>
        </w:rPr>
      </w:pPr>
      <w:r w:rsidRPr="0021756A">
        <w:rPr>
          <w:rFonts w:ascii="Arial" w:hAnsi="Arial" w:cs="Arial"/>
          <w:b/>
          <w:iCs/>
          <w:sz w:val="20"/>
          <w:szCs w:val="24"/>
        </w:rPr>
        <w:t>Demandante</w:t>
      </w:r>
      <w:r w:rsidRPr="0021756A">
        <w:rPr>
          <w:rFonts w:ascii="Arial" w:hAnsi="Arial" w:cs="Arial"/>
          <w:iCs/>
          <w:sz w:val="20"/>
          <w:szCs w:val="24"/>
        </w:rPr>
        <w:t>:</w:t>
      </w:r>
      <w:r w:rsidRPr="0021756A">
        <w:rPr>
          <w:rFonts w:ascii="Arial" w:hAnsi="Arial" w:cs="Arial"/>
          <w:iCs/>
          <w:sz w:val="20"/>
          <w:szCs w:val="24"/>
        </w:rPr>
        <w:tab/>
        <w:t xml:space="preserve">JJCS   </w:t>
      </w:r>
    </w:p>
    <w:p w:rsidR="00BB41B6" w:rsidRPr="0021756A" w:rsidRDefault="00BB41B6" w:rsidP="00BB41B6">
      <w:pPr>
        <w:tabs>
          <w:tab w:val="left" w:pos="2127"/>
        </w:tabs>
        <w:jc w:val="both"/>
        <w:rPr>
          <w:rFonts w:ascii="Arial" w:hAnsi="Arial" w:cs="Arial"/>
          <w:bCs/>
          <w:sz w:val="20"/>
          <w:szCs w:val="24"/>
        </w:rPr>
      </w:pPr>
      <w:r w:rsidRPr="0021756A">
        <w:rPr>
          <w:rFonts w:ascii="Arial" w:hAnsi="Arial" w:cs="Arial"/>
          <w:b/>
          <w:bCs/>
          <w:sz w:val="20"/>
          <w:szCs w:val="24"/>
        </w:rPr>
        <w:t>Demandado</w:t>
      </w:r>
      <w:r w:rsidRPr="0021756A">
        <w:rPr>
          <w:rFonts w:ascii="Arial" w:hAnsi="Arial" w:cs="Arial"/>
          <w:bCs/>
          <w:sz w:val="20"/>
          <w:szCs w:val="24"/>
        </w:rPr>
        <w:t>:</w:t>
      </w:r>
      <w:r w:rsidRPr="0021756A">
        <w:rPr>
          <w:rFonts w:ascii="Arial" w:hAnsi="Arial" w:cs="Arial"/>
          <w:b/>
          <w:bCs/>
          <w:sz w:val="20"/>
          <w:szCs w:val="24"/>
        </w:rPr>
        <w:tab/>
      </w:r>
      <w:r w:rsidRPr="0021756A">
        <w:rPr>
          <w:rFonts w:ascii="Arial" w:hAnsi="Arial" w:cs="Arial"/>
          <w:bCs/>
          <w:sz w:val="20"/>
          <w:szCs w:val="24"/>
        </w:rPr>
        <w:t>Administradora Colombiana de Pensiones Colpensiones y Porvenir SA</w:t>
      </w:r>
    </w:p>
    <w:p w:rsidR="00BB41B6" w:rsidRPr="0021756A" w:rsidRDefault="00BB41B6" w:rsidP="00BB41B6">
      <w:pPr>
        <w:tabs>
          <w:tab w:val="left" w:pos="2127"/>
        </w:tabs>
        <w:jc w:val="both"/>
        <w:rPr>
          <w:rFonts w:ascii="Arial" w:hAnsi="Arial" w:cs="Arial"/>
          <w:sz w:val="20"/>
          <w:szCs w:val="24"/>
        </w:rPr>
      </w:pPr>
      <w:r w:rsidRPr="0021756A">
        <w:rPr>
          <w:rFonts w:ascii="Arial" w:hAnsi="Arial" w:cs="Arial"/>
          <w:b/>
          <w:sz w:val="20"/>
          <w:szCs w:val="24"/>
        </w:rPr>
        <w:t>Juzgado de origen</w:t>
      </w:r>
      <w:r w:rsidRPr="0021756A">
        <w:rPr>
          <w:rFonts w:ascii="Arial" w:hAnsi="Arial" w:cs="Arial"/>
          <w:sz w:val="20"/>
          <w:szCs w:val="24"/>
        </w:rPr>
        <w:t>:</w:t>
      </w:r>
      <w:r w:rsidRPr="0021756A">
        <w:rPr>
          <w:rFonts w:ascii="Arial" w:hAnsi="Arial" w:cs="Arial"/>
          <w:sz w:val="20"/>
          <w:szCs w:val="24"/>
        </w:rPr>
        <w:tab/>
        <w:t>Segundo Laboral del Circuito de Pereira – Risaralda</w:t>
      </w:r>
    </w:p>
    <w:p w:rsidR="00BB41B6" w:rsidRPr="0021756A" w:rsidRDefault="00BB41B6" w:rsidP="00BB41B6">
      <w:pPr>
        <w:tabs>
          <w:tab w:val="left" w:pos="2127"/>
        </w:tabs>
        <w:jc w:val="both"/>
        <w:rPr>
          <w:rFonts w:ascii="Arial" w:hAnsi="Arial" w:cs="Arial"/>
          <w:sz w:val="20"/>
          <w:szCs w:val="24"/>
        </w:rPr>
      </w:pPr>
      <w:r w:rsidRPr="0021756A">
        <w:rPr>
          <w:rFonts w:ascii="Arial" w:hAnsi="Arial" w:cs="Arial"/>
          <w:b/>
          <w:iCs/>
          <w:sz w:val="20"/>
          <w:szCs w:val="24"/>
        </w:rPr>
        <w:t>Magistrado Ponente:</w:t>
      </w:r>
      <w:r w:rsidRPr="0021756A">
        <w:rPr>
          <w:rFonts w:ascii="Arial" w:hAnsi="Arial" w:cs="Arial"/>
          <w:b/>
          <w:iCs/>
          <w:sz w:val="20"/>
          <w:szCs w:val="24"/>
        </w:rPr>
        <w:tab/>
      </w:r>
      <w:r w:rsidRPr="0021756A">
        <w:rPr>
          <w:rFonts w:ascii="Arial" w:hAnsi="Arial" w:cs="Arial"/>
          <w:bCs/>
          <w:sz w:val="20"/>
          <w:szCs w:val="24"/>
        </w:rPr>
        <w:t>Francisco Javier Tamayo Tabares</w:t>
      </w:r>
    </w:p>
    <w:p w:rsidR="00174885" w:rsidRPr="0021756A" w:rsidRDefault="00BB41B6" w:rsidP="00E05C4D">
      <w:pPr>
        <w:autoSpaceDE w:val="0"/>
        <w:autoSpaceDN w:val="0"/>
        <w:adjustRightInd w:val="0"/>
        <w:ind w:left="2124" w:hanging="2124"/>
        <w:jc w:val="both"/>
        <w:rPr>
          <w:rFonts w:ascii="Arial" w:hAnsi="Arial" w:cs="Arial"/>
          <w:i/>
          <w:iCs/>
          <w:sz w:val="20"/>
          <w:szCs w:val="24"/>
          <w:bdr w:val="none" w:sz="0" w:space="0" w:color="auto" w:frame="1"/>
        </w:rPr>
      </w:pPr>
      <w:r w:rsidRPr="0021756A">
        <w:rPr>
          <w:rFonts w:ascii="Arial" w:hAnsi="Arial" w:cs="Arial"/>
          <w:b/>
          <w:bCs/>
          <w:sz w:val="20"/>
          <w:szCs w:val="24"/>
        </w:rPr>
        <w:t>Tema a tratar</w:t>
      </w:r>
      <w:r w:rsidRPr="0021756A">
        <w:rPr>
          <w:rFonts w:ascii="Arial" w:hAnsi="Arial" w:cs="Arial"/>
          <w:bCs/>
          <w:sz w:val="20"/>
          <w:szCs w:val="24"/>
        </w:rPr>
        <w:t xml:space="preserve">: </w:t>
      </w:r>
      <w:r w:rsidRPr="0021756A">
        <w:rPr>
          <w:rFonts w:ascii="Arial" w:hAnsi="Arial" w:cs="Arial"/>
          <w:bCs/>
          <w:sz w:val="20"/>
          <w:szCs w:val="24"/>
        </w:rPr>
        <w:tab/>
      </w:r>
      <w:r w:rsidR="00174885" w:rsidRPr="0021756A">
        <w:rPr>
          <w:rFonts w:ascii="Arial" w:hAnsi="Arial" w:cs="Arial"/>
          <w:b/>
          <w:bCs/>
          <w:sz w:val="20"/>
          <w:szCs w:val="24"/>
        </w:rPr>
        <w:t>De la pérdida de capacidad laboral de pacientes con enfermedades crónicas, degenerativas o congénitas</w:t>
      </w:r>
      <w:r w:rsidR="00174885" w:rsidRPr="0021756A">
        <w:rPr>
          <w:rFonts w:ascii="Arial" w:hAnsi="Arial" w:cs="Arial"/>
          <w:bCs/>
          <w:sz w:val="20"/>
          <w:szCs w:val="24"/>
        </w:rPr>
        <w:t xml:space="preserve">: </w:t>
      </w:r>
      <w:r w:rsidR="00174885" w:rsidRPr="0021756A">
        <w:rPr>
          <w:rFonts w:ascii="Arial" w:hAnsi="Arial" w:cs="Arial"/>
          <w:sz w:val="20"/>
          <w:szCs w:val="24"/>
        </w:rPr>
        <w:t xml:space="preserve">El órgano de cierre constitucional ha consolidado una línea jurisprudencial reiterada y pacífica respecto de los casos en los que la causa de la invalidez se deriva de una enfermedad crónica, degenerativa o congénita, y la estructuración de la pérdida de capacidad laboral es determinada en una fecha anterior al dictamen. </w:t>
      </w:r>
      <w:r w:rsidR="00E05C4D" w:rsidRPr="0021756A">
        <w:rPr>
          <w:rFonts w:ascii="Arial" w:hAnsi="Arial" w:cs="Arial"/>
          <w:sz w:val="20"/>
          <w:szCs w:val="24"/>
        </w:rPr>
        <w:t xml:space="preserve">En síntesis, estableció esa Alta Magistratura que </w:t>
      </w:r>
      <w:r w:rsidR="00E05C4D" w:rsidRPr="0021756A">
        <w:rPr>
          <w:rFonts w:ascii="Arial" w:hAnsi="Arial" w:cs="Arial"/>
          <w:iCs/>
          <w:sz w:val="20"/>
          <w:szCs w:val="24"/>
          <w:bdr w:val="none" w:sz="0" w:space="0" w:color="auto" w:frame="1"/>
        </w:rPr>
        <w:t xml:space="preserve">en aquellos casos en los que deba determinarse la fecha de estructuración de la invalidez de una persona que sufra una enfermedad crónica </w:t>
      </w:r>
      <w:r w:rsidR="00E05C4D" w:rsidRPr="0021756A">
        <w:rPr>
          <w:rFonts w:ascii="Arial" w:hAnsi="Arial" w:cs="Arial"/>
          <w:sz w:val="20"/>
          <w:szCs w:val="24"/>
          <w:shd w:val="clear" w:color="auto" w:fill="FFFFFF"/>
        </w:rPr>
        <w:t>degenerativa o congénita, que no le impida ejercer actividades laborales durante ciertos períodos de tiempo, la entidad calificadora de la PCL debe tener en cuenta que dicha fecha corresponde a aquella en que el afiliado  pierde su capacidad para desarrollar cualquier actividad económica productiva dada la disminución de sus facultades físicas, psíquicas y sensoriales.</w:t>
      </w:r>
    </w:p>
    <w:p w:rsidR="004F1406" w:rsidRPr="004F1406" w:rsidRDefault="004F1406" w:rsidP="004F1406">
      <w:pPr>
        <w:jc w:val="both"/>
        <w:rPr>
          <w:rFonts w:ascii="Arial" w:hAnsi="Arial" w:cs="Arial"/>
          <w:spacing w:val="-2"/>
          <w:sz w:val="20"/>
          <w:lang w:val="es-ES"/>
        </w:rPr>
      </w:pPr>
    </w:p>
    <w:p w:rsidR="004F1406" w:rsidRPr="004F1406" w:rsidRDefault="004F1406" w:rsidP="004F1406">
      <w:pPr>
        <w:jc w:val="both"/>
        <w:rPr>
          <w:rFonts w:ascii="Arial" w:hAnsi="Arial" w:cs="Arial"/>
          <w:spacing w:val="-2"/>
          <w:sz w:val="20"/>
          <w:lang w:val="es-ES"/>
        </w:rPr>
      </w:pPr>
    </w:p>
    <w:p w:rsidR="004F1406" w:rsidRPr="004F1406" w:rsidRDefault="004F1406" w:rsidP="004F1406">
      <w:pPr>
        <w:shd w:val="clear" w:color="auto" w:fill="000000"/>
        <w:ind w:right="-60" w:firstLine="6"/>
        <w:jc w:val="both"/>
        <w:rPr>
          <w:rFonts w:ascii="Arial" w:hAnsi="Arial" w:cs="Arial"/>
          <w:b/>
          <w:color w:val="FFFFFF"/>
        </w:rPr>
      </w:pPr>
      <w:r w:rsidRPr="004F1406">
        <w:rPr>
          <w:rFonts w:ascii="Arial" w:hAnsi="Arial" w:cs="Arial"/>
          <w:b/>
          <w:color w:val="FFFFFF"/>
        </w:rPr>
        <w:t>LA SALA DE CASACIÓN LABORAL DE LA CORTE SUPREMA DE JUSTICIA, MEDIANTE SENTENCIA SL</w:t>
      </w:r>
      <w:r>
        <w:rPr>
          <w:rFonts w:ascii="Arial" w:hAnsi="Arial" w:cs="Arial"/>
          <w:b/>
          <w:color w:val="FFFFFF"/>
        </w:rPr>
        <w:t>063</w:t>
      </w:r>
      <w:r w:rsidRPr="004F1406">
        <w:rPr>
          <w:rFonts w:ascii="Arial" w:hAnsi="Arial" w:cs="Arial"/>
          <w:b/>
          <w:color w:val="FFFFFF"/>
        </w:rPr>
        <w:t>-20</w:t>
      </w:r>
      <w:r>
        <w:rPr>
          <w:rFonts w:ascii="Arial" w:hAnsi="Arial" w:cs="Arial"/>
          <w:b/>
          <w:color w:val="FFFFFF"/>
        </w:rPr>
        <w:t>21</w:t>
      </w:r>
      <w:r w:rsidRPr="004F1406">
        <w:rPr>
          <w:rFonts w:ascii="Arial" w:hAnsi="Arial" w:cs="Arial"/>
          <w:b/>
          <w:color w:val="FFFFFF"/>
        </w:rPr>
        <w:t xml:space="preserve">, RADICACIÓN Nº </w:t>
      </w:r>
      <w:r>
        <w:rPr>
          <w:rFonts w:ascii="Arial" w:hAnsi="Arial" w:cs="Arial"/>
          <w:b/>
          <w:color w:val="FFFFFF"/>
        </w:rPr>
        <w:t>75196</w:t>
      </w:r>
      <w:r w:rsidRPr="004F1406">
        <w:rPr>
          <w:rFonts w:ascii="Arial" w:hAnsi="Arial" w:cs="Arial"/>
          <w:b/>
          <w:color w:val="FFFFFF"/>
        </w:rPr>
        <w:t xml:space="preserve">, DE FECHA </w:t>
      </w:r>
      <w:r>
        <w:rPr>
          <w:rFonts w:ascii="Arial" w:hAnsi="Arial" w:cs="Arial"/>
          <w:b/>
          <w:color w:val="FFFFFF"/>
        </w:rPr>
        <w:t>19 DE ENERO DE 2021</w:t>
      </w:r>
      <w:r w:rsidRPr="004F1406">
        <w:rPr>
          <w:rFonts w:ascii="Arial" w:hAnsi="Arial" w:cs="Arial"/>
          <w:b/>
          <w:color w:val="FFFFFF"/>
        </w:rPr>
        <w:t>, QUE PUEDE SER CONSULTADA EN LA PÁGINA WEB DE DICHA CORPORACIÓN</w:t>
      </w:r>
      <w:r w:rsidR="00D337B9">
        <w:rPr>
          <w:rFonts w:ascii="Arial" w:hAnsi="Arial" w:cs="Arial"/>
          <w:b/>
          <w:color w:val="FFFFFF"/>
        </w:rPr>
        <w:t xml:space="preserve"> O EN LA DEL TRIBUNAL</w:t>
      </w:r>
      <w:r w:rsidRPr="004F1406">
        <w:rPr>
          <w:rFonts w:ascii="Arial" w:hAnsi="Arial" w:cs="Arial"/>
          <w:b/>
          <w:color w:val="FFFFFF"/>
        </w:rPr>
        <w:t>, CASÓ</w:t>
      </w:r>
      <w:r w:rsidR="00D337B9">
        <w:rPr>
          <w:rFonts w:ascii="Arial" w:hAnsi="Arial" w:cs="Arial"/>
          <w:b/>
          <w:color w:val="FFFFFF"/>
        </w:rPr>
        <w:t xml:space="preserve"> EN FORMA PARCIAL</w:t>
      </w:r>
      <w:r w:rsidRPr="004F1406">
        <w:rPr>
          <w:rFonts w:ascii="Arial" w:hAnsi="Arial" w:cs="Arial"/>
          <w:b/>
          <w:color w:val="FFFFFF"/>
        </w:rPr>
        <w:t xml:space="preserve"> EL PRESENTE FALLO Y “EN SEDE DE INSTANCIA” </w:t>
      </w:r>
      <w:r w:rsidR="00D337B9">
        <w:rPr>
          <w:rFonts w:ascii="Arial" w:hAnsi="Arial" w:cs="Arial"/>
          <w:b/>
          <w:color w:val="FFFFFF"/>
        </w:rPr>
        <w:t xml:space="preserve">MODIFICÓ PARCIALMENTE </w:t>
      </w:r>
      <w:r w:rsidRPr="004F1406">
        <w:rPr>
          <w:rFonts w:ascii="Arial" w:hAnsi="Arial" w:cs="Arial"/>
          <w:b/>
          <w:color w:val="FFFFFF"/>
        </w:rPr>
        <w:t xml:space="preserve">LA SENTENCIA PROFERIDA EL 16 DE </w:t>
      </w:r>
      <w:r w:rsidR="00D337B9">
        <w:rPr>
          <w:rFonts w:ascii="Arial" w:hAnsi="Arial" w:cs="Arial"/>
          <w:b/>
          <w:color w:val="FFFFFF"/>
        </w:rPr>
        <w:t xml:space="preserve">FEBRERO </w:t>
      </w:r>
      <w:r w:rsidRPr="004F1406">
        <w:rPr>
          <w:rFonts w:ascii="Arial" w:hAnsi="Arial" w:cs="Arial"/>
          <w:b/>
          <w:color w:val="FFFFFF"/>
        </w:rPr>
        <w:t xml:space="preserve">DE 2015 POR EL JUZGADO </w:t>
      </w:r>
      <w:r w:rsidR="00D337B9">
        <w:rPr>
          <w:rFonts w:ascii="Arial" w:hAnsi="Arial" w:cs="Arial"/>
          <w:b/>
          <w:color w:val="FFFFFF"/>
        </w:rPr>
        <w:t xml:space="preserve">SEGUNDO </w:t>
      </w:r>
      <w:r w:rsidRPr="004F1406">
        <w:rPr>
          <w:rFonts w:ascii="Arial" w:hAnsi="Arial" w:cs="Arial"/>
          <w:b/>
          <w:color w:val="FFFFFF"/>
        </w:rPr>
        <w:t xml:space="preserve">LABORAL DEL CIRCUITO  DE LA CIUDAD, MEDIANTE EL CUAL </w:t>
      </w:r>
      <w:r w:rsidR="00D337B9">
        <w:rPr>
          <w:rFonts w:ascii="Arial" w:hAnsi="Arial" w:cs="Arial"/>
          <w:b/>
          <w:color w:val="FFFFFF"/>
        </w:rPr>
        <w:t xml:space="preserve">ACCEDIÓ A </w:t>
      </w:r>
      <w:r w:rsidRPr="004F1406">
        <w:rPr>
          <w:rFonts w:ascii="Arial" w:hAnsi="Arial" w:cs="Arial"/>
          <w:b/>
          <w:color w:val="FFFFFF"/>
        </w:rPr>
        <w:t>LAS PRETENSIONES DE LA DEMANDA.</w:t>
      </w:r>
    </w:p>
    <w:p w:rsidR="004F1406" w:rsidRPr="004F1406" w:rsidRDefault="004F1406" w:rsidP="004F1406">
      <w:pPr>
        <w:jc w:val="both"/>
        <w:rPr>
          <w:rFonts w:ascii="Arial" w:hAnsi="Arial" w:cs="Arial"/>
          <w:spacing w:val="-2"/>
          <w:sz w:val="20"/>
          <w:lang w:val="es-ES"/>
        </w:rPr>
      </w:pPr>
    </w:p>
    <w:p w:rsidR="004F1406" w:rsidRPr="004F1406" w:rsidRDefault="004F1406" w:rsidP="004F1406">
      <w:pPr>
        <w:jc w:val="both"/>
        <w:rPr>
          <w:rFonts w:ascii="Arial" w:hAnsi="Arial" w:cs="Arial"/>
          <w:spacing w:val="-2"/>
          <w:sz w:val="20"/>
          <w:lang w:val="es-ES"/>
        </w:rPr>
      </w:pPr>
    </w:p>
    <w:p w:rsidR="004F1406" w:rsidRPr="004F1406" w:rsidRDefault="004F1406" w:rsidP="004F1406">
      <w:pPr>
        <w:widowControl w:val="0"/>
        <w:autoSpaceDE w:val="0"/>
        <w:autoSpaceDN w:val="0"/>
        <w:adjustRightInd w:val="0"/>
        <w:ind w:left="2127" w:hanging="2127"/>
        <w:jc w:val="both"/>
        <w:rPr>
          <w:rFonts w:ascii="Arial" w:hAnsi="Arial" w:cs="Arial"/>
          <w:b/>
          <w:sz w:val="20"/>
          <w:u w:val="single"/>
          <w:lang w:val="es-ES"/>
        </w:rPr>
      </w:pPr>
    </w:p>
    <w:p w:rsidR="0021756A" w:rsidRPr="0021756A" w:rsidRDefault="0021756A" w:rsidP="0021756A">
      <w:pPr>
        <w:tabs>
          <w:tab w:val="left" w:pos="3105"/>
        </w:tabs>
        <w:spacing w:line="276" w:lineRule="auto"/>
        <w:ind w:left="1418" w:hanging="1418"/>
        <w:jc w:val="center"/>
        <w:rPr>
          <w:rFonts w:ascii="Arial" w:eastAsia="Calibri" w:hAnsi="Arial" w:cs="Arial"/>
          <w:b/>
          <w:szCs w:val="24"/>
          <w:lang w:val="es-ES"/>
        </w:rPr>
      </w:pPr>
      <w:r w:rsidRPr="0021756A">
        <w:rPr>
          <w:rFonts w:ascii="Arial" w:eastAsia="Calibri" w:hAnsi="Arial" w:cs="Arial"/>
          <w:b/>
          <w:szCs w:val="24"/>
          <w:lang w:val="es-ES"/>
        </w:rPr>
        <w:t>REPÚBLICA DE COLOMBIA</w:t>
      </w:r>
    </w:p>
    <w:p w:rsidR="0021756A" w:rsidRPr="0021756A" w:rsidRDefault="0021756A" w:rsidP="0021756A">
      <w:pPr>
        <w:tabs>
          <w:tab w:val="left" w:pos="3060"/>
        </w:tabs>
        <w:spacing w:line="276" w:lineRule="auto"/>
        <w:jc w:val="center"/>
        <w:rPr>
          <w:rFonts w:ascii="Arial" w:eastAsia="Calibri" w:hAnsi="Arial" w:cs="Arial"/>
          <w:b/>
          <w:szCs w:val="24"/>
          <w:lang w:val="es-ES"/>
        </w:rPr>
      </w:pPr>
      <w:r w:rsidRPr="0021756A">
        <w:rPr>
          <w:rFonts w:ascii="Arial" w:eastAsia="Calibri" w:hAnsi="Arial" w:cs="Arial"/>
          <w:b/>
          <w:noProof/>
          <w:szCs w:val="24"/>
          <w:lang w:val="es-ES"/>
        </w:rPr>
        <w:drawing>
          <wp:inline distT="0" distB="0" distL="0" distR="0" wp14:anchorId="06851396" wp14:editId="3A4D16FE">
            <wp:extent cx="871220" cy="88201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21756A">
        <w:rPr>
          <w:rFonts w:ascii="Arial" w:eastAsia="Calibri" w:hAnsi="Arial" w:cs="Arial"/>
          <w:b/>
          <w:szCs w:val="24"/>
          <w:lang w:val="es-ES"/>
        </w:rPr>
        <w:br w:type="textWrapping" w:clear="all"/>
        <w:t>TRIBUNAL SUPERIOR DE DISTRITO JUDICIAL DE PEREIRA</w:t>
      </w:r>
    </w:p>
    <w:p w:rsidR="0021756A" w:rsidRPr="0021756A" w:rsidRDefault="0021756A" w:rsidP="0021756A">
      <w:pPr>
        <w:keepNext/>
        <w:spacing w:line="276" w:lineRule="auto"/>
        <w:jc w:val="center"/>
        <w:outlineLvl w:val="0"/>
        <w:rPr>
          <w:rFonts w:ascii="Arial" w:eastAsia="Calibri" w:hAnsi="Arial" w:cs="Arial"/>
          <w:b/>
          <w:bCs/>
          <w:kern w:val="32"/>
          <w:szCs w:val="24"/>
          <w:lang w:val="es-ES"/>
        </w:rPr>
      </w:pPr>
      <w:r w:rsidRPr="0021756A">
        <w:rPr>
          <w:rFonts w:ascii="Arial" w:eastAsia="Calibri" w:hAnsi="Arial" w:cs="Arial"/>
          <w:b/>
          <w:bCs/>
          <w:kern w:val="32"/>
          <w:szCs w:val="24"/>
          <w:lang w:val="es-ES"/>
        </w:rPr>
        <w:t>SALA CUARTA DE DECISIÓN LABORAL</w:t>
      </w:r>
    </w:p>
    <w:p w:rsidR="0021756A" w:rsidRPr="0021756A" w:rsidRDefault="0021756A" w:rsidP="0021756A">
      <w:pPr>
        <w:tabs>
          <w:tab w:val="left" w:pos="1560"/>
        </w:tabs>
        <w:spacing w:line="276" w:lineRule="auto"/>
        <w:ind w:left="1560" w:hanging="1560"/>
        <w:jc w:val="both"/>
        <w:rPr>
          <w:rFonts w:ascii="Arial" w:eastAsia="Calibri" w:hAnsi="Arial" w:cs="Arial"/>
          <w:szCs w:val="24"/>
          <w:lang w:val="es-ES"/>
        </w:rPr>
      </w:pPr>
    </w:p>
    <w:p w:rsidR="0021756A" w:rsidRPr="0021756A" w:rsidRDefault="0021756A" w:rsidP="0021756A">
      <w:pPr>
        <w:spacing w:line="276" w:lineRule="auto"/>
        <w:ind w:left="1440" w:hanging="589"/>
        <w:jc w:val="center"/>
        <w:rPr>
          <w:rFonts w:ascii="Arial" w:eastAsia="Calibri" w:hAnsi="Arial" w:cs="Arial"/>
          <w:b/>
          <w:bCs/>
          <w:szCs w:val="24"/>
          <w:u w:val="single"/>
          <w:lang w:val="es-ES"/>
        </w:rPr>
      </w:pPr>
      <w:r w:rsidRPr="0021756A">
        <w:rPr>
          <w:rFonts w:ascii="Arial" w:eastAsia="Calibri" w:hAnsi="Arial" w:cs="Arial"/>
          <w:szCs w:val="24"/>
          <w:lang w:val="es-ES"/>
        </w:rPr>
        <w:t>Magistrado Ponente:</w:t>
      </w:r>
      <w:r w:rsidRPr="0021756A">
        <w:rPr>
          <w:rFonts w:ascii="Arial" w:eastAsia="Calibri" w:hAnsi="Arial" w:cs="Arial"/>
          <w:b/>
          <w:szCs w:val="24"/>
          <w:lang w:val="es-ES"/>
        </w:rPr>
        <w:t xml:space="preserve"> </w:t>
      </w:r>
      <w:r w:rsidRPr="0021756A">
        <w:rPr>
          <w:rFonts w:ascii="Arial" w:eastAsia="Calibri" w:hAnsi="Arial" w:cs="Arial"/>
          <w:b/>
          <w:bCs/>
          <w:szCs w:val="24"/>
          <w:lang w:val="es-ES"/>
        </w:rPr>
        <w:t>FRANCISCO JAVIER TAMAYO TABARES</w:t>
      </w:r>
    </w:p>
    <w:p w:rsidR="0021756A" w:rsidRPr="0021756A" w:rsidRDefault="0021756A" w:rsidP="0021756A">
      <w:pPr>
        <w:tabs>
          <w:tab w:val="left" w:pos="1560"/>
        </w:tabs>
        <w:spacing w:line="276" w:lineRule="auto"/>
        <w:jc w:val="both"/>
        <w:rPr>
          <w:rFonts w:ascii="Arial" w:eastAsia="Calibri" w:hAnsi="Arial" w:cs="Arial"/>
          <w:szCs w:val="24"/>
          <w:lang w:val="es-ES"/>
        </w:rPr>
      </w:pPr>
    </w:p>
    <w:p w:rsidR="00BB41B6" w:rsidRPr="0021756A" w:rsidRDefault="00BB41B6" w:rsidP="0021756A">
      <w:pPr>
        <w:pStyle w:val="Sinespaciado"/>
        <w:spacing w:line="276" w:lineRule="auto"/>
        <w:rPr>
          <w:rFonts w:ascii="Arial" w:hAnsi="Arial" w:cs="Arial"/>
          <w:szCs w:val="24"/>
        </w:rPr>
      </w:pPr>
    </w:p>
    <w:p w:rsidR="00BB41B6" w:rsidRPr="0021756A" w:rsidRDefault="00BB41B6" w:rsidP="0021756A">
      <w:pPr>
        <w:spacing w:line="276" w:lineRule="auto"/>
        <w:ind w:firstLine="709"/>
        <w:jc w:val="both"/>
        <w:rPr>
          <w:rFonts w:ascii="Arial" w:eastAsia="Calibri" w:hAnsi="Arial" w:cs="Arial"/>
          <w:szCs w:val="24"/>
          <w:lang w:val="es-CO" w:eastAsia="en-US"/>
        </w:rPr>
      </w:pPr>
      <w:r w:rsidRPr="0021756A">
        <w:rPr>
          <w:rFonts w:ascii="Arial" w:eastAsia="Calibri" w:hAnsi="Arial" w:cs="Arial"/>
          <w:szCs w:val="24"/>
          <w:lang w:val="es-CO" w:eastAsia="en-US"/>
        </w:rPr>
        <w:t xml:space="preserve">En Pereira, hoy veintiocho (28) de abril de dos mil dieciséis (2016), siendo las once y quince minutos de la mañana (11:15 a.m.) </w:t>
      </w:r>
      <w:r w:rsidRPr="0021756A">
        <w:rPr>
          <w:rFonts w:ascii="Arial" w:hAnsi="Arial" w:cs="Arial"/>
          <w:bCs/>
          <w:color w:val="000000"/>
          <w:szCs w:val="24"/>
          <w:lang w:val="es-ES"/>
        </w:rPr>
        <w:t>reunidos en la Sala de Audiencia la magistrada y los magistrados de la Sala Laboral del Tribunal de Pereira, presidido por el ponente, declaran formalmente abierto</w:t>
      </w:r>
      <w:r w:rsidRPr="0021756A">
        <w:rPr>
          <w:rFonts w:ascii="Arial" w:eastAsia="Calibri" w:hAnsi="Arial" w:cs="Arial"/>
          <w:szCs w:val="24"/>
          <w:lang w:val="es-CO" w:eastAsia="en-US"/>
        </w:rPr>
        <w:t xml:space="preserve">, </w:t>
      </w:r>
      <w:r w:rsidRPr="0021756A">
        <w:rPr>
          <w:rFonts w:ascii="Arial" w:hAnsi="Arial" w:cs="Arial"/>
          <w:bCs/>
          <w:color w:val="000000"/>
          <w:szCs w:val="24"/>
          <w:lang w:eastAsia="es-CO"/>
        </w:rPr>
        <w:t xml:space="preserve">que tiene por objeto resolver el recurso de apelación interpuesto por la codemandada Porvenir S.A en contra de </w:t>
      </w:r>
      <w:r w:rsidRPr="0021756A">
        <w:rPr>
          <w:rFonts w:ascii="Arial" w:hAnsi="Arial" w:cs="Arial"/>
          <w:szCs w:val="24"/>
        </w:rPr>
        <w:t xml:space="preserve">la sentencia proferida el 16 de febrero de 2015 por el Juzgado Segundo Laboral del Circuito de Pereira, dentro del proceso ordinario promovido por </w:t>
      </w:r>
      <w:r w:rsidRPr="0021756A">
        <w:rPr>
          <w:rFonts w:ascii="Arial" w:hAnsi="Arial" w:cs="Arial"/>
          <w:b/>
          <w:i/>
          <w:szCs w:val="24"/>
        </w:rPr>
        <w:t xml:space="preserve">JJCS </w:t>
      </w:r>
      <w:r w:rsidRPr="0021756A">
        <w:rPr>
          <w:rFonts w:ascii="Arial" w:hAnsi="Arial" w:cs="Arial"/>
          <w:szCs w:val="24"/>
        </w:rPr>
        <w:t xml:space="preserve">contra la </w:t>
      </w:r>
      <w:r w:rsidRPr="0021756A">
        <w:rPr>
          <w:rFonts w:ascii="Arial" w:hAnsi="Arial" w:cs="Arial"/>
          <w:b/>
          <w:i/>
          <w:szCs w:val="24"/>
        </w:rPr>
        <w:t>Administradora Colombiana de Pensiones – Colpensiones y la Sociedad Administradora de Pensiones y Cesantías Porvenir SA.</w:t>
      </w:r>
    </w:p>
    <w:p w:rsidR="00BB41B6" w:rsidRPr="0021756A" w:rsidRDefault="00BB41B6" w:rsidP="0021756A">
      <w:pPr>
        <w:pStyle w:val="Sinespaciado"/>
        <w:spacing w:line="276" w:lineRule="auto"/>
        <w:rPr>
          <w:rFonts w:ascii="Arial" w:hAnsi="Arial" w:cs="Arial"/>
          <w:szCs w:val="24"/>
        </w:rPr>
      </w:pPr>
    </w:p>
    <w:p w:rsidR="00BB41B6" w:rsidRPr="0021756A" w:rsidRDefault="00BB41B6" w:rsidP="0021756A">
      <w:pPr>
        <w:shd w:val="clear" w:color="auto" w:fill="FFFFFF"/>
        <w:spacing w:line="276" w:lineRule="auto"/>
        <w:ind w:firstLine="709"/>
        <w:jc w:val="both"/>
        <w:rPr>
          <w:rFonts w:ascii="Arial" w:hAnsi="Arial" w:cs="Arial"/>
          <w:b/>
          <w:bCs/>
          <w:i/>
          <w:color w:val="000000"/>
          <w:szCs w:val="24"/>
          <w:lang w:val="es-ES"/>
        </w:rPr>
      </w:pPr>
      <w:r w:rsidRPr="0021756A">
        <w:rPr>
          <w:rFonts w:ascii="Arial" w:hAnsi="Arial" w:cs="Arial"/>
          <w:b/>
          <w:bCs/>
          <w:i/>
          <w:color w:val="000000"/>
          <w:szCs w:val="24"/>
          <w:lang w:val="es-ES"/>
        </w:rPr>
        <w:t>IDENTIFICACIÓN DE LOS PRESENTES:</w:t>
      </w:r>
    </w:p>
    <w:p w:rsidR="00BB41B6" w:rsidRPr="0021756A" w:rsidRDefault="00BB41B6" w:rsidP="0021756A">
      <w:pPr>
        <w:pStyle w:val="Sinespaciado"/>
        <w:spacing w:line="276" w:lineRule="auto"/>
        <w:rPr>
          <w:rFonts w:ascii="Arial" w:hAnsi="Arial" w:cs="Arial"/>
          <w:szCs w:val="24"/>
        </w:rPr>
      </w:pPr>
    </w:p>
    <w:p w:rsidR="00BB41B6" w:rsidRPr="0021756A" w:rsidRDefault="00BB41B6" w:rsidP="0021756A">
      <w:pPr>
        <w:pStyle w:val="Prrafodelista"/>
        <w:numPr>
          <w:ilvl w:val="0"/>
          <w:numId w:val="1"/>
        </w:numPr>
        <w:shd w:val="clear" w:color="auto" w:fill="FFFFFF"/>
        <w:spacing w:line="276" w:lineRule="auto"/>
        <w:jc w:val="both"/>
        <w:rPr>
          <w:rFonts w:ascii="Arial" w:hAnsi="Arial" w:cs="Arial"/>
          <w:b/>
          <w:bCs/>
          <w:i/>
          <w:color w:val="000000"/>
          <w:szCs w:val="24"/>
          <w:lang w:val="es-ES"/>
        </w:rPr>
      </w:pPr>
      <w:r w:rsidRPr="0021756A">
        <w:rPr>
          <w:rFonts w:ascii="Arial" w:hAnsi="Arial" w:cs="Arial"/>
          <w:b/>
          <w:bCs/>
          <w:i/>
          <w:color w:val="000000"/>
          <w:szCs w:val="24"/>
          <w:lang w:val="es-ES"/>
        </w:rPr>
        <w:t>INTRODUCCIÓN</w:t>
      </w:r>
    </w:p>
    <w:p w:rsidR="00BB41B6" w:rsidRPr="0021756A" w:rsidRDefault="00BB41B6" w:rsidP="0021756A">
      <w:pPr>
        <w:pStyle w:val="Sinespaciado"/>
        <w:spacing w:line="276" w:lineRule="auto"/>
        <w:rPr>
          <w:rFonts w:ascii="Arial" w:hAnsi="Arial" w:cs="Arial"/>
          <w:szCs w:val="24"/>
        </w:rPr>
      </w:pPr>
    </w:p>
    <w:p w:rsidR="00BB41B6" w:rsidRPr="0021756A" w:rsidRDefault="00BB41B6" w:rsidP="0021756A">
      <w:pPr>
        <w:spacing w:line="276" w:lineRule="auto"/>
        <w:ind w:firstLine="709"/>
        <w:jc w:val="both"/>
        <w:rPr>
          <w:rFonts w:ascii="Arial" w:hAnsi="Arial" w:cs="Arial"/>
          <w:bCs/>
          <w:iCs/>
          <w:szCs w:val="24"/>
        </w:rPr>
      </w:pPr>
      <w:r w:rsidRPr="0021756A">
        <w:rPr>
          <w:rFonts w:ascii="Arial" w:hAnsi="Arial" w:cs="Arial"/>
          <w:bCs/>
          <w:iCs/>
          <w:szCs w:val="24"/>
        </w:rPr>
        <w:t xml:space="preserve">Antes de que procedan los asistentes a descorrer el traslado en esta instancia, conforme a las voces del artículo 13 de la Ley 1149 de 2007, pretende el demandante que se declare que es invalido desde el 1º de diciembre de 2011 o la que se compruebe en el proceso, </w:t>
      </w:r>
      <w:proofErr w:type="gramStart"/>
      <w:r w:rsidRPr="0021756A">
        <w:rPr>
          <w:rFonts w:ascii="Arial" w:hAnsi="Arial" w:cs="Arial"/>
          <w:bCs/>
          <w:iCs/>
          <w:szCs w:val="24"/>
        </w:rPr>
        <w:t>y</w:t>
      </w:r>
      <w:proofErr w:type="gramEnd"/>
      <w:r w:rsidRPr="0021756A">
        <w:rPr>
          <w:rFonts w:ascii="Arial" w:hAnsi="Arial" w:cs="Arial"/>
          <w:bCs/>
          <w:iCs/>
          <w:szCs w:val="24"/>
        </w:rPr>
        <w:t xml:space="preserve"> en consecuencia, se condene a la Administradora de Fondo de Pensiones y Cesantías Porvenir S.A. a reconocer y pagar la pensión de invalidez, junto con los reajustes anuales a futuro y las costas procesales. </w:t>
      </w:r>
    </w:p>
    <w:p w:rsidR="00BB41B6" w:rsidRPr="0021756A" w:rsidRDefault="00BB41B6" w:rsidP="0021756A">
      <w:pPr>
        <w:pStyle w:val="Sinespaciado"/>
        <w:spacing w:line="276" w:lineRule="auto"/>
        <w:rPr>
          <w:rFonts w:ascii="Arial" w:hAnsi="Arial" w:cs="Arial"/>
          <w:szCs w:val="24"/>
        </w:rPr>
      </w:pPr>
    </w:p>
    <w:p w:rsidR="00907C15" w:rsidRPr="0021756A" w:rsidRDefault="00BB41B6" w:rsidP="0021756A">
      <w:pPr>
        <w:spacing w:line="276" w:lineRule="auto"/>
        <w:ind w:firstLine="709"/>
        <w:jc w:val="both"/>
        <w:rPr>
          <w:rFonts w:ascii="Arial" w:hAnsi="Arial" w:cs="Arial"/>
          <w:bCs/>
          <w:iCs/>
          <w:szCs w:val="24"/>
        </w:rPr>
      </w:pPr>
      <w:r w:rsidRPr="0021756A">
        <w:rPr>
          <w:rFonts w:ascii="Arial" w:hAnsi="Arial" w:cs="Arial"/>
          <w:bCs/>
          <w:iCs/>
          <w:szCs w:val="24"/>
        </w:rPr>
        <w:t xml:space="preserve">Las aludidas pretensiones, descansan en que </w:t>
      </w:r>
      <w:r w:rsidR="00CE2917" w:rsidRPr="0021756A">
        <w:rPr>
          <w:rFonts w:ascii="Arial" w:hAnsi="Arial" w:cs="Arial"/>
          <w:bCs/>
          <w:iCs/>
          <w:szCs w:val="24"/>
        </w:rPr>
        <w:t xml:space="preserve">nació el 9 de julio de 1971; que </w:t>
      </w:r>
      <w:r w:rsidRPr="0021756A">
        <w:rPr>
          <w:rFonts w:ascii="Arial" w:hAnsi="Arial" w:cs="Arial"/>
          <w:bCs/>
          <w:iCs/>
          <w:szCs w:val="24"/>
        </w:rPr>
        <w:t>estuvo afiliado al antiguo ISS desde el 25 de abril de 1994 y hasta el 31 de mayo de 2004, sufragando un total de 386.71 semanas de aportes; que el 1º de junio de 2004 se trasladó al Fondo de Pensiones y Cesantías Porveni</w:t>
      </w:r>
      <w:r w:rsidR="001141AA" w:rsidRPr="0021756A">
        <w:rPr>
          <w:rFonts w:ascii="Arial" w:hAnsi="Arial" w:cs="Arial"/>
          <w:bCs/>
          <w:iCs/>
          <w:szCs w:val="24"/>
        </w:rPr>
        <w:t xml:space="preserve">r S.A., efectuando aportes hasta el 31 de diciembre de 2004. Refiere que fue diagnosticado portador del virus del VIH desde el mes de octubre de 1994, por lo que ha debido someterse a tratamiento médico y </w:t>
      </w:r>
      <w:r w:rsidR="00F45B5C" w:rsidRPr="0021756A">
        <w:rPr>
          <w:rFonts w:ascii="Arial" w:hAnsi="Arial" w:cs="Arial"/>
          <w:bCs/>
          <w:iCs/>
          <w:szCs w:val="24"/>
        </w:rPr>
        <w:t>psiquiátrico</w:t>
      </w:r>
      <w:r w:rsidR="001141AA" w:rsidRPr="0021756A">
        <w:rPr>
          <w:rFonts w:ascii="Arial" w:hAnsi="Arial" w:cs="Arial"/>
          <w:bCs/>
          <w:iCs/>
          <w:szCs w:val="24"/>
        </w:rPr>
        <w:t>; que la enfermedad ha evolucionado, provocando deterioro</w:t>
      </w:r>
      <w:r w:rsidR="00F45B5C" w:rsidRPr="0021756A">
        <w:rPr>
          <w:rFonts w:ascii="Arial" w:hAnsi="Arial" w:cs="Arial"/>
          <w:bCs/>
          <w:iCs/>
          <w:szCs w:val="24"/>
        </w:rPr>
        <w:t>s en su salud</w:t>
      </w:r>
      <w:r w:rsidR="001141AA" w:rsidRPr="0021756A">
        <w:rPr>
          <w:rFonts w:ascii="Arial" w:hAnsi="Arial" w:cs="Arial"/>
          <w:bCs/>
          <w:iCs/>
          <w:szCs w:val="24"/>
        </w:rPr>
        <w:t>, en estadio concomitante III con TBC en tratamiento y toxoplasmosis cerebral; que ha cumplido incapacidad por enfermedad general superior a los 180 d</w:t>
      </w:r>
      <w:r w:rsidR="00907C15" w:rsidRPr="0021756A">
        <w:rPr>
          <w:rFonts w:ascii="Arial" w:hAnsi="Arial" w:cs="Arial"/>
          <w:bCs/>
          <w:iCs/>
          <w:szCs w:val="24"/>
        </w:rPr>
        <w:t xml:space="preserve">ías. </w:t>
      </w:r>
    </w:p>
    <w:p w:rsidR="00907C15" w:rsidRPr="0021756A" w:rsidRDefault="00907C15" w:rsidP="0021756A">
      <w:pPr>
        <w:pStyle w:val="Sinespaciado"/>
        <w:spacing w:line="276" w:lineRule="auto"/>
        <w:rPr>
          <w:rFonts w:ascii="Arial" w:hAnsi="Arial" w:cs="Arial"/>
          <w:szCs w:val="24"/>
        </w:rPr>
      </w:pPr>
    </w:p>
    <w:p w:rsidR="001141AA" w:rsidRPr="0021756A" w:rsidRDefault="00907C15" w:rsidP="0021756A">
      <w:pPr>
        <w:spacing w:line="276" w:lineRule="auto"/>
        <w:ind w:firstLine="709"/>
        <w:jc w:val="both"/>
        <w:rPr>
          <w:rFonts w:ascii="Arial" w:hAnsi="Arial" w:cs="Arial"/>
          <w:bCs/>
          <w:iCs/>
          <w:szCs w:val="24"/>
        </w:rPr>
      </w:pPr>
      <w:r w:rsidRPr="0021756A">
        <w:rPr>
          <w:rFonts w:ascii="Arial" w:hAnsi="Arial" w:cs="Arial"/>
          <w:bCs/>
          <w:iCs/>
          <w:szCs w:val="24"/>
        </w:rPr>
        <w:t xml:space="preserve">Indica que </w:t>
      </w:r>
      <w:r w:rsidR="001141AA" w:rsidRPr="0021756A">
        <w:rPr>
          <w:rFonts w:ascii="Arial" w:hAnsi="Arial" w:cs="Arial"/>
          <w:bCs/>
          <w:iCs/>
          <w:szCs w:val="24"/>
        </w:rPr>
        <w:t xml:space="preserve">el 16 de diciembre de 2010 fue calificado por el Grupo Interdisciplinario de Calificación Seguros de Vida Alfa S.A. con una pérdida de capacidad laboral del 76.95 % de origen común; que posteriormente la Nueva EPS en dictamen del 28 de diciembre de 2010 confirmó </w:t>
      </w:r>
      <w:r w:rsidR="00F45B5C" w:rsidRPr="0021756A">
        <w:rPr>
          <w:rFonts w:ascii="Arial" w:hAnsi="Arial" w:cs="Arial"/>
          <w:bCs/>
          <w:iCs/>
          <w:szCs w:val="24"/>
        </w:rPr>
        <w:t xml:space="preserve">dicho </w:t>
      </w:r>
      <w:r w:rsidR="001141AA" w:rsidRPr="0021756A">
        <w:rPr>
          <w:rFonts w:ascii="Arial" w:hAnsi="Arial" w:cs="Arial"/>
          <w:bCs/>
          <w:iCs/>
          <w:szCs w:val="24"/>
        </w:rPr>
        <w:t>porcentaje</w:t>
      </w:r>
      <w:r w:rsidR="00F45B5C" w:rsidRPr="0021756A">
        <w:rPr>
          <w:rFonts w:ascii="Arial" w:hAnsi="Arial" w:cs="Arial"/>
          <w:bCs/>
          <w:iCs/>
          <w:szCs w:val="24"/>
        </w:rPr>
        <w:t xml:space="preserve">, determinando </w:t>
      </w:r>
      <w:r w:rsidR="001141AA" w:rsidRPr="0021756A">
        <w:rPr>
          <w:rFonts w:ascii="Arial" w:hAnsi="Arial" w:cs="Arial"/>
          <w:bCs/>
          <w:iCs/>
          <w:szCs w:val="24"/>
        </w:rPr>
        <w:t xml:space="preserve">como fecha de estructuración </w:t>
      </w:r>
      <w:r w:rsidR="00F45B5C" w:rsidRPr="0021756A">
        <w:rPr>
          <w:rFonts w:ascii="Arial" w:hAnsi="Arial" w:cs="Arial"/>
          <w:bCs/>
          <w:iCs/>
          <w:szCs w:val="24"/>
        </w:rPr>
        <w:t>de la invalidez e</w:t>
      </w:r>
      <w:r w:rsidR="001141AA" w:rsidRPr="0021756A">
        <w:rPr>
          <w:rFonts w:ascii="Arial" w:hAnsi="Arial" w:cs="Arial"/>
          <w:bCs/>
          <w:iCs/>
          <w:szCs w:val="24"/>
        </w:rPr>
        <w:t>l 23 de a</w:t>
      </w:r>
      <w:r w:rsidRPr="0021756A">
        <w:rPr>
          <w:rFonts w:ascii="Arial" w:hAnsi="Arial" w:cs="Arial"/>
          <w:bCs/>
          <w:iCs/>
          <w:szCs w:val="24"/>
        </w:rPr>
        <w:t xml:space="preserve">gosto de 1994, y que el 11 de enero de 2011 </w:t>
      </w:r>
      <w:r w:rsidR="001141AA" w:rsidRPr="0021756A">
        <w:rPr>
          <w:rFonts w:ascii="Arial" w:hAnsi="Arial" w:cs="Arial"/>
          <w:bCs/>
          <w:iCs/>
          <w:szCs w:val="24"/>
        </w:rPr>
        <w:t>presentó solicitud pensional ante Porvenir S.A.</w:t>
      </w:r>
      <w:r w:rsidR="00CE2917" w:rsidRPr="0021756A">
        <w:rPr>
          <w:rFonts w:ascii="Arial" w:hAnsi="Arial" w:cs="Arial"/>
          <w:bCs/>
          <w:iCs/>
          <w:szCs w:val="24"/>
        </w:rPr>
        <w:t xml:space="preserve">, la cual fue resuelta desfavorablemente el </w:t>
      </w:r>
      <w:r w:rsidRPr="0021756A">
        <w:rPr>
          <w:rFonts w:ascii="Arial" w:hAnsi="Arial" w:cs="Arial"/>
          <w:bCs/>
          <w:iCs/>
          <w:szCs w:val="24"/>
        </w:rPr>
        <w:t xml:space="preserve">5 de julio de esa anualidad. </w:t>
      </w:r>
    </w:p>
    <w:p w:rsidR="00F52329" w:rsidRPr="0021756A" w:rsidRDefault="00F52329" w:rsidP="0021756A">
      <w:pPr>
        <w:pStyle w:val="Sinespaciado"/>
        <w:spacing w:line="276" w:lineRule="auto"/>
        <w:rPr>
          <w:rFonts w:ascii="Arial" w:hAnsi="Arial" w:cs="Arial"/>
          <w:szCs w:val="24"/>
        </w:rPr>
      </w:pPr>
    </w:p>
    <w:p w:rsidR="00F52329" w:rsidRPr="0021756A" w:rsidRDefault="00840164" w:rsidP="0021756A">
      <w:pPr>
        <w:spacing w:line="276" w:lineRule="auto"/>
        <w:ind w:firstLine="709"/>
        <w:jc w:val="both"/>
        <w:rPr>
          <w:rFonts w:ascii="Arial" w:hAnsi="Arial" w:cs="Arial"/>
          <w:bCs/>
          <w:iCs/>
          <w:szCs w:val="24"/>
        </w:rPr>
      </w:pPr>
      <w:r w:rsidRPr="0021756A">
        <w:rPr>
          <w:rFonts w:ascii="Arial" w:hAnsi="Arial" w:cs="Arial"/>
          <w:bCs/>
          <w:iCs/>
          <w:szCs w:val="24"/>
        </w:rPr>
        <w:t>A</w:t>
      </w:r>
      <w:r w:rsidR="00F52329" w:rsidRPr="0021756A">
        <w:rPr>
          <w:rFonts w:ascii="Arial" w:hAnsi="Arial" w:cs="Arial"/>
          <w:bCs/>
          <w:iCs/>
          <w:szCs w:val="24"/>
        </w:rPr>
        <w:t xml:space="preserve">l dar respuesta a la demanda, </w:t>
      </w:r>
      <w:r w:rsidR="00872C19" w:rsidRPr="0021756A">
        <w:rPr>
          <w:rFonts w:ascii="Arial" w:hAnsi="Arial" w:cs="Arial"/>
          <w:bCs/>
          <w:iCs/>
          <w:szCs w:val="24"/>
        </w:rPr>
        <w:t xml:space="preserve">la </w:t>
      </w:r>
      <w:r w:rsidR="00872C19" w:rsidRPr="0021756A">
        <w:rPr>
          <w:rFonts w:ascii="Arial" w:hAnsi="Arial" w:cs="Arial"/>
          <w:b/>
          <w:bCs/>
          <w:iCs/>
          <w:szCs w:val="24"/>
        </w:rPr>
        <w:t xml:space="preserve">Administradora de Fondo de Pensiones y Cesantías </w:t>
      </w:r>
      <w:r w:rsidR="00F52329" w:rsidRPr="0021756A">
        <w:rPr>
          <w:rFonts w:ascii="Arial" w:hAnsi="Arial" w:cs="Arial"/>
          <w:b/>
          <w:bCs/>
          <w:iCs/>
          <w:szCs w:val="24"/>
        </w:rPr>
        <w:t>Porvenir S.A.</w:t>
      </w:r>
      <w:r w:rsidR="00F52329" w:rsidRPr="0021756A">
        <w:rPr>
          <w:rFonts w:ascii="Arial" w:hAnsi="Arial" w:cs="Arial"/>
          <w:bCs/>
          <w:iCs/>
          <w:szCs w:val="24"/>
        </w:rPr>
        <w:t xml:space="preserve"> acept</w:t>
      </w:r>
      <w:r w:rsidRPr="0021756A">
        <w:rPr>
          <w:rFonts w:ascii="Arial" w:hAnsi="Arial" w:cs="Arial"/>
          <w:bCs/>
          <w:iCs/>
          <w:szCs w:val="24"/>
        </w:rPr>
        <w:t>a</w:t>
      </w:r>
      <w:r w:rsidR="00F52329" w:rsidRPr="0021756A">
        <w:rPr>
          <w:rFonts w:ascii="Arial" w:hAnsi="Arial" w:cs="Arial"/>
          <w:bCs/>
          <w:iCs/>
          <w:szCs w:val="24"/>
        </w:rPr>
        <w:t xml:space="preserve"> lo relacionado con la afiliación del actor al régimen de prima media y su posterior traslado al de ahorro individual, la calificación de pérdida de capacidad laboral y su fecha de estructuración, la solicitud pensional de invalidez y su solución desfavorable. Se op</w:t>
      </w:r>
      <w:r w:rsidRPr="0021756A">
        <w:rPr>
          <w:rFonts w:ascii="Arial" w:hAnsi="Arial" w:cs="Arial"/>
          <w:bCs/>
          <w:iCs/>
          <w:szCs w:val="24"/>
        </w:rPr>
        <w:t xml:space="preserve">one </w:t>
      </w:r>
      <w:r w:rsidR="00F52329" w:rsidRPr="0021756A">
        <w:rPr>
          <w:rFonts w:ascii="Arial" w:hAnsi="Arial" w:cs="Arial"/>
          <w:bCs/>
          <w:iCs/>
          <w:szCs w:val="24"/>
        </w:rPr>
        <w:t xml:space="preserve">a las pretensiones de la demanda, </w:t>
      </w:r>
      <w:r w:rsidRPr="0021756A">
        <w:rPr>
          <w:rFonts w:ascii="Arial" w:hAnsi="Arial" w:cs="Arial"/>
          <w:bCs/>
          <w:iCs/>
          <w:szCs w:val="24"/>
        </w:rPr>
        <w:t xml:space="preserve">alegando que </w:t>
      </w:r>
      <w:r w:rsidR="00F52329" w:rsidRPr="0021756A">
        <w:rPr>
          <w:rFonts w:ascii="Arial" w:hAnsi="Arial" w:cs="Arial"/>
          <w:bCs/>
          <w:iCs/>
          <w:szCs w:val="24"/>
        </w:rPr>
        <w:t>el demandante no acredita el cumplimiento de los requisitos legales para el reconocimiento de la pensión de invalidez que reclama. En su defensa, formula como excepciones de fondo “Prescripción”, “Buena fe”, “Compensación”, “Inexistencia de la obligación y cobro de lo no adeudado”, “Inexistencia de la causa por insuficiente densidad de semanas cotizadas”</w:t>
      </w:r>
      <w:r w:rsidRPr="0021756A">
        <w:rPr>
          <w:rFonts w:ascii="Arial" w:hAnsi="Arial" w:cs="Arial"/>
          <w:bCs/>
          <w:iCs/>
          <w:szCs w:val="24"/>
        </w:rPr>
        <w:t xml:space="preserve"> y “Conflicto Jurídico excluyente, falta de legitimación en la causa por pasiva y hecho exclusivo de un tercero”. </w:t>
      </w:r>
    </w:p>
    <w:p w:rsidR="00BB41B6" w:rsidRPr="0021756A" w:rsidRDefault="00BB41B6" w:rsidP="0021756A">
      <w:pPr>
        <w:pStyle w:val="Sinespaciado"/>
        <w:spacing w:line="276" w:lineRule="auto"/>
        <w:rPr>
          <w:rFonts w:ascii="Arial" w:hAnsi="Arial" w:cs="Arial"/>
          <w:szCs w:val="24"/>
        </w:rPr>
      </w:pPr>
    </w:p>
    <w:p w:rsidR="00840164" w:rsidRDefault="00840164" w:rsidP="0021756A">
      <w:pPr>
        <w:spacing w:line="276" w:lineRule="auto"/>
        <w:ind w:firstLine="709"/>
        <w:jc w:val="both"/>
        <w:rPr>
          <w:rFonts w:ascii="Arial" w:hAnsi="Arial" w:cs="Arial"/>
          <w:bCs/>
          <w:iCs/>
          <w:szCs w:val="24"/>
        </w:rPr>
      </w:pPr>
      <w:r w:rsidRPr="0021756A">
        <w:rPr>
          <w:rFonts w:ascii="Arial" w:hAnsi="Arial" w:cs="Arial"/>
          <w:bCs/>
          <w:iCs/>
          <w:szCs w:val="24"/>
        </w:rPr>
        <w:t xml:space="preserve">En el trámite del proceso, se ordenó la vinculación de la </w:t>
      </w:r>
      <w:r w:rsidRPr="0021756A">
        <w:rPr>
          <w:rFonts w:ascii="Arial" w:hAnsi="Arial" w:cs="Arial"/>
          <w:b/>
          <w:bCs/>
          <w:iCs/>
          <w:szCs w:val="24"/>
        </w:rPr>
        <w:t>Administradora Colombiana de Pensiones</w:t>
      </w:r>
      <w:r w:rsidRPr="0021756A">
        <w:rPr>
          <w:rFonts w:ascii="Arial" w:hAnsi="Arial" w:cs="Arial"/>
          <w:b/>
          <w:bCs/>
          <w:i/>
          <w:iCs/>
          <w:szCs w:val="24"/>
        </w:rPr>
        <w:t xml:space="preserve"> </w:t>
      </w:r>
      <w:r w:rsidR="00BB41B6" w:rsidRPr="0021756A">
        <w:rPr>
          <w:rFonts w:ascii="Arial" w:hAnsi="Arial" w:cs="Arial"/>
          <w:b/>
          <w:bCs/>
          <w:iCs/>
          <w:szCs w:val="24"/>
        </w:rPr>
        <w:t>Colpensiones</w:t>
      </w:r>
      <w:r w:rsidR="00BB41B6" w:rsidRPr="0021756A">
        <w:rPr>
          <w:rFonts w:ascii="Arial" w:hAnsi="Arial" w:cs="Arial"/>
          <w:b/>
          <w:bCs/>
          <w:i/>
          <w:iCs/>
          <w:szCs w:val="24"/>
        </w:rPr>
        <w:t>,</w:t>
      </w:r>
      <w:r w:rsidR="00BB41B6" w:rsidRPr="0021756A">
        <w:rPr>
          <w:rFonts w:ascii="Arial" w:hAnsi="Arial" w:cs="Arial"/>
          <w:bCs/>
          <w:iCs/>
          <w:szCs w:val="24"/>
        </w:rPr>
        <w:t xml:space="preserve"> </w:t>
      </w:r>
      <w:r w:rsidRPr="0021756A">
        <w:rPr>
          <w:rFonts w:ascii="Arial" w:hAnsi="Arial" w:cs="Arial"/>
          <w:bCs/>
          <w:iCs/>
          <w:szCs w:val="24"/>
        </w:rPr>
        <w:t xml:space="preserve">en calidad de litisconsorte necesario, </w:t>
      </w:r>
      <w:r w:rsidR="003C069A" w:rsidRPr="0021756A">
        <w:rPr>
          <w:rFonts w:ascii="Arial" w:hAnsi="Arial" w:cs="Arial"/>
          <w:bCs/>
          <w:iCs/>
          <w:szCs w:val="24"/>
        </w:rPr>
        <w:t>quien,</w:t>
      </w:r>
      <w:r w:rsidRPr="0021756A">
        <w:rPr>
          <w:rFonts w:ascii="Arial" w:hAnsi="Arial" w:cs="Arial"/>
          <w:bCs/>
          <w:iCs/>
          <w:szCs w:val="24"/>
        </w:rPr>
        <w:t xml:space="preserve"> para el efecto, </w:t>
      </w:r>
      <w:r w:rsidR="00E1119D" w:rsidRPr="0021756A">
        <w:rPr>
          <w:rFonts w:ascii="Arial" w:hAnsi="Arial" w:cs="Arial"/>
          <w:bCs/>
          <w:iCs/>
          <w:szCs w:val="24"/>
        </w:rPr>
        <w:t>adujo que el demand</w:t>
      </w:r>
      <w:r w:rsidR="00E47C50" w:rsidRPr="0021756A">
        <w:rPr>
          <w:rFonts w:ascii="Arial" w:hAnsi="Arial" w:cs="Arial"/>
          <w:bCs/>
          <w:iCs/>
          <w:szCs w:val="24"/>
        </w:rPr>
        <w:t>ante no se encuentra afiliado al régimen de prima media p</w:t>
      </w:r>
      <w:r w:rsidR="00E1119D" w:rsidRPr="0021756A">
        <w:rPr>
          <w:rFonts w:ascii="Arial" w:hAnsi="Arial" w:cs="Arial"/>
          <w:bCs/>
          <w:iCs/>
          <w:szCs w:val="24"/>
        </w:rPr>
        <w:t>ues</w:t>
      </w:r>
      <w:r w:rsidR="00E47C50" w:rsidRPr="0021756A">
        <w:rPr>
          <w:rFonts w:ascii="Arial" w:hAnsi="Arial" w:cs="Arial"/>
          <w:bCs/>
          <w:iCs/>
          <w:szCs w:val="24"/>
        </w:rPr>
        <w:t>to que</w:t>
      </w:r>
      <w:r w:rsidR="00E1119D" w:rsidRPr="0021756A">
        <w:rPr>
          <w:rFonts w:ascii="Arial" w:hAnsi="Arial" w:cs="Arial"/>
          <w:bCs/>
          <w:iCs/>
          <w:szCs w:val="24"/>
        </w:rPr>
        <w:t xml:space="preserve"> el 10 de junio de 2004 se trasladó al Fondo Privado Porvenir S.A., por lo que se opuso a los pedimentos</w:t>
      </w:r>
      <w:r w:rsidR="00E47C50" w:rsidRPr="0021756A">
        <w:rPr>
          <w:rFonts w:ascii="Arial" w:hAnsi="Arial" w:cs="Arial"/>
          <w:bCs/>
          <w:iCs/>
          <w:szCs w:val="24"/>
        </w:rPr>
        <w:t xml:space="preserve"> de la demanda</w:t>
      </w:r>
      <w:r w:rsidR="00E1119D" w:rsidRPr="0021756A">
        <w:rPr>
          <w:rFonts w:ascii="Arial" w:hAnsi="Arial" w:cs="Arial"/>
          <w:bCs/>
          <w:iCs/>
          <w:szCs w:val="24"/>
        </w:rPr>
        <w:t xml:space="preserve">. </w:t>
      </w:r>
      <w:r w:rsidR="00EF50BE" w:rsidRPr="0021756A">
        <w:rPr>
          <w:rFonts w:ascii="Arial" w:hAnsi="Arial" w:cs="Arial"/>
          <w:bCs/>
          <w:iCs/>
          <w:szCs w:val="24"/>
        </w:rPr>
        <w:t>Propuso como excepciones de fondo “Inexistencia de la obligación demandada”, “Cobro de lo no debido” y “Prescripción”.</w:t>
      </w:r>
    </w:p>
    <w:p w:rsidR="0021756A" w:rsidRPr="0021756A" w:rsidRDefault="0021756A" w:rsidP="0021756A">
      <w:pPr>
        <w:spacing w:line="276" w:lineRule="auto"/>
        <w:ind w:firstLine="709"/>
        <w:jc w:val="both"/>
        <w:rPr>
          <w:rFonts w:ascii="Arial" w:hAnsi="Arial" w:cs="Arial"/>
          <w:bCs/>
          <w:iCs/>
          <w:szCs w:val="24"/>
        </w:rPr>
      </w:pPr>
    </w:p>
    <w:p w:rsidR="00BB41B6" w:rsidRPr="0021756A" w:rsidRDefault="00BB41B6" w:rsidP="0021756A">
      <w:pPr>
        <w:pStyle w:val="Prrafodelista"/>
        <w:numPr>
          <w:ilvl w:val="0"/>
          <w:numId w:val="1"/>
        </w:numPr>
        <w:spacing w:line="276" w:lineRule="auto"/>
        <w:jc w:val="both"/>
        <w:rPr>
          <w:rFonts w:ascii="Arial" w:hAnsi="Arial" w:cs="Arial"/>
          <w:b/>
          <w:bCs/>
          <w:i/>
          <w:iCs/>
          <w:szCs w:val="24"/>
        </w:rPr>
      </w:pPr>
      <w:r w:rsidRPr="0021756A">
        <w:rPr>
          <w:rFonts w:ascii="Arial" w:hAnsi="Arial" w:cs="Arial"/>
          <w:b/>
          <w:bCs/>
          <w:i/>
          <w:iCs/>
          <w:szCs w:val="24"/>
        </w:rPr>
        <w:t>SENTENCIA DEL JUZGADO</w:t>
      </w:r>
    </w:p>
    <w:p w:rsidR="00BB41B6" w:rsidRPr="0021756A" w:rsidRDefault="00BB41B6" w:rsidP="0021756A">
      <w:pPr>
        <w:pStyle w:val="Sinespaciado"/>
        <w:spacing w:line="276" w:lineRule="auto"/>
        <w:rPr>
          <w:rFonts w:ascii="Arial" w:hAnsi="Arial" w:cs="Arial"/>
          <w:szCs w:val="24"/>
        </w:rPr>
      </w:pPr>
    </w:p>
    <w:p w:rsidR="00BB41B6" w:rsidRPr="0021756A" w:rsidRDefault="00BB41B6" w:rsidP="0021756A">
      <w:pPr>
        <w:spacing w:line="276" w:lineRule="auto"/>
        <w:ind w:firstLine="709"/>
        <w:jc w:val="both"/>
        <w:rPr>
          <w:rFonts w:ascii="Arial" w:hAnsi="Arial" w:cs="Arial"/>
          <w:bCs/>
          <w:iCs/>
          <w:szCs w:val="24"/>
        </w:rPr>
      </w:pPr>
      <w:r w:rsidRPr="0021756A">
        <w:rPr>
          <w:rFonts w:ascii="Arial" w:hAnsi="Arial" w:cs="Arial"/>
          <w:bCs/>
          <w:iCs/>
          <w:szCs w:val="24"/>
        </w:rPr>
        <w:t xml:space="preserve">Con sentencia del </w:t>
      </w:r>
      <w:r w:rsidR="000C6667" w:rsidRPr="0021756A">
        <w:rPr>
          <w:rFonts w:ascii="Arial" w:hAnsi="Arial" w:cs="Arial"/>
          <w:bCs/>
          <w:iCs/>
          <w:szCs w:val="24"/>
        </w:rPr>
        <w:t>16 de f</w:t>
      </w:r>
      <w:r w:rsidRPr="0021756A">
        <w:rPr>
          <w:rFonts w:ascii="Arial" w:hAnsi="Arial" w:cs="Arial"/>
          <w:bCs/>
          <w:iCs/>
          <w:szCs w:val="24"/>
        </w:rPr>
        <w:t xml:space="preserve">ebrero de 2015, el Juzgado </w:t>
      </w:r>
      <w:r w:rsidR="000C6667" w:rsidRPr="0021756A">
        <w:rPr>
          <w:rFonts w:ascii="Arial" w:hAnsi="Arial" w:cs="Arial"/>
          <w:bCs/>
          <w:iCs/>
          <w:szCs w:val="24"/>
        </w:rPr>
        <w:t>Segundo Laboral del Circuito de Pereira, declaró que el señor JJCS es invalido por haber perdido el 76.95% de su capacidad laboral; así mismo, que la fecha de estructuración de su estado</w:t>
      </w:r>
      <w:r w:rsidR="00C13CF5" w:rsidRPr="0021756A">
        <w:rPr>
          <w:rFonts w:ascii="Arial" w:hAnsi="Arial" w:cs="Arial"/>
          <w:bCs/>
          <w:iCs/>
          <w:szCs w:val="24"/>
        </w:rPr>
        <w:t xml:space="preserve"> es el 31 de diciembre de 1998. </w:t>
      </w:r>
      <w:r w:rsidR="000C6667" w:rsidRPr="0021756A">
        <w:rPr>
          <w:rFonts w:ascii="Arial" w:hAnsi="Arial" w:cs="Arial"/>
          <w:bCs/>
          <w:iCs/>
          <w:szCs w:val="24"/>
        </w:rPr>
        <w:t xml:space="preserve">En consecuencia, condenó a la Sociedad Administradora de Fondo de Pensiones y Cesantías Porvenir S.A. a reconocer y pagar la prestación pensional de invalidez al actor a partir del 31 de diciembre de 1998, en cuantía igual a 1 SMLMV y por catorce mesadas. </w:t>
      </w:r>
      <w:r w:rsidR="00302B95" w:rsidRPr="0021756A">
        <w:rPr>
          <w:rFonts w:ascii="Arial" w:hAnsi="Arial" w:cs="Arial"/>
          <w:bCs/>
          <w:iCs/>
          <w:szCs w:val="24"/>
        </w:rPr>
        <w:t xml:space="preserve">Absolvió a Colpensiones de todas las pretensiones de la demanda y condenó en costas a la parte vencida en un 50 % fijando las agencias en derecho en la suma de $644.350. </w:t>
      </w:r>
    </w:p>
    <w:p w:rsidR="000C6667" w:rsidRPr="0021756A" w:rsidRDefault="000C6667" w:rsidP="0021756A">
      <w:pPr>
        <w:pStyle w:val="Sinespaciado"/>
        <w:spacing w:line="276" w:lineRule="auto"/>
        <w:rPr>
          <w:rFonts w:ascii="Arial" w:hAnsi="Arial" w:cs="Arial"/>
          <w:szCs w:val="24"/>
        </w:rPr>
      </w:pPr>
    </w:p>
    <w:p w:rsidR="00017CBD" w:rsidRPr="0021756A" w:rsidRDefault="00DE24BC" w:rsidP="0021756A">
      <w:pPr>
        <w:spacing w:line="276" w:lineRule="auto"/>
        <w:ind w:firstLine="709"/>
        <w:jc w:val="both"/>
        <w:rPr>
          <w:rFonts w:ascii="Arial" w:hAnsi="Arial" w:cs="Arial"/>
          <w:bCs/>
          <w:iCs/>
          <w:szCs w:val="24"/>
        </w:rPr>
      </w:pPr>
      <w:r w:rsidRPr="0021756A">
        <w:rPr>
          <w:rFonts w:ascii="Arial" w:hAnsi="Arial" w:cs="Arial"/>
          <w:bCs/>
          <w:iCs/>
          <w:szCs w:val="24"/>
        </w:rPr>
        <w:t xml:space="preserve">Para arribar a tal conclusión, se apoyó </w:t>
      </w:r>
      <w:r w:rsidR="00302B95" w:rsidRPr="0021756A">
        <w:rPr>
          <w:rFonts w:ascii="Arial" w:hAnsi="Arial" w:cs="Arial"/>
          <w:bCs/>
          <w:iCs/>
          <w:szCs w:val="24"/>
        </w:rPr>
        <w:t>en</w:t>
      </w:r>
      <w:r w:rsidR="0037313C" w:rsidRPr="0021756A">
        <w:rPr>
          <w:rFonts w:ascii="Arial" w:hAnsi="Arial" w:cs="Arial"/>
          <w:bCs/>
          <w:iCs/>
          <w:szCs w:val="24"/>
        </w:rPr>
        <w:t xml:space="preserve"> sentencias de la Corte Constitucional relacionadas </w:t>
      </w:r>
      <w:r w:rsidR="00302B95" w:rsidRPr="0021756A">
        <w:rPr>
          <w:rFonts w:ascii="Arial" w:hAnsi="Arial" w:cs="Arial"/>
          <w:bCs/>
          <w:iCs/>
          <w:szCs w:val="24"/>
        </w:rPr>
        <w:t xml:space="preserve">con </w:t>
      </w:r>
      <w:r w:rsidR="007C133F" w:rsidRPr="0021756A">
        <w:rPr>
          <w:rFonts w:ascii="Arial" w:hAnsi="Arial" w:cs="Arial"/>
          <w:bCs/>
          <w:iCs/>
          <w:szCs w:val="24"/>
        </w:rPr>
        <w:t xml:space="preserve">la fecha de estructuración y pérdida de capacidad laboral de personas con </w:t>
      </w:r>
      <w:r w:rsidR="00302B95" w:rsidRPr="0021756A">
        <w:rPr>
          <w:rFonts w:ascii="Arial" w:hAnsi="Arial" w:cs="Arial"/>
          <w:bCs/>
          <w:iCs/>
          <w:szCs w:val="24"/>
        </w:rPr>
        <w:t xml:space="preserve">enfermedades crónicas, degenerativas o congénitas, </w:t>
      </w:r>
      <w:r w:rsidR="0037313C" w:rsidRPr="0021756A">
        <w:rPr>
          <w:rFonts w:ascii="Arial" w:hAnsi="Arial" w:cs="Arial"/>
          <w:bCs/>
          <w:iCs/>
          <w:szCs w:val="24"/>
        </w:rPr>
        <w:t>cuyos apartes pertinentes cit</w:t>
      </w:r>
      <w:r w:rsidR="00BE04C9" w:rsidRPr="0021756A">
        <w:rPr>
          <w:rFonts w:ascii="Arial" w:hAnsi="Arial" w:cs="Arial"/>
          <w:bCs/>
          <w:iCs/>
          <w:szCs w:val="24"/>
        </w:rPr>
        <w:t>ó y</w:t>
      </w:r>
      <w:r w:rsidR="00915A95" w:rsidRPr="0021756A">
        <w:rPr>
          <w:rFonts w:ascii="Arial" w:hAnsi="Arial" w:cs="Arial"/>
          <w:bCs/>
          <w:iCs/>
          <w:szCs w:val="24"/>
        </w:rPr>
        <w:t xml:space="preserve"> </w:t>
      </w:r>
      <w:r w:rsidR="00C13CF5" w:rsidRPr="0021756A">
        <w:rPr>
          <w:rFonts w:ascii="Arial" w:hAnsi="Arial" w:cs="Arial"/>
          <w:bCs/>
          <w:iCs/>
          <w:szCs w:val="24"/>
        </w:rPr>
        <w:t xml:space="preserve">de donde </w:t>
      </w:r>
      <w:r w:rsidR="0037313C" w:rsidRPr="0021756A">
        <w:rPr>
          <w:rFonts w:ascii="Arial" w:hAnsi="Arial" w:cs="Arial"/>
          <w:bCs/>
          <w:iCs/>
          <w:szCs w:val="24"/>
        </w:rPr>
        <w:t xml:space="preserve">extrajo </w:t>
      </w:r>
      <w:r w:rsidR="00C13CF5" w:rsidRPr="0021756A">
        <w:rPr>
          <w:rFonts w:ascii="Arial" w:hAnsi="Arial" w:cs="Arial"/>
          <w:bCs/>
          <w:iCs/>
          <w:szCs w:val="24"/>
        </w:rPr>
        <w:t xml:space="preserve">que en aquellos eventos en que los dictámenes de las Juntas calificadoras se apartan del contexto real de los hechos en torno a la estructuración de invalidez de </w:t>
      </w:r>
      <w:r w:rsidR="007C133F" w:rsidRPr="0021756A">
        <w:rPr>
          <w:rFonts w:ascii="Arial" w:hAnsi="Arial" w:cs="Arial"/>
          <w:bCs/>
          <w:iCs/>
          <w:szCs w:val="24"/>
        </w:rPr>
        <w:t xml:space="preserve">personas con </w:t>
      </w:r>
      <w:r w:rsidR="00C13CF5" w:rsidRPr="0021756A">
        <w:rPr>
          <w:rFonts w:ascii="Arial" w:hAnsi="Arial" w:cs="Arial"/>
          <w:bCs/>
          <w:iCs/>
          <w:szCs w:val="24"/>
        </w:rPr>
        <w:t>este tipo de enfermedad</w:t>
      </w:r>
      <w:r w:rsidR="007C133F" w:rsidRPr="0021756A">
        <w:rPr>
          <w:rFonts w:ascii="Arial" w:hAnsi="Arial" w:cs="Arial"/>
          <w:bCs/>
          <w:iCs/>
          <w:szCs w:val="24"/>
        </w:rPr>
        <w:t>es</w:t>
      </w:r>
      <w:r w:rsidR="00E12D40" w:rsidRPr="0021756A">
        <w:rPr>
          <w:rFonts w:ascii="Arial" w:hAnsi="Arial" w:cs="Arial"/>
          <w:bCs/>
          <w:iCs/>
          <w:szCs w:val="24"/>
        </w:rPr>
        <w:t xml:space="preserve">, </w:t>
      </w:r>
      <w:r w:rsidR="00C13CF5" w:rsidRPr="0021756A">
        <w:rPr>
          <w:rFonts w:ascii="Arial" w:hAnsi="Arial" w:cs="Arial"/>
          <w:bCs/>
          <w:iCs/>
          <w:szCs w:val="24"/>
        </w:rPr>
        <w:t xml:space="preserve">es el juez </w:t>
      </w:r>
      <w:r w:rsidR="00BE04C9" w:rsidRPr="0021756A">
        <w:rPr>
          <w:rFonts w:ascii="Arial" w:hAnsi="Arial" w:cs="Arial"/>
          <w:bCs/>
          <w:iCs/>
          <w:szCs w:val="24"/>
        </w:rPr>
        <w:t>el llamado a determinar la fecha real y material de</w:t>
      </w:r>
      <w:r w:rsidR="007C133F" w:rsidRPr="0021756A">
        <w:rPr>
          <w:rFonts w:ascii="Arial" w:hAnsi="Arial" w:cs="Arial"/>
          <w:bCs/>
          <w:iCs/>
          <w:szCs w:val="24"/>
        </w:rPr>
        <w:t>l estado invalidante</w:t>
      </w:r>
      <w:r w:rsidR="00E17F9B" w:rsidRPr="0021756A">
        <w:rPr>
          <w:rFonts w:ascii="Arial" w:hAnsi="Arial" w:cs="Arial"/>
          <w:bCs/>
          <w:iCs/>
          <w:szCs w:val="24"/>
        </w:rPr>
        <w:t xml:space="preserve">. En ese sentido, sostuvo que </w:t>
      </w:r>
      <w:r w:rsidR="00096B5F" w:rsidRPr="0021756A">
        <w:rPr>
          <w:rFonts w:ascii="Arial" w:hAnsi="Arial" w:cs="Arial"/>
          <w:bCs/>
          <w:iCs/>
          <w:szCs w:val="24"/>
        </w:rPr>
        <w:t xml:space="preserve">si bien el </w:t>
      </w:r>
      <w:r w:rsidR="00E17F9B" w:rsidRPr="0021756A">
        <w:rPr>
          <w:rFonts w:ascii="Arial" w:hAnsi="Arial" w:cs="Arial"/>
          <w:bCs/>
          <w:iCs/>
          <w:szCs w:val="24"/>
        </w:rPr>
        <w:t>Grupo Interdisciplinario de</w:t>
      </w:r>
      <w:r w:rsidR="00096B5F" w:rsidRPr="0021756A">
        <w:rPr>
          <w:rFonts w:ascii="Arial" w:hAnsi="Arial" w:cs="Arial"/>
          <w:bCs/>
          <w:iCs/>
          <w:szCs w:val="24"/>
        </w:rPr>
        <w:t xml:space="preserve"> Calificación Seguros de Vida Alfa S.A. </w:t>
      </w:r>
      <w:r w:rsidR="00C13CF5" w:rsidRPr="0021756A">
        <w:rPr>
          <w:rFonts w:ascii="Arial" w:hAnsi="Arial" w:cs="Arial"/>
          <w:bCs/>
          <w:iCs/>
          <w:szCs w:val="24"/>
        </w:rPr>
        <w:t>determinó</w:t>
      </w:r>
      <w:r w:rsidR="00B65D84" w:rsidRPr="0021756A">
        <w:rPr>
          <w:rFonts w:ascii="Arial" w:hAnsi="Arial" w:cs="Arial"/>
          <w:bCs/>
          <w:iCs/>
          <w:szCs w:val="24"/>
        </w:rPr>
        <w:t xml:space="preserve"> como fecha de estructuración de la invalidez </w:t>
      </w:r>
      <w:r w:rsidR="004E0A57" w:rsidRPr="0021756A">
        <w:rPr>
          <w:rFonts w:ascii="Arial" w:hAnsi="Arial" w:cs="Arial"/>
          <w:bCs/>
          <w:iCs/>
          <w:szCs w:val="24"/>
        </w:rPr>
        <w:t xml:space="preserve">del accionante </w:t>
      </w:r>
      <w:r w:rsidR="00096B5F" w:rsidRPr="0021756A">
        <w:rPr>
          <w:rFonts w:ascii="Arial" w:hAnsi="Arial" w:cs="Arial"/>
          <w:bCs/>
          <w:iCs/>
          <w:szCs w:val="24"/>
        </w:rPr>
        <w:t>el</w:t>
      </w:r>
      <w:r w:rsidR="00B65D84" w:rsidRPr="0021756A">
        <w:rPr>
          <w:rFonts w:ascii="Arial" w:hAnsi="Arial" w:cs="Arial"/>
          <w:bCs/>
          <w:iCs/>
          <w:szCs w:val="24"/>
        </w:rPr>
        <w:t xml:space="preserve"> 23 de agosto de 1994, día en que se manifestó el cuadro de toxoplasmosis cerebral</w:t>
      </w:r>
      <w:r w:rsidR="00096B5F" w:rsidRPr="0021756A">
        <w:rPr>
          <w:rFonts w:ascii="Arial" w:hAnsi="Arial" w:cs="Arial"/>
          <w:bCs/>
          <w:iCs/>
          <w:szCs w:val="24"/>
        </w:rPr>
        <w:t xml:space="preserve">, </w:t>
      </w:r>
      <w:r w:rsidR="00E3220E" w:rsidRPr="0021756A">
        <w:rPr>
          <w:rFonts w:ascii="Arial" w:hAnsi="Arial" w:cs="Arial"/>
          <w:bCs/>
          <w:iCs/>
          <w:szCs w:val="24"/>
        </w:rPr>
        <w:t xml:space="preserve">lo cierto es que las pruebas allegadas al expediente </w:t>
      </w:r>
      <w:r w:rsidR="00096B5F" w:rsidRPr="0021756A">
        <w:rPr>
          <w:rFonts w:ascii="Arial" w:hAnsi="Arial" w:cs="Arial"/>
          <w:bCs/>
          <w:iCs/>
          <w:szCs w:val="24"/>
        </w:rPr>
        <w:t xml:space="preserve">dan cuenta de que </w:t>
      </w:r>
      <w:r w:rsidR="00AF39C5" w:rsidRPr="0021756A">
        <w:rPr>
          <w:rFonts w:ascii="Arial" w:hAnsi="Arial" w:cs="Arial"/>
          <w:bCs/>
          <w:iCs/>
          <w:szCs w:val="24"/>
        </w:rPr>
        <w:t xml:space="preserve">el afiliado estableció </w:t>
      </w:r>
      <w:r w:rsidR="00B65D84" w:rsidRPr="0021756A">
        <w:rPr>
          <w:rFonts w:ascii="Arial" w:hAnsi="Arial" w:cs="Arial"/>
          <w:bCs/>
          <w:iCs/>
          <w:szCs w:val="24"/>
        </w:rPr>
        <w:t xml:space="preserve">una vida laboral productiva y continua con posterioridad a esa calenda, siendo el 31 de diciembre de 1998 la fecha en la </w:t>
      </w:r>
      <w:r w:rsidR="00017CBD" w:rsidRPr="0021756A">
        <w:rPr>
          <w:rFonts w:ascii="Arial" w:hAnsi="Arial" w:cs="Arial"/>
          <w:bCs/>
          <w:iCs/>
          <w:szCs w:val="24"/>
        </w:rPr>
        <w:t xml:space="preserve">que </w:t>
      </w:r>
      <w:r w:rsidR="00B65D84" w:rsidRPr="0021756A">
        <w:rPr>
          <w:rFonts w:ascii="Arial" w:hAnsi="Arial" w:cs="Arial"/>
          <w:bCs/>
          <w:iCs/>
          <w:szCs w:val="24"/>
        </w:rPr>
        <w:t>perdió de manera definitiva y perma</w:t>
      </w:r>
      <w:r w:rsidR="00017CBD" w:rsidRPr="0021756A">
        <w:rPr>
          <w:rFonts w:ascii="Arial" w:hAnsi="Arial" w:cs="Arial"/>
          <w:bCs/>
          <w:iCs/>
          <w:szCs w:val="24"/>
        </w:rPr>
        <w:t xml:space="preserve">nente su capacidad para laborar. </w:t>
      </w:r>
    </w:p>
    <w:p w:rsidR="00017CBD" w:rsidRPr="0021756A" w:rsidRDefault="00017CBD" w:rsidP="0021756A">
      <w:pPr>
        <w:pStyle w:val="Sinespaciado"/>
        <w:spacing w:line="276" w:lineRule="auto"/>
        <w:rPr>
          <w:rFonts w:ascii="Arial" w:hAnsi="Arial" w:cs="Arial"/>
          <w:szCs w:val="24"/>
        </w:rPr>
      </w:pPr>
    </w:p>
    <w:p w:rsidR="00D15526" w:rsidRPr="0021756A" w:rsidRDefault="00017CBD" w:rsidP="0021756A">
      <w:pPr>
        <w:spacing w:line="276" w:lineRule="auto"/>
        <w:ind w:firstLine="709"/>
        <w:jc w:val="both"/>
        <w:rPr>
          <w:rFonts w:ascii="Arial" w:hAnsi="Arial" w:cs="Arial"/>
          <w:bCs/>
          <w:iCs/>
          <w:szCs w:val="24"/>
        </w:rPr>
      </w:pPr>
      <w:r w:rsidRPr="0021756A">
        <w:rPr>
          <w:rFonts w:ascii="Arial" w:hAnsi="Arial" w:cs="Arial"/>
          <w:bCs/>
          <w:iCs/>
          <w:szCs w:val="24"/>
        </w:rPr>
        <w:t xml:space="preserve">Contra la anterior determinación se alzó la administradora de Fondo de Pensiones y Cesantías Porvenir S.A., </w:t>
      </w:r>
      <w:r w:rsidR="004E0A57" w:rsidRPr="0021756A">
        <w:rPr>
          <w:rFonts w:ascii="Arial" w:hAnsi="Arial" w:cs="Arial"/>
          <w:bCs/>
          <w:iCs/>
          <w:szCs w:val="24"/>
        </w:rPr>
        <w:t xml:space="preserve">quien </w:t>
      </w:r>
      <w:r w:rsidR="00AF39C5" w:rsidRPr="0021756A">
        <w:rPr>
          <w:rFonts w:ascii="Arial" w:hAnsi="Arial" w:cs="Arial"/>
          <w:bCs/>
          <w:iCs/>
          <w:szCs w:val="24"/>
        </w:rPr>
        <w:t xml:space="preserve">sustenta </w:t>
      </w:r>
      <w:r w:rsidR="004E0A57" w:rsidRPr="0021756A">
        <w:rPr>
          <w:rFonts w:ascii="Arial" w:hAnsi="Arial" w:cs="Arial"/>
          <w:bCs/>
          <w:iCs/>
          <w:szCs w:val="24"/>
        </w:rPr>
        <w:t xml:space="preserve">su inconformidad </w:t>
      </w:r>
      <w:r w:rsidR="00947FC0" w:rsidRPr="0021756A">
        <w:rPr>
          <w:rFonts w:ascii="Arial" w:hAnsi="Arial" w:cs="Arial"/>
          <w:bCs/>
          <w:iCs/>
          <w:szCs w:val="24"/>
        </w:rPr>
        <w:t xml:space="preserve">en dos puntos específicos: (i) </w:t>
      </w:r>
      <w:r w:rsidR="00AF39C5" w:rsidRPr="0021756A">
        <w:rPr>
          <w:rFonts w:ascii="Arial" w:hAnsi="Arial" w:cs="Arial"/>
          <w:bCs/>
          <w:iCs/>
          <w:szCs w:val="24"/>
        </w:rPr>
        <w:t>el demandante no solicitó de manera expresa la nulidad del dictamen en cuanto a la fecha de estructuración de la invalidez que le resultaba inconveniente, por lo que</w:t>
      </w:r>
      <w:r w:rsidR="00947FC0" w:rsidRPr="0021756A">
        <w:rPr>
          <w:rFonts w:ascii="Arial" w:hAnsi="Arial" w:cs="Arial"/>
          <w:bCs/>
          <w:iCs/>
          <w:szCs w:val="24"/>
        </w:rPr>
        <w:t xml:space="preserve"> </w:t>
      </w:r>
      <w:r w:rsidR="003B33F4" w:rsidRPr="0021756A">
        <w:rPr>
          <w:rFonts w:ascii="Arial" w:hAnsi="Arial" w:cs="Arial"/>
          <w:bCs/>
          <w:iCs/>
          <w:szCs w:val="24"/>
        </w:rPr>
        <w:t xml:space="preserve">no le era dable a la jueza de instancia </w:t>
      </w:r>
      <w:r w:rsidR="009C5C3E" w:rsidRPr="0021756A">
        <w:rPr>
          <w:rFonts w:ascii="Arial" w:hAnsi="Arial" w:cs="Arial"/>
          <w:bCs/>
          <w:iCs/>
          <w:szCs w:val="24"/>
        </w:rPr>
        <w:t>realizar tal declaraci</w:t>
      </w:r>
      <w:r w:rsidR="00947FC0" w:rsidRPr="0021756A">
        <w:rPr>
          <w:rFonts w:ascii="Arial" w:hAnsi="Arial" w:cs="Arial"/>
          <w:bCs/>
          <w:iCs/>
          <w:szCs w:val="24"/>
        </w:rPr>
        <w:t>ón</w:t>
      </w:r>
      <w:r w:rsidR="009918E0" w:rsidRPr="0021756A">
        <w:rPr>
          <w:rFonts w:ascii="Arial" w:hAnsi="Arial" w:cs="Arial"/>
          <w:bCs/>
          <w:iCs/>
          <w:szCs w:val="24"/>
        </w:rPr>
        <w:t xml:space="preserve"> en el ejercicio de la facultad ultra y extra </w:t>
      </w:r>
      <w:proofErr w:type="spellStart"/>
      <w:r w:rsidR="009918E0" w:rsidRPr="0021756A">
        <w:rPr>
          <w:rFonts w:ascii="Arial" w:hAnsi="Arial" w:cs="Arial"/>
          <w:bCs/>
          <w:iCs/>
          <w:szCs w:val="24"/>
        </w:rPr>
        <w:t>petita</w:t>
      </w:r>
      <w:proofErr w:type="spellEnd"/>
      <w:r w:rsidR="00947FC0" w:rsidRPr="0021756A">
        <w:rPr>
          <w:rFonts w:ascii="Arial" w:hAnsi="Arial" w:cs="Arial"/>
          <w:bCs/>
          <w:iCs/>
          <w:szCs w:val="24"/>
        </w:rPr>
        <w:t>; (</w:t>
      </w:r>
      <w:proofErr w:type="spellStart"/>
      <w:r w:rsidR="00947FC0" w:rsidRPr="0021756A">
        <w:rPr>
          <w:rFonts w:ascii="Arial" w:hAnsi="Arial" w:cs="Arial"/>
          <w:bCs/>
          <w:iCs/>
          <w:szCs w:val="24"/>
        </w:rPr>
        <w:t>ii</w:t>
      </w:r>
      <w:proofErr w:type="spellEnd"/>
      <w:r w:rsidR="00947FC0" w:rsidRPr="0021756A">
        <w:rPr>
          <w:rFonts w:ascii="Arial" w:hAnsi="Arial" w:cs="Arial"/>
          <w:bCs/>
          <w:iCs/>
          <w:szCs w:val="24"/>
        </w:rPr>
        <w:t xml:space="preserve">) la condena de </w:t>
      </w:r>
      <w:r w:rsidR="003B33F4" w:rsidRPr="0021756A">
        <w:rPr>
          <w:rFonts w:ascii="Arial" w:hAnsi="Arial" w:cs="Arial"/>
          <w:bCs/>
          <w:iCs/>
          <w:szCs w:val="24"/>
        </w:rPr>
        <w:t>reconocimiento</w:t>
      </w:r>
      <w:r w:rsidR="00947FC0" w:rsidRPr="0021756A">
        <w:rPr>
          <w:rFonts w:ascii="Arial" w:hAnsi="Arial" w:cs="Arial"/>
          <w:bCs/>
          <w:iCs/>
          <w:szCs w:val="24"/>
        </w:rPr>
        <w:t xml:space="preserve"> y pago de la </w:t>
      </w:r>
      <w:r w:rsidR="003B33F4" w:rsidRPr="0021756A">
        <w:rPr>
          <w:rFonts w:ascii="Arial" w:hAnsi="Arial" w:cs="Arial"/>
          <w:bCs/>
          <w:iCs/>
          <w:szCs w:val="24"/>
        </w:rPr>
        <w:t xml:space="preserve">pensión de invalidez </w:t>
      </w:r>
      <w:r w:rsidR="003517A5" w:rsidRPr="0021756A">
        <w:rPr>
          <w:rFonts w:ascii="Arial" w:hAnsi="Arial" w:cs="Arial"/>
          <w:bCs/>
          <w:iCs/>
          <w:szCs w:val="24"/>
        </w:rPr>
        <w:t xml:space="preserve">debió imponérsele </w:t>
      </w:r>
      <w:r w:rsidR="001C26E2" w:rsidRPr="0021756A">
        <w:rPr>
          <w:rFonts w:ascii="Arial" w:hAnsi="Arial" w:cs="Arial"/>
          <w:bCs/>
          <w:iCs/>
          <w:szCs w:val="24"/>
        </w:rPr>
        <w:t xml:space="preserve">a </w:t>
      </w:r>
      <w:r w:rsidR="003517A5" w:rsidRPr="0021756A">
        <w:rPr>
          <w:rFonts w:ascii="Arial" w:hAnsi="Arial" w:cs="Arial"/>
          <w:bCs/>
          <w:iCs/>
          <w:szCs w:val="24"/>
        </w:rPr>
        <w:t xml:space="preserve">Colpensiones, </w:t>
      </w:r>
      <w:r w:rsidR="001C26E2" w:rsidRPr="0021756A">
        <w:rPr>
          <w:rFonts w:ascii="Arial" w:hAnsi="Arial" w:cs="Arial"/>
          <w:bCs/>
          <w:iCs/>
          <w:szCs w:val="24"/>
        </w:rPr>
        <w:t>pues era quien amparaba las contingencias al momento de la estructuración del estado inva</w:t>
      </w:r>
      <w:r w:rsidR="0003022F" w:rsidRPr="0021756A">
        <w:rPr>
          <w:rFonts w:ascii="Arial" w:hAnsi="Arial" w:cs="Arial"/>
          <w:bCs/>
          <w:iCs/>
          <w:szCs w:val="24"/>
        </w:rPr>
        <w:t xml:space="preserve">lidante declarado por la </w:t>
      </w:r>
      <w:r w:rsidR="009918E0" w:rsidRPr="0021756A">
        <w:rPr>
          <w:rFonts w:ascii="Arial" w:hAnsi="Arial" w:cs="Arial"/>
          <w:bCs/>
          <w:iCs/>
          <w:szCs w:val="24"/>
        </w:rPr>
        <w:t xml:space="preserve">a-quo, y (iii) </w:t>
      </w:r>
      <w:r w:rsidR="00CC5D66" w:rsidRPr="0021756A">
        <w:rPr>
          <w:rFonts w:ascii="Arial" w:hAnsi="Arial" w:cs="Arial"/>
          <w:bCs/>
          <w:iCs/>
          <w:szCs w:val="24"/>
        </w:rPr>
        <w:t xml:space="preserve">el fondo privado no está en capacidad de financiar la prestación pensional, pues </w:t>
      </w:r>
      <w:r w:rsidR="009918E0" w:rsidRPr="0021756A">
        <w:rPr>
          <w:rFonts w:ascii="Arial" w:hAnsi="Arial" w:cs="Arial"/>
          <w:bCs/>
          <w:iCs/>
          <w:szCs w:val="24"/>
        </w:rPr>
        <w:t xml:space="preserve">al momento de estructurarse la invalidez la </w:t>
      </w:r>
      <w:r w:rsidR="00160398" w:rsidRPr="0021756A">
        <w:rPr>
          <w:rFonts w:ascii="Arial" w:hAnsi="Arial" w:cs="Arial"/>
          <w:bCs/>
          <w:iCs/>
          <w:szCs w:val="24"/>
        </w:rPr>
        <w:t xml:space="preserve">entidad no tenía vigente el </w:t>
      </w:r>
      <w:r w:rsidR="00CC5D66" w:rsidRPr="0021756A">
        <w:rPr>
          <w:rFonts w:ascii="Arial" w:hAnsi="Arial" w:cs="Arial"/>
          <w:bCs/>
          <w:iCs/>
          <w:szCs w:val="24"/>
        </w:rPr>
        <w:t xml:space="preserve">seguro previsional </w:t>
      </w:r>
      <w:r w:rsidR="00984B10" w:rsidRPr="0021756A">
        <w:rPr>
          <w:rFonts w:ascii="Arial" w:hAnsi="Arial" w:cs="Arial"/>
          <w:bCs/>
          <w:iCs/>
          <w:szCs w:val="24"/>
        </w:rPr>
        <w:t xml:space="preserve">que permitiera el reconocimiento de la </w:t>
      </w:r>
      <w:r w:rsidR="00D15526" w:rsidRPr="0021756A">
        <w:rPr>
          <w:rFonts w:ascii="Arial" w:hAnsi="Arial" w:cs="Arial"/>
          <w:bCs/>
          <w:iCs/>
          <w:szCs w:val="24"/>
        </w:rPr>
        <w:t xml:space="preserve">suma adicional </w:t>
      </w:r>
      <w:r w:rsidR="00CC5D66" w:rsidRPr="0021756A">
        <w:rPr>
          <w:rFonts w:ascii="Arial" w:hAnsi="Arial" w:cs="Arial"/>
          <w:bCs/>
          <w:iCs/>
          <w:szCs w:val="24"/>
        </w:rPr>
        <w:t>necesari</w:t>
      </w:r>
      <w:r w:rsidR="00984B10" w:rsidRPr="0021756A">
        <w:rPr>
          <w:rFonts w:ascii="Arial" w:hAnsi="Arial" w:cs="Arial"/>
          <w:bCs/>
          <w:iCs/>
          <w:szCs w:val="24"/>
        </w:rPr>
        <w:t>a para completar el capital</w:t>
      </w:r>
      <w:r w:rsidR="00160398" w:rsidRPr="0021756A">
        <w:rPr>
          <w:rFonts w:ascii="Arial" w:hAnsi="Arial" w:cs="Arial"/>
          <w:bCs/>
          <w:iCs/>
          <w:szCs w:val="24"/>
        </w:rPr>
        <w:t>.</w:t>
      </w:r>
    </w:p>
    <w:p w:rsidR="00D15526" w:rsidRPr="0021756A" w:rsidRDefault="00D15526" w:rsidP="0021756A">
      <w:pPr>
        <w:pStyle w:val="Sinespaciado"/>
        <w:spacing w:line="276" w:lineRule="auto"/>
        <w:rPr>
          <w:rFonts w:ascii="Arial" w:hAnsi="Arial" w:cs="Arial"/>
          <w:szCs w:val="24"/>
        </w:rPr>
      </w:pPr>
    </w:p>
    <w:p w:rsidR="00BB41B6" w:rsidRPr="0021756A" w:rsidRDefault="00BB41B6" w:rsidP="0021756A">
      <w:pPr>
        <w:spacing w:line="276" w:lineRule="auto"/>
        <w:ind w:firstLine="709"/>
        <w:jc w:val="both"/>
        <w:rPr>
          <w:rFonts w:ascii="Arial" w:hAnsi="Arial" w:cs="Arial"/>
          <w:b/>
          <w:bCs/>
          <w:i/>
          <w:color w:val="000000"/>
          <w:szCs w:val="24"/>
        </w:rPr>
      </w:pPr>
      <w:r w:rsidRPr="0021756A">
        <w:rPr>
          <w:rFonts w:ascii="Arial" w:hAnsi="Arial" w:cs="Arial"/>
          <w:b/>
          <w:bCs/>
          <w:i/>
          <w:color w:val="000000"/>
          <w:szCs w:val="24"/>
        </w:rPr>
        <w:t>2.1 Del problema jurídico:</w:t>
      </w:r>
    </w:p>
    <w:p w:rsidR="00984B10" w:rsidRPr="0021756A" w:rsidRDefault="00984B10" w:rsidP="0021756A">
      <w:pPr>
        <w:pStyle w:val="Sinespaciado"/>
        <w:spacing w:line="276" w:lineRule="auto"/>
        <w:rPr>
          <w:rFonts w:ascii="Arial" w:hAnsi="Arial" w:cs="Arial"/>
          <w:szCs w:val="24"/>
        </w:rPr>
      </w:pPr>
    </w:p>
    <w:p w:rsidR="00984B10" w:rsidRPr="0021756A" w:rsidRDefault="00BB41B6" w:rsidP="0021756A">
      <w:pPr>
        <w:autoSpaceDE w:val="0"/>
        <w:autoSpaceDN w:val="0"/>
        <w:adjustRightInd w:val="0"/>
        <w:spacing w:line="276" w:lineRule="auto"/>
        <w:ind w:firstLine="709"/>
        <w:jc w:val="both"/>
        <w:rPr>
          <w:rFonts w:ascii="Arial" w:hAnsi="Arial" w:cs="Arial"/>
          <w:bCs/>
          <w:i/>
          <w:iCs/>
          <w:szCs w:val="24"/>
        </w:rPr>
      </w:pPr>
      <w:r w:rsidRPr="0021756A">
        <w:rPr>
          <w:rFonts w:ascii="Arial" w:hAnsi="Arial" w:cs="Arial"/>
          <w:bCs/>
          <w:i/>
          <w:iCs/>
          <w:szCs w:val="24"/>
        </w:rPr>
        <w:t>¿</w:t>
      </w:r>
      <w:r w:rsidR="00984B10" w:rsidRPr="0021756A">
        <w:rPr>
          <w:rFonts w:ascii="Arial" w:hAnsi="Arial" w:cs="Arial"/>
          <w:bCs/>
          <w:i/>
          <w:iCs/>
          <w:szCs w:val="24"/>
        </w:rPr>
        <w:t>Extralimitó la a-quo sus funciones al variar la fecha de estructuración de invalidez del actor?</w:t>
      </w:r>
    </w:p>
    <w:p w:rsidR="00643536" w:rsidRPr="0021756A" w:rsidRDefault="00643536" w:rsidP="0021756A">
      <w:pPr>
        <w:pStyle w:val="Sinespaciado"/>
        <w:spacing w:line="276" w:lineRule="auto"/>
        <w:rPr>
          <w:rFonts w:ascii="Arial" w:hAnsi="Arial" w:cs="Arial"/>
          <w:szCs w:val="24"/>
        </w:rPr>
      </w:pPr>
    </w:p>
    <w:p w:rsidR="00643536" w:rsidRPr="0021756A" w:rsidRDefault="003C069A" w:rsidP="0021756A">
      <w:pPr>
        <w:autoSpaceDE w:val="0"/>
        <w:autoSpaceDN w:val="0"/>
        <w:adjustRightInd w:val="0"/>
        <w:spacing w:line="276" w:lineRule="auto"/>
        <w:ind w:firstLine="709"/>
        <w:jc w:val="both"/>
        <w:rPr>
          <w:rFonts w:ascii="Arial" w:hAnsi="Arial" w:cs="Arial"/>
          <w:bCs/>
          <w:i/>
          <w:iCs/>
          <w:szCs w:val="24"/>
        </w:rPr>
      </w:pPr>
      <w:r w:rsidRPr="0021756A">
        <w:rPr>
          <w:rFonts w:ascii="Arial" w:hAnsi="Arial" w:cs="Arial"/>
          <w:i/>
          <w:color w:val="000000"/>
          <w:szCs w:val="24"/>
          <w:lang w:eastAsia="es-CO"/>
        </w:rPr>
        <w:t>¿Puede la operador judicial determinar los efectos jurídicos de las situaciones que se demuestran en el curso del proceso?</w:t>
      </w:r>
    </w:p>
    <w:p w:rsidR="00984B10" w:rsidRPr="0021756A" w:rsidRDefault="00984B10" w:rsidP="0021756A">
      <w:pPr>
        <w:pStyle w:val="Sinespaciado"/>
        <w:spacing w:line="276" w:lineRule="auto"/>
        <w:rPr>
          <w:rFonts w:ascii="Arial" w:hAnsi="Arial" w:cs="Arial"/>
          <w:szCs w:val="24"/>
        </w:rPr>
      </w:pPr>
    </w:p>
    <w:p w:rsidR="00643536" w:rsidRPr="0021756A" w:rsidRDefault="00643536" w:rsidP="0021756A">
      <w:pPr>
        <w:autoSpaceDE w:val="0"/>
        <w:autoSpaceDN w:val="0"/>
        <w:adjustRightInd w:val="0"/>
        <w:spacing w:line="276" w:lineRule="auto"/>
        <w:ind w:firstLine="709"/>
        <w:jc w:val="both"/>
        <w:rPr>
          <w:rFonts w:ascii="Arial" w:hAnsi="Arial" w:cs="Arial"/>
          <w:bCs/>
          <w:i/>
          <w:iCs/>
          <w:szCs w:val="24"/>
        </w:rPr>
      </w:pPr>
      <w:r w:rsidRPr="0021756A">
        <w:rPr>
          <w:rFonts w:ascii="Arial" w:hAnsi="Arial" w:cs="Arial"/>
          <w:bCs/>
          <w:i/>
          <w:iCs/>
          <w:szCs w:val="24"/>
        </w:rPr>
        <w:t xml:space="preserve">¿Es la Administradora de Fondo de Pensiones y Cesantías Porvenir </w:t>
      </w:r>
      <w:r w:rsidR="006C20AD" w:rsidRPr="0021756A">
        <w:rPr>
          <w:rFonts w:ascii="Arial" w:hAnsi="Arial" w:cs="Arial"/>
          <w:bCs/>
          <w:i/>
          <w:iCs/>
          <w:szCs w:val="24"/>
        </w:rPr>
        <w:t xml:space="preserve">la </w:t>
      </w:r>
      <w:r w:rsidRPr="0021756A">
        <w:rPr>
          <w:rFonts w:ascii="Arial" w:hAnsi="Arial" w:cs="Arial"/>
          <w:bCs/>
          <w:i/>
          <w:iCs/>
          <w:szCs w:val="24"/>
        </w:rPr>
        <w:t>encargad</w:t>
      </w:r>
      <w:r w:rsidR="006C20AD" w:rsidRPr="0021756A">
        <w:rPr>
          <w:rFonts w:ascii="Arial" w:hAnsi="Arial" w:cs="Arial"/>
          <w:bCs/>
          <w:i/>
          <w:iCs/>
          <w:szCs w:val="24"/>
        </w:rPr>
        <w:t>a</w:t>
      </w:r>
      <w:r w:rsidRPr="0021756A">
        <w:rPr>
          <w:rFonts w:ascii="Arial" w:hAnsi="Arial" w:cs="Arial"/>
          <w:bCs/>
          <w:i/>
          <w:iCs/>
          <w:szCs w:val="24"/>
        </w:rPr>
        <w:t xml:space="preserve"> y responsable del reconocimiento y pago de la pensión de invalidez al actor? </w:t>
      </w:r>
    </w:p>
    <w:p w:rsidR="00643536" w:rsidRPr="0021756A" w:rsidRDefault="00643536" w:rsidP="0021756A">
      <w:pPr>
        <w:autoSpaceDE w:val="0"/>
        <w:autoSpaceDN w:val="0"/>
        <w:adjustRightInd w:val="0"/>
        <w:spacing w:line="276" w:lineRule="auto"/>
        <w:ind w:firstLine="709"/>
        <w:jc w:val="both"/>
        <w:rPr>
          <w:rFonts w:ascii="Arial" w:hAnsi="Arial" w:cs="Arial"/>
          <w:bCs/>
          <w:i/>
          <w:iCs/>
          <w:szCs w:val="24"/>
        </w:rPr>
      </w:pPr>
    </w:p>
    <w:p w:rsidR="00643536" w:rsidRPr="0021756A" w:rsidRDefault="00643536" w:rsidP="0021756A">
      <w:pPr>
        <w:pStyle w:val="Sinespaciado"/>
        <w:spacing w:line="276" w:lineRule="auto"/>
        <w:ind w:firstLine="708"/>
        <w:rPr>
          <w:rFonts w:ascii="Arial" w:hAnsi="Arial" w:cs="Arial"/>
          <w:i/>
          <w:szCs w:val="24"/>
        </w:rPr>
      </w:pPr>
      <w:r w:rsidRPr="0021756A">
        <w:rPr>
          <w:rFonts w:ascii="Arial" w:hAnsi="Arial" w:cs="Arial"/>
          <w:i/>
          <w:szCs w:val="24"/>
        </w:rPr>
        <w:t xml:space="preserve">¿Le asiste razón al recurrente al indicar que </w:t>
      </w:r>
      <w:r w:rsidR="006C20AD" w:rsidRPr="0021756A">
        <w:rPr>
          <w:rFonts w:ascii="Arial" w:hAnsi="Arial" w:cs="Arial"/>
          <w:i/>
          <w:szCs w:val="24"/>
        </w:rPr>
        <w:t>ante la inexistencia de un seguro previsional que cubra la suma adicional requerida para reunir el capital suficiente, no es posible financiar la pensión de invalidez reconocida al actor?</w:t>
      </w:r>
    </w:p>
    <w:p w:rsidR="00643536" w:rsidRPr="0021756A" w:rsidRDefault="00643536" w:rsidP="0021756A">
      <w:pPr>
        <w:pStyle w:val="Sinespaciado"/>
        <w:spacing w:line="276" w:lineRule="auto"/>
        <w:rPr>
          <w:rFonts w:ascii="Arial" w:hAnsi="Arial" w:cs="Arial"/>
          <w:i/>
          <w:szCs w:val="24"/>
        </w:rPr>
      </w:pPr>
    </w:p>
    <w:p w:rsidR="00BB41B6" w:rsidRPr="0021756A" w:rsidRDefault="00BB41B6" w:rsidP="0021756A">
      <w:pPr>
        <w:pStyle w:val="Prrafodelista"/>
        <w:numPr>
          <w:ilvl w:val="1"/>
          <w:numId w:val="1"/>
        </w:numPr>
        <w:tabs>
          <w:tab w:val="left" w:pos="0"/>
          <w:tab w:val="left" w:pos="8647"/>
        </w:tabs>
        <w:suppressAutoHyphens/>
        <w:spacing w:line="276" w:lineRule="auto"/>
        <w:jc w:val="both"/>
        <w:rPr>
          <w:rFonts w:ascii="Arial" w:hAnsi="Arial" w:cs="Arial"/>
          <w:szCs w:val="24"/>
        </w:rPr>
      </w:pPr>
      <w:r w:rsidRPr="0021756A">
        <w:rPr>
          <w:rFonts w:ascii="Arial" w:hAnsi="Arial" w:cs="Arial"/>
          <w:b/>
          <w:i/>
          <w:szCs w:val="24"/>
        </w:rPr>
        <w:t>Alegatos en esta instancia</w:t>
      </w:r>
      <w:r w:rsidRPr="0021756A">
        <w:rPr>
          <w:rFonts w:ascii="Arial" w:hAnsi="Arial" w:cs="Arial"/>
          <w:szCs w:val="24"/>
        </w:rPr>
        <w:t>:</w:t>
      </w:r>
    </w:p>
    <w:p w:rsidR="00BB41B6" w:rsidRPr="0021756A" w:rsidRDefault="00BB41B6" w:rsidP="0021756A">
      <w:pPr>
        <w:pStyle w:val="Sinespaciado"/>
        <w:spacing w:line="276" w:lineRule="auto"/>
        <w:rPr>
          <w:rFonts w:ascii="Arial" w:hAnsi="Arial" w:cs="Arial"/>
          <w:szCs w:val="24"/>
        </w:rPr>
      </w:pPr>
    </w:p>
    <w:p w:rsidR="00BB41B6" w:rsidRPr="0021756A" w:rsidRDefault="00BB41B6" w:rsidP="0021756A">
      <w:pPr>
        <w:spacing w:line="276" w:lineRule="auto"/>
        <w:ind w:firstLine="709"/>
        <w:jc w:val="both"/>
        <w:rPr>
          <w:rFonts w:ascii="Arial" w:hAnsi="Arial" w:cs="Arial"/>
          <w:szCs w:val="24"/>
        </w:rPr>
      </w:pPr>
      <w:r w:rsidRPr="0021756A">
        <w:rPr>
          <w:rFonts w:ascii="Arial" w:hAnsi="Arial" w:cs="Arial"/>
          <w:szCs w:val="24"/>
        </w:rPr>
        <w:t>En este estado de la diligencia y antes de que la Colegiatura, de respuesta al problema jurídico planteado, con el propósito de desatar la</w:t>
      </w:r>
      <w:r w:rsidR="00643536" w:rsidRPr="0021756A">
        <w:rPr>
          <w:rFonts w:ascii="Arial" w:hAnsi="Arial" w:cs="Arial"/>
          <w:szCs w:val="24"/>
        </w:rPr>
        <w:t xml:space="preserve"> apelación</w:t>
      </w:r>
      <w:r w:rsidRPr="0021756A">
        <w:rPr>
          <w:rFonts w:ascii="Arial" w:hAnsi="Arial" w:cs="Arial"/>
          <w:szCs w:val="24"/>
        </w:rPr>
        <w:t>, se corre traslado por el término de 8 minutos para alegar, a cada uno de los voceros judiciales de las partes asistentes a la audiencia.</w:t>
      </w:r>
    </w:p>
    <w:p w:rsidR="00BB41B6" w:rsidRPr="0021756A" w:rsidRDefault="00BB41B6" w:rsidP="0021756A">
      <w:pPr>
        <w:pStyle w:val="Sinespaciado"/>
        <w:spacing w:line="276" w:lineRule="auto"/>
        <w:rPr>
          <w:rFonts w:ascii="Arial" w:hAnsi="Arial" w:cs="Arial"/>
          <w:szCs w:val="24"/>
        </w:rPr>
      </w:pPr>
    </w:p>
    <w:p w:rsidR="00BB41B6" w:rsidRPr="0021756A" w:rsidRDefault="00BB41B6" w:rsidP="0021756A">
      <w:pPr>
        <w:spacing w:line="276" w:lineRule="auto"/>
        <w:ind w:firstLine="709"/>
        <w:jc w:val="both"/>
        <w:rPr>
          <w:rFonts w:ascii="Arial" w:hAnsi="Arial" w:cs="Arial"/>
          <w:szCs w:val="24"/>
        </w:rPr>
      </w:pPr>
      <w:r w:rsidRPr="0021756A">
        <w:rPr>
          <w:rFonts w:ascii="Arial" w:hAnsi="Arial" w:cs="Arial"/>
          <w:szCs w:val="24"/>
        </w:rPr>
        <w:t xml:space="preserve">Escuchadas las anteriores intervenciones que en síntesis reflejan los mismos puntos debatidos por los integrantes de la Sala, se procede a decidir de fondo, previa las siguientes: </w:t>
      </w:r>
    </w:p>
    <w:p w:rsidR="00BB41B6" w:rsidRPr="0021756A" w:rsidRDefault="00BB41B6" w:rsidP="0021756A">
      <w:pPr>
        <w:pStyle w:val="Sinespaciado"/>
        <w:spacing w:line="276" w:lineRule="auto"/>
        <w:rPr>
          <w:rFonts w:ascii="Arial" w:hAnsi="Arial" w:cs="Arial"/>
          <w:szCs w:val="24"/>
        </w:rPr>
      </w:pPr>
    </w:p>
    <w:p w:rsidR="00BB41B6" w:rsidRPr="0021756A" w:rsidRDefault="00BB41B6" w:rsidP="0021756A">
      <w:pPr>
        <w:pStyle w:val="Prrafodelista"/>
        <w:numPr>
          <w:ilvl w:val="0"/>
          <w:numId w:val="1"/>
        </w:numPr>
        <w:autoSpaceDE w:val="0"/>
        <w:autoSpaceDN w:val="0"/>
        <w:adjustRightInd w:val="0"/>
        <w:spacing w:line="276" w:lineRule="auto"/>
        <w:jc w:val="both"/>
        <w:rPr>
          <w:rFonts w:ascii="Arial" w:hAnsi="Arial" w:cs="Arial"/>
          <w:b/>
          <w:i/>
          <w:szCs w:val="24"/>
        </w:rPr>
      </w:pPr>
      <w:r w:rsidRPr="0021756A">
        <w:rPr>
          <w:rFonts w:ascii="Arial" w:hAnsi="Arial" w:cs="Arial"/>
          <w:b/>
          <w:i/>
          <w:szCs w:val="24"/>
        </w:rPr>
        <w:t>CONSIDERACIONES</w:t>
      </w:r>
    </w:p>
    <w:p w:rsidR="00BB41B6" w:rsidRPr="0021756A" w:rsidRDefault="00BB41B6" w:rsidP="0021756A">
      <w:pPr>
        <w:pStyle w:val="Sinespaciado"/>
        <w:spacing w:line="276" w:lineRule="auto"/>
        <w:rPr>
          <w:rFonts w:ascii="Arial" w:hAnsi="Arial" w:cs="Arial"/>
          <w:szCs w:val="24"/>
        </w:rPr>
      </w:pPr>
    </w:p>
    <w:p w:rsidR="00BB41B6" w:rsidRPr="0021756A" w:rsidRDefault="00BB41B6" w:rsidP="0021756A">
      <w:pPr>
        <w:autoSpaceDE w:val="0"/>
        <w:autoSpaceDN w:val="0"/>
        <w:adjustRightInd w:val="0"/>
        <w:spacing w:line="276" w:lineRule="auto"/>
        <w:ind w:firstLine="709"/>
        <w:jc w:val="both"/>
        <w:rPr>
          <w:rFonts w:ascii="Arial" w:hAnsi="Arial" w:cs="Arial"/>
          <w:b/>
          <w:i/>
          <w:szCs w:val="24"/>
        </w:rPr>
      </w:pPr>
      <w:r w:rsidRPr="0021756A">
        <w:rPr>
          <w:rFonts w:ascii="Arial" w:hAnsi="Arial" w:cs="Arial"/>
          <w:b/>
          <w:i/>
          <w:szCs w:val="24"/>
        </w:rPr>
        <w:t>3.1 Desarrollo de la problemática planteada.</w:t>
      </w:r>
    </w:p>
    <w:p w:rsidR="00643536" w:rsidRPr="0021756A" w:rsidRDefault="00643536" w:rsidP="0021756A">
      <w:pPr>
        <w:pStyle w:val="Sinespaciado"/>
        <w:spacing w:line="276" w:lineRule="auto"/>
        <w:rPr>
          <w:rFonts w:ascii="Arial" w:hAnsi="Arial" w:cs="Arial"/>
          <w:szCs w:val="24"/>
        </w:rPr>
      </w:pPr>
    </w:p>
    <w:p w:rsidR="00F5234C" w:rsidRDefault="007712DC" w:rsidP="0021756A">
      <w:pPr>
        <w:pStyle w:val="Sinespaciado"/>
        <w:spacing w:line="276" w:lineRule="auto"/>
        <w:ind w:firstLine="708"/>
        <w:jc w:val="both"/>
        <w:rPr>
          <w:rFonts w:ascii="Arial" w:hAnsi="Arial" w:cs="Arial"/>
          <w:szCs w:val="24"/>
          <w:shd w:val="clear" w:color="auto" w:fill="FFFFFF"/>
        </w:rPr>
      </w:pPr>
      <w:r w:rsidRPr="0021756A">
        <w:rPr>
          <w:rFonts w:ascii="Arial" w:hAnsi="Arial" w:cs="Arial"/>
          <w:szCs w:val="24"/>
          <w:shd w:val="clear" w:color="auto" w:fill="FFFFFF"/>
        </w:rPr>
        <w:t>Con el fin de dar solución a los diferentes problemas jurídicos planteados, esta Sala reiterará acerca de los siguientes tópicos:</w:t>
      </w:r>
      <w:r w:rsidR="008037DB" w:rsidRPr="0021756A">
        <w:rPr>
          <w:rFonts w:ascii="Arial" w:hAnsi="Arial" w:cs="Arial"/>
          <w:szCs w:val="24"/>
          <w:shd w:val="clear" w:color="auto" w:fill="FFFFFF"/>
        </w:rPr>
        <w:t xml:space="preserve"> (i) </w:t>
      </w:r>
      <w:r w:rsidR="006B5A61" w:rsidRPr="0021756A">
        <w:rPr>
          <w:rFonts w:ascii="Arial" w:hAnsi="Arial" w:cs="Arial"/>
          <w:szCs w:val="24"/>
          <w:shd w:val="clear" w:color="auto" w:fill="FFFFFF"/>
        </w:rPr>
        <w:t>De la a</w:t>
      </w:r>
      <w:r w:rsidR="008037DB" w:rsidRPr="0021756A">
        <w:rPr>
          <w:rFonts w:ascii="Arial" w:hAnsi="Arial" w:cs="Arial"/>
          <w:szCs w:val="24"/>
          <w:shd w:val="clear" w:color="auto" w:fill="FFFFFF"/>
        </w:rPr>
        <w:t>utonomía y</w:t>
      </w:r>
      <w:r w:rsidR="006B5A61" w:rsidRPr="0021756A">
        <w:rPr>
          <w:rFonts w:ascii="Arial" w:hAnsi="Arial" w:cs="Arial"/>
          <w:szCs w:val="24"/>
          <w:shd w:val="clear" w:color="auto" w:fill="FFFFFF"/>
        </w:rPr>
        <w:t xml:space="preserve"> libertad del operador judicial;</w:t>
      </w:r>
      <w:r w:rsidR="008037DB" w:rsidRPr="0021756A">
        <w:rPr>
          <w:rFonts w:ascii="Arial" w:hAnsi="Arial" w:cs="Arial"/>
          <w:szCs w:val="24"/>
          <w:shd w:val="clear" w:color="auto" w:fill="FFFFFF"/>
        </w:rPr>
        <w:t xml:space="preserve"> (ii) </w:t>
      </w:r>
      <w:r w:rsidR="0042018B" w:rsidRPr="0021756A">
        <w:rPr>
          <w:rFonts w:ascii="Arial" w:hAnsi="Arial" w:cs="Arial"/>
          <w:szCs w:val="24"/>
          <w:shd w:val="clear" w:color="auto" w:fill="FFFFFF"/>
        </w:rPr>
        <w:t>jurisprudencia de la Corte Constitucional respecto a enfermedades de crónicas, congénitas o degenerativas; (ii</w:t>
      </w:r>
      <w:r w:rsidR="008037DB" w:rsidRPr="0021756A">
        <w:rPr>
          <w:rFonts w:ascii="Arial" w:hAnsi="Arial" w:cs="Arial"/>
          <w:szCs w:val="24"/>
          <w:shd w:val="clear" w:color="auto" w:fill="FFFFFF"/>
        </w:rPr>
        <w:t>i</w:t>
      </w:r>
      <w:r w:rsidR="0042018B" w:rsidRPr="0021756A">
        <w:rPr>
          <w:rFonts w:ascii="Arial" w:hAnsi="Arial" w:cs="Arial"/>
          <w:szCs w:val="24"/>
          <w:shd w:val="clear" w:color="auto" w:fill="FFFFFF"/>
        </w:rPr>
        <w:t xml:space="preserve">) </w:t>
      </w:r>
      <w:r w:rsidR="00DC0FB3" w:rsidRPr="0021756A">
        <w:rPr>
          <w:rFonts w:ascii="Arial" w:hAnsi="Arial" w:cs="Arial"/>
          <w:szCs w:val="24"/>
          <w:shd w:val="clear" w:color="auto" w:fill="FFFFFF"/>
        </w:rPr>
        <w:t xml:space="preserve">determinación de la entidad responsable de </w:t>
      </w:r>
      <w:r w:rsidR="008037DB" w:rsidRPr="0021756A">
        <w:rPr>
          <w:rFonts w:ascii="Arial" w:hAnsi="Arial" w:cs="Arial"/>
          <w:szCs w:val="24"/>
          <w:shd w:val="clear" w:color="auto" w:fill="FFFFFF"/>
        </w:rPr>
        <w:t xml:space="preserve">reconocer </w:t>
      </w:r>
      <w:r w:rsidR="005430E9" w:rsidRPr="0021756A">
        <w:rPr>
          <w:rFonts w:ascii="Arial" w:hAnsi="Arial" w:cs="Arial"/>
          <w:szCs w:val="24"/>
          <w:shd w:val="clear" w:color="auto" w:fill="FFFFFF"/>
        </w:rPr>
        <w:t>y pagar la pensión de invalidez</w:t>
      </w:r>
      <w:r w:rsidR="00CA15F7" w:rsidRPr="0021756A">
        <w:rPr>
          <w:rFonts w:ascii="Arial" w:hAnsi="Arial" w:cs="Arial"/>
          <w:szCs w:val="24"/>
          <w:shd w:val="clear" w:color="auto" w:fill="FFFFFF"/>
        </w:rPr>
        <w:t>.</w:t>
      </w:r>
    </w:p>
    <w:p w:rsidR="0021756A" w:rsidRPr="0021756A" w:rsidRDefault="0021756A" w:rsidP="0021756A">
      <w:pPr>
        <w:pStyle w:val="Sinespaciado"/>
        <w:spacing w:line="276" w:lineRule="auto"/>
        <w:ind w:firstLine="708"/>
        <w:jc w:val="both"/>
        <w:rPr>
          <w:rFonts w:ascii="Arial" w:hAnsi="Arial" w:cs="Arial"/>
          <w:szCs w:val="24"/>
        </w:rPr>
      </w:pPr>
    </w:p>
    <w:p w:rsidR="00CA15F7" w:rsidRPr="0021756A" w:rsidRDefault="00CA15F7" w:rsidP="0021756A">
      <w:pPr>
        <w:pStyle w:val="Prrafodelista"/>
        <w:numPr>
          <w:ilvl w:val="0"/>
          <w:numId w:val="4"/>
        </w:numPr>
        <w:autoSpaceDE w:val="0"/>
        <w:autoSpaceDN w:val="0"/>
        <w:adjustRightInd w:val="0"/>
        <w:spacing w:line="276" w:lineRule="auto"/>
        <w:jc w:val="both"/>
        <w:rPr>
          <w:rFonts w:ascii="Arial" w:hAnsi="Arial" w:cs="Arial"/>
          <w:b/>
          <w:szCs w:val="24"/>
        </w:rPr>
      </w:pPr>
      <w:r w:rsidRPr="0021756A">
        <w:rPr>
          <w:rFonts w:ascii="Arial" w:hAnsi="Arial" w:cs="Arial"/>
          <w:b/>
          <w:szCs w:val="24"/>
        </w:rPr>
        <w:t xml:space="preserve">Autonomía y libertad del operador judicial </w:t>
      </w:r>
    </w:p>
    <w:p w:rsidR="00CA15F7" w:rsidRPr="0021756A" w:rsidRDefault="00CA15F7" w:rsidP="0021756A">
      <w:pPr>
        <w:pStyle w:val="Sinespaciado"/>
        <w:spacing w:line="276" w:lineRule="auto"/>
        <w:rPr>
          <w:rFonts w:ascii="Arial" w:hAnsi="Arial" w:cs="Arial"/>
          <w:szCs w:val="24"/>
        </w:rPr>
      </w:pPr>
    </w:p>
    <w:p w:rsidR="00CA15F7" w:rsidRPr="0021756A" w:rsidRDefault="00CA15F7" w:rsidP="0021756A">
      <w:pPr>
        <w:autoSpaceDE w:val="0"/>
        <w:autoSpaceDN w:val="0"/>
        <w:adjustRightInd w:val="0"/>
        <w:spacing w:line="276" w:lineRule="auto"/>
        <w:ind w:firstLine="426"/>
        <w:jc w:val="both"/>
        <w:rPr>
          <w:rFonts w:ascii="Arial" w:hAnsi="Arial" w:cs="Arial"/>
          <w:bCs/>
          <w:szCs w:val="24"/>
          <w:lang w:val="es-ES"/>
        </w:rPr>
      </w:pPr>
      <w:r w:rsidRPr="0021756A">
        <w:rPr>
          <w:rFonts w:ascii="Arial" w:hAnsi="Arial" w:cs="Arial"/>
          <w:szCs w:val="24"/>
        </w:rPr>
        <w:t xml:space="preserve">Como lo ha señalado esta Corporación en distintas oportunidades, el juez laboral en su amplia autonomía y libertad </w:t>
      </w:r>
      <w:r w:rsidRPr="0021756A">
        <w:rPr>
          <w:rFonts w:ascii="Arial" w:hAnsi="Arial" w:cs="Arial"/>
          <w:bCs/>
          <w:szCs w:val="24"/>
          <w:lang w:val="es-ES"/>
        </w:rPr>
        <w:t>puede determinar los efectos jurídicos de las situaciones y derechos que se demuestren en el curso del proceso, sin que ello afecte el principio de congruencia sobre los hechos de la demanda y su contestación, siempre que no se modifique la causa petendi.</w:t>
      </w:r>
    </w:p>
    <w:p w:rsidR="00CA15F7" w:rsidRPr="0021756A" w:rsidRDefault="00CA15F7" w:rsidP="0021756A">
      <w:pPr>
        <w:pStyle w:val="Sinespaciado"/>
        <w:spacing w:line="276" w:lineRule="auto"/>
        <w:rPr>
          <w:rFonts w:ascii="Arial" w:hAnsi="Arial" w:cs="Arial"/>
          <w:szCs w:val="24"/>
          <w:lang w:val="es-ES"/>
        </w:rPr>
      </w:pPr>
    </w:p>
    <w:p w:rsidR="00CA15F7" w:rsidRPr="0021756A" w:rsidRDefault="00CA15F7" w:rsidP="0021756A">
      <w:pPr>
        <w:spacing w:line="276" w:lineRule="auto"/>
        <w:ind w:firstLine="426"/>
        <w:jc w:val="both"/>
        <w:rPr>
          <w:rFonts w:ascii="Arial" w:hAnsi="Arial" w:cs="Arial"/>
          <w:bCs/>
          <w:szCs w:val="24"/>
          <w:lang w:val="es-ES"/>
        </w:rPr>
      </w:pPr>
      <w:r w:rsidRPr="0021756A">
        <w:rPr>
          <w:rFonts w:ascii="Arial" w:hAnsi="Arial" w:cs="Arial"/>
          <w:bCs/>
          <w:szCs w:val="24"/>
          <w:lang w:val="es-ES"/>
        </w:rPr>
        <w:t xml:space="preserve">Al respecto, precisó el órgano de cierre de la jurisdicción ordinaria en sentencia del 19 de octubre de 2011, radicación 42818: </w:t>
      </w:r>
    </w:p>
    <w:p w:rsidR="00CA15F7" w:rsidRPr="0021756A" w:rsidRDefault="00CA15F7" w:rsidP="0021756A">
      <w:pPr>
        <w:pStyle w:val="Sinespaciado"/>
        <w:spacing w:line="276" w:lineRule="auto"/>
        <w:rPr>
          <w:rFonts w:ascii="Arial" w:hAnsi="Arial" w:cs="Arial"/>
          <w:szCs w:val="24"/>
        </w:rPr>
      </w:pPr>
    </w:p>
    <w:p w:rsidR="00CA15F7" w:rsidRPr="0021756A" w:rsidRDefault="00CA15F7" w:rsidP="0021756A">
      <w:pPr>
        <w:ind w:left="426" w:right="420" w:firstLine="708"/>
        <w:jc w:val="both"/>
        <w:rPr>
          <w:rFonts w:ascii="Arial" w:hAnsi="Arial" w:cs="Arial"/>
          <w:i/>
          <w:color w:val="000000"/>
          <w:sz w:val="22"/>
          <w:szCs w:val="24"/>
          <w:lang w:eastAsia="es-CO"/>
        </w:rPr>
      </w:pPr>
      <w:r w:rsidRPr="0021756A">
        <w:rPr>
          <w:rFonts w:ascii="Arial" w:hAnsi="Arial" w:cs="Arial"/>
          <w:i/>
          <w:color w:val="000000"/>
          <w:sz w:val="22"/>
          <w:szCs w:val="24"/>
          <w:lang w:eastAsia="es-CO"/>
        </w:rPr>
        <w:t>“Es indiscutible que la misión principal del juez es la de realizar la voluntad concreta de la ley en un caso en particular, para cuyo cumplimiento goza de autonomía en sus decisiones, garantizada por el artículo 230 de la Constitución Nacional, que expresamente establece: “Los jueces, en sus providencias, sólo están sometidos al imperio de la ley…” </w:t>
      </w:r>
    </w:p>
    <w:p w:rsidR="00031E72" w:rsidRPr="0021756A" w:rsidRDefault="00031E72" w:rsidP="0021756A">
      <w:pPr>
        <w:ind w:left="426" w:right="420" w:firstLine="708"/>
        <w:jc w:val="both"/>
        <w:rPr>
          <w:rFonts w:ascii="Arial" w:hAnsi="Arial" w:cs="Arial"/>
          <w:i/>
          <w:color w:val="000000"/>
          <w:sz w:val="22"/>
          <w:szCs w:val="24"/>
          <w:lang w:eastAsia="es-CO"/>
        </w:rPr>
      </w:pPr>
    </w:p>
    <w:p w:rsidR="00CA15F7" w:rsidRPr="0021756A" w:rsidRDefault="00CA15F7" w:rsidP="0021756A">
      <w:pPr>
        <w:ind w:left="426" w:right="420" w:firstLine="708"/>
        <w:jc w:val="both"/>
        <w:rPr>
          <w:rFonts w:ascii="Arial" w:hAnsi="Arial" w:cs="Arial"/>
          <w:i/>
          <w:color w:val="000000"/>
          <w:sz w:val="22"/>
          <w:szCs w:val="24"/>
          <w:lang w:eastAsia="es-CO"/>
        </w:rPr>
      </w:pPr>
      <w:r w:rsidRPr="0021756A">
        <w:rPr>
          <w:rFonts w:ascii="Arial" w:hAnsi="Arial" w:cs="Arial"/>
          <w:i/>
          <w:color w:val="000000"/>
          <w:sz w:val="22"/>
          <w:szCs w:val="24"/>
          <w:lang w:eastAsia="es-CO"/>
        </w:rPr>
        <w:t xml:space="preserve">“De esta manera, sobre una base fáctica impuesta por las partes desde la demanda y su contestación (extremos de la litis), puede moverse libremente el juez al momento de definir las consecuencias jurídicas que se desprendan de lo </w:t>
      </w:r>
      <w:r w:rsidRPr="0021756A">
        <w:rPr>
          <w:rFonts w:ascii="Arial" w:hAnsi="Arial" w:cs="Arial"/>
          <w:i/>
          <w:color w:val="000000"/>
          <w:sz w:val="22"/>
          <w:szCs w:val="24"/>
          <w:lang w:eastAsia="es-CO"/>
        </w:rPr>
        <w:lastRenderedPageBreak/>
        <w:t>demostrado y debatido en juicio, sin que para ello se deba someter a las calificaciones que de los hechos hagan las partes, pues el llamado a interpretar y aplicar la ley es él. </w:t>
      </w:r>
    </w:p>
    <w:p w:rsidR="00CA15F7" w:rsidRPr="0021756A" w:rsidRDefault="00CA15F7" w:rsidP="0021756A">
      <w:pPr>
        <w:pStyle w:val="Sinespaciado"/>
        <w:ind w:left="426" w:right="420"/>
        <w:rPr>
          <w:rFonts w:ascii="Arial" w:hAnsi="Arial" w:cs="Arial"/>
          <w:i/>
          <w:sz w:val="22"/>
          <w:szCs w:val="24"/>
          <w:lang w:eastAsia="es-CO"/>
        </w:rPr>
      </w:pPr>
    </w:p>
    <w:p w:rsidR="00CA15F7" w:rsidRPr="0021756A" w:rsidRDefault="00CA15F7" w:rsidP="0021756A">
      <w:pPr>
        <w:ind w:left="426" w:right="420" w:firstLine="708"/>
        <w:jc w:val="both"/>
        <w:rPr>
          <w:rFonts w:ascii="Arial" w:hAnsi="Arial" w:cs="Arial"/>
          <w:i/>
          <w:color w:val="000000"/>
          <w:sz w:val="22"/>
          <w:szCs w:val="24"/>
          <w:lang w:eastAsia="es-CO"/>
        </w:rPr>
      </w:pPr>
      <w:r w:rsidRPr="0021756A">
        <w:rPr>
          <w:rFonts w:ascii="Arial" w:hAnsi="Arial" w:cs="Arial"/>
          <w:i/>
          <w:color w:val="000000"/>
          <w:sz w:val="22"/>
          <w:szCs w:val="24"/>
          <w:lang w:eastAsia="es-CO"/>
        </w:rPr>
        <w:t>“Conforme con ello, el principio de congruencia o consonancia no se ve afectado porque en la sentencia el juez o tribunal se aparte de la calificación o connotación jurídica que sobre determinada realidad fáctica haga una de las partes, (…) el sentenciador es libre para encontrar e interpretar la norma aplicable al caso concreto, eso sí, siempre que no se varíen los elementos constitutivos de la causa petendi que delimitan la litis.”</w:t>
      </w:r>
    </w:p>
    <w:p w:rsidR="00CA15F7" w:rsidRPr="0021756A" w:rsidRDefault="00CA15F7" w:rsidP="0021756A">
      <w:pPr>
        <w:pStyle w:val="Sinespaciado"/>
        <w:spacing w:line="276" w:lineRule="auto"/>
        <w:rPr>
          <w:rFonts w:ascii="Arial" w:hAnsi="Arial" w:cs="Arial"/>
          <w:szCs w:val="24"/>
        </w:rPr>
      </w:pPr>
    </w:p>
    <w:p w:rsidR="00912E7C" w:rsidRPr="0021756A" w:rsidRDefault="00CA15F7" w:rsidP="0021756A">
      <w:pPr>
        <w:pStyle w:val="Sinespaciado"/>
        <w:spacing w:line="276" w:lineRule="auto"/>
        <w:ind w:firstLine="708"/>
        <w:jc w:val="both"/>
        <w:rPr>
          <w:rFonts w:ascii="Arial" w:hAnsi="Arial" w:cs="Arial"/>
          <w:szCs w:val="24"/>
          <w:lang w:eastAsia="en-US"/>
        </w:rPr>
      </w:pPr>
      <w:r w:rsidRPr="0021756A">
        <w:rPr>
          <w:rFonts w:ascii="Arial" w:hAnsi="Arial" w:cs="Arial"/>
          <w:szCs w:val="24"/>
          <w:lang w:eastAsia="en-US"/>
        </w:rPr>
        <w:t xml:space="preserve">Así entonces, </w:t>
      </w:r>
      <w:r w:rsidR="00912E7C" w:rsidRPr="0021756A">
        <w:rPr>
          <w:rFonts w:ascii="Arial" w:hAnsi="Arial" w:cs="Arial"/>
          <w:szCs w:val="24"/>
          <w:lang w:eastAsia="en-US"/>
        </w:rPr>
        <w:t>se tiene que</w:t>
      </w:r>
      <w:r w:rsidR="005430E9" w:rsidRPr="0021756A">
        <w:rPr>
          <w:rFonts w:ascii="Arial" w:hAnsi="Arial" w:cs="Arial"/>
          <w:szCs w:val="24"/>
          <w:lang w:eastAsia="en-US"/>
        </w:rPr>
        <w:t>,</w:t>
      </w:r>
      <w:r w:rsidR="00912E7C" w:rsidRPr="0021756A">
        <w:rPr>
          <w:rFonts w:ascii="Arial" w:hAnsi="Arial" w:cs="Arial"/>
          <w:szCs w:val="24"/>
          <w:lang w:eastAsia="en-US"/>
        </w:rPr>
        <w:t xml:space="preserve"> </w:t>
      </w:r>
      <w:r w:rsidRPr="0021756A">
        <w:rPr>
          <w:rFonts w:ascii="Arial" w:hAnsi="Arial" w:cs="Arial"/>
          <w:szCs w:val="24"/>
          <w:lang w:eastAsia="en-US"/>
        </w:rPr>
        <w:t>en la valoración de las pruebas y la calificación jurídica de los hechos, el juez es autónomo, y está sometido a la libre formación del convencimiento conforme los principi</w:t>
      </w:r>
      <w:r w:rsidR="00E8213B" w:rsidRPr="0021756A">
        <w:rPr>
          <w:rFonts w:ascii="Arial" w:hAnsi="Arial" w:cs="Arial"/>
          <w:szCs w:val="24"/>
          <w:lang w:eastAsia="en-US"/>
        </w:rPr>
        <w:t>os de la sana crítica y la ley, en especial la atribución de los efectos jurídicos de las mismas.</w:t>
      </w:r>
      <w:r w:rsidR="00912E7C" w:rsidRPr="0021756A">
        <w:rPr>
          <w:rFonts w:ascii="Arial" w:hAnsi="Arial" w:cs="Arial"/>
          <w:szCs w:val="24"/>
          <w:lang w:eastAsia="en-US"/>
        </w:rPr>
        <w:t xml:space="preserve"> </w:t>
      </w:r>
    </w:p>
    <w:p w:rsidR="00031E72" w:rsidRPr="0021756A" w:rsidRDefault="00031E72" w:rsidP="0021756A">
      <w:pPr>
        <w:pStyle w:val="Sinespaciado"/>
        <w:spacing w:line="276" w:lineRule="auto"/>
        <w:rPr>
          <w:rFonts w:ascii="Arial" w:hAnsi="Arial" w:cs="Arial"/>
          <w:szCs w:val="24"/>
        </w:rPr>
      </w:pPr>
    </w:p>
    <w:p w:rsidR="009E1CD1" w:rsidRPr="0021756A" w:rsidRDefault="004C065C" w:rsidP="0021756A">
      <w:pPr>
        <w:pStyle w:val="Prrafodelista"/>
        <w:numPr>
          <w:ilvl w:val="0"/>
          <w:numId w:val="4"/>
        </w:numPr>
        <w:autoSpaceDE w:val="0"/>
        <w:autoSpaceDN w:val="0"/>
        <w:adjustRightInd w:val="0"/>
        <w:spacing w:line="276" w:lineRule="auto"/>
        <w:ind w:left="0" w:firstLine="567"/>
        <w:jc w:val="both"/>
        <w:rPr>
          <w:rFonts w:ascii="Arial" w:hAnsi="Arial" w:cs="Arial"/>
          <w:b/>
          <w:szCs w:val="24"/>
        </w:rPr>
      </w:pPr>
      <w:r w:rsidRPr="0021756A">
        <w:rPr>
          <w:rFonts w:ascii="Arial" w:hAnsi="Arial" w:cs="Arial"/>
          <w:b/>
          <w:szCs w:val="24"/>
        </w:rPr>
        <w:t xml:space="preserve">Jurisprudencia de la Corte Constitucional </w:t>
      </w:r>
      <w:r w:rsidR="00A8655D" w:rsidRPr="0021756A">
        <w:rPr>
          <w:rFonts w:ascii="Arial" w:hAnsi="Arial" w:cs="Arial"/>
          <w:b/>
          <w:szCs w:val="24"/>
          <w:shd w:val="clear" w:color="auto" w:fill="FFFFFF"/>
        </w:rPr>
        <w:t xml:space="preserve">respecto a </w:t>
      </w:r>
      <w:r w:rsidR="00E15BE9" w:rsidRPr="0021756A">
        <w:rPr>
          <w:rFonts w:ascii="Arial" w:hAnsi="Arial" w:cs="Arial"/>
          <w:b/>
          <w:szCs w:val="24"/>
          <w:shd w:val="clear" w:color="auto" w:fill="FFFFFF"/>
        </w:rPr>
        <w:t>enfermedades crónicas, degenerativas o congénitas.</w:t>
      </w:r>
    </w:p>
    <w:p w:rsidR="004C2D6A" w:rsidRPr="0021756A" w:rsidRDefault="004C2D6A" w:rsidP="0021756A">
      <w:pPr>
        <w:pStyle w:val="Sinespaciado"/>
        <w:spacing w:line="276" w:lineRule="auto"/>
        <w:rPr>
          <w:rFonts w:ascii="Arial" w:hAnsi="Arial" w:cs="Arial"/>
          <w:szCs w:val="24"/>
        </w:rPr>
      </w:pPr>
    </w:p>
    <w:p w:rsidR="000774ED" w:rsidRPr="0021756A" w:rsidRDefault="004C2D6A" w:rsidP="0021756A">
      <w:pPr>
        <w:autoSpaceDE w:val="0"/>
        <w:autoSpaceDN w:val="0"/>
        <w:adjustRightInd w:val="0"/>
        <w:spacing w:line="276" w:lineRule="auto"/>
        <w:ind w:firstLine="426"/>
        <w:jc w:val="both"/>
        <w:rPr>
          <w:rFonts w:ascii="Arial" w:hAnsi="Arial" w:cs="Arial"/>
          <w:b/>
          <w:szCs w:val="24"/>
        </w:rPr>
      </w:pPr>
      <w:r w:rsidRPr="0021756A">
        <w:rPr>
          <w:rFonts w:ascii="Arial" w:hAnsi="Arial" w:cs="Arial"/>
          <w:szCs w:val="24"/>
        </w:rPr>
        <w:t xml:space="preserve">El órgano de cierre constitucional ha consolidado una línea jurisprudencial reiterada y pacífica respecto de los casos en los que la </w:t>
      </w:r>
      <w:r w:rsidR="004C065C" w:rsidRPr="0021756A">
        <w:rPr>
          <w:rFonts w:ascii="Arial" w:hAnsi="Arial" w:cs="Arial"/>
          <w:szCs w:val="24"/>
        </w:rPr>
        <w:t xml:space="preserve">causa de la invalidez se deriva de una enfermedad crónica, degenerativa o congénita, </w:t>
      </w:r>
      <w:r w:rsidR="00A8655D" w:rsidRPr="0021756A">
        <w:rPr>
          <w:rFonts w:ascii="Arial" w:hAnsi="Arial" w:cs="Arial"/>
          <w:szCs w:val="24"/>
        </w:rPr>
        <w:t xml:space="preserve">y la estructuración de la pérdida de capacidad laboral </w:t>
      </w:r>
      <w:r w:rsidR="00A1138E" w:rsidRPr="0021756A">
        <w:rPr>
          <w:rFonts w:ascii="Arial" w:hAnsi="Arial" w:cs="Arial"/>
          <w:szCs w:val="24"/>
        </w:rPr>
        <w:t xml:space="preserve">es determinada </w:t>
      </w:r>
      <w:r w:rsidR="00A8655D" w:rsidRPr="0021756A">
        <w:rPr>
          <w:rFonts w:ascii="Arial" w:hAnsi="Arial" w:cs="Arial"/>
          <w:szCs w:val="24"/>
        </w:rPr>
        <w:t xml:space="preserve">en </w:t>
      </w:r>
      <w:r w:rsidRPr="0021756A">
        <w:rPr>
          <w:rFonts w:ascii="Arial" w:hAnsi="Arial" w:cs="Arial"/>
          <w:szCs w:val="24"/>
        </w:rPr>
        <w:t xml:space="preserve">una fecha anterior al dictamen. </w:t>
      </w:r>
      <w:r w:rsidR="00A1138E" w:rsidRPr="0021756A">
        <w:rPr>
          <w:rFonts w:ascii="Arial" w:hAnsi="Arial" w:cs="Arial"/>
          <w:szCs w:val="24"/>
        </w:rPr>
        <w:t>E</w:t>
      </w:r>
      <w:r w:rsidR="00E15BE9" w:rsidRPr="0021756A">
        <w:rPr>
          <w:rFonts w:ascii="Arial" w:hAnsi="Arial" w:cs="Arial"/>
          <w:szCs w:val="24"/>
        </w:rPr>
        <w:t xml:space="preserve">stableció al respecto esa Alta Magistratura </w:t>
      </w:r>
      <w:r w:rsidR="00BC458C" w:rsidRPr="0021756A">
        <w:rPr>
          <w:rFonts w:ascii="Arial" w:hAnsi="Arial" w:cs="Arial"/>
          <w:szCs w:val="24"/>
        </w:rPr>
        <w:t xml:space="preserve">en sentencia T 128 de 2015 </w:t>
      </w:r>
      <w:r w:rsidR="00E15BE9" w:rsidRPr="0021756A">
        <w:rPr>
          <w:rFonts w:ascii="Arial" w:hAnsi="Arial" w:cs="Arial"/>
          <w:szCs w:val="24"/>
        </w:rPr>
        <w:t>que</w:t>
      </w:r>
      <w:r w:rsidR="00A1138E" w:rsidRPr="0021756A">
        <w:rPr>
          <w:rFonts w:ascii="Arial" w:hAnsi="Arial" w:cs="Arial"/>
          <w:szCs w:val="24"/>
        </w:rPr>
        <w:t xml:space="preserve">: </w:t>
      </w:r>
    </w:p>
    <w:p w:rsidR="000774ED" w:rsidRPr="0021756A" w:rsidRDefault="000774ED" w:rsidP="0021756A">
      <w:pPr>
        <w:pStyle w:val="Sinespaciado"/>
        <w:spacing w:line="276" w:lineRule="auto"/>
        <w:rPr>
          <w:rFonts w:ascii="Arial" w:hAnsi="Arial" w:cs="Arial"/>
          <w:szCs w:val="24"/>
        </w:rPr>
      </w:pPr>
    </w:p>
    <w:p w:rsidR="00A8655D" w:rsidRPr="0021756A" w:rsidRDefault="000774ED" w:rsidP="0021756A">
      <w:pPr>
        <w:autoSpaceDE w:val="0"/>
        <w:autoSpaceDN w:val="0"/>
        <w:adjustRightInd w:val="0"/>
        <w:ind w:left="426" w:right="420"/>
        <w:jc w:val="both"/>
        <w:rPr>
          <w:rFonts w:ascii="Arial" w:hAnsi="Arial" w:cs="Arial"/>
          <w:sz w:val="22"/>
          <w:szCs w:val="24"/>
          <w:lang w:val="es-CO" w:eastAsia="es-CO"/>
        </w:rPr>
      </w:pPr>
      <w:r w:rsidRPr="0021756A">
        <w:rPr>
          <w:rFonts w:ascii="Arial" w:hAnsi="Arial" w:cs="Arial"/>
          <w:sz w:val="22"/>
          <w:szCs w:val="24"/>
        </w:rPr>
        <w:t>“</w:t>
      </w:r>
      <w:r w:rsidR="0021756A" w:rsidRPr="0021756A">
        <w:rPr>
          <w:rFonts w:ascii="Arial" w:hAnsi="Arial" w:cs="Arial"/>
          <w:sz w:val="22"/>
          <w:szCs w:val="24"/>
        </w:rPr>
        <w:t>E</w:t>
      </w:r>
      <w:proofErr w:type="spellStart"/>
      <w:r w:rsidR="00A8655D" w:rsidRPr="0021756A">
        <w:rPr>
          <w:rFonts w:ascii="Arial" w:hAnsi="Arial" w:cs="Arial"/>
          <w:i/>
          <w:iCs/>
          <w:sz w:val="22"/>
          <w:szCs w:val="24"/>
          <w:bdr w:val="none" w:sz="0" w:space="0" w:color="auto" w:frame="1"/>
          <w:lang w:val="es-CO" w:eastAsia="es-CO"/>
        </w:rPr>
        <w:t>xisten</w:t>
      </w:r>
      <w:proofErr w:type="spellEnd"/>
      <w:r w:rsidR="00A8655D" w:rsidRPr="0021756A">
        <w:rPr>
          <w:rFonts w:ascii="Arial" w:hAnsi="Arial" w:cs="Arial"/>
          <w:i/>
          <w:iCs/>
          <w:sz w:val="22"/>
          <w:szCs w:val="24"/>
          <w:bdr w:val="none" w:sz="0" w:space="0" w:color="auto" w:frame="1"/>
          <w:lang w:val="es-CO" w:eastAsia="es-CO"/>
        </w:rPr>
        <w:t xml:space="preserve"> casos en los que la fecha en que efectivamente una persona está en incapacidad para trabajar, es diferente a la fecha que indica el dictamen de calificación de pérdida de capacidad laboral. Lo anterior se presenta, generalmente, cuando se padecen enfermedades crónicas, degenerativas o congénitas, en donde la pérdida de capacidad laboral es paulatina</w:t>
      </w:r>
    </w:p>
    <w:p w:rsidR="00A8655D" w:rsidRPr="0021756A" w:rsidRDefault="00A8655D" w:rsidP="0021756A">
      <w:pPr>
        <w:shd w:val="clear" w:color="auto" w:fill="FFFFFF"/>
        <w:ind w:left="426" w:right="420"/>
        <w:jc w:val="both"/>
        <w:textAlignment w:val="baseline"/>
        <w:rPr>
          <w:rFonts w:ascii="Arial" w:hAnsi="Arial" w:cs="Arial"/>
          <w:sz w:val="22"/>
          <w:szCs w:val="24"/>
          <w:lang w:val="es-CO" w:eastAsia="es-CO"/>
        </w:rPr>
      </w:pPr>
      <w:r w:rsidRPr="0021756A">
        <w:rPr>
          <w:rFonts w:ascii="Arial" w:hAnsi="Arial" w:cs="Arial"/>
          <w:i/>
          <w:iCs/>
          <w:sz w:val="22"/>
          <w:szCs w:val="24"/>
          <w:bdr w:val="none" w:sz="0" w:space="0" w:color="auto" w:frame="1"/>
          <w:lang w:val="es-CO" w:eastAsia="es-CO"/>
        </w:rPr>
        <w:t> </w:t>
      </w:r>
    </w:p>
    <w:p w:rsidR="00A8655D" w:rsidRPr="0021756A" w:rsidRDefault="00A8655D" w:rsidP="0021756A">
      <w:pPr>
        <w:shd w:val="clear" w:color="auto" w:fill="FFFFFF"/>
        <w:ind w:left="426" w:right="420"/>
        <w:jc w:val="both"/>
        <w:textAlignment w:val="baseline"/>
        <w:rPr>
          <w:rFonts w:ascii="Arial" w:hAnsi="Arial" w:cs="Arial"/>
          <w:sz w:val="22"/>
          <w:szCs w:val="24"/>
          <w:lang w:val="es-CO" w:eastAsia="es-CO"/>
        </w:rPr>
      </w:pPr>
      <w:r w:rsidRPr="0021756A">
        <w:rPr>
          <w:rFonts w:ascii="Arial" w:hAnsi="Arial" w:cs="Arial"/>
          <w:i/>
          <w:iCs/>
          <w:sz w:val="22"/>
          <w:szCs w:val="24"/>
          <w:bdr w:val="none" w:sz="0" w:space="0" w:color="auto" w:frame="1"/>
          <w:lang w:val="es-CO" w:eastAsia="es-CO"/>
        </w:rPr>
        <w:t>Frente a este tipo de situaciones, la Corte ha evidenciado que los órganos encargados de determinar la pérdida de capacidad laboral, es decir las Juntas de Calificación de Invalidez, establecen como fecha de estructuración de la invalidez aquella en que aparece el primer síntoma de la enfermedad, o la que se señala en la historia clínica como el momento en que se diagnosticó la enfermedad, a pesar de que en ese momento, no se haya presentado una pérdida de capacidad laboral permanente y definitiva</w:t>
      </w:r>
      <w:r w:rsidR="000774ED" w:rsidRPr="0021756A">
        <w:rPr>
          <w:rFonts w:ascii="Arial" w:hAnsi="Arial" w:cs="Arial"/>
          <w:i/>
          <w:iCs/>
          <w:sz w:val="22"/>
          <w:szCs w:val="24"/>
          <w:bdr w:val="none" w:sz="0" w:space="0" w:color="auto" w:frame="1"/>
          <w:lang w:val="es-CO" w:eastAsia="es-CO"/>
        </w:rPr>
        <w:t xml:space="preserve"> </w:t>
      </w:r>
      <w:r w:rsidRPr="0021756A">
        <w:rPr>
          <w:rFonts w:ascii="Arial" w:hAnsi="Arial" w:cs="Arial"/>
          <w:i/>
          <w:iCs/>
          <w:sz w:val="22"/>
          <w:szCs w:val="24"/>
          <w:bdr w:val="none" w:sz="0" w:space="0" w:color="auto" w:frame="1"/>
          <w:lang w:val="es-CO" w:eastAsia="es-CO"/>
        </w:rPr>
        <w:t>superior al 50%</w:t>
      </w:r>
      <w:r w:rsidR="000774ED" w:rsidRPr="0021756A">
        <w:rPr>
          <w:rFonts w:ascii="Arial" w:hAnsi="Arial" w:cs="Arial"/>
          <w:i/>
          <w:iCs/>
          <w:sz w:val="22"/>
          <w:szCs w:val="24"/>
          <w:bdr w:val="none" w:sz="0" w:space="0" w:color="auto" w:frame="1"/>
          <w:lang w:val="es-CO" w:eastAsia="es-CO"/>
        </w:rPr>
        <w:t xml:space="preserve">, </w:t>
      </w:r>
      <w:r w:rsidRPr="0021756A">
        <w:rPr>
          <w:rFonts w:ascii="Arial" w:hAnsi="Arial" w:cs="Arial"/>
          <w:i/>
          <w:iCs/>
          <w:sz w:val="22"/>
          <w:szCs w:val="24"/>
          <w:bdr w:val="none" w:sz="0" w:space="0" w:color="auto" w:frame="1"/>
          <w:lang w:val="es-CO" w:eastAsia="es-CO"/>
        </w:rPr>
        <w:t xml:space="preserve"> tal y como establece el Manual Único para la calificación de la invalidez – Decreto 917 de 1999-</w:t>
      </w:r>
    </w:p>
    <w:p w:rsidR="00A8655D" w:rsidRPr="0021756A" w:rsidRDefault="00A8655D" w:rsidP="0021756A">
      <w:pPr>
        <w:autoSpaceDE w:val="0"/>
        <w:autoSpaceDN w:val="0"/>
        <w:adjustRightInd w:val="0"/>
        <w:ind w:left="426" w:right="420"/>
        <w:jc w:val="both"/>
        <w:rPr>
          <w:rFonts w:ascii="Arial" w:hAnsi="Arial" w:cs="Arial"/>
          <w:sz w:val="22"/>
          <w:szCs w:val="24"/>
          <w:lang w:val="es-CO" w:eastAsia="es-CO"/>
        </w:rPr>
      </w:pPr>
    </w:p>
    <w:p w:rsidR="00A40F77" w:rsidRPr="0021756A" w:rsidRDefault="000774ED" w:rsidP="0021756A">
      <w:pPr>
        <w:autoSpaceDE w:val="0"/>
        <w:autoSpaceDN w:val="0"/>
        <w:adjustRightInd w:val="0"/>
        <w:ind w:left="426" w:right="420"/>
        <w:jc w:val="both"/>
        <w:rPr>
          <w:rFonts w:ascii="Arial" w:hAnsi="Arial" w:cs="Arial"/>
          <w:i/>
          <w:iCs/>
          <w:sz w:val="22"/>
          <w:szCs w:val="24"/>
          <w:bdr w:val="none" w:sz="0" w:space="0" w:color="auto" w:frame="1"/>
        </w:rPr>
      </w:pPr>
      <w:r w:rsidRPr="0021756A">
        <w:rPr>
          <w:rFonts w:ascii="Arial" w:hAnsi="Arial" w:cs="Arial"/>
          <w:i/>
          <w:iCs/>
          <w:sz w:val="22"/>
          <w:szCs w:val="24"/>
          <w:bdr w:val="none" w:sz="0" w:space="0" w:color="auto" w:frame="1"/>
        </w:rPr>
        <w:t>Esta situación genera una vulneración al derecho a la seguridad social de las personas que se encuentran en situación de invalidez y han solicitado su pensión para conjurar este riesgo, por cuanto, en primer lugar, desconoce que, en el caso de enfermedades crónicas, degenerativas o congénitas, la pérdida de capacidad laboral es gradual y por tanto la persona que sufre de alguno de este tipo de padecimientos puede continuar desarrollando sus actividades; en segundo lugar, no se tiene en cuenta las cotizaciones realizadas con posterioridad a la fecha de estructuración de la invalidez para el rec</w:t>
      </w:r>
      <w:r w:rsidR="00E05C4D" w:rsidRPr="0021756A">
        <w:rPr>
          <w:rFonts w:ascii="Arial" w:hAnsi="Arial" w:cs="Arial"/>
          <w:i/>
          <w:iCs/>
          <w:sz w:val="22"/>
          <w:szCs w:val="24"/>
          <w:bdr w:val="none" w:sz="0" w:space="0" w:color="auto" w:frame="1"/>
        </w:rPr>
        <w:t>onocimiento de esta prestación (…).</w:t>
      </w:r>
    </w:p>
    <w:p w:rsidR="00E05C4D" w:rsidRPr="0021756A" w:rsidRDefault="00E05C4D" w:rsidP="0021756A">
      <w:pPr>
        <w:autoSpaceDE w:val="0"/>
        <w:autoSpaceDN w:val="0"/>
        <w:adjustRightInd w:val="0"/>
        <w:ind w:left="426" w:right="420"/>
        <w:jc w:val="both"/>
        <w:rPr>
          <w:rFonts w:ascii="Arial" w:hAnsi="Arial" w:cs="Arial"/>
          <w:i/>
          <w:iCs/>
          <w:sz w:val="22"/>
          <w:szCs w:val="24"/>
          <w:bdr w:val="none" w:sz="0" w:space="0" w:color="auto" w:frame="1"/>
        </w:rPr>
      </w:pPr>
    </w:p>
    <w:p w:rsidR="000774ED" w:rsidRPr="0021756A" w:rsidRDefault="00A40F77" w:rsidP="0021756A">
      <w:pPr>
        <w:autoSpaceDE w:val="0"/>
        <w:autoSpaceDN w:val="0"/>
        <w:adjustRightInd w:val="0"/>
        <w:ind w:left="426" w:right="420"/>
        <w:jc w:val="both"/>
        <w:rPr>
          <w:rFonts w:ascii="Arial" w:hAnsi="Arial" w:cs="Arial"/>
          <w:i/>
          <w:iCs/>
          <w:sz w:val="22"/>
          <w:szCs w:val="24"/>
          <w:bdr w:val="none" w:sz="0" w:space="0" w:color="auto" w:frame="1"/>
        </w:rPr>
      </w:pPr>
      <w:r w:rsidRPr="0021756A">
        <w:rPr>
          <w:rFonts w:ascii="Arial" w:hAnsi="Arial" w:cs="Arial"/>
          <w:i/>
          <w:iCs/>
          <w:sz w:val="22"/>
          <w:szCs w:val="24"/>
          <w:bdr w:val="none" w:sz="0" w:space="0" w:color="auto" w:frame="1"/>
        </w:rPr>
        <w:t>En este orden de ideas, cuando una entidad estudia la solicitud de reconocimiento de una pensión de invalidez de una persona que padece una enfermedad crónica, degenerativa o congénita deberá establecer como fecha de estructuración de la invalidez el momento en que la persona haya perdido de</w:t>
      </w:r>
      <w:r w:rsidRPr="0021756A">
        <w:rPr>
          <w:rStyle w:val="apple-converted-space"/>
          <w:rFonts w:ascii="Arial" w:hAnsi="Arial" w:cs="Arial"/>
          <w:i/>
          <w:iCs/>
          <w:sz w:val="22"/>
          <w:szCs w:val="24"/>
          <w:bdr w:val="none" w:sz="0" w:space="0" w:color="auto" w:frame="1"/>
        </w:rPr>
        <w:t> </w:t>
      </w:r>
      <w:r w:rsidRPr="0021756A">
        <w:rPr>
          <w:rFonts w:ascii="Arial" w:hAnsi="Arial" w:cs="Arial"/>
          <w:bCs/>
          <w:i/>
          <w:iCs/>
          <w:sz w:val="22"/>
          <w:szCs w:val="24"/>
          <w:bdr w:val="none" w:sz="0" w:space="0" w:color="auto" w:frame="1"/>
        </w:rPr>
        <w:t>forma definitiva y permanente</w:t>
      </w:r>
      <w:r w:rsidRPr="0021756A">
        <w:rPr>
          <w:rStyle w:val="apple-converted-space"/>
          <w:rFonts w:ascii="Arial" w:hAnsi="Arial" w:cs="Arial"/>
          <w:i/>
          <w:iCs/>
          <w:sz w:val="22"/>
          <w:szCs w:val="24"/>
          <w:bdr w:val="none" w:sz="0" w:space="0" w:color="auto" w:frame="1"/>
        </w:rPr>
        <w:t> </w:t>
      </w:r>
      <w:r w:rsidRPr="0021756A">
        <w:rPr>
          <w:rFonts w:ascii="Arial" w:hAnsi="Arial" w:cs="Arial"/>
          <w:i/>
          <w:iCs/>
          <w:sz w:val="22"/>
          <w:szCs w:val="24"/>
          <w:bdr w:val="none" w:sz="0" w:space="0" w:color="auto" w:frame="1"/>
        </w:rPr>
        <w:t>su capacidad laboral</w:t>
      </w:r>
      <w:r w:rsidRPr="0021756A">
        <w:rPr>
          <w:rStyle w:val="apple-converted-space"/>
          <w:rFonts w:ascii="Arial" w:hAnsi="Arial" w:cs="Arial"/>
          <w:i/>
          <w:iCs/>
          <w:sz w:val="22"/>
          <w:szCs w:val="24"/>
          <w:bdr w:val="none" w:sz="0" w:space="0" w:color="auto" w:frame="1"/>
        </w:rPr>
        <w:t> </w:t>
      </w:r>
      <w:r w:rsidRPr="0021756A">
        <w:rPr>
          <w:rFonts w:ascii="Arial" w:hAnsi="Arial" w:cs="Arial"/>
          <w:i/>
          <w:iCs/>
          <w:sz w:val="22"/>
          <w:szCs w:val="24"/>
          <w:bdr w:val="none" w:sz="0" w:space="0" w:color="auto" w:frame="1"/>
        </w:rPr>
        <w:t>igual o superior al 50%</w:t>
      </w:r>
      <w:r w:rsidRPr="0021756A">
        <w:rPr>
          <w:rStyle w:val="apple-converted-space"/>
          <w:rFonts w:ascii="Arial" w:hAnsi="Arial" w:cs="Arial"/>
          <w:i/>
          <w:iCs/>
          <w:sz w:val="22"/>
          <w:szCs w:val="24"/>
          <w:bdr w:val="none" w:sz="0" w:space="0" w:color="auto" w:frame="1"/>
        </w:rPr>
        <w:t> </w:t>
      </w:r>
      <w:r w:rsidRPr="0021756A">
        <w:rPr>
          <w:rFonts w:ascii="Arial" w:hAnsi="Arial" w:cs="Arial"/>
          <w:i/>
          <w:iCs/>
          <w:sz w:val="22"/>
          <w:szCs w:val="24"/>
          <w:bdr w:val="none" w:sz="0" w:space="0" w:color="auto" w:frame="1"/>
        </w:rPr>
        <w:t> y, a partir de ésta, verificar si la persona que ha solicitado la pensión de invalidez cumple con los requisitos establecidos por la normatividad aplicable para el caso concreto.”</w:t>
      </w:r>
      <w:r w:rsidR="001C62EA" w:rsidRPr="0021756A">
        <w:rPr>
          <w:rFonts w:ascii="Arial" w:hAnsi="Arial" w:cs="Arial"/>
          <w:i/>
          <w:iCs/>
          <w:sz w:val="22"/>
          <w:szCs w:val="24"/>
          <w:bdr w:val="none" w:sz="0" w:space="0" w:color="auto" w:frame="1"/>
        </w:rPr>
        <w:t>.</w:t>
      </w:r>
    </w:p>
    <w:p w:rsidR="001C62EA" w:rsidRPr="0021756A" w:rsidRDefault="001C62EA" w:rsidP="0021756A">
      <w:pPr>
        <w:pStyle w:val="Sinespaciado"/>
        <w:spacing w:line="276" w:lineRule="auto"/>
        <w:rPr>
          <w:rFonts w:ascii="Arial" w:hAnsi="Arial" w:cs="Arial"/>
          <w:szCs w:val="24"/>
        </w:rPr>
      </w:pPr>
    </w:p>
    <w:p w:rsidR="00E15BE9" w:rsidRPr="0021756A" w:rsidRDefault="00CB6204" w:rsidP="0021756A">
      <w:pPr>
        <w:autoSpaceDE w:val="0"/>
        <w:autoSpaceDN w:val="0"/>
        <w:adjustRightInd w:val="0"/>
        <w:spacing w:line="276" w:lineRule="auto"/>
        <w:ind w:right="51" w:firstLine="426"/>
        <w:jc w:val="both"/>
        <w:rPr>
          <w:rFonts w:ascii="Arial" w:hAnsi="Arial" w:cs="Arial"/>
          <w:szCs w:val="24"/>
          <w:shd w:val="clear" w:color="auto" w:fill="FFFFFF"/>
        </w:rPr>
      </w:pPr>
      <w:r w:rsidRPr="0021756A">
        <w:rPr>
          <w:rFonts w:ascii="Arial" w:hAnsi="Arial" w:cs="Arial"/>
          <w:iCs/>
          <w:szCs w:val="24"/>
          <w:bdr w:val="none" w:sz="0" w:space="0" w:color="auto" w:frame="1"/>
        </w:rPr>
        <w:t xml:space="preserve">En síntesis, </w:t>
      </w:r>
      <w:r w:rsidR="00BC458C" w:rsidRPr="0021756A">
        <w:rPr>
          <w:rFonts w:ascii="Arial" w:hAnsi="Arial" w:cs="Arial"/>
          <w:iCs/>
          <w:szCs w:val="24"/>
          <w:bdr w:val="none" w:sz="0" w:space="0" w:color="auto" w:frame="1"/>
        </w:rPr>
        <w:t xml:space="preserve">se colige de lo anterior que </w:t>
      </w:r>
      <w:r w:rsidR="00E15BE9" w:rsidRPr="0021756A">
        <w:rPr>
          <w:rFonts w:ascii="Arial" w:hAnsi="Arial" w:cs="Arial"/>
          <w:iCs/>
          <w:szCs w:val="24"/>
          <w:bdr w:val="none" w:sz="0" w:space="0" w:color="auto" w:frame="1"/>
        </w:rPr>
        <w:t xml:space="preserve">en aquellos casos en los que deba determinarse la fecha de estructuración de la invalidez de una persona que sufra una enfermedad crónica </w:t>
      </w:r>
      <w:r w:rsidR="00E15BE9" w:rsidRPr="0021756A">
        <w:rPr>
          <w:rFonts w:ascii="Arial" w:hAnsi="Arial" w:cs="Arial"/>
          <w:szCs w:val="24"/>
          <w:shd w:val="clear" w:color="auto" w:fill="FFFFFF"/>
        </w:rPr>
        <w:t>degenerativa o congénita, que no le impida</w:t>
      </w:r>
      <w:r w:rsidR="005D416D" w:rsidRPr="0021756A">
        <w:rPr>
          <w:rFonts w:ascii="Arial" w:hAnsi="Arial" w:cs="Arial"/>
          <w:szCs w:val="24"/>
          <w:shd w:val="clear" w:color="auto" w:fill="FFFFFF"/>
        </w:rPr>
        <w:t xml:space="preserve"> ejercer actividades laborales</w:t>
      </w:r>
      <w:r w:rsidR="00E15BE9" w:rsidRPr="0021756A">
        <w:rPr>
          <w:rFonts w:ascii="Arial" w:hAnsi="Arial" w:cs="Arial"/>
          <w:szCs w:val="24"/>
          <w:shd w:val="clear" w:color="auto" w:fill="FFFFFF"/>
        </w:rPr>
        <w:t xml:space="preserve"> durante ciertos períodos de tiempo, la entidad calificadora </w:t>
      </w:r>
      <w:r w:rsidR="005D416D" w:rsidRPr="0021756A">
        <w:rPr>
          <w:rFonts w:ascii="Arial" w:hAnsi="Arial" w:cs="Arial"/>
          <w:szCs w:val="24"/>
          <w:shd w:val="clear" w:color="auto" w:fill="FFFFFF"/>
        </w:rPr>
        <w:t xml:space="preserve">de la PCL </w:t>
      </w:r>
      <w:r w:rsidR="00E15BE9" w:rsidRPr="0021756A">
        <w:rPr>
          <w:rFonts w:ascii="Arial" w:hAnsi="Arial" w:cs="Arial"/>
          <w:szCs w:val="24"/>
          <w:shd w:val="clear" w:color="auto" w:fill="FFFFFF"/>
        </w:rPr>
        <w:t xml:space="preserve">debe tener en cuenta que </w:t>
      </w:r>
      <w:r w:rsidR="005D416D" w:rsidRPr="0021756A">
        <w:rPr>
          <w:rFonts w:ascii="Arial" w:hAnsi="Arial" w:cs="Arial"/>
          <w:szCs w:val="24"/>
          <w:shd w:val="clear" w:color="auto" w:fill="FFFFFF"/>
        </w:rPr>
        <w:t xml:space="preserve">dicha fecha corresponde a </w:t>
      </w:r>
      <w:r w:rsidR="00562DFC" w:rsidRPr="0021756A">
        <w:rPr>
          <w:rFonts w:ascii="Arial" w:hAnsi="Arial" w:cs="Arial"/>
          <w:szCs w:val="24"/>
          <w:shd w:val="clear" w:color="auto" w:fill="FFFFFF"/>
        </w:rPr>
        <w:t xml:space="preserve">aquella </w:t>
      </w:r>
      <w:r w:rsidR="005D416D" w:rsidRPr="0021756A">
        <w:rPr>
          <w:rFonts w:ascii="Arial" w:hAnsi="Arial" w:cs="Arial"/>
          <w:szCs w:val="24"/>
          <w:shd w:val="clear" w:color="auto" w:fill="FFFFFF"/>
        </w:rPr>
        <w:t xml:space="preserve">en que el afiliado </w:t>
      </w:r>
      <w:r w:rsidR="00562DFC" w:rsidRPr="0021756A">
        <w:rPr>
          <w:rFonts w:ascii="Arial" w:hAnsi="Arial" w:cs="Arial"/>
          <w:szCs w:val="24"/>
          <w:shd w:val="clear" w:color="auto" w:fill="FFFFFF"/>
        </w:rPr>
        <w:t xml:space="preserve"> pierde su </w:t>
      </w:r>
      <w:r w:rsidR="00890D20" w:rsidRPr="0021756A">
        <w:rPr>
          <w:rFonts w:ascii="Arial" w:hAnsi="Arial" w:cs="Arial"/>
          <w:szCs w:val="24"/>
          <w:shd w:val="clear" w:color="auto" w:fill="FFFFFF"/>
        </w:rPr>
        <w:t xml:space="preserve">máxima </w:t>
      </w:r>
      <w:r w:rsidR="00562DFC" w:rsidRPr="0021756A">
        <w:rPr>
          <w:rFonts w:ascii="Arial" w:hAnsi="Arial" w:cs="Arial"/>
          <w:szCs w:val="24"/>
          <w:shd w:val="clear" w:color="auto" w:fill="FFFFFF"/>
        </w:rPr>
        <w:t xml:space="preserve">capacidad para </w:t>
      </w:r>
      <w:r w:rsidR="005D416D" w:rsidRPr="0021756A">
        <w:rPr>
          <w:rFonts w:ascii="Arial" w:hAnsi="Arial" w:cs="Arial"/>
          <w:szCs w:val="24"/>
          <w:shd w:val="clear" w:color="auto" w:fill="FFFFFF"/>
        </w:rPr>
        <w:t xml:space="preserve">desarrollar cualquier actividad económica productiva dada la disminución de sus </w:t>
      </w:r>
      <w:r w:rsidR="00562DFC" w:rsidRPr="0021756A">
        <w:rPr>
          <w:rFonts w:ascii="Arial" w:hAnsi="Arial" w:cs="Arial"/>
          <w:szCs w:val="24"/>
          <w:shd w:val="clear" w:color="auto" w:fill="FFFFFF"/>
        </w:rPr>
        <w:t>facultades físicas</w:t>
      </w:r>
      <w:r w:rsidR="00036F38" w:rsidRPr="0021756A">
        <w:rPr>
          <w:rFonts w:ascii="Arial" w:hAnsi="Arial" w:cs="Arial"/>
          <w:szCs w:val="24"/>
          <w:shd w:val="clear" w:color="auto" w:fill="FFFFFF"/>
        </w:rPr>
        <w:t xml:space="preserve">, </w:t>
      </w:r>
      <w:r w:rsidR="00562DFC" w:rsidRPr="0021756A">
        <w:rPr>
          <w:rFonts w:ascii="Arial" w:hAnsi="Arial" w:cs="Arial"/>
          <w:szCs w:val="24"/>
          <w:shd w:val="clear" w:color="auto" w:fill="FFFFFF"/>
        </w:rPr>
        <w:t>psíquicas</w:t>
      </w:r>
      <w:r w:rsidR="00890D20" w:rsidRPr="0021756A">
        <w:rPr>
          <w:rFonts w:ascii="Arial" w:hAnsi="Arial" w:cs="Arial"/>
          <w:szCs w:val="24"/>
          <w:shd w:val="clear" w:color="auto" w:fill="FFFFFF"/>
        </w:rPr>
        <w:t xml:space="preserve"> y sensoriales, por lo que su retiro del mercado laboral es inevitable.</w:t>
      </w:r>
    </w:p>
    <w:p w:rsidR="00E463B0" w:rsidRPr="0021756A" w:rsidRDefault="00E463B0" w:rsidP="0021756A">
      <w:pPr>
        <w:pStyle w:val="Sinespaciado"/>
        <w:spacing w:line="276" w:lineRule="auto"/>
        <w:rPr>
          <w:rFonts w:ascii="Arial" w:hAnsi="Arial" w:cs="Arial"/>
          <w:szCs w:val="24"/>
          <w:shd w:val="clear" w:color="auto" w:fill="FFFFFF"/>
        </w:rPr>
      </w:pPr>
    </w:p>
    <w:p w:rsidR="00E463B0" w:rsidRPr="0021756A" w:rsidRDefault="00985E7C" w:rsidP="0021756A">
      <w:pPr>
        <w:pStyle w:val="Prrafodelista"/>
        <w:numPr>
          <w:ilvl w:val="0"/>
          <w:numId w:val="4"/>
        </w:numPr>
        <w:autoSpaceDE w:val="0"/>
        <w:autoSpaceDN w:val="0"/>
        <w:adjustRightInd w:val="0"/>
        <w:spacing w:line="276" w:lineRule="auto"/>
        <w:ind w:right="51"/>
        <w:jc w:val="both"/>
        <w:rPr>
          <w:rFonts w:ascii="Arial" w:hAnsi="Arial" w:cs="Arial"/>
          <w:b/>
          <w:iCs/>
          <w:szCs w:val="24"/>
          <w:bdr w:val="none" w:sz="0" w:space="0" w:color="auto" w:frame="1"/>
        </w:rPr>
      </w:pPr>
      <w:r w:rsidRPr="0021756A">
        <w:rPr>
          <w:rFonts w:ascii="Arial" w:hAnsi="Arial" w:cs="Arial"/>
          <w:b/>
          <w:iCs/>
          <w:szCs w:val="24"/>
          <w:bdr w:val="none" w:sz="0" w:space="0" w:color="auto" w:frame="1"/>
        </w:rPr>
        <w:t xml:space="preserve">Determinación de responsabilidad del reconocimiento y pago de la prestación pensional </w:t>
      </w:r>
    </w:p>
    <w:p w:rsidR="00031E72" w:rsidRPr="0021756A" w:rsidRDefault="00031E72" w:rsidP="0021756A">
      <w:pPr>
        <w:pStyle w:val="Sinespaciado"/>
        <w:spacing w:line="276" w:lineRule="auto"/>
        <w:rPr>
          <w:rFonts w:ascii="Arial" w:hAnsi="Arial" w:cs="Arial"/>
          <w:szCs w:val="24"/>
        </w:rPr>
      </w:pPr>
    </w:p>
    <w:p w:rsidR="00B31E1A" w:rsidRPr="0021756A" w:rsidRDefault="00031E72" w:rsidP="0021756A">
      <w:pPr>
        <w:tabs>
          <w:tab w:val="left" w:pos="8080"/>
          <w:tab w:val="left" w:pos="8647"/>
        </w:tabs>
        <w:spacing w:line="276" w:lineRule="auto"/>
        <w:ind w:right="51" w:firstLine="708"/>
        <w:jc w:val="both"/>
        <w:rPr>
          <w:rFonts w:ascii="Arial" w:hAnsi="Arial" w:cs="Arial"/>
          <w:szCs w:val="24"/>
        </w:rPr>
      </w:pPr>
      <w:r w:rsidRPr="0021756A">
        <w:rPr>
          <w:rFonts w:ascii="Arial" w:hAnsi="Arial" w:cs="Arial"/>
          <w:szCs w:val="24"/>
          <w:lang w:eastAsia="es-CO"/>
        </w:rPr>
        <w:t xml:space="preserve">En cuanto a la determinación de cuál es la entidad responsable del reconocimiento de una prestación pensional en aquellos eventos en los que </w:t>
      </w:r>
      <w:r w:rsidR="00DC0FB3" w:rsidRPr="0021756A">
        <w:rPr>
          <w:rFonts w:ascii="Arial" w:hAnsi="Arial" w:cs="Arial"/>
          <w:szCs w:val="24"/>
          <w:lang w:eastAsia="es-CO"/>
        </w:rPr>
        <w:t xml:space="preserve">para la época en que se estructura el estado de invalidez de una persona que padece de una </w:t>
      </w:r>
      <w:r w:rsidR="00DC0FB3" w:rsidRPr="0021756A">
        <w:rPr>
          <w:rFonts w:ascii="Arial" w:hAnsi="Arial" w:cs="Arial"/>
          <w:szCs w:val="24"/>
        </w:rPr>
        <w:t>enfermedad crónica, degenerativa o congénita,</w:t>
      </w:r>
      <w:r w:rsidR="0004088E" w:rsidRPr="0021756A">
        <w:rPr>
          <w:rFonts w:ascii="Arial" w:hAnsi="Arial" w:cs="Arial"/>
          <w:szCs w:val="24"/>
        </w:rPr>
        <w:t xml:space="preserve"> é</w:t>
      </w:r>
      <w:r w:rsidR="00DC0FB3" w:rsidRPr="0021756A">
        <w:rPr>
          <w:rFonts w:ascii="Arial" w:hAnsi="Arial" w:cs="Arial"/>
          <w:szCs w:val="24"/>
        </w:rPr>
        <w:t xml:space="preserve">sta se encontraba afiliado a otra entidad administradora, </w:t>
      </w:r>
      <w:r w:rsidR="00CA61FC" w:rsidRPr="0021756A">
        <w:rPr>
          <w:rFonts w:ascii="Arial" w:hAnsi="Arial" w:cs="Arial"/>
          <w:szCs w:val="24"/>
        </w:rPr>
        <w:t xml:space="preserve">ha determinado </w:t>
      </w:r>
      <w:r w:rsidR="00DC0FB3" w:rsidRPr="0021756A">
        <w:rPr>
          <w:rFonts w:ascii="Arial" w:hAnsi="Arial" w:cs="Arial"/>
          <w:szCs w:val="24"/>
        </w:rPr>
        <w:t xml:space="preserve">la Corte Constitucional </w:t>
      </w:r>
      <w:r w:rsidR="00CA61FC" w:rsidRPr="0021756A">
        <w:rPr>
          <w:rFonts w:ascii="Arial" w:hAnsi="Arial" w:cs="Arial"/>
          <w:szCs w:val="24"/>
        </w:rPr>
        <w:t xml:space="preserve">que </w:t>
      </w:r>
      <w:r w:rsidR="00C31523" w:rsidRPr="0021756A">
        <w:rPr>
          <w:rFonts w:ascii="Arial" w:hAnsi="Arial" w:cs="Arial"/>
          <w:szCs w:val="24"/>
        </w:rPr>
        <w:t>la obligación de cubrir el riesgo de invalidez le correspondería a la última entidad a la que se encuentre afiliada la persona  al momento en que se establezca la fecha de calificación de invalidez.</w:t>
      </w:r>
      <w:r w:rsidR="00A37C5D" w:rsidRPr="0021756A">
        <w:rPr>
          <w:rFonts w:ascii="Arial" w:hAnsi="Arial" w:cs="Arial"/>
          <w:szCs w:val="24"/>
        </w:rPr>
        <w:t xml:space="preserve"> En ese sentido expresó</w:t>
      </w:r>
      <w:r w:rsidR="00B31E1A" w:rsidRPr="0021756A">
        <w:rPr>
          <w:rFonts w:ascii="Arial" w:hAnsi="Arial" w:cs="Arial"/>
          <w:szCs w:val="24"/>
        </w:rPr>
        <w:t xml:space="preserve"> en sentencia T- 262 de 2012</w:t>
      </w:r>
      <w:r w:rsidR="00A37C5D" w:rsidRPr="0021756A">
        <w:rPr>
          <w:rFonts w:ascii="Arial" w:hAnsi="Arial" w:cs="Arial"/>
          <w:szCs w:val="24"/>
        </w:rPr>
        <w:t xml:space="preserve">: </w:t>
      </w:r>
    </w:p>
    <w:p w:rsidR="00D95AE2" w:rsidRPr="0021756A" w:rsidRDefault="00D95AE2" w:rsidP="0021756A">
      <w:pPr>
        <w:pStyle w:val="Sinespaciado"/>
        <w:spacing w:line="276" w:lineRule="auto"/>
        <w:rPr>
          <w:rFonts w:ascii="Arial" w:hAnsi="Arial" w:cs="Arial"/>
          <w:szCs w:val="24"/>
        </w:rPr>
      </w:pPr>
    </w:p>
    <w:p w:rsidR="00D731DC" w:rsidRPr="0021756A" w:rsidRDefault="00D731DC" w:rsidP="0021756A">
      <w:pPr>
        <w:tabs>
          <w:tab w:val="left" w:pos="7938"/>
        </w:tabs>
        <w:ind w:left="426" w:right="420"/>
        <w:jc w:val="both"/>
        <w:rPr>
          <w:rFonts w:ascii="Arial" w:hAnsi="Arial" w:cs="Arial"/>
          <w:sz w:val="22"/>
          <w:szCs w:val="24"/>
          <w:lang w:eastAsia="es-CO"/>
        </w:rPr>
      </w:pPr>
      <w:r w:rsidRPr="0021756A">
        <w:rPr>
          <w:rFonts w:ascii="Arial" w:hAnsi="Arial" w:cs="Arial"/>
          <w:bCs/>
          <w:i/>
          <w:sz w:val="22"/>
          <w:szCs w:val="24"/>
        </w:rPr>
        <w:t>“</w:t>
      </w:r>
      <w:r w:rsidRPr="0021756A">
        <w:rPr>
          <w:rFonts w:ascii="Arial" w:hAnsi="Arial" w:cs="Arial"/>
          <w:i/>
          <w:sz w:val="22"/>
          <w:szCs w:val="24"/>
          <w:lang w:eastAsia="es-CO"/>
        </w:rPr>
        <w:t>Conforme con lo anterior y de acuerdo con la jurisprudencia de esta Corporación</w:t>
      </w:r>
      <w:r w:rsidRPr="0021756A">
        <w:rPr>
          <w:rFonts w:ascii="Arial" w:hAnsi="Arial" w:cs="Arial"/>
          <w:b/>
          <w:i/>
          <w:sz w:val="22"/>
          <w:szCs w:val="24"/>
          <w:lang w:eastAsia="es-CO"/>
        </w:rPr>
        <w:t>, la obligación de cubrir el riesgo de invalidez le correspondería a la última entidad en la que se encontraba afiliado el demandante al momento en que se estableció la fecha de calificación de la invalidez</w:t>
      </w:r>
      <w:r w:rsidRPr="0021756A">
        <w:rPr>
          <w:rFonts w:ascii="Arial" w:hAnsi="Arial" w:cs="Arial"/>
          <w:i/>
          <w:sz w:val="22"/>
          <w:szCs w:val="24"/>
          <w:vertAlign w:val="superscript"/>
          <w:lang w:eastAsia="es-CO"/>
        </w:rPr>
        <w:footnoteReference w:id="1"/>
      </w:r>
      <w:r w:rsidRPr="0021756A">
        <w:rPr>
          <w:rFonts w:ascii="Arial" w:hAnsi="Arial" w:cs="Arial"/>
          <w:i/>
          <w:sz w:val="22"/>
          <w:szCs w:val="24"/>
          <w:lang w:eastAsia="es-CO"/>
        </w:rPr>
        <w:t>, es decir, al Fondo de Pensiones y Cesantías Porvenir S.A., toda vez que, a pesar de estar establecido como fecha de estructuración el 21 de noviembre de 2007, sólo hasta el 14 de julio de 2010, esto es, tres años después se determinó el grado de invalidez definitiva. Esto obedece a las condiciones especiales del actor (enfermo de VIH y Tuberculosis) y al hecho de haber continuado cotizando al sistema pensional</w:t>
      </w:r>
      <w:r w:rsidRPr="0021756A">
        <w:rPr>
          <w:rFonts w:ascii="Arial" w:hAnsi="Arial" w:cs="Arial"/>
          <w:i/>
          <w:sz w:val="22"/>
          <w:szCs w:val="24"/>
          <w:vertAlign w:val="superscript"/>
          <w:lang w:eastAsia="es-CO"/>
        </w:rPr>
        <w:footnoteReference w:id="2"/>
      </w:r>
      <w:r w:rsidRPr="0021756A">
        <w:rPr>
          <w:rFonts w:ascii="Arial" w:hAnsi="Arial" w:cs="Arial"/>
          <w:i/>
          <w:sz w:val="22"/>
          <w:szCs w:val="24"/>
          <w:lang w:eastAsia="es-CO"/>
        </w:rPr>
        <w:t>, hasta el momento en que no pudo seguir haciéndolo por lo que en realidad el accionante perdió su capacidad laboral de manera permanente y definitiva</w:t>
      </w:r>
      <w:r w:rsidRPr="0021756A">
        <w:rPr>
          <w:rFonts w:ascii="Arial" w:hAnsi="Arial" w:cs="Arial"/>
          <w:i/>
          <w:sz w:val="22"/>
          <w:szCs w:val="24"/>
          <w:vertAlign w:val="superscript"/>
          <w:lang w:eastAsia="es-CO"/>
        </w:rPr>
        <w:footnoteReference w:id="3"/>
      </w:r>
      <w:r w:rsidRPr="0021756A">
        <w:rPr>
          <w:rFonts w:ascii="Arial" w:hAnsi="Arial" w:cs="Arial"/>
          <w:i/>
          <w:sz w:val="22"/>
          <w:szCs w:val="24"/>
          <w:lang w:eastAsia="es-CO"/>
        </w:rPr>
        <w:t xml:space="preserve"> como lo exige el Decreto ley 917 de 1999, el 14 de julio de 2010, oportunidad en la que se le valoró y calificó.</w:t>
      </w:r>
      <w:r w:rsidRPr="0021756A">
        <w:rPr>
          <w:rFonts w:ascii="Arial" w:hAnsi="Arial" w:cs="Arial"/>
          <w:bCs/>
          <w:i/>
          <w:sz w:val="22"/>
          <w:szCs w:val="24"/>
        </w:rPr>
        <w:t xml:space="preserve">” </w:t>
      </w:r>
      <w:r w:rsidRPr="0021756A">
        <w:rPr>
          <w:rFonts w:ascii="Arial" w:hAnsi="Arial" w:cs="Arial"/>
          <w:bCs/>
          <w:sz w:val="22"/>
          <w:szCs w:val="24"/>
        </w:rPr>
        <w:t>(Negrillas fuera de texto)</w:t>
      </w:r>
    </w:p>
    <w:p w:rsidR="00C31523" w:rsidRPr="0021756A" w:rsidRDefault="00C31523" w:rsidP="0021756A">
      <w:pPr>
        <w:autoSpaceDE w:val="0"/>
        <w:autoSpaceDN w:val="0"/>
        <w:adjustRightInd w:val="0"/>
        <w:spacing w:line="276" w:lineRule="auto"/>
        <w:ind w:right="51" w:firstLine="708"/>
        <w:jc w:val="both"/>
        <w:rPr>
          <w:rFonts w:ascii="Arial" w:hAnsi="Arial" w:cs="Arial"/>
          <w:szCs w:val="24"/>
        </w:rPr>
      </w:pPr>
    </w:p>
    <w:p w:rsidR="00E15BE9" w:rsidRPr="0021756A" w:rsidRDefault="007327FF" w:rsidP="0021756A">
      <w:pPr>
        <w:autoSpaceDE w:val="0"/>
        <w:autoSpaceDN w:val="0"/>
        <w:adjustRightInd w:val="0"/>
        <w:spacing w:line="276" w:lineRule="auto"/>
        <w:ind w:right="51" w:firstLine="426"/>
        <w:jc w:val="both"/>
        <w:rPr>
          <w:rFonts w:ascii="Arial" w:hAnsi="Arial" w:cs="Arial"/>
          <w:b/>
          <w:iCs/>
          <w:szCs w:val="24"/>
          <w:bdr w:val="none" w:sz="0" w:space="0" w:color="auto" w:frame="1"/>
        </w:rPr>
      </w:pPr>
      <w:r w:rsidRPr="0021756A">
        <w:rPr>
          <w:rFonts w:ascii="Arial" w:hAnsi="Arial" w:cs="Arial"/>
          <w:b/>
          <w:iCs/>
          <w:szCs w:val="24"/>
          <w:bdr w:val="none" w:sz="0" w:space="0" w:color="auto" w:frame="1"/>
        </w:rPr>
        <w:t>Caso concreto</w:t>
      </w:r>
    </w:p>
    <w:p w:rsidR="007327FF" w:rsidRPr="0021756A" w:rsidRDefault="007327FF" w:rsidP="0021756A">
      <w:pPr>
        <w:pStyle w:val="Sinespaciado"/>
        <w:spacing w:line="276" w:lineRule="auto"/>
        <w:rPr>
          <w:rFonts w:ascii="Arial" w:hAnsi="Arial" w:cs="Arial"/>
          <w:szCs w:val="24"/>
        </w:rPr>
      </w:pPr>
    </w:p>
    <w:p w:rsidR="00C51CA0" w:rsidRDefault="007327FF" w:rsidP="0021756A">
      <w:pPr>
        <w:pStyle w:val="Sinespaciado"/>
        <w:spacing w:line="276" w:lineRule="auto"/>
        <w:ind w:firstLine="426"/>
        <w:jc w:val="both"/>
        <w:rPr>
          <w:rFonts w:ascii="Arial" w:hAnsi="Arial" w:cs="Arial"/>
          <w:bCs/>
          <w:iCs/>
          <w:szCs w:val="24"/>
        </w:rPr>
      </w:pPr>
      <w:r w:rsidRPr="0021756A">
        <w:rPr>
          <w:rFonts w:ascii="Arial" w:hAnsi="Arial" w:cs="Arial"/>
          <w:szCs w:val="24"/>
        </w:rPr>
        <w:t>En el presente asunto</w:t>
      </w:r>
      <w:r w:rsidR="00C51CA0" w:rsidRPr="0021756A">
        <w:rPr>
          <w:rFonts w:ascii="Arial" w:hAnsi="Arial" w:cs="Arial"/>
          <w:szCs w:val="24"/>
        </w:rPr>
        <w:t xml:space="preserve"> discute, primeramente, </w:t>
      </w:r>
      <w:r w:rsidRPr="0021756A">
        <w:rPr>
          <w:rFonts w:ascii="Arial" w:hAnsi="Arial" w:cs="Arial"/>
          <w:szCs w:val="24"/>
        </w:rPr>
        <w:t xml:space="preserve">la parte recurrente que la operadora judicial de primer grado haya declarado la nulidad del dictamen respecto a la fecha de estructuración de invalidez del demandante, pues ello no fue solicitado de manera expresa </w:t>
      </w:r>
      <w:r w:rsidR="00E700DE" w:rsidRPr="0021756A">
        <w:rPr>
          <w:rFonts w:ascii="Arial" w:hAnsi="Arial" w:cs="Arial"/>
          <w:szCs w:val="24"/>
        </w:rPr>
        <w:t>en la demanda,</w:t>
      </w:r>
      <w:r w:rsidR="00360295" w:rsidRPr="0021756A">
        <w:rPr>
          <w:rFonts w:ascii="Arial" w:hAnsi="Arial" w:cs="Arial"/>
          <w:szCs w:val="24"/>
        </w:rPr>
        <w:t xml:space="preserve"> </w:t>
      </w:r>
      <w:r w:rsidR="006C519D" w:rsidRPr="0021756A">
        <w:rPr>
          <w:rFonts w:ascii="Arial" w:hAnsi="Arial" w:cs="Arial"/>
          <w:szCs w:val="24"/>
        </w:rPr>
        <w:t xml:space="preserve">y a su juicio, </w:t>
      </w:r>
      <w:r w:rsidR="00360295" w:rsidRPr="0021756A">
        <w:rPr>
          <w:rFonts w:ascii="Arial" w:hAnsi="Arial" w:cs="Arial"/>
          <w:szCs w:val="24"/>
        </w:rPr>
        <w:t>no</w:t>
      </w:r>
      <w:r w:rsidR="00E700DE" w:rsidRPr="0021756A">
        <w:rPr>
          <w:rFonts w:ascii="Arial" w:hAnsi="Arial" w:cs="Arial"/>
          <w:bCs/>
          <w:iCs/>
          <w:szCs w:val="24"/>
        </w:rPr>
        <w:t xml:space="preserve"> le era dable </w:t>
      </w:r>
      <w:r w:rsidR="00F06F77" w:rsidRPr="0021756A">
        <w:rPr>
          <w:rFonts w:ascii="Arial" w:hAnsi="Arial" w:cs="Arial"/>
          <w:bCs/>
          <w:iCs/>
          <w:szCs w:val="24"/>
        </w:rPr>
        <w:t xml:space="preserve">a </w:t>
      </w:r>
      <w:r w:rsidR="00502054" w:rsidRPr="0021756A">
        <w:rPr>
          <w:rFonts w:ascii="Arial" w:hAnsi="Arial" w:cs="Arial"/>
          <w:bCs/>
          <w:iCs/>
          <w:szCs w:val="24"/>
        </w:rPr>
        <w:t xml:space="preserve">la a-quo </w:t>
      </w:r>
      <w:r w:rsidR="00E700DE" w:rsidRPr="0021756A">
        <w:rPr>
          <w:rFonts w:ascii="Arial" w:hAnsi="Arial" w:cs="Arial"/>
          <w:bCs/>
          <w:iCs/>
          <w:szCs w:val="24"/>
        </w:rPr>
        <w:t>realizar tal declaración</w:t>
      </w:r>
      <w:r w:rsidR="00360295" w:rsidRPr="0021756A">
        <w:rPr>
          <w:rFonts w:ascii="Arial" w:hAnsi="Arial" w:cs="Arial"/>
          <w:bCs/>
          <w:iCs/>
          <w:szCs w:val="24"/>
        </w:rPr>
        <w:t xml:space="preserve"> en el ejercicio de la facultad ultra y extra </w:t>
      </w:r>
      <w:proofErr w:type="spellStart"/>
      <w:r w:rsidR="00360295" w:rsidRPr="0021756A">
        <w:rPr>
          <w:rFonts w:ascii="Arial" w:hAnsi="Arial" w:cs="Arial"/>
          <w:bCs/>
          <w:iCs/>
          <w:szCs w:val="24"/>
        </w:rPr>
        <w:t>petita</w:t>
      </w:r>
      <w:proofErr w:type="spellEnd"/>
      <w:r w:rsidR="00502054" w:rsidRPr="0021756A">
        <w:rPr>
          <w:rFonts w:ascii="Arial" w:hAnsi="Arial" w:cs="Arial"/>
          <w:bCs/>
          <w:iCs/>
          <w:szCs w:val="24"/>
        </w:rPr>
        <w:t>.</w:t>
      </w:r>
    </w:p>
    <w:p w:rsidR="0021756A" w:rsidRPr="0021756A" w:rsidRDefault="0021756A" w:rsidP="0021756A">
      <w:pPr>
        <w:pStyle w:val="Sinespaciado"/>
        <w:spacing w:line="276" w:lineRule="auto"/>
        <w:ind w:firstLine="426"/>
        <w:jc w:val="both"/>
        <w:rPr>
          <w:rFonts w:ascii="Arial" w:hAnsi="Arial" w:cs="Arial"/>
          <w:bCs/>
          <w:iCs/>
          <w:szCs w:val="24"/>
        </w:rPr>
      </w:pPr>
    </w:p>
    <w:p w:rsidR="00502054" w:rsidRPr="0021756A" w:rsidRDefault="00502054" w:rsidP="0021756A">
      <w:pPr>
        <w:pStyle w:val="Sinespaciado"/>
        <w:spacing w:line="276" w:lineRule="auto"/>
        <w:ind w:firstLine="426"/>
        <w:jc w:val="both"/>
        <w:rPr>
          <w:rFonts w:ascii="Arial" w:hAnsi="Arial" w:cs="Arial"/>
          <w:bCs/>
          <w:iCs/>
          <w:szCs w:val="24"/>
        </w:rPr>
      </w:pPr>
      <w:r w:rsidRPr="0021756A">
        <w:rPr>
          <w:rFonts w:ascii="Arial" w:hAnsi="Arial" w:cs="Arial"/>
          <w:bCs/>
          <w:iCs/>
          <w:szCs w:val="24"/>
        </w:rPr>
        <w:t>Para resolver, al remitirse al contenido del libelo introductorio, la Sala en uso de su facultad de interpretar la demanda, entiende</w:t>
      </w:r>
      <w:r w:rsidR="00C5085F" w:rsidRPr="0021756A">
        <w:rPr>
          <w:rFonts w:ascii="Arial" w:hAnsi="Arial" w:cs="Arial"/>
          <w:bCs/>
          <w:iCs/>
          <w:szCs w:val="24"/>
        </w:rPr>
        <w:t xml:space="preserve"> </w:t>
      </w:r>
      <w:r w:rsidRPr="0021756A">
        <w:rPr>
          <w:rFonts w:ascii="Arial" w:hAnsi="Arial" w:cs="Arial"/>
          <w:bCs/>
          <w:iCs/>
          <w:szCs w:val="24"/>
        </w:rPr>
        <w:t xml:space="preserve">que la súplica de la parte actora iba encaminada a la modificación de la fecha de estructuración </w:t>
      </w:r>
      <w:r w:rsidR="0032224E" w:rsidRPr="0021756A">
        <w:rPr>
          <w:rFonts w:ascii="Arial" w:hAnsi="Arial" w:cs="Arial"/>
          <w:bCs/>
          <w:iCs/>
          <w:szCs w:val="24"/>
        </w:rPr>
        <w:t>de la invalidez, y por ende,</w:t>
      </w:r>
      <w:r w:rsidR="00FF6376" w:rsidRPr="0021756A">
        <w:rPr>
          <w:rFonts w:ascii="Arial" w:hAnsi="Arial" w:cs="Arial"/>
          <w:bCs/>
          <w:iCs/>
          <w:szCs w:val="24"/>
        </w:rPr>
        <w:t xml:space="preserve"> a</w:t>
      </w:r>
      <w:r w:rsidR="00B51C9B" w:rsidRPr="0021756A">
        <w:rPr>
          <w:rFonts w:ascii="Arial" w:hAnsi="Arial" w:cs="Arial"/>
          <w:bCs/>
          <w:iCs/>
          <w:szCs w:val="24"/>
        </w:rPr>
        <w:t xml:space="preserve"> </w:t>
      </w:r>
      <w:r w:rsidR="0032224E" w:rsidRPr="0021756A">
        <w:rPr>
          <w:rFonts w:ascii="Arial" w:hAnsi="Arial" w:cs="Arial"/>
          <w:bCs/>
          <w:iCs/>
          <w:szCs w:val="24"/>
        </w:rPr>
        <w:t xml:space="preserve">que </w:t>
      </w:r>
      <w:r w:rsidR="00FF6376" w:rsidRPr="0021756A">
        <w:rPr>
          <w:rFonts w:ascii="Arial" w:hAnsi="Arial" w:cs="Arial"/>
          <w:bCs/>
          <w:iCs/>
          <w:szCs w:val="24"/>
        </w:rPr>
        <w:t xml:space="preserve">esta </w:t>
      </w:r>
      <w:r w:rsidR="00B51C9B" w:rsidRPr="0021756A">
        <w:rPr>
          <w:rFonts w:ascii="Arial" w:hAnsi="Arial" w:cs="Arial"/>
          <w:bCs/>
          <w:iCs/>
          <w:szCs w:val="24"/>
        </w:rPr>
        <w:t xml:space="preserve">se fijara </w:t>
      </w:r>
      <w:r w:rsidRPr="0021756A">
        <w:rPr>
          <w:rFonts w:ascii="Arial" w:hAnsi="Arial" w:cs="Arial"/>
          <w:bCs/>
          <w:iCs/>
          <w:szCs w:val="24"/>
        </w:rPr>
        <w:t>para el 31 de d</w:t>
      </w:r>
      <w:r w:rsidR="007B0C17" w:rsidRPr="0021756A">
        <w:rPr>
          <w:rFonts w:ascii="Arial" w:hAnsi="Arial" w:cs="Arial"/>
          <w:bCs/>
          <w:iCs/>
          <w:szCs w:val="24"/>
        </w:rPr>
        <w:t xml:space="preserve">iciembre de 2010 o la que se acreditara </w:t>
      </w:r>
      <w:r w:rsidRPr="0021756A">
        <w:rPr>
          <w:rFonts w:ascii="Arial" w:hAnsi="Arial" w:cs="Arial"/>
          <w:bCs/>
          <w:iCs/>
          <w:szCs w:val="24"/>
        </w:rPr>
        <w:lastRenderedPageBreak/>
        <w:t>dentro del pro</w:t>
      </w:r>
      <w:r w:rsidR="00D71F03" w:rsidRPr="0021756A">
        <w:rPr>
          <w:rFonts w:ascii="Arial" w:hAnsi="Arial" w:cs="Arial"/>
          <w:bCs/>
          <w:iCs/>
          <w:szCs w:val="24"/>
        </w:rPr>
        <w:t>ceso, habida cuenta que</w:t>
      </w:r>
      <w:r w:rsidR="00437B51" w:rsidRPr="0021756A">
        <w:rPr>
          <w:rFonts w:ascii="Arial" w:hAnsi="Arial" w:cs="Arial"/>
          <w:bCs/>
          <w:iCs/>
          <w:szCs w:val="24"/>
        </w:rPr>
        <w:t xml:space="preserve"> el Grupo I</w:t>
      </w:r>
      <w:r w:rsidR="00EC6D21" w:rsidRPr="0021756A">
        <w:rPr>
          <w:rFonts w:ascii="Arial" w:hAnsi="Arial" w:cs="Arial"/>
          <w:bCs/>
          <w:iCs/>
          <w:szCs w:val="24"/>
        </w:rPr>
        <w:t xml:space="preserve">nterdisciplinario de Calificación de la Nueva </w:t>
      </w:r>
      <w:proofErr w:type="spellStart"/>
      <w:r w:rsidR="00EC6D21" w:rsidRPr="0021756A">
        <w:rPr>
          <w:rFonts w:ascii="Arial" w:hAnsi="Arial" w:cs="Arial"/>
          <w:bCs/>
          <w:iCs/>
          <w:szCs w:val="24"/>
        </w:rPr>
        <w:t>Eps</w:t>
      </w:r>
      <w:proofErr w:type="spellEnd"/>
      <w:r w:rsidR="00EC6D21" w:rsidRPr="0021756A">
        <w:rPr>
          <w:rFonts w:ascii="Arial" w:hAnsi="Arial" w:cs="Arial"/>
          <w:bCs/>
          <w:iCs/>
          <w:szCs w:val="24"/>
        </w:rPr>
        <w:t xml:space="preserve"> S.A. </w:t>
      </w:r>
      <w:r w:rsidR="00D71F03" w:rsidRPr="0021756A">
        <w:rPr>
          <w:rFonts w:ascii="Arial" w:hAnsi="Arial" w:cs="Arial"/>
          <w:bCs/>
          <w:iCs/>
          <w:szCs w:val="24"/>
        </w:rPr>
        <w:t xml:space="preserve">determinó como fecha de </w:t>
      </w:r>
      <w:r w:rsidR="00CB6847" w:rsidRPr="0021756A">
        <w:rPr>
          <w:rFonts w:ascii="Arial" w:hAnsi="Arial" w:cs="Arial"/>
          <w:bCs/>
          <w:iCs/>
          <w:szCs w:val="24"/>
        </w:rPr>
        <w:t xml:space="preserve">su </w:t>
      </w:r>
      <w:r w:rsidR="002253F8" w:rsidRPr="0021756A">
        <w:rPr>
          <w:rFonts w:ascii="Arial" w:hAnsi="Arial" w:cs="Arial"/>
          <w:bCs/>
          <w:iCs/>
          <w:szCs w:val="24"/>
        </w:rPr>
        <w:t xml:space="preserve">estado </w:t>
      </w:r>
      <w:r w:rsidR="00CB6847" w:rsidRPr="0021756A">
        <w:rPr>
          <w:rFonts w:ascii="Arial" w:hAnsi="Arial" w:cs="Arial"/>
          <w:bCs/>
          <w:iCs/>
          <w:szCs w:val="24"/>
        </w:rPr>
        <w:t xml:space="preserve">invalidante </w:t>
      </w:r>
      <w:r w:rsidR="00D71F03" w:rsidRPr="0021756A">
        <w:rPr>
          <w:rFonts w:ascii="Arial" w:hAnsi="Arial" w:cs="Arial"/>
          <w:bCs/>
          <w:iCs/>
          <w:szCs w:val="24"/>
        </w:rPr>
        <w:t xml:space="preserve">el día 23 de agosto de 1994, sin </w:t>
      </w:r>
      <w:r w:rsidR="00F23D01" w:rsidRPr="0021756A">
        <w:rPr>
          <w:rFonts w:ascii="Arial" w:hAnsi="Arial" w:cs="Arial"/>
          <w:bCs/>
          <w:iCs/>
          <w:szCs w:val="24"/>
        </w:rPr>
        <w:t xml:space="preserve">parar en </w:t>
      </w:r>
      <w:r w:rsidR="00D71F03" w:rsidRPr="0021756A">
        <w:rPr>
          <w:rFonts w:ascii="Arial" w:hAnsi="Arial" w:cs="Arial"/>
          <w:bCs/>
          <w:iCs/>
          <w:szCs w:val="24"/>
        </w:rPr>
        <w:t>mientes de que</w:t>
      </w:r>
      <w:r w:rsidR="00D60791" w:rsidRPr="0021756A">
        <w:rPr>
          <w:rFonts w:ascii="Arial" w:hAnsi="Arial" w:cs="Arial"/>
          <w:bCs/>
          <w:iCs/>
          <w:szCs w:val="24"/>
        </w:rPr>
        <w:t xml:space="preserve"> </w:t>
      </w:r>
      <w:r w:rsidR="00B70932" w:rsidRPr="0021756A">
        <w:rPr>
          <w:rFonts w:ascii="Arial" w:hAnsi="Arial" w:cs="Arial"/>
          <w:bCs/>
          <w:iCs/>
          <w:szCs w:val="24"/>
        </w:rPr>
        <w:t>para esa calenda y en razón al tipo de enfermedad</w:t>
      </w:r>
      <w:r w:rsidR="00CB6847" w:rsidRPr="0021756A">
        <w:rPr>
          <w:rFonts w:ascii="Arial" w:hAnsi="Arial" w:cs="Arial"/>
          <w:bCs/>
          <w:iCs/>
          <w:szCs w:val="24"/>
        </w:rPr>
        <w:t xml:space="preserve"> –VIH SIDA- </w:t>
      </w:r>
      <w:r w:rsidR="00B70932" w:rsidRPr="0021756A">
        <w:rPr>
          <w:rFonts w:ascii="Arial" w:hAnsi="Arial" w:cs="Arial"/>
          <w:bCs/>
          <w:iCs/>
          <w:szCs w:val="24"/>
        </w:rPr>
        <w:t xml:space="preserve"> que dio origen a la PCL </w:t>
      </w:r>
      <w:r w:rsidR="00D60791" w:rsidRPr="0021756A">
        <w:rPr>
          <w:rFonts w:ascii="Arial" w:hAnsi="Arial" w:cs="Arial"/>
          <w:bCs/>
          <w:iCs/>
          <w:szCs w:val="24"/>
        </w:rPr>
        <w:t>aún conservaba sus capacidades funcionales y fuerza de trabajo,</w:t>
      </w:r>
      <w:r w:rsidR="00FD37DD" w:rsidRPr="0021756A">
        <w:rPr>
          <w:rFonts w:ascii="Arial" w:hAnsi="Arial" w:cs="Arial"/>
          <w:bCs/>
          <w:iCs/>
          <w:szCs w:val="24"/>
        </w:rPr>
        <w:t xml:space="preserve"> </w:t>
      </w:r>
      <w:r w:rsidR="00EC6D21" w:rsidRPr="0021756A">
        <w:rPr>
          <w:rFonts w:ascii="Arial" w:hAnsi="Arial" w:cs="Arial"/>
          <w:bCs/>
          <w:iCs/>
          <w:szCs w:val="24"/>
        </w:rPr>
        <w:t>en tanto que</w:t>
      </w:r>
      <w:r w:rsidR="003F1EBA" w:rsidRPr="0021756A">
        <w:rPr>
          <w:rFonts w:ascii="Arial" w:hAnsi="Arial" w:cs="Arial"/>
          <w:bCs/>
          <w:iCs/>
          <w:szCs w:val="24"/>
        </w:rPr>
        <w:t>,</w:t>
      </w:r>
      <w:r w:rsidR="00EC6D21" w:rsidRPr="0021756A">
        <w:rPr>
          <w:rFonts w:ascii="Arial" w:hAnsi="Arial" w:cs="Arial"/>
          <w:bCs/>
          <w:iCs/>
          <w:szCs w:val="24"/>
        </w:rPr>
        <w:t xml:space="preserve"> </w:t>
      </w:r>
      <w:r w:rsidR="00D60791" w:rsidRPr="0021756A">
        <w:rPr>
          <w:rFonts w:ascii="Arial" w:hAnsi="Arial" w:cs="Arial"/>
          <w:bCs/>
          <w:iCs/>
          <w:szCs w:val="24"/>
        </w:rPr>
        <w:t>había cotizado al sistema de seguridad social hasta el año 2010.</w:t>
      </w:r>
    </w:p>
    <w:p w:rsidR="00A40F77" w:rsidRPr="0021756A" w:rsidRDefault="00A40F77" w:rsidP="0021756A">
      <w:pPr>
        <w:pStyle w:val="Sinespaciado"/>
        <w:spacing w:line="276" w:lineRule="auto"/>
        <w:rPr>
          <w:rFonts w:ascii="Arial" w:hAnsi="Arial" w:cs="Arial"/>
          <w:szCs w:val="24"/>
        </w:rPr>
      </w:pPr>
    </w:p>
    <w:p w:rsidR="00B93422" w:rsidRPr="0021756A" w:rsidRDefault="00B51C9B" w:rsidP="0021756A">
      <w:pPr>
        <w:pStyle w:val="Sinespaciado"/>
        <w:spacing w:line="276" w:lineRule="auto"/>
        <w:ind w:firstLine="426"/>
        <w:jc w:val="both"/>
        <w:rPr>
          <w:rFonts w:ascii="Arial" w:hAnsi="Arial" w:cs="Arial"/>
          <w:bCs/>
          <w:iCs/>
          <w:szCs w:val="24"/>
        </w:rPr>
      </w:pPr>
      <w:r w:rsidRPr="0021756A">
        <w:rPr>
          <w:rFonts w:ascii="Arial" w:hAnsi="Arial" w:cs="Arial"/>
          <w:bCs/>
          <w:iCs/>
          <w:szCs w:val="24"/>
        </w:rPr>
        <w:t xml:space="preserve">En ese sentido, </w:t>
      </w:r>
      <w:r w:rsidR="00B93422" w:rsidRPr="0021756A">
        <w:rPr>
          <w:rFonts w:ascii="Arial" w:hAnsi="Arial" w:cs="Arial"/>
          <w:bCs/>
          <w:iCs/>
          <w:szCs w:val="24"/>
        </w:rPr>
        <w:t xml:space="preserve">se tiene que </w:t>
      </w:r>
      <w:r w:rsidR="00092087" w:rsidRPr="0021756A">
        <w:rPr>
          <w:rFonts w:ascii="Arial" w:hAnsi="Arial" w:cs="Arial"/>
          <w:bCs/>
          <w:iCs/>
          <w:szCs w:val="24"/>
        </w:rPr>
        <w:t xml:space="preserve">la sentenciadora de primer grado realizó </w:t>
      </w:r>
      <w:r w:rsidR="006C519D" w:rsidRPr="0021756A">
        <w:rPr>
          <w:rFonts w:ascii="Arial" w:hAnsi="Arial" w:cs="Arial"/>
          <w:bCs/>
          <w:iCs/>
          <w:szCs w:val="24"/>
        </w:rPr>
        <w:t xml:space="preserve">la modificación de la fecha de estructuración </w:t>
      </w:r>
      <w:r w:rsidR="00092087" w:rsidRPr="0021756A">
        <w:rPr>
          <w:rFonts w:ascii="Arial" w:hAnsi="Arial" w:cs="Arial"/>
          <w:bCs/>
          <w:iCs/>
          <w:szCs w:val="24"/>
        </w:rPr>
        <w:t xml:space="preserve">de la invalidez del actor con base en los elementos constitutivos de la causa petendi que delimitan la litis y no en virtud de las facultades ultra y extra </w:t>
      </w:r>
      <w:proofErr w:type="spellStart"/>
      <w:r w:rsidR="00092087" w:rsidRPr="0021756A">
        <w:rPr>
          <w:rFonts w:ascii="Arial" w:hAnsi="Arial" w:cs="Arial"/>
          <w:bCs/>
          <w:iCs/>
          <w:szCs w:val="24"/>
        </w:rPr>
        <w:t>petita</w:t>
      </w:r>
      <w:proofErr w:type="spellEnd"/>
      <w:r w:rsidR="00092087" w:rsidRPr="0021756A">
        <w:rPr>
          <w:rFonts w:ascii="Arial" w:hAnsi="Arial" w:cs="Arial"/>
          <w:bCs/>
          <w:iCs/>
          <w:szCs w:val="24"/>
        </w:rPr>
        <w:t xml:space="preserve"> que la ley le confiere (Art. 50 C.P.L)</w:t>
      </w:r>
      <w:r w:rsidR="00FD37DD" w:rsidRPr="0021756A">
        <w:rPr>
          <w:rFonts w:ascii="Arial" w:hAnsi="Arial" w:cs="Arial"/>
          <w:bCs/>
          <w:iCs/>
          <w:szCs w:val="24"/>
        </w:rPr>
        <w:t xml:space="preserve">, como </w:t>
      </w:r>
      <w:r w:rsidR="002253F8" w:rsidRPr="0021756A">
        <w:rPr>
          <w:rFonts w:ascii="Arial" w:hAnsi="Arial" w:cs="Arial"/>
          <w:bCs/>
          <w:iCs/>
          <w:szCs w:val="24"/>
        </w:rPr>
        <w:t xml:space="preserve">erradamente </w:t>
      </w:r>
      <w:r w:rsidR="00B93422" w:rsidRPr="0021756A">
        <w:rPr>
          <w:rFonts w:ascii="Arial" w:hAnsi="Arial" w:cs="Arial"/>
          <w:bCs/>
          <w:iCs/>
          <w:szCs w:val="24"/>
        </w:rPr>
        <w:t>lo refiere el recurrente</w:t>
      </w:r>
    </w:p>
    <w:p w:rsidR="00B93422" w:rsidRPr="0021756A" w:rsidRDefault="00B93422" w:rsidP="0021756A">
      <w:pPr>
        <w:pStyle w:val="Sinespaciado"/>
        <w:spacing w:line="276" w:lineRule="auto"/>
        <w:rPr>
          <w:rFonts w:ascii="Arial" w:hAnsi="Arial" w:cs="Arial"/>
          <w:szCs w:val="24"/>
        </w:rPr>
      </w:pPr>
    </w:p>
    <w:p w:rsidR="0059423C" w:rsidRPr="0021756A" w:rsidRDefault="00B93422" w:rsidP="0021756A">
      <w:pPr>
        <w:pStyle w:val="Sinespaciado"/>
        <w:spacing w:line="276" w:lineRule="auto"/>
        <w:ind w:firstLine="426"/>
        <w:jc w:val="both"/>
        <w:rPr>
          <w:rFonts w:ascii="Arial" w:hAnsi="Arial" w:cs="Arial"/>
          <w:szCs w:val="24"/>
        </w:rPr>
      </w:pPr>
      <w:r w:rsidRPr="0021756A">
        <w:rPr>
          <w:rFonts w:ascii="Arial" w:hAnsi="Arial" w:cs="Arial"/>
          <w:bCs/>
          <w:iCs/>
          <w:szCs w:val="24"/>
        </w:rPr>
        <w:t xml:space="preserve">Adicionalmente, </w:t>
      </w:r>
      <w:r w:rsidR="00E06BAE" w:rsidRPr="0021756A">
        <w:rPr>
          <w:rFonts w:ascii="Arial" w:hAnsi="Arial" w:cs="Arial"/>
          <w:bCs/>
          <w:iCs/>
          <w:szCs w:val="24"/>
        </w:rPr>
        <w:t xml:space="preserve">hay que decir que tal </w:t>
      </w:r>
      <w:r w:rsidRPr="0021756A">
        <w:rPr>
          <w:rFonts w:ascii="Arial" w:hAnsi="Arial" w:cs="Arial"/>
          <w:bCs/>
          <w:iCs/>
          <w:szCs w:val="24"/>
        </w:rPr>
        <w:t xml:space="preserve">como lo ha referido tiempo atrás esta Colegiatura, el operador </w:t>
      </w:r>
      <w:r w:rsidR="00E454F2" w:rsidRPr="0021756A">
        <w:rPr>
          <w:rFonts w:ascii="Arial" w:hAnsi="Arial" w:cs="Arial"/>
          <w:bCs/>
          <w:iCs/>
          <w:szCs w:val="24"/>
        </w:rPr>
        <w:t xml:space="preserve">(a) </w:t>
      </w:r>
      <w:r w:rsidRPr="0021756A">
        <w:rPr>
          <w:rFonts w:ascii="Arial" w:hAnsi="Arial" w:cs="Arial"/>
          <w:bCs/>
          <w:iCs/>
          <w:szCs w:val="24"/>
        </w:rPr>
        <w:t xml:space="preserve">judicial </w:t>
      </w:r>
      <w:r w:rsidRPr="0021756A">
        <w:rPr>
          <w:rFonts w:ascii="Arial" w:hAnsi="Arial" w:cs="Arial"/>
          <w:szCs w:val="24"/>
        </w:rPr>
        <w:t xml:space="preserve"> puede desca</w:t>
      </w:r>
      <w:r w:rsidR="00E06BAE" w:rsidRPr="0021756A">
        <w:rPr>
          <w:rFonts w:ascii="Arial" w:hAnsi="Arial" w:cs="Arial"/>
          <w:szCs w:val="24"/>
        </w:rPr>
        <w:t>r</w:t>
      </w:r>
      <w:r w:rsidRPr="0021756A">
        <w:rPr>
          <w:rFonts w:ascii="Arial" w:hAnsi="Arial" w:cs="Arial"/>
          <w:szCs w:val="24"/>
        </w:rPr>
        <w:t xml:space="preserve">tar los dictámenes técnicos presentados en el proceso, en orden de atender otros medios de prueba que le ofrezcan un convencimiento distinto sobre la misma materia, pues </w:t>
      </w:r>
      <w:r w:rsidR="00E454F2" w:rsidRPr="0021756A">
        <w:rPr>
          <w:rFonts w:ascii="Arial" w:hAnsi="Arial" w:cs="Arial"/>
          <w:szCs w:val="24"/>
        </w:rPr>
        <w:t xml:space="preserve">estos </w:t>
      </w:r>
      <w:r w:rsidRPr="0021756A">
        <w:rPr>
          <w:rFonts w:ascii="Arial" w:hAnsi="Arial" w:cs="Arial"/>
          <w:szCs w:val="24"/>
        </w:rPr>
        <w:t xml:space="preserve">son válidos para contradecir el dictamen que en torno a esa específica cuestión se consigne en el estudio, </w:t>
      </w:r>
      <w:r w:rsidR="00E454F2" w:rsidRPr="0021756A">
        <w:rPr>
          <w:rFonts w:ascii="Arial" w:hAnsi="Arial" w:cs="Arial"/>
          <w:szCs w:val="24"/>
        </w:rPr>
        <w:t xml:space="preserve">en la medida en que </w:t>
      </w:r>
      <w:r w:rsidR="001B6D33" w:rsidRPr="0021756A">
        <w:rPr>
          <w:rFonts w:ascii="Arial" w:hAnsi="Arial" w:cs="Arial"/>
          <w:szCs w:val="24"/>
        </w:rPr>
        <w:t xml:space="preserve">el tema no exige una </w:t>
      </w:r>
      <w:r w:rsidRPr="0021756A">
        <w:rPr>
          <w:rFonts w:ascii="Arial" w:hAnsi="Arial" w:cs="Arial"/>
          <w:szCs w:val="24"/>
        </w:rPr>
        <w:t>prueba solemn</w:t>
      </w:r>
      <w:r w:rsidR="001B6D33" w:rsidRPr="0021756A">
        <w:rPr>
          <w:rFonts w:ascii="Arial" w:hAnsi="Arial" w:cs="Arial"/>
          <w:szCs w:val="24"/>
        </w:rPr>
        <w:t xml:space="preserve">e </w:t>
      </w:r>
      <w:r w:rsidR="001B6D33" w:rsidRPr="0021756A">
        <w:rPr>
          <w:rFonts w:ascii="Arial" w:hAnsi="Arial" w:cs="Arial"/>
          <w:i/>
          <w:szCs w:val="24"/>
        </w:rPr>
        <w:t xml:space="preserve">ad </w:t>
      </w:r>
      <w:proofErr w:type="spellStart"/>
      <w:r w:rsidR="001B6D33" w:rsidRPr="0021756A">
        <w:rPr>
          <w:rFonts w:ascii="Arial" w:hAnsi="Arial" w:cs="Arial"/>
          <w:i/>
          <w:szCs w:val="24"/>
        </w:rPr>
        <w:t>substantiam</w:t>
      </w:r>
      <w:proofErr w:type="spellEnd"/>
      <w:r w:rsidR="001B6D33" w:rsidRPr="0021756A">
        <w:rPr>
          <w:rFonts w:ascii="Arial" w:hAnsi="Arial" w:cs="Arial"/>
          <w:szCs w:val="24"/>
        </w:rPr>
        <w:t xml:space="preserve">, </w:t>
      </w:r>
      <w:r w:rsidRPr="0021756A">
        <w:rPr>
          <w:rFonts w:ascii="Arial" w:hAnsi="Arial" w:cs="Arial"/>
          <w:szCs w:val="24"/>
        </w:rPr>
        <w:t xml:space="preserve"> y el rol del juez o jueza</w:t>
      </w:r>
      <w:r w:rsidR="007503E4" w:rsidRPr="0021756A">
        <w:rPr>
          <w:rFonts w:ascii="Arial" w:hAnsi="Arial" w:cs="Arial"/>
          <w:szCs w:val="24"/>
        </w:rPr>
        <w:t xml:space="preserve"> se exige</w:t>
      </w:r>
      <w:r w:rsidRPr="0021756A">
        <w:rPr>
          <w:rFonts w:ascii="Arial" w:hAnsi="Arial" w:cs="Arial"/>
          <w:szCs w:val="24"/>
        </w:rPr>
        <w:t>, en su libre formación del convencimiento, sopesando su valor</w:t>
      </w:r>
      <w:r w:rsidR="00432AA1" w:rsidRPr="0021756A">
        <w:rPr>
          <w:rFonts w:ascii="Arial" w:hAnsi="Arial" w:cs="Arial"/>
          <w:szCs w:val="24"/>
        </w:rPr>
        <w:t xml:space="preserve"> real </w:t>
      </w:r>
      <w:r w:rsidRPr="0021756A">
        <w:rPr>
          <w:rFonts w:ascii="Arial" w:hAnsi="Arial" w:cs="Arial"/>
          <w:szCs w:val="24"/>
        </w:rPr>
        <w:t>al compás de otras pruebas que lo confirmen, demeriten</w:t>
      </w:r>
      <w:r w:rsidR="007503E4" w:rsidRPr="0021756A">
        <w:rPr>
          <w:rFonts w:ascii="Arial" w:hAnsi="Arial" w:cs="Arial"/>
          <w:szCs w:val="24"/>
        </w:rPr>
        <w:t xml:space="preserve"> o desvirtúen. </w:t>
      </w:r>
    </w:p>
    <w:p w:rsidR="0059423C" w:rsidRPr="0021756A" w:rsidRDefault="0059423C" w:rsidP="0021756A">
      <w:pPr>
        <w:pStyle w:val="Sinespaciado"/>
        <w:spacing w:line="276" w:lineRule="auto"/>
        <w:rPr>
          <w:rFonts w:ascii="Arial" w:hAnsi="Arial" w:cs="Arial"/>
          <w:szCs w:val="24"/>
        </w:rPr>
      </w:pPr>
    </w:p>
    <w:p w:rsidR="00E06BAE" w:rsidRDefault="007503E4" w:rsidP="0021756A">
      <w:pPr>
        <w:pStyle w:val="Sinespaciado"/>
        <w:spacing w:line="276" w:lineRule="auto"/>
        <w:ind w:firstLine="426"/>
        <w:jc w:val="both"/>
        <w:rPr>
          <w:rFonts w:ascii="Arial" w:hAnsi="Arial" w:cs="Arial"/>
          <w:szCs w:val="24"/>
        </w:rPr>
      </w:pPr>
      <w:r w:rsidRPr="0021756A">
        <w:rPr>
          <w:rFonts w:ascii="Arial" w:hAnsi="Arial" w:cs="Arial"/>
          <w:szCs w:val="24"/>
        </w:rPr>
        <w:t xml:space="preserve">De modo pues que, </w:t>
      </w:r>
      <w:r w:rsidR="00454B2D" w:rsidRPr="0021756A">
        <w:rPr>
          <w:rFonts w:ascii="Arial" w:hAnsi="Arial" w:cs="Arial"/>
          <w:szCs w:val="24"/>
        </w:rPr>
        <w:t xml:space="preserve">no encuentra la Sala un yerro en el razonamiento de la a-quo, al desatender </w:t>
      </w:r>
      <w:r w:rsidR="00B93422" w:rsidRPr="0021756A">
        <w:rPr>
          <w:rFonts w:ascii="Arial" w:hAnsi="Arial" w:cs="Arial"/>
          <w:szCs w:val="24"/>
        </w:rPr>
        <w:t>los dictámenes técnicos presentados en el proceso en torno a la fecha de estructuración de</w:t>
      </w:r>
      <w:r w:rsidR="00454B2D" w:rsidRPr="0021756A">
        <w:rPr>
          <w:rFonts w:ascii="Arial" w:hAnsi="Arial" w:cs="Arial"/>
          <w:szCs w:val="24"/>
        </w:rPr>
        <w:t xml:space="preserve"> invalidez del actor,</w:t>
      </w:r>
      <w:r w:rsidR="00E454F2" w:rsidRPr="0021756A">
        <w:rPr>
          <w:rFonts w:ascii="Arial" w:hAnsi="Arial" w:cs="Arial"/>
          <w:szCs w:val="24"/>
        </w:rPr>
        <w:t xml:space="preserve"> </w:t>
      </w:r>
      <w:r w:rsidR="00F2782D" w:rsidRPr="0021756A">
        <w:rPr>
          <w:rFonts w:ascii="Arial" w:hAnsi="Arial" w:cs="Arial"/>
          <w:szCs w:val="24"/>
        </w:rPr>
        <w:t>pues</w:t>
      </w:r>
      <w:r w:rsidR="00E06BAE" w:rsidRPr="0021756A">
        <w:rPr>
          <w:rFonts w:ascii="Arial" w:hAnsi="Arial" w:cs="Arial"/>
          <w:szCs w:val="24"/>
        </w:rPr>
        <w:t xml:space="preserve">to que </w:t>
      </w:r>
      <w:r w:rsidR="00432AA1" w:rsidRPr="0021756A">
        <w:rPr>
          <w:rFonts w:ascii="Arial" w:hAnsi="Arial" w:cs="Arial"/>
          <w:szCs w:val="24"/>
        </w:rPr>
        <w:t xml:space="preserve">los medios de convicción allegados a la actuación </w:t>
      </w:r>
      <w:r w:rsidR="00023390" w:rsidRPr="0021756A">
        <w:rPr>
          <w:rFonts w:ascii="Arial" w:hAnsi="Arial" w:cs="Arial"/>
          <w:szCs w:val="24"/>
        </w:rPr>
        <w:t xml:space="preserve">ciertamente </w:t>
      </w:r>
      <w:r w:rsidR="00432AA1" w:rsidRPr="0021756A">
        <w:rPr>
          <w:rFonts w:ascii="Arial" w:hAnsi="Arial" w:cs="Arial"/>
          <w:szCs w:val="24"/>
        </w:rPr>
        <w:t xml:space="preserve">permiten establecer </w:t>
      </w:r>
      <w:r w:rsidR="00456560" w:rsidRPr="0021756A">
        <w:rPr>
          <w:rFonts w:ascii="Arial" w:hAnsi="Arial" w:cs="Arial"/>
          <w:szCs w:val="24"/>
        </w:rPr>
        <w:t xml:space="preserve">que tales </w:t>
      </w:r>
      <w:r w:rsidR="00432AA1" w:rsidRPr="0021756A">
        <w:rPr>
          <w:rFonts w:ascii="Arial" w:hAnsi="Arial" w:cs="Arial"/>
          <w:szCs w:val="24"/>
        </w:rPr>
        <w:t>dictámenes</w:t>
      </w:r>
      <w:r w:rsidR="00456560" w:rsidRPr="0021756A">
        <w:rPr>
          <w:rFonts w:ascii="Arial" w:hAnsi="Arial" w:cs="Arial"/>
          <w:szCs w:val="24"/>
        </w:rPr>
        <w:t xml:space="preserve"> </w:t>
      </w:r>
      <w:r w:rsidR="00432AA1" w:rsidRPr="0021756A">
        <w:rPr>
          <w:rFonts w:ascii="Arial" w:hAnsi="Arial" w:cs="Arial"/>
          <w:szCs w:val="24"/>
        </w:rPr>
        <w:t>resultan descontextualizados</w:t>
      </w:r>
      <w:r w:rsidR="00E06BAE" w:rsidRPr="0021756A">
        <w:rPr>
          <w:rFonts w:ascii="Arial" w:hAnsi="Arial" w:cs="Arial"/>
          <w:szCs w:val="24"/>
        </w:rPr>
        <w:t xml:space="preserve"> de la verdadera situación de invalidez</w:t>
      </w:r>
      <w:r w:rsidR="00023390" w:rsidRPr="0021756A">
        <w:rPr>
          <w:rFonts w:ascii="Arial" w:hAnsi="Arial" w:cs="Arial"/>
          <w:szCs w:val="24"/>
        </w:rPr>
        <w:t xml:space="preserve"> del demandante</w:t>
      </w:r>
      <w:r w:rsidR="00432AA1" w:rsidRPr="0021756A">
        <w:rPr>
          <w:rFonts w:ascii="Arial" w:hAnsi="Arial" w:cs="Arial"/>
          <w:szCs w:val="24"/>
        </w:rPr>
        <w:t xml:space="preserve">, amén de que el </w:t>
      </w:r>
      <w:r w:rsidR="00F2782D" w:rsidRPr="0021756A">
        <w:rPr>
          <w:rFonts w:ascii="Arial" w:hAnsi="Arial" w:cs="Arial"/>
          <w:szCs w:val="24"/>
        </w:rPr>
        <w:t xml:space="preserve">proveído </w:t>
      </w:r>
      <w:r w:rsidR="00023390" w:rsidRPr="0021756A">
        <w:rPr>
          <w:rFonts w:ascii="Arial" w:hAnsi="Arial" w:cs="Arial"/>
          <w:szCs w:val="24"/>
        </w:rPr>
        <w:t xml:space="preserve">apelado </w:t>
      </w:r>
      <w:r w:rsidR="00F2782D" w:rsidRPr="0021756A">
        <w:rPr>
          <w:rFonts w:ascii="Arial" w:hAnsi="Arial" w:cs="Arial"/>
          <w:szCs w:val="24"/>
        </w:rPr>
        <w:t xml:space="preserve">se sujeta a los postulados protectores de la Corte Constitucional respecto </w:t>
      </w:r>
      <w:r w:rsidR="00E06BAE" w:rsidRPr="0021756A">
        <w:rPr>
          <w:rFonts w:ascii="Arial" w:hAnsi="Arial" w:cs="Arial"/>
          <w:szCs w:val="24"/>
        </w:rPr>
        <w:t>a la pérdida de capacidad laboral de quien</w:t>
      </w:r>
      <w:r w:rsidR="009F65E3" w:rsidRPr="0021756A">
        <w:rPr>
          <w:rFonts w:ascii="Arial" w:hAnsi="Arial" w:cs="Arial"/>
          <w:szCs w:val="24"/>
        </w:rPr>
        <w:t xml:space="preserve">es sufren </w:t>
      </w:r>
      <w:r w:rsidR="00E06BAE" w:rsidRPr="0021756A">
        <w:rPr>
          <w:rFonts w:ascii="Arial" w:hAnsi="Arial" w:cs="Arial"/>
          <w:szCs w:val="24"/>
        </w:rPr>
        <w:t>una enfermedad crónica, degenerativa o congénita que no le impida ejercer actividades laborales</w:t>
      </w:r>
      <w:r w:rsidR="009F65E3" w:rsidRPr="0021756A">
        <w:rPr>
          <w:rFonts w:ascii="Arial" w:hAnsi="Arial" w:cs="Arial"/>
          <w:szCs w:val="24"/>
        </w:rPr>
        <w:t>,</w:t>
      </w:r>
      <w:r w:rsidR="00D91C85" w:rsidRPr="0021756A">
        <w:rPr>
          <w:rFonts w:ascii="Arial" w:hAnsi="Arial" w:cs="Arial"/>
          <w:szCs w:val="24"/>
        </w:rPr>
        <w:t xml:space="preserve"> </w:t>
      </w:r>
      <w:r w:rsidR="00023390" w:rsidRPr="0021756A">
        <w:rPr>
          <w:rFonts w:ascii="Arial" w:hAnsi="Arial" w:cs="Arial"/>
          <w:szCs w:val="24"/>
        </w:rPr>
        <w:t xml:space="preserve">siendo </w:t>
      </w:r>
      <w:r w:rsidR="00D91C85" w:rsidRPr="0021756A">
        <w:rPr>
          <w:rFonts w:ascii="Arial" w:hAnsi="Arial" w:cs="Arial"/>
          <w:szCs w:val="24"/>
        </w:rPr>
        <w:t xml:space="preserve">el </w:t>
      </w:r>
      <w:r w:rsidR="009F65E3" w:rsidRPr="0021756A">
        <w:rPr>
          <w:rFonts w:ascii="Arial" w:hAnsi="Arial" w:cs="Arial"/>
          <w:szCs w:val="24"/>
        </w:rPr>
        <w:t>caso del aquí demandante</w:t>
      </w:r>
      <w:r w:rsidR="00E06BAE" w:rsidRPr="0021756A">
        <w:rPr>
          <w:rFonts w:ascii="Arial" w:hAnsi="Arial" w:cs="Arial"/>
          <w:szCs w:val="24"/>
        </w:rPr>
        <w:t>.</w:t>
      </w:r>
    </w:p>
    <w:p w:rsidR="0021756A" w:rsidRPr="0021756A" w:rsidRDefault="0021756A" w:rsidP="0021756A">
      <w:pPr>
        <w:pStyle w:val="Sinespaciado"/>
        <w:spacing w:line="276" w:lineRule="auto"/>
        <w:ind w:firstLine="426"/>
        <w:jc w:val="both"/>
        <w:rPr>
          <w:rFonts w:ascii="Arial" w:hAnsi="Arial" w:cs="Arial"/>
          <w:szCs w:val="24"/>
        </w:rPr>
      </w:pPr>
    </w:p>
    <w:p w:rsidR="00456560" w:rsidRPr="0021756A" w:rsidRDefault="00456560" w:rsidP="0021756A">
      <w:pPr>
        <w:pStyle w:val="Sinespaciado"/>
        <w:spacing w:line="276" w:lineRule="auto"/>
        <w:ind w:firstLine="426"/>
        <w:jc w:val="both"/>
        <w:rPr>
          <w:rFonts w:ascii="Arial" w:hAnsi="Arial" w:cs="Arial"/>
          <w:szCs w:val="24"/>
        </w:rPr>
      </w:pPr>
      <w:r w:rsidRPr="0021756A">
        <w:rPr>
          <w:rFonts w:ascii="Arial" w:hAnsi="Arial" w:cs="Arial"/>
          <w:szCs w:val="24"/>
        </w:rPr>
        <w:t xml:space="preserve">Ello, </w:t>
      </w:r>
      <w:r w:rsidR="00C93F6E" w:rsidRPr="0021756A">
        <w:rPr>
          <w:rFonts w:ascii="Arial" w:hAnsi="Arial" w:cs="Arial"/>
          <w:szCs w:val="24"/>
        </w:rPr>
        <w:t>pese a q</w:t>
      </w:r>
      <w:r w:rsidRPr="0021756A">
        <w:rPr>
          <w:rFonts w:ascii="Arial" w:hAnsi="Arial" w:cs="Arial"/>
          <w:szCs w:val="24"/>
        </w:rPr>
        <w:t xml:space="preserve">ue la jueza de conocimiento </w:t>
      </w:r>
      <w:r w:rsidR="0055136E" w:rsidRPr="0021756A">
        <w:rPr>
          <w:rFonts w:ascii="Arial" w:hAnsi="Arial" w:cs="Arial"/>
          <w:szCs w:val="24"/>
        </w:rPr>
        <w:t xml:space="preserve">estableciera como fecha de estructuración del estado invalidante el 31 de diciembre de 1998, </w:t>
      </w:r>
      <w:r w:rsidR="00C93F6E" w:rsidRPr="0021756A">
        <w:rPr>
          <w:rFonts w:ascii="Arial" w:hAnsi="Arial" w:cs="Arial"/>
          <w:szCs w:val="24"/>
        </w:rPr>
        <w:t xml:space="preserve">pues </w:t>
      </w:r>
      <w:r w:rsidR="0055136E" w:rsidRPr="0021756A">
        <w:rPr>
          <w:rFonts w:ascii="Arial" w:hAnsi="Arial" w:cs="Arial"/>
          <w:szCs w:val="24"/>
        </w:rPr>
        <w:t xml:space="preserve">las pruebas documentales </w:t>
      </w:r>
      <w:r w:rsidR="00C93F6E" w:rsidRPr="0021756A">
        <w:rPr>
          <w:rFonts w:ascii="Arial" w:hAnsi="Arial" w:cs="Arial"/>
          <w:szCs w:val="24"/>
        </w:rPr>
        <w:t xml:space="preserve">dan cuenta de </w:t>
      </w:r>
      <w:r w:rsidR="0055136E" w:rsidRPr="0021756A">
        <w:rPr>
          <w:rFonts w:ascii="Arial" w:hAnsi="Arial" w:cs="Arial"/>
          <w:szCs w:val="24"/>
        </w:rPr>
        <w:t xml:space="preserve">que el deterioro progresivo de </w:t>
      </w:r>
      <w:r w:rsidR="00C93F6E" w:rsidRPr="0021756A">
        <w:rPr>
          <w:rFonts w:ascii="Arial" w:hAnsi="Arial" w:cs="Arial"/>
          <w:szCs w:val="24"/>
        </w:rPr>
        <w:t xml:space="preserve">la salud del actor </w:t>
      </w:r>
      <w:r w:rsidR="0055136E" w:rsidRPr="0021756A">
        <w:rPr>
          <w:rFonts w:ascii="Arial" w:hAnsi="Arial" w:cs="Arial"/>
          <w:szCs w:val="24"/>
        </w:rPr>
        <w:t xml:space="preserve">a causa del padecimiento del VIH Sida, no le impidió </w:t>
      </w:r>
      <w:r w:rsidR="00A40F77" w:rsidRPr="0021756A">
        <w:rPr>
          <w:rFonts w:ascii="Arial" w:hAnsi="Arial" w:cs="Arial"/>
          <w:szCs w:val="24"/>
        </w:rPr>
        <w:t xml:space="preserve">ejercer una actividad productiva </w:t>
      </w:r>
      <w:r w:rsidR="00AB639C" w:rsidRPr="0021756A">
        <w:rPr>
          <w:rFonts w:ascii="Arial" w:hAnsi="Arial" w:cs="Arial"/>
          <w:szCs w:val="24"/>
        </w:rPr>
        <w:t>y cotizar</w:t>
      </w:r>
      <w:r w:rsidR="0055136E" w:rsidRPr="0021756A">
        <w:rPr>
          <w:rFonts w:ascii="Arial" w:hAnsi="Arial" w:cs="Arial"/>
          <w:szCs w:val="24"/>
        </w:rPr>
        <w:t xml:space="preserve"> al sistema pensional </w:t>
      </w:r>
      <w:r w:rsidR="00437B51" w:rsidRPr="0021756A">
        <w:rPr>
          <w:rFonts w:ascii="Arial" w:hAnsi="Arial" w:cs="Arial"/>
          <w:szCs w:val="24"/>
        </w:rPr>
        <w:t xml:space="preserve">hasta el mes de </w:t>
      </w:r>
      <w:r w:rsidR="0055136E" w:rsidRPr="0021756A">
        <w:rPr>
          <w:rFonts w:ascii="Arial" w:hAnsi="Arial" w:cs="Arial"/>
          <w:szCs w:val="24"/>
        </w:rPr>
        <w:t xml:space="preserve">diciembre de 2010 (ver fl.158), </w:t>
      </w:r>
      <w:r w:rsidR="00CD5A7C" w:rsidRPr="0021756A">
        <w:rPr>
          <w:rFonts w:ascii="Arial" w:hAnsi="Arial" w:cs="Arial"/>
          <w:szCs w:val="24"/>
        </w:rPr>
        <w:t>debiendo ser esta la</w:t>
      </w:r>
      <w:r w:rsidR="00283933" w:rsidRPr="0021756A">
        <w:rPr>
          <w:rFonts w:ascii="Arial" w:hAnsi="Arial" w:cs="Arial"/>
          <w:szCs w:val="24"/>
        </w:rPr>
        <w:t xml:space="preserve"> </w:t>
      </w:r>
      <w:r w:rsidR="009F1C63" w:rsidRPr="0021756A">
        <w:rPr>
          <w:rFonts w:ascii="Arial" w:hAnsi="Arial" w:cs="Arial"/>
          <w:szCs w:val="24"/>
        </w:rPr>
        <w:t xml:space="preserve">fecha </w:t>
      </w:r>
      <w:r w:rsidR="00283933" w:rsidRPr="0021756A">
        <w:rPr>
          <w:rFonts w:ascii="Arial" w:hAnsi="Arial" w:cs="Arial"/>
          <w:szCs w:val="24"/>
        </w:rPr>
        <w:t>de estructuración de pérdida de capacidad laboral definitiva</w:t>
      </w:r>
      <w:r w:rsidR="00A40F77" w:rsidRPr="0021756A">
        <w:rPr>
          <w:rFonts w:ascii="Arial" w:hAnsi="Arial" w:cs="Arial"/>
          <w:szCs w:val="24"/>
        </w:rPr>
        <w:t xml:space="preserve"> </w:t>
      </w:r>
      <w:r w:rsidR="009F1C63" w:rsidRPr="0021756A">
        <w:rPr>
          <w:rFonts w:ascii="Arial" w:hAnsi="Arial" w:cs="Arial"/>
          <w:szCs w:val="24"/>
        </w:rPr>
        <w:t>y permanente del afiliado</w:t>
      </w:r>
      <w:r w:rsidR="00C93F6E" w:rsidRPr="0021756A">
        <w:rPr>
          <w:rFonts w:ascii="Arial" w:hAnsi="Arial" w:cs="Arial"/>
          <w:szCs w:val="24"/>
        </w:rPr>
        <w:t>, en los térmi</w:t>
      </w:r>
      <w:r w:rsidR="009F1C63" w:rsidRPr="0021756A">
        <w:rPr>
          <w:rFonts w:ascii="Arial" w:hAnsi="Arial" w:cs="Arial"/>
          <w:szCs w:val="24"/>
        </w:rPr>
        <w:t xml:space="preserve">nos referidos por la Corte Constitucional </w:t>
      </w:r>
      <w:r w:rsidR="002D4255" w:rsidRPr="0021756A">
        <w:rPr>
          <w:rFonts w:ascii="Arial" w:hAnsi="Arial" w:cs="Arial"/>
          <w:szCs w:val="24"/>
        </w:rPr>
        <w:t xml:space="preserve">citados precedentemente. No obstante, </w:t>
      </w:r>
      <w:r w:rsidR="00135DC3" w:rsidRPr="0021756A">
        <w:rPr>
          <w:rFonts w:ascii="Arial" w:hAnsi="Arial" w:cs="Arial"/>
          <w:szCs w:val="24"/>
        </w:rPr>
        <w:t xml:space="preserve">como </w:t>
      </w:r>
      <w:r w:rsidR="00EE26FB" w:rsidRPr="0021756A">
        <w:rPr>
          <w:rFonts w:ascii="Arial" w:hAnsi="Arial" w:cs="Arial"/>
          <w:szCs w:val="24"/>
        </w:rPr>
        <w:t xml:space="preserve">dicho punto no fue materia de </w:t>
      </w:r>
      <w:r w:rsidR="009A55BE" w:rsidRPr="0021756A">
        <w:rPr>
          <w:rFonts w:ascii="Arial" w:hAnsi="Arial" w:cs="Arial"/>
          <w:szCs w:val="24"/>
        </w:rPr>
        <w:t xml:space="preserve">recurso de apelación, </w:t>
      </w:r>
      <w:r w:rsidR="00CD5A7C" w:rsidRPr="0021756A">
        <w:rPr>
          <w:rFonts w:ascii="Arial" w:hAnsi="Arial" w:cs="Arial"/>
          <w:szCs w:val="24"/>
        </w:rPr>
        <w:t>habrá que ma</w:t>
      </w:r>
      <w:r w:rsidR="009A55BE" w:rsidRPr="0021756A">
        <w:rPr>
          <w:rFonts w:ascii="Arial" w:hAnsi="Arial" w:cs="Arial"/>
          <w:szCs w:val="24"/>
        </w:rPr>
        <w:t>ntener</w:t>
      </w:r>
      <w:r w:rsidR="00CD5A7C" w:rsidRPr="0021756A">
        <w:rPr>
          <w:rFonts w:ascii="Arial" w:hAnsi="Arial" w:cs="Arial"/>
          <w:szCs w:val="24"/>
        </w:rPr>
        <w:t xml:space="preserve"> </w:t>
      </w:r>
      <w:r w:rsidR="00EE26FB" w:rsidRPr="0021756A">
        <w:rPr>
          <w:rFonts w:ascii="Arial" w:hAnsi="Arial" w:cs="Arial"/>
          <w:szCs w:val="24"/>
        </w:rPr>
        <w:t xml:space="preserve">incólume lo declarado por </w:t>
      </w:r>
      <w:r w:rsidR="00531104" w:rsidRPr="0021756A">
        <w:rPr>
          <w:rFonts w:ascii="Arial" w:hAnsi="Arial" w:cs="Arial"/>
          <w:szCs w:val="24"/>
        </w:rPr>
        <w:t>la jueza de primer grado en torno a que la pérdida de capacidad laboral del actor fue estructu</w:t>
      </w:r>
      <w:r w:rsidR="002D4255" w:rsidRPr="0021756A">
        <w:rPr>
          <w:rFonts w:ascii="Arial" w:hAnsi="Arial" w:cs="Arial"/>
          <w:szCs w:val="24"/>
        </w:rPr>
        <w:t xml:space="preserve">rada el 31 de diciembre de 1998, empero, </w:t>
      </w:r>
      <w:r w:rsidR="00E77315" w:rsidRPr="0021756A">
        <w:rPr>
          <w:rFonts w:ascii="Arial" w:hAnsi="Arial" w:cs="Arial"/>
          <w:szCs w:val="24"/>
        </w:rPr>
        <w:t xml:space="preserve">que </w:t>
      </w:r>
      <w:r w:rsidR="002D4255" w:rsidRPr="0021756A">
        <w:rPr>
          <w:rFonts w:ascii="Arial" w:hAnsi="Arial" w:cs="Arial"/>
          <w:szCs w:val="24"/>
        </w:rPr>
        <w:t>igual se trataba de una enfermedad degenerativa, en un paciente activo laboralmente p</w:t>
      </w:r>
      <w:r w:rsidR="00FD40CC" w:rsidRPr="0021756A">
        <w:rPr>
          <w:rFonts w:ascii="Arial" w:hAnsi="Arial" w:cs="Arial"/>
          <w:szCs w:val="24"/>
        </w:rPr>
        <w:t>ara</w:t>
      </w:r>
      <w:r w:rsidR="002D4255" w:rsidRPr="0021756A">
        <w:rPr>
          <w:rFonts w:ascii="Arial" w:hAnsi="Arial" w:cs="Arial"/>
          <w:szCs w:val="24"/>
        </w:rPr>
        <w:t xml:space="preserve"> esa fech</w:t>
      </w:r>
      <w:r w:rsidR="00010EC1" w:rsidRPr="0021756A">
        <w:rPr>
          <w:rFonts w:ascii="Arial" w:hAnsi="Arial" w:cs="Arial"/>
          <w:szCs w:val="24"/>
        </w:rPr>
        <w:t>a.</w:t>
      </w:r>
    </w:p>
    <w:p w:rsidR="00AB639C" w:rsidRPr="0021756A" w:rsidRDefault="00AB639C" w:rsidP="0021756A">
      <w:pPr>
        <w:pStyle w:val="Sinespaciado"/>
        <w:spacing w:line="276" w:lineRule="auto"/>
        <w:rPr>
          <w:rFonts w:ascii="Arial" w:hAnsi="Arial" w:cs="Arial"/>
          <w:szCs w:val="24"/>
        </w:rPr>
      </w:pPr>
    </w:p>
    <w:p w:rsidR="00023390" w:rsidRPr="0021756A" w:rsidRDefault="00E463B0" w:rsidP="0021756A">
      <w:pPr>
        <w:pStyle w:val="Sinespaciado"/>
        <w:spacing w:line="276" w:lineRule="auto"/>
        <w:ind w:firstLine="426"/>
        <w:jc w:val="both"/>
        <w:rPr>
          <w:rFonts w:ascii="Arial" w:hAnsi="Arial" w:cs="Arial"/>
          <w:szCs w:val="24"/>
        </w:rPr>
      </w:pPr>
      <w:r w:rsidRPr="0021756A">
        <w:rPr>
          <w:rFonts w:ascii="Arial" w:hAnsi="Arial" w:cs="Arial"/>
          <w:szCs w:val="24"/>
        </w:rPr>
        <w:t>E</w:t>
      </w:r>
      <w:r w:rsidR="00387356" w:rsidRPr="0021756A">
        <w:rPr>
          <w:rFonts w:ascii="Arial" w:hAnsi="Arial" w:cs="Arial"/>
          <w:szCs w:val="24"/>
        </w:rPr>
        <w:t>n e</w:t>
      </w:r>
      <w:r w:rsidR="00135DC3" w:rsidRPr="0021756A">
        <w:rPr>
          <w:rFonts w:ascii="Arial" w:hAnsi="Arial" w:cs="Arial"/>
          <w:szCs w:val="24"/>
        </w:rPr>
        <w:t xml:space="preserve">l segundo reproche, </w:t>
      </w:r>
      <w:r w:rsidRPr="0021756A">
        <w:rPr>
          <w:rFonts w:ascii="Arial" w:hAnsi="Arial" w:cs="Arial"/>
          <w:szCs w:val="24"/>
        </w:rPr>
        <w:t>Porvenir SA interpreta que el hecho de que la fecha de estructuración de la invalidez del actor</w:t>
      </w:r>
      <w:r w:rsidR="00387356" w:rsidRPr="0021756A">
        <w:rPr>
          <w:rFonts w:ascii="Arial" w:hAnsi="Arial" w:cs="Arial"/>
          <w:szCs w:val="24"/>
        </w:rPr>
        <w:t xml:space="preserve"> </w:t>
      </w:r>
      <w:r w:rsidRPr="0021756A">
        <w:rPr>
          <w:rFonts w:ascii="Arial" w:hAnsi="Arial" w:cs="Arial"/>
          <w:szCs w:val="24"/>
        </w:rPr>
        <w:t>haya sido anterior a su afiliación en el fondo privado, implica que no es la entidad que</w:t>
      </w:r>
      <w:r w:rsidR="00387356" w:rsidRPr="0021756A">
        <w:rPr>
          <w:rFonts w:ascii="Arial" w:hAnsi="Arial" w:cs="Arial"/>
          <w:szCs w:val="24"/>
        </w:rPr>
        <w:t xml:space="preserve"> </w:t>
      </w:r>
      <w:r w:rsidRPr="0021756A">
        <w:rPr>
          <w:rFonts w:ascii="Arial" w:hAnsi="Arial" w:cs="Arial"/>
          <w:szCs w:val="24"/>
        </w:rPr>
        <w:t xml:space="preserve">debe responder por el reconocimiento y </w:t>
      </w:r>
      <w:r w:rsidRPr="0021756A">
        <w:rPr>
          <w:rFonts w:ascii="Arial" w:hAnsi="Arial" w:cs="Arial"/>
          <w:szCs w:val="24"/>
        </w:rPr>
        <w:lastRenderedPageBreak/>
        <w:t>pago de la pensión de invalidez, sino</w:t>
      </w:r>
      <w:r w:rsidR="00A174D7" w:rsidRPr="0021756A">
        <w:rPr>
          <w:rFonts w:ascii="Arial" w:hAnsi="Arial" w:cs="Arial"/>
          <w:szCs w:val="24"/>
        </w:rPr>
        <w:t xml:space="preserve"> Colpensiones</w:t>
      </w:r>
      <w:r w:rsidR="00A16677" w:rsidRPr="0021756A">
        <w:rPr>
          <w:rFonts w:ascii="Arial" w:hAnsi="Arial" w:cs="Arial"/>
          <w:szCs w:val="24"/>
        </w:rPr>
        <w:t xml:space="preserve">, por </w:t>
      </w:r>
      <w:r w:rsidR="00E25ECE" w:rsidRPr="0021756A">
        <w:rPr>
          <w:rFonts w:ascii="Arial" w:hAnsi="Arial" w:cs="Arial"/>
          <w:szCs w:val="24"/>
        </w:rPr>
        <w:t xml:space="preserve">ser quien amparaba </w:t>
      </w:r>
      <w:r w:rsidR="00A174D7" w:rsidRPr="0021756A">
        <w:rPr>
          <w:rFonts w:ascii="Arial" w:hAnsi="Arial" w:cs="Arial"/>
          <w:szCs w:val="24"/>
        </w:rPr>
        <w:t>los riesg</w:t>
      </w:r>
      <w:r w:rsidR="00A92FE5" w:rsidRPr="0021756A">
        <w:rPr>
          <w:rFonts w:ascii="Arial" w:hAnsi="Arial" w:cs="Arial"/>
          <w:szCs w:val="24"/>
        </w:rPr>
        <w:t>os de invalidez, vejez y muerte</w:t>
      </w:r>
      <w:r w:rsidR="00A54F39" w:rsidRPr="0021756A">
        <w:rPr>
          <w:rFonts w:ascii="Arial" w:hAnsi="Arial" w:cs="Arial"/>
          <w:szCs w:val="24"/>
        </w:rPr>
        <w:t xml:space="preserve"> del demandante en </w:t>
      </w:r>
      <w:r w:rsidR="00E25ECE" w:rsidRPr="0021756A">
        <w:rPr>
          <w:rFonts w:ascii="Arial" w:hAnsi="Arial" w:cs="Arial"/>
          <w:szCs w:val="24"/>
        </w:rPr>
        <w:t>esa época.</w:t>
      </w:r>
    </w:p>
    <w:p w:rsidR="00FD40CC" w:rsidRPr="0021756A" w:rsidRDefault="00FD40CC" w:rsidP="0021756A">
      <w:pPr>
        <w:pStyle w:val="Sinespaciado"/>
        <w:spacing w:line="276" w:lineRule="auto"/>
        <w:rPr>
          <w:rFonts w:ascii="Arial" w:hAnsi="Arial" w:cs="Arial"/>
          <w:szCs w:val="24"/>
        </w:rPr>
      </w:pPr>
    </w:p>
    <w:p w:rsidR="00FD40CC" w:rsidRPr="0021756A" w:rsidRDefault="00FD40CC" w:rsidP="0021756A">
      <w:pPr>
        <w:pStyle w:val="Sinespaciado"/>
        <w:spacing w:line="276" w:lineRule="auto"/>
        <w:ind w:firstLine="426"/>
        <w:jc w:val="both"/>
        <w:rPr>
          <w:rFonts w:ascii="Arial" w:hAnsi="Arial" w:cs="Arial"/>
          <w:iCs/>
          <w:color w:val="000000"/>
          <w:szCs w:val="24"/>
          <w:shd w:val="clear" w:color="auto" w:fill="FFFFFF"/>
        </w:rPr>
      </w:pPr>
      <w:r w:rsidRPr="0021756A">
        <w:rPr>
          <w:rFonts w:ascii="Arial" w:hAnsi="Arial" w:cs="Arial"/>
          <w:szCs w:val="24"/>
        </w:rPr>
        <w:t>No le asiste razón a la impugnante, por cuanto como ya se expuso, el traslado de la afiliación recayó en una persona que padecía una enfermedad degenerativa, que la entidad debió conocer al momento de la migración, so pena de faltar al deber de diligencia o</w:t>
      </w:r>
      <w:r w:rsidR="00BD1B4C" w:rsidRPr="0021756A">
        <w:rPr>
          <w:rFonts w:ascii="Arial" w:hAnsi="Arial" w:cs="Arial"/>
          <w:szCs w:val="24"/>
        </w:rPr>
        <w:t xml:space="preserve"> cuidado que como prestadora de un </w:t>
      </w:r>
      <w:r w:rsidRPr="0021756A">
        <w:rPr>
          <w:rFonts w:ascii="Arial" w:hAnsi="Arial" w:cs="Arial"/>
          <w:szCs w:val="24"/>
        </w:rPr>
        <w:t xml:space="preserve">servicio previsional le incumbe, en los términos del artículo 1604 del C.C. y la jurisprudencia reiterada del órgano de cierre </w:t>
      </w:r>
      <w:r w:rsidR="00BD1B4C" w:rsidRPr="0021756A">
        <w:rPr>
          <w:rFonts w:ascii="Arial" w:hAnsi="Arial" w:cs="Arial"/>
          <w:szCs w:val="24"/>
        </w:rPr>
        <w:t>de la especialidad laboral (</w:t>
      </w:r>
      <w:r w:rsidR="00BD1B4C" w:rsidRPr="0021756A">
        <w:rPr>
          <w:rFonts w:ascii="Arial" w:hAnsi="Arial" w:cs="Arial"/>
          <w:iCs/>
          <w:color w:val="000000"/>
          <w:szCs w:val="24"/>
          <w:shd w:val="clear" w:color="auto" w:fill="FFFFFF"/>
        </w:rPr>
        <w:t>sentencia del 22 de noviembre de 2011, Radicación 33083), y por consiguiente, su fecha de estructuración no estaba necesariamente signada a ese hecho para el día del traslado, sino para cuando la enfermedad lo aislara definitivamente de su vida laboral, hecho que vino a producirse el día que dejó de cotizar al sistema de seguridad social, esto es, en diciembre de 2010.</w:t>
      </w:r>
    </w:p>
    <w:p w:rsidR="00E77315" w:rsidRPr="0021756A" w:rsidRDefault="00E77315" w:rsidP="0021756A">
      <w:pPr>
        <w:pStyle w:val="Sinespaciado"/>
        <w:spacing w:line="276" w:lineRule="auto"/>
        <w:ind w:firstLine="426"/>
        <w:jc w:val="both"/>
        <w:rPr>
          <w:rFonts w:ascii="Arial" w:hAnsi="Arial" w:cs="Arial"/>
          <w:iCs/>
          <w:color w:val="000000"/>
          <w:szCs w:val="24"/>
          <w:shd w:val="clear" w:color="auto" w:fill="FFFFFF"/>
        </w:rPr>
      </w:pPr>
    </w:p>
    <w:p w:rsidR="00E77315" w:rsidRPr="0021756A" w:rsidRDefault="00E77315" w:rsidP="0021756A">
      <w:pPr>
        <w:pStyle w:val="Sinespaciado"/>
        <w:spacing w:line="276" w:lineRule="auto"/>
        <w:ind w:firstLine="426"/>
        <w:jc w:val="both"/>
        <w:rPr>
          <w:rFonts w:ascii="Arial" w:hAnsi="Arial" w:cs="Arial"/>
          <w:iCs/>
          <w:color w:val="000000"/>
          <w:szCs w:val="24"/>
          <w:shd w:val="clear" w:color="auto" w:fill="FFFFFF"/>
        </w:rPr>
      </w:pPr>
      <w:r w:rsidRPr="0021756A">
        <w:rPr>
          <w:rFonts w:ascii="Arial" w:hAnsi="Arial" w:cs="Arial"/>
          <w:iCs/>
          <w:color w:val="000000"/>
          <w:szCs w:val="24"/>
          <w:shd w:val="clear" w:color="auto" w:fill="FFFFFF"/>
        </w:rPr>
        <w:t xml:space="preserve">Aunado a lo anterior, el hecho de que </w:t>
      </w:r>
      <w:r w:rsidR="002920B6" w:rsidRPr="0021756A">
        <w:rPr>
          <w:rFonts w:ascii="Arial" w:hAnsi="Arial" w:cs="Arial"/>
          <w:iCs/>
          <w:color w:val="000000"/>
          <w:szCs w:val="24"/>
          <w:shd w:val="clear" w:color="auto" w:fill="FFFFFF"/>
        </w:rPr>
        <w:t>no se tengan en cuenta las cotizaciones efectuadas con posterioridad a la presunta fecha de estructuración de la invalidez</w:t>
      </w:r>
      <w:r w:rsidR="004C4CD5" w:rsidRPr="0021756A">
        <w:rPr>
          <w:rFonts w:ascii="Arial" w:hAnsi="Arial" w:cs="Arial"/>
          <w:iCs/>
          <w:color w:val="000000"/>
          <w:szCs w:val="24"/>
          <w:shd w:val="clear" w:color="auto" w:fill="FFFFFF"/>
        </w:rPr>
        <w:t xml:space="preserve"> del actor</w:t>
      </w:r>
      <w:r w:rsidR="002920B6" w:rsidRPr="0021756A">
        <w:rPr>
          <w:rFonts w:ascii="Arial" w:hAnsi="Arial" w:cs="Arial"/>
          <w:iCs/>
          <w:color w:val="000000"/>
          <w:szCs w:val="24"/>
          <w:shd w:val="clear" w:color="auto" w:fill="FFFFFF"/>
        </w:rPr>
        <w:t>, genera</w:t>
      </w:r>
      <w:r w:rsidR="004C4CD5" w:rsidRPr="0021756A">
        <w:rPr>
          <w:rFonts w:ascii="Arial" w:hAnsi="Arial" w:cs="Arial"/>
          <w:iCs/>
          <w:color w:val="000000"/>
          <w:szCs w:val="24"/>
          <w:shd w:val="clear" w:color="auto" w:fill="FFFFFF"/>
        </w:rPr>
        <w:t xml:space="preserve"> a juicio de la Sala, un </w:t>
      </w:r>
      <w:r w:rsidR="00B2215F" w:rsidRPr="0021756A">
        <w:rPr>
          <w:rFonts w:ascii="Arial" w:hAnsi="Arial" w:cs="Arial"/>
          <w:iCs/>
          <w:color w:val="000000"/>
          <w:szCs w:val="24"/>
          <w:shd w:val="clear" w:color="auto" w:fill="FFFFFF"/>
        </w:rPr>
        <w:t xml:space="preserve">beneficio exclusivo para la AFP, por cuanto al final en sentir de ésta, no podrán destinarse a la financiación de la pensión, a que con justeza le asiste recibir al demandante. </w:t>
      </w:r>
    </w:p>
    <w:p w:rsidR="00E81FC0" w:rsidRPr="0021756A" w:rsidRDefault="00E81FC0" w:rsidP="0021756A">
      <w:pPr>
        <w:pStyle w:val="Sinespaciado"/>
        <w:spacing w:line="276" w:lineRule="auto"/>
        <w:rPr>
          <w:rFonts w:ascii="Arial" w:hAnsi="Arial" w:cs="Arial"/>
          <w:szCs w:val="24"/>
        </w:rPr>
      </w:pPr>
    </w:p>
    <w:p w:rsidR="00051070" w:rsidRPr="0021756A" w:rsidRDefault="006E6FBE" w:rsidP="0021756A">
      <w:pPr>
        <w:pStyle w:val="Sinespaciado"/>
        <w:spacing w:line="276" w:lineRule="auto"/>
        <w:ind w:firstLine="284"/>
        <w:jc w:val="both"/>
        <w:rPr>
          <w:rFonts w:ascii="Arial" w:hAnsi="Arial" w:cs="Arial"/>
          <w:bCs/>
          <w:iCs/>
          <w:szCs w:val="24"/>
        </w:rPr>
      </w:pPr>
      <w:r w:rsidRPr="0021756A">
        <w:rPr>
          <w:rFonts w:ascii="Arial" w:hAnsi="Arial" w:cs="Arial"/>
          <w:bCs/>
          <w:iCs/>
          <w:szCs w:val="24"/>
        </w:rPr>
        <w:t>De otra parte, no puede pasarse por alto que</w:t>
      </w:r>
      <w:r w:rsidR="004B2B55" w:rsidRPr="0021756A">
        <w:rPr>
          <w:rFonts w:ascii="Arial" w:hAnsi="Arial" w:cs="Arial"/>
          <w:bCs/>
          <w:iCs/>
          <w:szCs w:val="24"/>
        </w:rPr>
        <w:t xml:space="preserve"> </w:t>
      </w:r>
      <w:r w:rsidR="00374B81" w:rsidRPr="0021756A">
        <w:rPr>
          <w:rFonts w:ascii="Arial" w:hAnsi="Arial" w:cs="Arial"/>
          <w:bCs/>
          <w:iCs/>
          <w:szCs w:val="24"/>
        </w:rPr>
        <w:t>el d</w:t>
      </w:r>
      <w:r w:rsidR="00916CAC" w:rsidRPr="0021756A">
        <w:rPr>
          <w:rFonts w:ascii="Arial" w:hAnsi="Arial" w:cs="Arial"/>
          <w:bCs/>
          <w:iCs/>
          <w:szCs w:val="24"/>
        </w:rPr>
        <w:t xml:space="preserve">emandante se afilió a Porvenir </w:t>
      </w:r>
      <w:r w:rsidR="00A32E76" w:rsidRPr="0021756A">
        <w:rPr>
          <w:rFonts w:ascii="Arial" w:hAnsi="Arial" w:cs="Arial"/>
          <w:bCs/>
          <w:iCs/>
          <w:szCs w:val="24"/>
        </w:rPr>
        <w:t>el 13 de mayo de 2004</w:t>
      </w:r>
      <w:r w:rsidR="004B2B55" w:rsidRPr="0021756A">
        <w:rPr>
          <w:rFonts w:ascii="Arial" w:hAnsi="Arial" w:cs="Arial"/>
          <w:bCs/>
          <w:iCs/>
          <w:szCs w:val="24"/>
        </w:rPr>
        <w:t xml:space="preserve">, </w:t>
      </w:r>
      <w:r w:rsidR="00916CAC" w:rsidRPr="0021756A">
        <w:rPr>
          <w:rFonts w:ascii="Arial" w:hAnsi="Arial" w:cs="Arial"/>
          <w:bCs/>
          <w:iCs/>
          <w:szCs w:val="24"/>
        </w:rPr>
        <w:t xml:space="preserve">es decir, diez años después de </w:t>
      </w:r>
      <w:r w:rsidR="00BD1B4C" w:rsidRPr="0021756A">
        <w:rPr>
          <w:rFonts w:ascii="Arial" w:hAnsi="Arial" w:cs="Arial"/>
          <w:bCs/>
          <w:iCs/>
          <w:szCs w:val="24"/>
        </w:rPr>
        <w:t xml:space="preserve">que se detectó la enfermedad crónica o degenerativa y </w:t>
      </w:r>
      <w:r w:rsidR="00584110" w:rsidRPr="0021756A">
        <w:rPr>
          <w:rFonts w:ascii="Arial" w:hAnsi="Arial" w:cs="Arial"/>
          <w:bCs/>
          <w:iCs/>
          <w:szCs w:val="24"/>
        </w:rPr>
        <w:t xml:space="preserve">cotizó </w:t>
      </w:r>
      <w:r w:rsidR="00916CAC" w:rsidRPr="0021756A">
        <w:rPr>
          <w:rFonts w:ascii="Arial" w:hAnsi="Arial" w:cs="Arial"/>
          <w:bCs/>
          <w:iCs/>
          <w:szCs w:val="24"/>
        </w:rPr>
        <w:t>al sist</w:t>
      </w:r>
      <w:r w:rsidR="00E320E6" w:rsidRPr="0021756A">
        <w:rPr>
          <w:rFonts w:ascii="Arial" w:hAnsi="Arial" w:cs="Arial"/>
          <w:bCs/>
          <w:iCs/>
          <w:szCs w:val="24"/>
        </w:rPr>
        <w:t>ema pensional hasta el año 2010, fecha en la que se calificó la p</w:t>
      </w:r>
      <w:r w:rsidR="001330DE" w:rsidRPr="0021756A">
        <w:rPr>
          <w:rFonts w:ascii="Arial" w:hAnsi="Arial" w:cs="Arial"/>
          <w:bCs/>
          <w:iCs/>
          <w:szCs w:val="24"/>
        </w:rPr>
        <w:t xml:space="preserve">érdida de capacidad laboral. Dicha circunstancia denota que transcurrieron </w:t>
      </w:r>
      <w:r w:rsidR="00BD1B4C" w:rsidRPr="0021756A">
        <w:rPr>
          <w:rFonts w:ascii="Arial" w:hAnsi="Arial" w:cs="Arial"/>
          <w:bCs/>
          <w:iCs/>
          <w:szCs w:val="24"/>
        </w:rPr>
        <w:t xml:space="preserve">otros seis años cotizando </w:t>
      </w:r>
      <w:r w:rsidR="003A2128" w:rsidRPr="0021756A">
        <w:rPr>
          <w:rFonts w:ascii="Arial" w:hAnsi="Arial" w:cs="Arial"/>
          <w:bCs/>
          <w:iCs/>
          <w:szCs w:val="24"/>
        </w:rPr>
        <w:t>en la AFP del 3 de junio de 2004 al 2 de diciembre de 2010</w:t>
      </w:r>
      <w:r w:rsidR="00051070" w:rsidRPr="0021756A">
        <w:rPr>
          <w:rFonts w:ascii="Arial" w:hAnsi="Arial" w:cs="Arial"/>
          <w:bCs/>
          <w:iCs/>
          <w:szCs w:val="24"/>
        </w:rPr>
        <w:t xml:space="preserve">, </w:t>
      </w:r>
      <w:r w:rsidR="00BD1B4C" w:rsidRPr="0021756A">
        <w:rPr>
          <w:rFonts w:ascii="Arial" w:hAnsi="Arial" w:cs="Arial"/>
          <w:bCs/>
          <w:iCs/>
          <w:szCs w:val="24"/>
        </w:rPr>
        <w:t xml:space="preserve">sin reparo de la </w:t>
      </w:r>
      <w:r w:rsidR="00816CD5" w:rsidRPr="0021756A">
        <w:rPr>
          <w:rFonts w:ascii="Arial" w:hAnsi="Arial" w:cs="Arial"/>
          <w:bCs/>
          <w:iCs/>
          <w:szCs w:val="24"/>
        </w:rPr>
        <w:t>misma</w:t>
      </w:r>
      <w:r w:rsidR="00BD1B4C" w:rsidRPr="0021756A">
        <w:rPr>
          <w:rFonts w:ascii="Arial" w:hAnsi="Arial" w:cs="Arial"/>
          <w:bCs/>
          <w:iCs/>
          <w:szCs w:val="24"/>
        </w:rPr>
        <w:t>.</w:t>
      </w:r>
    </w:p>
    <w:p w:rsidR="00051070" w:rsidRPr="0021756A" w:rsidRDefault="00051070" w:rsidP="0021756A">
      <w:pPr>
        <w:pStyle w:val="Sinespaciado"/>
        <w:spacing w:line="276" w:lineRule="auto"/>
        <w:rPr>
          <w:rFonts w:ascii="Arial" w:hAnsi="Arial" w:cs="Arial"/>
          <w:szCs w:val="24"/>
        </w:rPr>
      </w:pPr>
    </w:p>
    <w:p w:rsidR="00C06052" w:rsidRPr="0021756A" w:rsidRDefault="0062620F" w:rsidP="0021756A">
      <w:pPr>
        <w:pStyle w:val="Sinespaciado"/>
        <w:spacing w:line="276" w:lineRule="auto"/>
        <w:ind w:firstLine="284"/>
        <w:jc w:val="both"/>
        <w:rPr>
          <w:rFonts w:ascii="Arial" w:hAnsi="Arial" w:cs="Arial"/>
          <w:bCs/>
          <w:iCs/>
          <w:szCs w:val="24"/>
        </w:rPr>
      </w:pPr>
      <w:r w:rsidRPr="0021756A">
        <w:rPr>
          <w:rFonts w:ascii="Arial" w:hAnsi="Arial" w:cs="Arial"/>
          <w:bCs/>
          <w:iCs/>
          <w:szCs w:val="24"/>
        </w:rPr>
        <w:t>En ese orden</w:t>
      </w:r>
      <w:r w:rsidR="00051070" w:rsidRPr="0021756A">
        <w:rPr>
          <w:rFonts w:ascii="Arial" w:hAnsi="Arial" w:cs="Arial"/>
          <w:bCs/>
          <w:iCs/>
          <w:szCs w:val="24"/>
        </w:rPr>
        <w:t xml:space="preserve">, </w:t>
      </w:r>
      <w:r w:rsidR="001A5A69" w:rsidRPr="0021756A">
        <w:rPr>
          <w:rFonts w:ascii="Arial" w:hAnsi="Arial" w:cs="Arial"/>
          <w:bCs/>
          <w:iCs/>
          <w:szCs w:val="24"/>
        </w:rPr>
        <w:t xml:space="preserve">es claro que </w:t>
      </w:r>
      <w:r w:rsidR="00CA2E92" w:rsidRPr="0021756A">
        <w:rPr>
          <w:rFonts w:ascii="Arial" w:hAnsi="Arial" w:cs="Arial"/>
          <w:bCs/>
          <w:iCs/>
          <w:szCs w:val="24"/>
        </w:rPr>
        <w:t xml:space="preserve">al momento de la afiliación al RAIS </w:t>
      </w:r>
      <w:r w:rsidR="00110306" w:rsidRPr="0021756A">
        <w:rPr>
          <w:rFonts w:ascii="Arial" w:hAnsi="Arial" w:cs="Arial"/>
          <w:bCs/>
          <w:iCs/>
          <w:szCs w:val="24"/>
        </w:rPr>
        <w:t>la</w:t>
      </w:r>
      <w:r w:rsidR="00051070" w:rsidRPr="0021756A">
        <w:rPr>
          <w:rFonts w:ascii="Arial" w:hAnsi="Arial" w:cs="Arial"/>
          <w:bCs/>
          <w:iCs/>
          <w:szCs w:val="24"/>
        </w:rPr>
        <w:t xml:space="preserve"> recurrente tenía </w:t>
      </w:r>
      <w:r w:rsidR="001A5A69" w:rsidRPr="0021756A">
        <w:rPr>
          <w:rFonts w:ascii="Arial" w:hAnsi="Arial" w:cs="Arial"/>
          <w:bCs/>
          <w:iCs/>
          <w:szCs w:val="24"/>
        </w:rPr>
        <w:t xml:space="preserve">pleno </w:t>
      </w:r>
      <w:r w:rsidR="00051070" w:rsidRPr="0021756A">
        <w:rPr>
          <w:rFonts w:ascii="Arial" w:hAnsi="Arial" w:cs="Arial"/>
          <w:bCs/>
          <w:iCs/>
          <w:szCs w:val="24"/>
        </w:rPr>
        <w:t xml:space="preserve">conocimiento de que el demandante era portador del VIH </w:t>
      </w:r>
      <w:r w:rsidR="001A5A69" w:rsidRPr="0021756A">
        <w:rPr>
          <w:rFonts w:ascii="Arial" w:hAnsi="Arial" w:cs="Arial"/>
          <w:bCs/>
          <w:iCs/>
          <w:szCs w:val="24"/>
        </w:rPr>
        <w:t xml:space="preserve">con </w:t>
      </w:r>
      <w:r w:rsidR="00051070" w:rsidRPr="0021756A">
        <w:rPr>
          <w:rFonts w:ascii="Arial" w:hAnsi="Arial" w:cs="Arial"/>
          <w:bCs/>
          <w:iCs/>
          <w:szCs w:val="24"/>
        </w:rPr>
        <w:t xml:space="preserve">Síndrome de </w:t>
      </w:r>
      <w:r w:rsidR="001A5A69" w:rsidRPr="0021756A">
        <w:rPr>
          <w:rFonts w:ascii="Arial" w:hAnsi="Arial" w:cs="Arial"/>
          <w:bCs/>
          <w:iCs/>
          <w:szCs w:val="24"/>
        </w:rPr>
        <w:t>Inmunodeficiencia</w:t>
      </w:r>
      <w:r w:rsidR="00051070" w:rsidRPr="0021756A">
        <w:rPr>
          <w:rFonts w:ascii="Arial" w:hAnsi="Arial" w:cs="Arial"/>
          <w:bCs/>
          <w:iCs/>
          <w:szCs w:val="24"/>
        </w:rPr>
        <w:t xml:space="preserve"> Adquirida </w:t>
      </w:r>
      <w:r w:rsidR="001A5A69" w:rsidRPr="0021756A">
        <w:rPr>
          <w:rFonts w:ascii="Arial" w:hAnsi="Arial" w:cs="Arial"/>
          <w:bCs/>
          <w:iCs/>
          <w:szCs w:val="24"/>
        </w:rPr>
        <w:t>–</w:t>
      </w:r>
      <w:r w:rsidR="000741DD" w:rsidRPr="0021756A">
        <w:rPr>
          <w:rFonts w:ascii="Arial" w:hAnsi="Arial" w:cs="Arial"/>
          <w:bCs/>
          <w:iCs/>
          <w:szCs w:val="24"/>
        </w:rPr>
        <w:t>SIDA-, y pese a ello,</w:t>
      </w:r>
      <w:r w:rsidR="00110306" w:rsidRPr="0021756A">
        <w:rPr>
          <w:rFonts w:ascii="Arial" w:hAnsi="Arial" w:cs="Arial"/>
          <w:bCs/>
          <w:iCs/>
          <w:szCs w:val="24"/>
        </w:rPr>
        <w:t xml:space="preserve"> la objeción la vino a presentar al momento de la solicitud pensional </w:t>
      </w:r>
      <w:r w:rsidR="006A0B58" w:rsidRPr="0021756A">
        <w:rPr>
          <w:rFonts w:ascii="Arial" w:hAnsi="Arial" w:cs="Arial"/>
          <w:bCs/>
          <w:iCs/>
          <w:szCs w:val="24"/>
        </w:rPr>
        <w:t>d</w:t>
      </w:r>
      <w:r w:rsidR="00C06052" w:rsidRPr="0021756A">
        <w:rPr>
          <w:rFonts w:ascii="Arial" w:hAnsi="Arial" w:cs="Arial"/>
          <w:bCs/>
          <w:iCs/>
          <w:szCs w:val="24"/>
        </w:rPr>
        <w:t xml:space="preserve">el actor, </w:t>
      </w:r>
      <w:r w:rsidR="000741DD" w:rsidRPr="0021756A">
        <w:rPr>
          <w:rFonts w:ascii="Arial" w:hAnsi="Arial" w:cs="Arial"/>
          <w:bCs/>
          <w:iCs/>
          <w:szCs w:val="24"/>
        </w:rPr>
        <w:t xml:space="preserve">de modo que no puede ahora pretender cercenarle la posibilidad de procurarse una calidad de vida acorde con la dignidad humana, exponiendo motivos como la falta de seguro previsional para la presunta fecha de estructuración de invalidez del actor, pues además de que tal situación </w:t>
      </w:r>
      <w:r w:rsidR="0000280A" w:rsidRPr="0021756A">
        <w:rPr>
          <w:rFonts w:ascii="Arial" w:hAnsi="Arial" w:cs="Arial"/>
          <w:bCs/>
          <w:iCs/>
          <w:szCs w:val="24"/>
        </w:rPr>
        <w:t>desdice</w:t>
      </w:r>
      <w:r w:rsidR="00844114" w:rsidRPr="0021756A">
        <w:rPr>
          <w:rFonts w:ascii="Arial" w:hAnsi="Arial" w:cs="Arial"/>
          <w:bCs/>
          <w:iCs/>
          <w:szCs w:val="24"/>
        </w:rPr>
        <w:t xml:space="preserve"> de</w:t>
      </w:r>
      <w:r w:rsidR="0000280A" w:rsidRPr="0021756A">
        <w:rPr>
          <w:rFonts w:ascii="Arial" w:hAnsi="Arial" w:cs="Arial"/>
          <w:bCs/>
          <w:iCs/>
          <w:szCs w:val="24"/>
        </w:rPr>
        <w:t xml:space="preserve"> s</w:t>
      </w:r>
      <w:r w:rsidR="00F5779D" w:rsidRPr="0021756A">
        <w:rPr>
          <w:rFonts w:ascii="Arial" w:hAnsi="Arial" w:cs="Arial"/>
          <w:bCs/>
          <w:iCs/>
          <w:szCs w:val="24"/>
        </w:rPr>
        <w:t>u deber de diligencia</w:t>
      </w:r>
      <w:r w:rsidR="00844114" w:rsidRPr="0021756A">
        <w:rPr>
          <w:rFonts w:ascii="Arial" w:hAnsi="Arial" w:cs="Arial"/>
          <w:bCs/>
          <w:iCs/>
          <w:szCs w:val="24"/>
        </w:rPr>
        <w:t xml:space="preserve"> de </w:t>
      </w:r>
      <w:r w:rsidR="00F5779D" w:rsidRPr="0021756A">
        <w:rPr>
          <w:rFonts w:ascii="Arial" w:hAnsi="Arial" w:cs="Arial"/>
          <w:bCs/>
          <w:iCs/>
          <w:szCs w:val="24"/>
        </w:rPr>
        <w:t>verificar la</w:t>
      </w:r>
      <w:r w:rsidR="00844114" w:rsidRPr="0021756A">
        <w:rPr>
          <w:rFonts w:ascii="Arial" w:hAnsi="Arial" w:cs="Arial"/>
          <w:bCs/>
          <w:iCs/>
          <w:szCs w:val="24"/>
        </w:rPr>
        <w:t xml:space="preserve"> situación </w:t>
      </w:r>
      <w:r w:rsidR="00A32E76" w:rsidRPr="0021756A">
        <w:rPr>
          <w:rFonts w:ascii="Arial" w:hAnsi="Arial" w:cs="Arial"/>
          <w:bCs/>
          <w:iCs/>
          <w:szCs w:val="24"/>
        </w:rPr>
        <w:t xml:space="preserve">de preexistencia de enfermedades </w:t>
      </w:r>
      <w:r w:rsidR="00844114" w:rsidRPr="0021756A">
        <w:rPr>
          <w:rFonts w:ascii="Arial" w:hAnsi="Arial" w:cs="Arial"/>
          <w:bCs/>
          <w:iCs/>
          <w:szCs w:val="24"/>
        </w:rPr>
        <w:t>de s</w:t>
      </w:r>
      <w:r w:rsidR="00F5779D" w:rsidRPr="0021756A">
        <w:rPr>
          <w:rFonts w:ascii="Arial" w:hAnsi="Arial" w:cs="Arial"/>
          <w:bCs/>
          <w:iCs/>
          <w:szCs w:val="24"/>
        </w:rPr>
        <w:t>us afiliados,</w:t>
      </w:r>
      <w:r w:rsidR="00C06052" w:rsidRPr="0021756A">
        <w:rPr>
          <w:rFonts w:ascii="Arial" w:hAnsi="Arial" w:cs="Arial"/>
          <w:bCs/>
          <w:iCs/>
          <w:szCs w:val="24"/>
        </w:rPr>
        <w:t xml:space="preserve"> desconoce que la fecha de estructuración, no se dio para la fecha anterior al 2004, en virtud de que el actor era un laborante activo.</w:t>
      </w:r>
    </w:p>
    <w:p w:rsidR="00C06052" w:rsidRPr="0021756A" w:rsidRDefault="00C06052" w:rsidP="0021756A">
      <w:pPr>
        <w:pStyle w:val="Sinespaciado"/>
        <w:spacing w:line="276" w:lineRule="auto"/>
        <w:rPr>
          <w:rFonts w:ascii="Arial" w:hAnsi="Arial" w:cs="Arial"/>
          <w:szCs w:val="24"/>
        </w:rPr>
      </w:pPr>
    </w:p>
    <w:p w:rsidR="003A2128" w:rsidRPr="0021756A" w:rsidRDefault="00F711F2" w:rsidP="0021756A">
      <w:pPr>
        <w:autoSpaceDE w:val="0"/>
        <w:autoSpaceDN w:val="0"/>
        <w:adjustRightInd w:val="0"/>
        <w:spacing w:line="276" w:lineRule="auto"/>
        <w:jc w:val="both"/>
        <w:rPr>
          <w:rFonts w:ascii="Arial" w:hAnsi="Arial" w:cs="Arial"/>
          <w:color w:val="000000"/>
          <w:szCs w:val="24"/>
          <w:shd w:val="clear" w:color="auto" w:fill="FFFFFF"/>
        </w:rPr>
      </w:pPr>
      <w:r w:rsidRPr="0021756A">
        <w:rPr>
          <w:rFonts w:ascii="Arial" w:hAnsi="Arial" w:cs="Arial"/>
          <w:color w:val="000000"/>
          <w:szCs w:val="24"/>
          <w:shd w:val="clear" w:color="auto" w:fill="FFFFFF"/>
        </w:rPr>
        <w:t>Por ende, se confirmará en su integridad la sentencia apelada.</w:t>
      </w:r>
    </w:p>
    <w:p w:rsidR="00C06052" w:rsidRPr="0021756A" w:rsidRDefault="00C06052" w:rsidP="0021756A">
      <w:pPr>
        <w:pStyle w:val="Sinespaciado"/>
        <w:spacing w:line="276" w:lineRule="auto"/>
        <w:rPr>
          <w:rFonts w:ascii="Arial" w:hAnsi="Arial" w:cs="Arial"/>
          <w:szCs w:val="24"/>
          <w:shd w:val="clear" w:color="auto" w:fill="FFFFFF"/>
        </w:rPr>
      </w:pPr>
    </w:p>
    <w:p w:rsidR="0048747D" w:rsidRPr="0021756A" w:rsidRDefault="00F711F2" w:rsidP="0021756A">
      <w:pPr>
        <w:autoSpaceDE w:val="0"/>
        <w:autoSpaceDN w:val="0"/>
        <w:adjustRightInd w:val="0"/>
        <w:spacing w:line="276" w:lineRule="auto"/>
        <w:jc w:val="both"/>
        <w:rPr>
          <w:rFonts w:ascii="Arial" w:hAnsi="Arial" w:cs="Arial"/>
          <w:color w:val="000000"/>
          <w:szCs w:val="24"/>
          <w:shd w:val="clear" w:color="auto" w:fill="FFFFFF"/>
        </w:rPr>
      </w:pPr>
      <w:r w:rsidRPr="0021756A">
        <w:rPr>
          <w:rFonts w:ascii="Arial" w:hAnsi="Arial" w:cs="Arial"/>
          <w:color w:val="000000"/>
          <w:szCs w:val="24"/>
          <w:shd w:val="clear" w:color="auto" w:fill="FFFFFF"/>
        </w:rPr>
        <w:t xml:space="preserve"> Costas a cargo del recurrente. </w:t>
      </w:r>
    </w:p>
    <w:p w:rsidR="003A2128" w:rsidRPr="0021756A" w:rsidRDefault="003A2128" w:rsidP="0021756A">
      <w:pPr>
        <w:pStyle w:val="Sinespaciado"/>
        <w:spacing w:line="276" w:lineRule="auto"/>
        <w:rPr>
          <w:rFonts w:ascii="Arial" w:hAnsi="Arial" w:cs="Arial"/>
          <w:szCs w:val="24"/>
        </w:rPr>
      </w:pPr>
    </w:p>
    <w:p w:rsidR="00BB41B6" w:rsidRPr="0021756A" w:rsidRDefault="00BB41B6" w:rsidP="0021756A">
      <w:pPr>
        <w:pStyle w:val="Prrafodelista1"/>
        <w:spacing w:after="0"/>
        <w:ind w:left="0" w:firstLine="900"/>
        <w:jc w:val="both"/>
        <w:rPr>
          <w:rFonts w:ascii="Arial" w:hAnsi="Arial" w:cs="Arial"/>
          <w:sz w:val="24"/>
          <w:szCs w:val="24"/>
        </w:rPr>
      </w:pPr>
      <w:r w:rsidRPr="0021756A">
        <w:rPr>
          <w:rFonts w:ascii="Arial" w:hAnsi="Arial" w:cs="Arial"/>
          <w:sz w:val="24"/>
          <w:szCs w:val="24"/>
        </w:rPr>
        <w:t xml:space="preserve">En mérito de lo expuesto, el </w:t>
      </w:r>
      <w:r w:rsidRPr="0021756A">
        <w:rPr>
          <w:rFonts w:ascii="Arial" w:hAnsi="Arial" w:cs="Arial"/>
          <w:b/>
          <w:i/>
          <w:sz w:val="24"/>
          <w:szCs w:val="24"/>
        </w:rPr>
        <w:t>H. Tribunal Superior del Distrito Judicial de Pereira - Risaralda, Sala Laboral,</w:t>
      </w:r>
      <w:r w:rsidRPr="0021756A">
        <w:rPr>
          <w:rFonts w:ascii="Arial" w:hAnsi="Arial" w:cs="Arial"/>
          <w:sz w:val="24"/>
          <w:szCs w:val="24"/>
        </w:rPr>
        <w:t xml:space="preserve"> administrando justicia en nombre de la República y por autoridad de la ley,</w:t>
      </w:r>
    </w:p>
    <w:p w:rsidR="00BB41B6" w:rsidRPr="0021756A" w:rsidRDefault="00BB41B6" w:rsidP="0021756A">
      <w:pPr>
        <w:pStyle w:val="Sinespaciado"/>
        <w:spacing w:line="276" w:lineRule="auto"/>
        <w:rPr>
          <w:rFonts w:ascii="Arial" w:hAnsi="Arial" w:cs="Arial"/>
          <w:szCs w:val="24"/>
        </w:rPr>
      </w:pPr>
    </w:p>
    <w:p w:rsidR="00BB41B6" w:rsidRPr="0021756A" w:rsidRDefault="00BB41B6" w:rsidP="0021756A">
      <w:pPr>
        <w:spacing w:line="276" w:lineRule="auto"/>
        <w:jc w:val="center"/>
        <w:rPr>
          <w:rFonts w:ascii="Arial" w:hAnsi="Arial" w:cs="Arial"/>
          <w:b/>
          <w:i/>
          <w:szCs w:val="24"/>
        </w:rPr>
      </w:pPr>
      <w:r w:rsidRPr="0021756A">
        <w:rPr>
          <w:rFonts w:ascii="Arial" w:hAnsi="Arial" w:cs="Arial"/>
          <w:b/>
          <w:i/>
          <w:szCs w:val="24"/>
        </w:rPr>
        <w:t>FALLA</w:t>
      </w:r>
    </w:p>
    <w:p w:rsidR="00174885" w:rsidRPr="0021756A" w:rsidRDefault="00174885" w:rsidP="0021756A">
      <w:pPr>
        <w:pStyle w:val="Sinespaciado"/>
        <w:spacing w:line="276" w:lineRule="auto"/>
        <w:rPr>
          <w:rFonts w:ascii="Arial" w:hAnsi="Arial" w:cs="Arial"/>
          <w:szCs w:val="24"/>
        </w:rPr>
      </w:pPr>
    </w:p>
    <w:p w:rsidR="003A2128" w:rsidRPr="0021756A" w:rsidRDefault="003A2128" w:rsidP="0021756A">
      <w:pPr>
        <w:pStyle w:val="Prrafodelista"/>
        <w:numPr>
          <w:ilvl w:val="0"/>
          <w:numId w:val="2"/>
        </w:numPr>
        <w:spacing w:line="276" w:lineRule="auto"/>
        <w:ind w:left="0" w:firstLine="709"/>
        <w:jc w:val="both"/>
        <w:rPr>
          <w:rFonts w:ascii="Arial" w:hAnsi="Arial" w:cs="Arial"/>
          <w:i/>
          <w:szCs w:val="24"/>
        </w:rPr>
      </w:pPr>
      <w:r w:rsidRPr="0021756A">
        <w:rPr>
          <w:rFonts w:ascii="Arial" w:hAnsi="Arial" w:cs="Arial"/>
          <w:b/>
          <w:i/>
          <w:szCs w:val="24"/>
        </w:rPr>
        <w:lastRenderedPageBreak/>
        <w:t xml:space="preserve">Confirmar </w:t>
      </w:r>
      <w:r w:rsidRPr="0021756A">
        <w:rPr>
          <w:rFonts w:ascii="Arial" w:hAnsi="Arial" w:cs="Arial"/>
          <w:szCs w:val="24"/>
        </w:rPr>
        <w:t xml:space="preserve">la sentencia proferida el 16 de febrero de 2015 por el Juzgado Segundo Laboral del Circuito de Pereira, dentro del proceso de la referencia. </w:t>
      </w:r>
    </w:p>
    <w:p w:rsidR="003A2128" w:rsidRPr="0021756A" w:rsidRDefault="003A2128" w:rsidP="0021756A">
      <w:pPr>
        <w:pStyle w:val="Sinespaciado"/>
        <w:spacing w:line="276" w:lineRule="auto"/>
        <w:rPr>
          <w:rFonts w:ascii="Arial" w:hAnsi="Arial" w:cs="Arial"/>
          <w:szCs w:val="24"/>
        </w:rPr>
      </w:pPr>
    </w:p>
    <w:p w:rsidR="00BB41B6" w:rsidRPr="0021756A" w:rsidRDefault="003A2128" w:rsidP="0021756A">
      <w:pPr>
        <w:pStyle w:val="Prrafodelista"/>
        <w:numPr>
          <w:ilvl w:val="0"/>
          <w:numId w:val="2"/>
        </w:numPr>
        <w:spacing w:line="276" w:lineRule="auto"/>
        <w:ind w:left="0" w:firstLine="709"/>
        <w:jc w:val="both"/>
        <w:rPr>
          <w:rFonts w:ascii="Arial" w:hAnsi="Arial" w:cs="Arial"/>
          <w:szCs w:val="24"/>
        </w:rPr>
      </w:pPr>
      <w:r w:rsidRPr="0021756A">
        <w:rPr>
          <w:rFonts w:ascii="Arial" w:hAnsi="Arial" w:cs="Arial"/>
          <w:szCs w:val="24"/>
        </w:rPr>
        <w:t>Costas en esta instancia a cargo del recurrente</w:t>
      </w:r>
      <w:r w:rsidR="00BB41B6" w:rsidRPr="0021756A">
        <w:rPr>
          <w:rFonts w:ascii="Arial" w:hAnsi="Arial" w:cs="Arial"/>
          <w:szCs w:val="24"/>
        </w:rPr>
        <w:t>.</w:t>
      </w:r>
    </w:p>
    <w:p w:rsidR="00BB41B6" w:rsidRPr="0021756A" w:rsidRDefault="00BB41B6" w:rsidP="0021756A">
      <w:pPr>
        <w:spacing w:line="276" w:lineRule="auto"/>
        <w:ind w:firstLine="709"/>
        <w:jc w:val="both"/>
        <w:rPr>
          <w:rFonts w:ascii="Arial" w:hAnsi="Arial" w:cs="Arial"/>
          <w:b/>
          <w:bCs/>
          <w:iCs/>
          <w:szCs w:val="24"/>
          <w:lang w:val="es-ES"/>
        </w:rPr>
      </w:pPr>
    </w:p>
    <w:p w:rsidR="00BB41B6" w:rsidRPr="0021756A" w:rsidRDefault="00BB41B6" w:rsidP="0021756A">
      <w:pPr>
        <w:spacing w:line="276" w:lineRule="auto"/>
        <w:ind w:firstLine="709"/>
        <w:jc w:val="both"/>
        <w:rPr>
          <w:rFonts w:ascii="Arial" w:hAnsi="Arial" w:cs="Arial"/>
          <w:b/>
          <w:bCs/>
          <w:i/>
          <w:iCs/>
          <w:szCs w:val="24"/>
          <w:lang w:val="es-ES"/>
        </w:rPr>
      </w:pPr>
      <w:r w:rsidRPr="0021756A">
        <w:rPr>
          <w:rFonts w:ascii="Arial" w:hAnsi="Arial" w:cs="Arial"/>
          <w:bCs/>
          <w:iCs/>
          <w:szCs w:val="24"/>
          <w:lang w:val="es-ES"/>
        </w:rPr>
        <w:t>La anterior decisión queda notificada</w:t>
      </w:r>
      <w:r w:rsidRPr="0021756A">
        <w:rPr>
          <w:rFonts w:ascii="Arial" w:hAnsi="Arial" w:cs="Arial"/>
          <w:bCs/>
          <w:i/>
          <w:iCs/>
          <w:szCs w:val="24"/>
          <w:lang w:val="es-ES"/>
        </w:rPr>
        <w:t xml:space="preserve"> </w:t>
      </w:r>
      <w:r w:rsidR="003A2128" w:rsidRPr="0021756A">
        <w:rPr>
          <w:rFonts w:ascii="Arial" w:hAnsi="Arial" w:cs="Arial"/>
          <w:b/>
          <w:bCs/>
          <w:i/>
          <w:iCs/>
          <w:szCs w:val="24"/>
          <w:lang w:val="es-ES"/>
        </w:rPr>
        <w:t>en estrados.</w:t>
      </w:r>
    </w:p>
    <w:p w:rsidR="003A2128" w:rsidRPr="0021756A" w:rsidRDefault="003A2128" w:rsidP="0021756A">
      <w:pPr>
        <w:pStyle w:val="Sinespaciado"/>
        <w:spacing w:line="276" w:lineRule="auto"/>
        <w:rPr>
          <w:rFonts w:ascii="Arial" w:hAnsi="Arial" w:cs="Arial"/>
          <w:szCs w:val="24"/>
          <w:shd w:val="clear" w:color="auto" w:fill="FFFFFF"/>
        </w:rPr>
      </w:pPr>
    </w:p>
    <w:p w:rsidR="003A2128" w:rsidRPr="0021756A" w:rsidRDefault="003A2128" w:rsidP="0021756A">
      <w:pPr>
        <w:pStyle w:val="Sinespaciado"/>
        <w:spacing w:line="276" w:lineRule="auto"/>
        <w:rPr>
          <w:rFonts w:ascii="Arial" w:hAnsi="Arial" w:cs="Arial"/>
          <w:szCs w:val="24"/>
          <w:shd w:val="clear" w:color="auto" w:fill="FFFFFF"/>
        </w:rPr>
      </w:pPr>
    </w:p>
    <w:p w:rsidR="00BB41B6" w:rsidRPr="0021756A" w:rsidRDefault="00BB41B6" w:rsidP="0021756A">
      <w:pPr>
        <w:pStyle w:val="Sinespaciado"/>
        <w:spacing w:line="276" w:lineRule="auto"/>
        <w:rPr>
          <w:rFonts w:ascii="Arial" w:hAnsi="Arial" w:cs="Arial"/>
          <w:szCs w:val="24"/>
          <w:shd w:val="clear" w:color="auto" w:fill="FFFFFF"/>
        </w:rPr>
      </w:pPr>
    </w:p>
    <w:p w:rsidR="00BB41B6" w:rsidRPr="0021756A" w:rsidRDefault="00BB41B6" w:rsidP="0021756A">
      <w:pPr>
        <w:spacing w:line="276" w:lineRule="auto"/>
        <w:ind w:firstLine="709"/>
        <w:jc w:val="center"/>
        <w:rPr>
          <w:rFonts w:ascii="Arial" w:hAnsi="Arial" w:cs="Arial"/>
          <w:bCs/>
          <w:iCs/>
          <w:szCs w:val="24"/>
          <w:lang w:val="es-ES"/>
        </w:rPr>
      </w:pPr>
      <w:r w:rsidRPr="0021756A">
        <w:rPr>
          <w:rFonts w:ascii="Arial" w:hAnsi="Arial" w:cs="Arial"/>
          <w:b/>
          <w:bCs/>
          <w:iCs/>
          <w:szCs w:val="24"/>
          <w:lang w:val="es-ES"/>
        </w:rPr>
        <w:t>FRANCISCO JAVIER TAMAYO TABARES</w:t>
      </w:r>
    </w:p>
    <w:p w:rsidR="00BB41B6" w:rsidRPr="0021756A" w:rsidRDefault="00BB41B6" w:rsidP="0021756A">
      <w:pPr>
        <w:spacing w:line="276" w:lineRule="auto"/>
        <w:ind w:firstLine="709"/>
        <w:jc w:val="center"/>
        <w:rPr>
          <w:rFonts w:ascii="Arial" w:hAnsi="Arial" w:cs="Arial"/>
          <w:szCs w:val="24"/>
          <w:lang w:val="es-ES"/>
        </w:rPr>
      </w:pPr>
      <w:r w:rsidRPr="0021756A">
        <w:rPr>
          <w:rFonts w:ascii="Arial" w:hAnsi="Arial" w:cs="Arial"/>
          <w:szCs w:val="24"/>
          <w:lang w:val="es-ES"/>
        </w:rPr>
        <w:t xml:space="preserve">Magistrado Ponente </w:t>
      </w:r>
    </w:p>
    <w:p w:rsidR="00BB41B6" w:rsidRPr="0021756A" w:rsidRDefault="00BB41B6" w:rsidP="0021756A">
      <w:pPr>
        <w:pStyle w:val="Sinespaciado"/>
        <w:spacing w:line="276" w:lineRule="auto"/>
        <w:rPr>
          <w:rFonts w:ascii="Arial" w:hAnsi="Arial" w:cs="Arial"/>
          <w:szCs w:val="24"/>
          <w:shd w:val="clear" w:color="auto" w:fill="FFFFFF"/>
        </w:rPr>
      </w:pPr>
    </w:p>
    <w:p w:rsidR="00BB41B6" w:rsidRPr="0021756A" w:rsidRDefault="00BB41B6" w:rsidP="0021756A">
      <w:pPr>
        <w:pStyle w:val="Sinespaciado"/>
        <w:spacing w:line="276" w:lineRule="auto"/>
        <w:rPr>
          <w:rFonts w:ascii="Arial" w:hAnsi="Arial" w:cs="Arial"/>
          <w:szCs w:val="24"/>
          <w:shd w:val="clear" w:color="auto" w:fill="FFFFFF"/>
        </w:rPr>
      </w:pPr>
    </w:p>
    <w:p w:rsidR="003A2128" w:rsidRPr="0021756A" w:rsidRDefault="003A2128" w:rsidP="0021756A">
      <w:pPr>
        <w:pStyle w:val="Sinespaciado"/>
        <w:spacing w:line="276" w:lineRule="auto"/>
        <w:rPr>
          <w:rFonts w:ascii="Arial" w:hAnsi="Arial" w:cs="Arial"/>
          <w:szCs w:val="24"/>
          <w:shd w:val="clear" w:color="auto" w:fill="FFFFFF"/>
        </w:rPr>
      </w:pPr>
    </w:p>
    <w:p w:rsidR="00BB41B6" w:rsidRPr="0021756A" w:rsidRDefault="00BB41B6" w:rsidP="0021756A">
      <w:pPr>
        <w:spacing w:line="276" w:lineRule="auto"/>
        <w:jc w:val="both"/>
        <w:rPr>
          <w:rFonts w:ascii="Arial" w:hAnsi="Arial" w:cs="Arial"/>
          <w:szCs w:val="24"/>
          <w:lang w:val="es-ES"/>
        </w:rPr>
      </w:pPr>
      <w:r w:rsidRPr="0021756A">
        <w:rPr>
          <w:rFonts w:ascii="Arial" w:hAnsi="Arial" w:cs="Arial"/>
          <w:b/>
          <w:bCs/>
          <w:iCs/>
          <w:szCs w:val="24"/>
          <w:lang w:val="es-ES"/>
        </w:rPr>
        <w:t>ISSA RAFAEL ULLOQUE TOSCANO</w:t>
      </w:r>
      <w:r w:rsidR="0021756A">
        <w:rPr>
          <w:rFonts w:ascii="Arial" w:hAnsi="Arial" w:cs="Arial"/>
          <w:b/>
          <w:bCs/>
          <w:iCs/>
          <w:szCs w:val="24"/>
          <w:lang w:val="es-ES"/>
        </w:rPr>
        <w:tab/>
      </w:r>
      <w:r w:rsidR="0021756A">
        <w:rPr>
          <w:rFonts w:ascii="Arial" w:hAnsi="Arial" w:cs="Arial"/>
          <w:b/>
          <w:bCs/>
          <w:iCs/>
          <w:szCs w:val="24"/>
          <w:lang w:val="es-ES"/>
        </w:rPr>
        <w:tab/>
        <w:t xml:space="preserve"> ANA</w:t>
      </w:r>
      <w:r w:rsidR="003A2128" w:rsidRPr="0021756A">
        <w:rPr>
          <w:rFonts w:ascii="Arial" w:hAnsi="Arial" w:cs="Arial"/>
          <w:b/>
          <w:bCs/>
          <w:iCs/>
          <w:szCs w:val="24"/>
          <w:lang w:val="es-ES"/>
        </w:rPr>
        <w:t xml:space="preserve"> LUCÍA CAICEDO CALDERÓN</w:t>
      </w:r>
    </w:p>
    <w:p w:rsidR="00BB41B6" w:rsidRPr="0021756A" w:rsidRDefault="00BB41B6" w:rsidP="0021756A">
      <w:pPr>
        <w:spacing w:line="276" w:lineRule="auto"/>
        <w:jc w:val="both"/>
        <w:rPr>
          <w:rFonts w:ascii="Arial" w:hAnsi="Arial" w:cs="Arial"/>
          <w:szCs w:val="24"/>
          <w:lang w:val="es-ES"/>
        </w:rPr>
      </w:pPr>
      <w:r w:rsidRPr="0021756A">
        <w:rPr>
          <w:rFonts w:ascii="Arial" w:hAnsi="Arial" w:cs="Arial"/>
          <w:szCs w:val="24"/>
          <w:lang w:val="es-ES"/>
        </w:rPr>
        <w:t>Magistrado</w:t>
      </w:r>
      <w:r w:rsidR="0021756A">
        <w:rPr>
          <w:rFonts w:ascii="Arial" w:hAnsi="Arial" w:cs="Arial"/>
          <w:szCs w:val="24"/>
          <w:lang w:val="es-ES"/>
        </w:rPr>
        <w:tab/>
      </w:r>
      <w:r w:rsidR="0021756A">
        <w:rPr>
          <w:rFonts w:ascii="Arial" w:hAnsi="Arial" w:cs="Arial"/>
          <w:szCs w:val="24"/>
          <w:lang w:val="es-ES"/>
        </w:rPr>
        <w:tab/>
      </w:r>
      <w:r w:rsidR="0021756A">
        <w:rPr>
          <w:rFonts w:ascii="Arial" w:hAnsi="Arial" w:cs="Arial"/>
          <w:szCs w:val="24"/>
          <w:lang w:val="es-ES"/>
        </w:rPr>
        <w:tab/>
      </w:r>
      <w:r w:rsidR="0021756A">
        <w:rPr>
          <w:rFonts w:ascii="Arial" w:hAnsi="Arial" w:cs="Arial"/>
          <w:szCs w:val="24"/>
          <w:lang w:val="es-ES"/>
        </w:rPr>
        <w:tab/>
      </w:r>
      <w:r w:rsidR="0021756A">
        <w:rPr>
          <w:rFonts w:ascii="Arial" w:hAnsi="Arial" w:cs="Arial"/>
          <w:szCs w:val="24"/>
          <w:lang w:val="es-ES"/>
        </w:rPr>
        <w:tab/>
      </w:r>
      <w:r w:rsidR="0021756A">
        <w:rPr>
          <w:rFonts w:ascii="Arial" w:hAnsi="Arial" w:cs="Arial"/>
          <w:szCs w:val="24"/>
          <w:lang w:val="es-ES"/>
        </w:rPr>
        <w:tab/>
        <w:t xml:space="preserve"> Magistrada</w:t>
      </w:r>
    </w:p>
    <w:p w:rsidR="00BB41B6" w:rsidRPr="0021756A" w:rsidRDefault="00BB41B6" w:rsidP="0021756A">
      <w:pPr>
        <w:pStyle w:val="Sinespaciado"/>
        <w:spacing w:line="276" w:lineRule="auto"/>
        <w:rPr>
          <w:rFonts w:ascii="Arial" w:hAnsi="Arial" w:cs="Arial"/>
          <w:szCs w:val="24"/>
          <w:shd w:val="clear" w:color="auto" w:fill="FFFFFF"/>
        </w:rPr>
      </w:pPr>
    </w:p>
    <w:p w:rsidR="00BB41B6" w:rsidRPr="0021756A" w:rsidRDefault="00BB41B6" w:rsidP="0021756A">
      <w:pPr>
        <w:pStyle w:val="Sinespaciado"/>
        <w:spacing w:line="276" w:lineRule="auto"/>
        <w:rPr>
          <w:rFonts w:ascii="Arial" w:hAnsi="Arial" w:cs="Arial"/>
          <w:szCs w:val="24"/>
          <w:shd w:val="clear" w:color="auto" w:fill="FFFFFF"/>
        </w:rPr>
      </w:pPr>
    </w:p>
    <w:p w:rsidR="003A2128" w:rsidRPr="0021756A" w:rsidRDefault="003A2128" w:rsidP="0021756A">
      <w:pPr>
        <w:pStyle w:val="Sinespaciado"/>
        <w:spacing w:line="276" w:lineRule="auto"/>
        <w:rPr>
          <w:rFonts w:ascii="Arial" w:hAnsi="Arial" w:cs="Arial"/>
          <w:szCs w:val="24"/>
          <w:shd w:val="clear" w:color="auto" w:fill="FFFFFF"/>
        </w:rPr>
      </w:pPr>
    </w:p>
    <w:p w:rsidR="00BB41B6" w:rsidRPr="0021756A" w:rsidRDefault="003A2128" w:rsidP="0021756A">
      <w:pPr>
        <w:spacing w:line="276" w:lineRule="auto"/>
        <w:ind w:firstLine="709"/>
        <w:jc w:val="center"/>
        <w:rPr>
          <w:rFonts w:ascii="Arial" w:hAnsi="Arial" w:cs="Arial"/>
          <w:b/>
          <w:bCs/>
          <w:iCs/>
          <w:szCs w:val="24"/>
          <w:lang w:val="es-ES"/>
        </w:rPr>
      </w:pPr>
      <w:r w:rsidRPr="0021756A">
        <w:rPr>
          <w:rFonts w:ascii="Arial" w:hAnsi="Arial" w:cs="Arial"/>
          <w:b/>
          <w:bCs/>
          <w:iCs/>
          <w:szCs w:val="24"/>
          <w:lang w:val="es-ES"/>
        </w:rPr>
        <w:t>Alonso Gaviria Ocampo</w:t>
      </w:r>
    </w:p>
    <w:p w:rsidR="00D84850" w:rsidRPr="0021756A" w:rsidRDefault="00BB41B6" w:rsidP="0096773D">
      <w:pPr>
        <w:spacing w:line="276" w:lineRule="auto"/>
        <w:ind w:firstLine="709"/>
        <w:jc w:val="center"/>
        <w:rPr>
          <w:rFonts w:ascii="Arial" w:hAnsi="Arial" w:cs="Arial"/>
          <w:szCs w:val="24"/>
        </w:rPr>
      </w:pPr>
      <w:r w:rsidRPr="0021756A">
        <w:rPr>
          <w:rFonts w:ascii="Arial" w:hAnsi="Arial" w:cs="Arial"/>
          <w:iCs/>
          <w:szCs w:val="24"/>
          <w:lang w:val="es-ES"/>
        </w:rPr>
        <w:t>Secretario</w:t>
      </w:r>
    </w:p>
    <w:sectPr w:rsidR="00D84850" w:rsidRPr="0021756A" w:rsidSect="0096773D">
      <w:headerReference w:type="even" r:id="rId9"/>
      <w:headerReference w:type="default" r:id="rId10"/>
      <w:footerReference w:type="even" r:id="rId11"/>
      <w:footerReference w:type="default" r:id="rId12"/>
      <w:pgSz w:w="12242" w:h="18722" w:code="258"/>
      <w:pgMar w:top="1985" w:right="1361" w:bottom="1418" w:left="192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9BF" w:rsidRDefault="008049BF" w:rsidP="00BB41B6">
      <w:r>
        <w:separator/>
      </w:r>
    </w:p>
  </w:endnote>
  <w:endnote w:type="continuationSeparator" w:id="0">
    <w:p w:rsidR="008049BF" w:rsidRDefault="008049BF" w:rsidP="00B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9C7" w:rsidRDefault="00B7517C" w:rsidP="00C90E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8049BF" w:rsidP="00C90EC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87462"/>
      <w:docPartObj>
        <w:docPartGallery w:val="Page Numbers (Bottom of Page)"/>
        <w:docPartUnique/>
      </w:docPartObj>
    </w:sdtPr>
    <w:sdtEndPr>
      <w:rPr>
        <w:rFonts w:ascii="Arial" w:hAnsi="Arial" w:cs="Arial"/>
        <w:sz w:val="18"/>
      </w:rPr>
    </w:sdtEndPr>
    <w:sdtContent>
      <w:p w:rsidR="00D76D51" w:rsidRPr="0021756A" w:rsidRDefault="00B7517C">
        <w:pPr>
          <w:pStyle w:val="Piedepgina"/>
          <w:jc w:val="center"/>
          <w:rPr>
            <w:rFonts w:ascii="Arial" w:hAnsi="Arial" w:cs="Arial"/>
            <w:sz w:val="18"/>
          </w:rPr>
        </w:pPr>
        <w:r w:rsidRPr="0021756A">
          <w:rPr>
            <w:rFonts w:ascii="Arial" w:hAnsi="Arial" w:cs="Arial"/>
            <w:sz w:val="18"/>
          </w:rPr>
          <w:fldChar w:fldCharType="begin"/>
        </w:r>
        <w:r w:rsidRPr="0021756A">
          <w:rPr>
            <w:rFonts w:ascii="Arial" w:hAnsi="Arial" w:cs="Arial"/>
            <w:sz w:val="18"/>
          </w:rPr>
          <w:instrText>PAGE   \* MERGEFORMAT</w:instrText>
        </w:r>
        <w:r w:rsidRPr="0021756A">
          <w:rPr>
            <w:rFonts w:ascii="Arial" w:hAnsi="Arial" w:cs="Arial"/>
            <w:sz w:val="18"/>
          </w:rPr>
          <w:fldChar w:fldCharType="separate"/>
        </w:r>
        <w:r w:rsidR="00854FCB" w:rsidRPr="0021756A">
          <w:rPr>
            <w:rFonts w:ascii="Arial" w:hAnsi="Arial" w:cs="Arial"/>
            <w:noProof/>
            <w:sz w:val="18"/>
            <w:lang w:val="es-ES"/>
          </w:rPr>
          <w:t>6</w:t>
        </w:r>
        <w:r w:rsidRPr="0021756A">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9BF" w:rsidRDefault="008049BF" w:rsidP="00BB41B6">
      <w:r>
        <w:separator/>
      </w:r>
    </w:p>
  </w:footnote>
  <w:footnote w:type="continuationSeparator" w:id="0">
    <w:p w:rsidR="008049BF" w:rsidRDefault="008049BF" w:rsidP="00BB41B6">
      <w:r>
        <w:continuationSeparator/>
      </w:r>
    </w:p>
  </w:footnote>
  <w:footnote w:id="1">
    <w:p w:rsidR="00D731DC" w:rsidRPr="0021756A" w:rsidRDefault="00D731DC" w:rsidP="0021756A">
      <w:pPr>
        <w:pStyle w:val="Textonotapie"/>
        <w:spacing w:after="0" w:line="240" w:lineRule="auto"/>
        <w:jc w:val="both"/>
        <w:rPr>
          <w:rFonts w:ascii="Arial" w:hAnsi="Arial" w:cs="Arial"/>
          <w:sz w:val="18"/>
          <w:szCs w:val="16"/>
        </w:rPr>
      </w:pPr>
      <w:r w:rsidRPr="0021756A">
        <w:rPr>
          <w:rFonts w:ascii="Arial" w:hAnsi="Arial" w:cs="Arial"/>
          <w:sz w:val="18"/>
          <w:szCs w:val="16"/>
          <w:vertAlign w:val="superscript"/>
        </w:rPr>
        <w:footnoteRef/>
      </w:r>
      <w:r w:rsidRPr="0021756A">
        <w:rPr>
          <w:rFonts w:ascii="Arial" w:hAnsi="Arial" w:cs="Arial"/>
          <w:sz w:val="18"/>
          <w:szCs w:val="16"/>
        </w:rPr>
        <w:t xml:space="preserve"> Sentencia T-801 de 2011.</w:t>
      </w:r>
    </w:p>
  </w:footnote>
  <w:footnote w:id="2">
    <w:p w:rsidR="00D731DC" w:rsidRPr="0021756A" w:rsidRDefault="00D731DC" w:rsidP="0021756A">
      <w:pPr>
        <w:ind w:right="-232"/>
        <w:jc w:val="both"/>
        <w:rPr>
          <w:rFonts w:ascii="Arial" w:hAnsi="Arial" w:cs="Arial"/>
          <w:sz w:val="18"/>
          <w:szCs w:val="16"/>
        </w:rPr>
      </w:pPr>
      <w:r w:rsidRPr="0021756A">
        <w:rPr>
          <w:rFonts w:ascii="Arial" w:hAnsi="Arial" w:cs="Arial"/>
          <w:sz w:val="18"/>
          <w:szCs w:val="16"/>
          <w:vertAlign w:val="superscript"/>
        </w:rPr>
        <w:footnoteRef/>
      </w:r>
      <w:r w:rsidRPr="0021756A">
        <w:rPr>
          <w:rFonts w:ascii="Arial" w:hAnsi="Arial" w:cs="Arial"/>
          <w:sz w:val="18"/>
          <w:szCs w:val="16"/>
        </w:rPr>
        <w:t xml:space="preserve"> </w:t>
      </w:r>
      <w:r w:rsidRPr="0021756A">
        <w:rPr>
          <w:rFonts w:ascii="Arial" w:hAnsi="Arial" w:cs="Arial"/>
          <w:sz w:val="18"/>
          <w:szCs w:val="16"/>
          <w:lang w:eastAsia="es-CO"/>
        </w:rPr>
        <w:t>Sentencias T-452 de 2009 y T-710 de 2009.</w:t>
      </w:r>
    </w:p>
  </w:footnote>
  <w:footnote w:id="3">
    <w:p w:rsidR="00D731DC" w:rsidRPr="0021756A" w:rsidRDefault="00D731DC" w:rsidP="0021756A">
      <w:pPr>
        <w:pStyle w:val="Textonotapie"/>
        <w:spacing w:after="0" w:line="240" w:lineRule="auto"/>
        <w:jc w:val="both"/>
        <w:rPr>
          <w:rFonts w:ascii="Arial" w:hAnsi="Arial" w:cs="Arial"/>
          <w:sz w:val="18"/>
          <w:szCs w:val="16"/>
        </w:rPr>
      </w:pPr>
      <w:r w:rsidRPr="0021756A">
        <w:rPr>
          <w:rFonts w:ascii="Arial" w:hAnsi="Arial" w:cs="Arial"/>
          <w:sz w:val="18"/>
          <w:szCs w:val="16"/>
          <w:vertAlign w:val="superscript"/>
        </w:rPr>
        <w:footnoteRef/>
      </w:r>
      <w:r w:rsidRPr="0021756A">
        <w:rPr>
          <w:rFonts w:ascii="Arial" w:hAnsi="Arial" w:cs="Arial"/>
          <w:sz w:val="18"/>
          <w:szCs w:val="16"/>
        </w:rPr>
        <w:t xml:space="preserve"> Sentencia T-801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9C7" w:rsidRDefault="00B7517C" w:rsidP="00C90EC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2519C7" w:rsidRDefault="008049B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9C7" w:rsidRDefault="008049BF" w:rsidP="00C90EC8">
    <w:pPr>
      <w:pStyle w:val="Encabezado"/>
      <w:framePr w:wrap="around" w:vAnchor="text" w:hAnchor="margin" w:xAlign="right" w:y="1"/>
      <w:rPr>
        <w:rStyle w:val="Nmerodepgina"/>
      </w:rPr>
    </w:pPr>
  </w:p>
  <w:p w:rsidR="002519C7" w:rsidRPr="0021756A" w:rsidRDefault="00B7517C" w:rsidP="00C90EC8">
    <w:pPr>
      <w:pStyle w:val="Ttulo2"/>
      <w:tabs>
        <w:tab w:val="right" w:pos="8931"/>
      </w:tabs>
      <w:ind w:right="-92"/>
      <w:rPr>
        <w:rFonts w:ascii="Arial" w:hAnsi="Arial" w:cs="Arial"/>
        <w:bCs/>
        <w:sz w:val="18"/>
        <w:szCs w:val="16"/>
      </w:rPr>
    </w:pPr>
    <w:r w:rsidRPr="0021756A">
      <w:rPr>
        <w:rFonts w:ascii="Arial" w:hAnsi="Arial" w:cs="Arial"/>
        <w:sz w:val="18"/>
        <w:szCs w:val="16"/>
      </w:rPr>
      <w:t xml:space="preserve">Radicación No. </w:t>
    </w:r>
    <w:r w:rsidRPr="0021756A">
      <w:rPr>
        <w:rFonts w:ascii="Arial" w:hAnsi="Arial" w:cs="Arial"/>
        <w:bCs/>
        <w:sz w:val="18"/>
        <w:szCs w:val="16"/>
      </w:rPr>
      <w:t>66001–31-05–00</w:t>
    </w:r>
    <w:r w:rsidR="00BB41B6" w:rsidRPr="0021756A">
      <w:rPr>
        <w:rFonts w:ascii="Arial" w:hAnsi="Arial" w:cs="Arial"/>
        <w:bCs/>
        <w:sz w:val="18"/>
        <w:szCs w:val="16"/>
      </w:rPr>
      <w:t>2-2013-00051-01</w:t>
    </w:r>
  </w:p>
  <w:p w:rsidR="00223179" w:rsidRPr="0021756A" w:rsidRDefault="008049BF" w:rsidP="00C92607">
    <w:pPr>
      <w:pStyle w:val="Piedepgina"/>
      <w:framePr w:wrap="auto" w:vAnchor="page" w:hAnchor="page" w:x="1699" w:y="1126"/>
      <w:ind w:right="360"/>
      <w:rPr>
        <w:rFonts w:ascii="Arial" w:hAnsi="Arial" w:cs="Arial"/>
        <w:sz w:val="22"/>
      </w:rPr>
    </w:pPr>
  </w:p>
  <w:p w:rsidR="002519C7" w:rsidRPr="0021756A" w:rsidRDefault="00BB41B6" w:rsidP="00C90EC8">
    <w:pPr>
      <w:rPr>
        <w:rFonts w:ascii="Arial" w:hAnsi="Arial" w:cs="Arial"/>
        <w:sz w:val="18"/>
        <w:szCs w:val="16"/>
        <w:lang w:val="es-ES"/>
      </w:rPr>
    </w:pPr>
    <w:r w:rsidRPr="0021756A">
      <w:rPr>
        <w:rFonts w:ascii="Arial" w:hAnsi="Arial" w:cs="Arial"/>
        <w:sz w:val="18"/>
        <w:szCs w:val="16"/>
        <w:lang w:val="es-ES"/>
      </w:rPr>
      <w:t xml:space="preserve">JJCS </w:t>
    </w:r>
    <w:r w:rsidR="00B7517C" w:rsidRPr="0021756A">
      <w:rPr>
        <w:rFonts w:ascii="Arial" w:hAnsi="Arial" w:cs="Arial"/>
        <w:sz w:val="18"/>
        <w:szCs w:val="16"/>
        <w:lang w:val="es-ES"/>
      </w:rPr>
      <w:t>Vs Colpensiones</w:t>
    </w:r>
    <w:r w:rsidRPr="0021756A">
      <w:rPr>
        <w:rFonts w:ascii="Arial" w:hAnsi="Arial" w:cs="Arial"/>
        <w:sz w:val="18"/>
        <w:szCs w:val="16"/>
        <w:lang w:val="es-ES"/>
      </w:rPr>
      <w:t xml:space="preserve"> y Porvenir SA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07EF2"/>
    <w:multiLevelType w:val="multilevel"/>
    <w:tmpl w:val="60BC9910"/>
    <w:lvl w:ilvl="0">
      <w:start w:val="1"/>
      <w:numFmt w:val="upperRoman"/>
      <w:lvlText w:val="%1."/>
      <w:lvlJc w:val="left"/>
      <w:pPr>
        <w:ind w:left="1571" w:hanging="720"/>
      </w:pPr>
      <w:rPr>
        <w:rFonts w:hint="default"/>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952" w:hanging="108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15:restartNumberingAfterBreak="0">
    <w:nsid w:val="45B91FA3"/>
    <w:multiLevelType w:val="hybridMultilevel"/>
    <w:tmpl w:val="2B0816B4"/>
    <w:lvl w:ilvl="0" w:tplc="581459CA">
      <w:start w:val="1"/>
      <w:numFmt w:val="decimal"/>
      <w:lvlText w:val="%1."/>
      <w:lvlJc w:val="left"/>
      <w:pPr>
        <w:ind w:left="1069" w:hanging="360"/>
      </w:pPr>
      <w:rPr>
        <w:rFonts w:cs="Tahoma" w:hint="default"/>
        <w:b/>
        <w:i/>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46F571FE"/>
    <w:multiLevelType w:val="hybridMultilevel"/>
    <w:tmpl w:val="27A2BB50"/>
    <w:lvl w:ilvl="0" w:tplc="961AE55C">
      <w:start w:val="1"/>
      <w:numFmt w:val="lowerRoman"/>
      <w:lvlText w:val="(%1)"/>
      <w:lvlJc w:val="left"/>
      <w:pPr>
        <w:ind w:left="1571" w:hanging="72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15:restartNumberingAfterBreak="0">
    <w:nsid w:val="78B803DA"/>
    <w:multiLevelType w:val="multilevel"/>
    <w:tmpl w:val="2AD0B800"/>
    <w:lvl w:ilvl="0">
      <w:start w:val="1"/>
      <w:numFmt w:val="upperRoman"/>
      <w:lvlText w:val="%1."/>
      <w:lvlJc w:val="left"/>
      <w:pPr>
        <w:ind w:left="1429" w:hanging="720"/>
      </w:pPr>
      <w:rPr>
        <w:rFonts w:hint="default"/>
      </w:rPr>
    </w:lvl>
    <w:lvl w:ilvl="1">
      <w:start w:val="2"/>
      <w:numFmt w:val="decimal"/>
      <w:isLgl/>
      <w:lvlText w:val="%1.%2"/>
      <w:lvlJc w:val="left"/>
      <w:pPr>
        <w:ind w:left="1099" w:hanging="39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1B6"/>
    <w:rsid w:val="0000280A"/>
    <w:rsid w:val="00006194"/>
    <w:rsid w:val="00010EC1"/>
    <w:rsid w:val="000123B6"/>
    <w:rsid w:val="00012A41"/>
    <w:rsid w:val="00017CBD"/>
    <w:rsid w:val="00023390"/>
    <w:rsid w:val="0003022F"/>
    <w:rsid w:val="00031E72"/>
    <w:rsid w:val="00033D0C"/>
    <w:rsid w:val="00035EC2"/>
    <w:rsid w:val="00036F38"/>
    <w:rsid w:val="0004088E"/>
    <w:rsid w:val="00051070"/>
    <w:rsid w:val="000703C3"/>
    <w:rsid w:val="00071ECA"/>
    <w:rsid w:val="000741DD"/>
    <w:rsid w:val="000774ED"/>
    <w:rsid w:val="00091FC1"/>
    <w:rsid w:val="00092087"/>
    <w:rsid w:val="00096B5F"/>
    <w:rsid w:val="000A0B5F"/>
    <w:rsid w:val="000C6667"/>
    <w:rsid w:val="000C6A35"/>
    <w:rsid w:val="000E7F42"/>
    <w:rsid w:val="00110306"/>
    <w:rsid w:val="001141AA"/>
    <w:rsid w:val="0013095F"/>
    <w:rsid w:val="001330DE"/>
    <w:rsid w:val="00135DC3"/>
    <w:rsid w:val="00144676"/>
    <w:rsid w:val="00156F92"/>
    <w:rsid w:val="00160398"/>
    <w:rsid w:val="00161569"/>
    <w:rsid w:val="00172834"/>
    <w:rsid w:val="00174885"/>
    <w:rsid w:val="00185E19"/>
    <w:rsid w:val="00195171"/>
    <w:rsid w:val="001959AF"/>
    <w:rsid w:val="001A5A69"/>
    <w:rsid w:val="001B6D33"/>
    <w:rsid w:val="001C26E2"/>
    <w:rsid w:val="001C5BD2"/>
    <w:rsid w:val="001C62EA"/>
    <w:rsid w:val="001C638C"/>
    <w:rsid w:val="001C7847"/>
    <w:rsid w:val="001E15D8"/>
    <w:rsid w:val="001F5DDF"/>
    <w:rsid w:val="002033A2"/>
    <w:rsid w:val="0021756A"/>
    <w:rsid w:val="002202F2"/>
    <w:rsid w:val="002253F8"/>
    <w:rsid w:val="00231B88"/>
    <w:rsid w:val="00242152"/>
    <w:rsid w:val="00253D76"/>
    <w:rsid w:val="0027605C"/>
    <w:rsid w:val="00281456"/>
    <w:rsid w:val="00283933"/>
    <w:rsid w:val="002920B6"/>
    <w:rsid w:val="002974C2"/>
    <w:rsid w:val="002B36CC"/>
    <w:rsid w:val="002D4255"/>
    <w:rsid w:val="002D7C6B"/>
    <w:rsid w:val="00302B95"/>
    <w:rsid w:val="0032224E"/>
    <w:rsid w:val="00324BE4"/>
    <w:rsid w:val="0033205A"/>
    <w:rsid w:val="00332787"/>
    <w:rsid w:val="00332DF6"/>
    <w:rsid w:val="00345A28"/>
    <w:rsid w:val="003517A5"/>
    <w:rsid w:val="00360295"/>
    <w:rsid w:val="0037313C"/>
    <w:rsid w:val="00374B81"/>
    <w:rsid w:val="003767B9"/>
    <w:rsid w:val="00387356"/>
    <w:rsid w:val="003921BC"/>
    <w:rsid w:val="003A2128"/>
    <w:rsid w:val="003B33F4"/>
    <w:rsid w:val="003B66E2"/>
    <w:rsid w:val="003C069A"/>
    <w:rsid w:val="003D7EF5"/>
    <w:rsid w:val="003E00E3"/>
    <w:rsid w:val="003F1EBA"/>
    <w:rsid w:val="00413B5C"/>
    <w:rsid w:val="004140A1"/>
    <w:rsid w:val="0042018B"/>
    <w:rsid w:val="0042192C"/>
    <w:rsid w:val="00432AA1"/>
    <w:rsid w:val="00432ADD"/>
    <w:rsid w:val="00432DE8"/>
    <w:rsid w:val="00433308"/>
    <w:rsid w:val="00437B51"/>
    <w:rsid w:val="00452892"/>
    <w:rsid w:val="00453C92"/>
    <w:rsid w:val="00454B2D"/>
    <w:rsid w:val="00456560"/>
    <w:rsid w:val="0046199D"/>
    <w:rsid w:val="004752A2"/>
    <w:rsid w:val="00480477"/>
    <w:rsid w:val="00487242"/>
    <w:rsid w:val="0048747D"/>
    <w:rsid w:val="004B2B55"/>
    <w:rsid w:val="004C065C"/>
    <w:rsid w:val="004C2D6A"/>
    <w:rsid w:val="004C4CD5"/>
    <w:rsid w:val="004C6A4A"/>
    <w:rsid w:val="004D01C5"/>
    <w:rsid w:val="004D75CE"/>
    <w:rsid w:val="004E07C2"/>
    <w:rsid w:val="004E0A57"/>
    <w:rsid w:val="004E23A3"/>
    <w:rsid w:val="004E626A"/>
    <w:rsid w:val="004E7063"/>
    <w:rsid w:val="004F1406"/>
    <w:rsid w:val="00502054"/>
    <w:rsid w:val="0051134C"/>
    <w:rsid w:val="00511FC9"/>
    <w:rsid w:val="005120F9"/>
    <w:rsid w:val="00515BDC"/>
    <w:rsid w:val="00522F85"/>
    <w:rsid w:val="00531104"/>
    <w:rsid w:val="005430E9"/>
    <w:rsid w:val="00543692"/>
    <w:rsid w:val="0054463E"/>
    <w:rsid w:val="0054685D"/>
    <w:rsid w:val="0055136E"/>
    <w:rsid w:val="00552518"/>
    <w:rsid w:val="00552BD3"/>
    <w:rsid w:val="00562DFC"/>
    <w:rsid w:val="00563496"/>
    <w:rsid w:val="00567E27"/>
    <w:rsid w:val="00571AB5"/>
    <w:rsid w:val="00584110"/>
    <w:rsid w:val="0059423C"/>
    <w:rsid w:val="005A242C"/>
    <w:rsid w:val="005B1FA3"/>
    <w:rsid w:val="005D416D"/>
    <w:rsid w:val="005D6165"/>
    <w:rsid w:val="005F031B"/>
    <w:rsid w:val="005F5E82"/>
    <w:rsid w:val="0061173B"/>
    <w:rsid w:val="00612CC5"/>
    <w:rsid w:val="006135E9"/>
    <w:rsid w:val="00616411"/>
    <w:rsid w:val="0062620F"/>
    <w:rsid w:val="006272ED"/>
    <w:rsid w:val="0063420B"/>
    <w:rsid w:val="00637723"/>
    <w:rsid w:val="00643536"/>
    <w:rsid w:val="0065461B"/>
    <w:rsid w:val="00686445"/>
    <w:rsid w:val="0069558C"/>
    <w:rsid w:val="006A0B58"/>
    <w:rsid w:val="006A69DF"/>
    <w:rsid w:val="006B4246"/>
    <w:rsid w:val="006B5A61"/>
    <w:rsid w:val="006B70B2"/>
    <w:rsid w:val="006C20AD"/>
    <w:rsid w:val="006C519D"/>
    <w:rsid w:val="006E0EEC"/>
    <w:rsid w:val="006E6FBE"/>
    <w:rsid w:val="006F2FF3"/>
    <w:rsid w:val="006F4784"/>
    <w:rsid w:val="007327FF"/>
    <w:rsid w:val="00742D4A"/>
    <w:rsid w:val="007503E4"/>
    <w:rsid w:val="00760475"/>
    <w:rsid w:val="007712DC"/>
    <w:rsid w:val="00774960"/>
    <w:rsid w:val="007769E0"/>
    <w:rsid w:val="007B0C17"/>
    <w:rsid w:val="007B2D08"/>
    <w:rsid w:val="007B5499"/>
    <w:rsid w:val="007C133F"/>
    <w:rsid w:val="007E1FFD"/>
    <w:rsid w:val="007E7DDA"/>
    <w:rsid w:val="00801BC5"/>
    <w:rsid w:val="008037DB"/>
    <w:rsid w:val="008049BF"/>
    <w:rsid w:val="008139DE"/>
    <w:rsid w:val="0081632B"/>
    <w:rsid w:val="00816CD5"/>
    <w:rsid w:val="00825208"/>
    <w:rsid w:val="008256D7"/>
    <w:rsid w:val="008307B8"/>
    <w:rsid w:val="00836D99"/>
    <w:rsid w:val="00837804"/>
    <w:rsid w:val="00840164"/>
    <w:rsid w:val="00840201"/>
    <w:rsid w:val="00844114"/>
    <w:rsid w:val="00850D8F"/>
    <w:rsid w:val="00854FCB"/>
    <w:rsid w:val="0085524D"/>
    <w:rsid w:val="008656CC"/>
    <w:rsid w:val="00872C19"/>
    <w:rsid w:val="008879D7"/>
    <w:rsid w:val="00890D20"/>
    <w:rsid w:val="00891626"/>
    <w:rsid w:val="008B2A01"/>
    <w:rsid w:val="008C3C50"/>
    <w:rsid w:val="008F003B"/>
    <w:rsid w:val="008F11F3"/>
    <w:rsid w:val="0090746A"/>
    <w:rsid w:val="00907A5F"/>
    <w:rsid w:val="00907C15"/>
    <w:rsid w:val="0091270B"/>
    <w:rsid w:val="00912E7C"/>
    <w:rsid w:val="00915A95"/>
    <w:rsid w:val="00916CAC"/>
    <w:rsid w:val="009447C7"/>
    <w:rsid w:val="00947FC0"/>
    <w:rsid w:val="00962569"/>
    <w:rsid w:val="0096773D"/>
    <w:rsid w:val="00984B10"/>
    <w:rsid w:val="0098591D"/>
    <w:rsid w:val="00985E7C"/>
    <w:rsid w:val="009918E0"/>
    <w:rsid w:val="009A3F11"/>
    <w:rsid w:val="009A55BE"/>
    <w:rsid w:val="009C5C3E"/>
    <w:rsid w:val="009D540D"/>
    <w:rsid w:val="009E1CD1"/>
    <w:rsid w:val="009F1C63"/>
    <w:rsid w:val="009F35F6"/>
    <w:rsid w:val="009F65E3"/>
    <w:rsid w:val="00A00798"/>
    <w:rsid w:val="00A05043"/>
    <w:rsid w:val="00A1138E"/>
    <w:rsid w:val="00A16677"/>
    <w:rsid w:val="00A174D7"/>
    <w:rsid w:val="00A23CFA"/>
    <w:rsid w:val="00A32E76"/>
    <w:rsid w:val="00A37C5D"/>
    <w:rsid w:val="00A40F77"/>
    <w:rsid w:val="00A54F39"/>
    <w:rsid w:val="00A61D7D"/>
    <w:rsid w:val="00A66049"/>
    <w:rsid w:val="00A82AC2"/>
    <w:rsid w:val="00A8655D"/>
    <w:rsid w:val="00A928D2"/>
    <w:rsid w:val="00A92FE5"/>
    <w:rsid w:val="00AB1E72"/>
    <w:rsid w:val="00AB639C"/>
    <w:rsid w:val="00AB7199"/>
    <w:rsid w:val="00AF39C5"/>
    <w:rsid w:val="00B05544"/>
    <w:rsid w:val="00B06E0F"/>
    <w:rsid w:val="00B2215F"/>
    <w:rsid w:val="00B31E1A"/>
    <w:rsid w:val="00B350AC"/>
    <w:rsid w:val="00B37630"/>
    <w:rsid w:val="00B45053"/>
    <w:rsid w:val="00B51C9B"/>
    <w:rsid w:val="00B56E76"/>
    <w:rsid w:val="00B65D84"/>
    <w:rsid w:val="00B70932"/>
    <w:rsid w:val="00B7517C"/>
    <w:rsid w:val="00B80C22"/>
    <w:rsid w:val="00B93422"/>
    <w:rsid w:val="00BA0C20"/>
    <w:rsid w:val="00BA64F9"/>
    <w:rsid w:val="00BA6D8B"/>
    <w:rsid w:val="00BB41B6"/>
    <w:rsid w:val="00BC458C"/>
    <w:rsid w:val="00BD1B4C"/>
    <w:rsid w:val="00BE04C9"/>
    <w:rsid w:val="00BE3488"/>
    <w:rsid w:val="00BF7344"/>
    <w:rsid w:val="00C06052"/>
    <w:rsid w:val="00C13CF5"/>
    <w:rsid w:val="00C154E6"/>
    <w:rsid w:val="00C31523"/>
    <w:rsid w:val="00C42D37"/>
    <w:rsid w:val="00C43F0F"/>
    <w:rsid w:val="00C5085F"/>
    <w:rsid w:val="00C51CA0"/>
    <w:rsid w:val="00C80B9B"/>
    <w:rsid w:val="00C839FB"/>
    <w:rsid w:val="00C87C0A"/>
    <w:rsid w:val="00C9014B"/>
    <w:rsid w:val="00C93F6E"/>
    <w:rsid w:val="00CA15F7"/>
    <w:rsid w:val="00CA2E92"/>
    <w:rsid w:val="00CA61FC"/>
    <w:rsid w:val="00CB4B3F"/>
    <w:rsid w:val="00CB6204"/>
    <w:rsid w:val="00CB6847"/>
    <w:rsid w:val="00CC5D66"/>
    <w:rsid w:val="00CD5A7C"/>
    <w:rsid w:val="00CE2917"/>
    <w:rsid w:val="00CF576A"/>
    <w:rsid w:val="00D05412"/>
    <w:rsid w:val="00D064E8"/>
    <w:rsid w:val="00D15526"/>
    <w:rsid w:val="00D26DE6"/>
    <w:rsid w:val="00D337B9"/>
    <w:rsid w:val="00D60791"/>
    <w:rsid w:val="00D71F03"/>
    <w:rsid w:val="00D731DC"/>
    <w:rsid w:val="00D91C85"/>
    <w:rsid w:val="00D95AE2"/>
    <w:rsid w:val="00DB4CBE"/>
    <w:rsid w:val="00DC0FB3"/>
    <w:rsid w:val="00DD036A"/>
    <w:rsid w:val="00DE24BC"/>
    <w:rsid w:val="00DE6DF2"/>
    <w:rsid w:val="00DF30A5"/>
    <w:rsid w:val="00DF5748"/>
    <w:rsid w:val="00E01A10"/>
    <w:rsid w:val="00E05C4D"/>
    <w:rsid w:val="00E06BAE"/>
    <w:rsid w:val="00E1119D"/>
    <w:rsid w:val="00E12D40"/>
    <w:rsid w:val="00E14F0A"/>
    <w:rsid w:val="00E15BE9"/>
    <w:rsid w:val="00E17F9B"/>
    <w:rsid w:val="00E25ECE"/>
    <w:rsid w:val="00E27B52"/>
    <w:rsid w:val="00E320E6"/>
    <w:rsid w:val="00E3220E"/>
    <w:rsid w:val="00E454F2"/>
    <w:rsid w:val="00E463B0"/>
    <w:rsid w:val="00E47C50"/>
    <w:rsid w:val="00E700DE"/>
    <w:rsid w:val="00E75DE3"/>
    <w:rsid w:val="00E77315"/>
    <w:rsid w:val="00E81FC0"/>
    <w:rsid w:val="00E8213B"/>
    <w:rsid w:val="00E94733"/>
    <w:rsid w:val="00EB6619"/>
    <w:rsid w:val="00EC2CD8"/>
    <w:rsid w:val="00EC6D21"/>
    <w:rsid w:val="00EE26FB"/>
    <w:rsid w:val="00EE46C8"/>
    <w:rsid w:val="00EF50BE"/>
    <w:rsid w:val="00F06F77"/>
    <w:rsid w:val="00F11DEB"/>
    <w:rsid w:val="00F15A84"/>
    <w:rsid w:val="00F23D01"/>
    <w:rsid w:val="00F2782D"/>
    <w:rsid w:val="00F354B9"/>
    <w:rsid w:val="00F45B5C"/>
    <w:rsid w:val="00F52329"/>
    <w:rsid w:val="00F5234C"/>
    <w:rsid w:val="00F5779D"/>
    <w:rsid w:val="00F65645"/>
    <w:rsid w:val="00F711F2"/>
    <w:rsid w:val="00F939A9"/>
    <w:rsid w:val="00FC7175"/>
    <w:rsid w:val="00FD37DD"/>
    <w:rsid w:val="00FD40CC"/>
    <w:rsid w:val="00FE2795"/>
    <w:rsid w:val="00FE6AAD"/>
    <w:rsid w:val="00FF63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97A89-A933-4C23-A82B-E60E9170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1B6"/>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BB41B6"/>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41B6"/>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BB41B6"/>
    <w:pPr>
      <w:tabs>
        <w:tab w:val="center" w:pos="4252"/>
        <w:tab w:val="right" w:pos="8504"/>
      </w:tabs>
    </w:pPr>
    <w:rPr>
      <w:sz w:val="20"/>
    </w:rPr>
  </w:style>
  <w:style w:type="character" w:customStyle="1" w:styleId="EncabezadoCar">
    <w:name w:val="Encabezado Car"/>
    <w:basedOn w:val="Fuentedeprrafopredeter"/>
    <w:link w:val="Encabezado"/>
    <w:rsid w:val="00BB41B6"/>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BB41B6"/>
  </w:style>
  <w:style w:type="paragraph" w:styleId="Piedepgina">
    <w:name w:val="footer"/>
    <w:basedOn w:val="Normal"/>
    <w:link w:val="PiedepginaCar"/>
    <w:uiPriority w:val="99"/>
    <w:rsid w:val="00BB41B6"/>
    <w:pPr>
      <w:tabs>
        <w:tab w:val="center" w:pos="4419"/>
        <w:tab w:val="right" w:pos="8838"/>
      </w:tabs>
    </w:pPr>
    <w:rPr>
      <w:sz w:val="20"/>
    </w:rPr>
  </w:style>
  <w:style w:type="character" w:customStyle="1" w:styleId="PiedepginaCar">
    <w:name w:val="Pie de página Car"/>
    <w:basedOn w:val="Fuentedeprrafopredeter"/>
    <w:link w:val="Piedepgina"/>
    <w:uiPriority w:val="99"/>
    <w:rsid w:val="00BB41B6"/>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BB41B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BB41B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B41B6"/>
    <w:pPr>
      <w:ind w:left="720"/>
      <w:contextualSpacing/>
    </w:pPr>
  </w:style>
  <w:style w:type="paragraph" w:customStyle="1" w:styleId="Textoindependiente32">
    <w:name w:val="Texto independiente 32"/>
    <w:basedOn w:val="Normal"/>
    <w:rsid w:val="00BB41B6"/>
    <w:pPr>
      <w:spacing w:line="360" w:lineRule="auto"/>
      <w:jc w:val="both"/>
    </w:pPr>
    <w:rPr>
      <w:rFonts w:ascii="Arial" w:hAnsi="Arial"/>
    </w:rPr>
  </w:style>
  <w:style w:type="character" w:customStyle="1" w:styleId="apple-converted-space">
    <w:name w:val="apple-converted-space"/>
    <w:basedOn w:val="Fuentedeprrafopredeter"/>
    <w:rsid w:val="00912E7C"/>
  </w:style>
  <w:style w:type="character" w:styleId="Hipervnculo">
    <w:name w:val="Hyperlink"/>
    <w:basedOn w:val="Fuentedeprrafopredeter"/>
    <w:uiPriority w:val="99"/>
    <w:semiHidden/>
    <w:unhideWhenUsed/>
    <w:rsid w:val="00912E7C"/>
    <w:rPr>
      <w:color w:val="0000FF"/>
      <w:u w:val="single"/>
    </w:rPr>
  </w:style>
  <w:style w:type="paragraph" w:styleId="Textoindependiente">
    <w:name w:val="Body Text"/>
    <w:basedOn w:val="Normal"/>
    <w:link w:val="TextoindependienteCar"/>
    <w:rsid w:val="00EC6D21"/>
    <w:pPr>
      <w:spacing w:line="480" w:lineRule="auto"/>
      <w:jc w:val="both"/>
    </w:pPr>
    <w:rPr>
      <w:rFonts w:ascii="Franklin Gothic Book" w:hAnsi="Franklin Gothic Book"/>
      <w:iCs/>
      <w:sz w:val="28"/>
      <w:szCs w:val="24"/>
      <w:lang w:val="es-CO"/>
    </w:rPr>
  </w:style>
  <w:style w:type="character" w:customStyle="1" w:styleId="TextoindependienteCar">
    <w:name w:val="Texto independiente Car"/>
    <w:basedOn w:val="Fuentedeprrafopredeter"/>
    <w:link w:val="Textoindependiente"/>
    <w:rsid w:val="00EC6D21"/>
    <w:rPr>
      <w:rFonts w:ascii="Franklin Gothic Book" w:eastAsia="Times New Roman" w:hAnsi="Franklin Gothic Book" w:cs="Times New Roman"/>
      <w:iCs/>
      <w:sz w:val="28"/>
      <w:szCs w:val="24"/>
      <w:lang w:eastAsia="es-ES"/>
    </w:rPr>
  </w:style>
  <w:style w:type="paragraph" w:customStyle="1" w:styleId="Textoindependiente31">
    <w:name w:val="Texto independiente 31"/>
    <w:basedOn w:val="Normal"/>
    <w:rsid w:val="00B350AC"/>
    <w:pPr>
      <w:spacing w:line="360" w:lineRule="auto"/>
      <w:jc w:val="both"/>
    </w:pPr>
    <w:rPr>
      <w:rFonts w:ascii="Arial" w:hAnsi="Arial"/>
    </w:rPr>
  </w:style>
  <w:style w:type="paragraph" w:styleId="Textonotapie">
    <w:name w:val="footnote text"/>
    <w:aliases w:val="Ref. de nota al pie1,Texto de nota al pie,Fago Fußnotenzeichen,Appel note de bas de page,referencia nota al pie,Footnotes refss"/>
    <w:basedOn w:val="Normal"/>
    <w:link w:val="TextonotapieCar"/>
    <w:uiPriority w:val="99"/>
    <w:semiHidden/>
    <w:rsid w:val="00B45053"/>
    <w:pPr>
      <w:spacing w:after="200" w:line="276" w:lineRule="auto"/>
    </w:pPr>
    <w:rPr>
      <w:rFonts w:ascii="Calibri" w:hAnsi="Calibri"/>
      <w:sz w:val="20"/>
      <w:lang w:val="es-CO" w:eastAsia="en-US"/>
    </w:rPr>
  </w:style>
  <w:style w:type="character" w:customStyle="1" w:styleId="TextonotapieCar">
    <w:name w:val="Texto nota pie Car"/>
    <w:aliases w:val="Ref. de nota al pie1 Car,Texto de nota al pie Car,Fago Fußnotenzeichen Car,Appel note de bas de page Car,referencia nota al pie Car,Footnotes refss Car"/>
    <w:basedOn w:val="Fuentedeprrafopredeter"/>
    <w:link w:val="Textonotapie"/>
    <w:rsid w:val="00B45053"/>
    <w:rPr>
      <w:rFonts w:ascii="Calibri" w:eastAsia="Times New Roman" w:hAnsi="Calibri" w:cs="Times New Roman"/>
      <w:sz w:val="20"/>
      <w:szCs w:val="20"/>
    </w:rPr>
  </w:style>
  <w:style w:type="paragraph" w:styleId="Textodeglobo">
    <w:name w:val="Balloon Text"/>
    <w:basedOn w:val="Normal"/>
    <w:link w:val="TextodegloboCar"/>
    <w:uiPriority w:val="99"/>
    <w:semiHidden/>
    <w:unhideWhenUsed/>
    <w:rsid w:val="00071E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1ECA"/>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393547">
      <w:bodyDiv w:val="1"/>
      <w:marLeft w:val="0"/>
      <w:marRight w:val="0"/>
      <w:marTop w:val="0"/>
      <w:marBottom w:val="0"/>
      <w:divBdr>
        <w:top w:val="none" w:sz="0" w:space="0" w:color="auto"/>
        <w:left w:val="none" w:sz="0" w:space="0" w:color="auto"/>
        <w:bottom w:val="none" w:sz="0" w:space="0" w:color="auto"/>
        <w:right w:val="none" w:sz="0" w:space="0" w:color="auto"/>
      </w:divBdr>
    </w:div>
    <w:div w:id="20257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D94BB-2753-4D19-AA12-DA922157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3808</Words>
  <Characters>20946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Hermides Alonso Gaviria Ocampo</cp:lastModifiedBy>
  <cp:revision>2</cp:revision>
  <cp:lastPrinted>2016-04-22T12:18:00Z</cp:lastPrinted>
  <dcterms:created xsi:type="dcterms:W3CDTF">2021-04-02T16:05:00Z</dcterms:created>
  <dcterms:modified xsi:type="dcterms:W3CDTF">2021-04-02T16:05:00Z</dcterms:modified>
</cp:coreProperties>
</file>