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88" w:rsidRPr="00402979" w:rsidRDefault="00B65E88" w:rsidP="00B65E88">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B65E88" w:rsidRPr="00B65E88" w:rsidRDefault="00B65E88" w:rsidP="00B65E88">
      <w:pPr>
        <w:pStyle w:val="Sinespaciado"/>
        <w:rPr>
          <w:sz w:val="18"/>
          <w:szCs w:val="18"/>
        </w:rPr>
      </w:pPr>
    </w:p>
    <w:p w:rsidR="00B65E88" w:rsidRPr="00B65E88" w:rsidRDefault="00B65E88" w:rsidP="00B65E88">
      <w:pPr>
        <w:jc w:val="both"/>
        <w:rPr>
          <w:rFonts w:ascii="Arial Narrow" w:hAnsi="Arial Narrow" w:cs="Arial"/>
          <w:sz w:val="18"/>
          <w:szCs w:val="18"/>
        </w:rPr>
      </w:pPr>
      <w:r w:rsidRPr="00B65E88">
        <w:rPr>
          <w:rFonts w:ascii="Arial Narrow" w:hAnsi="Arial Narrow" w:cs="Arial"/>
          <w:b/>
          <w:sz w:val="18"/>
          <w:szCs w:val="18"/>
        </w:rPr>
        <w:t>Providencia</w:t>
      </w:r>
      <w:r w:rsidRPr="00B65E88">
        <w:rPr>
          <w:rFonts w:ascii="Arial Narrow" w:hAnsi="Arial Narrow" w:cs="Arial"/>
          <w:sz w:val="18"/>
          <w:szCs w:val="18"/>
        </w:rPr>
        <w:t>:</w:t>
      </w:r>
      <w:r w:rsidRPr="00B65E88">
        <w:rPr>
          <w:rFonts w:ascii="Arial Narrow" w:hAnsi="Arial Narrow" w:cs="Arial"/>
          <w:b/>
          <w:sz w:val="18"/>
          <w:szCs w:val="18"/>
        </w:rPr>
        <w:t xml:space="preserve"> </w:t>
      </w:r>
      <w:r w:rsidRPr="00B65E88">
        <w:rPr>
          <w:rFonts w:ascii="Arial Narrow" w:hAnsi="Arial Narrow" w:cs="Arial"/>
          <w:sz w:val="18"/>
          <w:szCs w:val="18"/>
        </w:rPr>
        <w:tab/>
      </w:r>
      <w:r w:rsidRPr="00B65E88">
        <w:rPr>
          <w:rFonts w:ascii="Arial Narrow" w:hAnsi="Arial Narrow" w:cs="Arial"/>
          <w:sz w:val="18"/>
          <w:szCs w:val="18"/>
        </w:rPr>
        <w:tab/>
        <w:t>Sentencia de Segunda Instancia, jueves 7 de abril de 2016</w:t>
      </w:r>
    </w:p>
    <w:p w:rsidR="00B65E88" w:rsidRPr="00B65E88" w:rsidRDefault="00B65E88" w:rsidP="00B65E88">
      <w:pPr>
        <w:jc w:val="both"/>
        <w:rPr>
          <w:rFonts w:ascii="Arial Narrow" w:hAnsi="Arial Narrow" w:cs="Arial"/>
          <w:bCs/>
          <w:sz w:val="18"/>
          <w:szCs w:val="18"/>
        </w:rPr>
      </w:pPr>
      <w:r w:rsidRPr="00B65E88">
        <w:rPr>
          <w:rFonts w:ascii="Arial Narrow" w:hAnsi="Arial Narrow" w:cs="Arial"/>
          <w:b/>
          <w:bCs/>
          <w:sz w:val="18"/>
          <w:szCs w:val="18"/>
        </w:rPr>
        <w:t>Radicación No</w:t>
      </w:r>
      <w:r w:rsidRPr="00B65E88">
        <w:rPr>
          <w:rFonts w:ascii="Arial Narrow" w:hAnsi="Arial Narrow" w:cs="Arial"/>
          <w:bCs/>
          <w:sz w:val="18"/>
          <w:szCs w:val="18"/>
        </w:rPr>
        <w:t>:</w:t>
      </w:r>
      <w:r w:rsidRPr="00B65E88">
        <w:rPr>
          <w:rFonts w:ascii="Arial Narrow" w:hAnsi="Arial Narrow" w:cs="Arial"/>
          <w:b/>
          <w:bCs/>
          <w:sz w:val="18"/>
          <w:szCs w:val="18"/>
        </w:rPr>
        <w:t xml:space="preserve"> </w:t>
      </w:r>
      <w:r w:rsidRPr="00B65E88">
        <w:rPr>
          <w:rFonts w:ascii="Arial Narrow" w:hAnsi="Arial Narrow" w:cs="Arial"/>
          <w:b/>
          <w:bCs/>
          <w:sz w:val="18"/>
          <w:szCs w:val="18"/>
        </w:rPr>
        <w:tab/>
        <w:t xml:space="preserve">      </w:t>
      </w:r>
      <w:r w:rsidRPr="00B65E88">
        <w:rPr>
          <w:rFonts w:ascii="Arial Narrow" w:hAnsi="Arial Narrow" w:cs="Arial"/>
          <w:b/>
          <w:bCs/>
          <w:sz w:val="18"/>
          <w:szCs w:val="18"/>
        </w:rPr>
        <w:tab/>
      </w:r>
      <w:r w:rsidRPr="00B65E88">
        <w:rPr>
          <w:rFonts w:ascii="Arial Narrow" w:hAnsi="Arial Narrow" w:cs="Arial"/>
          <w:bCs/>
          <w:sz w:val="18"/>
          <w:szCs w:val="18"/>
        </w:rPr>
        <w:t>66001-31-05-001-2014-00307-01</w:t>
      </w:r>
    </w:p>
    <w:p w:rsidR="00B65E88" w:rsidRPr="00B65E88" w:rsidRDefault="00B65E88" w:rsidP="00B65E88">
      <w:pPr>
        <w:jc w:val="both"/>
        <w:rPr>
          <w:rFonts w:ascii="Arial Narrow" w:hAnsi="Arial Narrow" w:cs="Arial"/>
          <w:iCs/>
          <w:sz w:val="18"/>
          <w:szCs w:val="18"/>
        </w:rPr>
      </w:pPr>
      <w:r w:rsidRPr="00B65E88">
        <w:rPr>
          <w:rFonts w:ascii="Arial Narrow" w:hAnsi="Arial Narrow" w:cs="Arial"/>
          <w:b/>
          <w:bCs/>
          <w:iCs/>
          <w:sz w:val="18"/>
          <w:szCs w:val="18"/>
        </w:rPr>
        <w:t>Proceso</w:t>
      </w:r>
      <w:r w:rsidRPr="00B65E88">
        <w:rPr>
          <w:rFonts w:ascii="Arial Narrow" w:hAnsi="Arial Narrow" w:cs="Arial"/>
          <w:bCs/>
          <w:iCs/>
          <w:sz w:val="18"/>
          <w:szCs w:val="18"/>
        </w:rPr>
        <w:t>:</w:t>
      </w:r>
      <w:r w:rsidRPr="00B65E88">
        <w:rPr>
          <w:rFonts w:ascii="Arial Narrow" w:hAnsi="Arial Narrow" w:cs="Arial"/>
          <w:iCs/>
          <w:sz w:val="18"/>
          <w:szCs w:val="18"/>
        </w:rPr>
        <w:t xml:space="preserve"> </w:t>
      </w:r>
      <w:r w:rsidRPr="00B65E88">
        <w:rPr>
          <w:rFonts w:ascii="Arial Narrow" w:hAnsi="Arial Narrow" w:cs="Arial"/>
          <w:b/>
          <w:iCs/>
          <w:sz w:val="18"/>
          <w:szCs w:val="18"/>
        </w:rPr>
        <w:tab/>
      </w:r>
      <w:r w:rsidRPr="00B65E88">
        <w:rPr>
          <w:rFonts w:ascii="Arial Narrow" w:hAnsi="Arial Narrow" w:cs="Arial"/>
          <w:b/>
          <w:iCs/>
          <w:sz w:val="18"/>
          <w:szCs w:val="18"/>
        </w:rPr>
        <w:tab/>
      </w:r>
      <w:r>
        <w:rPr>
          <w:rFonts w:ascii="Arial Narrow" w:hAnsi="Arial Narrow" w:cs="Arial"/>
          <w:b/>
          <w:iCs/>
          <w:sz w:val="18"/>
          <w:szCs w:val="18"/>
        </w:rPr>
        <w:tab/>
      </w:r>
      <w:r w:rsidRPr="00B65E88">
        <w:rPr>
          <w:rFonts w:ascii="Arial Narrow" w:hAnsi="Arial Narrow" w:cs="Arial"/>
          <w:iCs/>
          <w:sz w:val="18"/>
          <w:szCs w:val="18"/>
        </w:rPr>
        <w:t>Ordinario Laboral</w:t>
      </w:r>
    </w:p>
    <w:p w:rsidR="00B65E88" w:rsidRPr="00B65E88" w:rsidRDefault="00B65E88" w:rsidP="00B65E88">
      <w:pPr>
        <w:ind w:firstLine="6"/>
        <w:jc w:val="both"/>
        <w:rPr>
          <w:rFonts w:ascii="Arial Narrow" w:hAnsi="Arial Narrow" w:cs="Arial"/>
          <w:iCs/>
          <w:sz w:val="18"/>
          <w:szCs w:val="18"/>
        </w:rPr>
      </w:pPr>
      <w:r w:rsidRPr="00B65E88">
        <w:rPr>
          <w:rFonts w:ascii="Arial Narrow" w:hAnsi="Arial Narrow" w:cs="Arial"/>
          <w:b/>
          <w:iCs/>
          <w:sz w:val="18"/>
          <w:szCs w:val="18"/>
        </w:rPr>
        <w:t>Demandante</w:t>
      </w:r>
      <w:r w:rsidRPr="00B65E88">
        <w:rPr>
          <w:rFonts w:ascii="Arial Narrow" w:hAnsi="Arial Narrow" w:cs="Arial"/>
          <w:iCs/>
          <w:sz w:val="18"/>
          <w:szCs w:val="18"/>
        </w:rPr>
        <w:t xml:space="preserve">:     </w:t>
      </w:r>
      <w:r w:rsidRPr="00B65E88">
        <w:rPr>
          <w:rFonts w:ascii="Arial Narrow" w:hAnsi="Arial Narrow" w:cs="Arial"/>
          <w:iCs/>
          <w:sz w:val="18"/>
          <w:szCs w:val="18"/>
        </w:rPr>
        <w:tab/>
      </w:r>
      <w:r w:rsidRPr="00B65E88">
        <w:rPr>
          <w:rFonts w:ascii="Arial Narrow" w:hAnsi="Arial Narrow" w:cs="Arial"/>
          <w:iCs/>
          <w:sz w:val="18"/>
          <w:szCs w:val="18"/>
        </w:rPr>
        <w:tab/>
        <w:t xml:space="preserve">Luz Elena Zapata Arias </w:t>
      </w:r>
    </w:p>
    <w:p w:rsidR="00B65E88" w:rsidRPr="00B65E88" w:rsidRDefault="00B65E88" w:rsidP="00B65E88">
      <w:pPr>
        <w:ind w:firstLine="6"/>
        <w:jc w:val="both"/>
        <w:rPr>
          <w:rFonts w:ascii="Arial Narrow" w:hAnsi="Arial Narrow" w:cs="Arial"/>
          <w:bCs/>
          <w:sz w:val="18"/>
          <w:szCs w:val="18"/>
        </w:rPr>
      </w:pPr>
      <w:r w:rsidRPr="00B65E88">
        <w:rPr>
          <w:rFonts w:ascii="Arial Narrow" w:hAnsi="Arial Narrow" w:cs="Arial"/>
          <w:b/>
          <w:bCs/>
          <w:sz w:val="18"/>
          <w:szCs w:val="18"/>
        </w:rPr>
        <w:t>Demandado:</w:t>
      </w:r>
      <w:r w:rsidRPr="00B65E88">
        <w:rPr>
          <w:rFonts w:ascii="Arial Narrow" w:hAnsi="Arial Narrow" w:cs="Arial"/>
          <w:bCs/>
          <w:sz w:val="18"/>
          <w:szCs w:val="18"/>
        </w:rPr>
        <w:t xml:space="preserve">            </w:t>
      </w:r>
      <w:r w:rsidRPr="00B65E88">
        <w:rPr>
          <w:rFonts w:ascii="Arial Narrow" w:hAnsi="Arial Narrow" w:cs="Arial"/>
          <w:bCs/>
          <w:sz w:val="18"/>
          <w:szCs w:val="18"/>
        </w:rPr>
        <w:tab/>
      </w:r>
      <w:r>
        <w:rPr>
          <w:rFonts w:ascii="Arial Narrow" w:hAnsi="Arial Narrow" w:cs="Arial"/>
          <w:bCs/>
          <w:sz w:val="18"/>
          <w:szCs w:val="18"/>
        </w:rPr>
        <w:tab/>
      </w:r>
      <w:proofErr w:type="spellStart"/>
      <w:r w:rsidRPr="00B65E88">
        <w:rPr>
          <w:rFonts w:ascii="Arial Narrow" w:hAnsi="Arial Narrow" w:cs="Arial"/>
          <w:bCs/>
          <w:sz w:val="18"/>
          <w:szCs w:val="18"/>
        </w:rPr>
        <w:t>Colpensiones</w:t>
      </w:r>
      <w:proofErr w:type="spellEnd"/>
    </w:p>
    <w:p w:rsidR="00B65E88" w:rsidRPr="00B65E88" w:rsidRDefault="00B65E88" w:rsidP="00B65E88">
      <w:pPr>
        <w:jc w:val="both"/>
        <w:rPr>
          <w:rFonts w:ascii="Arial Narrow" w:hAnsi="Arial Narrow" w:cs="Arial"/>
          <w:sz w:val="18"/>
          <w:szCs w:val="18"/>
        </w:rPr>
      </w:pPr>
      <w:r w:rsidRPr="00B65E88">
        <w:rPr>
          <w:rFonts w:ascii="Arial Narrow" w:hAnsi="Arial Narrow" w:cs="Arial"/>
          <w:b/>
          <w:sz w:val="18"/>
          <w:szCs w:val="18"/>
        </w:rPr>
        <w:t>Juzgado de origen</w:t>
      </w:r>
      <w:r w:rsidRPr="00B65E88">
        <w:rPr>
          <w:rFonts w:ascii="Arial Narrow" w:hAnsi="Arial Narrow" w:cs="Arial"/>
          <w:sz w:val="18"/>
          <w:szCs w:val="18"/>
        </w:rPr>
        <w:t xml:space="preserve">:     </w:t>
      </w:r>
      <w:r w:rsidRPr="00B65E88">
        <w:rPr>
          <w:rFonts w:ascii="Arial Narrow" w:hAnsi="Arial Narrow" w:cs="Arial"/>
          <w:sz w:val="18"/>
          <w:szCs w:val="18"/>
        </w:rPr>
        <w:tab/>
        <w:t>Primero Laboral del Circuito de Pereira.</w:t>
      </w:r>
    </w:p>
    <w:p w:rsidR="00B65E88" w:rsidRPr="00B65E88" w:rsidRDefault="00B65E88" w:rsidP="00B65E88">
      <w:pPr>
        <w:jc w:val="both"/>
        <w:rPr>
          <w:rFonts w:ascii="Arial Narrow" w:hAnsi="Arial Narrow" w:cs="Arial"/>
          <w:b/>
          <w:iCs/>
          <w:sz w:val="18"/>
          <w:szCs w:val="18"/>
        </w:rPr>
      </w:pPr>
      <w:r w:rsidRPr="00B65E88">
        <w:rPr>
          <w:rFonts w:ascii="Arial Narrow" w:hAnsi="Arial Narrow" w:cs="Arial"/>
          <w:b/>
          <w:iCs/>
          <w:sz w:val="18"/>
          <w:szCs w:val="18"/>
        </w:rPr>
        <w:t xml:space="preserve">Magistrado Ponente:     </w:t>
      </w:r>
      <w:r w:rsidRPr="00B65E88">
        <w:rPr>
          <w:rFonts w:ascii="Arial Narrow" w:hAnsi="Arial Narrow" w:cs="Arial"/>
          <w:b/>
          <w:iCs/>
          <w:sz w:val="18"/>
          <w:szCs w:val="18"/>
        </w:rPr>
        <w:tab/>
      </w:r>
      <w:r w:rsidRPr="00B65E88">
        <w:rPr>
          <w:rFonts w:ascii="Arial Narrow" w:hAnsi="Arial Narrow" w:cs="Arial"/>
          <w:iCs/>
          <w:sz w:val="18"/>
          <w:szCs w:val="18"/>
        </w:rPr>
        <w:t>Francisco Javier Tamayo Tabares.</w:t>
      </w:r>
    </w:p>
    <w:p w:rsidR="008B1CF2" w:rsidRPr="008B1CF2" w:rsidRDefault="00B65E88" w:rsidP="008B1CF2">
      <w:pPr>
        <w:ind w:left="2124" w:hanging="2124"/>
        <w:jc w:val="both"/>
        <w:rPr>
          <w:rFonts w:ascii="Arial Narrow" w:hAnsi="Arial Narrow" w:cs="Tahoma"/>
          <w:sz w:val="18"/>
          <w:szCs w:val="18"/>
        </w:rPr>
      </w:pPr>
      <w:r w:rsidRPr="00B65E88">
        <w:rPr>
          <w:rFonts w:ascii="Arial Narrow" w:hAnsi="Arial Narrow" w:cs="Arial"/>
          <w:b/>
          <w:bCs/>
          <w:sz w:val="18"/>
          <w:szCs w:val="18"/>
        </w:rPr>
        <w:t xml:space="preserve">Tema a tratar: </w:t>
      </w:r>
      <w:r w:rsidRPr="00B65E88">
        <w:rPr>
          <w:rFonts w:ascii="Arial Narrow" w:hAnsi="Arial Narrow" w:cs="Arial"/>
          <w:b/>
          <w:bCs/>
          <w:sz w:val="18"/>
          <w:szCs w:val="18"/>
        </w:rPr>
        <w:tab/>
      </w:r>
      <w:r w:rsidR="008B1CF2" w:rsidRPr="008B1CF2">
        <w:rPr>
          <w:rFonts w:ascii="Arial Narrow" w:hAnsi="Arial Narrow" w:cs="Arial"/>
          <w:b/>
          <w:bCs/>
          <w:sz w:val="18"/>
          <w:szCs w:val="18"/>
          <w:lang w:val="es-MX"/>
        </w:rPr>
        <w:t xml:space="preserve">Pensión de sobrevivientes – Convivencia: </w:t>
      </w:r>
      <w:r w:rsidR="008B1CF2" w:rsidRPr="008B1CF2">
        <w:rPr>
          <w:rFonts w:ascii="Arial Narrow" w:hAnsi="Arial Narrow" w:cs="Tahoma"/>
          <w:sz w:val="18"/>
          <w:szCs w:val="18"/>
        </w:rPr>
        <w:t xml:space="preserve">Procede el </w:t>
      </w:r>
      <w:r w:rsidR="004C3B1C" w:rsidRPr="008B1CF2">
        <w:rPr>
          <w:rFonts w:ascii="Arial Narrow" w:hAnsi="Arial Narrow" w:cs="Tahoma"/>
          <w:sz w:val="18"/>
          <w:szCs w:val="18"/>
        </w:rPr>
        <w:t>reconocimiento de la</w:t>
      </w:r>
      <w:r w:rsidR="008B1CF2" w:rsidRPr="008B1CF2">
        <w:rPr>
          <w:rFonts w:ascii="Arial Narrow" w:hAnsi="Arial Narrow" w:cs="Tahoma"/>
          <w:sz w:val="18"/>
          <w:szCs w:val="18"/>
        </w:rPr>
        <w:t xml:space="preserve"> pensión </w:t>
      </w:r>
      <w:r w:rsidR="004C3B1C" w:rsidRPr="008B1CF2">
        <w:rPr>
          <w:rFonts w:ascii="Arial Narrow" w:hAnsi="Arial Narrow" w:cs="Tahoma"/>
          <w:sz w:val="18"/>
          <w:szCs w:val="18"/>
        </w:rPr>
        <w:t xml:space="preserve">de </w:t>
      </w:r>
      <w:r w:rsidR="004C3B1C">
        <w:rPr>
          <w:rFonts w:ascii="Arial Narrow" w:hAnsi="Arial Narrow" w:cs="Tahoma"/>
          <w:sz w:val="18"/>
          <w:szCs w:val="18"/>
        </w:rPr>
        <w:t>sobrevivientes</w:t>
      </w:r>
      <w:r w:rsidR="008B1CF2" w:rsidRPr="008B1CF2">
        <w:rPr>
          <w:rFonts w:ascii="Arial Narrow" w:hAnsi="Arial Narrow" w:cs="Tahoma"/>
          <w:sz w:val="18"/>
          <w:szCs w:val="18"/>
        </w:rPr>
        <w:t xml:space="preserve"> a la cónyuge o compañera permanente supérstite, siempre y cuando se acredite, haber tenido vida marital con el causante, por lo menos, durante los cinco años anteriores al óbito de aquél, en el evento que el deceso del causante se haya producido en vigencia de la Ley 797 de 2003, normatividad que modificó la Ley 100 de 1993.</w:t>
      </w:r>
    </w:p>
    <w:p w:rsidR="00B65E88" w:rsidRPr="00C5292A" w:rsidRDefault="00B65E88" w:rsidP="008B1CF2">
      <w:pPr>
        <w:pStyle w:val="Sinespaciado"/>
        <w:spacing w:line="360" w:lineRule="auto"/>
      </w:pPr>
      <w:r w:rsidRPr="00BD51DF">
        <w:t xml:space="preserve">  </w:t>
      </w:r>
    </w:p>
    <w:p w:rsidR="00B65E88" w:rsidRPr="00D30FA7" w:rsidRDefault="00B65E88" w:rsidP="00B65E88">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B65E88" w:rsidRPr="008B1CF2" w:rsidRDefault="00B65E88" w:rsidP="008B1CF2">
      <w:pPr>
        <w:pStyle w:val="Sinespaciado"/>
      </w:pPr>
    </w:p>
    <w:p w:rsidR="00B65E88" w:rsidRPr="00A915C0" w:rsidRDefault="00B65E88" w:rsidP="00B65E88">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siete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abril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once y quince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11:15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de la sentencia proferida el 10 de febrero de </w:t>
      </w:r>
      <w:r>
        <w:rPr>
          <w:rFonts w:ascii="Arial Narrow" w:hAnsi="Arial Narrow" w:cs="Arial"/>
          <w:sz w:val="28"/>
          <w:szCs w:val="28"/>
        </w:rPr>
        <w:t>2015</w:t>
      </w:r>
      <w:r w:rsidRPr="00D30FA7">
        <w:rPr>
          <w:rFonts w:ascii="Arial Narrow" w:hAnsi="Arial Narrow" w:cs="Arial"/>
          <w:sz w:val="28"/>
          <w:szCs w:val="28"/>
        </w:rPr>
        <w:t xml:space="preserve"> por el Juzgado </w:t>
      </w:r>
      <w:r>
        <w:rPr>
          <w:rFonts w:ascii="Arial Narrow" w:hAnsi="Arial Narrow" w:cs="Arial"/>
          <w:sz w:val="28"/>
          <w:szCs w:val="28"/>
        </w:rPr>
        <w:t xml:space="preserve">Primero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la señora </w:t>
      </w:r>
      <w:r>
        <w:rPr>
          <w:rFonts w:ascii="Arial Narrow" w:hAnsi="Arial Narrow" w:cs="Arial"/>
          <w:b/>
          <w:i/>
          <w:sz w:val="28"/>
          <w:szCs w:val="28"/>
        </w:rPr>
        <w:t>Luz Elena Zapata Arias</w:t>
      </w:r>
      <w:r w:rsidRPr="00D30FA7">
        <w:rPr>
          <w:rFonts w:ascii="Arial Narrow" w:hAnsi="Arial Narrow" w:cs="Arial"/>
          <w:b/>
          <w:i/>
          <w:sz w:val="28"/>
          <w:szCs w:val="28"/>
        </w:rPr>
        <w:t xml:space="preserve">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proofErr w:type="spellStart"/>
      <w:r w:rsidRPr="00D30FA7">
        <w:rPr>
          <w:rFonts w:ascii="Arial Narrow" w:hAnsi="Arial Narrow" w:cs="Arial"/>
          <w:b/>
          <w:bCs/>
          <w:i/>
          <w:sz w:val="28"/>
          <w:szCs w:val="28"/>
        </w:rPr>
        <w:t>Colpensiones</w:t>
      </w:r>
      <w:proofErr w:type="spellEnd"/>
      <w:r>
        <w:rPr>
          <w:rFonts w:ascii="Arial Narrow" w:hAnsi="Arial Narrow" w:cs="Arial"/>
          <w:bCs/>
          <w:i/>
          <w:sz w:val="28"/>
          <w:szCs w:val="28"/>
        </w:rPr>
        <w:t>.</w:t>
      </w:r>
    </w:p>
    <w:p w:rsidR="00B65E88" w:rsidRPr="00E53B51" w:rsidRDefault="00B65E88" w:rsidP="00E53B51">
      <w:pPr>
        <w:pStyle w:val="Sinespaciado"/>
      </w:pPr>
    </w:p>
    <w:p w:rsidR="00B65E88" w:rsidRPr="00D30FA7" w:rsidRDefault="00B65E88" w:rsidP="00B65E88">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B65E88" w:rsidRPr="00B65E88" w:rsidRDefault="00B65E88" w:rsidP="00B65E88">
      <w:pPr>
        <w:pStyle w:val="Sinespaciado"/>
      </w:pPr>
    </w:p>
    <w:p w:rsidR="00B65E88" w:rsidRPr="00D30FA7" w:rsidRDefault="00B65E88" w:rsidP="00B65E88">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B65E88" w:rsidRPr="00D973D7" w:rsidRDefault="00B65E88" w:rsidP="00D973D7">
      <w:pPr>
        <w:pStyle w:val="Sinespaciado"/>
      </w:pPr>
    </w:p>
    <w:p w:rsidR="00B65E88" w:rsidRDefault="00B65E88" w:rsidP="00B65E88">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dígase</w:t>
      </w:r>
      <w:r w:rsidRPr="00D30FA7">
        <w:rPr>
          <w:rFonts w:ascii="Arial Narrow" w:hAnsi="Arial Narrow" w:cs="Tahoma"/>
          <w:sz w:val="28"/>
          <w:szCs w:val="28"/>
        </w:rPr>
        <w:t xml:space="preserve"> que </w:t>
      </w:r>
      <w:r>
        <w:rPr>
          <w:rFonts w:ascii="Arial Narrow" w:hAnsi="Arial Narrow" w:cs="Tahoma"/>
          <w:sz w:val="28"/>
          <w:szCs w:val="28"/>
        </w:rPr>
        <w:t xml:space="preserve">la demandante pretende que se declare que es beneficiaria de la pensión de sobrevivientes a partir del 13 de agosto de 2013, y como consecuencia, se condene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 reconocer y pagar el retroactivo pensional, los intereses moratorios y las costas procesales. </w:t>
      </w:r>
    </w:p>
    <w:p w:rsidR="00B65E88" w:rsidRPr="008B1CF2" w:rsidRDefault="00B65E88" w:rsidP="008B1CF2">
      <w:pPr>
        <w:pStyle w:val="Sinespaciado"/>
      </w:pPr>
    </w:p>
    <w:p w:rsidR="009728DD" w:rsidRDefault="00B65E88" w:rsidP="00B65E8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fundamento a su</w:t>
      </w:r>
      <w:r w:rsidR="009728DD">
        <w:rPr>
          <w:rFonts w:ascii="Arial Narrow" w:hAnsi="Arial Narrow" w:cs="Tahoma"/>
          <w:sz w:val="28"/>
          <w:szCs w:val="28"/>
        </w:rPr>
        <w:t>s pedimentos sostuvo que convivió por más de cuarenta y seis años b</w:t>
      </w:r>
      <w:r w:rsidR="00C251AD">
        <w:rPr>
          <w:rFonts w:ascii="Arial Narrow" w:hAnsi="Arial Narrow" w:cs="Tahoma"/>
          <w:sz w:val="28"/>
          <w:szCs w:val="28"/>
        </w:rPr>
        <w:t>ajo el mismo, compartiendo lecho y mesa</w:t>
      </w:r>
      <w:r w:rsidR="009728DD">
        <w:rPr>
          <w:rFonts w:ascii="Arial Narrow" w:hAnsi="Arial Narrow" w:cs="Tahoma"/>
          <w:sz w:val="28"/>
          <w:szCs w:val="28"/>
        </w:rPr>
        <w:t xml:space="preserve"> con el señor Orlando Osorio Dávila; que son casados por</w:t>
      </w:r>
      <w:r w:rsidR="00C251AD">
        <w:rPr>
          <w:rFonts w:ascii="Arial Narrow" w:hAnsi="Arial Narrow" w:cs="Tahoma"/>
          <w:sz w:val="28"/>
          <w:szCs w:val="28"/>
        </w:rPr>
        <w:t xml:space="preserve"> el </w:t>
      </w:r>
      <w:r w:rsidR="009728DD">
        <w:rPr>
          <w:rFonts w:ascii="Arial Narrow" w:hAnsi="Arial Narrow" w:cs="Tahoma"/>
          <w:sz w:val="28"/>
          <w:szCs w:val="28"/>
        </w:rPr>
        <w:t xml:space="preserve">rito católico y </w:t>
      </w:r>
      <w:r w:rsidR="00C251AD">
        <w:rPr>
          <w:rFonts w:ascii="Arial Narrow" w:hAnsi="Arial Narrow" w:cs="Tahoma"/>
          <w:sz w:val="28"/>
          <w:szCs w:val="28"/>
        </w:rPr>
        <w:t xml:space="preserve">que </w:t>
      </w:r>
      <w:r w:rsidR="009728DD">
        <w:rPr>
          <w:rFonts w:ascii="Arial Narrow" w:hAnsi="Arial Narrow" w:cs="Tahoma"/>
          <w:sz w:val="28"/>
          <w:szCs w:val="28"/>
        </w:rPr>
        <w:t xml:space="preserve">procrearon tres hijos, en la actualidad </w:t>
      </w:r>
      <w:r w:rsidR="00C251AD">
        <w:rPr>
          <w:rFonts w:ascii="Arial Narrow" w:hAnsi="Arial Narrow" w:cs="Tahoma"/>
          <w:sz w:val="28"/>
          <w:szCs w:val="28"/>
        </w:rPr>
        <w:t xml:space="preserve">todos </w:t>
      </w:r>
      <w:r w:rsidR="009728DD">
        <w:rPr>
          <w:rFonts w:ascii="Arial Narrow" w:hAnsi="Arial Narrow" w:cs="Tahoma"/>
          <w:sz w:val="28"/>
          <w:szCs w:val="28"/>
        </w:rPr>
        <w:t xml:space="preserve">mayores de edad; que </w:t>
      </w:r>
      <w:r w:rsidR="00C251AD">
        <w:rPr>
          <w:rFonts w:ascii="Arial Narrow" w:hAnsi="Arial Narrow" w:cs="Tahoma"/>
          <w:sz w:val="28"/>
          <w:szCs w:val="28"/>
        </w:rPr>
        <w:t xml:space="preserve">a través de la Resolución No 002810 de 2006 </w:t>
      </w:r>
      <w:r w:rsidR="009728DD">
        <w:rPr>
          <w:rFonts w:ascii="Arial Narrow" w:hAnsi="Arial Narrow" w:cs="Tahoma"/>
          <w:sz w:val="28"/>
          <w:szCs w:val="28"/>
        </w:rPr>
        <w:t xml:space="preserve">el antiguo ISS le reconoció a su cónyuge la pensión de invalidez de origen no profesional </w:t>
      </w:r>
      <w:r w:rsidR="00C251AD">
        <w:rPr>
          <w:rFonts w:ascii="Arial Narrow" w:hAnsi="Arial Narrow" w:cs="Tahoma"/>
          <w:sz w:val="28"/>
          <w:szCs w:val="28"/>
        </w:rPr>
        <w:t xml:space="preserve">desde el </w:t>
      </w:r>
      <w:r w:rsidR="009728DD">
        <w:rPr>
          <w:rFonts w:ascii="Arial Narrow" w:hAnsi="Arial Narrow" w:cs="Tahoma"/>
          <w:sz w:val="28"/>
          <w:szCs w:val="28"/>
        </w:rPr>
        <w:t xml:space="preserve">3 de septiembre de 2005, en cuantía equivalente a $ 1`281.504, </w:t>
      </w:r>
      <w:r w:rsidR="00C251AD">
        <w:rPr>
          <w:rFonts w:ascii="Arial Narrow" w:hAnsi="Arial Narrow" w:cs="Tahoma"/>
          <w:sz w:val="28"/>
          <w:szCs w:val="28"/>
        </w:rPr>
        <w:t xml:space="preserve">misma que se </w:t>
      </w:r>
      <w:r w:rsidR="00C251AD">
        <w:rPr>
          <w:rFonts w:ascii="Arial Narrow" w:hAnsi="Arial Narrow" w:cs="Tahoma"/>
          <w:sz w:val="28"/>
          <w:szCs w:val="28"/>
        </w:rPr>
        <w:lastRenderedPageBreak/>
        <w:t xml:space="preserve">convirtió en pensión de vejez a partir del 4 de junio de 2007; que aquel falleció el 13 de agosto de 2013; que presentó la solicitud de sustitución pensional ante la entidad de seguridad social el 9 de septiembre de esa anualidad, </w:t>
      </w:r>
      <w:r w:rsidR="009007A4">
        <w:rPr>
          <w:rFonts w:ascii="Arial Narrow" w:hAnsi="Arial Narrow" w:cs="Tahoma"/>
          <w:sz w:val="28"/>
          <w:szCs w:val="28"/>
        </w:rPr>
        <w:t xml:space="preserve">sin que a la presentación de la demanda hubiese obtenido respuesta de fondo. </w:t>
      </w:r>
    </w:p>
    <w:p w:rsidR="009007A4" w:rsidRPr="00E53B51" w:rsidRDefault="009007A4" w:rsidP="00E53B51">
      <w:pPr>
        <w:pStyle w:val="Sinespaciado"/>
      </w:pPr>
    </w:p>
    <w:p w:rsidR="009728DD" w:rsidRDefault="009007A4" w:rsidP="00B65E8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Al dar respuesta a la demanda, la Administradora Colombiana de Pensiones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aceptó los hechos relacionados con la calidad de pensionado del señor Osorio Dávila causante, la fecha de</w:t>
      </w:r>
      <w:r w:rsidR="003D5362">
        <w:rPr>
          <w:rFonts w:ascii="Arial Narrow" w:hAnsi="Arial Narrow" w:cs="Tahoma"/>
          <w:sz w:val="28"/>
          <w:szCs w:val="28"/>
        </w:rPr>
        <w:t xml:space="preserve"> su fallecimiento y de la presentación de la solicitud de sustitución pensional. Se opuso a las pretensiones de la demanda y formuló en defensa de sus intereses las excepciones de “Inexistencia de la obligación demandada” y “Prescripción”. </w:t>
      </w:r>
    </w:p>
    <w:p w:rsidR="00B65E88" w:rsidRPr="002C3B7B" w:rsidRDefault="00B65E88" w:rsidP="00B65E88">
      <w:pPr>
        <w:pStyle w:val="Sinespaciado"/>
      </w:pPr>
    </w:p>
    <w:p w:rsidR="00B65E88" w:rsidRDefault="00B65E88" w:rsidP="00B65E88">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B65E88" w:rsidRPr="00D973D7" w:rsidRDefault="00B65E88" w:rsidP="00D973D7">
      <w:pPr>
        <w:pStyle w:val="Sinespaciado"/>
      </w:pPr>
    </w:p>
    <w:p w:rsidR="003D5362" w:rsidRDefault="00B65E88" w:rsidP="00B65E88">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El Juzgado</w:t>
      </w:r>
      <w:r w:rsidR="003D5362">
        <w:rPr>
          <w:rFonts w:ascii="Arial Narrow" w:hAnsi="Arial Narrow" w:cs="Tahoma"/>
          <w:sz w:val="28"/>
          <w:szCs w:val="28"/>
          <w:lang w:eastAsia="es-CO"/>
        </w:rPr>
        <w:t xml:space="preserve"> Primero </w:t>
      </w:r>
      <w:r w:rsidRPr="007B247C">
        <w:rPr>
          <w:rFonts w:ascii="Arial Narrow" w:hAnsi="Arial Narrow" w:cs="Tahoma"/>
          <w:sz w:val="28"/>
          <w:szCs w:val="28"/>
          <w:lang w:eastAsia="es-CO"/>
        </w:rPr>
        <w:t>Laboral del Circuito de Pereira</w:t>
      </w:r>
      <w:r>
        <w:rPr>
          <w:rFonts w:ascii="Arial Narrow" w:hAnsi="Arial Narrow" w:cs="Tahoma"/>
          <w:sz w:val="28"/>
          <w:szCs w:val="28"/>
          <w:lang w:eastAsia="es-CO"/>
        </w:rPr>
        <w:t xml:space="preserve">, luego de haber agotado las etapas procesales respectivas, puso fin a la instancia declarando que la </w:t>
      </w:r>
      <w:r w:rsidR="003D5362">
        <w:rPr>
          <w:rFonts w:ascii="Arial Narrow" w:hAnsi="Arial Narrow" w:cs="Tahoma"/>
          <w:sz w:val="28"/>
          <w:szCs w:val="28"/>
          <w:lang w:eastAsia="es-CO"/>
        </w:rPr>
        <w:t xml:space="preserve">señora Luz Elena Zapata es </w:t>
      </w:r>
      <w:r w:rsidR="003D5362" w:rsidRPr="004E51FE">
        <w:rPr>
          <w:rFonts w:ascii="Arial Narrow" w:hAnsi="Arial Narrow" w:cs="Tahoma"/>
          <w:sz w:val="28"/>
          <w:szCs w:val="28"/>
          <w:lang w:eastAsia="es-CO"/>
        </w:rPr>
        <w:t xml:space="preserve">beneficiaria de la sustitución pensional que reclama, a partir de 13 de agosto de 2013, </w:t>
      </w:r>
      <w:r w:rsidR="00E53B51" w:rsidRPr="004E51FE">
        <w:rPr>
          <w:rFonts w:ascii="Arial Narrow" w:hAnsi="Arial Narrow" w:cs="Tahoma"/>
          <w:sz w:val="28"/>
          <w:szCs w:val="28"/>
          <w:lang w:eastAsia="es-CO"/>
        </w:rPr>
        <w:t xml:space="preserve">pues encontró acreditada la convivencia con el de </w:t>
      </w:r>
      <w:proofErr w:type="spellStart"/>
      <w:r w:rsidR="00E53B51" w:rsidRPr="004E51FE">
        <w:rPr>
          <w:rFonts w:ascii="Arial Narrow" w:hAnsi="Arial Narrow" w:cs="Tahoma"/>
          <w:sz w:val="28"/>
          <w:szCs w:val="28"/>
          <w:lang w:eastAsia="es-CO"/>
        </w:rPr>
        <w:t>cujus</w:t>
      </w:r>
      <w:proofErr w:type="spellEnd"/>
      <w:r w:rsidR="00E53B51" w:rsidRPr="004E51FE">
        <w:rPr>
          <w:rFonts w:ascii="Arial Narrow" w:hAnsi="Arial Narrow" w:cs="Tahoma"/>
          <w:sz w:val="28"/>
          <w:szCs w:val="28"/>
          <w:lang w:eastAsia="es-CO"/>
        </w:rPr>
        <w:t xml:space="preserve"> </w:t>
      </w:r>
      <w:r w:rsidR="009211E2">
        <w:rPr>
          <w:rFonts w:ascii="Arial Narrow" w:hAnsi="Arial Narrow" w:cs="Tahoma"/>
          <w:sz w:val="28"/>
          <w:szCs w:val="28"/>
          <w:lang w:eastAsia="es-CO"/>
        </w:rPr>
        <w:t xml:space="preserve"> </w:t>
      </w:r>
      <w:r w:rsidR="00D973D7">
        <w:rPr>
          <w:rFonts w:ascii="Arial Narrow" w:hAnsi="Arial Narrow" w:cs="Tahoma"/>
          <w:sz w:val="28"/>
          <w:szCs w:val="28"/>
          <w:lang w:eastAsia="es-CO"/>
        </w:rPr>
        <w:t>exigida por</w:t>
      </w:r>
      <w:r w:rsidR="009211E2">
        <w:rPr>
          <w:rFonts w:ascii="Arial Narrow" w:hAnsi="Arial Narrow" w:cs="Tahoma"/>
          <w:sz w:val="28"/>
          <w:szCs w:val="28"/>
          <w:lang w:eastAsia="es-CO"/>
        </w:rPr>
        <w:t xml:space="preserve"> la norma aplicable al caso.</w:t>
      </w:r>
      <w:r w:rsidR="00E53B51" w:rsidRPr="008B1CF2">
        <w:rPr>
          <w:rFonts w:ascii="Arial Narrow" w:hAnsi="Arial Narrow" w:cs="Tahoma"/>
          <w:sz w:val="28"/>
          <w:szCs w:val="28"/>
          <w:lang w:eastAsia="es-CO"/>
        </w:rPr>
        <w:t xml:space="preserve"> En es</w:t>
      </w:r>
      <w:r w:rsidR="003D5362" w:rsidRPr="008B1CF2">
        <w:rPr>
          <w:rFonts w:ascii="Arial Narrow" w:hAnsi="Arial Narrow" w:cs="Tahoma"/>
          <w:sz w:val="28"/>
          <w:szCs w:val="28"/>
          <w:lang w:eastAsia="es-CO"/>
        </w:rPr>
        <w:t>e orden, despachó desfavorablemente las excepciones propuestas por la entidad demanda</w:t>
      </w:r>
      <w:r w:rsidR="004112CF" w:rsidRPr="008B1CF2">
        <w:rPr>
          <w:rFonts w:ascii="Arial Narrow" w:hAnsi="Arial Narrow" w:cs="Tahoma"/>
          <w:sz w:val="28"/>
          <w:szCs w:val="28"/>
          <w:lang w:eastAsia="es-CO"/>
        </w:rPr>
        <w:t>da y di</w:t>
      </w:r>
      <w:r w:rsidR="003D5362" w:rsidRPr="008B1CF2">
        <w:rPr>
          <w:rFonts w:ascii="Arial Narrow" w:hAnsi="Arial Narrow" w:cs="Tahoma"/>
          <w:sz w:val="28"/>
          <w:szCs w:val="28"/>
          <w:lang w:eastAsia="es-CO"/>
        </w:rPr>
        <w:t xml:space="preserve">spuso el pago del </w:t>
      </w:r>
      <w:r w:rsidR="002D3743" w:rsidRPr="008B1CF2">
        <w:rPr>
          <w:rFonts w:ascii="Arial Narrow" w:hAnsi="Arial Narrow" w:cs="Tahoma"/>
          <w:sz w:val="28"/>
          <w:szCs w:val="28"/>
          <w:lang w:eastAsia="es-CO"/>
        </w:rPr>
        <w:t xml:space="preserve">retroactivo pensional </w:t>
      </w:r>
      <w:r w:rsidR="008470AD" w:rsidRPr="008B1CF2">
        <w:rPr>
          <w:rFonts w:ascii="Arial Narrow" w:hAnsi="Arial Narrow" w:cs="Tahoma"/>
          <w:sz w:val="28"/>
          <w:szCs w:val="28"/>
          <w:lang w:eastAsia="es-CO"/>
        </w:rPr>
        <w:t xml:space="preserve">causado entre el </w:t>
      </w:r>
      <w:r w:rsidR="008470AD">
        <w:rPr>
          <w:rFonts w:ascii="Arial Narrow" w:hAnsi="Arial Narrow" w:cs="Tahoma"/>
          <w:sz w:val="28"/>
          <w:szCs w:val="28"/>
          <w:lang w:eastAsia="es-CO"/>
        </w:rPr>
        <w:t xml:space="preserve">13 de agosto de 2013 y el 10 de febrero de 2015, </w:t>
      </w:r>
      <w:r w:rsidR="002D3743">
        <w:rPr>
          <w:rFonts w:ascii="Arial Narrow" w:hAnsi="Arial Narrow" w:cs="Tahoma"/>
          <w:sz w:val="28"/>
          <w:szCs w:val="28"/>
          <w:lang w:eastAsia="es-CO"/>
        </w:rPr>
        <w:t xml:space="preserve">en la suma de </w:t>
      </w:r>
      <w:r w:rsidR="00D973D7">
        <w:rPr>
          <w:rFonts w:ascii="Arial Narrow" w:hAnsi="Arial Narrow" w:cs="Tahoma"/>
          <w:sz w:val="28"/>
          <w:szCs w:val="28"/>
          <w:lang w:eastAsia="es-CO"/>
        </w:rPr>
        <w:t>$</w:t>
      </w:r>
      <w:r w:rsidR="008470AD">
        <w:rPr>
          <w:rFonts w:ascii="Arial Narrow" w:hAnsi="Arial Narrow" w:cs="Tahoma"/>
          <w:sz w:val="28"/>
          <w:szCs w:val="28"/>
          <w:lang w:eastAsia="es-CO"/>
        </w:rPr>
        <w:t>42`894.151, en razón a una mesada pensional de $2</w:t>
      </w:r>
      <w:r w:rsidR="008A6835">
        <w:rPr>
          <w:rFonts w:ascii="Arial Narrow" w:hAnsi="Arial Narrow" w:cs="Tahoma"/>
          <w:sz w:val="28"/>
          <w:szCs w:val="28"/>
          <w:lang w:eastAsia="es-CO"/>
        </w:rPr>
        <w:t xml:space="preserve">`010.932, así como de los intereses moratorios a partir del 9 de noviembre de 2012 y hasta que se verifique el pago total de la obligación. Condenó en costas a la parte vencida </w:t>
      </w:r>
      <w:r w:rsidR="00E53B51">
        <w:rPr>
          <w:rFonts w:ascii="Arial Narrow" w:hAnsi="Arial Narrow" w:cs="Tahoma"/>
          <w:sz w:val="28"/>
          <w:szCs w:val="28"/>
          <w:lang w:eastAsia="es-CO"/>
        </w:rPr>
        <w:t xml:space="preserve">en </w:t>
      </w:r>
      <w:r w:rsidR="008A6835">
        <w:rPr>
          <w:rFonts w:ascii="Arial Narrow" w:hAnsi="Arial Narrow" w:cs="Tahoma"/>
          <w:sz w:val="28"/>
          <w:szCs w:val="28"/>
          <w:lang w:eastAsia="es-CO"/>
        </w:rPr>
        <w:t>$ 4`510.450.</w:t>
      </w:r>
    </w:p>
    <w:p w:rsidR="00E53B51" w:rsidRDefault="00E53B51" w:rsidP="00E53B51">
      <w:pPr>
        <w:pStyle w:val="Sinespaciado"/>
        <w:rPr>
          <w:lang w:eastAsia="es-CO"/>
        </w:rPr>
      </w:pPr>
    </w:p>
    <w:p w:rsidR="00B65E88" w:rsidRPr="0059122D" w:rsidRDefault="00B65E88" w:rsidP="00B65E88">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Pr>
          <w:rFonts w:ascii="Arial Narrow" w:hAnsi="Arial Narrow" w:cs="Tahoma"/>
          <w:b/>
          <w:i/>
          <w:sz w:val="28"/>
          <w:szCs w:val="28"/>
          <w:lang w:eastAsia="es-CO"/>
        </w:rPr>
        <w:t>CONSULTA</w:t>
      </w:r>
    </w:p>
    <w:p w:rsidR="00B65E88" w:rsidRPr="00D973D7" w:rsidRDefault="00B65E88" w:rsidP="00D973D7">
      <w:pPr>
        <w:pStyle w:val="Sinespaciado"/>
      </w:pPr>
    </w:p>
    <w:p w:rsidR="00B65E88" w:rsidRDefault="00B65E88" w:rsidP="00B65E88">
      <w:pPr>
        <w:tabs>
          <w:tab w:val="left" w:pos="0"/>
          <w:tab w:val="left" w:pos="8647"/>
        </w:tabs>
        <w:suppressAutoHyphens/>
        <w:spacing w:line="360" w:lineRule="auto"/>
        <w:ind w:firstLine="900"/>
        <w:jc w:val="both"/>
        <w:rPr>
          <w:rFonts w:ascii="Arial Narrow" w:hAnsi="Arial Narrow" w:cs="Tahoma"/>
          <w:b/>
          <w:i/>
          <w:sz w:val="28"/>
          <w:szCs w:val="28"/>
        </w:rPr>
      </w:pPr>
      <w:r>
        <w:rPr>
          <w:rFonts w:ascii="Arial Narrow" w:hAnsi="Arial Narrow" w:cs="Tahoma"/>
          <w:iCs/>
          <w:color w:val="000000"/>
          <w:sz w:val="28"/>
          <w:szCs w:val="28"/>
          <w:lang w:val="es-MX" w:eastAsia="es-CO"/>
        </w:rPr>
        <w:t xml:space="preserve">La Jueza dispuso que se surtiera el grado jurisdiccional de consulta frente a la sentencia, por haber sido condenado </w:t>
      </w:r>
      <w:proofErr w:type="spellStart"/>
      <w:r>
        <w:rPr>
          <w:rFonts w:ascii="Arial Narrow" w:hAnsi="Arial Narrow" w:cs="Tahoma"/>
          <w:iCs/>
          <w:color w:val="000000"/>
          <w:sz w:val="28"/>
          <w:szCs w:val="28"/>
          <w:lang w:val="es-MX" w:eastAsia="es-CO"/>
        </w:rPr>
        <w:t>Colpensiones</w:t>
      </w:r>
      <w:proofErr w:type="spellEnd"/>
      <w:r>
        <w:rPr>
          <w:rFonts w:ascii="Arial Narrow" w:hAnsi="Arial Narrow" w:cs="Tahoma"/>
          <w:iCs/>
          <w:color w:val="000000"/>
          <w:sz w:val="28"/>
          <w:szCs w:val="28"/>
          <w:lang w:val="es-MX" w:eastAsia="es-CO"/>
        </w:rPr>
        <w:t>.</w:t>
      </w:r>
      <w:r w:rsidRPr="0076566F">
        <w:rPr>
          <w:rFonts w:ascii="Arial Narrow" w:hAnsi="Arial Narrow" w:cs="Tahoma"/>
          <w:b/>
          <w:i/>
          <w:sz w:val="28"/>
          <w:szCs w:val="28"/>
        </w:rPr>
        <w:t xml:space="preserve"> </w:t>
      </w:r>
    </w:p>
    <w:p w:rsidR="00B65E88" w:rsidRDefault="00B65E88" w:rsidP="00E53B51">
      <w:pPr>
        <w:pStyle w:val="Sinespaciado"/>
      </w:pPr>
    </w:p>
    <w:p w:rsidR="00B65E88" w:rsidRPr="006B4716" w:rsidRDefault="00B65E88" w:rsidP="00B65E88">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B65E88" w:rsidRPr="00E53B51" w:rsidRDefault="00B65E88" w:rsidP="00E53B51">
      <w:pPr>
        <w:pStyle w:val="Sinespaciado"/>
      </w:pPr>
    </w:p>
    <w:p w:rsidR="00B65E88" w:rsidRDefault="00B65E88" w:rsidP="00B65E8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B65E88" w:rsidRDefault="00B65E88" w:rsidP="00B65E8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B65E88" w:rsidRDefault="00B65E88" w:rsidP="00432E76">
      <w:pPr>
        <w:shd w:val="clear" w:color="auto" w:fill="FFFFFF"/>
        <w:spacing w:line="360" w:lineRule="auto"/>
        <w:ind w:firstLine="851"/>
        <w:jc w:val="both"/>
        <w:rPr>
          <w:rFonts w:ascii="Arial Narrow" w:hAnsi="Arial Narrow" w:cs="Tahoma"/>
          <w:iCs/>
          <w:color w:val="000000"/>
          <w:sz w:val="28"/>
          <w:szCs w:val="28"/>
          <w:lang w:val="es-MX" w:eastAsia="es-CO"/>
        </w:rPr>
      </w:pPr>
    </w:p>
    <w:p w:rsidR="00B65E88" w:rsidRPr="00CC6443" w:rsidRDefault="00B65E88" w:rsidP="00B65E88">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B65E88" w:rsidRPr="00432E76" w:rsidRDefault="00B65E88" w:rsidP="00432E76">
      <w:pPr>
        <w:pStyle w:val="Sinespaciado"/>
      </w:pPr>
    </w:p>
    <w:p w:rsidR="00B65E88" w:rsidRDefault="00B65E88" w:rsidP="00B65E88">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B65E88" w:rsidRPr="00E53B51" w:rsidRDefault="00B65E88" w:rsidP="00E53B51">
      <w:pPr>
        <w:pStyle w:val="Sinespaciado"/>
      </w:pPr>
    </w:p>
    <w:p w:rsidR="00B65E88" w:rsidRDefault="00B65E88" w:rsidP="00B65E8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los siguientes problemas jurídicos, en el orden que se enuncian: </w:t>
      </w:r>
    </w:p>
    <w:p w:rsidR="00E53B51" w:rsidRPr="00432E76" w:rsidRDefault="00E53B51" w:rsidP="00432E76">
      <w:pPr>
        <w:pStyle w:val="Sinespaciado"/>
      </w:pPr>
    </w:p>
    <w:p w:rsidR="00B65E88" w:rsidRPr="00432E76" w:rsidRDefault="00B65E88" w:rsidP="00432E76">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32E76">
        <w:rPr>
          <w:rFonts w:ascii="Arial Narrow" w:hAnsi="Arial Narrow" w:cs="Tahoma"/>
          <w:i/>
          <w:color w:val="000000"/>
          <w:sz w:val="28"/>
          <w:szCs w:val="28"/>
          <w:lang w:eastAsia="es-CO"/>
        </w:rPr>
        <w:t>¿Acreditó la demandante los presupuestos necesarios para tener la calidad de beneficiaria de la sustitución pensional?</w:t>
      </w:r>
    </w:p>
    <w:p w:rsidR="00432E76" w:rsidRPr="006B4716" w:rsidRDefault="00432E76" w:rsidP="00432E76">
      <w:pPr>
        <w:pStyle w:val="Sinespaciado"/>
        <w:spacing w:line="360" w:lineRule="auto"/>
      </w:pPr>
    </w:p>
    <w:p w:rsidR="00B65E88" w:rsidRDefault="00B65E88" w:rsidP="00B65E88">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B65E88" w:rsidRPr="00432E76" w:rsidRDefault="00B65E88" w:rsidP="00432E76">
      <w:pPr>
        <w:pStyle w:val="Sinespaciado"/>
      </w:pPr>
    </w:p>
    <w:p w:rsidR="00E53B51" w:rsidRPr="00E53B51" w:rsidRDefault="00E53B51" w:rsidP="00E53B51">
      <w:pPr>
        <w:pStyle w:val="Sinespaciado"/>
        <w:spacing w:line="360" w:lineRule="auto"/>
        <w:ind w:firstLine="708"/>
        <w:jc w:val="both"/>
        <w:rPr>
          <w:rFonts w:ascii="Arial Narrow" w:hAnsi="Arial Narrow"/>
          <w:sz w:val="28"/>
          <w:szCs w:val="28"/>
        </w:rPr>
      </w:pPr>
      <w:r w:rsidRPr="00E53B51">
        <w:rPr>
          <w:rFonts w:ascii="Arial Narrow" w:hAnsi="Arial Narrow"/>
          <w:sz w:val="28"/>
          <w:szCs w:val="28"/>
        </w:rPr>
        <w:t xml:space="preserve">Son hechos irrebatibles en esta contienda </w:t>
      </w:r>
      <w:r>
        <w:rPr>
          <w:rFonts w:ascii="Arial Narrow" w:hAnsi="Arial Narrow"/>
          <w:sz w:val="28"/>
          <w:szCs w:val="28"/>
        </w:rPr>
        <w:t>que el óbito de Orlando Osorio Dávila ocurrió el 13 de agosto de 2013, según el registro civil de defunción visible a folio 24</w:t>
      </w:r>
      <w:r w:rsidR="00DD4BBD">
        <w:rPr>
          <w:rFonts w:ascii="Arial Narrow" w:hAnsi="Arial Narrow"/>
          <w:sz w:val="28"/>
          <w:szCs w:val="28"/>
        </w:rPr>
        <w:t xml:space="preserve">. Así mismo, </w:t>
      </w:r>
      <w:r>
        <w:rPr>
          <w:rFonts w:ascii="Arial Narrow" w:hAnsi="Arial Narrow"/>
          <w:sz w:val="28"/>
          <w:szCs w:val="28"/>
        </w:rPr>
        <w:t xml:space="preserve">que aquel tenía la calidad de pensionado al momento de </w:t>
      </w:r>
      <w:r w:rsidR="00DD4BBD">
        <w:rPr>
          <w:rFonts w:ascii="Arial Narrow" w:hAnsi="Arial Narrow"/>
          <w:sz w:val="28"/>
          <w:szCs w:val="28"/>
        </w:rPr>
        <w:t>su deceso, tal cual se acredita de las Resoluciones No. 002810 de 2006 y 3395 de 2008, visibles a folios 19 y 20</w:t>
      </w:r>
      <w:r w:rsidR="009F6F37">
        <w:rPr>
          <w:rFonts w:ascii="Arial Narrow" w:hAnsi="Arial Narrow"/>
          <w:sz w:val="28"/>
          <w:szCs w:val="28"/>
        </w:rPr>
        <w:t xml:space="preserve">. </w:t>
      </w:r>
    </w:p>
    <w:p w:rsidR="009F6F37" w:rsidRPr="00D973D7" w:rsidRDefault="009F6F37" w:rsidP="00D973D7">
      <w:pPr>
        <w:pStyle w:val="Sinespaciado"/>
      </w:pPr>
      <w:bookmarkStart w:id="0" w:name="_GoBack"/>
      <w:bookmarkEnd w:id="0"/>
    </w:p>
    <w:p w:rsidR="00B65E88" w:rsidRDefault="009F6F37" w:rsidP="00B65E8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w:t>
      </w:r>
      <w:r w:rsidR="00B65E88">
        <w:rPr>
          <w:rFonts w:ascii="Arial Narrow" w:hAnsi="Arial Narrow" w:cs="Arial"/>
          <w:sz w:val="28"/>
          <w:szCs w:val="28"/>
          <w:lang w:val="es-ES"/>
        </w:rPr>
        <w:t>, debe abordar la Sala el análisis de la condición de beneficiaria de la pensión de sobrevivientes que alega la actora.</w:t>
      </w:r>
    </w:p>
    <w:p w:rsidR="00B65E88" w:rsidRPr="00432E76" w:rsidRDefault="00B65E88" w:rsidP="00432E76">
      <w:pPr>
        <w:pStyle w:val="Sinespaciado"/>
        <w:spacing w:line="360" w:lineRule="auto"/>
      </w:pPr>
    </w:p>
    <w:p w:rsidR="00B65E88" w:rsidRDefault="00B65E88" w:rsidP="00B65E8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para este punto es indispensable partir por el artículo 47 de la L</w:t>
      </w:r>
      <w:r w:rsidR="009F6F37">
        <w:rPr>
          <w:rFonts w:ascii="Arial Narrow" w:hAnsi="Arial Narrow" w:cs="Arial"/>
          <w:sz w:val="28"/>
          <w:szCs w:val="28"/>
          <w:lang w:val="es-ES"/>
        </w:rPr>
        <w:t xml:space="preserve">ey 100 de 1993, modificado por el artículo </w:t>
      </w:r>
      <w:r>
        <w:rPr>
          <w:rFonts w:ascii="Arial Narrow" w:hAnsi="Arial Narrow" w:cs="Arial"/>
          <w:sz w:val="28"/>
          <w:szCs w:val="28"/>
          <w:lang w:val="es-ES"/>
        </w:rPr>
        <w:t>13 de la Ley 797 de 2003, que establece quiénes están llamados por ley a recibir la gracia pensional en calidad de supérstites, norma que e</w:t>
      </w:r>
      <w:r w:rsidR="009F6F37">
        <w:rPr>
          <w:rFonts w:ascii="Arial Narrow" w:hAnsi="Arial Narrow" w:cs="Arial"/>
          <w:sz w:val="28"/>
          <w:szCs w:val="28"/>
          <w:lang w:val="es-ES"/>
        </w:rPr>
        <w:t>s</w:t>
      </w:r>
      <w:r>
        <w:rPr>
          <w:rFonts w:ascii="Arial Narrow" w:hAnsi="Arial Narrow" w:cs="Arial"/>
          <w:sz w:val="28"/>
          <w:szCs w:val="28"/>
          <w:lang w:val="es-ES"/>
        </w:rPr>
        <w:t xml:space="preserve"> aplicable al caso por ser la vigente al momento del deceso del señor </w:t>
      </w:r>
      <w:r w:rsidR="009F6F37">
        <w:rPr>
          <w:rFonts w:ascii="Arial Narrow" w:hAnsi="Arial Narrow" w:cs="Arial"/>
          <w:sz w:val="28"/>
          <w:szCs w:val="28"/>
          <w:lang w:val="es-ES"/>
        </w:rPr>
        <w:t>Osorio Dávila.</w:t>
      </w:r>
    </w:p>
    <w:p w:rsidR="00B65E88" w:rsidRPr="00432E76" w:rsidRDefault="00B65E88" w:rsidP="00432E76">
      <w:pPr>
        <w:pStyle w:val="Sinespaciado"/>
        <w:spacing w:line="360" w:lineRule="auto"/>
      </w:pPr>
    </w:p>
    <w:p w:rsidR="00B65E88" w:rsidRDefault="00B65E88" w:rsidP="00B65E8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D973D7" w:rsidRPr="00D973D7" w:rsidRDefault="00D973D7" w:rsidP="00D973D7">
      <w:pPr>
        <w:pStyle w:val="Sinespaciado"/>
      </w:pPr>
    </w:p>
    <w:p w:rsidR="00DD4BBD" w:rsidRDefault="00ED1BE4" w:rsidP="00B65E8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Para el ef</w:t>
      </w:r>
      <w:r w:rsidR="003B6DD9">
        <w:rPr>
          <w:rFonts w:ascii="Arial Narrow" w:hAnsi="Arial Narrow" w:cs="Arial"/>
          <w:sz w:val="28"/>
          <w:szCs w:val="28"/>
          <w:lang w:val="es-ES"/>
        </w:rPr>
        <w:t>ecto, obra en el plenario –fl.30</w:t>
      </w:r>
      <w:r w:rsidR="00D973D7">
        <w:rPr>
          <w:rFonts w:ascii="Arial Narrow" w:hAnsi="Arial Narrow" w:cs="Arial"/>
          <w:sz w:val="28"/>
          <w:szCs w:val="28"/>
          <w:lang w:val="es-ES"/>
        </w:rPr>
        <w:t>- certificación</w:t>
      </w:r>
      <w:r w:rsidR="003B6DD9">
        <w:rPr>
          <w:rFonts w:ascii="Arial Narrow" w:hAnsi="Arial Narrow" w:cs="Arial"/>
          <w:sz w:val="28"/>
          <w:szCs w:val="28"/>
          <w:lang w:val="es-ES"/>
        </w:rPr>
        <w:t xml:space="preserve"> de la Nueva </w:t>
      </w:r>
      <w:proofErr w:type="spellStart"/>
      <w:r w:rsidR="003B6DD9">
        <w:rPr>
          <w:rFonts w:ascii="Arial Narrow" w:hAnsi="Arial Narrow" w:cs="Arial"/>
          <w:sz w:val="28"/>
          <w:szCs w:val="28"/>
          <w:lang w:val="es-ES"/>
        </w:rPr>
        <w:t>Eps</w:t>
      </w:r>
      <w:proofErr w:type="spellEnd"/>
      <w:r w:rsidR="003B6DD9">
        <w:rPr>
          <w:rFonts w:ascii="Arial Narrow" w:hAnsi="Arial Narrow" w:cs="Arial"/>
          <w:sz w:val="28"/>
          <w:szCs w:val="28"/>
          <w:lang w:val="es-ES"/>
        </w:rPr>
        <w:t xml:space="preserve"> S.A. e</w:t>
      </w:r>
      <w:r w:rsidR="004D29FC">
        <w:rPr>
          <w:rFonts w:ascii="Arial Narrow" w:hAnsi="Arial Narrow" w:cs="Arial"/>
          <w:sz w:val="28"/>
          <w:szCs w:val="28"/>
          <w:lang w:val="es-ES"/>
        </w:rPr>
        <w:t xml:space="preserve">n la que se hace constar que la demandante era la beneficiaria en salud del causante, en calidad de cónyuge, desde el 1 de agosto de 2008. </w:t>
      </w:r>
    </w:p>
    <w:p w:rsidR="00432E76" w:rsidRDefault="00432E76" w:rsidP="00432E76">
      <w:pPr>
        <w:pStyle w:val="Sinespaciado"/>
        <w:rPr>
          <w:lang w:val="es-ES"/>
        </w:rPr>
      </w:pPr>
    </w:p>
    <w:p w:rsidR="00FE7FBD" w:rsidRDefault="00432E76" w:rsidP="00A97D1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Igualmente, con el propósito de acreditar la </w:t>
      </w:r>
      <w:r w:rsidR="00A97D1D">
        <w:rPr>
          <w:rFonts w:ascii="Arial Narrow" w:hAnsi="Arial Narrow" w:cs="Arial"/>
          <w:sz w:val="28"/>
          <w:szCs w:val="28"/>
          <w:lang w:val="es-ES"/>
        </w:rPr>
        <w:t xml:space="preserve">real </w:t>
      </w:r>
      <w:r w:rsidR="00D82D2B">
        <w:rPr>
          <w:rFonts w:ascii="Arial Narrow" w:hAnsi="Arial Narrow" w:cs="Arial"/>
          <w:sz w:val="28"/>
          <w:szCs w:val="28"/>
          <w:lang w:val="es-ES"/>
        </w:rPr>
        <w:t xml:space="preserve">y efectiva </w:t>
      </w:r>
      <w:r w:rsidR="00A97D1D">
        <w:rPr>
          <w:rFonts w:ascii="Arial Narrow" w:hAnsi="Arial Narrow" w:cs="Arial"/>
          <w:sz w:val="28"/>
          <w:szCs w:val="28"/>
          <w:lang w:val="es-ES"/>
        </w:rPr>
        <w:t xml:space="preserve">vida en pareja que tenía la demandante con el señor Osorio Dávila, </w:t>
      </w:r>
      <w:r w:rsidR="00517D09">
        <w:rPr>
          <w:rFonts w:ascii="Arial Narrow" w:hAnsi="Arial Narrow" w:cs="Arial"/>
          <w:sz w:val="28"/>
          <w:szCs w:val="28"/>
          <w:lang w:val="es-ES"/>
        </w:rPr>
        <w:t xml:space="preserve">se citó a declarar a Pedro Pablo Giraldo Salazar, María </w:t>
      </w:r>
      <w:proofErr w:type="spellStart"/>
      <w:r w:rsidR="00517D09">
        <w:rPr>
          <w:rFonts w:ascii="Arial Narrow" w:hAnsi="Arial Narrow" w:cs="Arial"/>
          <w:sz w:val="28"/>
          <w:szCs w:val="28"/>
          <w:lang w:val="es-ES"/>
        </w:rPr>
        <w:t>Zully</w:t>
      </w:r>
      <w:proofErr w:type="spellEnd"/>
      <w:r w:rsidR="00517D09">
        <w:rPr>
          <w:rFonts w:ascii="Arial Narrow" w:hAnsi="Arial Narrow" w:cs="Arial"/>
          <w:sz w:val="28"/>
          <w:szCs w:val="28"/>
          <w:lang w:val="es-ES"/>
        </w:rPr>
        <w:t xml:space="preserve"> Rodríguez y Luz Julieta Uribe V</w:t>
      </w:r>
      <w:r w:rsidR="00ED7948">
        <w:rPr>
          <w:rFonts w:ascii="Arial Narrow" w:hAnsi="Arial Narrow" w:cs="Arial"/>
          <w:sz w:val="28"/>
          <w:szCs w:val="28"/>
          <w:lang w:val="es-ES"/>
        </w:rPr>
        <w:t xml:space="preserve">élez, quienes </w:t>
      </w:r>
      <w:r w:rsidR="004E25DF">
        <w:rPr>
          <w:rFonts w:ascii="Arial Narrow" w:hAnsi="Arial Narrow" w:cs="Arial"/>
          <w:sz w:val="28"/>
          <w:szCs w:val="28"/>
          <w:lang w:val="es-ES"/>
        </w:rPr>
        <w:t xml:space="preserve">depusieron que la demandante y el </w:t>
      </w:r>
      <w:r w:rsidR="00A23830">
        <w:rPr>
          <w:rFonts w:ascii="Arial Narrow" w:hAnsi="Arial Narrow" w:cs="Arial"/>
          <w:sz w:val="28"/>
          <w:szCs w:val="28"/>
          <w:lang w:val="es-ES"/>
        </w:rPr>
        <w:t xml:space="preserve">pensionado </w:t>
      </w:r>
      <w:r w:rsidR="004E25DF">
        <w:rPr>
          <w:rFonts w:ascii="Arial Narrow" w:hAnsi="Arial Narrow" w:cs="Arial"/>
          <w:sz w:val="28"/>
          <w:szCs w:val="28"/>
          <w:lang w:val="es-ES"/>
        </w:rPr>
        <w:t>sostuv</w:t>
      </w:r>
      <w:r w:rsidR="00A23830">
        <w:rPr>
          <w:rFonts w:ascii="Arial Narrow" w:hAnsi="Arial Narrow" w:cs="Arial"/>
          <w:sz w:val="28"/>
          <w:szCs w:val="28"/>
          <w:lang w:val="es-ES"/>
        </w:rPr>
        <w:t xml:space="preserve">ieron una vida conyugal </w:t>
      </w:r>
      <w:r w:rsidR="00FE7FBD">
        <w:rPr>
          <w:rFonts w:ascii="Arial Narrow" w:hAnsi="Arial Narrow" w:cs="Arial"/>
          <w:sz w:val="28"/>
          <w:szCs w:val="28"/>
          <w:lang w:val="es-ES"/>
        </w:rPr>
        <w:t xml:space="preserve">que perduró hasta </w:t>
      </w:r>
      <w:r w:rsidR="00D82D2B">
        <w:rPr>
          <w:rFonts w:ascii="Arial Narrow" w:hAnsi="Arial Narrow" w:cs="Arial"/>
          <w:sz w:val="28"/>
          <w:szCs w:val="28"/>
          <w:lang w:val="es-ES"/>
        </w:rPr>
        <w:t>el deceso de éste</w:t>
      </w:r>
      <w:r w:rsidR="00FE7FBD">
        <w:rPr>
          <w:rFonts w:ascii="Arial Narrow" w:hAnsi="Arial Narrow" w:cs="Arial"/>
          <w:sz w:val="28"/>
          <w:szCs w:val="28"/>
          <w:lang w:val="es-ES"/>
        </w:rPr>
        <w:t>; que procrearon tres hijos de nombres Juan Carlos, Ángela María y Andrés Mauricio, mayores de edad; que convivieron bajo el mismo techo, forjando lazos de ayuda y colaboración mutua; que la pareja estuvo domiciliada en la ciudad de Pereira, en</w:t>
      </w:r>
      <w:r w:rsidR="005B3559">
        <w:rPr>
          <w:rFonts w:ascii="Arial Narrow" w:hAnsi="Arial Narrow" w:cs="Arial"/>
          <w:sz w:val="28"/>
          <w:szCs w:val="28"/>
          <w:lang w:val="es-ES"/>
        </w:rPr>
        <w:t xml:space="preserve"> el sector de</w:t>
      </w:r>
      <w:r w:rsidR="00FE7FBD">
        <w:rPr>
          <w:rFonts w:ascii="Arial Narrow" w:hAnsi="Arial Narrow" w:cs="Arial"/>
          <w:sz w:val="28"/>
          <w:szCs w:val="28"/>
          <w:lang w:val="es-ES"/>
        </w:rPr>
        <w:t xml:space="preserve"> la Villa, en Caminos de Álamos y finalmente en Bulevar del Bosque,</w:t>
      </w:r>
      <w:r>
        <w:rPr>
          <w:rFonts w:ascii="Arial Narrow" w:hAnsi="Arial Narrow" w:cs="Arial"/>
          <w:sz w:val="28"/>
          <w:szCs w:val="28"/>
          <w:lang w:val="es-ES"/>
        </w:rPr>
        <w:t xml:space="preserve"> en residencia de su hijo común, </w:t>
      </w:r>
      <w:r w:rsidR="005B3559">
        <w:rPr>
          <w:rFonts w:ascii="Arial Narrow" w:hAnsi="Arial Narrow" w:cs="Arial"/>
          <w:sz w:val="28"/>
          <w:szCs w:val="28"/>
          <w:lang w:val="es-ES"/>
        </w:rPr>
        <w:t xml:space="preserve">Juan Carlos, </w:t>
      </w:r>
      <w:r>
        <w:rPr>
          <w:rFonts w:ascii="Arial Narrow" w:hAnsi="Arial Narrow" w:cs="Arial"/>
          <w:sz w:val="28"/>
          <w:szCs w:val="28"/>
          <w:lang w:val="es-ES"/>
        </w:rPr>
        <w:t xml:space="preserve">donde el asegurado </w:t>
      </w:r>
      <w:r w:rsidR="005B3559">
        <w:rPr>
          <w:rFonts w:ascii="Arial Narrow" w:hAnsi="Arial Narrow" w:cs="Arial"/>
          <w:sz w:val="28"/>
          <w:szCs w:val="28"/>
          <w:lang w:val="es-ES"/>
        </w:rPr>
        <w:t>falleció</w:t>
      </w:r>
      <w:r w:rsidR="00FE7FBD">
        <w:rPr>
          <w:rFonts w:ascii="Arial Narrow" w:hAnsi="Arial Narrow" w:cs="Arial"/>
          <w:sz w:val="28"/>
          <w:szCs w:val="28"/>
          <w:lang w:val="es-ES"/>
        </w:rPr>
        <w:t xml:space="preserve"> a causa de las secuelas</w:t>
      </w:r>
      <w:r w:rsidR="005B3559">
        <w:rPr>
          <w:rFonts w:ascii="Arial Narrow" w:hAnsi="Arial Narrow" w:cs="Arial"/>
          <w:sz w:val="28"/>
          <w:szCs w:val="28"/>
          <w:lang w:val="es-ES"/>
        </w:rPr>
        <w:t xml:space="preserve"> </w:t>
      </w:r>
      <w:r w:rsidR="00D82D2B">
        <w:rPr>
          <w:rFonts w:ascii="Arial Narrow" w:hAnsi="Arial Narrow" w:cs="Arial"/>
          <w:sz w:val="28"/>
          <w:szCs w:val="28"/>
          <w:lang w:val="es-ES"/>
        </w:rPr>
        <w:t xml:space="preserve">dejadas por </w:t>
      </w:r>
      <w:r w:rsidR="005B3559">
        <w:rPr>
          <w:rFonts w:ascii="Arial Narrow" w:hAnsi="Arial Narrow" w:cs="Arial"/>
          <w:sz w:val="28"/>
          <w:szCs w:val="28"/>
          <w:lang w:val="es-ES"/>
        </w:rPr>
        <w:t>e</w:t>
      </w:r>
      <w:r w:rsidR="00FE7FBD">
        <w:rPr>
          <w:rFonts w:ascii="Arial Narrow" w:hAnsi="Arial Narrow" w:cs="Arial"/>
          <w:sz w:val="28"/>
          <w:szCs w:val="28"/>
          <w:lang w:val="es-ES"/>
        </w:rPr>
        <w:t xml:space="preserve">l trasplante de corazón. </w:t>
      </w:r>
    </w:p>
    <w:p w:rsidR="00FE7FBD" w:rsidRPr="00D973D7" w:rsidRDefault="00FE7FBD" w:rsidP="00D973D7">
      <w:pPr>
        <w:pStyle w:val="Sinespaciado"/>
      </w:pPr>
    </w:p>
    <w:p w:rsidR="000D0483" w:rsidRDefault="008D1B13" w:rsidP="000D048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la </w:t>
      </w:r>
      <w:r w:rsidR="000D0483">
        <w:rPr>
          <w:rFonts w:ascii="Arial Narrow" w:hAnsi="Arial Narrow" w:cs="Arial"/>
          <w:sz w:val="28"/>
          <w:szCs w:val="28"/>
          <w:lang w:val="es-ES"/>
        </w:rPr>
        <w:t xml:space="preserve">valoración probatoria tanto de la prueba documental como testimonial, </w:t>
      </w:r>
      <w:r>
        <w:rPr>
          <w:rFonts w:ascii="Arial Narrow" w:hAnsi="Arial Narrow" w:cs="Arial"/>
          <w:sz w:val="28"/>
          <w:szCs w:val="28"/>
          <w:lang w:val="es-ES"/>
        </w:rPr>
        <w:t xml:space="preserve">encuentra la Sala que </w:t>
      </w:r>
      <w:r w:rsidR="000D0483">
        <w:rPr>
          <w:rFonts w:ascii="Arial Narrow" w:hAnsi="Arial Narrow" w:cs="Arial"/>
          <w:sz w:val="28"/>
          <w:szCs w:val="28"/>
          <w:lang w:val="es-ES"/>
        </w:rPr>
        <w:t xml:space="preserve">acierta la sentenciadora de primer grado, </w:t>
      </w:r>
      <w:r>
        <w:rPr>
          <w:rFonts w:ascii="Arial Narrow" w:hAnsi="Arial Narrow" w:cs="Arial"/>
          <w:sz w:val="28"/>
          <w:szCs w:val="28"/>
          <w:lang w:val="es-ES"/>
        </w:rPr>
        <w:t xml:space="preserve">al declarar la calidad de beneficiaria de la sustitución pensional de la actora, </w:t>
      </w:r>
      <w:r w:rsidR="00D82D2B">
        <w:rPr>
          <w:rFonts w:ascii="Arial Narrow" w:hAnsi="Arial Narrow" w:cs="Arial"/>
          <w:sz w:val="28"/>
          <w:szCs w:val="28"/>
          <w:lang w:val="es-ES"/>
        </w:rPr>
        <w:t xml:space="preserve">habida consideración de que los medios </w:t>
      </w:r>
      <w:r w:rsidR="00D3373A">
        <w:rPr>
          <w:rFonts w:ascii="Arial Narrow" w:hAnsi="Arial Narrow" w:cs="Arial"/>
          <w:sz w:val="28"/>
          <w:szCs w:val="28"/>
          <w:lang w:val="es-ES"/>
        </w:rPr>
        <w:t xml:space="preserve">probatorios </w:t>
      </w:r>
      <w:r>
        <w:rPr>
          <w:rFonts w:ascii="Arial Narrow" w:hAnsi="Arial Narrow" w:cs="Arial"/>
          <w:sz w:val="28"/>
          <w:szCs w:val="28"/>
          <w:lang w:val="es-ES"/>
        </w:rPr>
        <w:t xml:space="preserve">otorgan la convicción </w:t>
      </w:r>
      <w:r w:rsidR="005B3559">
        <w:rPr>
          <w:rFonts w:ascii="Arial Narrow" w:hAnsi="Arial Narrow" w:cs="Arial"/>
          <w:sz w:val="28"/>
          <w:szCs w:val="28"/>
          <w:lang w:val="es-ES"/>
        </w:rPr>
        <w:t xml:space="preserve">suficiente </w:t>
      </w:r>
      <w:r>
        <w:rPr>
          <w:rFonts w:ascii="Arial Narrow" w:hAnsi="Arial Narrow" w:cs="Arial"/>
          <w:sz w:val="28"/>
          <w:szCs w:val="28"/>
          <w:lang w:val="es-ES"/>
        </w:rPr>
        <w:t xml:space="preserve">para determinar </w:t>
      </w:r>
      <w:r w:rsidR="005B3559">
        <w:rPr>
          <w:rFonts w:ascii="Arial Narrow" w:hAnsi="Arial Narrow" w:cs="Arial"/>
          <w:sz w:val="28"/>
          <w:szCs w:val="28"/>
          <w:lang w:val="es-ES"/>
        </w:rPr>
        <w:t xml:space="preserve">que </w:t>
      </w:r>
      <w:r w:rsidR="00E815F0">
        <w:rPr>
          <w:rFonts w:ascii="Arial Narrow" w:hAnsi="Arial Narrow" w:cs="Arial"/>
          <w:sz w:val="28"/>
          <w:szCs w:val="28"/>
          <w:lang w:val="es-ES"/>
        </w:rPr>
        <w:t xml:space="preserve">la promotora de la </w:t>
      </w:r>
      <w:proofErr w:type="spellStart"/>
      <w:r w:rsidR="00E815F0">
        <w:rPr>
          <w:rFonts w:ascii="Arial Narrow" w:hAnsi="Arial Narrow" w:cs="Arial"/>
          <w:sz w:val="28"/>
          <w:szCs w:val="28"/>
          <w:lang w:val="es-ES"/>
        </w:rPr>
        <w:t>litis</w:t>
      </w:r>
      <w:proofErr w:type="spellEnd"/>
      <w:r w:rsidR="00E815F0">
        <w:rPr>
          <w:rFonts w:ascii="Arial Narrow" w:hAnsi="Arial Narrow" w:cs="Arial"/>
          <w:sz w:val="28"/>
          <w:szCs w:val="28"/>
          <w:lang w:val="es-ES"/>
        </w:rPr>
        <w:t xml:space="preserve"> </w:t>
      </w:r>
      <w:r w:rsidR="005B3559">
        <w:rPr>
          <w:rFonts w:ascii="Arial Narrow" w:hAnsi="Arial Narrow" w:cs="Arial"/>
          <w:sz w:val="28"/>
          <w:szCs w:val="28"/>
          <w:lang w:val="es-ES"/>
        </w:rPr>
        <w:t xml:space="preserve">y el </w:t>
      </w:r>
      <w:r w:rsidR="00E815F0">
        <w:rPr>
          <w:rFonts w:ascii="Arial Narrow" w:hAnsi="Arial Narrow" w:cs="Arial"/>
          <w:sz w:val="28"/>
          <w:szCs w:val="28"/>
          <w:lang w:val="es-ES"/>
        </w:rPr>
        <w:t xml:space="preserve">causante convivieron durante un </w:t>
      </w:r>
      <w:r w:rsidR="005B3559">
        <w:rPr>
          <w:rFonts w:ascii="Arial Narrow" w:hAnsi="Arial Narrow" w:cs="Arial"/>
          <w:sz w:val="28"/>
          <w:szCs w:val="28"/>
          <w:lang w:val="es-ES"/>
        </w:rPr>
        <w:t xml:space="preserve">lapso </w:t>
      </w:r>
      <w:r w:rsidR="00E815F0">
        <w:rPr>
          <w:rFonts w:ascii="Arial Narrow" w:hAnsi="Arial Narrow" w:cs="Arial"/>
          <w:sz w:val="28"/>
          <w:szCs w:val="28"/>
          <w:lang w:val="es-ES"/>
        </w:rPr>
        <w:t xml:space="preserve">superior al exigido en la norma aplicable, </w:t>
      </w:r>
      <w:r w:rsidR="00432E76">
        <w:rPr>
          <w:rFonts w:ascii="Arial Narrow" w:hAnsi="Arial Narrow" w:cs="Arial"/>
          <w:sz w:val="28"/>
          <w:szCs w:val="28"/>
          <w:lang w:val="es-ES"/>
        </w:rPr>
        <w:t xml:space="preserve">la cual perduró hasta el deceso de Orlando Osorio Dávila, </w:t>
      </w:r>
      <w:r w:rsidR="00E815F0">
        <w:rPr>
          <w:rFonts w:ascii="Arial Narrow" w:hAnsi="Arial Narrow" w:cs="Arial"/>
          <w:sz w:val="28"/>
          <w:szCs w:val="28"/>
          <w:lang w:val="es-ES"/>
        </w:rPr>
        <w:t>siendo entonces procedente el reconocimiento de la prestación solicitada a partir del 13 de agosto de 2013, fecha del óbito del pensionado, por lo que en sede</w:t>
      </w:r>
      <w:r w:rsidR="00432E76">
        <w:rPr>
          <w:rFonts w:ascii="Arial Narrow" w:hAnsi="Arial Narrow" w:cs="Arial"/>
          <w:sz w:val="28"/>
          <w:szCs w:val="28"/>
          <w:lang w:val="es-ES"/>
        </w:rPr>
        <w:t xml:space="preserve"> de consulta se confirmara este </w:t>
      </w:r>
      <w:r w:rsidR="00E815F0">
        <w:rPr>
          <w:rFonts w:ascii="Arial Narrow" w:hAnsi="Arial Narrow" w:cs="Arial"/>
          <w:sz w:val="28"/>
          <w:szCs w:val="28"/>
          <w:lang w:val="es-ES"/>
        </w:rPr>
        <w:t xml:space="preserve">punto de la sentencia. </w:t>
      </w:r>
    </w:p>
    <w:p w:rsidR="000D0483" w:rsidRPr="00D973D7" w:rsidRDefault="000D0483" w:rsidP="00432E76">
      <w:pPr>
        <w:pStyle w:val="Sinespaciado"/>
        <w:spacing w:line="360" w:lineRule="auto"/>
      </w:pPr>
    </w:p>
    <w:p w:rsidR="00A662D5" w:rsidRDefault="00E815F0" w:rsidP="00C345E4">
      <w:pPr>
        <w:pStyle w:val="Textoindependiente"/>
        <w:spacing w:line="360" w:lineRule="auto"/>
        <w:ind w:firstLine="709"/>
        <w:rPr>
          <w:rFonts w:ascii="Arial Narrow" w:hAnsi="Arial Narrow" w:cs="Arial"/>
          <w:sz w:val="28"/>
          <w:szCs w:val="28"/>
          <w:lang w:val="es-ES"/>
        </w:rPr>
      </w:pPr>
      <w:r>
        <w:rPr>
          <w:rFonts w:ascii="Arial Narrow" w:hAnsi="Arial Narrow" w:cs="Arial"/>
          <w:sz w:val="28"/>
          <w:szCs w:val="28"/>
          <w:lang w:val="es-ES"/>
        </w:rPr>
        <w:t>E</w:t>
      </w:r>
      <w:r w:rsidR="006B58DD">
        <w:rPr>
          <w:rFonts w:ascii="Arial Narrow" w:hAnsi="Arial Narrow" w:cs="Arial"/>
          <w:sz w:val="28"/>
          <w:szCs w:val="28"/>
          <w:lang w:val="es-ES"/>
        </w:rPr>
        <w:t xml:space="preserve">fectuado el reajuste de la mesada </w:t>
      </w:r>
      <w:r w:rsidR="00C345E4">
        <w:rPr>
          <w:rFonts w:ascii="Arial Narrow" w:hAnsi="Arial Narrow" w:cs="Arial"/>
          <w:sz w:val="28"/>
          <w:szCs w:val="28"/>
          <w:lang w:val="es-ES"/>
        </w:rPr>
        <w:t xml:space="preserve">pensional </w:t>
      </w:r>
      <w:r w:rsidR="006B58DD">
        <w:rPr>
          <w:rFonts w:ascii="Arial Narrow" w:hAnsi="Arial Narrow" w:cs="Arial"/>
          <w:sz w:val="28"/>
          <w:szCs w:val="28"/>
          <w:lang w:val="es-ES"/>
        </w:rPr>
        <w:t>que ven</w:t>
      </w:r>
      <w:r w:rsidR="00A662D5">
        <w:rPr>
          <w:rFonts w:ascii="Arial Narrow" w:hAnsi="Arial Narrow" w:cs="Arial"/>
          <w:sz w:val="28"/>
          <w:szCs w:val="28"/>
          <w:lang w:val="es-ES"/>
        </w:rPr>
        <w:t xml:space="preserve">ía recibiendo </w:t>
      </w:r>
      <w:r w:rsidR="00B25392">
        <w:rPr>
          <w:rFonts w:ascii="Arial Narrow" w:hAnsi="Arial Narrow" w:cs="Arial"/>
          <w:sz w:val="28"/>
          <w:szCs w:val="28"/>
          <w:lang w:val="es-ES"/>
        </w:rPr>
        <w:t xml:space="preserve">el causante, </w:t>
      </w:r>
      <w:proofErr w:type="gramStart"/>
      <w:r w:rsidR="00B25392">
        <w:rPr>
          <w:rFonts w:ascii="Arial Narrow" w:hAnsi="Arial Narrow" w:cs="Arial"/>
          <w:sz w:val="28"/>
          <w:szCs w:val="28"/>
          <w:lang w:val="es-ES"/>
        </w:rPr>
        <w:t>con</w:t>
      </w:r>
      <w:proofErr w:type="gramEnd"/>
      <w:r w:rsidR="00B25392">
        <w:rPr>
          <w:rFonts w:ascii="Arial Narrow" w:hAnsi="Arial Narrow" w:cs="Arial"/>
          <w:sz w:val="28"/>
          <w:szCs w:val="28"/>
          <w:lang w:val="es-ES"/>
        </w:rPr>
        <w:t xml:space="preserve"> base en </w:t>
      </w:r>
      <w:r w:rsidR="006B58DD">
        <w:rPr>
          <w:rFonts w:ascii="Arial Narrow" w:hAnsi="Arial Narrow" w:cs="Arial"/>
          <w:sz w:val="28"/>
          <w:szCs w:val="28"/>
          <w:lang w:val="es-ES"/>
        </w:rPr>
        <w:t xml:space="preserve">el </w:t>
      </w:r>
      <w:r w:rsidR="00C345E4">
        <w:rPr>
          <w:rFonts w:ascii="Arial Narrow" w:hAnsi="Arial Narrow" w:cs="Arial"/>
          <w:sz w:val="28"/>
          <w:szCs w:val="28"/>
          <w:lang w:val="es-ES"/>
        </w:rPr>
        <w:t xml:space="preserve">Índice de Precios al Consumidor </w:t>
      </w:r>
      <w:r w:rsidR="006B58DD">
        <w:rPr>
          <w:rFonts w:ascii="Arial Narrow" w:hAnsi="Arial Narrow" w:cs="Arial"/>
          <w:sz w:val="28"/>
          <w:szCs w:val="28"/>
          <w:lang w:val="es-ES"/>
        </w:rPr>
        <w:t xml:space="preserve">certificado por el </w:t>
      </w:r>
      <w:proofErr w:type="spellStart"/>
      <w:r w:rsidR="006B58DD">
        <w:rPr>
          <w:rFonts w:ascii="Arial Narrow" w:hAnsi="Arial Narrow" w:cs="Arial"/>
          <w:sz w:val="28"/>
          <w:szCs w:val="28"/>
          <w:lang w:val="es-ES"/>
        </w:rPr>
        <w:t>Dane</w:t>
      </w:r>
      <w:proofErr w:type="spellEnd"/>
      <w:r w:rsidR="006B58DD">
        <w:rPr>
          <w:rFonts w:ascii="Arial Narrow" w:hAnsi="Arial Narrow" w:cs="Arial"/>
          <w:sz w:val="28"/>
          <w:szCs w:val="28"/>
          <w:lang w:val="es-ES"/>
        </w:rPr>
        <w:t xml:space="preserve">, se tiene que el monto de la prestación pensional a que tiene derecho la actora </w:t>
      </w:r>
      <w:r w:rsidR="00C345E4">
        <w:rPr>
          <w:rFonts w:ascii="Arial Narrow" w:hAnsi="Arial Narrow" w:cs="Arial"/>
          <w:sz w:val="28"/>
          <w:szCs w:val="28"/>
          <w:lang w:val="es-ES"/>
        </w:rPr>
        <w:t xml:space="preserve">para </w:t>
      </w:r>
      <w:r w:rsidR="006B58DD">
        <w:rPr>
          <w:rFonts w:ascii="Arial Narrow" w:hAnsi="Arial Narrow" w:cs="Arial"/>
          <w:sz w:val="28"/>
          <w:szCs w:val="28"/>
          <w:lang w:val="es-ES"/>
        </w:rPr>
        <w:t>el año 2013, asciende a la suma de $ 2`010.932.</w:t>
      </w:r>
      <w:r w:rsidR="00A662D5">
        <w:rPr>
          <w:rFonts w:ascii="Arial Narrow" w:hAnsi="Arial Narrow" w:cs="Arial"/>
          <w:sz w:val="28"/>
          <w:szCs w:val="28"/>
          <w:lang w:val="es-ES"/>
        </w:rPr>
        <w:t xml:space="preserve"> En cuanto al número de mesadas, </w:t>
      </w:r>
      <w:r w:rsidR="00B25392">
        <w:rPr>
          <w:rFonts w:ascii="Arial Narrow" w:hAnsi="Arial Narrow" w:cs="Arial"/>
          <w:sz w:val="28"/>
          <w:szCs w:val="28"/>
          <w:lang w:val="es-ES"/>
        </w:rPr>
        <w:t>en vista de q</w:t>
      </w:r>
      <w:r w:rsidR="00C345E4">
        <w:rPr>
          <w:rFonts w:ascii="Arial Narrow" w:hAnsi="Arial Narrow" w:cs="Arial"/>
          <w:sz w:val="28"/>
          <w:szCs w:val="28"/>
          <w:lang w:val="es-ES"/>
        </w:rPr>
        <w:t xml:space="preserve">ue </w:t>
      </w:r>
      <w:r w:rsidR="00A662D5">
        <w:rPr>
          <w:rFonts w:ascii="Arial Narrow" w:hAnsi="Arial Narrow" w:cs="Arial"/>
          <w:sz w:val="28"/>
          <w:szCs w:val="28"/>
          <w:lang w:val="es-ES"/>
        </w:rPr>
        <w:t>el derecho a la sustitución pensional se causó con posterioridad al 31 de julio de 2</w:t>
      </w:r>
      <w:r w:rsidR="00C345E4">
        <w:rPr>
          <w:rFonts w:ascii="Arial Narrow" w:hAnsi="Arial Narrow" w:cs="Arial"/>
          <w:sz w:val="28"/>
          <w:szCs w:val="28"/>
          <w:lang w:val="es-ES"/>
        </w:rPr>
        <w:t>011,</w:t>
      </w:r>
      <w:r w:rsidR="00B25392">
        <w:rPr>
          <w:rFonts w:ascii="Arial Narrow" w:hAnsi="Arial Narrow" w:cs="Arial"/>
          <w:sz w:val="28"/>
          <w:szCs w:val="28"/>
          <w:lang w:val="es-ES"/>
        </w:rPr>
        <w:t xml:space="preserve"> en los términos del Acto Legislativo 01 de 2005, </w:t>
      </w:r>
      <w:r w:rsidR="00C345E4">
        <w:rPr>
          <w:rFonts w:ascii="Arial Narrow" w:hAnsi="Arial Narrow" w:cs="Arial"/>
          <w:sz w:val="28"/>
          <w:szCs w:val="28"/>
          <w:lang w:val="es-ES"/>
        </w:rPr>
        <w:t xml:space="preserve">la demandante </w:t>
      </w:r>
      <w:r w:rsidR="00B25392">
        <w:rPr>
          <w:rFonts w:ascii="Arial Narrow" w:hAnsi="Arial Narrow" w:cs="Arial"/>
          <w:sz w:val="28"/>
          <w:szCs w:val="28"/>
          <w:lang w:val="es-ES"/>
        </w:rPr>
        <w:t xml:space="preserve">tiene </w:t>
      </w:r>
      <w:r w:rsidR="00C345E4">
        <w:rPr>
          <w:rFonts w:ascii="Arial Narrow" w:hAnsi="Arial Narrow" w:cs="Arial"/>
          <w:sz w:val="28"/>
          <w:szCs w:val="28"/>
          <w:lang w:val="es-ES"/>
        </w:rPr>
        <w:t>derecho a 13 mesadas anuales</w:t>
      </w:r>
      <w:r w:rsidR="00B25392">
        <w:rPr>
          <w:rFonts w:ascii="Arial Narrow" w:hAnsi="Arial Narrow" w:cs="Arial"/>
          <w:sz w:val="28"/>
          <w:szCs w:val="28"/>
          <w:lang w:val="es-ES"/>
        </w:rPr>
        <w:t>,</w:t>
      </w:r>
      <w:r w:rsidR="00C345E4">
        <w:rPr>
          <w:rFonts w:ascii="Arial Narrow" w:hAnsi="Arial Narrow" w:cs="Arial"/>
          <w:sz w:val="28"/>
          <w:szCs w:val="28"/>
          <w:lang w:val="es-ES"/>
        </w:rPr>
        <w:t xml:space="preserve"> y no</w:t>
      </w:r>
      <w:r w:rsidR="00B25392">
        <w:rPr>
          <w:rFonts w:ascii="Arial Narrow" w:hAnsi="Arial Narrow" w:cs="Arial"/>
          <w:sz w:val="28"/>
          <w:szCs w:val="28"/>
          <w:lang w:val="es-ES"/>
        </w:rPr>
        <w:t xml:space="preserve"> a 14 como erradamente lo dispuso la primera instancia</w:t>
      </w:r>
      <w:r w:rsidR="00C345E4">
        <w:rPr>
          <w:rFonts w:ascii="Arial Narrow" w:hAnsi="Arial Narrow" w:cs="Arial"/>
          <w:sz w:val="28"/>
          <w:szCs w:val="28"/>
          <w:lang w:val="es-ES"/>
        </w:rPr>
        <w:t>, motivo por el cual,</w:t>
      </w:r>
      <w:r w:rsidR="00B25392">
        <w:rPr>
          <w:rFonts w:ascii="Arial Narrow" w:hAnsi="Arial Narrow" w:cs="Arial"/>
          <w:sz w:val="28"/>
          <w:szCs w:val="28"/>
          <w:lang w:val="es-ES"/>
        </w:rPr>
        <w:t xml:space="preserve"> en virtud del grado jurisdiccional de consulta que opera en favor de </w:t>
      </w:r>
      <w:proofErr w:type="spellStart"/>
      <w:r w:rsidR="00B25392">
        <w:rPr>
          <w:rFonts w:ascii="Arial Narrow" w:hAnsi="Arial Narrow" w:cs="Arial"/>
          <w:sz w:val="28"/>
          <w:szCs w:val="28"/>
          <w:lang w:val="es-ES"/>
        </w:rPr>
        <w:lastRenderedPageBreak/>
        <w:t>Colpensiones</w:t>
      </w:r>
      <w:proofErr w:type="spellEnd"/>
      <w:r w:rsidR="00B25392">
        <w:rPr>
          <w:rFonts w:ascii="Arial Narrow" w:hAnsi="Arial Narrow" w:cs="Arial"/>
          <w:sz w:val="28"/>
          <w:szCs w:val="28"/>
          <w:lang w:val="es-ES"/>
        </w:rPr>
        <w:t xml:space="preserve">, </w:t>
      </w:r>
      <w:r w:rsidR="00D973D7">
        <w:rPr>
          <w:rFonts w:ascii="Arial Narrow" w:hAnsi="Arial Narrow" w:cs="Arial"/>
          <w:sz w:val="28"/>
          <w:szCs w:val="28"/>
          <w:lang w:val="es-ES"/>
        </w:rPr>
        <w:t xml:space="preserve">se modificará </w:t>
      </w:r>
      <w:r w:rsidR="00C345E4">
        <w:rPr>
          <w:rFonts w:ascii="Arial Narrow" w:hAnsi="Arial Narrow" w:cs="Arial"/>
          <w:sz w:val="28"/>
          <w:szCs w:val="28"/>
          <w:lang w:val="es-ES"/>
        </w:rPr>
        <w:t xml:space="preserve">el ordinal 4 de la sentencia en los términos señalados precedentemente. </w:t>
      </w:r>
    </w:p>
    <w:p w:rsidR="00E815F0" w:rsidRPr="00AD23F4" w:rsidRDefault="00E815F0" w:rsidP="00E815F0">
      <w:pPr>
        <w:pStyle w:val="Sinespaciado"/>
      </w:pPr>
    </w:p>
    <w:p w:rsidR="00E815F0" w:rsidRDefault="00FB44A0" w:rsidP="00B25392">
      <w:pPr>
        <w:pStyle w:val="Textoindependiente"/>
        <w:spacing w:line="360" w:lineRule="auto"/>
        <w:ind w:firstLine="709"/>
        <w:rPr>
          <w:rFonts w:ascii="Arial Narrow" w:hAnsi="Arial Narrow" w:cs="Tahoma"/>
          <w:sz w:val="28"/>
          <w:szCs w:val="28"/>
        </w:rPr>
      </w:pPr>
      <w:r>
        <w:rPr>
          <w:rFonts w:ascii="Arial Narrow" w:hAnsi="Arial Narrow" w:cs="Tahoma"/>
          <w:sz w:val="28"/>
          <w:szCs w:val="28"/>
        </w:rPr>
        <w:t>En cuanto a l</w:t>
      </w:r>
      <w:r w:rsidR="00B25392">
        <w:rPr>
          <w:rFonts w:ascii="Arial Narrow" w:hAnsi="Arial Narrow" w:cs="Tahoma"/>
          <w:sz w:val="28"/>
          <w:szCs w:val="28"/>
        </w:rPr>
        <w:t>a excepción de prescripción formulada por la entidad</w:t>
      </w:r>
      <w:r>
        <w:rPr>
          <w:rFonts w:ascii="Arial Narrow" w:hAnsi="Arial Narrow" w:cs="Tahoma"/>
          <w:sz w:val="28"/>
          <w:szCs w:val="28"/>
        </w:rPr>
        <w:t xml:space="preserve">, la misma </w:t>
      </w:r>
      <w:r w:rsidR="00B25392">
        <w:rPr>
          <w:rFonts w:ascii="Arial Narrow" w:hAnsi="Arial Narrow" w:cs="Tahoma"/>
          <w:sz w:val="28"/>
          <w:szCs w:val="28"/>
        </w:rPr>
        <w:t>no tiene vocación de prosperidad</w:t>
      </w:r>
      <w:r w:rsidR="00E815F0">
        <w:rPr>
          <w:rFonts w:ascii="Arial Narrow" w:hAnsi="Arial Narrow" w:cs="Tahoma"/>
          <w:sz w:val="28"/>
          <w:szCs w:val="28"/>
        </w:rPr>
        <w:t xml:space="preserve">, en la medida en que </w:t>
      </w:r>
      <w:r>
        <w:rPr>
          <w:rFonts w:ascii="Arial Narrow" w:hAnsi="Arial Narrow" w:cs="Tahoma"/>
          <w:sz w:val="28"/>
          <w:szCs w:val="28"/>
        </w:rPr>
        <w:t xml:space="preserve">en los términos del artículo 151 del CPT SS </w:t>
      </w:r>
      <w:r w:rsidR="00E815F0">
        <w:rPr>
          <w:rFonts w:ascii="Arial Narrow" w:hAnsi="Arial Narrow" w:cs="Tahoma"/>
          <w:sz w:val="28"/>
          <w:szCs w:val="28"/>
        </w:rPr>
        <w:t xml:space="preserve">no trascurrieron más de tres años </w:t>
      </w:r>
      <w:r w:rsidR="00220F6A">
        <w:rPr>
          <w:rFonts w:ascii="Arial Narrow" w:hAnsi="Arial Narrow" w:cs="Tahoma"/>
          <w:sz w:val="28"/>
          <w:szCs w:val="28"/>
        </w:rPr>
        <w:t>desde la ocurrencia d</w:t>
      </w:r>
      <w:r w:rsidR="00E815F0">
        <w:rPr>
          <w:rFonts w:ascii="Arial Narrow" w:hAnsi="Arial Narrow" w:cs="Tahoma"/>
          <w:sz w:val="28"/>
          <w:szCs w:val="28"/>
        </w:rPr>
        <w:t xml:space="preserve">el óbito del pensionado y la presentación de la reclamación administrativa, </w:t>
      </w:r>
      <w:r w:rsidR="00AF44F0">
        <w:rPr>
          <w:rFonts w:ascii="Arial Narrow" w:hAnsi="Arial Narrow" w:cs="Tahoma"/>
          <w:sz w:val="28"/>
          <w:szCs w:val="28"/>
        </w:rPr>
        <w:t xml:space="preserve">la cual </w:t>
      </w:r>
      <w:r w:rsidR="00E815F0">
        <w:rPr>
          <w:rFonts w:ascii="Arial Narrow" w:hAnsi="Arial Narrow" w:cs="Tahoma"/>
          <w:sz w:val="28"/>
          <w:szCs w:val="28"/>
        </w:rPr>
        <w:t>según se colige de</w:t>
      </w:r>
      <w:r w:rsidR="00220F6A">
        <w:rPr>
          <w:rFonts w:ascii="Arial Narrow" w:hAnsi="Arial Narrow" w:cs="Tahoma"/>
          <w:sz w:val="28"/>
          <w:szCs w:val="28"/>
        </w:rPr>
        <w:t>l documento visible a folio 38, fue radi</w:t>
      </w:r>
      <w:r w:rsidR="00AF44F0">
        <w:rPr>
          <w:rFonts w:ascii="Arial Narrow" w:hAnsi="Arial Narrow" w:cs="Tahoma"/>
          <w:sz w:val="28"/>
          <w:szCs w:val="28"/>
        </w:rPr>
        <w:t xml:space="preserve">cada el 9 de septiembre de 2013, amén de que </w:t>
      </w:r>
      <w:r w:rsidR="00220F6A">
        <w:rPr>
          <w:rFonts w:ascii="Arial Narrow" w:hAnsi="Arial Narrow" w:cs="Tahoma"/>
          <w:sz w:val="28"/>
          <w:szCs w:val="28"/>
        </w:rPr>
        <w:t>la interposición de esta acción judicial data del 3 de junio de 2014 (ver 18</w:t>
      </w:r>
      <w:r w:rsidR="00E815F0">
        <w:rPr>
          <w:rFonts w:ascii="Arial Narrow" w:hAnsi="Arial Narrow" w:cs="Tahoma"/>
          <w:sz w:val="28"/>
          <w:szCs w:val="28"/>
        </w:rPr>
        <w:t>).</w:t>
      </w:r>
    </w:p>
    <w:p w:rsidR="00E815F0" w:rsidRPr="00D973D7" w:rsidRDefault="00E815F0" w:rsidP="00D973D7">
      <w:pPr>
        <w:pStyle w:val="Sinespaciado"/>
      </w:pPr>
    </w:p>
    <w:p w:rsidR="008D1B13" w:rsidRDefault="00BF534D" w:rsidP="000D048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aras de concretar el valor de la condena</w:t>
      </w:r>
      <w:r w:rsidR="00052C39">
        <w:rPr>
          <w:rFonts w:ascii="Arial Narrow" w:hAnsi="Arial Narrow" w:cs="Arial"/>
          <w:sz w:val="28"/>
          <w:szCs w:val="28"/>
          <w:lang w:val="es-ES"/>
        </w:rPr>
        <w:t xml:space="preserve">, se tiene </w:t>
      </w:r>
      <w:r>
        <w:rPr>
          <w:rFonts w:ascii="Arial Narrow" w:hAnsi="Arial Narrow" w:cs="Arial"/>
          <w:sz w:val="28"/>
          <w:szCs w:val="28"/>
          <w:lang w:val="es-ES"/>
        </w:rPr>
        <w:t>que el valor del retroactivo pensional causado desde el 13 de agosto de 2013 al 31 de marzo de 2016, es decir, incluyendo el valor de las mesadas generadas a la emisión de esta providencia, asciende a $</w:t>
      </w:r>
      <w:r w:rsidR="00DD0225">
        <w:rPr>
          <w:rFonts w:ascii="Arial Narrow" w:hAnsi="Arial Narrow" w:cs="Arial"/>
          <w:sz w:val="28"/>
          <w:szCs w:val="28"/>
          <w:lang w:val="es-ES"/>
        </w:rPr>
        <w:t xml:space="preserve"> </w:t>
      </w:r>
      <w:r w:rsidR="00D973D7">
        <w:rPr>
          <w:rFonts w:ascii="Arial Narrow" w:hAnsi="Arial Narrow" w:cs="Arial"/>
          <w:sz w:val="28"/>
          <w:szCs w:val="28"/>
          <w:lang w:val="es-ES"/>
        </w:rPr>
        <w:t>72`341.637</w:t>
      </w:r>
      <w:r w:rsidR="00052C39">
        <w:rPr>
          <w:rFonts w:ascii="Arial Narrow" w:hAnsi="Arial Narrow" w:cs="Arial"/>
          <w:sz w:val="28"/>
          <w:szCs w:val="28"/>
          <w:lang w:val="es-ES"/>
        </w:rPr>
        <w:t>, tal como se ilustra en el cuadro que se pone de presente a los asistentes y que hará parte del acta que se suscriba con ocasión de esta diligencia.</w:t>
      </w:r>
      <w:r w:rsidR="00960495">
        <w:rPr>
          <w:rFonts w:ascii="Arial Narrow" w:hAnsi="Arial Narrow" w:cs="Arial"/>
          <w:sz w:val="28"/>
          <w:szCs w:val="28"/>
          <w:lang w:val="es-ES"/>
        </w:rPr>
        <w:t xml:space="preserve">  </w:t>
      </w:r>
    </w:p>
    <w:p w:rsidR="000D0483" w:rsidRDefault="000D0483" w:rsidP="00960495">
      <w:pPr>
        <w:pStyle w:val="Sinespaciado"/>
        <w:rPr>
          <w:lang w:val="es-ES"/>
        </w:rPr>
      </w:pPr>
    </w:p>
    <w:p w:rsidR="00960495" w:rsidRPr="00EE4608" w:rsidRDefault="00960495" w:rsidP="00960495">
      <w:pPr>
        <w:spacing w:line="360" w:lineRule="auto"/>
        <w:ind w:firstLine="708"/>
        <w:jc w:val="both"/>
        <w:rPr>
          <w:rFonts w:ascii="Arial Narrow" w:hAnsi="Arial Narrow" w:cs="Tahoma"/>
          <w:color w:val="000000"/>
          <w:sz w:val="28"/>
          <w:szCs w:val="28"/>
          <w:shd w:val="clear" w:color="auto" w:fill="FFFFFF"/>
        </w:rPr>
      </w:pPr>
      <w:r w:rsidRPr="00C91EFC">
        <w:rPr>
          <w:rFonts w:ascii="Arial Narrow" w:hAnsi="Arial Narrow" w:cs="Arial"/>
          <w:sz w:val="28"/>
          <w:szCs w:val="28"/>
          <w:lang w:val="es-ES"/>
        </w:rPr>
        <w:t xml:space="preserve">En relación con la condena al pago de los intereses moratorios de que trata el artículo 141 de la Ley 100 de 1993, </w:t>
      </w:r>
      <w:r>
        <w:rPr>
          <w:rFonts w:ascii="Arial Narrow" w:hAnsi="Arial Narrow" w:cs="Arial"/>
          <w:sz w:val="28"/>
          <w:szCs w:val="28"/>
          <w:lang w:val="es-ES"/>
        </w:rPr>
        <w:t>la Ley 717 de 2001 fija un término de máximo de 2 meses para resolver las solicitudes sobre pensión de sobrevivientes e incluirse en nómina al beneficiario, vencidos los cuales, empezarán a correr tales réditos.</w:t>
      </w:r>
    </w:p>
    <w:p w:rsidR="00960495" w:rsidRPr="006B2FED" w:rsidRDefault="00960495" w:rsidP="00960495">
      <w:pPr>
        <w:pStyle w:val="Sinespaciado"/>
      </w:pPr>
    </w:p>
    <w:p w:rsidR="009A73E9" w:rsidRDefault="00960495" w:rsidP="00960495">
      <w:pPr>
        <w:spacing w:line="360" w:lineRule="auto"/>
        <w:ind w:firstLine="708"/>
        <w:jc w:val="both"/>
        <w:rPr>
          <w:rFonts w:ascii="Arial Narrow" w:hAnsi="Arial Narrow" w:cs="Arial"/>
          <w:sz w:val="28"/>
          <w:szCs w:val="28"/>
          <w:lang w:val="es-ES"/>
        </w:rPr>
      </w:pPr>
      <w:r>
        <w:rPr>
          <w:rFonts w:ascii="Arial Narrow" w:hAnsi="Arial Narrow"/>
          <w:sz w:val="28"/>
          <w:szCs w:val="28"/>
        </w:rPr>
        <w:t xml:space="preserve">En ese orden, la reclamación administrativa fue </w:t>
      </w:r>
      <w:r w:rsidR="009F17A8">
        <w:rPr>
          <w:rFonts w:ascii="Arial Narrow" w:hAnsi="Arial Narrow"/>
          <w:sz w:val="28"/>
          <w:szCs w:val="28"/>
        </w:rPr>
        <w:t xml:space="preserve">radicada </w:t>
      </w:r>
      <w:r>
        <w:rPr>
          <w:rFonts w:ascii="Arial Narrow" w:hAnsi="Arial Narrow"/>
          <w:sz w:val="28"/>
          <w:szCs w:val="28"/>
        </w:rPr>
        <w:t>el 9 de septiembre de 2013, por lo que el término legal de 2</w:t>
      </w:r>
      <w:r w:rsidRPr="007F0CBA">
        <w:rPr>
          <w:rFonts w:ascii="Arial Narrow" w:hAnsi="Arial Narrow"/>
          <w:sz w:val="28"/>
          <w:szCs w:val="28"/>
        </w:rPr>
        <w:t xml:space="preserve"> meses para </w:t>
      </w:r>
      <w:r w:rsidRPr="007F0CBA">
        <w:rPr>
          <w:rFonts w:ascii="Arial Narrow" w:hAnsi="Arial Narrow"/>
          <w:sz w:val="28"/>
          <w:szCs w:val="28"/>
          <w:shd w:val="clear" w:color="auto" w:fill="FFFFFF"/>
        </w:rPr>
        <w:t>adoptar las medidas necesarias tendientes al reconocimiento y pago efectivo de las mesadas pensionales,</w:t>
      </w:r>
      <w:r>
        <w:rPr>
          <w:rFonts w:ascii="Arial Narrow" w:hAnsi="Arial Narrow"/>
          <w:sz w:val="28"/>
          <w:szCs w:val="28"/>
          <w:shd w:val="clear" w:color="auto" w:fill="FFFFFF"/>
        </w:rPr>
        <w:t xml:space="preserve"> </w:t>
      </w:r>
      <w:r>
        <w:rPr>
          <w:rFonts w:ascii="Arial Narrow" w:hAnsi="Arial Narrow"/>
          <w:sz w:val="28"/>
          <w:szCs w:val="28"/>
        </w:rPr>
        <w:t xml:space="preserve">vencía el 8 de noviembre de esa </w:t>
      </w:r>
      <w:r w:rsidR="009F17A8">
        <w:rPr>
          <w:rFonts w:ascii="Arial Narrow" w:hAnsi="Arial Narrow"/>
          <w:sz w:val="28"/>
          <w:szCs w:val="28"/>
        </w:rPr>
        <w:t>anualidad</w:t>
      </w:r>
      <w:r>
        <w:rPr>
          <w:rFonts w:ascii="Arial Narrow" w:hAnsi="Arial Narrow"/>
          <w:sz w:val="28"/>
          <w:szCs w:val="28"/>
        </w:rPr>
        <w:t xml:space="preserve">, </w:t>
      </w:r>
      <w:r w:rsidR="009F17A8">
        <w:rPr>
          <w:rFonts w:ascii="Arial Narrow" w:hAnsi="Arial Narrow"/>
          <w:sz w:val="28"/>
          <w:szCs w:val="28"/>
        </w:rPr>
        <w:t xml:space="preserve">sin que la entidad actuara de conformidad, por lo que la imposición de </w:t>
      </w:r>
      <w:r>
        <w:rPr>
          <w:rFonts w:ascii="Arial Narrow" w:hAnsi="Arial Narrow"/>
          <w:sz w:val="28"/>
          <w:szCs w:val="28"/>
        </w:rPr>
        <w:t xml:space="preserve">dichos réditos </w:t>
      </w:r>
      <w:r w:rsidR="009F17A8">
        <w:rPr>
          <w:rFonts w:ascii="Arial Narrow" w:hAnsi="Arial Narrow"/>
          <w:sz w:val="28"/>
          <w:szCs w:val="28"/>
        </w:rPr>
        <w:t xml:space="preserve">es procedente a </w:t>
      </w:r>
      <w:r>
        <w:rPr>
          <w:rFonts w:ascii="Arial Narrow" w:hAnsi="Arial Narrow"/>
          <w:sz w:val="28"/>
          <w:szCs w:val="28"/>
        </w:rPr>
        <w:t>partir del 9 de noviembre de 2013, tal cual lo dispuso la a-quo.</w:t>
      </w:r>
    </w:p>
    <w:p w:rsidR="009A73E9" w:rsidRDefault="009A73E9" w:rsidP="009F17A8">
      <w:pPr>
        <w:pStyle w:val="Sinespaciado"/>
        <w:rPr>
          <w:lang w:val="es-ES"/>
        </w:rPr>
      </w:pPr>
    </w:p>
    <w:p w:rsidR="00B65E88" w:rsidRDefault="00B65E88" w:rsidP="00B65E88">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 por conocerse en consulta.</w:t>
      </w:r>
    </w:p>
    <w:p w:rsidR="00432E76" w:rsidRPr="00DE5426" w:rsidRDefault="00432E76" w:rsidP="00B65E88">
      <w:pPr>
        <w:spacing w:line="360" w:lineRule="auto"/>
        <w:ind w:firstLine="851"/>
        <w:jc w:val="both"/>
        <w:rPr>
          <w:rFonts w:ascii="Arial Narrow" w:hAnsi="Arial Narrow" w:cs="Arial"/>
          <w:iCs/>
          <w:kern w:val="28"/>
          <w:sz w:val="28"/>
          <w:szCs w:val="28"/>
          <w:lang w:val="es-CO"/>
        </w:rPr>
      </w:pPr>
    </w:p>
    <w:p w:rsidR="00B65E88" w:rsidRPr="006B4716" w:rsidRDefault="00B65E88" w:rsidP="00B65E88">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B65E88" w:rsidRPr="00F46F6F" w:rsidRDefault="00B65E88" w:rsidP="00B65E88">
      <w:pPr>
        <w:pStyle w:val="Sinespaciado"/>
      </w:pPr>
    </w:p>
    <w:p w:rsidR="00B65E88" w:rsidRPr="006B4716" w:rsidRDefault="00B65E88" w:rsidP="00B65E88">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B65E88" w:rsidRPr="00D973D7" w:rsidRDefault="00B65E88" w:rsidP="00D973D7">
      <w:pPr>
        <w:pStyle w:val="Sinespaciado"/>
      </w:pPr>
    </w:p>
    <w:p w:rsidR="00B65E88" w:rsidRDefault="009F17A8" w:rsidP="008B1CF2">
      <w:pPr>
        <w:pStyle w:val="Textoindependiente31"/>
        <w:numPr>
          <w:ilvl w:val="0"/>
          <w:numId w:val="1"/>
        </w:numPr>
        <w:ind w:left="0" w:firstLine="709"/>
        <w:rPr>
          <w:rFonts w:ascii="Arial Narrow" w:hAnsi="Arial Narrow" w:cs="Arial"/>
          <w:szCs w:val="28"/>
          <w:lang w:val="es-ES"/>
        </w:rPr>
      </w:pPr>
      <w:r>
        <w:rPr>
          <w:rFonts w:ascii="Arial Narrow" w:hAnsi="Arial Narrow" w:cs="Arial"/>
          <w:b/>
          <w:i/>
          <w:spacing w:val="-2"/>
          <w:szCs w:val="28"/>
        </w:rPr>
        <w:t xml:space="preserve">Modifica </w:t>
      </w:r>
      <w:r w:rsidRPr="008B1CF2">
        <w:rPr>
          <w:rFonts w:ascii="Arial Narrow" w:hAnsi="Arial Narrow" w:cs="Arial"/>
          <w:spacing w:val="-2"/>
          <w:szCs w:val="28"/>
        </w:rPr>
        <w:t xml:space="preserve">el ordinal 4º de la sentencia </w:t>
      </w:r>
      <w:r w:rsidR="00B65E88" w:rsidRPr="008B1CF2">
        <w:rPr>
          <w:rFonts w:ascii="Arial Narrow" w:hAnsi="Arial Narrow" w:cs="Arial"/>
          <w:szCs w:val="28"/>
        </w:rPr>
        <w:t>pr</w:t>
      </w:r>
      <w:r w:rsidR="00B65E88" w:rsidRPr="00E80808">
        <w:rPr>
          <w:rFonts w:ascii="Arial Narrow" w:hAnsi="Arial Narrow" w:cs="Arial"/>
          <w:szCs w:val="28"/>
        </w:rPr>
        <w:t xml:space="preserve">oferida el </w:t>
      </w:r>
      <w:r>
        <w:rPr>
          <w:rFonts w:ascii="Arial Narrow" w:hAnsi="Arial Narrow" w:cs="Arial"/>
          <w:szCs w:val="28"/>
        </w:rPr>
        <w:t>10 de febrero de 2015</w:t>
      </w:r>
      <w:r w:rsidR="00B65E88" w:rsidRPr="00E80808">
        <w:rPr>
          <w:rFonts w:ascii="Arial Narrow" w:hAnsi="Arial Narrow" w:cs="Arial"/>
          <w:szCs w:val="28"/>
        </w:rPr>
        <w:t xml:space="preserve"> por el Juzgado </w:t>
      </w:r>
      <w:r>
        <w:rPr>
          <w:rFonts w:ascii="Arial Narrow" w:hAnsi="Arial Narrow" w:cs="Arial"/>
          <w:szCs w:val="28"/>
        </w:rPr>
        <w:t xml:space="preserve">Primero </w:t>
      </w:r>
      <w:r w:rsidR="00B65E88" w:rsidRPr="00E80808">
        <w:rPr>
          <w:rFonts w:ascii="Arial Narrow" w:hAnsi="Arial Narrow" w:cs="Arial"/>
          <w:szCs w:val="28"/>
        </w:rPr>
        <w:t xml:space="preserve">Laboral del Circuito de Pereira, dentro del proceso ordinario laboral </w:t>
      </w:r>
      <w:r w:rsidR="008B1CF2">
        <w:rPr>
          <w:rFonts w:ascii="Arial Narrow" w:hAnsi="Arial Narrow" w:cs="Arial"/>
          <w:szCs w:val="28"/>
        </w:rPr>
        <w:t xml:space="preserve">que </w:t>
      </w:r>
      <w:r>
        <w:rPr>
          <w:rFonts w:ascii="Arial Narrow" w:hAnsi="Arial Narrow" w:cs="Arial"/>
          <w:b/>
          <w:i/>
          <w:szCs w:val="28"/>
        </w:rPr>
        <w:t>Luz Elena Zapata Arias</w:t>
      </w:r>
      <w:r w:rsidR="008B1CF2">
        <w:rPr>
          <w:rFonts w:ascii="Arial Narrow" w:hAnsi="Arial Narrow" w:cs="Arial"/>
          <w:b/>
          <w:i/>
          <w:szCs w:val="28"/>
        </w:rPr>
        <w:t xml:space="preserve"> </w:t>
      </w:r>
      <w:r w:rsidR="008B1CF2">
        <w:rPr>
          <w:rFonts w:ascii="Arial Narrow" w:hAnsi="Arial Narrow" w:cs="Arial"/>
          <w:szCs w:val="28"/>
        </w:rPr>
        <w:t>le promueve a</w:t>
      </w:r>
      <w:r w:rsidR="00B65E88">
        <w:rPr>
          <w:rFonts w:ascii="Arial Narrow" w:hAnsi="Arial Narrow" w:cs="Arial"/>
          <w:bCs/>
          <w:i/>
          <w:iCs/>
          <w:szCs w:val="28"/>
        </w:rPr>
        <w:t xml:space="preserve"> </w:t>
      </w:r>
      <w:proofErr w:type="spellStart"/>
      <w:r w:rsidR="00B65E88" w:rsidRPr="008213FA">
        <w:rPr>
          <w:rFonts w:ascii="Arial Narrow" w:hAnsi="Arial Narrow" w:cs="Arial"/>
          <w:b/>
          <w:bCs/>
          <w:i/>
          <w:iCs/>
          <w:szCs w:val="28"/>
        </w:rPr>
        <w:t>Colpensiones</w:t>
      </w:r>
      <w:proofErr w:type="spellEnd"/>
      <w:r>
        <w:rPr>
          <w:rFonts w:ascii="Arial Narrow" w:hAnsi="Arial Narrow" w:cs="Arial"/>
          <w:bCs/>
          <w:szCs w:val="28"/>
        </w:rPr>
        <w:t xml:space="preserve">, en el sentido de que la actora tiene derecho a trece mesadas anuales y el valor del </w:t>
      </w:r>
      <w:r w:rsidR="008B1CF2">
        <w:rPr>
          <w:rFonts w:ascii="Arial Narrow" w:hAnsi="Arial Narrow" w:cs="Arial"/>
          <w:bCs/>
          <w:szCs w:val="28"/>
        </w:rPr>
        <w:t xml:space="preserve">retroactivo </w:t>
      </w:r>
      <w:r>
        <w:rPr>
          <w:rFonts w:ascii="Arial Narrow" w:hAnsi="Arial Narrow" w:cs="Arial"/>
          <w:bCs/>
          <w:szCs w:val="28"/>
        </w:rPr>
        <w:t xml:space="preserve">pensional causado desde el </w:t>
      </w:r>
      <w:r>
        <w:rPr>
          <w:rFonts w:ascii="Arial Narrow" w:hAnsi="Arial Narrow" w:cs="Arial"/>
          <w:szCs w:val="28"/>
          <w:lang w:val="es-ES"/>
        </w:rPr>
        <w:t>13 de agosto de 2013 al 31 de marzo de 2016, es decir, incluyendo el valor de las mesadas generadas a la emisión de esta providencia, asciende a $</w:t>
      </w:r>
      <w:r w:rsidR="00D973D7">
        <w:rPr>
          <w:rFonts w:ascii="Arial Narrow" w:hAnsi="Arial Narrow" w:cs="Arial"/>
          <w:szCs w:val="28"/>
          <w:lang w:val="es-ES"/>
        </w:rPr>
        <w:t>72`341.637</w:t>
      </w:r>
      <w:r>
        <w:rPr>
          <w:rFonts w:ascii="Arial Narrow" w:hAnsi="Arial Narrow" w:cs="Arial"/>
          <w:szCs w:val="28"/>
          <w:lang w:val="es-ES"/>
        </w:rPr>
        <w:t>, sin perjuicio de que se sigan generando hasta su solución.</w:t>
      </w:r>
    </w:p>
    <w:p w:rsidR="008B1CF2" w:rsidRPr="00D973D7" w:rsidRDefault="008B1CF2" w:rsidP="00D973D7">
      <w:pPr>
        <w:pStyle w:val="Sinespaciado"/>
      </w:pPr>
    </w:p>
    <w:p w:rsidR="00B65E88" w:rsidRPr="008213FA" w:rsidRDefault="00B65E88" w:rsidP="00B65E88">
      <w:pPr>
        <w:pStyle w:val="Textoindependiente31"/>
        <w:ind w:firstLine="708"/>
        <w:rPr>
          <w:rFonts w:ascii="Arial Narrow" w:hAnsi="Arial Narrow" w:cs="Arial"/>
          <w:bCs/>
          <w:szCs w:val="28"/>
        </w:rPr>
      </w:pPr>
      <w:r w:rsidRPr="008213FA">
        <w:rPr>
          <w:rFonts w:ascii="Arial Narrow" w:hAnsi="Arial Narrow" w:cs="Arial"/>
          <w:b/>
          <w:bCs/>
          <w:i/>
          <w:szCs w:val="28"/>
        </w:rPr>
        <w:t>2.</w:t>
      </w:r>
      <w:r>
        <w:rPr>
          <w:rFonts w:ascii="Arial Narrow" w:hAnsi="Arial Narrow" w:cs="Arial"/>
          <w:bCs/>
          <w:i/>
          <w:szCs w:val="28"/>
        </w:rPr>
        <w:t xml:space="preserve"> </w:t>
      </w:r>
      <w:r>
        <w:rPr>
          <w:rFonts w:ascii="Arial Narrow" w:hAnsi="Arial Narrow" w:cs="Arial"/>
          <w:bCs/>
          <w:szCs w:val="28"/>
        </w:rPr>
        <w:t xml:space="preserve">Sin costas en esta instancia. </w:t>
      </w:r>
    </w:p>
    <w:p w:rsidR="00B65E88" w:rsidRPr="00E80808" w:rsidRDefault="00B65E88" w:rsidP="00B65E88">
      <w:pPr>
        <w:pStyle w:val="Sinespaciado"/>
        <w:rPr>
          <w:lang w:val="es-ES"/>
        </w:rPr>
      </w:pPr>
    </w:p>
    <w:p w:rsidR="00B65E88" w:rsidRPr="00E80808" w:rsidRDefault="00B65E88" w:rsidP="00B65E88">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B65E88" w:rsidRPr="00E80808" w:rsidRDefault="00B65E88" w:rsidP="00B65E88">
      <w:pPr>
        <w:pStyle w:val="Sinespaciado"/>
        <w:rPr>
          <w:lang w:val="es-ES"/>
        </w:rPr>
      </w:pPr>
    </w:p>
    <w:p w:rsidR="00B65E88" w:rsidRPr="00E80808" w:rsidRDefault="00B65E88" w:rsidP="00B65E88">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B65E88" w:rsidRDefault="00B65E88" w:rsidP="00B65E88">
      <w:pPr>
        <w:ind w:firstLine="900"/>
        <w:jc w:val="center"/>
        <w:rPr>
          <w:rFonts w:ascii="Arial Narrow" w:hAnsi="Arial Narrow" w:cs="Microsoft Sans Serif"/>
          <w:b/>
          <w:bCs/>
          <w:iCs/>
          <w:sz w:val="28"/>
          <w:szCs w:val="28"/>
          <w:lang w:val="es-ES"/>
        </w:rPr>
      </w:pPr>
    </w:p>
    <w:p w:rsidR="00B65E88" w:rsidRDefault="00B65E88" w:rsidP="00D973D7">
      <w:pPr>
        <w:pStyle w:val="Sinespaciado"/>
        <w:spacing w:line="360" w:lineRule="auto"/>
        <w:rPr>
          <w:lang w:val="es-ES"/>
        </w:rPr>
      </w:pPr>
    </w:p>
    <w:p w:rsidR="00B65E88" w:rsidRDefault="00B65E88" w:rsidP="00B65E88">
      <w:pPr>
        <w:ind w:firstLine="900"/>
        <w:jc w:val="center"/>
        <w:rPr>
          <w:rFonts w:ascii="Arial Narrow" w:hAnsi="Arial Narrow" w:cs="Microsoft Sans Serif"/>
          <w:b/>
          <w:bCs/>
          <w:iCs/>
          <w:sz w:val="28"/>
          <w:szCs w:val="28"/>
          <w:lang w:val="es-ES"/>
        </w:rPr>
      </w:pPr>
    </w:p>
    <w:p w:rsidR="00B65E88" w:rsidRPr="00E80808" w:rsidRDefault="00B65E88" w:rsidP="00D973D7">
      <w:pPr>
        <w:ind w:firstLine="900"/>
        <w:jc w:val="center"/>
        <w:rPr>
          <w:rFonts w:ascii="Arial Narrow" w:hAnsi="Arial Narrow" w:cs="Microsoft Sans Serif"/>
          <w:b/>
          <w:bCs/>
          <w:iCs/>
          <w:sz w:val="28"/>
          <w:szCs w:val="28"/>
          <w:lang w:val="es-ES"/>
        </w:rPr>
      </w:pPr>
    </w:p>
    <w:p w:rsidR="00B65E88" w:rsidRPr="00E80808" w:rsidRDefault="00B65E88" w:rsidP="00D973D7">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B65E88" w:rsidRPr="00E80808" w:rsidRDefault="00B65E88" w:rsidP="00D973D7">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B65E88" w:rsidRPr="00E80808" w:rsidRDefault="00B65E88" w:rsidP="00D973D7">
      <w:pPr>
        <w:pStyle w:val="Sinespaciado"/>
        <w:rPr>
          <w:lang w:val="es-ES"/>
        </w:rPr>
      </w:pPr>
    </w:p>
    <w:p w:rsidR="00B65E88" w:rsidRDefault="00B65E88" w:rsidP="00D973D7">
      <w:pPr>
        <w:pStyle w:val="Sinespaciado"/>
        <w:rPr>
          <w:lang w:val="es-ES"/>
        </w:rPr>
      </w:pPr>
    </w:p>
    <w:p w:rsidR="00D973D7" w:rsidRDefault="00D973D7" w:rsidP="00D973D7">
      <w:pPr>
        <w:pStyle w:val="Sinespaciado"/>
        <w:rPr>
          <w:lang w:val="es-ES"/>
        </w:rPr>
      </w:pPr>
    </w:p>
    <w:p w:rsidR="00D973D7" w:rsidRDefault="00D973D7" w:rsidP="00D973D7">
      <w:pPr>
        <w:pStyle w:val="Sinespaciado"/>
        <w:rPr>
          <w:lang w:val="es-ES"/>
        </w:rPr>
      </w:pPr>
    </w:p>
    <w:p w:rsidR="00B65E88" w:rsidRPr="00E80808" w:rsidRDefault="00B65E88" w:rsidP="00D973D7">
      <w:pPr>
        <w:jc w:val="both"/>
        <w:rPr>
          <w:rFonts w:ascii="Arial Narrow" w:hAnsi="Arial Narrow" w:cs="Microsoft Sans Serif"/>
          <w:b/>
          <w:bCs/>
          <w:iCs/>
          <w:sz w:val="28"/>
          <w:szCs w:val="28"/>
          <w:lang w:val="es-ES"/>
        </w:rPr>
      </w:pPr>
    </w:p>
    <w:p w:rsidR="00B65E88" w:rsidRPr="00E80808" w:rsidRDefault="00B65E88" w:rsidP="00D973D7">
      <w:pPr>
        <w:jc w:val="both"/>
        <w:rPr>
          <w:rFonts w:ascii="Arial Narrow" w:hAnsi="Arial Narrow" w:cs="Microsoft Sans Serif"/>
          <w:b/>
          <w:bCs/>
          <w:iCs/>
          <w:sz w:val="28"/>
          <w:szCs w:val="28"/>
          <w:lang w:val="es-ES"/>
        </w:rPr>
      </w:pPr>
    </w:p>
    <w:p w:rsidR="00B65E88" w:rsidRPr="00E80808" w:rsidRDefault="008B1CF2" w:rsidP="00D973D7">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ANA LUCIA CAICEDO CALDERON </w:t>
      </w:r>
      <w:r w:rsidRPr="00E80808">
        <w:rPr>
          <w:rFonts w:ascii="Arial Narrow" w:hAnsi="Arial Narrow" w:cs="Microsoft Sans Serif"/>
          <w:b/>
          <w:bCs/>
          <w:iCs/>
          <w:sz w:val="28"/>
          <w:szCs w:val="28"/>
          <w:lang w:val="es-ES"/>
        </w:rPr>
        <w:t xml:space="preserve">                 </w:t>
      </w:r>
    </w:p>
    <w:p w:rsidR="00B65E88" w:rsidRDefault="00B65E88" w:rsidP="00D973D7">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w:t>
      </w:r>
      <w:r w:rsidR="008B1CF2">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B1CF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B65E88" w:rsidRDefault="00B65E88" w:rsidP="00D973D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D973D7" w:rsidRDefault="00D973D7" w:rsidP="00D973D7">
      <w:pPr>
        <w:jc w:val="both"/>
        <w:rPr>
          <w:rFonts w:ascii="Arial Narrow" w:hAnsi="Arial Narrow" w:cs="Microsoft Sans Serif"/>
          <w:bCs/>
          <w:iCs/>
          <w:sz w:val="28"/>
          <w:szCs w:val="28"/>
          <w:lang w:val="es-ES"/>
        </w:rPr>
      </w:pPr>
    </w:p>
    <w:p w:rsidR="00D973D7" w:rsidRDefault="00D973D7" w:rsidP="00D973D7">
      <w:pPr>
        <w:jc w:val="both"/>
        <w:rPr>
          <w:rFonts w:ascii="Arial Narrow" w:hAnsi="Arial Narrow" w:cs="Microsoft Sans Serif"/>
          <w:bCs/>
          <w:iCs/>
          <w:sz w:val="28"/>
          <w:szCs w:val="28"/>
          <w:lang w:val="es-ES"/>
        </w:rPr>
      </w:pPr>
    </w:p>
    <w:p w:rsidR="00D973D7" w:rsidRDefault="00D973D7" w:rsidP="00D973D7">
      <w:pPr>
        <w:jc w:val="both"/>
        <w:rPr>
          <w:rFonts w:ascii="Arial Narrow" w:hAnsi="Arial Narrow" w:cs="Microsoft Sans Serif"/>
          <w:bCs/>
          <w:iCs/>
          <w:sz w:val="28"/>
          <w:szCs w:val="28"/>
          <w:lang w:val="es-ES"/>
        </w:rPr>
      </w:pPr>
    </w:p>
    <w:p w:rsidR="00B65E88" w:rsidRPr="00E80808" w:rsidRDefault="00B65E88" w:rsidP="00D973D7">
      <w:pPr>
        <w:ind w:left="708" w:firstLine="708"/>
        <w:jc w:val="both"/>
        <w:rPr>
          <w:rFonts w:ascii="Arial Narrow" w:hAnsi="Arial Narrow" w:cs="Microsoft Sans Serif"/>
          <w:b/>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008B1CF2">
        <w:rPr>
          <w:rFonts w:ascii="Arial Narrow" w:hAnsi="Arial Narrow" w:cs="Microsoft Sans Serif"/>
          <w:b/>
          <w:bCs/>
          <w:iCs/>
          <w:sz w:val="28"/>
          <w:szCs w:val="28"/>
          <w:lang w:val="es-ES"/>
        </w:rPr>
        <w:t>Leonardo Cortés Pérez</w:t>
      </w:r>
    </w:p>
    <w:p w:rsidR="00B65E88" w:rsidRDefault="00B65E88" w:rsidP="00D973D7">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8B1CF2">
        <w:rPr>
          <w:rFonts w:ascii="Arial Narrow" w:hAnsi="Arial Narrow" w:cs="Microsoft Sans Serif"/>
          <w:iCs/>
          <w:sz w:val="28"/>
          <w:szCs w:val="28"/>
          <w:lang w:val="es-ES"/>
        </w:rPr>
        <w:t>Secretario</w:t>
      </w:r>
    </w:p>
    <w:p w:rsidR="00D973D7" w:rsidRDefault="00D973D7" w:rsidP="00D973D7">
      <w:pPr>
        <w:ind w:firstLine="900"/>
        <w:rPr>
          <w:rFonts w:ascii="Arial Narrow" w:hAnsi="Arial Narrow" w:cs="Microsoft Sans Serif"/>
          <w:iCs/>
          <w:sz w:val="28"/>
          <w:szCs w:val="28"/>
          <w:lang w:val="es-ES"/>
        </w:rPr>
      </w:pPr>
    </w:p>
    <w:p w:rsidR="00D973D7" w:rsidRDefault="00D973D7" w:rsidP="00D973D7">
      <w:pPr>
        <w:ind w:firstLine="900"/>
        <w:rPr>
          <w:rFonts w:ascii="Arial Narrow" w:hAnsi="Arial Narrow" w:cs="Microsoft Sans Serif"/>
          <w:iCs/>
          <w:sz w:val="28"/>
          <w:szCs w:val="28"/>
          <w:lang w:val="es-ES"/>
        </w:rPr>
      </w:pPr>
    </w:p>
    <w:p w:rsidR="00D973D7" w:rsidRDefault="00D973D7" w:rsidP="00D973D7">
      <w:pPr>
        <w:ind w:firstLine="900"/>
        <w:rPr>
          <w:rFonts w:ascii="Arial Narrow" w:hAnsi="Arial Narrow" w:cs="Microsoft Sans Serif"/>
          <w:iCs/>
          <w:sz w:val="28"/>
          <w:szCs w:val="28"/>
          <w:lang w:val="es-ES"/>
        </w:rPr>
      </w:pPr>
    </w:p>
    <w:p w:rsidR="00432E76" w:rsidRDefault="00432E76" w:rsidP="00D973D7">
      <w:pPr>
        <w:ind w:firstLine="900"/>
        <w:rPr>
          <w:rFonts w:ascii="Arial Narrow" w:hAnsi="Arial Narrow" w:cs="Microsoft Sans Serif"/>
          <w:iCs/>
          <w:sz w:val="28"/>
          <w:szCs w:val="28"/>
          <w:lang w:val="es-ES"/>
        </w:rPr>
      </w:pPr>
    </w:p>
    <w:p w:rsidR="00432E76" w:rsidRDefault="00432E76" w:rsidP="00D973D7">
      <w:pPr>
        <w:ind w:firstLine="900"/>
        <w:rPr>
          <w:rFonts w:ascii="Arial Narrow" w:hAnsi="Arial Narrow" w:cs="Microsoft Sans Serif"/>
          <w:iCs/>
          <w:sz w:val="28"/>
          <w:szCs w:val="28"/>
          <w:lang w:val="es-ES"/>
        </w:rPr>
      </w:pPr>
    </w:p>
    <w:p w:rsidR="00432E76" w:rsidRDefault="00432E76" w:rsidP="00D973D7">
      <w:pPr>
        <w:ind w:firstLine="900"/>
        <w:rPr>
          <w:rFonts w:ascii="Arial Narrow" w:hAnsi="Arial Narrow" w:cs="Microsoft Sans Serif"/>
          <w:iCs/>
          <w:sz w:val="28"/>
          <w:szCs w:val="28"/>
          <w:lang w:val="es-ES"/>
        </w:rPr>
      </w:pPr>
    </w:p>
    <w:p w:rsidR="00432E76" w:rsidRDefault="00432E76" w:rsidP="00D973D7">
      <w:pPr>
        <w:ind w:firstLine="900"/>
        <w:rPr>
          <w:rFonts w:ascii="Arial Narrow" w:hAnsi="Arial Narrow" w:cs="Microsoft Sans Serif"/>
          <w:iCs/>
          <w:sz w:val="28"/>
          <w:szCs w:val="28"/>
          <w:lang w:val="es-ES"/>
        </w:rPr>
      </w:pPr>
    </w:p>
    <w:p w:rsidR="00432E76" w:rsidRDefault="00432E76" w:rsidP="00D973D7">
      <w:pPr>
        <w:ind w:firstLine="900"/>
        <w:rPr>
          <w:rFonts w:ascii="Arial Narrow" w:hAnsi="Arial Narrow" w:cs="Microsoft Sans Serif"/>
          <w:iCs/>
          <w:sz w:val="28"/>
          <w:szCs w:val="28"/>
          <w:lang w:val="es-ES"/>
        </w:rPr>
      </w:pPr>
    </w:p>
    <w:p w:rsidR="00432E76" w:rsidRDefault="00432E76" w:rsidP="00D973D7">
      <w:pPr>
        <w:ind w:firstLine="900"/>
        <w:rPr>
          <w:rFonts w:ascii="Arial Narrow" w:hAnsi="Arial Narrow" w:cs="Microsoft Sans Serif"/>
          <w:iCs/>
          <w:sz w:val="28"/>
          <w:szCs w:val="28"/>
          <w:lang w:val="es-ES"/>
        </w:rPr>
      </w:pPr>
    </w:p>
    <w:p w:rsidR="00D973D7" w:rsidRDefault="00D973D7" w:rsidP="00D973D7">
      <w:pPr>
        <w:ind w:firstLine="900"/>
        <w:rPr>
          <w:rFonts w:ascii="Arial Narrow" w:hAnsi="Arial Narrow" w:cs="Microsoft Sans Serif"/>
          <w:iCs/>
          <w:sz w:val="28"/>
          <w:szCs w:val="28"/>
          <w:lang w:val="es-ES"/>
        </w:rPr>
      </w:pPr>
    </w:p>
    <w:p w:rsidR="00D973D7" w:rsidRPr="00D973D7" w:rsidRDefault="00D973D7" w:rsidP="00D973D7">
      <w:pPr>
        <w:pStyle w:val="Sinespaciado"/>
        <w:jc w:val="center"/>
        <w:rPr>
          <w:rFonts w:ascii="Arial Narrow" w:hAnsi="Arial Narrow"/>
          <w:b/>
          <w:sz w:val="28"/>
          <w:szCs w:val="28"/>
          <w:lang w:val="es-ES"/>
        </w:rPr>
      </w:pPr>
    </w:p>
    <w:p w:rsidR="00D973D7" w:rsidRPr="00D973D7" w:rsidRDefault="00D973D7" w:rsidP="00D973D7">
      <w:pPr>
        <w:pStyle w:val="Sinespaciado"/>
        <w:jc w:val="center"/>
        <w:rPr>
          <w:rFonts w:ascii="Arial Narrow" w:hAnsi="Arial Narrow"/>
          <w:b/>
          <w:sz w:val="28"/>
          <w:szCs w:val="28"/>
          <w:lang w:val="es-ES"/>
        </w:rPr>
      </w:pPr>
      <w:r w:rsidRPr="00D973D7">
        <w:rPr>
          <w:rFonts w:ascii="Arial Narrow" w:hAnsi="Arial Narrow"/>
          <w:b/>
          <w:sz w:val="28"/>
          <w:szCs w:val="28"/>
          <w:lang w:val="es-ES"/>
        </w:rPr>
        <w:lastRenderedPageBreak/>
        <w:t>ANEXO I</w:t>
      </w:r>
    </w:p>
    <w:p w:rsidR="00D973D7" w:rsidRPr="00D973D7" w:rsidRDefault="00D973D7" w:rsidP="00D973D7">
      <w:pPr>
        <w:pStyle w:val="Sinespaciado"/>
        <w:jc w:val="center"/>
        <w:rPr>
          <w:rFonts w:ascii="Arial Narrow" w:hAnsi="Arial Narrow"/>
          <w:b/>
          <w:sz w:val="28"/>
          <w:szCs w:val="28"/>
          <w:lang w:val="es-ES"/>
        </w:rPr>
      </w:pPr>
      <w:r w:rsidRPr="00D973D7">
        <w:rPr>
          <w:rFonts w:ascii="Arial Narrow" w:hAnsi="Arial Narrow"/>
          <w:b/>
          <w:sz w:val="28"/>
          <w:szCs w:val="28"/>
          <w:lang w:val="es-ES"/>
        </w:rPr>
        <w:t>RETROACTIVO PENSIONAL</w:t>
      </w:r>
    </w:p>
    <w:p w:rsidR="00D84850" w:rsidRPr="00D973D7" w:rsidRDefault="009B5A06" w:rsidP="00D973D7">
      <w:pPr>
        <w:pStyle w:val="Sinespaciado"/>
      </w:pPr>
    </w:p>
    <w:p w:rsidR="00D973D7" w:rsidRDefault="00D973D7" w:rsidP="00D973D7">
      <w:pPr>
        <w:pStyle w:val="Sinespaciado"/>
        <w:jc w:val="center"/>
        <w:rPr>
          <w:rFonts w:ascii="Arial Narrow" w:hAnsi="Arial Narrow"/>
          <w:b/>
          <w:sz w:val="28"/>
          <w:szCs w:val="28"/>
        </w:rPr>
      </w:pPr>
    </w:p>
    <w:p w:rsidR="00D973D7" w:rsidRDefault="00D973D7" w:rsidP="00D973D7">
      <w:pPr>
        <w:pStyle w:val="Sinespaciado"/>
        <w:jc w:val="center"/>
        <w:rPr>
          <w:rFonts w:ascii="Arial Narrow" w:hAnsi="Arial Narrow"/>
          <w:b/>
          <w:sz w:val="28"/>
          <w:szCs w:val="28"/>
        </w:rPr>
      </w:pPr>
    </w:p>
    <w:tbl>
      <w:tblPr>
        <w:tblW w:w="7024" w:type="dxa"/>
        <w:tblInd w:w="1604" w:type="dxa"/>
        <w:tblCellMar>
          <w:left w:w="70" w:type="dxa"/>
          <w:right w:w="70" w:type="dxa"/>
        </w:tblCellMar>
        <w:tblLook w:val="04A0" w:firstRow="1" w:lastRow="0" w:firstColumn="1" w:lastColumn="0" w:noHBand="0" w:noVBand="1"/>
      </w:tblPr>
      <w:tblGrid>
        <w:gridCol w:w="1405"/>
        <w:gridCol w:w="186"/>
        <w:gridCol w:w="1104"/>
        <w:gridCol w:w="186"/>
        <w:gridCol w:w="947"/>
        <w:gridCol w:w="1598"/>
        <w:gridCol w:w="1598"/>
      </w:tblGrid>
      <w:tr w:rsidR="00D973D7" w:rsidRPr="00D973D7" w:rsidTr="00D973D7">
        <w:trPr>
          <w:trHeight w:val="450"/>
        </w:trPr>
        <w:tc>
          <w:tcPr>
            <w:tcW w:w="1405" w:type="dxa"/>
            <w:tcBorders>
              <w:top w:val="single" w:sz="4" w:space="0" w:color="808000"/>
              <w:left w:val="single" w:sz="4" w:space="0" w:color="808000"/>
              <w:bottom w:val="nil"/>
              <w:right w:val="single" w:sz="4" w:space="0" w:color="808000"/>
            </w:tcBorders>
            <w:shd w:val="clear" w:color="000000" w:fill="FFFF99"/>
            <w:vAlign w:val="center"/>
            <w:hideMark/>
          </w:tcPr>
          <w:p w:rsidR="00D973D7" w:rsidRPr="00D973D7" w:rsidRDefault="00D973D7" w:rsidP="00D973D7">
            <w:pPr>
              <w:jc w:val="center"/>
              <w:rPr>
                <w:rFonts w:ascii="Arial Narrow" w:hAnsi="Arial Narrow"/>
                <w:b/>
                <w:bCs/>
                <w:color w:val="000000"/>
                <w:sz w:val="16"/>
                <w:szCs w:val="16"/>
                <w:lang w:val="es-CO" w:eastAsia="es-CO"/>
              </w:rPr>
            </w:pPr>
            <w:r w:rsidRPr="00D973D7">
              <w:rPr>
                <w:rFonts w:ascii="Arial Narrow" w:hAnsi="Arial Narrow"/>
                <w:b/>
                <w:bCs/>
                <w:color w:val="000000"/>
                <w:sz w:val="16"/>
                <w:szCs w:val="16"/>
                <w:lang w:val="es-CO" w:eastAsia="es-CO"/>
              </w:rPr>
              <w:t>Año</w:t>
            </w:r>
          </w:p>
        </w:tc>
        <w:tc>
          <w:tcPr>
            <w:tcW w:w="1290" w:type="dxa"/>
            <w:gridSpan w:val="2"/>
            <w:tcBorders>
              <w:top w:val="single" w:sz="4" w:space="0" w:color="808000"/>
              <w:left w:val="nil"/>
              <w:bottom w:val="nil"/>
              <w:right w:val="single" w:sz="4" w:space="0" w:color="808000"/>
            </w:tcBorders>
            <w:shd w:val="clear" w:color="000000" w:fill="FFFF99"/>
            <w:vAlign w:val="center"/>
            <w:hideMark/>
          </w:tcPr>
          <w:p w:rsidR="00D973D7" w:rsidRPr="00D973D7" w:rsidRDefault="00D973D7" w:rsidP="00D973D7">
            <w:pPr>
              <w:jc w:val="center"/>
              <w:rPr>
                <w:rFonts w:ascii="Arial Narrow" w:hAnsi="Arial Narrow"/>
                <w:b/>
                <w:bCs/>
                <w:color w:val="000000"/>
                <w:sz w:val="16"/>
                <w:szCs w:val="16"/>
                <w:lang w:val="es-CO" w:eastAsia="es-CO"/>
              </w:rPr>
            </w:pPr>
            <w:r w:rsidRPr="00D973D7">
              <w:rPr>
                <w:rFonts w:ascii="Arial Narrow" w:hAnsi="Arial Narrow"/>
                <w:b/>
                <w:bCs/>
                <w:color w:val="000000"/>
                <w:sz w:val="16"/>
                <w:szCs w:val="16"/>
                <w:lang w:val="es-CO" w:eastAsia="es-CO"/>
              </w:rPr>
              <w:t>IPC</w:t>
            </w:r>
            <w:r w:rsidRPr="00D973D7">
              <w:rPr>
                <w:rFonts w:ascii="Arial Narrow" w:hAnsi="Arial Narrow"/>
                <w:b/>
                <w:bCs/>
                <w:sz w:val="16"/>
                <w:szCs w:val="16"/>
                <w:lang w:val="es-CO" w:eastAsia="es-CO"/>
              </w:rPr>
              <w:t xml:space="preserve">   (Var. Año anterior)</w:t>
            </w:r>
          </w:p>
        </w:tc>
        <w:tc>
          <w:tcPr>
            <w:tcW w:w="1133" w:type="dxa"/>
            <w:gridSpan w:val="2"/>
            <w:tcBorders>
              <w:top w:val="single" w:sz="4" w:space="0" w:color="808000"/>
              <w:left w:val="nil"/>
              <w:bottom w:val="nil"/>
              <w:right w:val="single" w:sz="4" w:space="0" w:color="808000"/>
            </w:tcBorders>
            <w:shd w:val="clear" w:color="000000" w:fill="FFFF99"/>
            <w:vAlign w:val="center"/>
            <w:hideMark/>
          </w:tcPr>
          <w:p w:rsidR="00D973D7" w:rsidRPr="00D973D7" w:rsidRDefault="00D973D7" w:rsidP="00D973D7">
            <w:pPr>
              <w:jc w:val="center"/>
              <w:rPr>
                <w:rFonts w:ascii="Arial Narrow" w:hAnsi="Arial Narrow"/>
                <w:b/>
                <w:bCs/>
                <w:color w:val="000000"/>
                <w:sz w:val="16"/>
                <w:szCs w:val="16"/>
                <w:lang w:val="es-CO" w:eastAsia="es-CO"/>
              </w:rPr>
            </w:pPr>
            <w:r w:rsidRPr="00D973D7">
              <w:rPr>
                <w:rFonts w:ascii="Arial Narrow" w:hAnsi="Arial Narrow"/>
                <w:b/>
                <w:bCs/>
                <w:color w:val="000000"/>
                <w:sz w:val="16"/>
                <w:szCs w:val="16"/>
                <w:lang w:val="es-CO" w:eastAsia="es-CO"/>
              </w:rPr>
              <w:t>Causadas</w:t>
            </w:r>
          </w:p>
        </w:tc>
        <w:tc>
          <w:tcPr>
            <w:tcW w:w="1598" w:type="dxa"/>
            <w:tcBorders>
              <w:top w:val="single" w:sz="4" w:space="0" w:color="808000"/>
              <w:left w:val="nil"/>
              <w:bottom w:val="nil"/>
              <w:right w:val="single" w:sz="4" w:space="0" w:color="808000"/>
            </w:tcBorders>
            <w:shd w:val="clear" w:color="000000" w:fill="FFFF99"/>
            <w:vAlign w:val="center"/>
            <w:hideMark/>
          </w:tcPr>
          <w:p w:rsidR="00D973D7" w:rsidRPr="00D973D7" w:rsidRDefault="00D973D7" w:rsidP="00D973D7">
            <w:pPr>
              <w:jc w:val="cente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Valor mesada</w:t>
            </w:r>
          </w:p>
        </w:tc>
        <w:tc>
          <w:tcPr>
            <w:tcW w:w="1598" w:type="dxa"/>
            <w:tcBorders>
              <w:top w:val="single" w:sz="4" w:space="0" w:color="808000"/>
              <w:left w:val="nil"/>
              <w:bottom w:val="nil"/>
              <w:right w:val="single" w:sz="4" w:space="0" w:color="808000"/>
            </w:tcBorders>
            <w:shd w:val="clear" w:color="000000" w:fill="FFFF99"/>
            <w:vAlign w:val="center"/>
            <w:hideMark/>
          </w:tcPr>
          <w:p w:rsidR="00D973D7" w:rsidRPr="00D973D7" w:rsidRDefault="00D973D7" w:rsidP="00D973D7">
            <w:pPr>
              <w:jc w:val="center"/>
              <w:rPr>
                <w:rFonts w:ascii="Arial Narrow" w:hAnsi="Arial Narrow"/>
                <w:b/>
                <w:bCs/>
                <w:color w:val="000000"/>
                <w:sz w:val="16"/>
                <w:szCs w:val="16"/>
                <w:lang w:val="es-CO" w:eastAsia="es-CO"/>
              </w:rPr>
            </w:pPr>
            <w:r>
              <w:rPr>
                <w:rFonts w:ascii="Arial Narrow" w:hAnsi="Arial Narrow"/>
                <w:b/>
                <w:bCs/>
                <w:color w:val="000000"/>
                <w:sz w:val="16"/>
                <w:szCs w:val="16"/>
                <w:lang w:val="es-CO" w:eastAsia="es-CO"/>
              </w:rPr>
              <w:t>Total</w:t>
            </w:r>
            <w:r w:rsidRPr="00D973D7">
              <w:rPr>
                <w:rFonts w:ascii="Arial Narrow" w:hAnsi="Arial Narrow"/>
                <w:b/>
                <w:bCs/>
                <w:color w:val="000000"/>
                <w:sz w:val="16"/>
                <w:szCs w:val="16"/>
                <w:lang w:val="es-CO" w:eastAsia="es-CO"/>
              </w:rPr>
              <w:t> </w:t>
            </w:r>
          </w:p>
        </w:tc>
      </w:tr>
      <w:tr w:rsidR="00D973D7" w:rsidRPr="00D973D7" w:rsidTr="00D973D7">
        <w:trPr>
          <w:trHeight w:val="375"/>
        </w:trPr>
        <w:tc>
          <w:tcPr>
            <w:tcW w:w="1405"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2008</w:t>
            </w:r>
          </w:p>
        </w:tc>
        <w:tc>
          <w:tcPr>
            <w:tcW w:w="1290" w:type="dxa"/>
            <w:gridSpan w:val="2"/>
            <w:tcBorders>
              <w:top w:val="single" w:sz="4" w:space="0" w:color="003366"/>
              <w:left w:val="nil"/>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3,73</w:t>
            </w:r>
          </w:p>
        </w:tc>
        <w:tc>
          <w:tcPr>
            <w:tcW w:w="1133" w:type="dxa"/>
            <w:gridSpan w:val="2"/>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w:t>
            </w:r>
          </w:p>
        </w:tc>
        <w:tc>
          <w:tcPr>
            <w:tcW w:w="1598" w:type="dxa"/>
            <w:tcBorders>
              <w:top w:val="single" w:sz="4" w:space="0" w:color="003366"/>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1.670.206 </w:t>
            </w:r>
          </w:p>
        </w:tc>
        <w:tc>
          <w:tcPr>
            <w:tcW w:w="1598" w:type="dxa"/>
            <w:tcBorders>
              <w:top w:val="single" w:sz="4" w:space="0" w:color="003366"/>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2009</w:t>
            </w:r>
          </w:p>
        </w:tc>
        <w:tc>
          <w:tcPr>
            <w:tcW w:w="1290" w:type="dxa"/>
            <w:gridSpan w:val="2"/>
            <w:tcBorders>
              <w:top w:val="nil"/>
              <w:left w:val="nil"/>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7,67</w:t>
            </w:r>
          </w:p>
        </w:tc>
        <w:tc>
          <w:tcPr>
            <w:tcW w:w="1133"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w:t>
            </w:r>
          </w:p>
        </w:tc>
        <w:tc>
          <w:tcPr>
            <w:tcW w:w="1598" w:type="dxa"/>
            <w:tcBorders>
              <w:top w:val="nil"/>
              <w:left w:val="nil"/>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1.798.311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2010</w:t>
            </w:r>
          </w:p>
        </w:tc>
        <w:tc>
          <w:tcPr>
            <w:tcW w:w="1290" w:type="dxa"/>
            <w:gridSpan w:val="2"/>
            <w:tcBorders>
              <w:top w:val="nil"/>
              <w:left w:val="nil"/>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2,00</w:t>
            </w:r>
          </w:p>
        </w:tc>
        <w:tc>
          <w:tcPr>
            <w:tcW w:w="1133"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w:t>
            </w:r>
          </w:p>
        </w:tc>
        <w:tc>
          <w:tcPr>
            <w:tcW w:w="1598" w:type="dxa"/>
            <w:tcBorders>
              <w:top w:val="nil"/>
              <w:left w:val="nil"/>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1.834.277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2011</w:t>
            </w:r>
          </w:p>
        </w:tc>
        <w:tc>
          <w:tcPr>
            <w:tcW w:w="1290" w:type="dxa"/>
            <w:gridSpan w:val="2"/>
            <w:tcBorders>
              <w:top w:val="nil"/>
              <w:left w:val="nil"/>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3,17</w:t>
            </w:r>
          </w:p>
        </w:tc>
        <w:tc>
          <w:tcPr>
            <w:tcW w:w="1133"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w:t>
            </w:r>
          </w:p>
        </w:tc>
        <w:tc>
          <w:tcPr>
            <w:tcW w:w="1598" w:type="dxa"/>
            <w:tcBorders>
              <w:top w:val="nil"/>
              <w:left w:val="nil"/>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1.892.446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2012</w:t>
            </w:r>
          </w:p>
        </w:tc>
        <w:tc>
          <w:tcPr>
            <w:tcW w:w="1290" w:type="dxa"/>
            <w:gridSpan w:val="2"/>
            <w:tcBorders>
              <w:top w:val="nil"/>
              <w:left w:val="nil"/>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3,73</w:t>
            </w:r>
          </w:p>
        </w:tc>
        <w:tc>
          <w:tcPr>
            <w:tcW w:w="1133"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w:t>
            </w:r>
          </w:p>
        </w:tc>
        <w:tc>
          <w:tcPr>
            <w:tcW w:w="1598" w:type="dxa"/>
            <w:tcBorders>
              <w:top w:val="nil"/>
              <w:left w:val="nil"/>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1.963.034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2013</w:t>
            </w:r>
          </w:p>
        </w:tc>
        <w:tc>
          <w:tcPr>
            <w:tcW w:w="1290"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2,44</w:t>
            </w:r>
          </w:p>
        </w:tc>
        <w:tc>
          <w:tcPr>
            <w:tcW w:w="1133"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5,60</w:t>
            </w:r>
          </w:p>
        </w:tc>
        <w:tc>
          <w:tcPr>
            <w:tcW w:w="1598" w:type="dxa"/>
            <w:tcBorders>
              <w:top w:val="nil"/>
              <w:left w:val="nil"/>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2.010.932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11.261.221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2014</w:t>
            </w:r>
          </w:p>
        </w:tc>
        <w:tc>
          <w:tcPr>
            <w:tcW w:w="1290"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1,94</w:t>
            </w:r>
          </w:p>
        </w:tc>
        <w:tc>
          <w:tcPr>
            <w:tcW w:w="1133"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13,00</w:t>
            </w:r>
          </w:p>
        </w:tc>
        <w:tc>
          <w:tcPr>
            <w:tcW w:w="1598" w:type="dxa"/>
            <w:tcBorders>
              <w:top w:val="nil"/>
              <w:left w:val="nil"/>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2.049.944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26.649.277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2015</w:t>
            </w:r>
          </w:p>
        </w:tc>
        <w:tc>
          <w:tcPr>
            <w:tcW w:w="1290"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3,66</w:t>
            </w:r>
          </w:p>
        </w:tc>
        <w:tc>
          <w:tcPr>
            <w:tcW w:w="1133"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13,00</w:t>
            </w:r>
          </w:p>
        </w:tc>
        <w:tc>
          <w:tcPr>
            <w:tcW w:w="1598" w:type="dxa"/>
            <w:tcBorders>
              <w:top w:val="nil"/>
              <w:left w:val="nil"/>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2.124.972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27.624.640 </w:t>
            </w:r>
          </w:p>
        </w:tc>
      </w:tr>
      <w:tr w:rsidR="00D973D7" w:rsidRPr="00D973D7" w:rsidTr="00D973D7">
        <w:trPr>
          <w:trHeight w:val="375"/>
        </w:trPr>
        <w:tc>
          <w:tcPr>
            <w:tcW w:w="1405" w:type="dxa"/>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2016</w:t>
            </w:r>
          </w:p>
        </w:tc>
        <w:tc>
          <w:tcPr>
            <w:tcW w:w="1290" w:type="dxa"/>
            <w:gridSpan w:val="2"/>
            <w:tcBorders>
              <w:top w:val="nil"/>
              <w:left w:val="single" w:sz="4" w:space="0" w:color="003366"/>
              <w:bottom w:val="single" w:sz="4" w:space="0" w:color="003366"/>
              <w:right w:val="single" w:sz="4" w:space="0" w:color="003366"/>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6,77</w:t>
            </w:r>
          </w:p>
        </w:tc>
        <w:tc>
          <w:tcPr>
            <w:tcW w:w="1133" w:type="dxa"/>
            <w:gridSpan w:val="2"/>
            <w:tcBorders>
              <w:top w:val="nil"/>
              <w:left w:val="single" w:sz="4" w:space="0" w:color="003366"/>
              <w:bottom w:val="single" w:sz="4" w:space="0" w:color="003366"/>
              <w:right w:val="single" w:sz="4" w:space="0" w:color="auto"/>
            </w:tcBorders>
            <w:shd w:val="clear" w:color="000000" w:fill="FFFFCC"/>
            <w:noWrap/>
            <w:vAlign w:val="bottom"/>
            <w:hideMark/>
          </w:tcPr>
          <w:p w:rsidR="00D973D7" w:rsidRPr="00D973D7" w:rsidRDefault="00D973D7" w:rsidP="00D973D7">
            <w:pPr>
              <w:jc w:val="center"/>
              <w:rPr>
                <w:rFonts w:ascii="Arial Narrow" w:hAnsi="Arial Narrow"/>
                <w:sz w:val="20"/>
                <w:lang w:val="es-CO" w:eastAsia="es-CO"/>
              </w:rPr>
            </w:pPr>
            <w:r w:rsidRPr="00D973D7">
              <w:rPr>
                <w:rFonts w:ascii="Arial Narrow" w:hAnsi="Arial Narrow"/>
                <w:sz w:val="20"/>
                <w:lang w:val="es-CO" w:eastAsia="es-CO"/>
              </w:rPr>
              <w:t>3,00</w:t>
            </w:r>
          </w:p>
        </w:tc>
        <w:tc>
          <w:tcPr>
            <w:tcW w:w="1598" w:type="dxa"/>
            <w:tcBorders>
              <w:top w:val="nil"/>
              <w:left w:val="single" w:sz="4" w:space="0" w:color="auto"/>
              <w:bottom w:val="single" w:sz="4" w:space="0" w:color="003366"/>
              <w:right w:val="single" w:sz="4" w:space="0" w:color="003366"/>
            </w:tcBorders>
            <w:shd w:val="clear" w:color="000000" w:fill="FFFFCC"/>
            <w:vAlign w:val="bottom"/>
            <w:hideMark/>
          </w:tcPr>
          <w:p w:rsidR="00D973D7" w:rsidRPr="00D973D7" w:rsidRDefault="00D973D7" w:rsidP="00D973D7">
            <w:pPr>
              <w:rPr>
                <w:rFonts w:ascii="Arial Narrow" w:hAnsi="Arial Narrow"/>
                <w:sz w:val="20"/>
                <w:lang w:val="es-CO" w:eastAsia="es-CO"/>
              </w:rPr>
            </w:pPr>
            <w:r w:rsidRPr="00D973D7">
              <w:rPr>
                <w:rFonts w:ascii="Arial Narrow" w:hAnsi="Arial Narrow"/>
                <w:sz w:val="20"/>
                <w:lang w:val="es-CO" w:eastAsia="es-CO"/>
              </w:rPr>
              <w:t xml:space="preserve">              2.268.833 </w:t>
            </w:r>
          </w:p>
        </w:tc>
        <w:tc>
          <w:tcPr>
            <w:tcW w:w="1598" w:type="dxa"/>
            <w:tcBorders>
              <w:top w:val="nil"/>
              <w:left w:val="nil"/>
              <w:bottom w:val="single" w:sz="4" w:space="0" w:color="003366"/>
              <w:right w:val="single" w:sz="4" w:space="0" w:color="003366"/>
            </w:tcBorders>
            <w:shd w:val="clear" w:color="000000" w:fill="FFFFCC"/>
            <w:noWrap/>
            <w:vAlign w:val="center"/>
            <w:hideMark/>
          </w:tcPr>
          <w:p w:rsidR="00D973D7" w:rsidRPr="00D973D7" w:rsidRDefault="00D973D7" w:rsidP="00D973D7">
            <w:pPr>
              <w:jc w:val="right"/>
              <w:rPr>
                <w:rFonts w:ascii="Arial Narrow" w:hAnsi="Arial Narrow"/>
                <w:sz w:val="20"/>
                <w:lang w:val="es-CO" w:eastAsia="es-CO"/>
              </w:rPr>
            </w:pPr>
            <w:r w:rsidRPr="00D973D7">
              <w:rPr>
                <w:rFonts w:ascii="Arial Narrow" w:hAnsi="Arial Narrow"/>
                <w:sz w:val="20"/>
                <w:lang w:val="es-CO" w:eastAsia="es-CO"/>
              </w:rPr>
              <w:t xml:space="preserve">              6.806.499 </w:t>
            </w:r>
          </w:p>
        </w:tc>
      </w:tr>
      <w:tr w:rsidR="00D973D7" w:rsidRPr="00D973D7" w:rsidTr="00D973D7">
        <w:trPr>
          <w:trHeight w:val="375"/>
        </w:trPr>
        <w:tc>
          <w:tcPr>
            <w:tcW w:w="1405" w:type="dxa"/>
            <w:tcBorders>
              <w:top w:val="nil"/>
              <w:left w:val="nil"/>
              <w:bottom w:val="nil"/>
              <w:right w:val="nil"/>
            </w:tcBorders>
            <w:shd w:val="clear" w:color="auto" w:fill="auto"/>
            <w:noWrap/>
            <w:vAlign w:val="bottom"/>
            <w:hideMark/>
          </w:tcPr>
          <w:p w:rsidR="00D973D7" w:rsidRPr="00D973D7" w:rsidRDefault="00D973D7" w:rsidP="00D973D7">
            <w:pPr>
              <w:jc w:val="right"/>
              <w:rPr>
                <w:rFonts w:ascii="Arial Narrow" w:hAnsi="Arial Narrow"/>
                <w:sz w:val="20"/>
                <w:lang w:val="es-CO" w:eastAsia="es-CO"/>
              </w:rPr>
            </w:pPr>
          </w:p>
        </w:tc>
        <w:tc>
          <w:tcPr>
            <w:tcW w:w="186" w:type="dxa"/>
            <w:tcBorders>
              <w:top w:val="nil"/>
              <w:left w:val="nil"/>
              <w:bottom w:val="nil"/>
              <w:right w:val="nil"/>
            </w:tcBorders>
            <w:shd w:val="clear" w:color="auto" w:fill="auto"/>
            <w:noWrap/>
            <w:vAlign w:val="bottom"/>
            <w:hideMark/>
          </w:tcPr>
          <w:p w:rsidR="00D973D7" w:rsidRPr="00D973D7" w:rsidRDefault="00D973D7" w:rsidP="00D973D7">
            <w:pPr>
              <w:rPr>
                <w:rFonts w:ascii="Arial Narrow" w:hAnsi="Arial Narrow"/>
                <w:sz w:val="20"/>
                <w:lang w:val="es-CO" w:eastAsia="es-CO"/>
              </w:rPr>
            </w:pPr>
          </w:p>
        </w:tc>
        <w:tc>
          <w:tcPr>
            <w:tcW w:w="1290" w:type="dxa"/>
            <w:gridSpan w:val="2"/>
            <w:tcBorders>
              <w:top w:val="nil"/>
              <w:left w:val="nil"/>
              <w:bottom w:val="nil"/>
              <w:right w:val="nil"/>
            </w:tcBorders>
            <w:shd w:val="clear" w:color="auto" w:fill="auto"/>
            <w:noWrap/>
            <w:vAlign w:val="bottom"/>
            <w:hideMark/>
          </w:tcPr>
          <w:p w:rsidR="00D973D7" w:rsidRPr="00D973D7" w:rsidRDefault="00D973D7" w:rsidP="00D973D7">
            <w:pPr>
              <w:rPr>
                <w:rFonts w:ascii="Arial Narrow" w:hAnsi="Arial Narrow"/>
                <w:sz w:val="20"/>
                <w:lang w:val="es-CO" w:eastAsia="es-CO"/>
              </w:rPr>
            </w:pPr>
          </w:p>
        </w:tc>
        <w:tc>
          <w:tcPr>
            <w:tcW w:w="947" w:type="dxa"/>
            <w:tcBorders>
              <w:top w:val="nil"/>
              <w:left w:val="nil"/>
              <w:bottom w:val="nil"/>
              <w:right w:val="single" w:sz="4" w:space="0" w:color="auto"/>
            </w:tcBorders>
            <w:shd w:val="clear" w:color="auto" w:fill="auto"/>
            <w:noWrap/>
            <w:vAlign w:val="bottom"/>
            <w:hideMark/>
          </w:tcPr>
          <w:p w:rsidR="00D973D7" w:rsidRPr="00D973D7" w:rsidRDefault="00D973D7" w:rsidP="00D973D7">
            <w:pPr>
              <w:rPr>
                <w:rFonts w:ascii="Arial Narrow" w:hAnsi="Arial Narrow"/>
                <w:sz w:val="20"/>
                <w:lang w:val="es-CO" w:eastAsia="es-CO"/>
              </w:rPr>
            </w:pPr>
          </w:p>
        </w:tc>
        <w:tc>
          <w:tcPr>
            <w:tcW w:w="1598" w:type="dxa"/>
            <w:tcBorders>
              <w:top w:val="nil"/>
              <w:left w:val="single" w:sz="4" w:space="0" w:color="auto"/>
              <w:bottom w:val="single" w:sz="4" w:space="0" w:color="003366"/>
              <w:right w:val="single" w:sz="4" w:space="0" w:color="003366"/>
            </w:tcBorders>
            <w:shd w:val="clear" w:color="000000" w:fill="FFFF99"/>
            <w:noWrap/>
            <w:vAlign w:val="center"/>
            <w:hideMark/>
          </w:tcPr>
          <w:p w:rsidR="00D973D7" w:rsidRPr="00D973D7" w:rsidRDefault="00D973D7" w:rsidP="00D973D7">
            <w:pPr>
              <w:rPr>
                <w:rFonts w:ascii="Arial Narrow" w:hAnsi="Arial Narrow"/>
                <w:b/>
                <w:bCs/>
                <w:sz w:val="20"/>
                <w:lang w:val="es-CO" w:eastAsia="es-CO"/>
              </w:rPr>
            </w:pPr>
            <w:r>
              <w:rPr>
                <w:rFonts w:ascii="Arial Narrow" w:hAnsi="Arial Narrow"/>
                <w:b/>
                <w:bCs/>
                <w:sz w:val="20"/>
                <w:lang w:val="es-CO" w:eastAsia="es-CO"/>
              </w:rPr>
              <w:t xml:space="preserve">             </w:t>
            </w:r>
            <w:r w:rsidRPr="00D973D7">
              <w:rPr>
                <w:rFonts w:ascii="Arial Narrow" w:hAnsi="Arial Narrow"/>
                <w:b/>
                <w:bCs/>
                <w:sz w:val="20"/>
                <w:lang w:val="es-CO" w:eastAsia="es-CO"/>
              </w:rPr>
              <w:t> </w:t>
            </w:r>
            <w:r>
              <w:rPr>
                <w:rFonts w:ascii="Arial Narrow" w:hAnsi="Arial Narrow"/>
                <w:b/>
                <w:bCs/>
                <w:sz w:val="20"/>
                <w:lang w:val="es-CO" w:eastAsia="es-CO"/>
              </w:rPr>
              <w:t xml:space="preserve">TOTAL </w:t>
            </w:r>
          </w:p>
        </w:tc>
        <w:tc>
          <w:tcPr>
            <w:tcW w:w="1598" w:type="dxa"/>
            <w:tcBorders>
              <w:top w:val="nil"/>
              <w:left w:val="nil"/>
              <w:bottom w:val="single" w:sz="4" w:space="0" w:color="003366"/>
              <w:right w:val="single" w:sz="4" w:space="0" w:color="003366"/>
            </w:tcBorders>
            <w:shd w:val="clear" w:color="000000" w:fill="FFFF99"/>
            <w:noWrap/>
            <w:vAlign w:val="center"/>
            <w:hideMark/>
          </w:tcPr>
          <w:p w:rsidR="00D973D7" w:rsidRPr="00D973D7" w:rsidRDefault="00D973D7" w:rsidP="00D973D7">
            <w:pPr>
              <w:rPr>
                <w:rFonts w:ascii="Arial Narrow" w:hAnsi="Arial Narrow"/>
                <w:b/>
                <w:bCs/>
                <w:i/>
                <w:sz w:val="20"/>
                <w:u w:val="single"/>
                <w:lang w:val="es-CO" w:eastAsia="es-CO"/>
              </w:rPr>
            </w:pPr>
            <w:r w:rsidRPr="00D973D7">
              <w:rPr>
                <w:rFonts w:ascii="Arial Narrow" w:hAnsi="Arial Narrow"/>
                <w:b/>
                <w:bCs/>
                <w:i/>
                <w:sz w:val="20"/>
                <w:u w:val="single"/>
                <w:lang w:val="es-CO" w:eastAsia="es-CO"/>
              </w:rPr>
              <w:t xml:space="preserve">            72.341.637 </w:t>
            </w:r>
          </w:p>
        </w:tc>
      </w:tr>
    </w:tbl>
    <w:p w:rsidR="00D973D7" w:rsidRPr="00D973D7" w:rsidRDefault="00D973D7" w:rsidP="00D973D7">
      <w:pPr>
        <w:pStyle w:val="Sinespaciado"/>
        <w:jc w:val="center"/>
        <w:rPr>
          <w:rFonts w:ascii="Arial Narrow" w:hAnsi="Arial Narrow"/>
          <w:b/>
          <w:sz w:val="28"/>
          <w:szCs w:val="28"/>
        </w:rPr>
      </w:pPr>
    </w:p>
    <w:sectPr w:rsidR="00D973D7" w:rsidRPr="00D973D7" w:rsidSect="00E53B51">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06" w:rsidRDefault="009B5A06" w:rsidP="00B65E88">
      <w:r>
        <w:separator/>
      </w:r>
    </w:p>
  </w:endnote>
  <w:endnote w:type="continuationSeparator" w:id="0">
    <w:p w:rsidR="009B5A06" w:rsidRDefault="009B5A06" w:rsidP="00B6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6F1E15"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9B5A0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6F1E15"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2E76">
      <w:rPr>
        <w:rStyle w:val="Nmerodepgina"/>
        <w:noProof/>
      </w:rPr>
      <w:t>7</w:t>
    </w:r>
    <w:r>
      <w:rPr>
        <w:rStyle w:val="Nmerodepgina"/>
      </w:rPr>
      <w:fldChar w:fldCharType="end"/>
    </w:r>
  </w:p>
  <w:p w:rsidR="0083360F" w:rsidRDefault="009B5A0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06" w:rsidRDefault="009B5A06" w:rsidP="00B65E88">
      <w:r>
        <w:separator/>
      </w:r>
    </w:p>
  </w:footnote>
  <w:footnote w:type="continuationSeparator" w:id="0">
    <w:p w:rsidR="009B5A06" w:rsidRDefault="009B5A06" w:rsidP="00B6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B65E88" w:rsidRDefault="006F1E15" w:rsidP="00FB2365">
    <w:pPr>
      <w:jc w:val="both"/>
      <w:rPr>
        <w:rFonts w:ascii="Arial Narrow" w:hAnsi="Arial Narrow" w:cs="Arial"/>
        <w:bCs/>
        <w:sz w:val="18"/>
        <w:szCs w:val="18"/>
      </w:rPr>
    </w:pPr>
    <w:r w:rsidRPr="00B65E88">
      <w:rPr>
        <w:rFonts w:ascii="Arial Narrow" w:hAnsi="Arial Narrow" w:cs="Arial"/>
        <w:bCs/>
        <w:sz w:val="18"/>
        <w:szCs w:val="18"/>
      </w:rPr>
      <w:t>Radicación No: 66001-31-05-00</w:t>
    </w:r>
    <w:r w:rsidR="00B65E88" w:rsidRPr="00B65E88">
      <w:rPr>
        <w:rFonts w:ascii="Arial Narrow" w:hAnsi="Arial Narrow" w:cs="Arial"/>
        <w:bCs/>
        <w:sz w:val="18"/>
        <w:szCs w:val="18"/>
      </w:rPr>
      <w:t>1-2014-00307-01</w:t>
    </w:r>
  </w:p>
  <w:p w:rsidR="0083360F" w:rsidRPr="00B65E88" w:rsidRDefault="00B65E88" w:rsidP="00FB2365">
    <w:pPr>
      <w:jc w:val="both"/>
      <w:rPr>
        <w:rFonts w:ascii="Arial Narrow" w:hAnsi="Arial Narrow" w:cs="Arial"/>
        <w:bCs/>
        <w:iCs/>
        <w:sz w:val="18"/>
        <w:szCs w:val="18"/>
      </w:rPr>
    </w:pPr>
    <w:r w:rsidRPr="00B65E88">
      <w:rPr>
        <w:rFonts w:ascii="Arial Narrow" w:hAnsi="Arial Narrow" w:cs="Arial"/>
        <w:bCs/>
        <w:sz w:val="18"/>
        <w:szCs w:val="18"/>
      </w:rPr>
      <w:t>Luz Elena Zapata Arias v</w:t>
    </w:r>
    <w:r w:rsidR="006F1E15" w:rsidRPr="00B65E88">
      <w:rPr>
        <w:rFonts w:ascii="Arial Narrow" w:hAnsi="Arial Narrow" w:cs="Arial"/>
        <w:bCs/>
        <w:sz w:val="18"/>
        <w:szCs w:val="18"/>
      </w:rPr>
      <w:t xml:space="preserve">s </w:t>
    </w:r>
    <w:proofErr w:type="spellStart"/>
    <w:r w:rsidR="006F1E15" w:rsidRPr="00B65E88">
      <w:rPr>
        <w:rFonts w:ascii="Arial Narrow" w:hAnsi="Arial Narrow" w:cs="Arial"/>
        <w:bCs/>
        <w:sz w:val="18"/>
        <w:szCs w:val="18"/>
      </w:rPr>
      <w:t>Colpensiones</w:t>
    </w:r>
    <w:proofErr w:type="spellEnd"/>
  </w:p>
  <w:p w:rsidR="0083360F" w:rsidRDefault="009B5A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F2114"/>
    <w:multiLevelType w:val="hybridMultilevel"/>
    <w:tmpl w:val="23C8232C"/>
    <w:lvl w:ilvl="0" w:tplc="5B1A6EC0">
      <w:start w:val="1"/>
      <w:numFmt w:val="decimal"/>
      <w:lvlText w:val="%1."/>
      <w:lvlJc w:val="left"/>
      <w:pPr>
        <w:ind w:left="1068" w:hanging="360"/>
      </w:pPr>
      <w:rPr>
        <w:rFonts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8"/>
    <w:rsid w:val="00052C39"/>
    <w:rsid w:val="000740E0"/>
    <w:rsid w:val="000D0483"/>
    <w:rsid w:val="000E7F42"/>
    <w:rsid w:val="00172834"/>
    <w:rsid w:val="0017444D"/>
    <w:rsid w:val="001B7024"/>
    <w:rsid w:val="00220F6A"/>
    <w:rsid w:val="00242152"/>
    <w:rsid w:val="002D3743"/>
    <w:rsid w:val="0036052B"/>
    <w:rsid w:val="003B6DD9"/>
    <w:rsid w:val="003D5362"/>
    <w:rsid w:val="003E00E3"/>
    <w:rsid w:val="003F76B6"/>
    <w:rsid w:val="004112CF"/>
    <w:rsid w:val="00432E76"/>
    <w:rsid w:val="004C3B1C"/>
    <w:rsid w:val="004D01C5"/>
    <w:rsid w:val="004D29FC"/>
    <w:rsid w:val="004E25DF"/>
    <w:rsid w:val="004E51FE"/>
    <w:rsid w:val="00515BDC"/>
    <w:rsid w:val="00517D09"/>
    <w:rsid w:val="00563496"/>
    <w:rsid w:val="00565E99"/>
    <w:rsid w:val="005B3559"/>
    <w:rsid w:val="005F5E82"/>
    <w:rsid w:val="006135E9"/>
    <w:rsid w:val="006B58DD"/>
    <w:rsid w:val="006F1E15"/>
    <w:rsid w:val="006F2FF3"/>
    <w:rsid w:val="007B5499"/>
    <w:rsid w:val="007E1FFD"/>
    <w:rsid w:val="00806A05"/>
    <w:rsid w:val="008470AD"/>
    <w:rsid w:val="008A6835"/>
    <w:rsid w:val="008B1CF2"/>
    <w:rsid w:val="008D1B13"/>
    <w:rsid w:val="008F003B"/>
    <w:rsid w:val="009007A4"/>
    <w:rsid w:val="00907A5F"/>
    <w:rsid w:val="009211E2"/>
    <w:rsid w:val="00960495"/>
    <w:rsid w:val="009728DD"/>
    <w:rsid w:val="009A73E9"/>
    <w:rsid w:val="009B5A06"/>
    <w:rsid w:val="009E54E0"/>
    <w:rsid w:val="009F17A8"/>
    <w:rsid w:val="009F6F37"/>
    <w:rsid w:val="00A23830"/>
    <w:rsid w:val="00A23CFA"/>
    <w:rsid w:val="00A662D5"/>
    <w:rsid w:val="00A82AC2"/>
    <w:rsid w:val="00A928D2"/>
    <w:rsid w:val="00A97D1D"/>
    <w:rsid w:val="00AF44F0"/>
    <w:rsid w:val="00B25392"/>
    <w:rsid w:val="00B56E76"/>
    <w:rsid w:val="00B65E88"/>
    <w:rsid w:val="00BA0C20"/>
    <w:rsid w:val="00BA64F9"/>
    <w:rsid w:val="00BD4387"/>
    <w:rsid w:val="00BF534D"/>
    <w:rsid w:val="00C251AD"/>
    <w:rsid w:val="00C345E4"/>
    <w:rsid w:val="00CF576A"/>
    <w:rsid w:val="00D208CB"/>
    <w:rsid w:val="00D3373A"/>
    <w:rsid w:val="00D82D2B"/>
    <w:rsid w:val="00D973D7"/>
    <w:rsid w:val="00DD0225"/>
    <w:rsid w:val="00DD4BBD"/>
    <w:rsid w:val="00DF30A5"/>
    <w:rsid w:val="00E27B52"/>
    <w:rsid w:val="00E53B51"/>
    <w:rsid w:val="00E815F0"/>
    <w:rsid w:val="00ED1BE4"/>
    <w:rsid w:val="00ED7948"/>
    <w:rsid w:val="00EE1FDD"/>
    <w:rsid w:val="00F65645"/>
    <w:rsid w:val="00FB44A0"/>
    <w:rsid w:val="00FB523E"/>
    <w:rsid w:val="00FE7F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C1B5F65-3304-4813-BCBE-5B9BB2E6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8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65E88"/>
    <w:pPr>
      <w:tabs>
        <w:tab w:val="center" w:pos="4252"/>
        <w:tab w:val="right" w:pos="8504"/>
      </w:tabs>
    </w:pPr>
  </w:style>
  <w:style w:type="character" w:customStyle="1" w:styleId="PiedepginaCar">
    <w:name w:val="Pie de página Car"/>
    <w:basedOn w:val="Fuentedeprrafopredeter"/>
    <w:link w:val="Piedepgina"/>
    <w:rsid w:val="00B65E8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65E88"/>
  </w:style>
  <w:style w:type="paragraph" w:styleId="Encabezado">
    <w:name w:val="header"/>
    <w:basedOn w:val="Normal"/>
    <w:link w:val="EncabezadoCar"/>
    <w:rsid w:val="00B65E88"/>
    <w:pPr>
      <w:tabs>
        <w:tab w:val="center" w:pos="4252"/>
        <w:tab w:val="right" w:pos="8504"/>
      </w:tabs>
    </w:pPr>
  </w:style>
  <w:style w:type="character" w:customStyle="1" w:styleId="EncabezadoCar">
    <w:name w:val="Encabezado Car"/>
    <w:basedOn w:val="Fuentedeprrafopredeter"/>
    <w:link w:val="Encabezado"/>
    <w:rsid w:val="00B65E8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65E8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65E8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65E88"/>
    <w:pPr>
      <w:spacing w:line="360" w:lineRule="auto"/>
      <w:jc w:val="both"/>
    </w:pPr>
    <w:rPr>
      <w:rFonts w:ascii="Arial" w:hAnsi="Arial"/>
      <w:sz w:val="28"/>
    </w:rPr>
  </w:style>
  <w:style w:type="paragraph" w:styleId="Textoindependiente">
    <w:name w:val="Body Text"/>
    <w:basedOn w:val="Normal"/>
    <w:link w:val="TextoindependienteCar"/>
    <w:rsid w:val="00E815F0"/>
    <w:pPr>
      <w:jc w:val="both"/>
    </w:pPr>
    <w:rPr>
      <w:rFonts w:ascii="Arial" w:hAnsi="Arial"/>
    </w:rPr>
  </w:style>
  <w:style w:type="character" w:customStyle="1" w:styleId="TextoindependienteCar">
    <w:name w:val="Texto independiente Car"/>
    <w:basedOn w:val="Fuentedeprrafopredeter"/>
    <w:link w:val="Textoindependiente"/>
    <w:rsid w:val="00E815F0"/>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432E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E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4227-EF95-4444-9BD7-19CBA242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1881</Words>
  <Characters>10347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38</cp:revision>
  <cp:lastPrinted>2016-03-17T12:53:00Z</cp:lastPrinted>
  <dcterms:created xsi:type="dcterms:W3CDTF">2016-03-16T12:20:00Z</dcterms:created>
  <dcterms:modified xsi:type="dcterms:W3CDTF">2016-03-17T12:54:00Z</dcterms:modified>
</cp:coreProperties>
</file>