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50" w:rsidRPr="00737062" w:rsidRDefault="00877C50" w:rsidP="00877C50">
      <w:pPr>
        <w:spacing w:line="360" w:lineRule="auto"/>
        <w:jc w:val="both"/>
        <w:rPr>
          <w:rFonts w:ascii="Arial Narrow" w:hAnsi="Arial Narrow" w:cs="Tahoma"/>
          <w:b/>
          <w:bCs/>
          <w:i/>
          <w:iCs/>
          <w:sz w:val="30"/>
          <w:szCs w:val="30"/>
          <w:u w:val="single"/>
        </w:rPr>
      </w:pPr>
      <w:r w:rsidRPr="00737062">
        <w:rPr>
          <w:rFonts w:ascii="Arial Narrow" w:hAnsi="Arial Narrow" w:cs="Tahoma"/>
          <w:b/>
          <w:bCs/>
          <w:i/>
          <w:iCs/>
          <w:sz w:val="30"/>
          <w:szCs w:val="30"/>
          <w:u w:val="single"/>
        </w:rPr>
        <w:t>ORALIDAD</w:t>
      </w:r>
    </w:p>
    <w:p w:rsidR="00877C50" w:rsidRPr="00D1020A" w:rsidRDefault="00877C50" w:rsidP="00877C50">
      <w:pPr>
        <w:pStyle w:val="Sinespaciado"/>
        <w:rPr>
          <w:sz w:val="18"/>
          <w:szCs w:val="18"/>
        </w:rPr>
      </w:pPr>
    </w:p>
    <w:p w:rsidR="00877C50" w:rsidRPr="00877C50" w:rsidRDefault="00877C50" w:rsidP="00877C50">
      <w:pPr>
        <w:tabs>
          <w:tab w:val="left" w:pos="2835"/>
        </w:tabs>
        <w:jc w:val="both"/>
        <w:rPr>
          <w:rFonts w:ascii="Arial Narrow" w:hAnsi="Arial Narrow" w:cs="Tahoma"/>
          <w:sz w:val="18"/>
          <w:szCs w:val="18"/>
        </w:rPr>
      </w:pPr>
      <w:r w:rsidRPr="00877C50">
        <w:rPr>
          <w:rFonts w:ascii="Arial Narrow" w:hAnsi="Arial Narrow" w:cs="Tahoma"/>
          <w:b/>
          <w:sz w:val="18"/>
          <w:szCs w:val="18"/>
        </w:rPr>
        <w:t>Providencia</w:t>
      </w:r>
      <w:r w:rsidRPr="00877C50">
        <w:rPr>
          <w:rFonts w:ascii="Arial Narrow" w:hAnsi="Arial Narrow" w:cs="Tahoma"/>
          <w:sz w:val="18"/>
          <w:szCs w:val="18"/>
        </w:rPr>
        <w:t>:</w:t>
      </w:r>
      <w:r w:rsidRPr="00877C50">
        <w:rPr>
          <w:rFonts w:ascii="Arial Narrow" w:hAnsi="Arial Narrow" w:cs="Tahoma"/>
          <w:b/>
          <w:sz w:val="18"/>
          <w:szCs w:val="18"/>
        </w:rPr>
        <w:t xml:space="preserve"> </w:t>
      </w:r>
      <w:r w:rsidRPr="00877C50">
        <w:rPr>
          <w:rFonts w:ascii="Arial Narrow" w:hAnsi="Arial Narrow" w:cs="Tahoma"/>
          <w:sz w:val="18"/>
          <w:szCs w:val="18"/>
        </w:rPr>
        <w:t xml:space="preserve">       </w:t>
      </w:r>
      <w:r w:rsidRPr="00877C50">
        <w:rPr>
          <w:rFonts w:ascii="Arial Narrow" w:hAnsi="Arial Narrow" w:cs="Tahoma"/>
          <w:sz w:val="18"/>
          <w:szCs w:val="18"/>
        </w:rPr>
        <w:tab/>
        <w:t>Sentencia de Segunda Instancia,</w:t>
      </w:r>
      <w:r>
        <w:rPr>
          <w:rFonts w:ascii="Arial Narrow" w:hAnsi="Arial Narrow" w:cs="Tahoma"/>
          <w:sz w:val="18"/>
          <w:szCs w:val="18"/>
        </w:rPr>
        <w:t xml:space="preserve"> jueves 26 de mayo de 2016</w:t>
      </w:r>
      <w:r w:rsidRPr="00877C50">
        <w:rPr>
          <w:rFonts w:ascii="Arial Narrow" w:hAnsi="Arial Narrow" w:cs="Tahoma"/>
          <w:sz w:val="18"/>
          <w:szCs w:val="18"/>
        </w:rPr>
        <w:t>.</w:t>
      </w:r>
    </w:p>
    <w:p w:rsidR="00877C50" w:rsidRDefault="00877C50" w:rsidP="00877C50">
      <w:pPr>
        <w:tabs>
          <w:tab w:val="left" w:pos="2835"/>
        </w:tabs>
        <w:jc w:val="both"/>
        <w:rPr>
          <w:rFonts w:ascii="Arial Narrow" w:hAnsi="Arial Narrow" w:cs="Tahoma"/>
          <w:bCs/>
          <w:sz w:val="18"/>
          <w:szCs w:val="18"/>
        </w:rPr>
      </w:pPr>
      <w:r w:rsidRPr="00877C50">
        <w:rPr>
          <w:rFonts w:ascii="Arial Narrow" w:hAnsi="Arial Narrow" w:cs="Tahoma"/>
          <w:b/>
          <w:bCs/>
          <w:sz w:val="18"/>
          <w:szCs w:val="18"/>
        </w:rPr>
        <w:t>Radicación No</w:t>
      </w:r>
      <w:r w:rsidRPr="00877C50">
        <w:rPr>
          <w:rFonts w:ascii="Arial Narrow" w:hAnsi="Arial Narrow" w:cs="Tahoma"/>
          <w:bCs/>
          <w:sz w:val="18"/>
          <w:szCs w:val="18"/>
        </w:rPr>
        <w:t>:</w:t>
      </w:r>
      <w:r w:rsidRPr="00877C50">
        <w:rPr>
          <w:rFonts w:ascii="Arial Narrow" w:hAnsi="Arial Narrow" w:cs="Tahoma"/>
          <w:b/>
          <w:bCs/>
          <w:sz w:val="18"/>
          <w:szCs w:val="18"/>
        </w:rPr>
        <w:t xml:space="preserve"> </w:t>
      </w:r>
      <w:r w:rsidRPr="00877C50">
        <w:rPr>
          <w:rFonts w:ascii="Arial Narrow" w:hAnsi="Arial Narrow" w:cs="Tahoma"/>
          <w:b/>
          <w:bCs/>
          <w:sz w:val="18"/>
          <w:szCs w:val="18"/>
        </w:rPr>
        <w:tab/>
        <w:t xml:space="preserve"> </w:t>
      </w:r>
      <w:r w:rsidRPr="00877C50">
        <w:rPr>
          <w:rFonts w:ascii="Arial Narrow" w:hAnsi="Arial Narrow" w:cs="Tahoma"/>
          <w:bCs/>
          <w:sz w:val="18"/>
          <w:szCs w:val="18"/>
        </w:rPr>
        <w:t>66001-31-05-002-2014-00</w:t>
      </w:r>
      <w:r>
        <w:rPr>
          <w:rFonts w:ascii="Arial Narrow" w:hAnsi="Arial Narrow" w:cs="Tahoma"/>
          <w:bCs/>
          <w:sz w:val="18"/>
          <w:szCs w:val="18"/>
        </w:rPr>
        <w:t>050-01</w:t>
      </w:r>
    </w:p>
    <w:p w:rsidR="00877C50" w:rsidRPr="00877C50" w:rsidRDefault="00877C50" w:rsidP="00877C50">
      <w:pPr>
        <w:tabs>
          <w:tab w:val="left" w:pos="2835"/>
        </w:tabs>
        <w:jc w:val="both"/>
        <w:rPr>
          <w:rFonts w:ascii="Arial Narrow" w:hAnsi="Arial Narrow" w:cs="Tahoma"/>
          <w:iCs/>
          <w:sz w:val="18"/>
          <w:szCs w:val="18"/>
        </w:rPr>
      </w:pPr>
      <w:r w:rsidRPr="00877C50">
        <w:rPr>
          <w:rFonts w:ascii="Arial Narrow" w:hAnsi="Arial Narrow" w:cs="Tahoma"/>
          <w:b/>
          <w:bCs/>
          <w:iCs/>
          <w:sz w:val="18"/>
          <w:szCs w:val="18"/>
        </w:rPr>
        <w:t>Proceso</w:t>
      </w:r>
      <w:r w:rsidRPr="00877C50">
        <w:rPr>
          <w:rFonts w:ascii="Arial Narrow" w:hAnsi="Arial Narrow" w:cs="Tahoma"/>
          <w:bCs/>
          <w:iCs/>
          <w:sz w:val="18"/>
          <w:szCs w:val="18"/>
        </w:rPr>
        <w:t>:</w:t>
      </w:r>
      <w:r w:rsidRPr="00877C50">
        <w:rPr>
          <w:rFonts w:ascii="Arial Narrow" w:hAnsi="Arial Narrow" w:cs="Tahoma"/>
          <w:iCs/>
          <w:sz w:val="18"/>
          <w:szCs w:val="18"/>
        </w:rPr>
        <w:t xml:space="preserve"> </w:t>
      </w:r>
      <w:r w:rsidRPr="00877C50">
        <w:rPr>
          <w:rFonts w:ascii="Arial Narrow" w:hAnsi="Arial Narrow" w:cs="Tahoma"/>
          <w:b/>
          <w:iCs/>
          <w:sz w:val="18"/>
          <w:szCs w:val="18"/>
        </w:rPr>
        <w:tab/>
      </w:r>
      <w:r w:rsidRPr="00877C50">
        <w:rPr>
          <w:rFonts w:ascii="Arial Narrow" w:hAnsi="Arial Narrow" w:cs="Tahoma"/>
          <w:iCs/>
          <w:sz w:val="18"/>
          <w:szCs w:val="18"/>
        </w:rPr>
        <w:t>Ordinario Laboral.</w:t>
      </w:r>
    </w:p>
    <w:p w:rsidR="00877C50" w:rsidRPr="00877C50" w:rsidRDefault="00877C50" w:rsidP="00877C50">
      <w:pPr>
        <w:tabs>
          <w:tab w:val="left" w:pos="2835"/>
        </w:tabs>
        <w:ind w:left="2262" w:hanging="2262"/>
        <w:jc w:val="both"/>
        <w:rPr>
          <w:rFonts w:ascii="Arial Narrow" w:hAnsi="Arial Narrow" w:cs="Tahoma"/>
          <w:bCs/>
          <w:sz w:val="18"/>
          <w:szCs w:val="18"/>
        </w:rPr>
      </w:pPr>
      <w:r w:rsidRPr="00877C50">
        <w:rPr>
          <w:rFonts w:ascii="Arial Narrow" w:hAnsi="Arial Narrow" w:cs="Tahoma"/>
          <w:b/>
          <w:iCs/>
          <w:sz w:val="18"/>
          <w:szCs w:val="18"/>
        </w:rPr>
        <w:t>Demandante</w:t>
      </w:r>
      <w:r w:rsidRPr="00877C50">
        <w:rPr>
          <w:rFonts w:ascii="Arial Narrow" w:hAnsi="Arial Narrow" w:cs="Tahoma"/>
          <w:iCs/>
          <w:sz w:val="18"/>
          <w:szCs w:val="18"/>
        </w:rPr>
        <w:t xml:space="preserve">:         </w:t>
      </w:r>
      <w:r w:rsidRPr="00877C50">
        <w:rPr>
          <w:rFonts w:ascii="Arial Narrow" w:hAnsi="Arial Narrow" w:cs="Tahoma"/>
          <w:iCs/>
          <w:sz w:val="18"/>
          <w:szCs w:val="18"/>
        </w:rPr>
        <w:tab/>
      </w:r>
      <w:r w:rsidRPr="00877C50">
        <w:rPr>
          <w:rFonts w:ascii="Arial Narrow" w:hAnsi="Arial Narrow" w:cs="Tahoma"/>
          <w:iCs/>
          <w:sz w:val="18"/>
          <w:szCs w:val="18"/>
        </w:rPr>
        <w:tab/>
      </w:r>
      <w:r>
        <w:rPr>
          <w:rFonts w:ascii="Arial Narrow" w:hAnsi="Arial Narrow" w:cs="Tahoma"/>
          <w:iCs/>
          <w:sz w:val="18"/>
          <w:szCs w:val="18"/>
        </w:rPr>
        <w:t xml:space="preserve">Rogelio Flórez Cardona </w:t>
      </w:r>
      <w:r w:rsidRPr="00877C50">
        <w:rPr>
          <w:rFonts w:ascii="Arial Narrow" w:hAnsi="Arial Narrow" w:cs="Tahoma"/>
          <w:iCs/>
          <w:sz w:val="18"/>
          <w:szCs w:val="18"/>
        </w:rPr>
        <w:t xml:space="preserve"> </w:t>
      </w:r>
    </w:p>
    <w:p w:rsidR="00877C50" w:rsidRPr="00877C50" w:rsidRDefault="00877C50" w:rsidP="00877C50">
      <w:pPr>
        <w:tabs>
          <w:tab w:val="left" w:pos="2835"/>
        </w:tabs>
        <w:ind w:left="2262" w:hanging="2262"/>
        <w:jc w:val="both"/>
        <w:rPr>
          <w:rFonts w:ascii="Arial Narrow" w:hAnsi="Arial Narrow" w:cs="Tahoma"/>
          <w:bCs/>
          <w:sz w:val="18"/>
          <w:szCs w:val="18"/>
        </w:rPr>
      </w:pPr>
      <w:r w:rsidRPr="00877C50">
        <w:rPr>
          <w:rFonts w:ascii="Arial Narrow" w:hAnsi="Arial Narrow" w:cs="Tahoma"/>
          <w:b/>
          <w:bCs/>
          <w:sz w:val="18"/>
          <w:szCs w:val="18"/>
        </w:rPr>
        <w:t>Demandado:</w:t>
      </w:r>
      <w:r w:rsidRPr="00877C50">
        <w:rPr>
          <w:rFonts w:ascii="Arial Narrow" w:hAnsi="Arial Narrow" w:cs="Tahoma"/>
          <w:bCs/>
          <w:sz w:val="18"/>
          <w:szCs w:val="18"/>
        </w:rPr>
        <w:t xml:space="preserve">          </w:t>
      </w:r>
      <w:r w:rsidRPr="00877C50">
        <w:rPr>
          <w:rFonts w:ascii="Arial Narrow" w:hAnsi="Arial Narrow" w:cs="Tahoma"/>
          <w:bCs/>
          <w:sz w:val="18"/>
          <w:szCs w:val="18"/>
        </w:rPr>
        <w:tab/>
      </w:r>
      <w:r w:rsidRPr="00877C50">
        <w:rPr>
          <w:rFonts w:ascii="Arial Narrow" w:hAnsi="Arial Narrow" w:cs="Tahoma"/>
          <w:bCs/>
          <w:sz w:val="18"/>
          <w:szCs w:val="18"/>
        </w:rPr>
        <w:tab/>
      </w:r>
      <w:r>
        <w:rPr>
          <w:rFonts w:ascii="Arial Narrow" w:hAnsi="Arial Narrow" w:cs="Tahoma"/>
          <w:bCs/>
          <w:sz w:val="18"/>
          <w:szCs w:val="18"/>
        </w:rPr>
        <w:t>Positiva Compañía de Seguros SA</w:t>
      </w:r>
    </w:p>
    <w:p w:rsidR="00877C50" w:rsidRPr="00877C50" w:rsidRDefault="00877C50" w:rsidP="00877C50">
      <w:pPr>
        <w:tabs>
          <w:tab w:val="left" w:pos="2835"/>
        </w:tabs>
        <w:ind w:left="2340" w:hanging="2340"/>
        <w:jc w:val="both"/>
        <w:rPr>
          <w:rFonts w:ascii="Arial Narrow" w:hAnsi="Arial Narrow" w:cs="Tahoma"/>
          <w:sz w:val="18"/>
          <w:szCs w:val="18"/>
        </w:rPr>
      </w:pPr>
      <w:r w:rsidRPr="00877C50">
        <w:rPr>
          <w:rFonts w:ascii="Arial Narrow" w:hAnsi="Arial Narrow" w:cs="Tahoma"/>
          <w:b/>
          <w:sz w:val="18"/>
          <w:szCs w:val="18"/>
        </w:rPr>
        <w:t>Juzgado de origen</w:t>
      </w:r>
      <w:r w:rsidRPr="00877C50">
        <w:rPr>
          <w:rFonts w:ascii="Arial Narrow" w:hAnsi="Arial Narrow" w:cs="Tahoma"/>
          <w:sz w:val="18"/>
          <w:szCs w:val="18"/>
        </w:rPr>
        <w:t xml:space="preserve">:     </w:t>
      </w:r>
      <w:r w:rsidRPr="00877C50">
        <w:rPr>
          <w:rFonts w:ascii="Arial Narrow" w:hAnsi="Arial Narrow" w:cs="Tahoma"/>
          <w:sz w:val="18"/>
          <w:szCs w:val="18"/>
        </w:rPr>
        <w:tab/>
      </w:r>
      <w:r w:rsidRPr="00877C50">
        <w:rPr>
          <w:rFonts w:ascii="Arial Narrow" w:hAnsi="Arial Narrow" w:cs="Tahoma"/>
          <w:sz w:val="18"/>
          <w:szCs w:val="18"/>
        </w:rPr>
        <w:tab/>
        <w:t>Segundo Laboral del Circuito de Pereira</w:t>
      </w:r>
    </w:p>
    <w:p w:rsidR="00877C50" w:rsidRPr="00877C50" w:rsidRDefault="00877C50" w:rsidP="00877C50">
      <w:pPr>
        <w:tabs>
          <w:tab w:val="left" w:pos="2835"/>
        </w:tabs>
        <w:jc w:val="both"/>
        <w:rPr>
          <w:rFonts w:ascii="Arial Narrow" w:hAnsi="Arial Narrow" w:cs="Tahoma"/>
          <w:b/>
          <w:iCs/>
          <w:sz w:val="18"/>
          <w:szCs w:val="18"/>
        </w:rPr>
      </w:pPr>
      <w:r w:rsidRPr="00877C50">
        <w:rPr>
          <w:rFonts w:ascii="Arial Narrow" w:hAnsi="Arial Narrow" w:cs="Tahoma"/>
          <w:b/>
          <w:iCs/>
          <w:sz w:val="18"/>
          <w:szCs w:val="18"/>
        </w:rPr>
        <w:t xml:space="preserve">Magistrado Ponente:   </w:t>
      </w:r>
      <w:r w:rsidRPr="00877C50">
        <w:rPr>
          <w:rFonts w:ascii="Arial Narrow" w:hAnsi="Arial Narrow" w:cs="Tahoma"/>
          <w:b/>
          <w:iCs/>
          <w:sz w:val="18"/>
          <w:szCs w:val="18"/>
        </w:rPr>
        <w:tab/>
      </w:r>
      <w:r w:rsidRPr="00877C50">
        <w:rPr>
          <w:rFonts w:ascii="Arial Narrow" w:hAnsi="Arial Narrow" w:cs="Tahoma"/>
          <w:iCs/>
          <w:sz w:val="18"/>
          <w:szCs w:val="18"/>
        </w:rPr>
        <w:t>Francisco Javier Tamayo Tabares.</w:t>
      </w:r>
    </w:p>
    <w:p w:rsidR="00B81445" w:rsidRPr="00B81445" w:rsidRDefault="00877C50" w:rsidP="00B81445">
      <w:pPr>
        <w:ind w:left="2832" w:hanging="2832"/>
        <w:jc w:val="both"/>
        <w:rPr>
          <w:rFonts w:ascii="Arial Narrow" w:hAnsi="Arial Narrow" w:cs="Comic Sans MS"/>
          <w:sz w:val="18"/>
          <w:szCs w:val="18"/>
          <w:lang w:val="es-ES"/>
        </w:rPr>
      </w:pPr>
      <w:r w:rsidRPr="00877C50">
        <w:rPr>
          <w:rFonts w:ascii="Arial Narrow" w:hAnsi="Arial Narrow" w:cs="Tahoma"/>
          <w:b/>
          <w:bCs/>
          <w:sz w:val="18"/>
          <w:szCs w:val="18"/>
        </w:rPr>
        <w:t xml:space="preserve">Tema a tratar:                      </w:t>
      </w:r>
      <w:r w:rsidRPr="00877C50">
        <w:rPr>
          <w:rFonts w:ascii="Arial Narrow" w:hAnsi="Arial Narrow" w:cs="Tahoma"/>
          <w:b/>
          <w:bCs/>
          <w:sz w:val="18"/>
          <w:szCs w:val="18"/>
        </w:rPr>
        <w:tab/>
      </w:r>
      <w:r w:rsidRPr="00B81445">
        <w:rPr>
          <w:rFonts w:ascii="Arial Narrow" w:hAnsi="Arial Narrow" w:cs="Tahoma"/>
          <w:b/>
          <w:bCs/>
          <w:sz w:val="18"/>
          <w:szCs w:val="18"/>
        </w:rPr>
        <w:t>Compatibilidad de pensiones</w:t>
      </w:r>
      <w:r w:rsidRPr="00B81445">
        <w:rPr>
          <w:rFonts w:ascii="Arial Narrow" w:hAnsi="Arial Narrow" w:cs="Tahoma"/>
          <w:sz w:val="18"/>
          <w:szCs w:val="18"/>
        </w:rPr>
        <w:t xml:space="preserve">: </w:t>
      </w:r>
      <w:r w:rsidR="00B81445" w:rsidRPr="00B81445">
        <w:rPr>
          <w:rFonts w:ascii="Arial Narrow" w:hAnsi="Arial Narrow" w:cs="Comic Sans MS"/>
          <w:sz w:val="18"/>
          <w:szCs w:val="18"/>
          <w:lang w:val="es-ES"/>
        </w:rPr>
        <w:t xml:space="preserve">de tiempo atrás el órgano de cierre de la especialidad laboral viene pregonando que las pensiones de vejez y de invalidez de origen profesional son compatibles, habida consideración de que </w:t>
      </w:r>
      <w:r w:rsidR="00B81445" w:rsidRPr="00B81445">
        <w:rPr>
          <w:rFonts w:ascii="Arial Narrow" w:hAnsi="Arial Narrow"/>
          <w:sz w:val="18"/>
          <w:szCs w:val="18"/>
        </w:rPr>
        <w:t xml:space="preserve">además de amparar riesgos diferentes, dado que la primera cubre una contingencia común y la segunda protege de los riesgos propios de la actividad laboral, las mismas tienen fuentes de financiación autónomas e independientes, pues implican una cotización separada a la seguridad social y poseen una reglamentación diferente. </w:t>
      </w:r>
      <w:r w:rsidR="00B81445" w:rsidRPr="00B81445">
        <w:rPr>
          <w:rFonts w:ascii="Arial Narrow" w:hAnsi="Arial Narrow" w:cs="Comic Sans MS"/>
          <w:sz w:val="18"/>
          <w:szCs w:val="18"/>
          <w:lang w:val="es-ES"/>
        </w:rPr>
        <w:t xml:space="preserve">Tales pautas las dio la Corte, entre otras, en sentencias del </w:t>
      </w:r>
      <w:r w:rsidR="00B81445" w:rsidRPr="00B81445">
        <w:rPr>
          <w:rFonts w:ascii="Arial Narrow" w:hAnsi="Arial Narrow"/>
          <w:iCs/>
          <w:sz w:val="18"/>
          <w:szCs w:val="18"/>
        </w:rPr>
        <w:t xml:space="preserve">1º de diciembre de 2009 radicación Nº 33.558, del 23 de febrero de 2010 radicación Nº 33.265, del 22 de febrero de 2011 radicación Nº 34.820, del 13 de febrero de 2013 radicación 40.560 y más recientemente en providencia de 12 de marzo de 2014 radicación 41.547, </w:t>
      </w:r>
      <w:r w:rsidR="00B81445" w:rsidRPr="00B81445">
        <w:rPr>
          <w:rFonts w:ascii="Arial Narrow" w:hAnsi="Arial Narrow" w:cs="Arial"/>
          <w:sz w:val="18"/>
          <w:szCs w:val="18"/>
        </w:rPr>
        <w:t>en casos con ribetes parecidos a éste.</w:t>
      </w:r>
    </w:p>
    <w:p w:rsidR="00877C50" w:rsidRDefault="00877C50" w:rsidP="00B81445">
      <w:pPr>
        <w:autoSpaceDE w:val="0"/>
        <w:autoSpaceDN w:val="0"/>
        <w:adjustRightInd w:val="0"/>
        <w:spacing w:line="276" w:lineRule="auto"/>
        <w:ind w:left="2832" w:hanging="2832"/>
        <w:jc w:val="both"/>
      </w:pPr>
    </w:p>
    <w:p w:rsidR="00877C50" w:rsidRPr="00C42B11" w:rsidRDefault="00877C50" w:rsidP="00877C50">
      <w:pPr>
        <w:ind w:left="2835" w:hanging="2835"/>
        <w:jc w:val="both"/>
        <w:rPr>
          <w:rFonts w:ascii="Arial Narrow" w:hAnsi="Arial Narrow" w:cs="Tahoma"/>
          <w:b/>
          <w:sz w:val="30"/>
          <w:szCs w:val="30"/>
        </w:rPr>
      </w:pPr>
      <w:r>
        <w:rPr>
          <w:rFonts w:ascii="Arial Narrow" w:hAnsi="Arial Narrow" w:cs="Tahoma"/>
          <w:b/>
          <w:sz w:val="30"/>
          <w:szCs w:val="30"/>
          <w:u w:val="single"/>
        </w:rPr>
        <w:t>AUDIENCIA PÚBLICA</w:t>
      </w:r>
      <w:r w:rsidRPr="00C42B11">
        <w:rPr>
          <w:rFonts w:ascii="Arial Narrow" w:hAnsi="Arial Narrow" w:cs="Tahoma"/>
          <w:b/>
          <w:sz w:val="30"/>
          <w:szCs w:val="30"/>
        </w:rPr>
        <w:t>:</w:t>
      </w:r>
    </w:p>
    <w:p w:rsidR="00877C50" w:rsidRPr="00086B31" w:rsidRDefault="00877C50" w:rsidP="00877C50">
      <w:pPr>
        <w:pStyle w:val="Sinespaciado"/>
        <w:spacing w:line="276" w:lineRule="auto"/>
        <w:rPr>
          <w:sz w:val="28"/>
          <w:szCs w:val="28"/>
        </w:rPr>
      </w:pPr>
    </w:p>
    <w:p w:rsidR="00877C50" w:rsidRPr="00086B31" w:rsidRDefault="00877C50" w:rsidP="00877C50">
      <w:pPr>
        <w:spacing w:line="360" w:lineRule="auto"/>
        <w:ind w:firstLine="851"/>
        <w:jc w:val="both"/>
        <w:rPr>
          <w:rFonts w:ascii="Arial Narrow" w:hAnsi="Arial Narrow" w:cs="Arial"/>
          <w:b/>
          <w:i/>
          <w:iCs/>
          <w:sz w:val="28"/>
          <w:szCs w:val="28"/>
        </w:rPr>
      </w:pPr>
      <w:r w:rsidRPr="00086B31">
        <w:rPr>
          <w:rFonts w:ascii="Arial Narrow" w:eastAsia="Calibri" w:hAnsi="Arial Narrow" w:cs="Arial"/>
          <w:sz w:val="28"/>
          <w:szCs w:val="28"/>
          <w:lang w:val="es-CO" w:eastAsia="en-US"/>
        </w:rPr>
        <w:t xml:space="preserve">En Pereira, hoy </w:t>
      </w:r>
      <w:r>
        <w:rPr>
          <w:rFonts w:ascii="Arial Narrow" w:eastAsia="Calibri" w:hAnsi="Arial Narrow" w:cs="Arial"/>
          <w:sz w:val="28"/>
          <w:szCs w:val="28"/>
          <w:lang w:val="es-CO" w:eastAsia="en-US"/>
        </w:rPr>
        <w:t xml:space="preserve">veintiséis </w:t>
      </w:r>
      <w:r w:rsidRPr="00086B3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26</w:t>
      </w:r>
      <w:r w:rsidRPr="00086B31">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mayo de dos mil dieciséis (2016</w:t>
      </w:r>
      <w:r w:rsidRPr="00086B31">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ocho y quince minutos de la mañana (8:15 a.m.), </w:t>
      </w:r>
      <w:r w:rsidRPr="00086B31">
        <w:rPr>
          <w:rFonts w:ascii="Arial Narrow" w:hAnsi="Arial Narrow" w:cs="Tahoma"/>
          <w:bCs/>
          <w:color w:val="000000"/>
          <w:sz w:val="28"/>
          <w:szCs w:val="28"/>
          <w:lang w:val="es-ES"/>
        </w:rPr>
        <w:t>reunidos en la Sala de Audiencia la magistrada y los magistrados de la Sala Laboral del Tribunal de Pereira, presidido por el ponente, declaran formalmente abierto el acto</w:t>
      </w:r>
      <w:r w:rsidRPr="00086B31">
        <w:rPr>
          <w:rFonts w:ascii="Arial Narrow" w:eastAsia="Calibri" w:hAnsi="Arial Narrow" w:cs="Arial"/>
          <w:sz w:val="28"/>
          <w:szCs w:val="28"/>
          <w:lang w:val="es-CO" w:eastAsia="en-US"/>
        </w:rPr>
        <w:t xml:space="preserve">, para </w:t>
      </w:r>
      <w:r w:rsidRPr="00086B31">
        <w:rPr>
          <w:rFonts w:ascii="Arial Narrow" w:hAnsi="Arial Narrow" w:cs="Arial"/>
          <w:iCs/>
          <w:sz w:val="28"/>
          <w:szCs w:val="28"/>
        </w:rPr>
        <w:t xml:space="preserve">decidir el </w:t>
      </w:r>
      <w:r>
        <w:rPr>
          <w:rFonts w:ascii="Arial Narrow" w:hAnsi="Arial Narrow" w:cs="Arial"/>
          <w:iCs/>
          <w:sz w:val="28"/>
          <w:szCs w:val="28"/>
        </w:rPr>
        <w:t xml:space="preserve">recurso de apelación interpuesto por la entidad demandada contra la </w:t>
      </w:r>
      <w:r>
        <w:rPr>
          <w:rFonts w:ascii="Arial Narrow" w:hAnsi="Arial Narrow" w:cs="Arial"/>
          <w:sz w:val="28"/>
          <w:szCs w:val="28"/>
        </w:rPr>
        <w:t>sentencia proferida el 24 de febrero de 2015</w:t>
      </w:r>
      <w:r w:rsidRPr="00086B31">
        <w:rPr>
          <w:rFonts w:ascii="Arial Narrow" w:hAnsi="Arial Narrow" w:cs="Arial"/>
          <w:sz w:val="28"/>
          <w:szCs w:val="28"/>
        </w:rPr>
        <w:t xml:space="preserve"> p</w:t>
      </w:r>
      <w:r w:rsidRPr="00086B31">
        <w:rPr>
          <w:rFonts w:ascii="Arial Narrow" w:hAnsi="Arial Narrow" w:cs="Tahoma"/>
          <w:sz w:val="28"/>
          <w:szCs w:val="28"/>
        </w:rPr>
        <w:t>or el Juzgado Segundo Laboral del Circuito de Pereira</w:t>
      </w:r>
      <w:r w:rsidRPr="00086B31">
        <w:rPr>
          <w:rFonts w:ascii="Arial Narrow" w:hAnsi="Arial Narrow" w:cs="Arial"/>
          <w:sz w:val="28"/>
          <w:szCs w:val="28"/>
        </w:rPr>
        <w:t xml:space="preserve">, dentro del proceso ordinario promovido por </w:t>
      </w:r>
      <w:r>
        <w:rPr>
          <w:rFonts w:ascii="Arial Narrow" w:hAnsi="Arial Narrow" w:cs="Tahoma"/>
          <w:b/>
          <w:iCs/>
          <w:sz w:val="28"/>
          <w:szCs w:val="28"/>
        </w:rPr>
        <w:t xml:space="preserve">Rogelio Flórez Cardona </w:t>
      </w:r>
      <w:r w:rsidRPr="00086B31">
        <w:rPr>
          <w:rFonts w:ascii="Arial Narrow" w:hAnsi="Arial Narrow" w:cs="Tahoma"/>
          <w:sz w:val="28"/>
          <w:szCs w:val="28"/>
        </w:rPr>
        <w:t xml:space="preserve">contra </w:t>
      </w:r>
      <w:r>
        <w:rPr>
          <w:rFonts w:ascii="Arial Narrow" w:hAnsi="Arial Narrow" w:cs="Tahoma"/>
          <w:b/>
          <w:sz w:val="28"/>
          <w:szCs w:val="28"/>
        </w:rPr>
        <w:t>Positiva Compañía de Seguros SA</w:t>
      </w:r>
      <w:r w:rsidRPr="00086B31">
        <w:rPr>
          <w:rFonts w:ascii="Arial Narrow" w:hAnsi="Arial Narrow" w:cs="Tahoma"/>
          <w:b/>
          <w:sz w:val="28"/>
          <w:szCs w:val="28"/>
        </w:rPr>
        <w:t>.</w:t>
      </w:r>
    </w:p>
    <w:p w:rsidR="00877C50" w:rsidRPr="00877C50" w:rsidRDefault="00877C50" w:rsidP="00877C50">
      <w:pPr>
        <w:pStyle w:val="Sinespaciado"/>
      </w:pPr>
      <w:r w:rsidRPr="00086B31">
        <w:rPr>
          <w:lang w:val="es-ES"/>
        </w:rPr>
        <w:t> </w:t>
      </w:r>
    </w:p>
    <w:p w:rsidR="00877C50" w:rsidRPr="00086B31" w:rsidRDefault="00877C50" w:rsidP="00877C50">
      <w:pPr>
        <w:shd w:val="clear" w:color="auto" w:fill="FFFFFF"/>
        <w:spacing w:line="360" w:lineRule="auto"/>
        <w:ind w:firstLine="851"/>
        <w:jc w:val="both"/>
        <w:rPr>
          <w:rFonts w:ascii="Arial Narrow" w:hAnsi="Arial Narrow" w:cs="Tahoma"/>
          <w:b/>
          <w:bCs/>
          <w:color w:val="000000"/>
          <w:sz w:val="28"/>
          <w:szCs w:val="28"/>
          <w:lang w:val="es-ES"/>
        </w:rPr>
      </w:pPr>
      <w:r w:rsidRPr="00086B31">
        <w:rPr>
          <w:rFonts w:ascii="Arial Narrow" w:hAnsi="Arial Narrow" w:cs="Tahoma"/>
          <w:b/>
          <w:bCs/>
          <w:color w:val="000000"/>
          <w:sz w:val="28"/>
          <w:szCs w:val="28"/>
          <w:lang w:val="es-ES"/>
        </w:rPr>
        <w:t>IDENTIFICACIÓN DE LOS PRESENTES:</w:t>
      </w:r>
    </w:p>
    <w:p w:rsidR="00877C50" w:rsidRPr="00877C50" w:rsidRDefault="00877C50" w:rsidP="00877C50">
      <w:pPr>
        <w:pStyle w:val="Sinespaciado"/>
      </w:pPr>
    </w:p>
    <w:p w:rsidR="00877C50" w:rsidRPr="00086B31" w:rsidRDefault="00877C50" w:rsidP="00877C50">
      <w:pPr>
        <w:spacing w:line="360" w:lineRule="auto"/>
        <w:ind w:firstLine="851"/>
        <w:rPr>
          <w:rFonts w:ascii="Arial Narrow" w:hAnsi="Arial Narrow" w:cs="Tahoma"/>
          <w:b/>
          <w:sz w:val="28"/>
          <w:szCs w:val="28"/>
        </w:rPr>
      </w:pPr>
      <w:r w:rsidRPr="00086B31">
        <w:rPr>
          <w:rFonts w:ascii="Arial Narrow" w:hAnsi="Arial Narrow" w:cs="Tahoma"/>
          <w:b/>
          <w:sz w:val="28"/>
          <w:szCs w:val="28"/>
        </w:rPr>
        <w:t xml:space="preserve">I- </w:t>
      </w:r>
      <w:r w:rsidRPr="00086B31">
        <w:rPr>
          <w:rFonts w:ascii="Arial Narrow" w:hAnsi="Arial Narrow" w:cs="Tahoma"/>
          <w:b/>
          <w:i/>
          <w:sz w:val="28"/>
          <w:szCs w:val="28"/>
        </w:rPr>
        <w:t>INTRODUCCIÓN</w:t>
      </w:r>
    </w:p>
    <w:p w:rsidR="00877C50" w:rsidRPr="00877C50" w:rsidRDefault="00877C50" w:rsidP="00877C50">
      <w:pPr>
        <w:pStyle w:val="Sinespaciado"/>
      </w:pPr>
    </w:p>
    <w:p w:rsidR="00877C50" w:rsidRDefault="00877C50" w:rsidP="00877C50">
      <w:pPr>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el señor Rogelio Flórez Cardona que </w:t>
      </w:r>
      <w:r w:rsidRPr="00086B31">
        <w:rPr>
          <w:rFonts w:ascii="Arial Narrow" w:hAnsi="Arial Narrow" w:cs="Tahoma"/>
          <w:sz w:val="28"/>
          <w:szCs w:val="28"/>
        </w:rPr>
        <w:t xml:space="preserve">se declare </w:t>
      </w:r>
      <w:r>
        <w:rPr>
          <w:rFonts w:ascii="Arial Narrow" w:hAnsi="Arial Narrow" w:cs="Tahoma"/>
          <w:sz w:val="28"/>
          <w:szCs w:val="28"/>
        </w:rPr>
        <w:t xml:space="preserve">que existe compatibilidad entre la pensión de invalidez de origen profesional y la de vejez, y como consecuencia, se condene a la entidad convocada a juicio a reactivar el pago de la pensión de invalidez de origen profesional, la cual fue suspendida desde el mes de septiembre de 2008, y a cancelar los intereses moratorios, más las costas procesales. </w:t>
      </w:r>
    </w:p>
    <w:p w:rsidR="00877C50" w:rsidRPr="00564014" w:rsidRDefault="00877C50" w:rsidP="00564014">
      <w:pPr>
        <w:pStyle w:val="Sinespaciado"/>
      </w:pPr>
    </w:p>
    <w:p w:rsidR="00877C50" w:rsidRDefault="00877C50" w:rsidP="00877C50">
      <w:pPr>
        <w:spacing w:line="360" w:lineRule="auto"/>
        <w:ind w:firstLine="851"/>
        <w:jc w:val="both"/>
        <w:rPr>
          <w:rFonts w:ascii="Arial Narrow" w:hAnsi="Arial Narrow" w:cs="Tahoma"/>
          <w:sz w:val="28"/>
          <w:szCs w:val="28"/>
        </w:rPr>
      </w:pPr>
      <w:r w:rsidRPr="00086B31">
        <w:rPr>
          <w:rFonts w:ascii="Arial Narrow" w:hAnsi="Arial Narrow" w:cs="Tahoma"/>
          <w:sz w:val="28"/>
          <w:szCs w:val="28"/>
        </w:rPr>
        <w:t xml:space="preserve">Las preinsertas </w:t>
      </w:r>
      <w:r>
        <w:rPr>
          <w:rFonts w:ascii="Arial Narrow" w:hAnsi="Arial Narrow" w:cs="Tahoma"/>
          <w:sz w:val="28"/>
          <w:szCs w:val="28"/>
        </w:rPr>
        <w:t xml:space="preserve">súplicas </w:t>
      </w:r>
      <w:r w:rsidRPr="00086B31">
        <w:rPr>
          <w:rFonts w:ascii="Arial Narrow" w:hAnsi="Arial Narrow" w:cs="Tahoma"/>
          <w:sz w:val="28"/>
          <w:szCs w:val="28"/>
        </w:rPr>
        <w:t xml:space="preserve">se fundamentan en </w:t>
      </w:r>
      <w:r>
        <w:rPr>
          <w:rFonts w:ascii="Arial Narrow" w:hAnsi="Arial Narrow" w:cs="Tahoma"/>
          <w:sz w:val="28"/>
          <w:szCs w:val="28"/>
        </w:rPr>
        <w:t xml:space="preserve">que mediante Resolución No. 00922 del 16 de abril de 1991 el ISS le reconoció la pensión de invalidez de origen </w:t>
      </w:r>
      <w:r w:rsidR="003D05D7">
        <w:rPr>
          <w:rFonts w:ascii="Arial Narrow" w:hAnsi="Arial Narrow" w:cs="Tahoma"/>
          <w:sz w:val="28"/>
          <w:szCs w:val="28"/>
        </w:rPr>
        <w:t xml:space="preserve">profesional, que </w:t>
      </w:r>
      <w:r w:rsidR="00BE28C9">
        <w:rPr>
          <w:rFonts w:ascii="Arial Narrow" w:hAnsi="Arial Narrow" w:cs="Tahoma"/>
          <w:sz w:val="28"/>
          <w:szCs w:val="28"/>
        </w:rPr>
        <w:t xml:space="preserve">posteriormente, </w:t>
      </w:r>
      <w:r>
        <w:rPr>
          <w:rFonts w:ascii="Arial Narrow" w:hAnsi="Arial Narrow" w:cs="Tahoma"/>
          <w:sz w:val="28"/>
          <w:szCs w:val="28"/>
        </w:rPr>
        <w:t>mediante Resolución No. 6114 del 15 de septiembre de 2008, le fue reconocida la pensi</w:t>
      </w:r>
      <w:r w:rsidR="00BE28C9">
        <w:rPr>
          <w:rFonts w:ascii="Arial Narrow" w:hAnsi="Arial Narrow" w:cs="Tahoma"/>
          <w:sz w:val="28"/>
          <w:szCs w:val="28"/>
        </w:rPr>
        <w:t xml:space="preserve">ón de vejez, la cual </w:t>
      </w:r>
      <w:r>
        <w:rPr>
          <w:rFonts w:ascii="Arial Narrow" w:hAnsi="Arial Narrow" w:cs="Tahoma"/>
          <w:sz w:val="28"/>
          <w:szCs w:val="28"/>
        </w:rPr>
        <w:t xml:space="preserve">quedó condicionada a la renuncia </w:t>
      </w:r>
      <w:r w:rsidR="003D05D7">
        <w:rPr>
          <w:rFonts w:ascii="Arial Narrow" w:hAnsi="Arial Narrow" w:cs="Tahoma"/>
          <w:sz w:val="28"/>
          <w:szCs w:val="28"/>
        </w:rPr>
        <w:lastRenderedPageBreak/>
        <w:t>de l</w:t>
      </w:r>
      <w:r w:rsidR="00BE28C9">
        <w:rPr>
          <w:rFonts w:ascii="Arial Narrow" w:hAnsi="Arial Narrow" w:cs="Tahoma"/>
          <w:sz w:val="28"/>
          <w:szCs w:val="28"/>
        </w:rPr>
        <w:t xml:space="preserve">a </w:t>
      </w:r>
      <w:r>
        <w:rPr>
          <w:rFonts w:ascii="Arial Narrow" w:hAnsi="Arial Narrow" w:cs="Tahoma"/>
          <w:sz w:val="28"/>
          <w:szCs w:val="28"/>
        </w:rPr>
        <w:t xml:space="preserve">prestación pensional que venía recibiendo; </w:t>
      </w:r>
      <w:r w:rsidR="00BE28C9">
        <w:rPr>
          <w:rFonts w:ascii="Arial Narrow" w:hAnsi="Arial Narrow" w:cs="Tahoma"/>
          <w:sz w:val="28"/>
          <w:szCs w:val="28"/>
        </w:rPr>
        <w:t>que interpuso el recurso de reposición contra dicho acto administrativo, empero, que la decisión fue confirmada en todas sus partes mediante Resolución No. 2915 de abril de 2009. Aduce que el 19 de septiembre de 2013 solicitó la reactivación del pago de la pensión de invalidez de origen profesional y que la entidad se negó mediante oficio 14200 de 2013, argumentando incompatibilidad pensional.</w:t>
      </w:r>
    </w:p>
    <w:p w:rsidR="00877C50" w:rsidRPr="003D05D7" w:rsidRDefault="00877C50" w:rsidP="003D05D7">
      <w:pPr>
        <w:pStyle w:val="Sinespaciado"/>
      </w:pPr>
    </w:p>
    <w:p w:rsidR="00877C50" w:rsidRPr="00086B31" w:rsidRDefault="00BE28C9" w:rsidP="00A10F1E">
      <w:pPr>
        <w:spacing w:line="360" w:lineRule="auto"/>
        <w:ind w:firstLine="851"/>
        <w:jc w:val="both"/>
        <w:rPr>
          <w:rFonts w:ascii="Arial Narrow" w:hAnsi="Arial Narrow" w:cs="Tahoma"/>
          <w:sz w:val="28"/>
          <w:szCs w:val="28"/>
          <w:lang w:val="es-CO"/>
        </w:rPr>
      </w:pPr>
      <w:r>
        <w:rPr>
          <w:rFonts w:ascii="Arial Narrow" w:hAnsi="Arial Narrow" w:cs="Tahoma"/>
          <w:sz w:val="28"/>
          <w:szCs w:val="28"/>
        </w:rPr>
        <w:t>Positiva Compañía de Seguros SA</w:t>
      </w:r>
      <w:r w:rsidR="00877C50" w:rsidRPr="00086B31">
        <w:rPr>
          <w:rFonts w:ascii="Arial Narrow" w:hAnsi="Arial Narrow" w:cs="Tahoma"/>
          <w:b/>
          <w:i/>
          <w:sz w:val="28"/>
          <w:szCs w:val="28"/>
          <w:lang w:val="es-CO"/>
        </w:rPr>
        <w:t xml:space="preserve">, </w:t>
      </w:r>
      <w:r w:rsidR="00877C50" w:rsidRPr="00086B31">
        <w:rPr>
          <w:rFonts w:ascii="Arial Narrow" w:hAnsi="Arial Narrow" w:cs="Tahoma"/>
          <w:sz w:val="28"/>
          <w:szCs w:val="28"/>
          <w:lang w:val="es-CO"/>
        </w:rPr>
        <w:t>se opuso a la prosperidad d</w:t>
      </w:r>
      <w:r>
        <w:rPr>
          <w:rFonts w:ascii="Arial Narrow" w:hAnsi="Arial Narrow" w:cs="Tahoma"/>
          <w:sz w:val="28"/>
          <w:szCs w:val="28"/>
          <w:lang w:val="es-CO"/>
        </w:rPr>
        <w:t xml:space="preserve">e las pretensiones de la demanda, arguyendo que no puede desconocerse la incompatibilidad legal que existe </w:t>
      </w:r>
      <w:r w:rsidR="00A10F1E">
        <w:rPr>
          <w:rFonts w:ascii="Arial Narrow" w:hAnsi="Arial Narrow" w:cs="Tahoma"/>
          <w:sz w:val="28"/>
          <w:szCs w:val="28"/>
          <w:lang w:val="es-CO"/>
        </w:rPr>
        <w:t xml:space="preserve">en materia de pensiones, entre la de </w:t>
      </w:r>
      <w:r>
        <w:rPr>
          <w:rFonts w:ascii="Arial Narrow" w:hAnsi="Arial Narrow" w:cs="Tahoma"/>
          <w:sz w:val="28"/>
          <w:szCs w:val="28"/>
          <w:lang w:val="es-CO"/>
        </w:rPr>
        <w:t xml:space="preserve">vejez y la de invalidez. </w:t>
      </w:r>
      <w:r w:rsidR="00A10F1E">
        <w:rPr>
          <w:rFonts w:ascii="Arial Narrow" w:hAnsi="Arial Narrow" w:cs="Tahoma"/>
          <w:sz w:val="28"/>
          <w:szCs w:val="28"/>
          <w:lang w:val="es-CO"/>
        </w:rPr>
        <w:t>Formuló en defensa de sus intereses las exc</w:t>
      </w:r>
      <w:r w:rsidR="00877C50" w:rsidRPr="00086B31">
        <w:rPr>
          <w:rFonts w:ascii="Arial Narrow" w:hAnsi="Arial Narrow" w:cs="Tahoma"/>
          <w:sz w:val="28"/>
          <w:szCs w:val="28"/>
          <w:lang w:val="es-CO"/>
        </w:rPr>
        <w:t>epciones</w:t>
      </w:r>
      <w:r w:rsidR="00A10F1E">
        <w:rPr>
          <w:rFonts w:ascii="Arial Narrow" w:hAnsi="Arial Narrow" w:cs="Tahoma"/>
          <w:sz w:val="28"/>
          <w:szCs w:val="28"/>
          <w:lang w:val="es-CO"/>
        </w:rPr>
        <w:t xml:space="preserve"> de “Inexistencia de la obligación”, “Enriquecimiento sin justa causa”, “Prescripción”, “Buena fe” e “Incompatibilidad entre la indexación y los intereses moratorios”. </w:t>
      </w:r>
    </w:p>
    <w:p w:rsidR="00877C50" w:rsidRPr="00086B31" w:rsidRDefault="00877C50" w:rsidP="00877C50">
      <w:pPr>
        <w:spacing w:line="360" w:lineRule="auto"/>
        <w:jc w:val="both"/>
        <w:rPr>
          <w:rFonts w:ascii="Arial Narrow" w:hAnsi="Arial Narrow" w:cs="Tahoma"/>
          <w:sz w:val="28"/>
          <w:szCs w:val="28"/>
        </w:rPr>
      </w:pPr>
    </w:p>
    <w:p w:rsidR="00877C50" w:rsidRPr="00086B31" w:rsidRDefault="00877C50" w:rsidP="00877C50">
      <w:pPr>
        <w:spacing w:line="360" w:lineRule="auto"/>
        <w:ind w:firstLine="851"/>
        <w:jc w:val="both"/>
        <w:rPr>
          <w:rFonts w:ascii="Arial Narrow" w:hAnsi="Arial Narrow" w:cs="Tahoma"/>
          <w:b/>
          <w:i/>
          <w:iCs/>
          <w:sz w:val="28"/>
          <w:szCs w:val="28"/>
        </w:rPr>
      </w:pPr>
      <w:r w:rsidRPr="00086B31">
        <w:rPr>
          <w:rFonts w:ascii="Arial Narrow" w:hAnsi="Arial Narrow" w:cs="Tahoma"/>
          <w:b/>
          <w:i/>
          <w:sz w:val="28"/>
          <w:szCs w:val="28"/>
        </w:rPr>
        <w:t>II.</w:t>
      </w:r>
      <w:r w:rsidRPr="00086B31">
        <w:rPr>
          <w:rFonts w:ascii="Arial Narrow" w:hAnsi="Arial Narrow" w:cs="Tahoma"/>
          <w:i/>
          <w:sz w:val="28"/>
          <w:szCs w:val="28"/>
        </w:rPr>
        <w:t xml:space="preserve"> </w:t>
      </w:r>
      <w:r w:rsidRPr="00086B31">
        <w:rPr>
          <w:rFonts w:ascii="Arial Narrow" w:hAnsi="Arial Narrow" w:cs="Tahoma"/>
          <w:b/>
          <w:i/>
          <w:iCs/>
          <w:sz w:val="28"/>
          <w:szCs w:val="28"/>
        </w:rPr>
        <w:t>SENTENCIA DEL JUZGADO</w:t>
      </w:r>
    </w:p>
    <w:p w:rsidR="00877C50" w:rsidRPr="002F5DD5" w:rsidRDefault="00877C50" w:rsidP="002F5DD5">
      <w:pPr>
        <w:pStyle w:val="Sinespaciado"/>
      </w:pPr>
    </w:p>
    <w:p w:rsidR="00041442" w:rsidRDefault="00877C50" w:rsidP="00877C50">
      <w:pPr>
        <w:tabs>
          <w:tab w:val="left" w:pos="0"/>
          <w:tab w:val="left" w:pos="8647"/>
        </w:tabs>
        <w:suppressAutoHyphens/>
        <w:spacing w:line="360" w:lineRule="auto"/>
        <w:ind w:firstLine="851"/>
        <w:jc w:val="both"/>
        <w:rPr>
          <w:rFonts w:ascii="Arial Narrow" w:hAnsi="Arial Narrow" w:cs="Arial"/>
          <w:sz w:val="28"/>
          <w:szCs w:val="28"/>
        </w:rPr>
      </w:pPr>
      <w:r w:rsidRPr="00086B31">
        <w:rPr>
          <w:rFonts w:ascii="Arial Narrow" w:hAnsi="Arial Narrow" w:cs="Arial"/>
          <w:sz w:val="28"/>
          <w:szCs w:val="28"/>
        </w:rPr>
        <w:t xml:space="preserve">El Juzgado de conocimiento puso fin a la primera instancia </w:t>
      </w:r>
      <w:r w:rsidR="00A10F1E">
        <w:rPr>
          <w:rFonts w:ascii="Arial Narrow" w:hAnsi="Arial Narrow" w:cs="Arial"/>
          <w:sz w:val="28"/>
          <w:szCs w:val="28"/>
        </w:rPr>
        <w:t xml:space="preserve">mediante sentencia del 24 de febrero de 2015, </w:t>
      </w:r>
      <w:r w:rsidR="00041442">
        <w:rPr>
          <w:rFonts w:ascii="Arial Narrow" w:hAnsi="Arial Narrow" w:cs="Arial"/>
          <w:sz w:val="28"/>
          <w:szCs w:val="28"/>
        </w:rPr>
        <w:t xml:space="preserve">en la que condenó a la entidad demandada a reactivar el pago de la pensión de invalidez de origen profesional que fuese reconocida a favor del actor por la ARP del antiguo ISS, </w:t>
      </w:r>
      <w:r w:rsidR="00ED5355">
        <w:rPr>
          <w:rFonts w:ascii="Arial Narrow" w:hAnsi="Arial Narrow" w:cs="Arial"/>
          <w:sz w:val="28"/>
          <w:szCs w:val="28"/>
        </w:rPr>
        <w:t xml:space="preserve">pues </w:t>
      </w:r>
      <w:r w:rsidR="00E15759">
        <w:rPr>
          <w:rFonts w:ascii="Arial Narrow" w:hAnsi="Arial Narrow" w:cs="Arial"/>
          <w:sz w:val="28"/>
          <w:szCs w:val="28"/>
        </w:rPr>
        <w:t>consideró que dicha prestación es compatible con la d</w:t>
      </w:r>
      <w:r w:rsidR="00ED5355">
        <w:rPr>
          <w:rFonts w:ascii="Arial Narrow" w:hAnsi="Arial Narrow" w:cs="Arial"/>
          <w:sz w:val="28"/>
          <w:szCs w:val="28"/>
        </w:rPr>
        <w:t>e vej</w:t>
      </w:r>
      <w:r w:rsidR="00E15759">
        <w:rPr>
          <w:rFonts w:ascii="Arial Narrow" w:hAnsi="Arial Narrow" w:cs="Arial"/>
          <w:sz w:val="28"/>
          <w:szCs w:val="28"/>
        </w:rPr>
        <w:t>ez,</w:t>
      </w:r>
      <w:r w:rsidR="00564014">
        <w:rPr>
          <w:rFonts w:ascii="Arial Narrow" w:hAnsi="Arial Narrow" w:cs="Arial"/>
          <w:sz w:val="28"/>
          <w:szCs w:val="28"/>
        </w:rPr>
        <w:t xml:space="preserve"> habida cuenta que cubren riesgos distintos y tienen fuentes de financiación </w:t>
      </w:r>
      <w:r w:rsidR="00564014" w:rsidRPr="00564014">
        <w:rPr>
          <w:rFonts w:ascii="Arial Narrow" w:hAnsi="Arial Narrow" w:cs="Arial"/>
          <w:sz w:val="28"/>
          <w:szCs w:val="28"/>
        </w:rPr>
        <w:t>diferentes</w:t>
      </w:r>
      <w:r w:rsidR="00E15759" w:rsidRPr="00564014">
        <w:rPr>
          <w:rFonts w:ascii="Arial Narrow" w:hAnsi="Arial Narrow" w:cs="Arial"/>
          <w:sz w:val="28"/>
          <w:szCs w:val="28"/>
        </w:rPr>
        <w:t xml:space="preserve">. Condenó </w:t>
      </w:r>
      <w:r w:rsidR="00E15759" w:rsidRPr="00E15759">
        <w:rPr>
          <w:rFonts w:ascii="Arial Narrow" w:hAnsi="Arial Narrow" w:cs="Arial"/>
          <w:sz w:val="28"/>
          <w:szCs w:val="28"/>
        </w:rPr>
        <w:t xml:space="preserve">al pago de las </w:t>
      </w:r>
      <w:r w:rsidR="00041442" w:rsidRPr="00E15759">
        <w:rPr>
          <w:rFonts w:ascii="Arial Narrow" w:hAnsi="Arial Narrow" w:cs="Arial"/>
          <w:sz w:val="28"/>
          <w:szCs w:val="28"/>
        </w:rPr>
        <w:t xml:space="preserve">mesadas causadas a partir del 13 de septiembre de 2010, </w:t>
      </w:r>
      <w:r w:rsidR="00ED5355" w:rsidRPr="00E15759">
        <w:rPr>
          <w:rFonts w:ascii="Arial Narrow" w:hAnsi="Arial Narrow" w:cs="Arial"/>
          <w:sz w:val="28"/>
          <w:szCs w:val="28"/>
        </w:rPr>
        <w:t xml:space="preserve">pues </w:t>
      </w:r>
      <w:r w:rsidR="00E15759">
        <w:rPr>
          <w:rFonts w:ascii="Arial Narrow" w:hAnsi="Arial Narrow" w:cs="Arial"/>
          <w:sz w:val="28"/>
          <w:szCs w:val="28"/>
        </w:rPr>
        <w:t>encontró prescritas la</w:t>
      </w:r>
      <w:r w:rsidR="00ED5355" w:rsidRPr="00E15759">
        <w:rPr>
          <w:rFonts w:ascii="Arial Narrow" w:hAnsi="Arial Narrow" w:cs="Arial"/>
          <w:sz w:val="28"/>
          <w:szCs w:val="28"/>
        </w:rPr>
        <w:t>s generadas con antelación</w:t>
      </w:r>
      <w:r w:rsidR="00E15759">
        <w:rPr>
          <w:rFonts w:ascii="Arial Narrow" w:hAnsi="Arial Narrow" w:cs="Arial"/>
          <w:sz w:val="28"/>
          <w:szCs w:val="28"/>
        </w:rPr>
        <w:t xml:space="preserve"> a esa calenda, más los </w:t>
      </w:r>
      <w:r w:rsidR="00ED5355">
        <w:rPr>
          <w:rFonts w:ascii="Arial Narrow" w:hAnsi="Arial Narrow" w:cs="Arial"/>
          <w:sz w:val="28"/>
          <w:szCs w:val="28"/>
        </w:rPr>
        <w:t xml:space="preserve">intereses moratorios a partir del 19 de septiembre de 2013 y hasta el pago total de la obligación. </w:t>
      </w:r>
    </w:p>
    <w:p w:rsidR="00877C50" w:rsidRPr="00564014" w:rsidRDefault="00877C50" w:rsidP="00564014">
      <w:pPr>
        <w:pStyle w:val="Sinespaciado"/>
      </w:pPr>
    </w:p>
    <w:p w:rsidR="00E15759" w:rsidRPr="00086B31" w:rsidRDefault="00E15759" w:rsidP="00877C50">
      <w:pPr>
        <w:tabs>
          <w:tab w:val="left" w:pos="0"/>
          <w:tab w:val="left" w:pos="8647"/>
        </w:tabs>
        <w:suppressAutoHyphens/>
        <w:spacing w:line="360" w:lineRule="auto"/>
        <w:ind w:firstLine="851"/>
        <w:jc w:val="both"/>
        <w:rPr>
          <w:rFonts w:ascii="Arial Narrow" w:hAnsi="Arial Narrow" w:cs="Arial"/>
          <w:sz w:val="28"/>
          <w:szCs w:val="28"/>
        </w:rPr>
      </w:pPr>
      <w:r>
        <w:rPr>
          <w:rFonts w:ascii="Arial Narrow" w:hAnsi="Arial Narrow" w:cs="Arial"/>
          <w:sz w:val="28"/>
          <w:szCs w:val="28"/>
        </w:rPr>
        <w:t>Inconforme con la anterior decisión, se alzó la entidad demandada en orden a que se revoque la decisión de prim</w:t>
      </w:r>
      <w:r w:rsidR="00A15F2B">
        <w:rPr>
          <w:rFonts w:ascii="Arial Narrow" w:hAnsi="Arial Narrow" w:cs="Arial"/>
          <w:sz w:val="28"/>
          <w:szCs w:val="28"/>
        </w:rPr>
        <w:t>er grado. Para ello, indicó que en atención a los princi</w:t>
      </w:r>
      <w:r w:rsidR="006E2078">
        <w:rPr>
          <w:rFonts w:ascii="Arial Narrow" w:hAnsi="Arial Narrow" w:cs="Arial"/>
          <w:sz w:val="28"/>
          <w:szCs w:val="28"/>
        </w:rPr>
        <w:t>pios de universalidad, u</w:t>
      </w:r>
      <w:r w:rsidR="00A15F2B">
        <w:rPr>
          <w:rFonts w:ascii="Arial Narrow" w:hAnsi="Arial Narrow" w:cs="Arial"/>
          <w:sz w:val="28"/>
          <w:szCs w:val="28"/>
        </w:rPr>
        <w:t xml:space="preserve">nidad y </w:t>
      </w:r>
      <w:r w:rsidR="006E2078">
        <w:rPr>
          <w:rFonts w:ascii="Arial Narrow" w:hAnsi="Arial Narrow" w:cs="Arial"/>
          <w:sz w:val="28"/>
          <w:szCs w:val="28"/>
        </w:rPr>
        <w:t>e</w:t>
      </w:r>
      <w:r w:rsidR="00A15F2B">
        <w:rPr>
          <w:rFonts w:ascii="Arial Narrow" w:hAnsi="Arial Narrow" w:cs="Arial"/>
          <w:sz w:val="28"/>
          <w:szCs w:val="28"/>
        </w:rPr>
        <w:t xml:space="preserve">ficiencia que gobiernan el sistema de seguridad social, no está permitido legalmente percibir simultáneamente </w:t>
      </w:r>
      <w:r w:rsidR="006965E9">
        <w:rPr>
          <w:rFonts w:ascii="Arial Narrow" w:hAnsi="Arial Narrow" w:cs="Arial"/>
          <w:sz w:val="28"/>
          <w:szCs w:val="28"/>
        </w:rPr>
        <w:t>dos pensiones, una derivada del sistema pensional y l</w:t>
      </w:r>
      <w:r w:rsidR="00836971">
        <w:rPr>
          <w:rFonts w:ascii="Arial Narrow" w:hAnsi="Arial Narrow" w:cs="Arial"/>
          <w:sz w:val="28"/>
          <w:szCs w:val="28"/>
        </w:rPr>
        <w:t>a otra de riesgos profe</w:t>
      </w:r>
      <w:r w:rsidR="006E2078">
        <w:rPr>
          <w:rFonts w:ascii="Arial Narrow" w:hAnsi="Arial Narrow" w:cs="Arial"/>
          <w:sz w:val="28"/>
          <w:szCs w:val="28"/>
        </w:rPr>
        <w:t xml:space="preserve">sionales. Y </w:t>
      </w:r>
      <w:r w:rsidR="006965E9">
        <w:rPr>
          <w:rFonts w:ascii="Arial Narrow" w:hAnsi="Arial Narrow" w:cs="Arial"/>
          <w:sz w:val="28"/>
          <w:szCs w:val="28"/>
        </w:rPr>
        <w:t>que no puede aplicarse una interpretación relativa a la independencia financiera de ambos sistemas y la diferencia de la cobertu</w:t>
      </w:r>
      <w:r w:rsidR="006E2078">
        <w:rPr>
          <w:rFonts w:ascii="Arial Narrow" w:hAnsi="Arial Narrow" w:cs="Arial"/>
          <w:sz w:val="28"/>
          <w:szCs w:val="28"/>
        </w:rPr>
        <w:t xml:space="preserve">ra de los riesgos, pues eso no es lo que consagra </w:t>
      </w:r>
      <w:r w:rsidR="006965E9">
        <w:rPr>
          <w:rFonts w:ascii="Arial Narrow" w:hAnsi="Arial Narrow" w:cs="Arial"/>
          <w:sz w:val="28"/>
          <w:szCs w:val="28"/>
        </w:rPr>
        <w:t>la norma.</w:t>
      </w:r>
    </w:p>
    <w:p w:rsidR="00B81445" w:rsidRDefault="00B81445" w:rsidP="00877C50">
      <w:pPr>
        <w:spacing w:line="360" w:lineRule="auto"/>
        <w:ind w:firstLine="851"/>
        <w:jc w:val="both"/>
        <w:rPr>
          <w:rFonts w:ascii="Arial Narrow" w:hAnsi="Arial Narrow" w:cs="Tahoma"/>
          <w:b/>
          <w:i/>
          <w:sz w:val="28"/>
          <w:szCs w:val="28"/>
        </w:rPr>
      </w:pPr>
    </w:p>
    <w:p w:rsidR="00877C50" w:rsidRPr="00E56038" w:rsidRDefault="00877C50" w:rsidP="00877C50">
      <w:pPr>
        <w:spacing w:line="360" w:lineRule="auto"/>
        <w:ind w:firstLine="851"/>
        <w:jc w:val="both"/>
        <w:rPr>
          <w:rFonts w:ascii="Arial Narrow" w:hAnsi="Arial Narrow" w:cs="Tahoma"/>
          <w:b/>
          <w:sz w:val="28"/>
          <w:szCs w:val="28"/>
        </w:rPr>
      </w:pPr>
      <w:r w:rsidRPr="00E56038">
        <w:rPr>
          <w:rFonts w:ascii="Arial Narrow" w:hAnsi="Arial Narrow" w:cs="Tahoma"/>
          <w:b/>
          <w:i/>
          <w:sz w:val="28"/>
          <w:szCs w:val="28"/>
        </w:rPr>
        <w:lastRenderedPageBreak/>
        <w:t>Problema jurídico</w:t>
      </w:r>
      <w:r w:rsidRPr="00E56038">
        <w:rPr>
          <w:rFonts w:ascii="Arial Narrow" w:hAnsi="Arial Narrow" w:cs="Tahoma"/>
          <w:b/>
          <w:sz w:val="28"/>
          <w:szCs w:val="28"/>
        </w:rPr>
        <w:t>.</w:t>
      </w:r>
    </w:p>
    <w:p w:rsidR="00877C50" w:rsidRPr="003D05D7" w:rsidRDefault="00877C50" w:rsidP="003D05D7">
      <w:pPr>
        <w:pStyle w:val="Sinespaciado"/>
      </w:pPr>
    </w:p>
    <w:p w:rsidR="00877C50" w:rsidRPr="002F5DD5" w:rsidRDefault="00877C50" w:rsidP="002F5DD5">
      <w:pPr>
        <w:spacing w:line="360" w:lineRule="auto"/>
        <w:ind w:firstLine="851"/>
        <w:jc w:val="both"/>
        <w:rPr>
          <w:rFonts w:ascii="Arial Narrow" w:hAnsi="Arial Narrow" w:cs="Tahoma"/>
          <w:sz w:val="28"/>
          <w:szCs w:val="28"/>
        </w:rPr>
      </w:pPr>
      <w:r w:rsidRPr="00E56038">
        <w:rPr>
          <w:rFonts w:ascii="Arial Narrow" w:hAnsi="Arial Narrow" w:cs="Tahoma"/>
          <w:sz w:val="28"/>
          <w:szCs w:val="28"/>
        </w:rPr>
        <w:t xml:space="preserve">Vista la panorámica anterior, </w:t>
      </w:r>
      <w:r w:rsidR="00564014">
        <w:rPr>
          <w:rFonts w:ascii="Arial Narrow" w:hAnsi="Arial Narrow" w:cs="Tahoma"/>
          <w:sz w:val="28"/>
          <w:szCs w:val="28"/>
        </w:rPr>
        <w:t>el problema</w:t>
      </w:r>
      <w:r w:rsidRPr="00E56038">
        <w:rPr>
          <w:rFonts w:ascii="Arial Narrow" w:hAnsi="Arial Narrow" w:cs="Tahoma"/>
          <w:sz w:val="28"/>
          <w:szCs w:val="28"/>
        </w:rPr>
        <w:t xml:space="preserve"> jurídico a resolver</w:t>
      </w:r>
      <w:r w:rsidR="002F5DD5">
        <w:rPr>
          <w:rFonts w:ascii="Arial Narrow" w:hAnsi="Arial Narrow" w:cs="Tahoma"/>
          <w:sz w:val="28"/>
          <w:szCs w:val="28"/>
        </w:rPr>
        <w:t xml:space="preserve"> por la Sala </w:t>
      </w:r>
      <w:r w:rsidR="00564014">
        <w:rPr>
          <w:rFonts w:ascii="Arial Narrow" w:hAnsi="Arial Narrow" w:cs="Tahoma"/>
          <w:sz w:val="28"/>
          <w:szCs w:val="28"/>
        </w:rPr>
        <w:t>es el siguiente</w:t>
      </w:r>
    </w:p>
    <w:p w:rsidR="00877C50" w:rsidRPr="003D05D7" w:rsidRDefault="00877C50" w:rsidP="00877C50">
      <w:pPr>
        <w:tabs>
          <w:tab w:val="left" w:pos="0"/>
          <w:tab w:val="left" w:pos="8647"/>
        </w:tabs>
        <w:suppressAutoHyphens/>
        <w:spacing w:line="360" w:lineRule="auto"/>
        <w:ind w:firstLine="851"/>
        <w:jc w:val="both"/>
        <w:rPr>
          <w:rFonts w:ascii="Arial Narrow" w:hAnsi="Arial Narrow" w:cs="Tahoma"/>
          <w:i/>
          <w:sz w:val="27"/>
          <w:szCs w:val="27"/>
        </w:rPr>
      </w:pPr>
      <w:r w:rsidRPr="003D05D7">
        <w:rPr>
          <w:rFonts w:ascii="Arial Narrow" w:hAnsi="Arial Narrow" w:cs="Tahoma"/>
          <w:i/>
          <w:sz w:val="28"/>
          <w:szCs w:val="28"/>
        </w:rPr>
        <w:t>¿</w:t>
      </w:r>
      <w:r w:rsidR="00564014" w:rsidRPr="003D05D7">
        <w:rPr>
          <w:rFonts w:ascii="Arial Narrow" w:hAnsi="Arial Narrow" w:cs="Tahoma"/>
          <w:i/>
          <w:sz w:val="27"/>
          <w:szCs w:val="27"/>
        </w:rPr>
        <w:t>Es</w:t>
      </w:r>
      <w:r w:rsidRPr="003D05D7">
        <w:rPr>
          <w:rFonts w:ascii="Arial Narrow" w:hAnsi="Arial Narrow" w:cs="Tahoma"/>
          <w:i/>
          <w:sz w:val="27"/>
          <w:szCs w:val="27"/>
        </w:rPr>
        <w:t xml:space="preserve"> compatible la pensión de </w:t>
      </w:r>
      <w:r w:rsidR="002F5DD5" w:rsidRPr="003D05D7">
        <w:rPr>
          <w:rFonts w:ascii="Arial Narrow" w:hAnsi="Arial Narrow" w:cs="Tahoma"/>
          <w:i/>
          <w:sz w:val="27"/>
          <w:szCs w:val="27"/>
        </w:rPr>
        <w:t xml:space="preserve">invalidez de origen profesional con la </w:t>
      </w:r>
      <w:r w:rsidR="00564014" w:rsidRPr="003D05D7">
        <w:rPr>
          <w:rFonts w:ascii="Arial Narrow" w:hAnsi="Arial Narrow" w:cs="Tahoma"/>
          <w:i/>
          <w:sz w:val="27"/>
          <w:szCs w:val="27"/>
        </w:rPr>
        <w:t xml:space="preserve">de </w:t>
      </w:r>
      <w:r w:rsidR="002F5DD5" w:rsidRPr="003D05D7">
        <w:rPr>
          <w:rFonts w:ascii="Arial Narrow" w:hAnsi="Arial Narrow" w:cs="Tahoma"/>
          <w:i/>
          <w:sz w:val="27"/>
          <w:szCs w:val="27"/>
        </w:rPr>
        <w:t>vejez</w:t>
      </w:r>
      <w:r w:rsidRPr="003D05D7">
        <w:rPr>
          <w:rFonts w:ascii="Arial Narrow" w:hAnsi="Arial Narrow" w:cs="Tahoma"/>
          <w:i/>
          <w:sz w:val="27"/>
          <w:szCs w:val="27"/>
        </w:rPr>
        <w:t>?</w:t>
      </w:r>
    </w:p>
    <w:p w:rsidR="006E2078" w:rsidRDefault="006E2078" w:rsidP="006E2078">
      <w:pPr>
        <w:tabs>
          <w:tab w:val="left" w:pos="0"/>
          <w:tab w:val="left" w:pos="8647"/>
        </w:tabs>
        <w:suppressAutoHyphens/>
        <w:ind w:firstLine="851"/>
        <w:jc w:val="both"/>
        <w:rPr>
          <w:rFonts w:ascii="Arial Narrow" w:hAnsi="Arial Narrow" w:cs="Tahoma"/>
          <w:b/>
          <w:i/>
          <w:sz w:val="28"/>
          <w:szCs w:val="28"/>
        </w:rPr>
      </w:pPr>
    </w:p>
    <w:p w:rsidR="00877C50" w:rsidRPr="00086B31" w:rsidRDefault="00877C50" w:rsidP="00877C50">
      <w:pPr>
        <w:tabs>
          <w:tab w:val="left" w:pos="0"/>
          <w:tab w:val="left" w:pos="8647"/>
        </w:tabs>
        <w:suppressAutoHyphens/>
        <w:spacing w:line="360" w:lineRule="auto"/>
        <w:ind w:firstLine="851"/>
        <w:jc w:val="both"/>
        <w:rPr>
          <w:rFonts w:ascii="Arial Narrow" w:hAnsi="Arial Narrow" w:cs="Tahoma"/>
          <w:sz w:val="28"/>
          <w:szCs w:val="28"/>
        </w:rPr>
      </w:pPr>
      <w:r w:rsidRPr="00086B31">
        <w:rPr>
          <w:rFonts w:ascii="Arial Narrow" w:hAnsi="Arial Narrow" w:cs="Tahoma"/>
          <w:b/>
          <w:i/>
          <w:sz w:val="28"/>
          <w:szCs w:val="28"/>
        </w:rPr>
        <w:t>Alegatos en esta instancia</w:t>
      </w:r>
      <w:r w:rsidRPr="00086B31">
        <w:rPr>
          <w:rFonts w:ascii="Arial Narrow" w:hAnsi="Arial Narrow" w:cs="Tahoma"/>
          <w:sz w:val="28"/>
          <w:szCs w:val="28"/>
        </w:rPr>
        <w:t>:</w:t>
      </w:r>
    </w:p>
    <w:p w:rsidR="00877C50" w:rsidRPr="006E2078" w:rsidRDefault="00877C50" w:rsidP="006E2078">
      <w:pPr>
        <w:pStyle w:val="Sinespaciado"/>
      </w:pPr>
    </w:p>
    <w:p w:rsidR="00877C50" w:rsidRPr="00086B31" w:rsidRDefault="00877C50" w:rsidP="00877C50">
      <w:pPr>
        <w:spacing w:line="360" w:lineRule="auto"/>
        <w:ind w:firstLine="851"/>
        <w:jc w:val="both"/>
        <w:rPr>
          <w:rFonts w:ascii="Arial Narrow" w:hAnsi="Arial Narrow" w:cs="Tahoma"/>
          <w:sz w:val="28"/>
          <w:szCs w:val="28"/>
        </w:rPr>
      </w:pPr>
      <w:r w:rsidRPr="00086B31">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para que presenten sus alegatos de conclusión. </w:t>
      </w:r>
    </w:p>
    <w:p w:rsidR="00877C50" w:rsidRPr="006E2078" w:rsidRDefault="00877C50" w:rsidP="006E2078">
      <w:pPr>
        <w:pStyle w:val="Sinespaciado"/>
      </w:pPr>
    </w:p>
    <w:p w:rsidR="00877C50" w:rsidRPr="00086B31" w:rsidRDefault="00877C50" w:rsidP="00877C50">
      <w:pPr>
        <w:spacing w:line="360" w:lineRule="auto"/>
        <w:ind w:firstLine="851"/>
        <w:jc w:val="both"/>
        <w:rPr>
          <w:rFonts w:ascii="Arial Narrow" w:hAnsi="Arial Narrow" w:cs="Tahoma"/>
          <w:sz w:val="28"/>
          <w:szCs w:val="28"/>
        </w:rPr>
      </w:pPr>
      <w:r w:rsidRPr="00086B31">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877C50" w:rsidRPr="00086B31" w:rsidRDefault="00877C50" w:rsidP="00B81445">
      <w:pPr>
        <w:pStyle w:val="Sinespaciado"/>
      </w:pPr>
    </w:p>
    <w:p w:rsidR="00877C50" w:rsidRPr="00086B31" w:rsidRDefault="00877C50" w:rsidP="00877C50">
      <w:pPr>
        <w:spacing w:line="360" w:lineRule="auto"/>
        <w:ind w:firstLine="851"/>
        <w:jc w:val="both"/>
        <w:rPr>
          <w:rFonts w:ascii="Arial Narrow" w:hAnsi="Arial Narrow" w:cs="Tahoma"/>
          <w:b/>
          <w:i/>
          <w:sz w:val="28"/>
          <w:szCs w:val="28"/>
        </w:rPr>
      </w:pPr>
      <w:r w:rsidRPr="00086B31">
        <w:rPr>
          <w:rFonts w:ascii="Arial Narrow" w:hAnsi="Arial Narrow" w:cs="Tahoma"/>
          <w:b/>
          <w:i/>
          <w:sz w:val="28"/>
          <w:szCs w:val="28"/>
        </w:rPr>
        <w:t>III. CONSIDERACIONES</w:t>
      </w:r>
    </w:p>
    <w:p w:rsidR="00877C50" w:rsidRPr="00B81445" w:rsidRDefault="00877C50" w:rsidP="00B81445">
      <w:pPr>
        <w:pStyle w:val="Sinespaciado"/>
      </w:pPr>
    </w:p>
    <w:p w:rsidR="00877C50" w:rsidRPr="00086B31" w:rsidRDefault="00F93D00" w:rsidP="00877C50">
      <w:pPr>
        <w:spacing w:line="360" w:lineRule="auto"/>
        <w:ind w:firstLine="900"/>
        <w:jc w:val="both"/>
        <w:rPr>
          <w:rFonts w:ascii="Arial Narrow" w:hAnsi="Arial Narrow" w:cs="Arial"/>
          <w:b/>
          <w:i/>
          <w:sz w:val="28"/>
          <w:szCs w:val="28"/>
        </w:rPr>
      </w:pPr>
      <w:r>
        <w:rPr>
          <w:rFonts w:ascii="Arial Narrow" w:hAnsi="Arial Narrow" w:cs="Arial"/>
          <w:b/>
          <w:i/>
          <w:sz w:val="28"/>
          <w:szCs w:val="28"/>
        </w:rPr>
        <w:t xml:space="preserve">Desarrollo de la problemática planteada </w:t>
      </w:r>
    </w:p>
    <w:p w:rsidR="006E2078" w:rsidRDefault="006E2078" w:rsidP="006E2078">
      <w:pPr>
        <w:pStyle w:val="Sinespaciado"/>
        <w:rPr>
          <w:lang w:val="es-ES"/>
        </w:rPr>
      </w:pPr>
    </w:p>
    <w:p w:rsidR="00D17591" w:rsidRDefault="00AA638D" w:rsidP="00AA638D">
      <w:pPr>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 xml:space="preserve">Se encuentra </w:t>
      </w:r>
      <w:r w:rsidR="00877C50" w:rsidRPr="005A0F34">
        <w:rPr>
          <w:rFonts w:ascii="Arial Narrow" w:hAnsi="Arial Narrow" w:cs="Arial"/>
          <w:spacing w:val="-2"/>
          <w:sz w:val="28"/>
          <w:szCs w:val="28"/>
        </w:rPr>
        <w:t xml:space="preserve">fuera </w:t>
      </w:r>
      <w:r w:rsidR="00B77593">
        <w:rPr>
          <w:rFonts w:ascii="Arial Narrow" w:hAnsi="Arial Narrow" w:cs="Arial"/>
          <w:spacing w:val="-2"/>
          <w:sz w:val="28"/>
          <w:szCs w:val="28"/>
        </w:rPr>
        <w:t>de</w:t>
      </w:r>
      <w:r w:rsidR="00877C50" w:rsidRPr="005A0F34">
        <w:rPr>
          <w:rFonts w:ascii="Arial Narrow" w:hAnsi="Arial Narrow" w:cs="Arial"/>
          <w:spacing w:val="-2"/>
          <w:sz w:val="28"/>
          <w:szCs w:val="28"/>
        </w:rPr>
        <w:t xml:space="preserve"> discusión </w:t>
      </w:r>
      <w:r w:rsidR="00821AA9">
        <w:rPr>
          <w:rFonts w:ascii="Arial Narrow" w:hAnsi="Arial Narrow" w:cs="Arial"/>
          <w:spacing w:val="-2"/>
          <w:sz w:val="28"/>
          <w:szCs w:val="28"/>
        </w:rPr>
        <w:t xml:space="preserve">que </w:t>
      </w:r>
      <w:r w:rsidR="00D17591">
        <w:rPr>
          <w:rFonts w:ascii="Arial Narrow" w:hAnsi="Arial Narrow" w:cs="Arial"/>
          <w:spacing w:val="-2"/>
          <w:sz w:val="28"/>
          <w:szCs w:val="28"/>
        </w:rPr>
        <w:t xml:space="preserve">por medio de la </w:t>
      </w:r>
      <w:r w:rsidR="00821AA9">
        <w:rPr>
          <w:rFonts w:ascii="Arial Narrow" w:hAnsi="Arial Narrow" w:cs="Arial"/>
          <w:spacing w:val="-2"/>
          <w:sz w:val="28"/>
          <w:szCs w:val="28"/>
        </w:rPr>
        <w:t>Resolución No. 922 del 16 de abril de 1991,</w:t>
      </w:r>
      <w:r w:rsidR="00D17591">
        <w:rPr>
          <w:rFonts w:ascii="Arial Narrow" w:hAnsi="Arial Narrow" w:cs="Arial"/>
          <w:spacing w:val="-2"/>
          <w:sz w:val="28"/>
          <w:szCs w:val="28"/>
        </w:rPr>
        <w:t xml:space="preserve"> </w:t>
      </w:r>
      <w:r w:rsidR="00D17591">
        <w:rPr>
          <w:rFonts w:ascii="Arial Narrow" w:hAnsi="Arial Narrow" w:cs="Arial"/>
          <w:spacing w:val="-2"/>
          <w:sz w:val="28"/>
          <w:szCs w:val="28"/>
        </w:rPr>
        <w:t>el antiguo ISS le reconoció al demandante la pensión de invalidez de origen profesional</w:t>
      </w:r>
      <w:r w:rsidR="005B07B7">
        <w:rPr>
          <w:rFonts w:ascii="Arial Narrow" w:hAnsi="Arial Narrow" w:cs="Arial"/>
          <w:spacing w:val="-2"/>
          <w:sz w:val="28"/>
          <w:szCs w:val="28"/>
        </w:rPr>
        <w:t xml:space="preserve"> –fl.12-</w:t>
      </w:r>
      <w:r w:rsidR="00D17591">
        <w:rPr>
          <w:rFonts w:ascii="Arial Narrow" w:hAnsi="Arial Narrow" w:cs="Arial"/>
          <w:spacing w:val="-2"/>
          <w:sz w:val="28"/>
          <w:szCs w:val="28"/>
        </w:rPr>
        <w:t>; que mediante Resolución No. 4166 del 24 de junio de 2008, la entidad de seguridad social convirtió la prestación</w:t>
      </w:r>
      <w:r w:rsidR="00457E7D">
        <w:rPr>
          <w:rFonts w:ascii="Arial Narrow" w:hAnsi="Arial Narrow" w:cs="Arial"/>
          <w:spacing w:val="-2"/>
          <w:sz w:val="28"/>
          <w:szCs w:val="28"/>
        </w:rPr>
        <w:t xml:space="preserve"> </w:t>
      </w:r>
      <w:r w:rsidR="00D17591">
        <w:rPr>
          <w:rFonts w:ascii="Arial Narrow" w:hAnsi="Arial Narrow" w:cs="Arial"/>
          <w:spacing w:val="-2"/>
          <w:sz w:val="28"/>
          <w:szCs w:val="28"/>
        </w:rPr>
        <w:t>que venía recibiendo el actor,</w:t>
      </w:r>
      <w:r w:rsidR="00457E7D">
        <w:rPr>
          <w:rFonts w:ascii="Arial Narrow" w:hAnsi="Arial Narrow" w:cs="Arial"/>
          <w:spacing w:val="-2"/>
          <w:sz w:val="28"/>
          <w:szCs w:val="28"/>
        </w:rPr>
        <w:t xml:space="preserve"> aduciendo erróneamente que se trataba de una pensión de invalidez de origen común</w:t>
      </w:r>
      <w:r w:rsidR="005B07B7">
        <w:rPr>
          <w:rFonts w:ascii="Arial Narrow" w:hAnsi="Arial Narrow" w:cs="Arial"/>
          <w:spacing w:val="-2"/>
          <w:sz w:val="28"/>
          <w:szCs w:val="28"/>
        </w:rPr>
        <w:t xml:space="preserve"> o no profesional</w:t>
      </w:r>
      <w:r w:rsidR="00457E7D">
        <w:rPr>
          <w:rFonts w:ascii="Arial Narrow" w:hAnsi="Arial Narrow" w:cs="Arial"/>
          <w:spacing w:val="-2"/>
          <w:sz w:val="28"/>
          <w:szCs w:val="28"/>
        </w:rPr>
        <w:t xml:space="preserve">, </w:t>
      </w:r>
      <w:r w:rsidR="00D17591">
        <w:rPr>
          <w:rFonts w:ascii="Arial Narrow" w:hAnsi="Arial Narrow" w:cs="Arial"/>
          <w:spacing w:val="-2"/>
          <w:sz w:val="28"/>
          <w:szCs w:val="28"/>
        </w:rPr>
        <w:t>en pensión de vejez,</w:t>
      </w:r>
      <w:r w:rsidR="00457E7D">
        <w:rPr>
          <w:rFonts w:ascii="Arial Narrow" w:hAnsi="Arial Narrow" w:cs="Arial"/>
          <w:spacing w:val="-2"/>
          <w:sz w:val="28"/>
          <w:szCs w:val="28"/>
        </w:rPr>
        <w:t xml:space="preserve"> </w:t>
      </w:r>
      <w:r w:rsidR="007E5A62">
        <w:rPr>
          <w:rFonts w:ascii="Arial Narrow" w:hAnsi="Arial Narrow" w:cs="Arial"/>
          <w:spacing w:val="-2"/>
          <w:sz w:val="28"/>
          <w:szCs w:val="28"/>
        </w:rPr>
        <w:t xml:space="preserve">por el cumplimiento de los requisitos del </w:t>
      </w:r>
      <w:r w:rsidR="00D17591">
        <w:rPr>
          <w:rFonts w:ascii="Arial Narrow" w:hAnsi="Arial Narrow" w:cs="Arial"/>
          <w:spacing w:val="-2"/>
          <w:sz w:val="28"/>
          <w:szCs w:val="28"/>
        </w:rPr>
        <w:t>artículo 12 del Acuerdo 049 de 1990, aprobado p</w:t>
      </w:r>
      <w:r w:rsidR="005B07B7">
        <w:rPr>
          <w:rFonts w:ascii="Arial Narrow" w:hAnsi="Arial Narrow" w:cs="Arial"/>
          <w:spacing w:val="-2"/>
          <w:sz w:val="28"/>
          <w:szCs w:val="28"/>
        </w:rPr>
        <w:t>or el Decreto 758 del mismo año –fl</w:t>
      </w:r>
      <w:r w:rsidR="00B77593">
        <w:rPr>
          <w:rFonts w:ascii="Arial Narrow" w:hAnsi="Arial Narrow" w:cs="Arial"/>
          <w:spacing w:val="-2"/>
          <w:sz w:val="28"/>
          <w:szCs w:val="28"/>
        </w:rPr>
        <w:t>.</w:t>
      </w:r>
      <w:r w:rsidR="005B07B7">
        <w:rPr>
          <w:rFonts w:ascii="Arial Narrow" w:hAnsi="Arial Narrow" w:cs="Arial"/>
          <w:spacing w:val="-2"/>
          <w:sz w:val="28"/>
          <w:szCs w:val="28"/>
        </w:rPr>
        <w:t>119-.</w:t>
      </w:r>
      <w:r w:rsidR="00B77593">
        <w:rPr>
          <w:rFonts w:ascii="Arial Narrow" w:hAnsi="Arial Narrow" w:cs="Arial"/>
          <w:spacing w:val="-2"/>
          <w:sz w:val="28"/>
          <w:szCs w:val="28"/>
        </w:rPr>
        <w:t xml:space="preserve"> Tampoco la suspensión del pago de la primera prestación. </w:t>
      </w:r>
    </w:p>
    <w:p w:rsidR="00877C50" w:rsidRPr="00E10F3D" w:rsidRDefault="00877C50" w:rsidP="00877C50">
      <w:pPr>
        <w:pStyle w:val="Sinespaciado"/>
      </w:pPr>
    </w:p>
    <w:p w:rsidR="003F32CD" w:rsidRDefault="00877C50" w:rsidP="00877C50">
      <w:pPr>
        <w:suppressAutoHyphens/>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Así las cosas,</w:t>
      </w:r>
      <w:r w:rsidR="003F32CD">
        <w:rPr>
          <w:rFonts w:ascii="Arial Narrow" w:hAnsi="Arial Narrow" w:cs="Arial"/>
          <w:spacing w:val="-2"/>
          <w:sz w:val="28"/>
          <w:szCs w:val="28"/>
        </w:rPr>
        <w:t xml:space="preserve"> conforme los argumentos esbozados en el recurso de apelación, </w:t>
      </w:r>
      <w:r w:rsidR="008E5036">
        <w:rPr>
          <w:rFonts w:ascii="Arial Narrow" w:hAnsi="Arial Narrow" w:cs="Arial"/>
          <w:spacing w:val="-2"/>
          <w:sz w:val="28"/>
          <w:szCs w:val="28"/>
        </w:rPr>
        <w:t xml:space="preserve">la controversia se limita a determinar la compatibilidad de las pensiones de invalidez de origen profesional y la de vejez reconocidas al actor por el extinto </w:t>
      </w:r>
      <w:r w:rsidR="00B77593">
        <w:rPr>
          <w:rFonts w:ascii="Arial Narrow" w:hAnsi="Arial Narrow" w:cs="Arial"/>
          <w:spacing w:val="-2"/>
          <w:sz w:val="28"/>
          <w:szCs w:val="28"/>
        </w:rPr>
        <w:t>ISS.</w:t>
      </w:r>
    </w:p>
    <w:p w:rsidR="00F93D00" w:rsidRDefault="00F93D00" w:rsidP="00F93D00">
      <w:pPr>
        <w:pStyle w:val="Sinespaciado"/>
      </w:pPr>
    </w:p>
    <w:p w:rsidR="00F93D00" w:rsidRPr="00086B31" w:rsidRDefault="00F93D00" w:rsidP="00F93D00">
      <w:pPr>
        <w:spacing w:line="360" w:lineRule="auto"/>
        <w:jc w:val="both"/>
        <w:rPr>
          <w:rFonts w:ascii="Arial Narrow" w:hAnsi="Arial Narrow" w:cs="Comic Sans MS"/>
          <w:sz w:val="28"/>
          <w:szCs w:val="28"/>
          <w:lang w:val="es-ES"/>
        </w:rPr>
      </w:pPr>
      <w:r>
        <w:rPr>
          <w:rFonts w:ascii="Arial Narrow" w:hAnsi="Arial Narrow" w:cs="Comic Sans MS"/>
          <w:sz w:val="28"/>
          <w:szCs w:val="28"/>
          <w:lang w:val="es-ES"/>
        </w:rPr>
        <w:t xml:space="preserve"> </w:t>
      </w:r>
      <w:r>
        <w:rPr>
          <w:rFonts w:ascii="Arial Narrow" w:hAnsi="Arial Narrow" w:cs="Comic Sans MS"/>
          <w:sz w:val="28"/>
          <w:szCs w:val="28"/>
          <w:lang w:val="es-ES"/>
        </w:rPr>
        <w:tab/>
        <w:t xml:space="preserve">Para </w:t>
      </w:r>
      <w:r w:rsidR="00BA676E">
        <w:rPr>
          <w:rFonts w:ascii="Arial Narrow" w:hAnsi="Arial Narrow" w:cs="Comic Sans MS"/>
          <w:sz w:val="28"/>
          <w:szCs w:val="28"/>
          <w:lang w:val="es-ES"/>
        </w:rPr>
        <w:t>resolver,</w:t>
      </w:r>
      <w:r>
        <w:rPr>
          <w:rFonts w:ascii="Arial Narrow" w:hAnsi="Arial Narrow" w:cs="Comic Sans MS"/>
          <w:sz w:val="28"/>
          <w:szCs w:val="28"/>
          <w:lang w:val="es-ES"/>
        </w:rPr>
        <w:t xml:space="preserve"> de entrada se advierte que d</w:t>
      </w:r>
      <w:r w:rsidRPr="00086B31">
        <w:rPr>
          <w:rFonts w:ascii="Arial Narrow" w:hAnsi="Arial Narrow" w:cs="Comic Sans MS"/>
          <w:sz w:val="28"/>
          <w:szCs w:val="28"/>
          <w:lang w:val="es-ES"/>
        </w:rPr>
        <w:t xml:space="preserve">e tiempo atrás el órgano de cierre de la </w:t>
      </w:r>
      <w:r w:rsidR="006972B2">
        <w:rPr>
          <w:rFonts w:ascii="Arial Narrow" w:hAnsi="Arial Narrow" w:cs="Comic Sans MS"/>
          <w:sz w:val="28"/>
          <w:szCs w:val="28"/>
          <w:lang w:val="es-ES"/>
        </w:rPr>
        <w:t>especialidad laboral</w:t>
      </w:r>
      <w:r w:rsidRPr="00086B31">
        <w:rPr>
          <w:rFonts w:ascii="Arial Narrow" w:hAnsi="Arial Narrow" w:cs="Comic Sans MS"/>
          <w:sz w:val="28"/>
          <w:szCs w:val="28"/>
          <w:lang w:val="es-ES"/>
        </w:rPr>
        <w:t xml:space="preserve"> viene pregonando que las pensiones de vejez y de invalidez de origen profesional son compatibles, habida consideración de que </w:t>
      </w:r>
      <w:r w:rsidRPr="00086B31">
        <w:rPr>
          <w:rFonts w:ascii="Arial Narrow" w:hAnsi="Arial Narrow"/>
          <w:sz w:val="28"/>
          <w:szCs w:val="28"/>
        </w:rPr>
        <w:t>a</w:t>
      </w:r>
      <w:r>
        <w:rPr>
          <w:rFonts w:ascii="Arial Narrow" w:hAnsi="Arial Narrow"/>
          <w:sz w:val="28"/>
          <w:szCs w:val="28"/>
        </w:rPr>
        <w:t xml:space="preserve">demás </w:t>
      </w:r>
      <w:r w:rsidRPr="00086B31">
        <w:rPr>
          <w:rFonts w:ascii="Arial Narrow" w:hAnsi="Arial Narrow"/>
          <w:sz w:val="28"/>
          <w:szCs w:val="28"/>
        </w:rPr>
        <w:t xml:space="preserve">de amparar </w:t>
      </w:r>
      <w:r w:rsidRPr="00086B31">
        <w:rPr>
          <w:rFonts w:ascii="Arial Narrow" w:hAnsi="Arial Narrow"/>
          <w:sz w:val="28"/>
          <w:szCs w:val="28"/>
        </w:rPr>
        <w:lastRenderedPageBreak/>
        <w:t xml:space="preserve">riesgos diferentes, dado que la primera cubre una contingencia común y la segunda protege de los riesgos propios de la actividad laboral, </w:t>
      </w:r>
      <w:r>
        <w:rPr>
          <w:rFonts w:ascii="Arial Narrow" w:hAnsi="Arial Narrow"/>
          <w:sz w:val="28"/>
          <w:szCs w:val="28"/>
        </w:rPr>
        <w:t xml:space="preserve">las mismas </w:t>
      </w:r>
      <w:r w:rsidRPr="00086B31">
        <w:rPr>
          <w:rFonts w:ascii="Arial Narrow" w:hAnsi="Arial Narrow"/>
          <w:sz w:val="28"/>
          <w:szCs w:val="28"/>
        </w:rPr>
        <w:t>tienen fuentes de financiación autónomas e independientes, p</w:t>
      </w:r>
      <w:r>
        <w:rPr>
          <w:rFonts w:ascii="Arial Narrow" w:hAnsi="Arial Narrow"/>
          <w:sz w:val="28"/>
          <w:szCs w:val="28"/>
        </w:rPr>
        <w:t xml:space="preserve">ues </w:t>
      </w:r>
      <w:r w:rsidRPr="00086B31">
        <w:rPr>
          <w:rFonts w:ascii="Arial Narrow" w:hAnsi="Arial Narrow"/>
          <w:sz w:val="28"/>
          <w:szCs w:val="28"/>
        </w:rPr>
        <w:t xml:space="preserve">implican una cotización separada a la seguridad social y poseen una reglamentación diferente. </w:t>
      </w:r>
    </w:p>
    <w:p w:rsidR="00F93D00" w:rsidRPr="00BA676E" w:rsidRDefault="00F93D00" w:rsidP="00BA676E">
      <w:pPr>
        <w:pStyle w:val="Sinespaciado"/>
      </w:pPr>
    </w:p>
    <w:p w:rsidR="00F93D00" w:rsidRDefault="00F93D00" w:rsidP="00F93D00">
      <w:pPr>
        <w:autoSpaceDE w:val="0"/>
        <w:autoSpaceDN w:val="0"/>
        <w:adjustRightInd w:val="0"/>
        <w:spacing w:line="360" w:lineRule="auto"/>
        <w:ind w:firstLine="708"/>
        <w:jc w:val="both"/>
        <w:rPr>
          <w:rFonts w:ascii="Arial Narrow" w:hAnsi="Arial Narrow" w:cs="Arial"/>
          <w:sz w:val="28"/>
          <w:szCs w:val="28"/>
        </w:rPr>
      </w:pPr>
      <w:r w:rsidRPr="00086B31">
        <w:rPr>
          <w:rFonts w:ascii="Arial Narrow" w:hAnsi="Arial Narrow" w:cs="Comic Sans MS"/>
          <w:sz w:val="28"/>
          <w:szCs w:val="28"/>
          <w:lang w:val="es-ES"/>
        </w:rPr>
        <w:t xml:space="preserve">Tales pautas las dio la Corte, entre otras, en sentencias del </w:t>
      </w:r>
      <w:r w:rsidRPr="00086B31">
        <w:rPr>
          <w:rFonts w:ascii="Arial Narrow" w:hAnsi="Arial Narrow"/>
          <w:iCs/>
          <w:sz w:val="28"/>
          <w:szCs w:val="28"/>
        </w:rPr>
        <w:t xml:space="preserve">1º de diciembre de 2009 radicación Nº 33.558, del 23 de febrero de 2010 radicación Nº 33.265, del 22 de febrero de 2011 radicación Nº 34.820, del 13 de febrero de 2013 radicación 40.560 y más recientemente en providencia de 12 de marzo de 2014 radicación 41.547, </w:t>
      </w:r>
      <w:r w:rsidRPr="00086B31">
        <w:rPr>
          <w:rFonts w:ascii="Arial Narrow" w:hAnsi="Arial Narrow" w:cs="Arial"/>
          <w:sz w:val="28"/>
          <w:szCs w:val="28"/>
        </w:rPr>
        <w:t>en casos con ribetes parecidos a éste.</w:t>
      </w:r>
    </w:p>
    <w:p w:rsidR="00F93D00" w:rsidRPr="003F32CD" w:rsidRDefault="00F93D00" w:rsidP="00F93D00">
      <w:pPr>
        <w:pStyle w:val="Sinespaciado"/>
      </w:pPr>
    </w:p>
    <w:p w:rsidR="00F93D00" w:rsidRDefault="00F93D00" w:rsidP="00F93D00">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Vale la pena citar uno de los apartes en los que la Corte consolidó dicha postura: </w:t>
      </w:r>
    </w:p>
    <w:p w:rsidR="00F93D00" w:rsidRPr="00B81445" w:rsidRDefault="00F93D00" w:rsidP="00B81445">
      <w:pPr>
        <w:pStyle w:val="Sinespaciado"/>
      </w:pPr>
    </w:p>
    <w:p w:rsidR="00F93D00" w:rsidRDefault="00F93D00" w:rsidP="00F93D00">
      <w:pPr>
        <w:autoSpaceDE w:val="0"/>
        <w:autoSpaceDN w:val="0"/>
        <w:adjustRightInd w:val="0"/>
        <w:ind w:firstLine="708"/>
        <w:jc w:val="both"/>
        <w:rPr>
          <w:rFonts w:ascii="Arial Narrow" w:hAnsi="Arial Narrow"/>
          <w:i/>
          <w:iCs/>
          <w:sz w:val="27"/>
          <w:szCs w:val="27"/>
        </w:rPr>
      </w:pPr>
      <w:r w:rsidRPr="001117B3">
        <w:rPr>
          <w:rFonts w:ascii="Arial Narrow" w:hAnsi="Arial Narrow" w:cs="Arial"/>
          <w:sz w:val="27"/>
          <w:szCs w:val="27"/>
        </w:rPr>
        <w:t>“</w:t>
      </w:r>
      <w:r w:rsidRPr="001117B3">
        <w:rPr>
          <w:rFonts w:ascii="Arial Narrow" w:hAnsi="Arial Narrow"/>
          <w:i/>
          <w:iCs/>
          <w:sz w:val="27"/>
          <w:szCs w:val="27"/>
        </w:rPr>
        <w:t>De otra parte, en lo relativo al literal j) del artículo</w:t>
      </w:r>
      <w:r w:rsidRPr="001117B3">
        <w:rPr>
          <w:rStyle w:val="apple-converted-space"/>
          <w:rFonts w:ascii="Arial Narrow" w:hAnsi="Arial Narrow"/>
          <w:i/>
          <w:iCs/>
          <w:sz w:val="27"/>
          <w:szCs w:val="27"/>
        </w:rPr>
        <w:t> </w:t>
      </w:r>
      <w:hyperlink r:id="rId6" w:anchor="13" w:history="1">
        <w:r w:rsidRPr="001117B3">
          <w:rPr>
            <w:rStyle w:val="Hipervnculo"/>
            <w:rFonts w:ascii="Arial Narrow" w:hAnsi="Arial Narrow"/>
            <w:i/>
            <w:iCs/>
            <w:color w:val="auto"/>
            <w:sz w:val="27"/>
            <w:szCs w:val="27"/>
            <w:u w:val="none"/>
          </w:rPr>
          <w:t>13</w:t>
        </w:r>
      </w:hyperlink>
      <w:r w:rsidRPr="001117B3">
        <w:rPr>
          <w:rStyle w:val="apple-converted-space"/>
          <w:rFonts w:ascii="Arial Narrow" w:hAnsi="Arial Narrow"/>
          <w:i/>
          <w:iCs/>
          <w:sz w:val="27"/>
          <w:szCs w:val="27"/>
        </w:rPr>
        <w:t> </w:t>
      </w:r>
      <w:r w:rsidRPr="001117B3">
        <w:rPr>
          <w:rFonts w:ascii="Arial Narrow" w:hAnsi="Arial Narrow"/>
          <w:i/>
          <w:iCs/>
          <w:sz w:val="27"/>
          <w:szCs w:val="27"/>
        </w:rPr>
        <w:t>de la Ley 100 de 1993, modificado por el artículo</w:t>
      </w:r>
      <w:r w:rsidRPr="001117B3">
        <w:rPr>
          <w:rStyle w:val="apple-converted-space"/>
          <w:rFonts w:ascii="Arial Narrow" w:hAnsi="Arial Narrow"/>
          <w:i/>
          <w:iCs/>
          <w:sz w:val="27"/>
          <w:szCs w:val="27"/>
        </w:rPr>
        <w:t> </w:t>
      </w:r>
      <w:hyperlink r:id="rId7" w:anchor="2" w:history="1">
        <w:r w:rsidRPr="001117B3">
          <w:rPr>
            <w:rStyle w:val="Hipervnculo"/>
            <w:rFonts w:ascii="Arial Narrow" w:hAnsi="Arial Narrow"/>
            <w:i/>
            <w:iCs/>
            <w:color w:val="auto"/>
            <w:sz w:val="27"/>
            <w:szCs w:val="27"/>
            <w:u w:val="none"/>
          </w:rPr>
          <w:t>2</w:t>
        </w:r>
      </w:hyperlink>
      <w:r w:rsidRPr="001117B3">
        <w:rPr>
          <w:rFonts w:ascii="Arial Narrow" w:hAnsi="Arial Narrow"/>
          <w:i/>
          <w:iCs/>
          <w:sz w:val="27"/>
          <w:szCs w:val="27"/>
        </w:rPr>
        <w:t>º de la Ley 797 de 2003, valga recordar, la reciente sentencia de esta Sala del 1º de diciembre de 2009, radicación No 33558, donde se dijo que éste prohíbe la concurrencia de las pensiones de invalidez y vejez en un mismo afiliado; sin embargo, al encontrarse ubicada dicha normativa en el libro primero de dicho ordenamiento, debe entenderse que no comprende lo concerniente a riesgos profesionales, que tiene su propia regulación en el libro tercero de tal estatuto. En ese orden, aún con el vigor jurídico que cobró la Ley</w:t>
      </w:r>
      <w:r w:rsidRPr="001117B3">
        <w:rPr>
          <w:rStyle w:val="apple-converted-space"/>
          <w:rFonts w:ascii="Arial Narrow" w:hAnsi="Arial Narrow"/>
          <w:i/>
          <w:iCs/>
          <w:sz w:val="27"/>
          <w:szCs w:val="27"/>
        </w:rPr>
        <w:t> </w:t>
      </w:r>
      <w:hyperlink r:id="rId8" w:anchor="INICIO" w:history="1">
        <w:r w:rsidRPr="001117B3">
          <w:rPr>
            <w:rStyle w:val="Hipervnculo"/>
            <w:rFonts w:ascii="Arial Narrow" w:hAnsi="Arial Narrow"/>
            <w:i/>
            <w:iCs/>
            <w:color w:val="auto"/>
            <w:sz w:val="27"/>
            <w:szCs w:val="27"/>
            <w:u w:val="none"/>
          </w:rPr>
          <w:t>100</w:t>
        </w:r>
      </w:hyperlink>
      <w:r w:rsidRPr="001117B3">
        <w:rPr>
          <w:rStyle w:val="apple-converted-space"/>
          <w:rFonts w:ascii="Arial Narrow" w:hAnsi="Arial Narrow"/>
          <w:i/>
          <w:iCs/>
          <w:sz w:val="27"/>
          <w:szCs w:val="27"/>
        </w:rPr>
        <w:t> </w:t>
      </w:r>
      <w:r w:rsidRPr="001117B3">
        <w:rPr>
          <w:rFonts w:ascii="Arial Narrow" w:hAnsi="Arial Narrow"/>
          <w:i/>
          <w:iCs/>
          <w:sz w:val="27"/>
          <w:szCs w:val="27"/>
        </w:rPr>
        <w:t xml:space="preserve">de 1993, a partir del 1º de abril de 1994, las pensiones de invalidez por causa de accidente de trabajo o enfermedad profesional, son compatibles con la de vejez o con la de invalidez de origen común, entre otras cosas, por la potísima razón de que los recursos con que se pagan, tienen fuentes de financiación independientes, toda vez que se cotiza separadamente para cada riesgo. </w:t>
      </w:r>
    </w:p>
    <w:p w:rsidR="00F93D00" w:rsidRDefault="00F93D00" w:rsidP="00F93D00">
      <w:pPr>
        <w:pStyle w:val="Sinespaciado"/>
      </w:pPr>
    </w:p>
    <w:p w:rsidR="00E0051C" w:rsidRDefault="00F93D00" w:rsidP="00F93D00">
      <w:pPr>
        <w:autoSpaceDE w:val="0"/>
        <w:autoSpaceDN w:val="0"/>
        <w:adjustRightInd w:val="0"/>
        <w:ind w:firstLine="708"/>
        <w:jc w:val="both"/>
        <w:rPr>
          <w:rFonts w:ascii="Arial Narrow" w:hAnsi="Arial Narrow"/>
          <w:i/>
          <w:iCs/>
          <w:sz w:val="27"/>
          <w:szCs w:val="27"/>
        </w:rPr>
      </w:pPr>
      <w:r w:rsidRPr="001117B3">
        <w:rPr>
          <w:rFonts w:ascii="Arial Narrow" w:hAnsi="Arial Narrow"/>
          <w:i/>
          <w:iCs/>
          <w:sz w:val="27"/>
          <w:szCs w:val="27"/>
        </w:rPr>
        <w:t>De otro lado, si bien es cierto, el parágrafo segundo del artículo</w:t>
      </w:r>
      <w:r w:rsidRPr="001117B3">
        <w:rPr>
          <w:rStyle w:val="apple-converted-space"/>
          <w:rFonts w:ascii="Arial Narrow" w:hAnsi="Arial Narrow"/>
          <w:i/>
          <w:iCs/>
          <w:sz w:val="27"/>
          <w:szCs w:val="27"/>
        </w:rPr>
        <w:t> </w:t>
      </w:r>
      <w:hyperlink r:id="rId9" w:anchor="10" w:history="1">
        <w:r w:rsidRPr="001117B3">
          <w:rPr>
            <w:rStyle w:val="Hipervnculo"/>
            <w:rFonts w:ascii="Arial Narrow" w:hAnsi="Arial Narrow"/>
            <w:i/>
            <w:iCs/>
            <w:color w:val="auto"/>
            <w:sz w:val="27"/>
            <w:szCs w:val="27"/>
            <w:u w:val="none"/>
          </w:rPr>
          <w:t>10</w:t>
        </w:r>
      </w:hyperlink>
      <w:r w:rsidRPr="001117B3">
        <w:rPr>
          <w:rStyle w:val="apple-converted-space"/>
          <w:rFonts w:ascii="Arial Narrow" w:hAnsi="Arial Narrow"/>
          <w:i/>
          <w:iCs/>
          <w:sz w:val="27"/>
          <w:szCs w:val="27"/>
        </w:rPr>
        <w:t> </w:t>
      </w:r>
      <w:r w:rsidRPr="001117B3">
        <w:rPr>
          <w:rFonts w:ascii="Arial Narrow" w:hAnsi="Arial Narrow"/>
          <w:i/>
          <w:iCs/>
          <w:sz w:val="27"/>
          <w:szCs w:val="27"/>
        </w:rPr>
        <w:t xml:space="preserve">de la Ley 776 de 2002, establece la incompatibilidad entre dos pensiones otorgadas por los regímenes común y profesional, solo habrá lugar a ello cuando tengan origen “en el mismo evento”, lo cual no ocurre en el caso que nos ocupa, toda vez que se trata de una pensión adquirida por el causante con base a un tiempo de servicio y una edad determinada en la ley y una pensión de sobreviviente originada en un accidente de trabajo ocurrido con posterioridad al estado de pensionado por vejez del fallecido. Así las cosas, considera la Sala, que las pensiones de invalidez por causa de accidente de trabajo o enfermedad profesional o, en su defecto, la de sobrevivientes de origen profesional, son compatibles con la de vejez o con la de invalidez de origen común o con éstas sustituidas en sus causahabientes-, por cuanto las primeras provienen de un infortunio laboral del asegurado a causa de su actividad profesional, y las segundas se derivan de un riesgo común, la cual como lo ha sostenido esta Sala, no es consecuencia obligada de la clase de trabajo o del medio en que labora el trabajador; además, éstas cubren contingencias distintas, tienen reglamentación diferente; los recursos con que se pagan, tienen fuentes de financiación autónomas; y, se cotiza separadamente para cada riesgo. </w:t>
      </w:r>
    </w:p>
    <w:p w:rsidR="00E0051C" w:rsidRDefault="00E0051C" w:rsidP="00F93D00">
      <w:pPr>
        <w:autoSpaceDE w:val="0"/>
        <w:autoSpaceDN w:val="0"/>
        <w:adjustRightInd w:val="0"/>
        <w:ind w:firstLine="708"/>
        <w:jc w:val="both"/>
        <w:rPr>
          <w:rFonts w:ascii="Arial Narrow" w:hAnsi="Arial Narrow"/>
          <w:i/>
          <w:iCs/>
          <w:sz w:val="27"/>
          <w:szCs w:val="27"/>
        </w:rPr>
      </w:pPr>
    </w:p>
    <w:p w:rsidR="00E0051C" w:rsidRDefault="00F93D00" w:rsidP="00F93D00">
      <w:pPr>
        <w:autoSpaceDE w:val="0"/>
        <w:autoSpaceDN w:val="0"/>
        <w:adjustRightInd w:val="0"/>
        <w:ind w:firstLine="708"/>
        <w:jc w:val="both"/>
        <w:rPr>
          <w:rFonts w:ascii="Arial Narrow" w:hAnsi="Arial Narrow"/>
          <w:i/>
          <w:iCs/>
          <w:sz w:val="27"/>
          <w:szCs w:val="27"/>
        </w:rPr>
      </w:pPr>
      <w:r w:rsidRPr="001117B3">
        <w:rPr>
          <w:rFonts w:ascii="Arial Narrow" w:hAnsi="Arial Narrow"/>
          <w:i/>
          <w:iCs/>
          <w:sz w:val="27"/>
          <w:szCs w:val="27"/>
        </w:rPr>
        <w:t>(…)</w:t>
      </w:r>
    </w:p>
    <w:p w:rsidR="00B81445" w:rsidRDefault="00B81445" w:rsidP="00F93D00">
      <w:pPr>
        <w:autoSpaceDE w:val="0"/>
        <w:autoSpaceDN w:val="0"/>
        <w:adjustRightInd w:val="0"/>
        <w:ind w:firstLine="708"/>
        <w:jc w:val="both"/>
        <w:rPr>
          <w:rFonts w:ascii="Arial Narrow" w:hAnsi="Arial Narrow"/>
          <w:i/>
          <w:iCs/>
          <w:sz w:val="27"/>
          <w:szCs w:val="27"/>
        </w:rPr>
      </w:pPr>
    </w:p>
    <w:p w:rsidR="00F93D00" w:rsidRPr="00E0051C" w:rsidRDefault="00E0051C" w:rsidP="00F93D00">
      <w:pPr>
        <w:autoSpaceDE w:val="0"/>
        <w:autoSpaceDN w:val="0"/>
        <w:adjustRightInd w:val="0"/>
        <w:ind w:firstLine="708"/>
        <w:jc w:val="both"/>
        <w:rPr>
          <w:rFonts w:ascii="Arial Narrow" w:hAnsi="Arial Narrow"/>
          <w:iCs/>
          <w:sz w:val="27"/>
          <w:szCs w:val="27"/>
        </w:rPr>
      </w:pPr>
      <w:r w:rsidRPr="00E0051C">
        <w:rPr>
          <w:rFonts w:ascii="Arial Narrow" w:hAnsi="Arial Narrow" w:cs="Arial"/>
          <w:i/>
          <w:sz w:val="27"/>
          <w:szCs w:val="27"/>
        </w:rPr>
        <w:lastRenderedPageBreak/>
        <w:t xml:space="preserve">Si bien </w:t>
      </w:r>
      <w:smartTag w:uri="urn:schemas-microsoft-com:office:smarttags" w:element="PersonName">
        <w:smartTagPr>
          <w:attr w:name="ProductID" w:val="la Corte"/>
        </w:smartTagPr>
        <w:r w:rsidRPr="00E0051C">
          <w:rPr>
            <w:rFonts w:ascii="Arial Narrow" w:hAnsi="Arial Narrow" w:cs="Arial"/>
            <w:i/>
            <w:sz w:val="27"/>
            <w:szCs w:val="27"/>
          </w:rPr>
          <w:t>la Corte</w:t>
        </w:r>
      </w:smartTag>
      <w:r w:rsidRPr="00E0051C">
        <w:rPr>
          <w:rFonts w:ascii="Arial Narrow" w:hAnsi="Arial Narrow" w:cs="Arial"/>
          <w:i/>
          <w:sz w:val="27"/>
          <w:szCs w:val="27"/>
        </w:rPr>
        <w:t xml:space="preserve"> ha señalado en reiterada jurisprudencia que en principio no es posible disfrutar simultáneamente dos pensiones por un mismo beneficiario, ello ha sido exclusivamente en aquellos casos en que así lo disponen expresamente las normas aplicables o éstas cubren un mismo riesgo o atienden al mismo seguro, como el de invalidez de origen común - que en determinadas circunstancias deviene en pensión de vejez -  y la pensión de jubilación, o la plena de jubilación patronal y la de vejez que reconoce el ISS. Nótese que estas pensiones tienen la misma naturaleza y amparan, se repite el mismo riesgo, a diferencia de aquellas que ahora ocupan la atención de </w:t>
      </w:r>
      <w:smartTag w:uri="urn:schemas-microsoft-com:office:smarttags" w:element="PersonName">
        <w:smartTagPr>
          <w:attr w:name="ProductID" w:val="la Sala"/>
        </w:smartTagPr>
        <w:r w:rsidRPr="00E0051C">
          <w:rPr>
            <w:rFonts w:ascii="Arial Narrow" w:hAnsi="Arial Narrow" w:cs="Arial"/>
            <w:i/>
            <w:sz w:val="27"/>
            <w:szCs w:val="27"/>
          </w:rPr>
          <w:t>la Sala</w:t>
        </w:r>
      </w:smartTag>
      <w:r w:rsidRPr="00E0051C">
        <w:rPr>
          <w:rFonts w:ascii="Arial Narrow" w:hAnsi="Arial Narrow" w:cs="Arial"/>
          <w:i/>
          <w:sz w:val="27"/>
          <w:szCs w:val="27"/>
        </w:rPr>
        <w:t xml:space="preserve"> y cuya coexistencia no está prohibida.</w:t>
      </w:r>
      <w:r w:rsidR="00F93D00" w:rsidRPr="00E0051C">
        <w:rPr>
          <w:rFonts w:ascii="Arial Narrow" w:hAnsi="Arial Narrow"/>
          <w:i/>
          <w:iCs/>
          <w:sz w:val="27"/>
          <w:szCs w:val="27"/>
        </w:rPr>
        <w:t>”</w:t>
      </w:r>
    </w:p>
    <w:p w:rsidR="003F32CD" w:rsidRPr="00E0051C" w:rsidRDefault="003F32CD" w:rsidP="00E0051C">
      <w:pPr>
        <w:pStyle w:val="Sinespaciado"/>
        <w:spacing w:line="360" w:lineRule="auto"/>
      </w:pPr>
    </w:p>
    <w:p w:rsidR="00FF2A36" w:rsidRPr="00F82B46" w:rsidRDefault="00FF2A36" w:rsidP="00FF2A36">
      <w:pPr>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 xml:space="preserve">De lo anterior posición surge adecuada </w:t>
      </w:r>
      <w:r w:rsidR="009B117A">
        <w:rPr>
          <w:rFonts w:ascii="Arial Narrow" w:hAnsi="Arial Narrow" w:cs="Arial"/>
          <w:spacing w:val="-2"/>
          <w:sz w:val="28"/>
          <w:szCs w:val="28"/>
        </w:rPr>
        <w:t>la decisi</w:t>
      </w:r>
      <w:r>
        <w:rPr>
          <w:rFonts w:ascii="Arial Narrow" w:hAnsi="Arial Narrow" w:cs="Arial"/>
          <w:spacing w:val="-2"/>
          <w:sz w:val="28"/>
          <w:szCs w:val="28"/>
        </w:rPr>
        <w:t xml:space="preserve">ón de la jueza de primer grado, </w:t>
      </w:r>
      <w:r w:rsidR="00F82B46" w:rsidRPr="00F82B46">
        <w:rPr>
          <w:rFonts w:ascii="Arial Narrow" w:hAnsi="Arial Narrow" w:cs="Arial"/>
          <w:spacing w:val="-2"/>
          <w:sz w:val="28"/>
          <w:szCs w:val="28"/>
        </w:rPr>
        <w:t>al determinar la compatibi</w:t>
      </w:r>
      <w:r w:rsidR="00F82B46">
        <w:rPr>
          <w:rFonts w:ascii="Arial Narrow" w:hAnsi="Arial Narrow" w:cs="Arial"/>
          <w:spacing w:val="-2"/>
          <w:sz w:val="28"/>
          <w:szCs w:val="28"/>
        </w:rPr>
        <w:t>li</w:t>
      </w:r>
      <w:r w:rsidR="00F82B46" w:rsidRPr="00F82B46">
        <w:rPr>
          <w:rFonts w:ascii="Arial Narrow" w:hAnsi="Arial Narrow" w:cs="Arial"/>
          <w:spacing w:val="-2"/>
          <w:sz w:val="28"/>
          <w:szCs w:val="28"/>
        </w:rPr>
        <w:t xml:space="preserve">dad </w:t>
      </w:r>
      <w:r w:rsidR="00E0051C" w:rsidRPr="00F82B46">
        <w:rPr>
          <w:rFonts w:ascii="Arial Narrow" w:hAnsi="Arial Narrow"/>
          <w:sz w:val="28"/>
          <w:szCs w:val="28"/>
        </w:rPr>
        <w:t>de la pensión de invalidez de origen profesional con l</w:t>
      </w:r>
      <w:r w:rsidR="00F82B46">
        <w:rPr>
          <w:rFonts w:ascii="Arial Narrow" w:hAnsi="Arial Narrow"/>
          <w:sz w:val="28"/>
          <w:szCs w:val="28"/>
        </w:rPr>
        <w:t xml:space="preserve">a de vejez reconocidas al actor, </w:t>
      </w:r>
      <w:r>
        <w:rPr>
          <w:rFonts w:ascii="Arial Narrow" w:hAnsi="Arial Narrow"/>
          <w:sz w:val="28"/>
          <w:szCs w:val="28"/>
        </w:rPr>
        <w:t xml:space="preserve">y ordenar la reactivación de la primera, </w:t>
      </w:r>
      <w:r w:rsidR="00F82B46">
        <w:rPr>
          <w:rFonts w:ascii="Arial Narrow" w:hAnsi="Arial Narrow"/>
          <w:sz w:val="28"/>
          <w:szCs w:val="28"/>
        </w:rPr>
        <w:t xml:space="preserve">por lo que forzosa </w:t>
      </w:r>
      <w:r w:rsidR="009B117A">
        <w:rPr>
          <w:rFonts w:ascii="Arial Narrow" w:hAnsi="Arial Narrow"/>
          <w:sz w:val="28"/>
          <w:szCs w:val="28"/>
        </w:rPr>
        <w:t xml:space="preserve">resulta </w:t>
      </w:r>
      <w:r>
        <w:rPr>
          <w:rFonts w:ascii="Arial Narrow" w:hAnsi="Arial Narrow"/>
          <w:sz w:val="28"/>
          <w:szCs w:val="28"/>
        </w:rPr>
        <w:t>su confirmación.</w:t>
      </w:r>
    </w:p>
    <w:p w:rsidR="003F32CD" w:rsidRDefault="003F32CD" w:rsidP="00FF2A36">
      <w:pPr>
        <w:pStyle w:val="Sinespaciado"/>
      </w:pPr>
    </w:p>
    <w:p w:rsidR="00FF2A36" w:rsidRPr="00E0051C" w:rsidRDefault="00FF2A36" w:rsidP="00877C50">
      <w:pPr>
        <w:suppressAutoHyphens/>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 xml:space="preserve">Costas a cargo de la entidad recurrente. </w:t>
      </w:r>
    </w:p>
    <w:p w:rsidR="00FF2A36" w:rsidRDefault="00FF2A36" w:rsidP="00FF2A36">
      <w:pPr>
        <w:pStyle w:val="Sinespaciado"/>
      </w:pPr>
    </w:p>
    <w:p w:rsidR="00877C50" w:rsidRDefault="00877C50" w:rsidP="00FF2A36">
      <w:pPr>
        <w:spacing w:line="360" w:lineRule="auto"/>
        <w:ind w:firstLine="708"/>
        <w:jc w:val="both"/>
        <w:rPr>
          <w:rFonts w:ascii="Arial Narrow" w:hAnsi="Arial Narrow"/>
          <w:sz w:val="28"/>
          <w:szCs w:val="28"/>
        </w:rPr>
      </w:pPr>
      <w:r w:rsidRPr="00E56038">
        <w:rPr>
          <w:rFonts w:ascii="Arial Narrow" w:hAnsi="Arial Narrow"/>
          <w:sz w:val="28"/>
          <w:szCs w:val="28"/>
        </w:rPr>
        <w:t xml:space="preserve">En mérito de lo expuesto, el </w:t>
      </w:r>
      <w:r w:rsidRPr="00E56038">
        <w:rPr>
          <w:rFonts w:ascii="Arial Narrow" w:hAnsi="Arial Narrow"/>
          <w:b/>
          <w:sz w:val="28"/>
          <w:szCs w:val="28"/>
        </w:rPr>
        <w:t>Tribunal Superior del Distrito Judicial de Pereira - Risaralda, Sala Laboral,</w:t>
      </w:r>
      <w:r w:rsidRPr="00E56038">
        <w:rPr>
          <w:rFonts w:ascii="Arial Narrow" w:hAnsi="Arial Narrow"/>
          <w:sz w:val="28"/>
          <w:szCs w:val="28"/>
        </w:rPr>
        <w:t xml:space="preserve"> administrando justicia en nombre de la República y por autoridad de la ley,</w:t>
      </w:r>
    </w:p>
    <w:p w:rsidR="00FF2A36" w:rsidRPr="00E56038" w:rsidRDefault="00FF2A36" w:rsidP="00FF2A36">
      <w:pPr>
        <w:pStyle w:val="Sinespaciado"/>
      </w:pPr>
    </w:p>
    <w:p w:rsidR="00877C50" w:rsidRDefault="00877C50" w:rsidP="00877C50">
      <w:pPr>
        <w:spacing w:line="360" w:lineRule="auto"/>
        <w:ind w:firstLine="851"/>
        <w:jc w:val="center"/>
        <w:rPr>
          <w:rFonts w:ascii="Arial Narrow" w:hAnsi="Arial Narrow" w:cs="Arial"/>
          <w:b/>
          <w:i/>
          <w:sz w:val="28"/>
          <w:szCs w:val="28"/>
        </w:rPr>
      </w:pPr>
      <w:r w:rsidRPr="00E56038">
        <w:rPr>
          <w:rFonts w:ascii="Arial Narrow" w:hAnsi="Arial Narrow" w:cs="Arial"/>
          <w:b/>
          <w:i/>
          <w:sz w:val="28"/>
          <w:szCs w:val="28"/>
        </w:rPr>
        <w:t>FALLA</w:t>
      </w:r>
    </w:p>
    <w:p w:rsidR="00FF2A36" w:rsidRPr="00E56038" w:rsidRDefault="00FF2A36" w:rsidP="00FF2A36">
      <w:pPr>
        <w:pStyle w:val="Sinespaciado"/>
      </w:pPr>
    </w:p>
    <w:p w:rsidR="00877C50" w:rsidRPr="00E56038" w:rsidRDefault="00877C50" w:rsidP="00877C50">
      <w:pPr>
        <w:tabs>
          <w:tab w:val="left" w:pos="-720"/>
        </w:tabs>
        <w:suppressAutoHyphens/>
        <w:spacing w:line="336" w:lineRule="auto"/>
        <w:ind w:right="28" w:firstLine="851"/>
        <w:jc w:val="both"/>
        <w:rPr>
          <w:rFonts w:ascii="Arial Narrow" w:hAnsi="Arial Narrow" w:cs="Tahoma"/>
          <w:sz w:val="28"/>
          <w:szCs w:val="28"/>
        </w:rPr>
      </w:pPr>
      <w:r w:rsidRPr="00E56038">
        <w:rPr>
          <w:rFonts w:ascii="Arial Narrow" w:hAnsi="Arial Narrow" w:cs="Tahoma"/>
          <w:b/>
          <w:spacing w:val="-2"/>
          <w:sz w:val="28"/>
          <w:szCs w:val="28"/>
        </w:rPr>
        <w:t xml:space="preserve">Confirma </w:t>
      </w:r>
      <w:r w:rsidRPr="00E56038">
        <w:rPr>
          <w:rFonts w:ascii="Arial Narrow" w:hAnsi="Arial Narrow" w:cs="Tahoma"/>
          <w:spacing w:val="-2"/>
          <w:sz w:val="28"/>
          <w:szCs w:val="28"/>
        </w:rPr>
        <w:t xml:space="preserve">la sentencia </w:t>
      </w:r>
      <w:r>
        <w:rPr>
          <w:rFonts w:ascii="Arial Narrow" w:hAnsi="Arial Narrow" w:cs="Tahoma"/>
          <w:spacing w:val="-2"/>
          <w:sz w:val="28"/>
          <w:szCs w:val="28"/>
        </w:rPr>
        <w:t xml:space="preserve">proferida el </w:t>
      </w:r>
      <w:r w:rsidR="00FF2A36">
        <w:rPr>
          <w:rFonts w:ascii="Arial Narrow" w:hAnsi="Arial Narrow" w:cs="Tahoma"/>
          <w:spacing w:val="-2"/>
          <w:sz w:val="28"/>
          <w:szCs w:val="28"/>
        </w:rPr>
        <w:t>24 de febrero de 2015</w:t>
      </w:r>
      <w:r>
        <w:rPr>
          <w:rFonts w:ascii="Arial Narrow" w:hAnsi="Arial Narrow" w:cs="Tahoma"/>
          <w:spacing w:val="-2"/>
          <w:sz w:val="28"/>
          <w:szCs w:val="28"/>
        </w:rPr>
        <w:t xml:space="preserve"> por el Juzgado Segundo Laboral del Circuito de Pereira dentro</w:t>
      </w:r>
      <w:r w:rsidR="00FF2A36">
        <w:rPr>
          <w:rFonts w:ascii="Arial Narrow" w:hAnsi="Arial Narrow" w:cs="Tahoma"/>
          <w:spacing w:val="-2"/>
          <w:sz w:val="28"/>
          <w:szCs w:val="28"/>
        </w:rPr>
        <w:t xml:space="preserve"> del proceso ordinario laboral de la referencia. </w:t>
      </w:r>
    </w:p>
    <w:p w:rsidR="00877C50" w:rsidRPr="00FF2A36" w:rsidRDefault="00877C50" w:rsidP="00FF2A36">
      <w:pPr>
        <w:pStyle w:val="Sinespaciado"/>
      </w:pPr>
    </w:p>
    <w:p w:rsidR="00FF2A36" w:rsidRDefault="00FF2A36" w:rsidP="00FF2A36">
      <w:pPr>
        <w:suppressAutoHyphens/>
        <w:spacing w:line="360" w:lineRule="auto"/>
        <w:ind w:firstLine="708"/>
        <w:jc w:val="both"/>
        <w:rPr>
          <w:rFonts w:ascii="Arial Narrow" w:hAnsi="Arial Narrow" w:cs="Arial"/>
          <w:spacing w:val="-2"/>
          <w:sz w:val="28"/>
          <w:szCs w:val="28"/>
        </w:rPr>
      </w:pPr>
      <w:r>
        <w:rPr>
          <w:rFonts w:ascii="Arial Narrow" w:hAnsi="Arial Narrow" w:cs="Arial"/>
          <w:spacing w:val="-2"/>
          <w:sz w:val="28"/>
          <w:szCs w:val="28"/>
        </w:rPr>
        <w:t xml:space="preserve">Costas a cargo de la entidad recurrente. </w:t>
      </w:r>
    </w:p>
    <w:p w:rsidR="00FF2A36" w:rsidRPr="00E0051C" w:rsidRDefault="00FF2A36" w:rsidP="00FF2A36">
      <w:pPr>
        <w:pStyle w:val="Sinespaciado"/>
      </w:pPr>
    </w:p>
    <w:p w:rsidR="00877C50" w:rsidRPr="00E56038" w:rsidRDefault="00877C50" w:rsidP="00877C50">
      <w:pPr>
        <w:spacing w:after="120" w:line="360" w:lineRule="auto"/>
        <w:ind w:firstLine="851"/>
        <w:jc w:val="both"/>
        <w:rPr>
          <w:rFonts w:ascii="Arial Narrow" w:hAnsi="Arial Narrow" w:cs="Tahoma"/>
          <w:b/>
          <w:sz w:val="28"/>
          <w:szCs w:val="28"/>
        </w:rPr>
      </w:pPr>
      <w:r w:rsidRPr="00E56038">
        <w:rPr>
          <w:rFonts w:ascii="Arial Narrow" w:hAnsi="Arial Narrow" w:cs="Tahoma"/>
          <w:sz w:val="28"/>
          <w:szCs w:val="28"/>
        </w:rPr>
        <w:t xml:space="preserve">Notificación surtida </w:t>
      </w:r>
      <w:r w:rsidRPr="00E56038">
        <w:rPr>
          <w:rFonts w:ascii="Arial Narrow" w:hAnsi="Arial Narrow" w:cs="Tahoma"/>
          <w:b/>
          <w:sz w:val="28"/>
          <w:szCs w:val="28"/>
        </w:rPr>
        <w:t>EN ESTRADOS.</w:t>
      </w:r>
    </w:p>
    <w:p w:rsidR="00877C50" w:rsidRDefault="00877C50" w:rsidP="00877C50">
      <w:pPr>
        <w:jc w:val="both"/>
        <w:rPr>
          <w:rFonts w:ascii="Arial Narrow" w:hAnsi="Arial Narrow" w:cs="Arial"/>
          <w:b/>
          <w:bCs/>
          <w:iCs/>
          <w:sz w:val="28"/>
          <w:szCs w:val="28"/>
        </w:rPr>
      </w:pPr>
      <w:r w:rsidRPr="00E56038">
        <w:rPr>
          <w:rFonts w:ascii="Arial Narrow" w:hAnsi="Arial Narrow" w:cs="Arial"/>
          <w:b/>
          <w:bCs/>
          <w:iCs/>
          <w:sz w:val="28"/>
          <w:szCs w:val="28"/>
        </w:rPr>
        <w:tab/>
        <w:t xml:space="preserve"> </w:t>
      </w:r>
    </w:p>
    <w:p w:rsidR="00877C50" w:rsidRDefault="00877C50" w:rsidP="00877C50">
      <w:pPr>
        <w:jc w:val="both"/>
        <w:rPr>
          <w:rFonts w:ascii="Arial Narrow" w:hAnsi="Arial Narrow" w:cs="Arial"/>
          <w:b/>
          <w:bCs/>
          <w:iCs/>
          <w:sz w:val="28"/>
          <w:szCs w:val="28"/>
        </w:rPr>
      </w:pPr>
    </w:p>
    <w:p w:rsidR="00877C50" w:rsidRPr="00E56038" w:rsidRDefault="00877C50" w:rsidP="00877C50">
      <w:pPr>
        <w:jc w:val="both"/>
        <w:rPr>
          <w:rFonts w:ascii="Arial Narrow" w:hAnsi="Arial Narrow" w:cs="Arial"/>
          <w:b/>
          <w:bCs/>
          <w:iCs/>
          <w:sz w:val="28"/>
          <w:szCs w:val="28"/>
        </w:rPr>
      </w:pPr>
    </w:p>
    <w:p w:rsidR="00877C50" w:rsidRPr="00DF7D37" w:rsidRDefault="00877C50" w:rsidP="00877C50">
      <w:pPr>
        <w:ind w:firstLine="851"/>
        <w:jc w:val="center"/>
        <w:rPr>
          <w:rFonts w:ascii="Arial Narrow" w:hAnsi="Arial Narrow" w:cs="Arial"/>
          <w:b/>
          <w:bCs/>
          <w:iCs/>
          <w:sz w:val="28"/>
          <w:szCs w:val="28"/>
        </w:rPr>
      </w:pPr>
    </w:p>
    <w:p w:rsidR="00877C50" w:rsidRDefault="00877C50" w:rsidP="00877C50">
      <w:pPr>
        <w:ind w:firstLine="851"/>
        <w:jc w:val="center"/>
        <w:rPr>
          <w:rFonts w:ascii="Arial Narrow" w:hAnsi="Arial Narrow" w:cs="Arial"/>
          <w:b/>
          <w:bCs/>
          <w:iCs/>
          <w:sz w:val="28"/>
          <w:szCs w:val="28"/>
        </w:rPr>
      </w:pPr>
      <w:r w:rsidRPr="00DF7D37">
        <w:rPr>
          <w:rFonts w:ascii="Arial Narrow" w:hAnsi="Arial Narrow" w:cs="Arial"/>
          <w:b/>
          <w:bCs/>
          <w:iCs/>
          <w:sz w:val="28"/>
          <w:szCs w:val="28"/>
        </w:rPr>
        <w:t>FRANCISC</w:t>
      </w:r>
      <w:bookmarkStart w:id="0" w:name="_GoBack"/>
      <w:bookmarkEnd w:id="0"/>
      <w:r w:rsidRPr="00DF7D37">
        <w:rPr>
          <w:rFonts w:ascii="Arial Narrow" w:hAnsi="Arial Narrow" w:cs="Arial"/>
          <w:b/>
          <w:bCs/>
          <w:iCs/>
          <w:sz w:val="28"/>
          <w:szCs w:val="28"/>
        </w:rPr>
        <w:t>O JAVIER TAMAYO TABARES</w:t>
      </w:r>
    </w:p>
    <w:p w:rsidR="00877C50" w:rsidRPr="00086B31" w:rsidRDefault="00877C50" w:rsidP="00877C50">
      <w:pPr>
        <w:ind w:firstLine="851"/>
        <w:jc w:val="center"/>
        <w:rPr>
          <w:rFonts w:ascii="Arial Narrow" w:hAnsi="Arial Narrow" w:cs="Arial"/>
          <w:bCs/>
          <w:iCs/>
          <w:sz w:val="28"/>
          <w:szCs w:val="28"/>
        </w:rPr>
      </w:pPr>
      <w:r w:rsidRPr="00086B31">
        <w:rPr>
          <w:rFonts w:ascii="Arial Narrow" w:hAnsi="Arial Narrow" w:cs="Arial"/>
          <w:bCs/>
          <w:iCs/>
          <w:sz w:val="28"/>
          <w:szCs w:val="28"/>
        </w:rPr>
        <w:t>Magistrado Ponente</w:t>
      </w:r>
    </w:p>
    <w:p w:rsidR="00877C50" w:rsidRPr="00DF7D37" w:rsidRDefault="00877C50" w:rsidP="00877C50">
      <w:pPr>
        <w:ind w:firstLine="851"/>
        <w:jc w:val="both"/>
        <w:rPr>
          <w:rFonts w:ascii="Arial Narrow" w:hAnsi="Arial Narrow" w:cs="Arial"/>
          <w:b/>
          <w:sz w:val="28"/>
          <w:szCs w:val="28"/>
        </w:rPr>
      </w:pPr>
    </w:p>
    <w:p w:rsidR="00877C50" w:rsidRDefault="00877C50" w:rsidP="00877C50">
      <w:pPr>
        <w:ind w:firstLine="851"/>
        <w:jc w:val="both"/>
        <w:rPr>
          <w:rFonts w:ascii="Arial Narrow" w:hAnsi="Arial Narrow" w:cs="Arial"/>
          <w:b/>
          <w:bCs/>
          <w:iCs/>
          <w:sz w:val="28"/>
          <w:szCs w:val="28"/>
        </w:rPr>
      </w:pPr>
    </w:p>
    <w:p w:rsidR="00877C50" w:rsidRDefault="00877C50" w:rsidP="00877C50">
      <w:pPr>
        <w:ind w:firstLine="851"/>
        <w:jc w:val="both"/>
        <w:rPr>
          <w:rFonts w:ascii="Arial Narrow" w:hAnsi="Arial Narrow" w:cs="Arial"/>
          <w:b/>
          <w:bCs/>
          <w:iCs/>
          <w:sz w:val="28"/>
          <w:szCs w:val="28"/>
        </w:rPr>
      </w:pPr>
    </w:p>
    <w:p w:rsidR="00877C50" w:rsidRDefault="00877C50" w:rsidP="00877C50">
      <w:pPr>
        <w:ind w:firstLine="851"/>
        <w:jc w:val="both"/>
        <w:rPr>
          <w:rFonts w:ascii="Arial Narrow" w:hAnsi="Arial Narrow" w:cs="Arial"/>
          <w:b/>
          <w:bCs/>
          <w:iCs/>
          <w:sz w:val="28"/>
          <w:szCs w:val="28"/>
        </w:rPr>
      </w:pPr>
    </w:p>
    <w:p w:rsidR="00877C50" w:rsidRPr="00DF7D37" w:rsidRDefault="00877C50" w:rsidP="00877C50">
      <w:pPr>
        <w:ind w:firstLine="851"/>
        <w:jc w:val="both"/>
        <w:rPr>
          <w:rFonts w:ascii="Arial Narrow" w:hAnsi="Arial Narrow" w:cs="Arial"/>
          <w:b/>
          <w:bCs/>
          <w:iCs/>
          <w:sz w:val="28"/>
          <w:szCs w:val="28"/>
        </w:rPr>
      </w:pPr>
    </w:p>
    <w:p w:rsidR="00877C50" w:rsidRPr="00DF7D37" w:rsidRDefault="00FF2A36" w:rsidP="00FF2A36">
      <w:pPr>
        <w:jc w:val="both"/>
        <w:rPr>
          <w:rFonts w:ascii="Arial Narrow" w:hAnsi="Arial Narrow" w:cs="Arial"/>
          <w:sz w:val="28"/>
          <w:szCs w:val="28"/>
        </w:rPr>
      </w:pPr>
      <w:r>
        <w:rPr>
          <w:rFonts w:ascii="Arial Narrow" w:hAnsi="Arial Narrow" w:cs="Arial"/>
          <w:b/>
          <w:bCs/>
          <w:iCs/>
          <w:sz w:val="28"/>
          <w:szCs w:val="28"/>
        </w:rPr>
        <w:t xml:space="preserve">ISSA RAFAEL ULLOQUE TOSCANO                 ANA LUCÍA CAICEDO CALDERÓN     </w:t>
      </w:r>
    </w:p>
    <w:p w:rsidR="00D84850" w:rsidRPr="00A6263D" w:rsidRDefault="00FF2A36" w:rsidP="00A6263D">
      <w:pPr>
        <w:ind w:firstLine="851"/>
        <w:rPr>
          <w:rFonts w:ascii="Arial Narrow" w:hAnsi="Arial Narrow" w:cs="Arial"/>
          <w:bCs/>
          <w:iCs/>
          <w:sz w:val="28"/>
          <w:szCs w:val="28"/>
        </w:rPr>
      </w:pPr>
      <w:r>
        <w:rPr>
          <w:rFonts w:ascii="Arial Narrow" w:hAnsi="Arial Narrow" w:cs="Arial"/>
          <w:bCs/>
          <w:iCs/>
          <w:sz w:val="28"/>
          <w:szCs w:val="28"/>
        </w:rPr>
        <w:t xml:space="preserve">          </w:t>
      </w:r>
      <w:r w:rsidR="00877C50" w:rsidRPr="00086B31">
        <w:rPr>
          <w:rFonts w:ascii="Arial Narrow" w:hAnsi="Arial Narrow" w:cs="Arial"/>
          <w:bCs/>
          <w:iCs/>
          <w:sz w:val="28"/>
          <w:szCs w:val="28"/>
        </w:rPr>
        <w:t>Magistrad</w:t>
      </w:r>
      <w:r>
        <w:rPr>
          <w:rFonts w:ascii="Arial Narrow" w:hAnsi="Arial Narrow" w:cs="Arial"/>
          <w:bCs/>
          <w:iCs/>
          <w:sz w:val="28"/>
          <w:szCs w:val="28"/>
        </w:rPr>
        <w:t>o</w:t>
      </w:r>
      <w:r w:rsidR="00877C50" w:rsidRPr="00086B31">
        <w:rPr>
          <w:rFonts w:ascii="Arial Narrow" w:hAnsi="Arial Narrow" w:cs="Arial"/>
          <w:bCs/>
          <w:iCs/>
          <w:sz w:val="28"/>
          <w:szCs w:val="28"/>
        </w:rPr>
        <w:t xml:space="preserve">                       </w:t>
      </w:r>
      <w:r>
        <w:rPr>
          <w:rFonts w:ascii="Arial Narrow" w:hAnsi="Arial Narrow" w:cs="Arial"/>
          <w:bCs/>
          <w:iCs/>
          <w:sz w:val="28"/>
          <w:szCs w:val="28"/>
        </w:rPr>
        <w:t xml:space="preserve">                                     Magistrada</w:t>
      </w:r>
      <w:r w:rsidR="00877C50" w:rsidRPr="00086B31">
        <w:rPr>
          <w:rFonts w:ascii="Arial Narrow" w:hAnsi="Arial Narrow" w:cs="Arial"/>
          <w:bCs/>
          <w:iCs/>
          <w:sz w:val="28"/>
          <w:szCs w:val="28"/>
        </w:rPr>
        <w:t xml:space="preserve">         </w:t>
      </w:r>
    </w:p>
    <w:sectPr w:rsidR="00D84850" w:rsidRPr="00A6263D" w:rsidSect="00564014">
      <w:headerReference w:type="default" r:id="rId10"/>
      <w:footerReference w:type="even" r:id="rId11"/>
      <w:footerReference w:type="default" r:id="rId12"/>
      <w:pgSz w:w="12242" w:h="18722" w:code="120"/>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F3" w:rsidRDefault="00A627F3" w:rsidP="00877C50">
      <w:r>
        <w:separator/>
      </w:r>
    </w:p>
  </w:endnote>
  <w:endnote w:type="continuationSeparator" w:id="0">
    <w:p w:rsidR="00A627F3" w:rsidRDefault="00A627F3" w:rsidP="0087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B81306"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619" w:rsidRDefault="00A627F3"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B81306"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1445">
      <w:rPr>
        <w:rStyle w:val="Nmerodepgina"/>
        <w:noProof/>
      </w:rPr>
      <w:t>5</w:t>
    </w:r>
    <w:r>
      <w:rPr>
        <w:rStyle w:val="Nmerodepgina"/>
      </w:rPr>
      <w:fldChar w:fldCharType="end"/>
    </w:r>
  </w:p>
  <w:p w:rsidR="00436619" w:rsidRDefault="00A627F3"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F3" w:rsidRDefault="00A627F3" w:rsidP="00877C50">
      <w:r>
        <w:separator/>
      </w:r>
    </w:p>
  </w:footnote>
  <w:footnote w:type="continuationSeparator" w:id="0">
    <w:p w:rsidR="00A627F3" w:rsidRDefault="00A627F3" w:rsidP="00877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877C50" w:rsidRDefault="00B81306" w:rsidP="00602FDF">
    <w:pPr>
      <w:jc w:val="both"/>
      <w:rPr>
        <w:rFonts w:ascii="Arial Narrow" w:hAnsi="Arial Narrow" w:cs="Arial"/>
        <w:bCs/>
        <w:sz w:val="18"/>
        <w:szCs w:val="18"/>
      </w:rPr>
    </w:pPr>
    <w:r w:rsidRPr="00877C50">
      <w:rPr>
        <w:rFonts w:ascii="Arial Narrow" w:hAnsi="Arial Narrow" w:cs="Arial"/>
        <w:bCs/>
        <w:sz w:val="18"/>
        <w:szCs w:val="18"/>
      </w:rPr>
      <w:t>Radicación No: 66001-31-05-002-2014-00</w:t>
    </w:r>
    <w:r w:rsidR="00877C50" w:rsidRPr="00877C50">
      <w:rPr>
        <w:rFonts w:ascii="Arial Narrow" w:hAnsi="Arial Narrow" w:cs="Arial"/>
        <w:bCs/>
        <w:sz w:val="18"/>
        <w:szCs w:val="18"/>
      </w:rPr>
      <w:t>050-01</w:t>
    </w:r>
  </w:p>
  <w:p w:rsidR="00436619" w:rsidRPr="00877C50" w:rsidRDefault="00877C50" w:rsidP="00602FDF">
    <w:pPr>
      <w:jc w:val="both"/>
      <w:rPr>
        <w:rFonts w:ascii="Arial Narrow" w:hAnsi="Arial Narrow" w:cs="Arial"/>
        <w:bCs/>
        <w:iCs/>
        <w:sz w:val="18"/>
        <w:szCs w:val="18"/>
      </w:rPr>
    </w:pPr>
    <w:r w:rsidRPr="00877C50">
      <w:rPr>
        <w:rFonts w:ascii="Arial Narrow" w:hAnsi="Arial Narrow" w:cs="Arial"/>
        <w:bCs/>
        <w:sz w:val="18"/>
        <w:szCs w:val="18"/>
      </w:rPr>
      <w:t xml:space="preserve">Rogelio Flórez Cardona </w:t>
    </w:r>
    <w:r w:rsidR="00B81306" w:rsidRPr="00877C50">
      <w:rPr>
        <w:rFonts w:ascii="Arial Narrow" w:hAnsi="Arial Narrow" w:cs="Arial"/>
        <w:bCs/>
        <w:sz w:val="18"/>
        <w:szCs w:val="18"/>
      </w:rPr>
      <w:t xml:space="preserve">vs. </w:t>
    </w:r>
    <w:r w:rsidRPr="00877C50">
      <w:rPr>
        <w:rFonts w:ascii="Arial Narrow" w:hAnsi="Arial Narrow" w:cs="Arial"/>
        <w:bCs/>
        <w:sz w:val="18"/>
        <w:szCs w:val="18"/>
      </w:rPr>
      <w:t>Positiva Compañía de Seguros SA</w:t>
    </w:r>
  </w:p>
  <w:p w:rsidR="00436619" w:rsidRPr="00041201" w:rsidRDefault="00A627F3">
    <w:pPr>
      <w:pStyle w:val="Encabezado"/>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50"/>
    <w:rsid w:val="00041442"/>
    <w:rsid w:val="000B78C2"/>
    <w:rsid w:val="000E7F42"/>
    <w:rsid w:val="000F1662"/>
    <w:rsid w:val="001117B3"/>
    <w:rsid w:val="00172834"/>
    <w:rsid w:val="00242152"/>
    <w:rsid w:val="00273DB6"/>
    <w:rsid w:val="002D7F82"/>
    <w:rsid w:val="002F5DD5"/>
    <w:rsid w:val="003D05D7"/>
    <w:rsid w:val="003E00E3"/>
    <w:rsid w:val="003F32CD"/>
    <w:rsid w:val="00457E7D"/>
    <w:rsid w:val="004D01C5"/>
    <w:rsid w:val="004E626A"/>
    <w:rsid w:val="00515BDC"/>
    <w:rsid w:val="00563496"/>
    <w:rsid w:val="00564014"/>
    <w:rsid w:val="00597736"/>
    <w:rsid w:val="005B07B7"/>
    <w:rsid w:val="005F4E9F"/>
    <w:rsid w:val="005F5E82"/>
    <w:rsid w:val="006135E9"/>
    <w:rsid w:val="006965E9"/>
    <w:rsid w:val="006972B2"/>
    <w:rsid w:val="006E2078"/>
    <w:rsid w:val="006F2FF3"/>
    <w:rsid w:val="007B5499"/>
    <w:rsid w:val="007E1FFD"/>
    <w:rsid w:val="007E5A62"/>
    <w:rsid w:val="00821AA9"/>
    <w:rsid w:val="00836971"/>
    <w:rsid w:val="0085524D"/>
    <w:rsid w:val="00877C50"/>
    <w:rsid w:val="008E5036"/>
    <w:rsid w:val="008F003B"/>
    <w:rsid w:val="00907A5F"/>
    <w:rsid w:val="009B117A"/>
    <w:rsid w:val="00A10F1E"/>
    <w:rsid w:val="00A15F2B"/>
    <w:rsid w:val="00A23CFA"/>
    <w:rsid w:val="00A6263D"/>
    <w:rsid w:val="00A627F3"/>
    <w:rsid w:val="00A82AC2"/>
    <w:rsid w:val="00A928D2"/>
    <w:rsid w:val="00AA638D"/>
    <w:rsid w:val="00B56E76"/>
    <w:rsid w:val="00B77593"/>
    <w:rsid w:val="00B81306"/>
    <w:rsid w:val="00B81445"/>
    <w:rsid w:val="00BA0C20"/>
    <w:rsid w:val="00BA64F9"/>
    <w:rsid w:val="00BA676E"/>
    <w:rsid w:val="00BE28C9"/>
    <w:rsid w:val="00CF2B97"/>
    <w:rsid w:val="00CF576A"/>
    <w:rsid w:val="00D17591"/>
    <w:rsid w:val="00DF30A5"/>
    <w:rsid w:val="00E0051C"/>
    <w:rsid w:val="00E15759"/>
    <w:rsid w:val="00E27B52"/>
    <w:rsid w:val="00ED5355"/>
    <w:rsid w:val="00F65645"/>
    <w:rsid w:val="00F82B46"/>
    <w:rsid w:val="00F93D00"/>
    <w:rsid w:val="00FF2A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0CEC8C0-5537-486B-8D50-9556272B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5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93D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77C50"/>
    <w:pPr>
      <w:tabs>
        <w:tab w:val="center" w:pos="4252"/>
        <w:tab w:val="right" w:pos="8504"/>
      </w:tabs>
    </w:pPr>
  </w:style>
  <w:style w:type="character" w:customStyle="1" w:styleId="PiedepginaCar">
    <w:name w:val="Pie de página Car"/>
    <w:basedOn w:val="Fuentedeprrafopredeter"/>
    <w:link w:val="Piedepgina"/>
    <w:rsid w:val="00877C5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77C50"/>
  </w:style>
  <w:style w:type="paragraph" w:styleId="Encabezado">
    <w:name w:val="header"/>
    <w:basedOn w:val="Normal"/>
    <w:link w:val="EncabezadoCar"/>
    <w:rsid w:val="00877C50"/>
    <w:pPr>
      <w:tabs>
        <w:tab w:val="center" w:pos="4252"/>
        <w:tab w:val="right" w:pos="8504"/>
      </w:tabs>
    </w:pPr>
  </w:style>
  <w:style w:type="character" w:customStyle="1" w:styleId="EncabezadoCar">
    <w:name w:val="Encabezado Car"/>
    <w:basedOn w:val="Fuentedeprrafopredeter"/>
    <w:link w:val="Encabezado"/>
    <w:rsid w:val="00877C5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77C5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77C50"/>
    <w:pPr>
      <w:spacing w:after="0" w:line="240" w:lineRule="auto"/>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1117B3"/>
  </w:style>
  <w:style w:type="character" w:styleId="Hipervnculo">
    <w:name w:val="Hyperlink"/>
    <w:basedOn w:val="Fuentedeprrafopredeter"/>
    <w:uiPriority w:val="99"/>
    <w:semiHidden/>
    <w:unhideWhenUsed/>
    <w:rsid w:val="001117B3"/>
    <w:rPr>
      <w:color w:val="0000FF"/>
      <w:u w:val="single"/>
    </w:rPr>
  </w:style>
  <w:style w:type="character" w:customStyle="1" w:styleId="Ttulo1Car">
    <w:name w:val="Título 1 Car"/>
    <w:basedOn w:val="Fuentedeprrafopredeter"/>
    <w:link w:val="Ttulo1"/>
    <w:uiPriority w:val="9"/>
    <w:rsid w:val="00F93D00"/>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ley_0100_199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a.colpensiones.gov.co/colpens/docs/ley_0797_2003.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a.colpensiones.gov.co/colpens/docs/ley_0100_1993.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ormativa.colpensiones.gov.co/colpens/docs/ley_0776_2002.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1864</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24</cp:revision>
  <dcterms:created xsi:type="dcterms:W3CDTF">2016-05-11T19:16:00Z</dcterms:created>
  <dcterms:modified xsi:type="dcterms:W3CDTF">2016-05-12T20:15:00Z</dcterms:modified>
</cp:coreProperties>
</file>