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05" w:rsidRPr="00402979" w:rsidRDefault="00213F05" w:rsidP="00213F05">
      <w:pPr>
        <w:tabs>
          <w:tab w:val="left" w:pos="3686"/>
        </w:tabs>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213F05" w:rsidRPr="00E3707A" w:rsidRDefault="00213F05" w:rsidP="00213F05">
      <w:pPr>
        <w:jc w:val="both"/>
        <w:rPr>
          <w:rFonts w:ascii="Arial Narrow" w:hAnsi="Arial Narrow" w:cs="Arial"/>
          <w:sz w:val="18"/>
          <w:szCs w:val="18"/>
        </w:rPr>
      </w:pPr>
      <w:r w:rsidRPr="00E3707A">
        <w:rPr>
          <w:rFonts w:ascii="Arial Narrow" w:hAnsi="Arial Narrow" w:cs="Arial"/>
          <w:b/>
          <w:sz w:val="18"/>
          <w:szCs w:val="18"/>
        </w:rPr>
        <w:t>Providencia</w:t>
      </w:r>
      <w:r w:rsidRPr="00E3707A">
        <w:rPr>
          <w:rFonts w:ascii="Arial Narrow" w:hAnsi="Arial Narrow" w:cs="Arial"/>
          <w:sz w:val="18"/>
          <w:szCs w:val="18"/>
        </w:rPr>
        <w:t>:</w:t>
      </w:r>
      <w:r w:rsidRPr="00E3707A">
        <w:rPr>
          <w:rFonts w:ascii="Arial Narrow" w:hAnsi="Arial Narrow" w:cs="Arial"/>
          <w:sz w:val="18"/>
          <w:szCs w:val="18"/>
        </w:rPr>
        <w:tab/>
      </w:r>
      <w:r w:rsidRPr="00E3707A">
        <w:rPr>
          <w:rFonts w:ascii="Arial Narrow" w:hAnsi="Arial Narrow" w:cs="Arial"/>
          <w:sz w:val="18"/>
          <w:szCs w:val="18"/>
        </w:rPr>
        <w:tab/>
        <w:t xml:space="preserve">Sentencia de Segunda Instancia, jueves </w:t>
      </w:r>
      <w:r>
        <w:rPr>
          <w:rFonts w:ascii="Arial Narrow" w:hAnsi="Arial Narrow" w:cs="Arial"/>
          <w:sz w:val="18"/>
          <w:szCs w:val="18"/>
        </w:rPr>
        <w:t xml:space="preserve">23 de junio de </w:t>
      </w:r>
      <w:r w:rsidRPr="00E3707A">
        <w:rPr>
          <w:rFonts w:ascii="Arial Narrow" w:hAnsi="Arial Narrow" w:cs="Arial"/>
          <w:sz w:val="18"/>
          <w:szCs w:val="18"/>
        </w:rPr>
        <w:t>2016.</w:t>
      </w:r>
    </w:p>
    <w:p w:rsidR="00213F05" w:rsidRPr="00E3707A" w:rsidRDefault="00213F05" w:rsidP="00213F05">
      <w:pPr>
        <w:jc w:val="both"/>
        <w:rPr>
          <w:rFonts w:ascii="Arial Narrow" w:hAnsi="Arial Narrow" w:cs="Arial"/>
          <w:bCs/>
          <w:iCs/>
          <w:sz w:val="18"/>
          <w:szCs w:val="18"/>
        </w:rPr>
      </w:pPr>
      <w:r w:rsidRPr="00E3707A">
        <w:rPr>
          <w:rFonts w:ascii="Arial Narrow" w:hAnsi="Arial Narrow" w:cs="Arial"/>
          <w:b/>
          <w:bCs/>
          <w:sz w:val="18"/>
          <w:szCs w:val="18"/>
        </w:rPr>
        <w:t>Radicación No</w:t>
      </w:r>
      <w:r w:rsidRPr="00E3707A">
        <w:rPr>
          <w:rFonts w:ascii="Arial Narrow" w:hAnsi="Arial Narrow" w:cs="Arial"/>
          <w:bCs/>
          <w:sz w:val="18"/>
          <w:szCs w:val="18"/>
        </w:rPr>
        <w:t>:</w:t>
      </w:r>
      <w:r w:rsidRPr="00E3707A">
        <w:rPr>
          <w:rFonts w:ascii="Arial Narrow" w:hAnsi="Arial Narrow" w:cs="Arial"/>
          <w:b/>
          <w:bCs/>
          <w:sz w:val="18"/>
          <w:szCs w:val="18"/>
        </w:rPr>
        <w:tab/>
      </w:r>
      <w:r w:rsidRPr="00E3707A">
        <w:rPr>
          <w:rFonts w:ascii="Arial Narrow" w:hAnsi="Arial Narrow" w:cs="Arial"/>
          <w:b/>
          <w:bCs/>
          <w:sz w:val="18"/>
          <w:szCs w:val="18"/>
        </w:rPr>
        <w:tab/>
      </w:r>
      <w:r w:rsidRPr="00E3707A">
        <w:rPr>
          <w:rFonts w:ascii="Arial Narrow" w:hAnsi="Arial Narrow" w:cs="Arial"/>
          <w:bCs/>
          <w:sz w:val="18"/>
          <w:szCs w:val="18"/>
        </w:rPr>
        <w:t>66001-31-05-00</w:t>
      </w:r>
      <w:r>
        <w:rPr>
          <w:rFonts w:ascii="Arial Narrow" w:hAnsi="Arial Narrow" w:cs="Arial"/>
          <w:bCs/>
          <w:sz w:val="18"/>
          <w:szCs w:val="18"/>
        </w:rPr>
        <w:t>5-2014-00435-01</w:t>
      </w:r>
    </w:p>
    <w:p w:rsidR="00213F05" w:rsidRPr="00E3707A" w:rsidRDefault="00213F05" w:rsidP="00213F05">
      <w:pPr>
        <w:jc w:val="both"/>
        <w:rPr>
          <w:rFonts w:ascii="Arial Narrow" w:hAnsi="Arial Narrow" w:cs="Arial"/>
          <w:iCs/>
          <w:sz w:val="18"/>
          <w:szCs w:val="18"/>
        </w:rPr>
      </w:pPr>
      <w:r w:rsidRPr="00E3707A">
        <w:rPr>
          <w:rFonts w:ascii="Arial Narrow" w:hAnsi="Arial Narrow" w:cs="Arial"/>
          <w:b/>
          <w:bCs/>
          <w:iCs/>
          <w:sz w:val="18"/>
          <w:szCs w:val="18"/>
        </w:rPr>
        <w:t>Proceso</w:t>
      </w:r>
      <w:r w:rsidRPr="00E3707A">
        <w:rPr>
          <w:rFonts w:ascii="Arial Narrow" w:hAnsi="Arial Narrow" w:cs="Arial"/>
          <w:bCs/>
          <w:iCs/>
          <w:sz w:val="18"/>
          <w:szCs w:val="18"/>
        </w:rPr>
        <w:t>:</w:t>
      </w:r>
      <w:r w:rsidRPr="00E3707A">
        <w:rPr>
          <w:rFonts w:ascii="Arial Narrow" w:hAnsi="Arial Narrow" w:cs="Arial"/>
          <w:b/>
          <w:iCs/>
          <w:sz w:val="18"/>
          <w:szCs w:val="18"/>
        </w:rPr>
        <w:tab/>
      </w:r>
      <w:r w:rsidRPr="00E3707A">
        <w:rPr>
          <w:rFonts w:ascii="Arial Narrow" w:hAnsi="Arial Narrow" w:cs="Arial"/>
          <w:b/>
          <w:iCs/>
          <w:sz w:val="18"/>
          <w:szCs w:val="18"/>
        </w:rPr>
        <w:tab/>
      </w:r>
      <w:r w:rsidRPr="00E3707A">
        <w:rPr>
          <w:rFonts w:ascii="Arial Narrow" w:hAnsi="Arial Narrow" w:cs="Arial"/>
          <w:b/>
          <w:iCs/>
          <w:sz w:val="18"/>
          <w:szCs w:val="18"/>
        </w:rPr>
        <w:tab/>
      </w:r>
      <w:r w:rsidRPr="00E3707A">
        <w:rPr>
          <w:rFonts w:ascii="Arial Narrow" w:hAnsi="Arial Narrow" w:cs="Arial"/>
          <w:iCs/>
          <w:sz w:val="18"/>
          <w:szCs w:val="18"/>
        </w:rPr>
        <w:t>Ordinario Laboral.</w:t>
      </w:r>
    </w:p>
    <w:p w:rsidR="00213F05" w:rsidRPr="00E3707A" w:rsidRDefault="00213F05" w:rsidP="00213F05">
      <w:pPr>
        <w:ind w:firstLine="6"/>
        <w:jc w:val="both"/>
        <w:rPr>
          <w:rFonts w:ascii="Arial Narrow" w:hAnsi="Arial Narrow" w:cs="Arial"/>
          <w:bCs/>
          <w:sz w:val="18"/>
          <w:szCs w:val="18"/>
        </w:rPr>
      </w:pPr>
      <w:r w:rsidRPr="00E3707A">
        <w:rPr>
          <w:rFonts w:ascii="Arial Narrow" w:hAnsi="Arial Narrow" w:cs="Arial"/>
          <w:b/>
          <w:iCs/>
          <w:sz w:val="18"/>
          <w:szCs w:val="18"/>
        </w:rPr>
        <w:t>Demandante</w:t>
      </w:r>
      <w:r w:rsidRPr="00E3707A">
        <w:rPr>
          <w:rFonts w:ascii="Arial Narrow" w:hAnsi="Arial Narrow" w:cs="Arial"/>
          <w:iCs/>
          <w:sz w:val="18"/>
          <w:szCs w:val="18"/>
        </w:rPr>
        <w:t xml:space="preserve">:     </w:t>
      </w:r>
      <w:r w:rsidRPr="00E3707A">
        <w:rPr>
          <w:rFonts w:ascii="Arial Narrow" w:hAnsi="Arial Narrow" w:cs="Arial"/>
          <w:iCs/>
          <w:sz w:val="18"/>
          <w:szCs w:val="18"/>
        </w:rPr>
        <w:tab/>
      </w:r>
      <w:r w:rsidRPr="00E3707A">
        <w:rPr>
          <w:rFonts w:ascii="Arial Narrow" w:hAnsi="Arial Narrow" w:cs="Arial"/>
          <w:iCs/>
          <w:sz w:val="18"/>
          <w:szCs w:val="18"/>
        </w:rPr>
        <w:tab/>
      </w:r>
      <w:r>
        <w:rPr>
          <w:rFonts w:ascii="Arial Narrow" w:hAnsi="Arial Narrow" w:cs="Arial"/>
          <w:iCs/>
          <w:sz w:val="18"/>
          <w:szCs w:val="18"/>
        </w:rPr>
        <w:t>Inés Vera Idárraga</w:t>
      </w:r>
    </w:p>
    <w:p w:rsidR="00213F05" w:rsidRPr="00E3707A" w:rsidRDefault="00213F05" w:rsidP="00213F05">
      <w:pPr>
        <w:ind w:firstLine="6"/>
        <w:jc w:val="both"/>
        <w:rPr>
          <w:rFonts w:ascii="Arial Narrow" w:hAnsi="Arial Narrow" w:cs="Arial"/>
          <w:bCs/>
          <w:sz w:val="18"/>
          <w:szCs w:val="18"/>
        </w:rPr>
      </w:pPr>
      <w:r w:rsidRPr="00E3707A">
        <w:rPr>
          <w:rFonts w:ascii="Arial Narrow" w:hAnsi="Arial Narrow" w:cs="Arial"/>
          <w:b/>
          <w:bCs/>
          <w:sz w:val="18"/>
          <w:szCs w:val="18"/>
        </w:rPr>
        <w:t>Demandado:</w:t>
      </w:r>
      <w:r w:rsidRPr="00E3707A">
        <w:rPr>
          <w:rFonts w:ascii="Arial Narrow" w:hAnsi="Arial Narrow" w:cs="Arial"/>
          <w:bCs/>
          <w:sz w:val="18"/>
          <w:szCs w:val="18"/>
        </w:rPr>
        <w:tab/>
      </w:r>
      <w:r w:rsidRPr="00E3707A">
        <w:rPr>
          <w:rFonts w:ascii="Arial Narrow" w:hAnsi="Arial Narrow" w:cs="Arial"/>
          <w:bCs/>
          <w:sz w:val="18"/>
          <w:szCs w:val="18"/>
        </w:rPr>
        <w:tab/>
        <w:t>Administradora Colombiana de Pensiones –Colpensiones-</w:t>
      </w:r>
    </w:p>
    <w:p w:rsidR="00213F05" w:rsidRPr="00E3707A" w:rsidRDefault="00213F05" w:rsidP="00213F05">
      <w:pPr>
        <w:jc w:val="both"/>
        <w:rPr>
          <w:rFonts w:ascii="Arial Narrow" w:hAnsi="Arial Narrow" w:cs="Arial"/>
          <w:sz w:val="18"/>
          <w:szCs w:val="18"/>
        </w:rPr>
      </w:pPr>
      <w:r w:rsidRPr="00E3707A">
        <w:rPr>
          <w:rFonts w:ascii="Arial Narrow" w:hAnsi="Arial Narrow" w:cs="Arial"/>
          <w:b/>
          <w:sz w:val="18"/>
          <w:szCs w:val="18"/>
        </w:rPr>
        <w:t>Juzgado de origen</w:t>
      </w:r>
      <w:r w:rsidRPr="00E3707A">
        <w:rPr>
          <w:rFonts w:ascii="Arial Narrow" w:hAnsi="Arial Narrow" w:cs="Arial"/>
          <w:sz w:val="18"/>
          <w:szCs w:val="18"/>
        </w:rPr>
        <w:t xml:space="preserve">:   </w:t>
      </w:r>
      <w:r w:rsidRPr="00E3707A">
        <w:rPr>
          <w:rFonts w:ascii="Arial Narrow" w:hAnsi="Arial Narrow" w:cs="Arial"/>
          <w:sz w:val="18"/>
          <w:szCs w:val="18"/>
        </w:rPr>
        <w:tab/>
      </w:r>
      <w:r>
        <w:rPr>
          <w:rFonts w:ascii="Arial Narrow" w:hAnsi="Arial Narrow" w:cs="Arial"/>
          <w:sz w:val="18"/>
          <w:szCs w:val="18"/>
        </w:rPr>
        <w:t xml:space="preserve">Quinto </w:t>
      </w:r>
      <w:r w:rsidRPr="00E3707A">
        <w:rPr>
          <w:rFonts w:ascii="Arial Narrow" w:hAnsi="Arial Narrow" w:cs="Arial"/>
          <w:sz w:val="18"/>
          <w:szCs w:val="18"/>
        </w:rPr>
        <w:t>Laboral del Circuito de Pereira.</w:t>
      </w:r>
    </w:p>
    <w:p w:rsidR="00213F05" w:rsidRPr="006E3888" w:rsidRDefault="00213F05" w:rsidP="00213F05">
      <w:pPr>
        <w:jc w:val="both"/>
        <w:rPr>
          <w:rFonts w:ascii="Arial Narrow" w:hAnsi="Arial Narrow" w:cs="Arial"/>
          <w:b/>
          <w:iCs/>
          <w:sz w:val="18"/>
          <w:szCs w:val="18"/>
        </w:rPr>
      </w:pPr>
      <w:r w:rsidRPr="00E3707A">
        <w:rPr>
          <w:rFonts w:ascii="Arial Narrow" w:hAnsi="Arial Narrow" w:cs="Arial"/>
          <w:b/>
          <w:iCs/>
          <w:sz w:val="18"/>
          <w:szCs w:val="18"/>
        </w:rPr>
        <w:t xml:space="preserve">Magistrado Ponente:     </w:t>
      </w:r>
      <w:r w:rsidRPr="006E3888">
        <w:rPr>
          <w:rFonts w:ascii="Arial Narrow" w:hAnsi="Arial Narrow" w:cs="Arial"/>
          <w:b/>
          <w:iCs/>
          <w:sz w:val="18"/>
          <w:szCs w:val="18"/>
        </w:rPr>
        <w:tab/>
      </w:r>
      <w:r w:rsidRPr="006E3888">
        <w:rPr>
          <w:rFonts w:ascii="Arial Narrow" w:hAnsi="Arial Narrow" w:cs="Arial"/>
          <w:iCs/>
          <w:sz w:val="18"/>
          <w:szCs w:val="18"/>
        </w:rPr>
        <w:t>Francisco Javier Tamayo Tabares.</w:t>
      </w:r>
    </w:p>
    <w:p w:rsidR="00213F05" w:rsidRPr="00213F05" w:rsidRDefault="00213F05" w:rsidP="00213F05">
      <w:pPr>
        <w:pStyle w:val="Textoindependiente"/>
        <w:ind w:left="2124" w:hanging="2124"/>
        <w:rPr>
          <w:rFonts w:ascii="Arial Narrow" w:hAnsi="Arial Narrow"/>
          <w:color w:val="FF0000"/>
          <w:sz w:val="16"/>
          <w:szCs w:val="16"/>
          <w:lang w:eastAsia="en-US"/>
        </w:rPr>
      </w:pPr>
      <w:r w:rsidRPr="006E3888">
        <w:rPr>
          <w:rFonts w:ascii="Arial Narrow" w:hAnsi="Arial Narrow"/>
          <w:b/>
          <w:bCs/>
          <w:sz w:val="18"/>
          <w:szCs w:val="18"/>
        </w:rPr>
        <w:t xml:space="preserve">Tema a tratar: </w:t>
      </w:r>
      <w:r w:rsidRPr="006E3888">
        <w:rPr>
          <w:rFonts w:ascii="Arial Narrow" w:hAnsi="Arial Narrow"/>
          <w:b/>
          <w:bCs/>
          <w:sz w:val="18"/>
          <w:szCs w:val="18"/>
        </w:rPr>
        <w:tab/>
      </w:r>
      <w:r w:rsidRPr="00213F05">
        <w:rPr>
          <w:rFonts w:ascii="Arial Narrow" w:hAnsi="Arial Narrow"/>
          <w:b/>
          <w:bCs/>
          <w:color w:val="FF0000"/>
          <w:sz w:val="18"/>
          <w:szCs w:val="18"/>
        </w:rPr>
        <w:t xml:space="preserve">Cálculo del ingreso Base de Liquidación: </w:t>
      </w:r>
      <w:r w:rsidRPr="00213F05">
        <w:rPr>
          <w:rFonts w:ascii="Arial Narrow" w:hAnsi="Arial Narrow"/>
          <w:color w:val="FF0000"/>
          <w:sz w:val="16"/>
          <w:szCs w:val="16"/>
          <w:lang w:eastAsia="en-US"/>
        </w:rPr>
        <w:t xml:space="preserve">para los beneficiarios del régimen de transición que al 1º de abril de 1994 les faltare menos de 10 años para adquirir el derecho, la norma aplicable para el cálculo del ingreso base de cotización es el inciso 3º del artículo 36 de la Ley 100 de 1993, que contempla dos posibilidades para establecer su monto, bien sea tomando el promedio de lo devengado en el tiempo que hiciere falta para adquirir el derecho, ora acudiendo al promedio de lo cotizado durante todo el tiempo si este fuere superior. </w:t>
      </w:r>
    </w:p>
    <w:p w:rsidR="00213F05" w:rsidRPr="00213F05" w:rsidRDefault="00213F05" w:rsidP="00213F05">
      <w:pPr>
        <w:pStyle w:val="Sinespaciado"/>
        <w:spacing w:line="360" w:lineRule="auto"/>
        <w:rPr>
          <w:color w:val="FF0000"/>
          <w:highlight w:val="yellow"/>
        </w:rPr>
      </w:pPr>
    </w:p>
    <w:p w:rsidR="00213F05" w:rsidRPr="00537931" w:rsidRDefault="00213F05" w:rsidP="00213F05">
      <w:pPr>
        <w:spacing w:line="360" w:lineRule="auto"/>
        <w:ind w:firstLine="840"/>
        <w:rPr>
          <w:rFonts w:ascii="Arial Narrow" w:hAnsi="Arial Narrow" w:cs="Arial"/>
          <w:b/>
          <w:sz w:val="28"/>
          <w:szCs w:val="28"/>
        </w:rPr>
      </w:pPr>
      <w:r w:rsidRPr="00537931">
        <w:rPr>
          <w:rFonts w:ascii="Arial Narrow" w:hAnsi="Arial Narrow" w:cs="Arial"/>
          <w:b/>
          <w:sz w:val="28"/>
          <w:szCs w:val="28"/>
          <w:u w:val="single"/>
        </w:rPr>
        <w:t>AUDIENCIA PÚBLICA</w:t>
      </w:r>
      <w:r w:rsidRPr="00537931">
        <w:rPr>
          <w:rFonts w:ascii="Arial Narrow" w:hAnsi="Arial Narrow" w:cs="Arial"/>
          <w:b/>
          <w:sz w:val="28"/>
          <w:szCs w:val="28"/>
        </w:rPr>
        <w:t>:</w:t>
      </w:r>
      <w:r>
        <w:rPr>
          <w:rFonts w:ascii="Arial Narrow" w:hAnsi="Arial Narrow" w:cs="Arial"/>
          <w:b/>
          <w:sz w:val="28"/>
          <w:szCs w:val="28"/>
        </w:rPr>
        <w:t xml:space="preserve"> </w:t>
      </w:r>
    </w:p>
    <w:p w:rsidR="00213F05" w:rsidRPr="00F93E63" w:rsidRDefault="00213F05" w:rsidP="00213F05">
      <w:pPr>
        <w:pStyle w:val="Sinespaciado"/>
      </w:pPr>
    </w:p>
    <w:p w:rsidR="00213F05" w:rsidRPr="00537931" w:rsidRDefault="00213F05" w:rsidP="00213F05">
      <w:pPr>
        <w:spacing w:line="360" w:lineRule="auto"/>
        <w:ind w:firstLine="851"/>
        <w:jc w:val="both"/>
        <w:rPr>
          <w:rFonts w:ascii="Arial Narrow" w:hAnsi="Arial Narrow" w:cs="Arial"/>
          <w:bCs/>
          <w:iCs/>
          <w:sz w:val="28"/>
          <w:szCs w:val="28"/>
        </w:rPr>
      </w:pPr>
      <w:r w:rsidRPr="00A8291E">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veintitrés </w:t>
      </w:r>
      <w:r w:rsidRPr="00A8291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23</w:t>
      </w:r>
      <w:r w:rsidRPr="00A8291E">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junio de dos mil dieciséis (2016</w:t>
      </w:r>
      <w:r w:rsidRPr="00A8291E">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ocho y quince mi</w:t>
      </w:r>
      <w:r w:rsidRPr="00A8291E">
        <w:rPr>
          <w:rFonts w:ascii="Arial Narrow" w:eastAsia="Calibri" w:hAnsi="Arial Narrow" w:cs="Arial"/>
          <w:sz w:val="28"/>
          <w:szCs w:val="28"/>
          <w:lang w:val="es-CO" w:eastAsia="en-US"/>
        </w:rPr>
        <w:t>nutos de la mañana (</w:t>
      </w:r>
      <w:r>
        <w:rPr>
          <w:rFonts w:ascii="Arial Narrow" w:eastAsia="Calibri" w:hAnsi="Arial Narrow" w:cs="Arial"/>
          <w:sz w:val="28"/>
          <w:szCs w:val="28"/>
          <w:lang w:val="es-CO" w:eastAsia="en-US"/>
        </w:rPr>
        <w:t>8:15</w:t>
      </w:r>
      <w:r w:rsidRPr="00A8291E">
        <w:rPr>
          <w:rFonts w:ascii="Arial Narrow" w:eastAsia="Calibri" w:hAnsi="Arial Narrow" w:cs="Arial"/>
          <w:sz w:val="28"/>
          <w:szCs w:val="28"/>
          <w:lang w:val="es-CO" w:eastAsia="en-US"/>
        </w:rPr>
        <w:t xml:space="preserve"> a.m.), </w:t>
      </w:r>
      <w:r w:rsidRPr="00A8291E">
        <w:rPr>
          <w:rFonts w:ascii="Arial Narrow" w:hAnsi="Arial Narrow" w:cs="Tahoma"/>
          <w:bCs/>
          <w:sz w:val="28"/>
          <w:szCs w:val="28"/>
          <w:lang w:eastAsia="es-CO"/>
        </w:rPr>
        <w:t xml:space="preserve">reunidos </w:t>
      </w:r>
      <w:r>
        <w:rPr>
          <w:rFonts w:ascii="Arial Narrow" w:hAnsi="Arial Narrow" w:cs="Tahoma"/>
          <w:bCs/>
          <w:color w:val="000000"/>
          <w:sz w:val="28"/>
          <w:szCs w:val="28"/>
          <w:lang w:eastAsia="es-CO"/>
        </w:rPr>
        <w:t xml:space="preserve">en la Sala de audiencias la magistrada y los </w:t>
      </w:r>
      <w:r w:rsidRPr="00537931">
        <w:rPr>
          <w:rFonts w:ascii="Arial Narrow" w:hAnsi="Arial Narrow" w:cs="Tahoma"/>
          <w:bCs/>
          <w:color w:val="000000"/>
          <w:sz w:val="28"/>
          <w:szCs w:val="28"/>
          <w:lang w:eastAsia="es-CO"/>
        </w:rPr>
        <w:t xml:space="preserve">magistrados de la Sala Laboral 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frente a </w:t>
      </w:r>
      <w:r w:rsidRPr="00537931">
        <w:rPr>
          <w:rFonts w:ascii="Arial Narrow" w:hAnsi="Arial Narrow" w:cs="Tahoma"/>
          <w:bCs/>
          <w:color w:val="000000"/>
          <w:sz w:val="28"/>
          <w:szCs w:val="28"/>
          <w:lang w:eastAsia="es-CO"/>
        </w:rPr>
        <w:t xml:space="preserve">la sentencia proferida el </w:t>
      </w:r>
      <w:r>
        <w:rPr>
          <w:rFonts w:ascii="Arial Narrow" w:hAnsi="Arial Narrow" w:cs="Tahoma"/>
          <w:bCs/>
          <w:color w:val="000000"/>
          <w:sz w:val="28"/>
          <w:szCs w:val="28"/>
          <w:lang w:eastAsia="es-CO"/>
        </w:rPr>
        <w:t xml:space="preserve">13 de abril de 2015 </w:t>
      </w:r>
      <w:r w:rsidRPr="00537931">
        <w:rPr>
          <w:rFonts w:ascii="Arial Narrow" w:hAnsi="Arial Narrow" w:cs="Arial"/>
          <w:sz w:val="28"/>
          <w:szCs w:val="28"/>
        </w:rPr>
        <w:t>por el Juzgado</w:t>
      </w:r>
      <w:r>
        <w:rPr>
          <w:rFonts w:ascii="Arial Narrow" w:hAnsi="Arial Narrow" w:cs="Arial"/>
          <w:sz w:val="28"/>
          <w:szCs w:val="28"/>
        </w:rPr>
        <w:t xml:space="preserve"> Quinto </w:t>
      </w:r>
      <w:r w:rsidRPr="00537931">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w:t>
      </w:r>
      <w:r>
        <w:rPr>
          <w:rFonts w:ascii="Arial Narrow" w:hAnsi="Arial Narrow" w:cs="Arial"/>
          <w:b/>
          <w:i/>
          <w:sz w:val="28"/>
          <w:szCs w:val="28"/>
        </w:rPr>
        <w:t xml:space="preserve">Inés Vera Idarraga </w:t>
      </w:r>
      <w:r w:rsidRPr="00537931">
        <w:rPr>
          <w:rFonts w:ascii="Arial Narrow" w:hAnsi="Arial Narrow" w:cs="Arial"/>
          <w:sz w:val="28"/>
          <w:szCs w:val="28"/>
        </w:rPr>
        <w:t xml:space="preserve">contra la </w:t>
      </w:r>
      <w:r w:rsidRPr="00537931">
        <w:rPr>
          <w:rFonts w:ascii="Arial Narrow" w:hAnsi="Arial Narrow" w:cs="Arial"/>
          <w:b/>
          <w:i/>
          <w:sz w:val="28"/>
          <w:szCs w:val="28"/>
        </w:rPr>
        <w:t xml:space="preserve">Administradora Colombiana de Pensiones </w:t>
      </w:r>
      <w:r w:rsidRPr="00537931">
        <w:rPr>
          <w:rFonts w:ascii="Arial Narrow" w:hAnsi="Arial Narrow" w:cs="Arial"/>
          <w:b/>
          <w:bCs/>
          <w:i/>
          <w:sz w:val="28"/>
          <w:szCs w:val="28"/>
        </w:rPr>
        <w:t>Colpensiones</w:t>
      </w:r>
      <w:r w:rsidRPr="00537931">
        <w:rPr>
          <w:rFonts w:ascii="Arial Narrow" w:hAnsi="Arial Narrow" w:cs="Arial"/>
          <w:b/>
          <w:bCs/>
          <w:i/>
          <w:iCs/>
          <w:sz w:val="28"/>
          <w:szCs w:val="28"/>
        </w:rPr>
        <w:t>.</w:t>
      </w:r>
    </w:p>
    <w:p w:rsidR="00213F05" w:rsidRPr="00F93E63" w:rsidRDefault="00213F05" w:rsidP="00213F05">
      <w:pPr>
        <w:pStyle w:val="Sinespaciado"/>
      </w:pPr>
    </w:p>
    <w:p w:rsidR="00213F05" w:rsidRDefault="00213F05" w:rsidP="00213F05">
      <w:pPr>
        <w:shd w:val="clear" w:color="auto" w:fill="FFFFFF"/>
        <w:spacing w:line="360" w:lineRule="atLeast"/>
        <w:ind w:firstLine="708"/>
        <w:jc w:val="both"/>
        <w:rPr>
          <w:rFonts w:ascii="Arial Narrow" w:hAnsi="Arial Narrow" w:cs="Tahoma"/>
          <w:b/>
          <w:bCs/>
          <w:color w:val="000000"/>
          <w:sz w:val="28"/>
          <w:szCs w:val="28"/>
          <w:lang w:eastAsia="es-CO"/>
        </w:rPr>
      </w:pPr>
      <w:r w:rsidRPr="00537931">
        <w:rPr>
          <w:rFonts w:ascii="Arial Narrow" w:hAnsi="Arial Narrow" w:cs="Tahoma"/>
          <w:b/>
          <w:bCs/>
          <w:color w:val="000000"/>
          <w:sz w:val="28"/>
          <w:szCs w:val="28"/>
          <w:lang w:eastAsia="es-CO"/>
        </w:rPr>
        <w:t>IDENTIFICACIÓN DE LOS PRESENTES:</w:t>
      </w:r>
    </w:p>
    <w:p w:rsidR="00213F05" w:rsidRDefault="00213F05" w:rsidP="00213F05">
      <w:pPr>
        <w:pStyle w:val="Sinespaciado"/>
        <w:rPr>
          <w:lang w:eastAsia="es-CO"/>
        </w:rPr>
      </w:pPr>
    </w:p>
    <w:p w:rsidR="00213F05" w:rsidRPr="006E3888" w:rsidRDefault="00213F05" w:rsidP="00213F05">
      <w:pPr>
        <w:shd w:val="clear" w:color="auto" w:fill="FFFFFF"/>
        <w:spacing w:line="360" w:lineRule="atLeast"/>
        <w:ind w:firstLine="708"/>
        <w:jc w:val="both"/>
        <w:rPr>
          <w:rFonts w:ascii="Arial Narrow" w:hAnsi="Arial Narrow" w:cs="Tahoma"/>
          <w:b/>
          <w:bCs/>
          <w:i/>
          <w:color w:val="000000"/>
          <w:sz w:val="28"/>
          <w:szCs w:val="28"/>
          <w:lang w:eastAsia="es-CO"/>
        </w:rPr>
      </w:pPr>
      <w:r w:rsidRPr="006E3888">
        <w:rPr>
          <w:rFonts w:ascii="Arial Narrow" w:hAnsi="Arial Narrow" w:cs="Tahoma"/>
          <w:b/>
          <w:bCs/>
          <w:i/>
          <w:color w:val="000000"/>
          <w:sz w:val="28"/>
          <w:szCs w:val="28"/>
          <w:lang w:eastAsia="es-CO"/>
        </w:rPr>
        <w:t xml:space="preserve">INTRODUCCIÓN </w:t>
      </w:r>
    </w:p>
    <w:p w:rsidR="00213F05" w:rsidRPr="006E3888" w:rsidRDefault="00213F05" w:rsidP="00213F05">
      <w:pPr>
        <w:pStyle w:val="Sinespaciado"/>
      </w:pPr>
    </w:p>
    <w:p w:rsidR="00213F05" w:rsidRDefault="00213F05" w:rsidP="00213F05">
      <w:pPr>
        <w:spacing w:line="360" w:lineRule="auto"/>
        <w:ind w:firstLine="900"/>
        <w:jc w:val="both"/>
        <w:rPr>
          <w:rFonts w:ascii="Arial Narrow" w:hAnsi="Arial Narrow" w:cs="Tahoma"/>
          <w:sz w:val="28"/>
          <w:szCs w:val="28"/>
        </w:rPr>
      </w:pPr>
      <w:r w:rsidRPr="00537931">
        <w:rPr>
          <w:rFonts w:ascii="Arial Narrow" w:hAnsi="Arial Narrow" w:cs="Tahoma"/>
          <w:sz w:val="28"/>
          <w:szCs w:val="28"/>
        </w:rPr>
        <w:t>Antes de que procedan los asistentes a descorrer el traslado para alegar en esta instancia, conforme a las voces del artículo 13 de la Ley 1149 de 2007, a modo de introducción se tiene que</w:t>
      </w:r>
      <w:r>
        <w:rPr>
          <w:rFonts w:ascii="Arial Narrow" w:hAnsi="Arial Narrow" w:cs="Tahoma"/>
          <w:sz w:val="28"/>
          <w:szCs w:val="28"/>
        </w:rPr>
        <w:t xml:space="preserve"> la demandante </w:t>
      </w:r>
      <w:r w:rsidRPr="00537931">
        <w:rPr>
          <w:rFonts w:ascii="Arial Narrow" w:hAnsi="Arial Narrow" w:cs="Tahoma"/>
          <w:sz w:val="28"/>
          <w:szCs w:val="28"/>
        </w:rPr>
        <w:t>pretende que</w:t>
      </w:r>
      <w:r>
        <w:rPr>
          <w:rFonts w:ascii="Arial Narrow" w:hAnsi="Arial Narrow" w:cs="Tahoma"/>
          <w:sz w:val="28"/>
          <w:szCs w:val="28"/>
        </w:rPr>
        <w:t xml:space="preserve"> se declare que es beneficiaria del régimen de transición que consagra el artículo 36 de la Ley 100 de 1993. En consecuencia, pide que ordene a Colpensiones a reconocer y pagar la pensión de vejez a partir del 31 de agosto de 2012, con base en el Acuerdo 049 de 1990, aprobado por el Decreto 758 del mismo año,</w:t>
      </w:r>
      <w:r w:rsidR="000C7823">
        <w:rPr>
          <w:rFonts w:ascii="Arial Narrow" w:hAnsi="Arial Narrow" w:cs="Tahoma"/>
          <w:sz w:val="28"/>
          <w:szCs w:val="28"/>
        </w:rPr>
        <w:t xml:space="preserve"> y por 14 mesadas anuales. Así mismo, pide la reliquidación de </w:t>
      </w:r>
      <w:r>
        <w:rPr>
          <w:rFonts w:ascii="Arial Narrow" w:hAnsi="Arial Narrow" w:cs="Tahoma"/>
          <w:sz w:val="28"/>
          <w:szCs w:val="28"/>
        </w:rPr>
        <w:t xml:space="preserve">la mesada pensional que </w:t>
      </w:r>
      <w:r w:rsidR="000C7823">
        <w:rPr>
          <w:rFonts w:ascii="Arial Narrow" w:hAnsi="Arial Narrow" w:cs="Tahoma"/>
          <w:sz w:val="28"/>
          <w:szCs w:val="28"/>
        </w:rPr>
        <w:t xml:space="preserve">le </w:t>
      </w:r>
      <w:r>
        <w:rPr>
          <w:rFonts w:ascii="Arial Narrow" w:hAnsi="Arial Narrow" w:cs="Tahoma"/>
          <w:sz w:val="28"/>
          <w:szCs w:val="28"/>
        </w:rPr>
        <w:t>fue concedida</w:t>
      </w:r>
      <w:r w:rsidR="000C7823">
        <w:rPr>
          <w:rFonts w:ascii="Arial Narrow" w:hAnsi="Arial Narrow" w:cs="Tahoma"/>
          <w:sz w:val="28"/>
          <w:szCs w:val="28"/>
        </w:rPr>
        <w:t xml:space="preserve"> por la entidad, más los intereses moratorios y las costas procesales. </w:t>
      </w:r>
    </w:p>
    <w:p w:rsidR="00213F05" w:rsidRDefault="00213F05" w:rsidP="000C7823">
      <w:pPr>
        <w:pStyle w:val="Sinespaciado"/>
      </w:pPr>
    </w:p>
    <w:p w:rsidR="000C7823" w:rsidRDefault="00213F05" w:rsidP="000C7823">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Fundamenta sus pedimentos, básicamente en que, nació el </w:t>
      </w:r>
      <w:r w:rsidR="000C7823">
        <w:rPr>
          <w:rFonts w:ascii="Arial Narrow" w:hAnsi="Arial Narrow" w:cs="Tahoma"/>
          <w:color w:val="000000"/>
          <w:sz w:val="28"/>
          <w:szCs w:val="28"/>
          <w:lang w:eastAsia="es-CO"/>
        </w:rPr>
        <w:t xml:space="preserve">14 de  mayo de 1957; que se afilió al ISS desde noviembre de 1974; que se trasladó a Colfondos en octubre de 1997 y por orden judicial regresó al régimen de prima media en agosto de </w:t>
      </w:r>
    </w:p>
    <w:p w:rsidR="00B726B2" w:rsidRDefault="000C7823" w:rsidP="000C7823">
      <w:pPr>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2012; que laboró al servicio de textiles Omnes en forma continua e ininterrumpida desde el 27 de octubre de 1975 y hasta el 31 de agosto de 2012</w:t>
      </w:r>
      <w:r w:rsidR="00B726B2">
        <w:rPr>
          <w:rFonts w:ascii="Arial Narrow" w:hAnsi="Arial Narrow" w:cs="Tahoma"/>
          <w:color w:val="000000"/>
          <w:sz w:val="28"/>
          <w:szCs w:val="28"/>
          <w:lang w:eastAsia="es-CO"/>
        </w:rPr>
        <w:t>, devengando un promedio de dos salarios mínimos legales mensuales vigentes; que presentó solicitud pensional ante la entidad demandada el 13 de noviembre de 2012, por lo que mediante Resolución No. 115967 de 2013 le fue concedida la prestación con base en la Ley 797 de 2003, desconociéndose su calidad de beneficiaria del régimen de transición; que tras el agotamiento de la vía gubernativa, la entidad expidió la Resolución VPB 8294 de 2014, confirmando la decisión anterior en todas sus partes. Por último, refiere que según su historia laboral sufragó un total de 1.820.57 semanas de aportes al sistema pensional.</w:t>
      </w:r>
    </w:p>
    <w:p w:rsidR="00213F05" w:rsidRPr="006E3888" w:rsidRDefault="00213F05" w:rsidP="00213F05">
      <w:pPr>
        <w:pStyle w:val="Sinespaciado"/>
      </w:pPr>
    </w:p>
    <w:p w:rsidR="00213F05" w:rsidRDefault="00213F05" w:rsidP="00213F05">
      <w:pPr>
        <w:shd w:val="clear" w:color="auto" w:fill="FFFFFF"/>
        <w:spacing w:line="360" w:lineRule="auto"/>
        <w:ind w:firstLine="708"/>
        <w:jc w:val="both"/>
        <w:rPr>
          <w:rFonts w:ascii="Arial Narrow" w:hAnsi="Arial Narrow" w:cs="Tahoma"/>
          <w:sz w:val="28"/>
          <w:szCs w:val="28"/>
        </w:rPr>
      </w:pPr>
      <w:r>
        <w:rPr>
          <w:rFonts w:ascii="Arial Narrow" w:hAnsi="Arial Narrow" w:cs="Tahoma"/>
          <w:color w:val="000000"/>
          <w:sz w:val="28"/>
          <w:szCs w:val="28"/>
          <w:lang w:eastAsia="es-CO"/>
        </w:rPr>
        <w:t>La entidad citada al proceso, aceptó los hechos relacionados con la calidad de pensionad</w:t>
      </w:r>
      <w:r w:rsidR="00E34588">
        <w:rPr>
          <w:rFonts w:ascii="Arial Narrow" w:hAnsi="Arial Narrow" w:cs="Tahoma"/>
          <w:color w:val="000000"/>
          <w:sz w:val="28"/>
          <w:szCs w:val="28"/>
          <w:lang w:eastAsia="es-CO"/>
        </w:rPr>
        <w:t>a que ostenta la actora</w:t>
      </w:r>
      <w:r>
        <w:rPr>
          <w:rFonts w:ascii="Arial Narrow" w:hAnsi="Arial Narrow" w:cs="Tahoma"/>
          <w:color w:val="000000"/>
          <w:sz w:val="28"/>
          <w:szCs w:val="28"/>
          <w:lang w:eastAsia="es-CO"/>
        </w:rPr>
        <w:t>,</w:t>
      </w:r>
      <w:r w:rsidR="00E34588">
        <w:rPr>
          <w:rFonts w:ascii="Arial Narrow" w:hAnsi="Arial Narrow" w:cs="Tahoma"/>
          <w:color w:val="000000"/>
          <w:sz w:val="28"/>
          <w:szCs w:val="28"/>
          <w:lang w:eastAsia="es-CO"/>
        </w:rPr>
        <w:t xml:space="preserve"> su migración al RAIS y su retorno al RPM, el agotamiento de la vía gubernativa, entre otros. </w:t>
      </w:r>
      <w:r>
        <w:rPr>
          <w:rFonts w:ascii="Arial Narrow" w:hAnsi="Arial Narrow" w:cs="Tahoma"/>
          <w:color w:val="000000"/>
          <w:sz w:val="28"/>
          <w:szCs w:val="28"/>
          <w:lang w:eastAsia="es-CO"/>
        </w:rPr>
        <w:t xml:space="preserve"> </w:t>
      </w:r>
      <w:r w:rsidR="00E34588">
        <w:rPr>
          <w:rFonts w:ascii="Arial Narrow" w:hAnsi="Arial Narrow" w:cs="Tahoma"/>
          <w:color w:val="000000"/>
          <w:sz w:val="28"/>
          <w:szCs w:val="28"/>
          <w:lang w:eastAsia="es-CO"/>
        </w:rPr>
        <w:t>Se opuso a las pretensiones de la demanda arguyendo que la demandante no cumple con los requisitos legales para ser beneficiaria del régimen de transición que prevé el artículo 36 de la Ley 100 de 1993, por lo que i</w:t>
      </w:r>
      <w:r>
        <w:rPr>
          <w:rFonts w:ascii="Arial Narrow" w:hAnsi="Arial Narrow" w:cs="Tahoma"/>
          <w:color w:val="000000"/>
          <w:sz w:val="28"/>
          <w:szCs w:val="28"/>
          <w:lang w:eastAsia="es-CO"/>
        </w:rPr>
        <w:t xml:space="preserve">nvocó como medios exceptivos los de </w:t>
      </w:r>
      <w:r w:rsidRPr="00537931">
        <w:rPr>
          <w:rFonts w:ascii="Arial Narrow" w:hAnsi="Arial Narrow" w:cs="Tahoma"/>
          <w:i/>
          <w:sz w:val="28"/>
          <w:szCs w:val="28"/>
        </w:rPr>
        <w:t>“</w:t>
      </w:r>
      <w:r w:rsidR="00E34588">
        <w:rPr>
          <w:rFonts w:ascii="Arial Narrow" w:hAnsi="Arial Narrow" w:cs="Tahoma"/>
          <w:i/>
          <w:sz w:val="28"/>
          <w:szCs w:val="28"/>
        </w:rPr>
        <w:t>Inexistencia de la obligación demandada”</w:t>
      </w:r>
      <w:r>
        <w:rPr>
          <w:rFonts w:ascii="Arial Narrow" w:hAnsi="Arial Narrow" w:cs="Tahoma"/>
          <w:i/>
          <w:sz w:val="28"/>
          <w:szCs w:val="28"/>
        </w:rPr>
        <w:t xml:space="preserve"> </w:t>
      </w:r>
      <w:r w:rsidRPr="003E3E06">
        <w:rPr>
          <w:rFonts w:ascii="Arial Narrow" w:hAnsi="Arial Narrow" w:cs="Tahoma"/>
          <w:sz w:val="28"/>
          <w:szCs w:val="28"/>
        </w:rPr>
        <w:t xml:space="preserve">y </w:t>
      </w:r>
      <w:r w:rsidR="00E34588">
        <w:rPr>
          <w:rFonts w:ascii="Arial Narrow" w:hAnsi="Arial Narrow" w:cs="Tahoma"/>
          <w:i/>
          <w:sz w:val="28"/>
          <w:szCs w:val="28"/>
        </w:rPr>
        <w:t>“Prescripción”.</w:t>
      </w:r>
    </w:p>
    <w:p w:rsidR="00213F05" w:rsidRPr="006E3888" w:rsidRDefault="00213F05" w:rsidP="00213F05">
      <w:pPr>
        <w:pStyle w:val="Sinespaciado"/>
      </w:pPr>
    </w:p>
    <w:p w:rsidR="00E34588" w:rsidRDefault="00213F05" w:rsidP="00213F05">
      <w:pPr>
        <w:tabs>
          <w:tab w:val="left" w:pos="709"/>
          <w:tab w:val="left" w:pos="8647"/>
        </w:tabs>
        <w:spacing w:line="360" w:lineRule="auto"/>
        <w:ind w:right="191" w:firstLine="709"/>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Tramitada la</w:t>
      </w:r>
      <w:r w:rsidR="00E34588">
        <w:rPr>
          <w:rFonts w:ascii="Arial Narrow" w:hAnsi="Arial Narrow" w:cs="Tahoma"/>
          <w:color w:val="000000"/>
          <w:sz w:val="28"/>
          <w:szCs w:val="28"/>
          <w:lang w:eastAsia="es-CO"/>
        </w:rPr>
        <w:t xml:space="preserve"> primera instancia, el Juzgado Quinto </w:t>
      </w:r>
      <w:r>
        <w:rPr>
          <w:rFonts w:ascii="Arial Narrow" w:hAnsi="Arial Narrow" w:cs="Tahoma"/>
          <w:color w:val="000000"/>
          <w:sz w:val="28"/>
          <w:szCs w:val="28"/>
          <w:lang w:eastAsia="es-CO"/>
        </w:rPr>
        <w:t>Laboral del Circuito de Pe</w:t>
      </w:r>
      <w:r w:rsidR="00E34588">
        <w:rPr>
          <w:rFonts w:ascii="Arial Narrow" w:hAnsi="Arial Narrow" w:cs="Tahoma"/>
          <w:color w:val="000000"/>
          <w:sz w:val="28"/>
          <w:szCs w:val="28"/>
          <w:lang w:eastAsia="es-CO"/>
        </w:rPr>
        <w:t>reira, profirió fallo en el que accedió a las pretensiones de la demanda, reconociendo a la actora la calidad de beneficiaria del régimen de transición</w:t>
      </w:r>
      <w:r w:rsidR="00322804">
        <w:rPr>
          <w:rFonts w:ascii="Arial Narrow" w:hAnsi="Arial Narrow" w:cs="Tahoma"/>
          <w:color w:val="000000"/>
          <w:sz w:val="28"/>
          <w:szCs w:val="28"/>
          <w:lang w:eastAsia="es-CO"/>
        </w:rPr>
        <w:t xml:space="preserve"> del art. 36 de la Ley 100/93</w:t>
      </w:r>
      <w:r w:rsidR="00E34588">
        <w:rPr>
          <w:rFonts w:ascii="Arial Narrow" w:hAnsi="Arial Narrow" w:cs="Tahoma"/>
          <w:color w:val="000000"/>
          <w:sz w:val="28"/>
          <w:szCs w:val="28"/>
          <w:lang w:eastAsia="es-CO"/>
        </w:rPr>
        <w:t xml:space="preserve">, y por ende, </w:t>
      </w:r>
      <w:r w:rsidR="00AB49ED">
        <w:rPr>
          <w:rFonts w:ascii="Arial Narrow" w:hAnsi="Arial Narrow" w:cs="Tahoma"/>
          <w:color w:val="000000"/>
          <w:sz w:val="28"/>
          <w:szCs w:val="28"/>
          <w:lang w:eastAsia="es-CO"/>
        </w:rPr>
        <w:t xml:space="preserve">el </w:t>
      </w:r>
      <w:r w:rsidR="00E34588">
        <w:rPr>
          <w:rFonts w:ascii="Arial Narrow" w:hAnsi="Arial Narrow" w:cs="Tahoma"/>
          <w:color w:val="000000"/>
          <w:sz w:val="28"/>
          <w:szCs w:val="28"/>
          <w:lang w:eastAsia="es-CO"/>
        </w:rPr>
        <w:t xml:space="preserve">derecho a la reliquidación de la pensión de vejez reconocida mediante la Resolución GNR 115967 de 2013, </w:t>
      </w:r>
      <w:r w:rsidR="00AB49ED">
        <w:rPr>
          <w:rFonts w:ascii="Arial Narrow" w:hAnsi="Arial Narrow" w:cs="Tahoma"/>
          <w:color w:val="000000"/>
          <w:sz w:val="28"/>
          <w:szCs w:val="28"/>
          <w:lang w:eastAsia="es-CO"/>
        </w:rPr>
        <w:t>con base en</w:t>
      </w:r>
      <w:r w:rsidR="00E34588">
        <w:rPr>
          <w:rFonts w:ascii="Arial Narrow" w:hAnsi="Arial Narrow" w:cs="Tahoma"/>
          <w:color w:val="000000"/>
          <w:sz w:val="28"/>
          <w:szCs w:val="28"/>
          <w:lang w:eastAsia="es-CO"/>
        </w:rPr>
        <w:t xml:space="preserve"> el artículo 12 del Acuerdo 049 de 1990, </w:t>
      </w:r>
      <w:r w:rsidR="00322804">
        <w:rPr>
          <w:rFonts w:ascii="Arial Narrow" w:hAnsi="Arial Narrow" w:cs="Tahoma"/>
          <w:color w:val="000000"/>
          <w:sz w:val="28"/>
          <w:szCs w:val="28"/>
          <w:lang w:eastAsia="es-CO"/>
        </w:rPr>
        <w:t>debiéndose aplicar una tasa de remplazo del 90 %, por haber sufragado más de 1.250 semanas de aportes.</w:t>
      </w:r>
      <w:r w:rsidR="00AB49ED">
        <w:rPr>
          <w:rFonts w:ascii="Arial Narrow" w:hAnsi="Arial Narrow" w:cs="Tahoma"/>
          <w:color w:val="000000"/>
          <w:sz w:val="28"/>
          <w:szCs w:val="28"/>
          <w:lang w:eastAsia="es-CO"/>
        </w:rPr>
        <w:t xml:space="preserve"> Condenó a la entidad al pago de $ 9`345.995 por concepto de retroactivo pensional causado entre el 1º de septiembre de 2012 al 31 de mayo de </w:t>
      </w:r>
      <w:r w:rsidR="00A01855">
        <w:rPr>
          <w:rFonts w:ascii="Arial Narrow" w:hAnsi="Arial Narrow" w:cs="Tahoma"/>
          <w:color w:val="000000"/>
          <w:sz w:val="28"/>
          <w:szCs w:val="28"/>
          <w:lang w:eastAsia="es-CO"/>
        </w:rPr>
        <w:t xml:space="preserve">2013; </w:t>
      </w:r>
      <w:r w:rsidR="00AB49ED">
        <w:rPr>
          <w:rFonts w:ascii="Arial Narrow" w:hAnsi="Arial Narrow" w:cs="Tahoma"/>
          <w:color w:val="000000"/>
          <w:sz w:val="28"/>
          <w:szCs w:val="28"/>
          <w:lang w:eastAsia="es-CO"/>
        </w:rPr>
        <w:t xml:space="preserve">$6`530.970 a título de diferencia pensional entre el 1º de septiembre </w:t>
      </w:r>
      <w:r w:rsidR="00A01855">
        <w:rPr>
          <w:rFonts w:ascii="Arial Narrow" w:hAnsi="Arial Narrow" w:cs="Tahoma"/>
          <w:color w:val="000000"/>
          <w:sz w:val="28"/>
          <w:szCs w:val="28"/>
          <w:lang w:eastAsia="es-CO"/>
        </w:rPr>
        <w:t xml:space="preserve">de 2012 y el 30 de marzo de 2015, más los intereses de mora a partir del 13 y el 29 de mayo de 2013 sobre el valor del retroactivo reconocido. </w:t>
      </w:r>
    </w:p>
    <w:p w:rsidR="00322804" w:rsidRDefault="00322804" w:rsidP="00322804">
      <w:pPr>
        <w:pStyle w:val="Sinespaciado"/>
        <w:rPr>
          <w:lang w:eastAsia="es-CO"/>
        </w:rPr>
      </w:pPr>
    </w:p>
    <w:p w:rsidR="00213F05" w:rsidRPr="00416E74" w:rsidRDefault="00322804" w:rsidP="00213F05">
      <w:pPr>
        <w:tabs>
          <w:tab w:val="left" w:pos="709"/>
          <w:tab w:val="left" w:pos="8647"/>
        </w:tabs>
        <w:spacing w:line="360" w:lineRule="auto"/>
        <w:ind w:right="191"/>
        <w:jc w:val="both"/>
        <w:rPr>
          <w:rFonts w:ascii="Arial Narrow" w:hAnsi="Arial Narrow" w:cs="Tahoma"/>
          <w:color w:val="000000"/>
          <w:sz w:val="28"/>
          <w:szCs w:val="28"/>
          <w:lang w:eastAsia="es-CO"/>
        </w:rPr>
      </w:pPr>
      <w:r>
        <w:rPr>
          <w:rFonts w:ascii="Arial Narrow" w:hAnsi="Arial Narrow" w:cs="Tahoma"/>
          <w:iCs/>
          <w:color w:val="000000"/>
          <w:sz w:val="28"/>
          <w:szCs w:val="28"/>
          <w:lang w:val="es-MX" w:eastAsia="es-CO"/>
        </w:rPr>
        <w:tab/>
        <w:t>Res</w:t>
      </w:r>
      <w:r w:rsidR="00213F05" w:rsidRPr="00171AC6">
        <w:rPr>
          <w:rFonts w:ascii="Arial Narrow" w:hAnsi="Arial Narrow" w:cs="Tahoma"/>
          <w:iCs/>
          <w:color w:val="000000"/>
          <w:sz w:val="28"/>
          <w:szCs w:val="28"/>
          <w:lang w:val="es-MX" w:eastAsia="es-CO"/>
        </w:rPr>
        <w:t xml:space="preserve">pecto del citado proveído se dispuso el grado jurisdiccional de consulta ante esta Sala y surtido como se encuentra el trámite procesal de la instancia, se procede a desatarlo. </w:t>
      </w:r>
    </w:p>
    <w:p w:rsidR="00213F05" w:rsidRPr="00537931" w:rsidRDefault="00213F05" w:rsidP="00213F05">
      <w:pPr>
        <w:pStyle w:val="Sinespaciado"/>
        <w:spacing w:line="360" w:lineRule="auto"/>
        <w:rPr>
          <w:lang w:eastAsia="es-CO"/>
        </w:rPr>
      </w:pPr>
    </w:p>
    <w:p w:rsidR="00213F05" w:rsidRDefault="00213F05" w:rsidP="00213F05">
      <w:pPr>
        <w:shd w:val="clear" w:color="auto" w:fill="FFFFFF"/>
        <w:tabs>
          <w:tab w:val="left" w:pos="5197"/>
        </w:tabs>
        <w:spacing w:line="360" w:lineRule="auto"/>
        <w:ind w:firstLine="851"/>
        <w:jc w:val="both"/>
        <w:rPr>
          <w:rFonts w:ascii="Arial Narrow" w:hAnsi="Arial Narrow" w:cs="Tahoma"/>
          <w:b/>
          <w:i/>
          <w:sz w:val="28"/>
          <w:szCs w:val="28"/>
        </w:rPr>
      </w:pPr>
      <w:r w:rsidRPr="00537931">
        <w:rPr>
          <w:rFonts w:ascii="Arial Narrow" w:hAnsi="Arial Narrow" w:cs="Tahoma"/>
          <w:b/>
          <w:i/>
          <w:sz w:val="28"/>
          <w:szCs w:val="28"/>
        </w:rPr>
        <w:lastRenderedPageBreak/>
        <w:t>Del problema jurídico.</w:t>
      </w:r>
    </w:p>
    <w:p w:rsidR="00213F05" w:rsidRPr="00537931" w:rsidRDefault="00213F05" w:rsidP="00213F05">
      <w:pPr>
        <w:pStyle w:val="Sinespaciado"/>
        <w:rPr>
          <w:lang w:eastAsia="es-CO"/>
        </w:rPr>
      </w:pPr>
    </w:p>
    <w:p w:rsidR="00213F05" w:rsidRDefault="00213F05" w:rsidP="00213F05">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Visto el recuento anterior, la Sala formula el problema jurídico en los siguientes términos:</w:t>
      </w:r>
    </w:p>
    <w:p w:rsidR="00322804" w:rsidRPr="009660CD" w:rsidRDefault="00322804" w:rsidP="009660CD">
      <w:pPr>
        <w:shd w:val="clear" w:color="auto" w:fill="FFFFFF"/>
        <w:tabs>
          <w:tab w:val="left" w:pos="5197"/>
        </w:tabs>
        <w:ind w:firstLine="851"/>
        <w:jc w:val="both"/>
        <w:rPr>
          <w:rFonts w:ascii="Arial Narrow" w:hAnsi="Arial Narrow" w:cs="Tahoma"/>
          <w:i/>
          <w:color w:val="000000"/>
          <w:sz w:val="26"/>
          <w:szCs w:val="26"/>
          <w:lang w:eastAsia="es-CO"/>
        </w:rPr>
      </w:pPr>
      <w:r w:rsidRPr="009660CD">
        <w:rPr>
          <w:rFonts w:ascii="Arial Narrow" w:hAnsi="Arial Narrow" w:cs="Tahoma"/>
          <w:i/>
          <w:color w:val="000000"/>
          <w:sz w:val="26"/>
          <w:szCs w:val="26"/>
          <w:lang w:eastAsia="es-CO"/>
        </w:rPr>
        <w:t>¿Es la demandante beneficiaria del régimen de transición previsto en el artículo 36 de la Ley 100 de 1993?</w:t>
      </w:r>
    </w:p>
    <w:p w:rsidR="009660CD" w:rsidRPr="009660CD" w:rsidRDefault="009660CD" w:rsidP="009660CD">
      <w:pPr>
        <w:pStyle w:val="Sinespaciado"/>
      </w:pPr>
    </w:p>
    <w:p w:rsidR="009660CD" w:rsidRPr="009660CD" w:rsidRDefault="009660CD" w:rsidP="009660CD">
      <w:pPr>
        <w:tabs>
          <w:tab w:val="left" w:pos="0"/>
          <w:tab w:val="left" w:pos="8647"/>
        </w:tabs>
        <w:suppressAutoHyphens/>
        <w:ind w:firstLine="900"/>
        <w:jc w:val="both"/>
        <w:rPr>
          <w:rFonts w:ascii="Arial Narrow" w:hAnsi="Arial Narrow" w:cs="Tahoma"/>
          <w:i/>
          <w:sz w:val="26"/>
          <w:szCs w:val="26"/>
        </w:rPr>
      </w:pPr>
      <w:r w:rsidRPr="009660CD">
        <w:rPr>
          <w:rFonts w:ascii="Arial Narrow" w:hAnsi="Arial Narrow" w:cs="Tahoma"/>
          <w:i/>
          <w:sz w:val="26"/>
          <w:szCs w:val="26"/>
        </w:rPr>
        <w:t xml:space="preserve">¿A partir de qué fecha tiene la demandante derecho a la pensión de vejez peticionada? </w:t>
      </w:r>
    </w:p>
    <w:p w:rsidR="009660CD" w:rsidRPr="009660CD" w:rsidRDefault="009660CD" w:rsidP="009660CD">
      <w:pPr>
        <w:pStyle w:val="Sinespaciado"/>
      </w:pPr>
    </w:p>
    <w:p w:rsidR="009660CD" w:rsidRPr="009660CD" w:rsidRDefault="009660CD" w:rsidP="009660CD">
      <w:pPr>
        <w:tabs>
          <w:tab w:val="left" w:pos="0"/>
          <w:tab w:val="left" w:pos="8647"/>
        </w:tabs>
        <w:suppressAutoHyphens/>
        <w:ind w:firstLine="900"/>
        <w:jc w:val="both"/>
        <w:rPr>
          <w:rFonts w:ascii="Arial Narrow" w:hAnsi="Arial Narrow" w:cs="Tahoma"/>
          <w:i/>
          <w:sz w:val="26"/>
          <w:szCs w:val="26"/>
        </w:rPr>
      </w:pPr>
      <w:r w:rsidRPr="009660CD">
        <w:rPr>
          <w:rFonts w:ascii="Arial Narrow" w:hAnsi="Arial Narrow" w:cs="Tahoma"/>
          <w:i/>
          <w:sz w:val="26"/>
          <w:szCs w:val="26"/>
        </w:rPr>
        <w:t xml:space="preserve">¿A cuánto asciende el valor de la primera mesada pensional, el retroactivo y el reajuste pensional? </w:t>
      </w:r>
    </w:p>
    <w:p w:rsidR="00322804" w:rsidRPr="009660CD" w:rsidRDefault="00322804" w:rsidP="009660CD">
      <w:pPr>
        <w:pStyle w:val="Sinespaciado"/>
        <w:spacing w:line="360" w:lineRule="auto"/>
      </w:pPr>
    </w:p>
    <w:p w:rsidR="00213F05" w:rsidRPr="00537931" w:rsidRDefault="00213F05" w:rsidP="00213F05">
      <w:pPr>
        <w:tabs>
          <w:tab w:val="left" w:pos="0"/>
          <w:tab w:val="left" w:pos="8647"/>
        </w:tabs>
        <w:suppressAutoHyphens/>
        <w:spacing w:line="360" w:lineRule="auto"/>
        <w:ind w:firstLine="900"/>
        <w:jc w:val="both"/>
        <w:rPr>
          <w:rFonts w:ascii="Arial Narrow" w:hAnsi="Arial Narrow" w:cs="Tahoma"/>
          <w:sz w:val="28"/>
          <w:szCs w:val="28"/>
        </w:rPr>
      </w:pPr>
      <w:r w:rsidRPr="00537931">
        <w:rPr>
          <w:rFonts w:ascii="Arial Narrow" w:hAnsi="Arial Narrow" w:cs="Tahoma"/>
          <w:b/>
          <w:i/>
          <w:sz w:val="28"/>
          <w:szCs w:val="28"/>
        </w:rPr>
        <w:t>Alegatos en esta instancia</w:t>
      </w:r>
      <w:r w:rsidRPr="00537931">
        <w:rPr>
          <w:rFonts w:ascii="Arial Narrow" w:hAnsi="Arial Narrow" w:cs="Tahoma"/>
          <w:sz w:val="28"/>
          <w:szCs w:val="28"/>
        </w:rPr>
        <w:t>:</w:t>
      </w:r>
    </w:p>
    <w:p w:rsidR="00213F05" w:rsidRPr="009660CD" w:rsidRDefault="00213F05" w:rsidP="009660CD">
      <w:pPr>
        <w:pStyle w:val="Sinespaciado"/>
      </w:pPr>
    </w:p>
    <w:p w:rsidR="00213F05" w:rsidRDefault="00213F05" w:rsidP="00322804">
      <w:pPr>
        <w:spacing w:line="360" w:lineRule="auto"/>
        <w:ind w:firstLine="851"/>
        <w:jc w:val="both"/>
        <w:rPr>
          <w:rFonts w:ascii="Arial Narrow" w:hAnsi="Arial Narrow" w:cs="Tahoma"/>
          <w:sz w:val="28"/>
          <w:szCs w:val="28"/>
        </w:rPr>
      </w:pPr>
      <w:r w:rsidRPr="00537931">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emp</w:t>
      </w:r>
      <w:r>
        <w:rPr>
          <w:rFonts w:ascii="Arial Narrow" w:hAnsi="Arial Narrow" w:cs="Tahoma"/>
          <w:sz w:val="28"/>
          <w:szCs w:val="28"/>
        </w:rPr>
        <w:t>ezando por la parte demandante.</w:t>
      </w:r>
      <w:r w:rsidR="00322804">
        <w:rPr>
          <w:rFonts w:ascii="Arial Narrow" w:hAnsi="Arial Narrow" w:cs="Tahoma"/>
          <w:sz w:val="28"/>
          <w:szCs w:val="28"/>
        </w:rPr>
        <w:t xml:space="preserve"> </w:t>
      </w: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213F05" w:rsidRPr="00F06F75" w:rsidRDefault="00213F05" w:rsidP="00213F05">
      <w:pPr>
        <w:pStyle w:val="Sinespaciado"/>
        <w:spacing w:line="360" w:lineRule="auto"/>
      </w:pPr>
    </w:p>
    <w:p w:rsidR="00777FC9" w:rsidRDefault="00213F05" w:rsidP="00777FC9">
      <w:pPr>
        <w:spacing w:line="360" w:lineRule="auto"/>
        <w:ind w:left="1418" w:hanging="578"/>
        <w:jc w:val="both"/>
        <w:rPr>
          <w:rFonts w:ascii="Arial Narrow" w:hAnsi="Arial Narrow" w:cs="Tahoma"/>
          <w:b/>
          <w:i/>
          <w:sz w:val="28"/>
          <w:szCs w:val="28"/>
        </w:rPr>
      </w:pPr>
      <w:r w:rsidRPr="00537931">
        <w:rPr>
          <w:rFonts w:ascii="Arial Narrow" w:hAnsi="Arial Narrow" w:cs="Tahoma"/>
          <w:b/>
          <w:i/>
          <w:sz w:val="28"/>
          <w:szCs w:val="28"/>
        </w:rPr>
        <w:t>II. CONSIDERACIONES:</w:t>
      </w:r>
    </w:p>
    <w:p w:rsidR="00777FC9" w:rsidRDefault="00777FC9" w:rsidP="000222E0">
      <w:pPr>
        <w:pStyle w:val="Sinespaciado"/>
      </w:pPr>
    </w:p>
    <w:p w:rsidR="00777FC9" w:rsidRDefault="007F720C" w:rsidP="000222E0">
      <w:pPr>
        <w:spacing w:line="360" w:lineRule="auto"/>
        <w:ind w:firstLine="851"/>
        <w:jc w:val="both"/>
        <w:rPr>
          <w:rFonts w:ascii="Arial Narrow" w:hAnsi="Arial Narrow" w:cs="Tahoma"/>
          <w:sz w:val="28"/>
          <w:szCs w:val="28"/>
        </w:rPr>
      </w:pPr>
      <w:r>
        <w:rPr>
          <w:rFonts w:ascii="Arial Narrow" w:hAnsi="Arial Narrow" w:cs="Tahoma"/>
          <w:sz w:val="28"/>
          <w:szCs w:val="28"/>
        </w:rPr>
        <w:t>Conforme la documental obrante al infolio, s</w:t>
      </w:r>
      <w:r w:rsidR="000222E0" w:rsidRPr="000222E0">
        <w:rPr>
          <w:rFonts w:ascii="Arial Narrow" w:hAnsi="Arial Narrow" w:cs="Tahoma"/>
          <w:sz w:val="28"/>
          <w:szCs w:val="28"/>
        </w:rPr>
        <w:t xml:space="preserve">on hechos no controvertidos que la demandante </w:t>
      </w:r>
      <w:r w:rsidR="000222E0">
        <w:rPr>
          <w:rFonts w:ascii="Arial Narrow" w:hAnsi="Arial Narrow" w:cs="Tahoma"/>
          <w:sz w:val="28"/>
          <w:szCs w:val="28"/>
        </w:rPr>
        <w:t xml:space="preserve">nació el 14 de mayo de 1957 y que la entidad demandada mediante Resolución GNR 115967 de 2013 le reconoció la pensión de vejez con base en el artículo 33 de la Ley 100 de 1993 modificado por el artículo 9 de </w:t>
      </w:r>
      <w:r>
        <w:rPr>
          <w:rFonts w:ascii="Arial Narrow" w:hAnsi="Arial Narrow" w:cs="Tahoma"/>
          <w:sz w:val="28"/>
          <w:szCs w:val="28"/>
        </w:rPr>
        <w:t>la Ley 797</w:t>
      </w:r>
      <w:r w:rsidR="000222E0">
        <w:rPr>
          <w:rFonts w:ascii="Arial Narrow" w:hAnsi="Arial Narrow" w:cs="Tahoma"/>
          <w:sz w:val="28"/>
          <w:szCs w:val="28"/>
        </w:rPr>
        <w:t xml:space="preserve"> de 2003</w:t>
      </w:r>
      <w:r w:rsidR="004E3703">
        <w:rPr>
          <w:rFonts w:ascii="Arial Narrow" w:hAnsi="Arial Narrow" w:cs="Tahoma"/>
          <w:sz w:val="28"/>
          <w:szCs w:val="28"/>
        </w:rPr>
        <w:t xml:space="preserve">, </w:t>
      </w:r>
      <w:r>
        <w:rPr>
          <w:rFonts w:ascii="Arial Narrow" w:hAnsi="Arial Narrow" w:cs="Tahoma"/>
          <w:sz w:val="28"/>
          <w:szCs w:val="28"/>
        </w:rPr>
        <w:t xml:space="preserve">calculando </w:t>
      </w:r>
      <w:r w:rsidR="003C6868">
        <w:rPr>
          <w:rFonts w:ascii="Arial Narrow" w:hAnsi="Arial Narrow" w:cs="Tahoma"/>
          <w:sz w:val="28"/>
          <w:szCs w:val="28"/>
        </w:rPr>
        <w:t xml:space="preserve">el </w:t>
      </w:r>
      <w:r w:rsidR="004E3703">
        <w:rPr>
          <w:rFonts w:ascii="Arial Narrow" w:hAnsi="Arial Narrow" w:cs="Tahoma"/>
          <w:sz w:val="28"/>
          <w:szCs w:val="28"/>
        </w:rPr>
        <w:t xml:space="preserve">IBL </w:t>
      </w:r>
      <w:r w:rsidR="003C6868">
        <w:rPr>
          <w:rFonts w:ascii="Arial Narrow" w:hAnsi="Arial Narrow" w:cs="Tahoma"/>
          <w:sz w:val="28"/>
          <w:szCs w:val="28"/>
        </w:rPr>
        <w:t xml:space="preserve">en cuantía </w:t>
      </w:r>
      <w:r w:rsidR="004E3703">
        <w:rPr>
          <w:rFonts w:ascii="Arial Narrow" w:hAnsi="Arial Narrow" w:cs="Tahoma"/>
          <w:sz w:val="28"/>
          <w:szCs w:val="28"/>
        </w:rPr>
        <w:t xml:space="preserve">de $678.446 al </w:t>
      </w:r>
      <w:r>
        <w:rPr>
          <w:rFonts w:ascii="Arial Narrow" w:hAnsi="Arial Narrow" w:cs="Tahoma"/>
          <w:sz w:val="28"/>
          <w:szCs w:val="28"/>
        </w:rPr>
        <w:t xml:space="preserve">cual </w:t>
      </w:r>
      <w:r w:rsidR="003C6868">
        <w:rPr>
          <w:rFonts w:ascii="Arial Narrow" w:hAnsi="Arial Narrow" w:cs="Tahoma"/>
          <w:sz w:val="28"/>
          <w:szCs w:val="28"/>
        </w:rPr>
        <w:t xml:space="preserve">le proyectó </w:t>
      </w:r>
      <w:r w:rsidR="004E3703">
        <w:rPr>
          <w:rFonts w:ascii="Arial Narrow" w:hAnsi="Arial Narrow" w:cs="Tahoma"/>
          <w:sz w:val="28"/>
          <w:szCs w:val="28"/>
        </w:rPr>
        <w:t>una tasa de remplazo del 66.13 semanas por haber cotizado</w:t>
      </w:r>
      <w:r>
        <w:rPr>
          <w:rFonts w:ascii="Arial Narrow" w:hAnsi="Arial Narrow" w:cs="Tahoma"/>
          <w:sz w:val="28"/>
          <w:szCs w:val="28"/>
        </w:rPr>
        <w:t xml:space="preserve"> la demandante </w:t>
      </w:r>
      <w:r w:rsidR="003C6868">
        <w:rPr>
          <w:rFonts w:ascii="Arial Narrow" w:hAnsi="Arial Narrow" w:cs="Tahoma"/>
          <w:sz w:val="28"/>
          <w:szCs w:val="28"/>
        </w:rPr>
        <w:t xml:space="preserve">válidamente al sistema </w:t>
      </w:r>
      <w:r w:rsidR="004E3703">
        <w:rPr>
          <w:rFonts w:ascii="Arial Narrow" w:hAnsi="Arial Narrow" w:cs="Tahoma"/>
          <w:sz w:val="28"/>
          <w:szCs w:val="28"/>
        </w:rPr>
        <w:t>un total de 1.292 semanas de aportes.</w:t>
      </w:r>
    </w:p>
    <w:p w:rsidR="000222E0" w:rsidRDefault="000222E0" w:rsidP="00887961">
      <w:pPr>
        <w:pStyle w:val="Sinespaciado"/>
      </w:pPr>
    </w:p>
    <w:p w:rsidR="00887961" w:rsidRPr="003C6868" w:rsidRDefault="003C6868" w:rsidP="00EC2AC0">
      <w:pPr>
        <w:spacing w:line="360" w:lineRule="auto"/>
        <w:ind w:firstLine="851"/>
        <w:jc w:val="both"/>
        <w:rPr>
          <w:rFonts w:ascii="Arial Narrow" w:hAnsi="Arial Narrow" w:cs="Tahoma"/>
          <w:sz w:val="28"/>
          <w:szCs w:val="28"/>
        </w:rPr>
      </w:pPr>
      <w:r w:rsidRPr="003C6868">
        <w:rPr>
          <w:rFonts w:ascii="Arial Narrow" w:hAnsi="Arial Narrow" w:cs="Tahoma"/>
          <w:sz w:val="28"/>
          <w:szCs w:val="28"/>
        </w:rPr>
        <w:t>S</w:t>
      </w:r>
      <w:r w:rsidR="00887961" w:rsidRPr="003C6868">
        <w:rPr>
          <w:rFonts w:ascii="Arial Narrow" w:hAnsi="Arial Narrow" w:cs="Tahoma"/>
          <w:sz w:val="28"/>
          <w:szCs w:val="28"/>
        </w:rPr>
        <w:t>olicit</w:t>
      </w:r>
      <w:r w:rsidR="00644C34">
        <w:rPr>
          <w:rFonts w:ascii="Arial Narrow" w:hAnsi="Arial Narrow" w:cs="Tahoma"/>
          <w:sz w:val="28"/>
          <w:szCs w:val="28"/>
        </w:rPr>
        <w:t>a</w:t>
      </w:r>
      <w:r w:rsidR="00EC2AC0" w:rsidRPr="003C6868">
        <w:rPr>
          <w:rFonts w:ascii="Arial Narrow" w:hAnsi="Arial Narrow" w:cs="Tahoma"/>
          <w:sz w:val="28"/>
          <w:szCs w:val="28"/>
        </w:rPr>
        <w:t xml:space="preserve"> </w:t>
      </w:r>
      <w:r w:rsidRPr="003C6868">
        <w:rPr>
          <w:rFonts w:ascii="Arial Narrow" w:hAnsi="Arial Narrow" w:cs="Tahoma"/>
          <w:sz w:val="28"/>
          <w:szCs w:val="28"/>
        </w:rPr>
        <w:t xml:space="preserve">la gestora de la litis </w:t>
      </w:r>
      <w:r w:rsidR="00EC2AC0" w:rsidRPr="003C6868">
        <w:rPr>
          <w:rFonts w:ascii="Arial Narrow" w:hAnsi="Arial Narrow" w:cs="Tahoma"/>
          <w:sz w:val="28"/>
          <w:szCs w:val="28"/>
        </w:rPr>
        <w:t>que se</w:t>
      </w:r>
      <w:r w:rsidRPr="003C6868">
        <w:rPr>
          <w:rFonts w:ascii="Arial Narrow" w:hAnsi="Arial Narrow" w:cs="Tahoma"/>
          <w:sz w:val="28"/>
          <w:szCs w:val="28"/>
        </w:rPr>
        <w:t xml:space="preserve"> le</w:t>
      </w:r>
      <w:r w:rsidR="00EC2AC0" w:rsidRPr="003C6868">
        <w:rPr>
          <w:rFonts w:ascii="Arial Narrow" w:hAnsi="Arial Narrow" w:cs="Tahoma"/>
          <w:sz w:val="28"/>
          <w:szCs w:val="28"/>
        </w:rPr>
        <w:t xml:space="preserve"> recon</w:t>
      </w:r>
      <w:r w:rsidR="00644C34">
        <w:rPr>
          <w:rFonts w:ascii="Arial Narrow" w:hAnsi="Arial Narrow" w:cs="Tahoma"/>
          <w:sz w:val="28"/>
          <w:szCs w:val="28"/>
        </w:rPr>
        <w:t xml:space="preserve">ozca </w:t>
      </w:r>
      <w:r w:rsidRPr="003C6868">
        <w:rPr>
          <w:rFonts w:ascii="Arial Narrow" w:hAnsi="Arial Narrow" w:cs="Tahoma"/>
          <w:sz w:val="28"/>
          <w:szCs w:val="28"/>
        </w:rPr>
        <w:t xml:space="preserve">la </w:t>
      </w:r>
      <w:r w:rsidR="00EC2AC0" w:rsidRPr="003C6868">
        <w:rPr>
          <w:rFonts w:ascii="Arial Narrow" w:hAnsi="Arial Narrow" w:cs="Tahoma"/>
          <w:sz w:val="28"/>
          <w:szCs w:val="28"/>
        </w:rPr>
        <w:t xml:space="preserve">calidad de beneficiaria del </w:t>
      </w:r>
      <w:r w:rsidR="00887961" w:rsidRPr="003C6868">
        <w:rPr>
          <w:rFonts w:ascii="Arial Narrow" w:hAnsi="Arial Narrow" w:cs="Tahoma"/>
          <w:sz w:val="28"/>
          <w:szCs w:val="28"/>
        </w:rPr>
        <w:t>régimen de transici</w:t>
      </w:r>
      <w:r w:rsidR="00EC2AC0" w:rsidRPr="003C6868">
        <w:rPr>
          <w:rFonts w:ascii="Arial Narrow" w:hAnsi="Arial Narrow" w:cs="Tahoma"/>
          <w:sz w:val="28"/>
          <w:szCs w:val="28"/>
        </w:rPr>
        <w:t xml:space="preserve">ón, y </w:t>
      </w:r>
      <w:r w:rsidRPr="003C6868">
        <w:rPr>
          <w:rFonts w:ascii="Arial Narrow" w:hAnsi="Arial Narrow" w:cs="Tahoma"/>
          <w:sz w:val="28"/>
          <w:szCs w:val="28"/>
        </w:rPr>
        <w:t>por ende</w:t>
      </w:r>
      <w:r w:rsidR="00EC2AC0" w:rsidRPr="003C6868">
        <w:rPr>
          <w:rFonts w:ascii="Arial Narrow" w:hAnsi="Arial Narrow" w:cs="Tahoma"/>
          <w:sz w:val="28"/>
          <w:szCs w:val="28"/>
        </w:rPr>
        <w:t xml:space="preserve">, se </w:t>
      </w:r>
      <w:r w:rsidRPr="003C6868">
        <w:rPr>
          <w:rFonts w:ascii="Arial Narrow" w:hAnsi="Arial Narrow" w:cs="Tahoma"/>
          <w:sz w:val="28"/>
          <w:szCs w:val="28"/>
        </w:rPr>
        <w:t xml:space="preserve">le </w:t>
      </w:r>
      <w:r w:rsidR="00644C34">
        <w:rPr>
          <w:rFonts w:ascii="Arial Narrow" w:hAnsi="Arial Narrow" w:cs="Tahoma"/>
          <w:sz w:val="28"/>
          <w:szCs w:val="28"/>
        </w:rPr>
        <w:t xml:space="preserve">aplique </w:t>
      </w:r>
      <w:r w:rsidR="00EC2AC0" w:rsidRPr="003C6868">
        <w:rPr>
          <w:rFonts w:ascii="Arial Narrow" w:hAnsi="Arial Narrow" w:cs="Tahoma"/>
          <w:sz w:val="28"/>
          <w:szCs w:val="28"/>
        </w:rPr>
        <w:t>al Ingreso Base de Liquidación una tasa de remplazo del 90 %, con base</w:t>
      </w:r>
      <w:r w:rsidR="00887961" w:rsidRPr="003C6868">
        <w:rPr>
          <w:rFonts w:ascii="Arial Narrow" w:hAnsi="Arial Narrow"/>
          <w:sz w:val="28"/>
          <w:szCs w:val="28"/>
        </w:rPr>
        <w:t xml:space="preserve"> en lo establecido en el Acuerdo 049 de 1990.</w:t>
      </w:r>
    </w:p>
    <w:p w:rsidR="00887961" w:rsidRDefault="00887961" w:rsidP="003C6868">
      <w:pPr>
        <w:pStyle w:val="Sinespaciado"/>
      </w:pPr>
    </w:p>
    <w:p w:rsidR="00F01BCE" w:rsidRDefault="003C6868" w:rsidP="00A615BC">
      <w:pPr>
        <w:pStyle w:val="Sinespaciado"/>
        <w:spacing w:line="360" w:lineRule="auto"/>
        <w:ind w:firstLine="708"/>
        <w:jc w:val="both"/>
        <w:rPr>
          <w:rFonts w:ascii="Arial Narrow" w:hAnsi="Arial Narrow" w:cs="Arial"/>
          <w:sz w:val="28"/>
          <w:szCs w:val="28"/>
          <w:lang w:val="es-ES"/>
        </w:rPr>
      </w:pPr>
      <w:r>
        <w:rPr>
          <w:rFonts w:ascii="Arial Narrow" w:hAnsi="Arial Narrow" w:cs="Tahoma"/>
          <w:sz w:val="28"/>
          <w:szCs w:val="28"/>
        </w:rPr>
        <w:t xml:space="preserve">En ese sentido, tal como lo concluyó la sentenciadora de primer grado, se tiene que en efecto, la demandante es beneficiaria del régimen de transición previsto en el </w:t>
      </w:r>
      <w:r>
        <w:rPr>
          <w:rFonts w:ascii="Arial Narrow" w:hAnsi="Arial Narrow" w:cs="Tahoma"/>
          <w:sz w:val="28"/>
          <w:szCs w:val="28"/>
        </w:rPr>
        <w:lastRenderedPageBreak/>
        <w:t>artículo 36 de la Ley 100 de 1993, por cuanto a</w:t>
      </w:r>
      <w:r w:rsidR="00D25312">
        <w:rPr>
          <w:rFonts w:ascii="Arial Narrow" w:hAnsi="Arial Narrow" w:cs="Tahoma"/>
          <w:sz w:val="28"/>
          <w:szCs w:val="28"/>
        </w:rPr>
        <w:t>l 1º de abril de 1994</w:t>
      </w:r>
      <w:r>
        <w:rPr>
          <w:rFonts w:ascii="Arial Narrow" w:hAnsi="Arial Narrow" w:cs="Tahoma"/>
          <w:sz w:val="28"/>
          <w:szCs w:val="28"/>
        </w:rPr>
        <w:t xml:space="preserve"> tenía cumplidos </w:t>
      </w:r>
      <w:r w:rsidR="00D25312">
        <w:rPr>
          <w:rFonts w:ascii="Arial Narrow" w:hAnsi="Arial Narrow" w:cs="Tahoma"/>
          <w:sz w:val="28"/>
          <w:szCs w:val="28"/>
        </w:rPr>
        <w:t>36 años de edad,</w:t>
      </w:r>
      <w:r w:rsidR="001E3B11">
        <w:rPr>
          <w:rFonts w:ascii="Arial Narrow" w:hAnsi="Arial Narrow" w:cs="Tahoma"/>
          <w:sz w:val="28"/>
          <w:szCs w:val="28"/>
        </w:rPr>
        <w:t xml:space="preserve"> amén de que por c</w:t>
      </w:r>
      <w:r w:rsidR="00644C34">
        <w:rPr>
          <w:rFonts w:ascii="Arial Narrow" w:hAnsi="Arial Narrow" w:cs="Tahoma"/>
          <w:sz w:val="28"/>
          <w:szCs w:val="28"/>
        </w:rPr>
        <w:t xml:space="preserve">olmar </w:t>
      </w:r>
      <w:r w:rsidR="001E3B11">
        <w:rPr>
          <w:rFonts w:ascii="Arial Narrow" w:hAnsi="Arial Narrow" w:cs="Tahoma"/>
          <w:sz w:val="28"/>
          <w:szCs w:val="28"/>
        </w:rPr>
        <w:t>más de 15 a</w:t>
      </w:r>
      <w:r w:rsidR="00A615BC">
        <w:rPr>
          <w:rFonts w:ascii="Arial Narrow" w:hAnsi="Arial Narrow" w:cs="Tahoma"/>
          <w:sz w:val="28"/>
          <w:szCs w:val="28"/>
        </w:rPr>
        <w:t xml:space="preserve">ños de servicios a esa calenda </w:t>
      </w:r>
      <w:r w:rsidR="00E07F46">
        <w:rPr>
          <w:rFonts w:ascii="Arial Narrow" w:hAnsi="Arial Narrow" w:cs="Tahoma"/>
          <w:sz w:val="28"/>
          <w:szCs w:val="28"/>
        </w:rPr>
        <w:t xml:space="preserve">–ver fl.59-, tenía </w:t>
      </w:r>
      <w:r w:rsidR="00644C34">
        <w:rPr>
          <w:rFonts w:ascii="Arial Narrow" w:hAnsi="Arial Narrow" w:cs="Tahoma"/>
          <w:sz w:val="28"/>
          <w:szCs w:val="28"/>
        </w:rPr>
        <w:t xml:space="preserve">derecho a </w:t>
      </w:r>
      <w:r w:rsidR="001E3B11">
        <w:rPr>
          <w:rFonts w:ascii="Arial Narrow" w:hAnsi="Arial Narrow" w:cs="Tahoma"/>
          <w:sz w:val="28"/>
          <w:szCs w:val="28"/>
        </w:rPr>
        <w:t>r</w:t>
      </w:r>
      <w:r w:rsidR="00644C34">
        <w:rPr>
          <w:rFonts w:ascii="Arial Narrow" w:hAnsi="Arial Narrow" w:cs="Tahoma"/>
          <w:sz w:val="28"/>
          <w:szCs w:val="28"/>
        </w:rPr>
        <w:t>etornar</w:t>
      </w:r>
      <w:r w:rsidR="00F01BCE">
        <w:rPr>
          <w:rFonts w:ascii="Arial Narrow" w:hAnsi="Arial Narrow" w:cs="Tahoma"/>
          <w:sz w:val="28"/>
          <w:szCs w:val="28"/>
        </w:rPr>
        <w:t xml:space="preserve">, </w:t>
      </w:r>
      <w:r w:rsidR="001E3B11">
        <w:rPr>
          <w:rFonts w:ascii="Arial Narrow" w:hAnsi="Arial Narrow" w:cs="Tahoma"/>
          <w:sz w:val="28"/>
          <w:szCs w:val="28"/>
        </w:rPr>
        <w:t xml:space="preserve">en cualquier </w:t>
      </w:r>
      <w:r w:rsidR="00644C34">
        <w:rPr>
          <w:rFonts w:ascii="Arial Narrow" w:hAnsi="Arial Narrow" w:cs="Tahoma"/>
          <w:sz w:val="28"/>
          <w:szCs w:val="28"/>
        </w:rPr>
        <w:t>tiempo</w:t>
      </w:r>
      <w:r w:rsidR="00F01BCE">
        <w:rPr>
          <w:rFonts w:ascii="Arial Narrow" w:hAnsi="Arial Narrow" w:cs="Tahoma"/>
          <w:sz w:val="28"/>
          <w:szCs w:val="28"/>
        </w:rPr>
        <w:t>,</w:t>
      </w:r>
      <w:r w:rsidR="00644C34">
        <w:rPr>
          <w:rFonts w:ascii="Arial Narrow" w:hAnsi="Arial Narrow" w:cs="Tahoma"/>
          <w:sz w:val="28"/>
          <w:szCs w:val="28"/>
        </w:rPr>
        <w:t xml:space="preserve"> a</w:t>
      </w:r>
      <w:r w:rsidR="00A615BC">
        <w:rPr>
          <w:rFonts w:ascii="Arial Narrow" w:hAnsi="Arial Narrow" w:cs="Tahoma"/>
          <w:sz w:val="28"/>
          <w:szCs w:val="28"/>
        </w:rPr>
        <w:t>l R</w:t>
      </w:r>
      <w:r w:rsidR="00644C34">
        <w:rPr>
          <w:rFonts w:ascii="Arial Narrow" w:hAnsi="Arial Narrow" w:cs="Tahoma"/>
          <w:sz w:val="28"/>
          <w:szCs w:val="28"/>
        </w:rPr>
        <w:t xml:space="preserve">égimen de Prima Media, y por ende, </w:t>
      </w:r>
      <w:r w:rsidR="001E3B11">
        <w:rPr>
          <w:rFonts w:ascii="Arial Narrow" w:hAnsi="Arial Narrow" w:cs="Tahoma"/>
          <w:sz w:val="28"/>
          <w:szCs w:val="28"/>
        </w:rPr>
        <w:t>recobra</w:t>
      </w:r>
      <w:r w:rsidR="00A615BC">
        <w:rPr>
          <w:rFonts w:ascii="Arial Narrow" w:hAnsi="Arial Narrow" w:cs="Tahoma"/>
          <w:sz w:val="28"/>
          <w:szCs w:val="28"/>
        </w:rPr>
        <w:t xml:space="preserve">r los beneficios transicionales, en los términos de las sentencias C - 789 de 2002 y </w:t>
      </w:r>
      <w:r w:rsidR="00A615BC">
        <w:rPr>
          <w:rFonts w:ascii="Arial Narrow" w:hAnsi="Arial Narrow" w:cs="Arial"/>
          <w:sz w:val="28"/>
          <w:szCs w:val="28"/>
          <w:lang w:val="es-ES"/>
        </w:rPr>
        <w:t>C-1024 de 2004.</w:t>
      </w:r>
      <w:r w:rsidR="00644C34">
        <w:rPr>
          <w:rFonts w:ascii="Arial Narrow" w:hAnsi="Arial Narrow" w:cs="Arial"/>
          <w:sz w:val="28"/>
          <w:szCs w:val="28"/>
          <w:lang w:val="es-ES"/>
        </w:rPr>
        <w:t xml:space="preserve"> </w:t>
      </w:r>
    </w:p>
    <w:p w:rsidR="00F01BCE" w:rsidRPr="00071024" w:rsidRDefault="00F01BCE" w:rsidP="00071024">
      <w:pPr>
        <w:pStyle w:val="Sinespaciado"/>
      </w:pPr>
    </w:p>
    <w:p w:rsidR="00A615BC" w:rsidRDefault="00A23420" w:rsidP="00A615BC">
      <w:pPr>
        <w:pStyle w:val="Sinespaciado"/>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Innecesario se torna entonces verificar </w:t>
      </w:r>
      <w:r w:rsidR="00071024">
        <w:rPr>
          <w:rFonts w:ascii="Arial Narrow" w:hAnsi="Arial Narrow" w:cs="Arial"/>
          <w:sz w:val="28"/>
          <w:szCs w:val="28"/>
          <w:lang w:val="es-ES"/>
        </w:rPr>
        <w:t>e</w:t>
      </w:r>
      <w:r>
        <w:rPr>
          <w:rFonts w:ascii="Arial Narrow" w:hAnsi="Arial Narrow" w:cs="Arial"/>
          <w:sz w:val="28"/>
          <w:szCs w:val="28"/>
          <w:lang w:val="es-ES"/>
        </w:rPr>
        <w:t xml:space="preserve">l cumplimiento de las </w:t>
      </w:r>
      <w:r w:rsidR="00F01BCE">
        <w:rPr>
          <w:rFonts w:ascii="Arial Narrow" w:hAnsi="Arial Narrow" w:cs="Arial"/>
          <w:sz w:val="28"/>
          <w:szCs w:val="28"/>
          <w:lang w:val="es-ES"/>
        </w:rPr>
        <w:t xml:space="preserve">semanas exigidas por el </w:t>
      </w:r>
      <w:r w:rsidR="00F35738">
        <w:rPr>
          <w:rFonts w:ascii="Arial Narrow" w:hAnsi="Arial Narrow" w:cs="Arial"/>
          <w:sz w:val="28"/>
          <w:szCs w:val="28"/>
          <w:lang w:val="es-ES"/>
        </w:rPr>
        <w:t>A.L 01 de 2005</w:t>
      </w:r>
      <w:r>
        <w:rPr>
          <w:rFonts w:ascii="Arial Narrow" w:hAnsi="Arial Narrow" w:cs="Arial"/>
          <w:sz w:val="28"/>
          <w:szCs w:val="28"/>
          <w:lang w:val="es-ES"/>
        </w:rPr>
        <w:t xml:space="preserve">, en orden a </w:t>
      </w:r>
      <w:r w:rsidR="00F01BCE">
        <w:rPr>
          <w:rFonts w:ascii="Arial Narrow" w:hAnsi="Arial Narrow" w:cs="Arial"/>
          <w:sz w:val="28"/>
          <w:szCs w:val="28"/>
          <w:lang w:val="es-ES"/>
        </w:rPr>
        <w:t xml:space="preserve">extender </w:t>
      </w:r>
      <w:r>
        <w:rPr>
          <w:rFonts w:ascii="Arial Narrow" w:hAnsi="Arial Narrow" w:cs="Arial"/>
          <w:sz w:val="28"/>
          <w:szCs w:val="28"/>
          <w:lang w:val="es-ES"/>
        </w:rPr>
        <w:t xml:space="preserve">tales beneficios </w:t>
      </w:r>
      <w:r w:rsidR="00F01BCE">
        <w:rPr>
          <w:rFonts w:ascii="Arial Narrow" w:hAnsi="Arial Narrow" w:cs="Arial"/>
          <w:sz w:val="28"/>
          <w:szCs w:val="28"/>
          <w:lang w:val="es-ES"/>
        </w:rPr>
        <w:t xml:space="preserve">hasta </w:t>
      </w:r>
      <w:r>
        <w:rPr>
          <w:rFonts w:ascii="Arial Narrow" w:hAnsi="Arial Narrow" w:cs="Arial"/>
          <w:sz w:val="28"/>
          <w:szCs w:val="28"/>
          <w:lang w:val="es-ES"/>
        </w:rPr>
        <w:t xml:space="preserve">el 2014, pues se itera, la demandante </w:t>
      </w:r>
      <w:r w:rsidR="00F01BCE">
        <w:rPr>
          <w:rFonts w:ascii="Arial Narrow" w:hAnsi="Arial Narrow" w:cs="Arial"/>
          <w:sz w:val="28"/>
          <w:szCs w:val="28"/>
          <w:lang w:val="es-ES"/>
        </w:rPr>
        <w:t xml:space="preserve">tenía más </w:t>
      </w:r>
      <w:r>
        <w:rPr>
          <w:rFonts w:ascii="Arial Narrow" w:hAnsi="Arial Narrow" w:cs="Arial"/>
          <w:sz w:val="28"/>
          <w:szCs w:val="28"/>
          <w:lang w:val="es-ES"/>
        </w:rPr>
        <w:t>de 15 años de servicios al 1º de abril de 1994 –ver fl.59-.</w:t>
      </w:r>
    </w:p>
    <w:p w:rsidR="00A615BC" w:rsidRPr="00071024" w:rsidRDefault="00A615BC" w:rsidP="00071024">
      <w:pPr>
        <w:pStyle w:val="Sinespaciado"/>
      </w:pPr>
    </w:p>
    <w:p w:rsidR="003C6868" w:rsidRDefault="005037DD" w:rsidP="003C6868">
      <w:pPr>
        <w:spacing w:line="360" w:lineRule="auto"/>
        <w:ind w:firstLine="840"/>
        <w:jc w:val="both"/>
        <w:rPr>
          <w:rFonts w:ascii="Arial Narrow" w:hAnsi="Arial Narrow" w:cs="Tahoma"/>
          <w:sz w:val="28"/>
          <w:szCs w:val="28"/>
        </w:rPr>
      </w:pPr>
      <w:r>
        <w:rPr>
          <w:rFonts w:ascii="Arial Narrow" w:hAnsi="Arial Narrow" w:cs="Tahoma"/>
          <w:sz w:val="28"/>
          <w:szCs w:val="28"/>
        </w:rPr>
        <w:t xml:space="preserve">En tales condiciones, estando la demandante en el contingente de personas cobijadas por </w:t>
      </w:r>
      <w:r w:rsidR="00E04E7A">
        <w:rPr>
          <w:rFonts w:ascii="Arial Narrow" w:hAnsi="Arial Narrow" w:cs="Tahoma"/>
          <w:sz w:val="28"/>
          <w:szCs w:val="28"/>
        </w:rPr>
        <w:t xml:space="preserve">la </w:t>
      </w:r>
      <w:r>
        <w:rPr>
          <w:rFonts w:ascii="Arial Narrow" w:hAnsi="Arial Narrow" w:cs="Tahoma"/>
          <w:sz w:val="28"/>
          <w:szCs w:val="28"/>
        </w:rPr>
        <w:t>transición,</w:t>
      </w:r>
      <w:r w:rsidR="00071024">
        <w:rPr>
          <w:rFonts w:ascii="Arial Narrow" w:hAnsi="Arial Narrow" w:cs="Tahoma"/>
          <w:sz w:val="28"/>
          <w:szCs w:val="28"/>
        </w:rPr>
        <w:t xml:space="preserve"> se tiene que </w:t>
      </w:r>
      <w:r w:rsidR="00D25312">
        <w:rPr>
          <w:rFonts w:ascii="Arial Narrow" w:hAnsi="Arial Narrow" w:cs="Tahoma"/>
          <w:sz w:val="28"/>
          <w:szCs w:val="28"/>
        </w:rPr>
        <w:t xml:space="preserve">su situación pensional </w:t>
      </w:r>
      <w:r>
        <w:rPr>
          <w:rFonts w:ascii="Arial Narrow" w:hAnsi="Arial Narrow" w:cs="Tahoma"/>
          <w:sz w:val="28"/>
          <w:szCs w:val="28"/>
        </w:rPr>
        <w:t xml:space="preserve">debió ser </w:t>
      </w:r>
      <w:r w:rsidR="00D25312">
        <w:rPr>
          <w:rFonts w:ascii="Arial Narrow" w:hAnsi="Arial Narrow" w:cs="Tahoma"/>
          <w:sz w:val="28"/>
          <w:szCs w:val="28"/>
        </w:rPr>
        <w:t xml:space="preserve">analizada conforme al régimen anterior al cual se encontraba afiliada </w:t>
      </w:r>
      <w:r>
        <w:rPr>
          <w:rFonts w:ascii="Arial Narrow" w:hAnsi="Arial Narrow" w:cs="Tahoma"/>
          <w:sz w:val="28"/>
          <w:szCs w:val="28"/>
        </w:rPr>
        <w:t>antes de</w:t>
      </w:r>
      <w:r w:rsidR="00B807A3">
        <w:rPr>
          <w:rFonts w:ascii="Arial Narrow" w:hAnsi="Arial Narrow" w:cs="Tahoma"/>
          <w:sz w:val="28"/>
          <w:szCs w:val="28"/>
        </w:rPr>
        <w:t xml:space="preserve"> l</w:t>
      </w:r>
      <w:r w:rsidR="00D25312">
        <w:rPr>
          <w:rFonts w:ascii="Arial Narrow" w:hAnsi="Arial Narrow" w:cs="Tahoma"/>
          <w:sz w:val="28"/>
          <w:szCs w:val="28"/>
        </w:rPr>
        <w:t>a entrada en vigencia del Sistema General de Pensiones</w:t>
      </w:r>
      <w:r w:rsidR="00B807A3">
        <w:rPr>
          <w:rFonts w:ascii="Arial Narrow" w:hAnsi="Arial Narrow" w:cs="Tahoma"/>
          <w:sz w:val="28"/>
          <w:szCs w:val="28"/>
        </w:rPr>
        <w:t>, que para el caso de autos,</w:t>
      </w:r>
      <w:r>
        <w:rPr>
          <w:rFonts w:ascii="Arial Narrow" w:hAnsi="Arial Narrow" w:cs="Tahoma"/>
          <w:sz w:val="28"/>
          <w:szCs w:val="28"/>
        </w:rPr>
        <w:t xml:space="preserve"> </w:t>
      </w:r>
      <w:r w:rsidR="00071024">
        <w:rPr>
          <w:rFonts w:ascii="Arial Narrow" w:hAnsi="Arial Narrow" w:cs="Tahoma"/>
          <w:sz w:val="28"/>
          <w:szCs w:val="28"/>
        </w:rPr>
        <w:t>es</w:t>
      </w:r>
      <w:r>
        <w:rPr>
          <w:rFonts w:ascii="Arial Narrow" w:hAnsi="Arial Narrow" w:cs="Tahoma"/>
          <w:sz w:val="28"/>
          <w:szCs w:val="28"/>
        </w:rPr>
        <w:t xml:space="preserve"> </w:t>
      </w:r>
      <w:r w:rsidR="00B807A3">
        <w:rPr>
          <w:rFonts w:ascii="Arial Narrow" w:hAnsi="Arial Narrow" w:cs="Tahoma"/>
          <w:sz w:val="28"/>
          <w:szCs w:val="28"/>
        </w:rPr>
        <w:t>el Acuerdo 049 de 1990, aprobado por el Decreto 758 del mi</w:t>
      </w:r>
      <w:r w:rsidR="00071024">
        <w:rPr>
          <w:rFonts w:ascii="Arial Narrow" w:hAnsi="Arial Narrow" w:cs="Tahoma"/>
          <w:sz w:val="28"/>
          <w:szCs w:val="28"/>
        </w:rPr>
        <w:t>smo año, pues la demandante laboró en toda su vida laboral al servicio de entidades del sector privado.</w:t>
      </w:r>
    </w:p>
    <w:p w:rsidR="00F35738" w:rsidRDefault="00F35738" w:rsidP="00F35738">
      <w:pPr>
        <w:pStyle w:val="Sinespaciado"/>
      </w:pPr>
    </w:p>
    <w:p w:rsidR="00F35738" w:rsidRDefault="00F35738" w:rsidP="00F35738">
      <w:pPr>
        <w:spacing w:line="360" w:lineRule="auto"/>
        <w:ind w:firstLine="851"/>
        <w:jc w:val="both"/>
        <w:rPr>
          <w:rFonts w:ascii="Arial Narrow" w:hAnsi="Arial Narrow" w:cs="Arial"/>
          <w:spacing w:val="-3"/>
          <w:sz w:val="28"/>
          <w:szCs w:val="28"/>
        </w:rPr>
      </w:pPr>
      <w:r>
        <w:rPr>
          <w:rFonts w:ascii="Arial Narrow" w:hAnsi="Arial Narrow" w:cs="Tahoma"/>
          <w:sz w:val="28"/>
          <w:szCs w:val="28"/>
        </w:rPr>
        <w:t xml:space="preserve">Tal disposición normativa </w:t>
      </w:r>
      <w:r>
        <w:rPr>
          <w:rFonts w:ascii="Arial Narrow" w:hAnsi="Arial Narrow" w:cs="Arial"/>
          <w:sz w:val="28"/>
          <w:szCs w:val="28"/>
        </w:rPr>
        <w:t xml:space="preserve">exige 55 años de edad para las mujeres y </w:t>
      </w:r>
      <w:r w:rsidRPr="00C508E8">
        <w:rPr>
          <w:rFonts w:ascii="Arial Narrow" w:hAnsi="Arial Narrow" w:cs="Arial"/>
          <w:spacing w:val="-3"/>
          <w:sz w:val="28"/>
          <w:szCs w:val="28"/>
        </w:rPr>
        <w:t>un mínimo de 500 semanas en los 20 años que anteceden al cumplimiento de la edad mínima o 10</w:t>
      </w:r>
      <w:r w:rsidR="00CA1E0D">
        <w:rPr>
          <w:rFonts w:ascii="Arial Narrow" w:hAnsi="Arial Narrow" w:cs="Arial"/>
          <w:spacing w:val="-3"/>
          <w:sz w:val="28"/>
          <w:szCs w:val="28"/>
        </w:rPr>
        <w:t>00 semanas en cualquier tiempo; requisitos éstos que d</w:t>
      </w:r>
      <w:r>
        <w:rPr>
          <w:rFonts w:ascii="Arial Narrow" w:hAnsi="Arial Narrow" w:cs="Arial"/>
          <w:spacing w:val="-3"/>
          <w:sz w:val="28"/>
          <w:szCs w:val="28"/>
        </w:rPr>
        <w:t xml:space="preserve">esde luego, satisfizo la demandante, </w:t>
      </w:r>
      <w:r w:rsidR="0026240F">
        <w:rPr>
          <w:rFonts w:ascii="Arial Narrow" w:hAnsi="Arial Narrow" w:cs="Arial"/>
          <w:spacing w:val="-3"/>
          <w:sz w:val="28"/>
          <w:szCs w:val="28"/>
        </w:rPr>
        <w:t>en tanto que,</w:t>
      </w:r>
      <w:r w:rsidR="00131185">
        <w:rPr>
          <w:rFonts w:ascii="Arial Narrow" w:hAnsi="Arial Narrow" w:cs="Arial"/>
          <w:spacing w:val="-3"/>
          <w:sz w:val="28"/>
          <w:szCs w:val="28"/>
        </w:rPr>
        <w:t xml:space="preserve"> </w:t>
      </w:r>
      <w:r w:rsidR="00132CD3">
        <w:rPr>
          <w:rFonts w:ascii="Arial Narrow" w:hAnsi="Arial Narrow" w:cs="Arial"/>
          <w:spacing w:val="-3"/>
          <w:sz w:val="28"/>
          <w:szCs w:val="28"/>
        </w:rPr>
        <w:t xml:space="preserve">sufragó 1.820,57 semanas </w:t>
      </w:r>
      <w:r w:rsidR="00CA1E0D">
        <w:rPr>
          <w:rFonts w:ascii="Arial Narrow" w:hAnsi="Arial Narrow" w:cs="Arial"/>
          <w:spacing w:val="-3"/>
          <w:sz w:val="28"/>
          <w:szCs w:val="28"/>
        </w:rPr>
        <w:t xml:space="preserve">en toda su vida laboral </w:t>
      </w:r>
      <w:r w:rsidR="00132CD3">
        <w:rPr>
          <w:rFonts w:ascii="Arial Narrow" w:hAnsi="Arial Narrow" w:cs="Arial"/>
          <w:spacing w:val="-3"/>
          <w:sz w:val="28"/>
          <w:szCs w:val="28"/>
        </w:rPr>
        <w:t xml:space="preserve">y </w:t>
      </w:r>
      <w:r w:rsidR="00131185">
        <w:rPr>
          <w:rFonts w:ascii="Arial Narrow" w:hAnsi="Arial Narrow" w:cs="Arial"/>
          <w:spacing w:val="-3"/>
          <w:sz w:val="28"/>
          <w:szCs w:val="28"/>
        </w:rPr>
        <w:t>arribó a la edad mínima el 14 de mayo de 2012</w:t>
      </w:r>
      <w:r w:rsidR="00132CD3">
        <w:rPr>
          <w:rFonts w:ascii="Arial Narrow" w:hAnsi="Arial Narrow" w:cs="Arial"/>
          <w:spacing w:val="-3"/>
          <w:sz w:val="28"/>
          <w:szCs w:val="28"/>
        </w:rPr>
        <w:t xml:space="preserve"> –ver fls.43 y 59-.</w:t>
      </w:r>
    </w:p>
    <w:p w:rsidR="00B47C32" w:rsidRDefault="00B47C32" w:rsidP="00B47C32">
      <w:pPr>
        <w:pStyle w:val="Sinespaciado"/>
      </w:pPr>
    </w:p>
    <w:p w:rsidR="00B47C32" w:rsidRDefault="00B47C32" w:rsidP="00B47C32">
      <w:pPr>
        <w:pStyle w:val="Sinespaciado"/>
        <w:spacing w:line="360" w:lineRule="auto"/>
        <w:ind w:firstLine="708"/>
        <w:jc w:val="both"/>
        <w:rPr>
          <w:rFonts w:ascii="Arial Narrow" w:hAnsi="Arial Narrow"/>
          <w:sz w:val="28"/>
          <w:szCs w:val="28"/>
        </w:rPr>
      </w:pPr>
      <w:r w:rsidRPr="00D34C7A">
        <w:rPr>
          <w:rFonts w:ascii="Arial Narrow" w:hAnsi="Arial Narrow"/>
          <w:sz w:val="28"/>
          <w:szCs w:val="28"/>
        </w:rPr>
        <w:t>En cuanto al disfrute de la gracia pensional, al tenor de los artículos 13 y 35 del Acuerdo 049 de 1990, incorporados en</w:t>
      </w:r>
      <w:r>
        <w:rPr>
          <w:rFonts w:ascii="Arial Narrow" w:hAnsi="Arial Narrow"/>
          <w:sz w:val="28"/>
          <w:szCs w:val="28"/>
        </w:rPr>
        <w:t xml:space="preserve"> el artículo 31 de la Ley 100 de 1993, </w:t>
      </w:r>
      <w:r w:rsidRPr="00D34C7A">
        <w:rPr>
          <w:rFonts w:ascii="Arial Narrow" w:hAnsi="Arial Narrow"/>
          <w:sz w:val="28"/>
          <w:szCs w:val="28"/>
        </w:rPr>
        <w:t xml:space="preserve">el derecho a disfrutar la pensión de vejez surge una vez se produce la desafiliación al sistema pensional. </w:t>
      </w:r>
    </w:p>
    <w:p w:rsidR="008F2F14" w:rsidRPr="008F2F14" w:rsidRDefault="008F2F14" w:rsidP="008F2F14">
      <w:pPr>
        <w:pStyle w:val="Sinespaciado"/>
      </w:pPr>
    </w:p>
    <w:p w:rsidR="008F2F14" w:rsidRPr="0078684C" w:rsidRDefault="008F2F14" w:rsidP="008F2F14">
      <w:pPr>
        <w:pStyle w:val="Textoindependiente"/>
        <w:spacing w:line="360" w:lineRule="auto"/>
        <w:ind w:firstLine="708"/>
        <w:rPr>
          <w:rFonts w:ascii="Arial Narrow" w:hAnsi="Arial Narrow"/>
          <w:sz w:val="28"/>
          <w:szCs w:val="28"/>
        </w:rPr>
      </w:pPr>
      <w:r w:rsidRPr="0078684C">
        <w:rPr>
          <w:rFonts w:ascii="Arial Narrow" w:hAnsi="Arial Narrow"/>
          <w:sz w:val="28"/>
          <w:szCs w:val="28"/>
        </w:rPr>
        <w:t>En otras palabras, la causación de la pensión de vejez ocurre desde el momento mismo en que el afiliado reúne los requisitos mínimos de edad y densidad de cotizaciones exigidos normativamente, mientras que el disfrute pensional, pende de la desafiliación al sistema.</w:t>
      </w:r>
    </w:p>
    <w:p w:rsidR="008F2F14" w:rsidRPr="008F2F14" w:rsidRDefault="008F2F14" w:rsidP="008F2F14">
      <w:pPr>
        <w:pStyle w:val="Sinespaciado"/>
      </w:pPr>
    </w:p>
    <w:p w:rsidR="008F2F14" w:rsidRPr="0078684C" w:rsidRDefault="008F2F14" w:rsidP="008F2F14">
      <w:pPr>
        <w:autoSpaceDE w:val="0"/>
        <w:autoSpaceDN w:val="0"/>
        <w:adjustRightInd w:val="0"/>
        <w:spacing w:line="360" w:lineRule="auto"/>
        <w:ind w:firstLine="567"/>
        <w:jc w:val="both"/>
        <w:rPr>
          <w:rFonts w:ascii="Arial Narrow" w:hAnsi="Arial Narrow" w:cs="Arial"/>
          <w:sz w:val="28"/>
          <w:szCs w:val="28"/>
          <w:lang w:val="es-ES"/>
        </w:rPr>
      </w:pPr>
      <w:r w:rsidRPr="0078684C">
        <w:rPr>
          <w:rFonts w:ascii="Arial Narrow" w:hAnsi="Arial Narrow"/>
          <w:sz w:val="28"/>
          <w:szCs w:val="28"/>
        </w:rPr>
        <w:t xml:space="preserve">Así pues, conforme al criterio establecido por el órgano de cierre de esta especialidad, </w:t>
      </w:r>
      <w:r w:rsidRPr="0078684C">
        <w:rPr>
          <w:rFonts w:ascii="Arial Narrow" w:hAnsi="Arial Narrow" w:cs="Arial"/>
          <w:sz w:val="28"/>
          <w:szCs w:val="28"/>
          <w:lang w:val="es-ES"/>
        </w:rPr>
        <w:t xml:space="preserve">se tiene que desde el momento en que reunidos ambos presupuestos </w:t>
      </w:r>
      <w:r w:rsidRPr="0078684C">
        <w:rPr>
          <w:rFonts w:ascii="Arial Narrow" w:hAnsi="Arial Narrow" w:cs="Arial"/>
          <w:sz w:val="28"/>
          <w:szCs w:val="28"/>
          <w:lang w:val="es-ES"/>
        </w:rPr>
        <w:lastRenderedPageBreak/>
        <w:t xml:space="preserve">(edad y densidad de aportes), </w:t>
      </w:r>
      <w:r>
        <w:rPr>
          <w:rFonts w:ascii="Arial Narrow" w:hAnsi="Arial Narrow" w:cs="Arial"/>
          <w:sz w:val="28"/>
          <w:szCs w:val="28"/>
          <w:lang w:val="es-ES"/>
        </w:rPr>
        <w:t xml:space="preserve">y </w:t>
      </w:r>
      <w:r w:rsidRPr="0078684C">
        <w:rPr>
          <w:rFonts w:ascii="Arial Narrow" w:hAnsi="Arial Narrow" w:cs="Arial"/>
          <w:sz w:val="28"/>
          <w:szCs w:val="28"/>
          <w:lang w:val="es-ES"/>
        </w:rPr>
        <w:t>se deja de cotizar al sistema, se podrá empezar a disfrutar de la pensión de vejez, al configurarse así la desafiliación</w:t>
      </w:r>
      <w:r>
        <w:rPr>
          <w:rFonts w:ascii="Arial Narrow" w:hAnsi="Arial Narrow" w:cs="Arial"/>
          <w:sz w:val="28"/>
          <w:szCs w:val="28"/>
          <w:lang w:val="es-ES"/>
        </w:rPr>
        <w:t xml:space="preserve"> de manera excepcional, ante la ausencia del reporte de dicha novedad por parte del último empleador y como acto exterior e inequívoco de tal desafiliación (sentencias SL 4461 y 5603, radicación 56.171 y 47.236 de 2015 y 2016, respectivamente)</w:t>
      </w:r>
    </w:p>
    <w:p w:rsidR="00B47C32" w:rsidRPr="000E5A6B" w:rsidRDefault="00B47C32" w:rsidP="000E5A6B">
      <w:pPr>
        <w:pStyle w:val="Sinespaciado"/>
      </w:pPr>
    </w:p>
    <w:p w:rsidR="00281316" w:rsidRDefault="00281316" w:rsidP="00281316">
      <w:pPr>
        <w:spacing w:line="360" w:lineRule="auto"/>
        <w:ind w:firstLine="709"/>
        <w:jc w:val="both"/>
        <w:rPr>
          <w:rFonts w:ascii="Arial Narrow" w:hAnsi="Arial Narrow" w:cs="Arial"/>
          <w:sz w:val="28"/>
          <w:szCs w:val="28"/>
        </w:rPr>
      </w:pPr>
      <w:r>
        <w:rPr>
          <w:rFonts w:ascii="Arial Narrow" w:hAnsi="Arial Narrow"/>
          <w:sz w:val="28"/>
          <w:szCs w:val="28"/>
        </w:rPr>
        <w:t xml:space="preserve">En ese orden, </w:t>
      </w:r>
      <w:r w:rsidRPr="00A55E2C">
        <w:rPr>
          <w:rFonts w:ascii="Arial Narrow" w:hAnsi="Arial Narrow" w:cs="Arial"/>
          <w:sz w:val="28"/>
          <w:szCs w:val="28"/>
          <w:lang w:val="es-ES"/>
        </w:rPr>
        <w:t>encuentra esta Sala que lo dispuesto por la Jueza a-quo resulta adecuado, amén que tomó como fecha de desafiliación del sistema la de la última cotización</w:t>
      </w:r>
      <w:r>
        <w:rPr>
          <w:rFonts w:ascii="Arial Narrow" w:hAnsi="Arial Narrow" w:cs="Arial"/>
          <w:sz w:val="28"/>
          <w:szCs w:val="28"/>
          <w:lang w:val="es-ES"/>
        </w:rPr>
        <w:t xml:space="preserve"> de la actora</w:t>
      </w:r>
      <w:r w:rsidRPr="00A55E2C">
        <w:rPr>
          <w:rFonts w:ascii="Arial Narrow" w:hAnsi="Arial Narrow" w:cs="Arial"/>
          <w:sz w:val="28"/>
          <w:szCs w:val="28"/>
          <w:lang w:val="es-ES"/>
        </w:rPr>
        <w:t xml:space="preserve">, esto es, el 31 de </w:t>
      </w:r>
      <w:r>
        <w:rPr>
          <w:rFonts w:ascii="Arial Narrow" w:hAnsi="Arial Narrow" w:cs="Arial"/>
          <w:sz w:val="28"/>
          <w:szCs w:val="28"/>
          <w:lang w:val="es-ES"/>
        </w:rPr>
        <w:t>agosto de 2012</w:t>
      </w:r>
      <w:r w:rsidRPr="00A55E2C">
        <w:rPr>
          <w:rFonts w:ascii="Arial Narrow" w:hAnsi="Arial Narrow" w:cs="Arial"/>
          <w:sz w:val="28"/>
          <w:szCs w:val="28"/>
          <w:lang w:val="es-ES"/>
        </w:rPr>
        <w:t>, fecha en que además ya reunía 55 años de edad y tenía en su haber más de 1.000 semanas cotizadas, siendo viable el disfrute de la prestación a partir del día siguiente, es d</w:t>
      </w:r>
      <w:r>
        <w:rPr>
          <w:rFonts w:ascii="Arial Narrow" w:hAnsi="Arial Narrow" w:cs="Arial"/>
          <w:sz w:val="28"/>
          <w:szCs w:val="28"/>
          <w:lang w:val="es-ES"/>
        </w:rPr>
        <w:t xml:space="preserve">ecir, el 1 de septiembre de 2012, máxime cuando la </w:t>
      </w:r>
      <w:r>
        <w:rPr>
          <w:rFonts w:ascii="Arial Narrow" w:hAnsi="Arial Narrow" w:cs="Arial"/>
          <w:sz w:val="28"/>
          <w:szCs w:val="28"/>
        </w:rPr>
        <w:t xml:space="preserve">reclamación pensional fue presentada ante la entidad demandada </w:t>
      </w:r>
      <w:r w:rsidR="00A805ED">
        <w:rPr>
          <w:rFonts w:ascii="Arial Narrow" w:hAnsi="Arial Narrow" w:cs="Arial"/>
          <w:sz w:val="28"/>
          <w:szCs w:val="28"/>
        </w:rPr>
        <w:t xml:space="preserve">el 13 de noviembre de esa misma anualidad </w:t>
      </w:r>
      <w:r>
        <w:rPr>
          <w:rFonts w:ascii="Arial Narrow" w:hAnsi="Arial Narrow" w:cs="Arial"/>
          <w:sz w:val="28"/>
          <w:szCs w:val="28"/>
        </w:rPr>
        <w:t>–ver fl.30-.</w:t>
      </w:r>
    </w:p>
    <w:p w:rsidR="009660CD" w:rsidRPr="000E5A6B" w:rsidRDefault="009660CD" w:rsidP="000E5A6B">
      <w:pPr>
        <w:pStyle w:val="Sinespaciado"/>
      </w:pPr>
    </w:p>
    <w:p w:rsidR="009660CD" w:rsidRPr="00D50528" w:rsidRDefault="009660CD" w:rsidP="009660CD">
      <w:pPr>
        <w:spacing w:line="360" w:lineRule="auto"/>
        <w:ind w:firstLine="708"/>
        <w:jc w:val="both"/>
        <w:rPr>
          <w:rFonts w:ascii="Arial Narrow" w:hAnsi="Arial Narrow" w:cs="Arial"/>
          <w:sz w:val="28"/>
          <w:szCs w:val="28"/>
        </w:rPr>
      </w:pPr>
      <w:r w:rsidRPr="00D50528">
        <w:rPr>
          <w:rFonts w:ascii="Arial Narrow" w:hAnsi="Arial Narrow"/>
          <w:sz w:val="28"/>
          <w:szCs w:val="28"/>
        </w:rPr>
        <w:t xml:space="preserve">De ahí, </w:t>
      </w:r>
      <w:r w:rsidRPr="00D50528">
        <w:rPr>
          <w:rFonts w:ascii="Arial Narrow" w:hAnsi="Arial Narrow" w:cs="Arial"/>
          <w:sz w:val="28"/>
          <w:szCs w:val="28"/>
        </w:rPr>
        <w:t xml:space="preserve">que ante el escenario antes descrito, resulte procedente el reconocimiento del retroactivo pensional </w:t>
      </w:r>
      <w:r>
        <w:rPr>
          <w:rFonts w:ascii="Arial Narrow" w:hAnsi="Arial Narrow" w:cs="Arial"/>
          <w:sz w:val="28"/>
          <w:szCs w:val="28"/>
        </w:rPr>
        <w:t xml:space="preserve">desde el 1º de septiembre de 2012 y hasta el 30 de mayo de 2013, pues a partir del 1º de junio de esa anualidad la entidad accionada efectuó el reconocimiento de la gracia pensional. </w:t>
      </w:r>
    </w:p>
    <w:p w:rsidR="009660CD" w:rsidRPr="000E5A6B" w:rsidRDefault="009660CD" w:rsidP="000E5A6B">
      <w:pPr>
        <w:pStyle w:val="Sinespaciado"/>
      </w:pPr>
    </w:p>
    <w:p w:rsidR="0030182C" w:rsidRDefault="00B47C32" w:rsidP="00B30692">
      <w:pPr>
        <w:spacing w:line="360" w:lineRule="auto"/>
        <w:ind w:firstLine="840"/>
        <w:jc w:val="both"/>
        <w:rPr>
          <w:rFonts w:ascii="Arial Narrow" w:hAnsi="Arial Narrow"/>
          <w:sz w:val="28"/>
          <w:szCs w:val="28"/>
          <w:lang w:eastAsia="en-US"/>
        </w:rPr>
      </w:pPr>
      <w:r>
        <w:rPr>
          <w:rFonts w:ascii="Arial Narrow" w:hAnsi="Arial Narrow"/>
          <w:sz w:val="28"/>
          <w:szCs w:val="28"/>
          <w:lang w:eastAsia="en-US"/>
        </w:rPr>
        <w:t>Ahora</w:t>
      </w:r>
      <w:r w:rsidR="00FE1106">
        <w:rPr>
          <w:rFonts w:ascii="Arial Narrow" w:hAnsi="Arial Narrow"/>
          <w:sz w:val="28"/>
          <w:szCs w:val="28"/>
          <w:lang w:eastAsia="en-US"/>
        </w:rPr>
        <w:t xml:space="preserve">, en vista de </w:t>
      </w:r>
      <w:r w:rsidR="00737439">
        <w:rPr>
          <w:rFonts w:ascii="Arial Narrow" w:hAnsi="Arial Narrow"/>
          <w:sz w:val="28"/>
          <w:szCs w:val="28"/>
          <w:lang w:eastAsia="en-US"/>
        </w:rPr>
        <w:t xml:space="preserve">que no hubo manifestación de inconformidad del demandante respecto </w:t>
      </w:r>
      <w:r w:rsidR="00FE1106">
        <w:rPr>
          <w:rFonts w:ascii="Arial Narrow" w:hAnsi="Arial Narrow"/>
          <w:sz w:val="28"/>
          <w:szCs w:val="28"/>
          <w:lang w:eastAsia="en-US"/>
        </w:rPr>
        <w:t xml:space="preserve">del </w:t>
      </w:r>
      <w:r w:rsidR="00737439">
        <w:rPr>
          <w:rFonts w:ascii="Arial Narrow" w:hAnsi="Arial Narrow"/>
          <w:sz w:val="28"/>
          <w:szCs w:val="28"/>
          <w:lang w:eastAsia="en-US"/>
        </w:rPr>
        <w:t xml:space="preserve">monto del IBL reconocido por la entidad </w:t>
      </w:r>
      <w:r w:rsidR="00357A2C">
        <w:rPr>
          <w:rFonts w:ascii="Arial Narrow" w:hAnsi="Arial Narrow"/>
          <w:sz w:val="28"/>
          <w:szCs w:val="28"/>
          <w:lang w:eastAsia="en-US"/>
        </w:rPr>
        <w:t xml:space="preserve">demandada </w:t>
      </w:r>
      <w:r w:rsidR="00737439">
        <w:rPr>
          <w:rFonts w:ascii="Arial Narrow" w:hAnsi="Arial Narrow"/>
          <w:sz w:val="28"/>
          <w:szCs w:val="28"/>
          <w:lang w:eastAsia="en-US"/>
        </w:rPr>
        <w:t>en cuantía de $1.025.928</w:t>
      </w:r>
      <w:r w:rsidR="00357A2C">
        <w:rPr>
          <w:rFonts w:ascii="Arial Narrow" w:hAnsi="Arial Narrow"/>
          <w:sz w:val="28"/>
          <w:szCs w:val="28"/>
          <w:lang w:eastAsia="en-US"/>
        </w:rPr>
        <w:t xml:space="preserve"> para el mes de junio de 2013</w:t>
      </w:r>
      <w:r w:rsidR="00737439">
        <w:rPr>
          <w:rFonts w:ascii="Arial Narrow" w:hAnsi="Arial Narrow"/>
          <w:sz w:val="28"/>
          <w:szCs w:val="28"/>
          <w:lang w:eastAsia="en-US"/>
        </w:rPr>
        <w:t xml:space="preserve">, tal cual </w:t>
      </w:r>
      <w:r>
        <w:rPr>
          <w:rFonts w:ascii="Arial Narrow" w:hAnsi="Arial Narrow"/>
          <w:sz w:val="28"/>
          <w:szCs w:val="28"/>
          <w:lang w:eastAsia="en-US"/>
        </w:rPr>
        <w:t>se desprende de la Resolución GNR 115967 de</w:t>
      </w:r>
      <w:r w:rsidR="00357A2C">
        <w:rPr>
          <w:rFonts w:ascii="Arial Narrow" w:hAnsi="Arial Narrow"/>
          <w:sz w:val="28"/>
          <w:szCs w:val="28"/>
          <w:lang w:eastAsia="en-US"/>
        </w:rPr>
        <w:t xml:space="preserve"> ese mismo año</w:t>
      </w:r>
      <w:r w:rsidR="00737439">
        <w:rPr>
          <w:rFonts w:ascii="Arial Narrow" w:hAnsi="Arial Narrow"/>
          <w:sz w:val="28"/>
          <w:szCs w:val="28"/>
          <w:lang w:eastAsia="en-US"/>
        </w:rPr>
        <w:t xml:space="preserve">, </w:t>
      </w:r>
      <w:r w:rsidR="007850F6">
        <w:rPr>
          <w:rFonts w:ascii="Arial Narrow" w:hAnsi="Arial Narrow"/>
          <w:sz w:val="28"/>
          <w:szCs w:val="28"/>
          <w:lang w:eastAsia="en-US"/>
        </w:rPr>
        <w:t xml:space="preserve">dicha cuantía se mantendrá </w:t>
      </w:r>
      <w:r w:rsidR="00357A2C">
        <w:rPr>
          <w:rFonts w:ascii="Arial Narrow" w:hAnsi="Arial Narrow"/>
          <w:sz w:val="28"/>
          <w:szCs w:val="28"/>
          <w:lang w:eastAsia="en-US"/>
        </w:rPr>
        <w:t>incólume. En tal virtud, para el año 2012</w:t>
      </w:r>
      <w:r w:rsidR="00FE1106">
        <w:rPr>
          <w:rFonts w:ascii="Arial Narrow" w:hAnsi="Arial Narrow"/>
          <w:sz w:val="28"/>
          <w:szCs w:val="28"/>
          <w:lang w:eastAsia="en-US"/>
        </w:rPr>
        <w:t xml:space="preserve"> el monto del IBL </w:t>
      </w:r>
      <w:r w:rsidR="00EB41C0">
        <w:rPr>
          <w:rFonts w:ascii="Arial Narrow" w:hAnsi="Arial Narrow"/>
          <w:sz w:val="28"/>
          <w:szCs w:val="28"/>
          <w:lang w:eastAsia="en-US"/>
        </w:rPr>
        <w:t>asciende a la suma de $ 1`001.492 que al aplicarle una tasa de remplazo del 90 %,</w:t>
      </w:r>
      <w:r w:rsidR="00737439">
        <w:rPr>
          <w:rFonts w:ascii="Arial Narrow" w:hAnsi="Arial Narrow"/>
          <w:sz w:val="28"/>
          <w:szCs w:val="28"/>
          <w:lang w:eastAsia="en-US"/>
        </w:rPr>
        <w:t xml:space="preserve"> conforme lo establece el artículo 20 del Acuerdo 049 de 1990, </w:t>
      </w:r>
      <w:r w:rsidR="00EB41C0">
        <w:rPr>
          <w:rFonts w:ascii="Arial Narrow" w:hAnsi="Arial Narrow"/>
          <w:sz w:val="28"/>
          <w:szCs w:val="28"/>
          <w:lang w:eastAsia="en-US"/>
        </w:rPr>
        <w:t xml:space="preserve">arroja una </w:t>
      </w:r>
      <w:r w:rsidR="00737439">
        <w:rPr>
          <w:rFonts w:ascii="Arial Narrow" w:hAnsi="Arial Narrow"/>
          <w:sz w:val="28"/>
          <w:szCs w:val="28"/>
          <w:lang w:eastAsia="en-US"/>
        </w:rPr>
        <w:t xml:space="preserve">primera </w:t>
      </w:r>
      <w:r w:rsidR="00EB41C0">
        <w:rPr>
          <w:rFonts w:ascii="Arial Narrow" w:hAnsi="Arial Narrow"/>
          <w:sz w:val="28"/>
          <w:szCs w:val="28"/>
          <w:lang w:eastAsia="en-US"/>
        </w:rPr>
        <w:t xml:space="preserve">mesada pensional </w:t>
      </w:r>
      <w:r w:rsidR="00737439">
        <w:rPr>
          <w:rFonts w:ascii="Arial Narrow" w:hAnsi="Arial Narrow"/>
          <w:sz w:val="28"/>
          <w:szCs w:val="28"/>
          <w:lang w:eastAsia="en-US"/>
        </w:rPr>
        <w:t>de $901.34</w:t>
      </w:r>
      <w:r w:rsidR="00FE1106">
        <w:rPr>
          <w:rFonts w:ascii="Arial Narrow" w:hAnsi="Arial Narrow"/>
          <w:sz w:val="28"/>
          <w:szCs w:val="28"/>
          <w:lang w:eastAsia="en-US"/>
        </w:rPr>
        <w:t>3</w:t>
      </w:r>
      <w:r w:rsidR="00737439">
        <w:rPr>
          <w:rFonts w:ascii="Arial Narrow" w:hAnsi="Arial Narrow"/>
          <w:sz w:val="28"/>
          <w:szCs w:val="28"/>
          <w:lang w:eastAsia="en-US"/>
        </w:rPr>
        <w:t xml:space="preserve"> y no de $923.335, como e</w:t>
      </w:r>
      <w:r w:rsidR="007850F6">
        <w:rPr>
          <w:rFonts w:ascii="Arial Narrow" w:hAnsi="Arial Narrow"/>
          <w:sz w:val="28"/>
          <w:szCs w:val="28"/>
          <w:lang w:eastAsia="en-US"/>
        </w:rPr>
        <w:t>rradamente lo dispuso la a-quo.</w:t>
      </w:r>
    </w:p>
    <w:p w:rsidR="007850F6" w:rsidRPr="000E5A6B" w:rsidRDefault="007850F6" w:rsidP="000E5A6B">
      <w:pPr>
        <w:pStyle w:val="Sinespaciado"/>
      </w:pPr>
    </w:p>
    <w:p w:rsidR="005336D6" w:rsidRDefault="007850F6" w:rsidP="009660CD">
      <w:pPr>
        <w:pStyle w:val="Sinespaciado"/>
        <w:spacing w:line="360" w:lineRule="auto"/>
        <w:ind w:firstLine="708"/>
        <w:jc w:val="both"/>
        <w:rPr>
          <w:rFonts w:ascii="Arial Narrow" w:hAnsi="Arial Narrow"/>
          <w:sz w:val="28"/>
          <w:szCs w:val="28"/>
        </w:rPr>
      </w:pPr>
      <w:r>
        <w:rPr>
          <w:rFonts w:ascii="Arial Narrow" w:hAnsi="Arial Narrow"/>
          <w:sz w:val="28"/>
          <w:szCs w:val="28"/>
        </w:rPr>
        <w:t>D</w:t>
      </w:r>
      <w:r w:rsidRPr="000C0DB0">
        <w:rPr>
          <w:rFonts w:ascii="Arial Narrow" w:hAnsi="Arial Narrow"/>
          <w:sz w:val="28"/>
          <w:szCs w:val="28"/>
        </w:rPr>
        <w:t xml:space="preserve">ada la modificación anterior, es claro que </w:t>
      </w:r>
      <w:r>
        <w:rPr>
          <w:rFonts w:ascii="Arial Narrow" w:hAnsi="Arial Narrow"/>
          <w:sz w:val="28"/>
          <w:szCs w:val="28"/>
        </w:rPr>
        <w:t xml:space="preserve">en virtud del grado jurisdiccional de consulta que opera en favor de Colpensiones, </w:t>
      </w:r>
      <w:r w:rsidRPr="000C0DB0">
        <w:rPr>
          <w:rFonts w:ascii="Arial Narrow" w:hAnsi="Arial Narrow"/>
          <w:sz w:val="28"/>
          <w:szCs w:val="28"/>
        </w:rPr>
        <w:t xml:space="preserve">habrá </w:t>
      </w:r>
      <w:r>
        <w:rPr>
          <w:rFonts w:ascii="Arial Narrow" w:hAnsi="Arial Narrow"/>
          <w:sz w:val="28"/>
          <w:szCs w:val="28"/>
        </w:rPr>
        <w:t xml:space="preserve">que </w:t>
      </w:r>
      <w:r w:rsidRPr="000C0DB0">
        <w:rPr>
          <w:rFonts w:ascii="Arial Narrow" w:hAnsi="Arial Narrow"/>
          <w:sz w:val="28"/>
          <w:szCs w:val="28"/>
        </w:rPr>
        <w:t xml:space="preserve">reajustar el monto del retroactivo pensional </w:t>
      </w:r>
      <w:r w:rsidR="005336D6">
        <w:rPr>
          <w:rFonts w:ascii="Arial Narrow" w:hAnsi="Arial Narrow"/>
          <w:sz w:val="28"/>
          <w:szCs w:val="28"/>
        </w:rPr>
        <w:t>reconocido en sede de primer grado, causado desde el 1º</w:t>
      </w:r>
      <w:r w:rsidR="005336D6" w:rsidRPr="00A071CD">
        <w:rPr>
          <w:rFonts w:ascii="Arial Narrow" w:hAnsi="Arial Narrow"/>
          <w:sz w:val="28"/>
          <w:szCs w:val="28"/>
        </w:rPr>
        <w:t xml:space="preserve"> de </w:t>
      </w:r>
      <w:r w:rsidR="005336D6">
        <w:rPr>
          <w:rFonts w:ascii="Arial Narrow" w:hAnsi="Arial Narrow"/>
          <w:sz w:val="28"/>
          <w:szCs w:val="28"/>
        </w:rPr>
        <w:t>septiembre de 2012</w:t>
      </w:r>
      <w:r w:rsidR="005336D6" w:rsidRPr="00A071CD">
        <w:rPr>
          <w:rFonts w:ascii="Arial Narrow" w:hAnsi="Arial Narrow"/>
          <w:sz w:val="28"/>
          <w:szCs w:val="28"/>
        </w:rPr>
        <w:t xml:space="preserve"> </w:t>
      </w:r>
      <w:r w:rsidR="005336D6">
        <w:rPr>
          <w:rFonts w:ascii="Arial Narrow" w:hAnsi="Arial Narrow"/>
          <w:sz w:val="28"/>
          <w:szCs w:val="28"/>
        </w:rPr>
        <w:t xml:space="preserve">hasta </w:t>
      </w:r>
      <w:r w:rsidR="005336D6" w:rsidRPr="00A071CD">
        <w:rPr>
          <w:rFonts w:ascii="Arial Narrow" w:hAnsi="Arial Narrow"/>
          <w:sz w:val="28"/>
          <w:szCs w:val="28"/>
        </w:rPr>
        <w:t xml:space="preserve">el </w:t>
      </w:r>
      <w:r w:rsidR="005336D6">
        <w:rPr>
          <w:rFonts w:ascii="Arial Narrow" w:hAnsi="Arial Narrow"/>
          <w:sz w:val="28"/>
          <w:szCs w:val="28"/>
        </w:rPr>
        <w:t>31 de mayo de 2013</w:t>
      </w:r>
      <w:r w:rsidRPr="000C0DB0">
        <w:rPr>
          <w:rFonts w:ascii="Arial Narrow" w:hAnsi="Arial Narrow"/>
          <w:sz w:val="28"/>
          <w:szCs w:val="28"/>
        </w:rPr>
        <w:t>, el cual quedará en la suma de $</w:t>
      </w:r>
      <w:r>
        <w:rPr>
          <w:rFonts w:ascii="Arial Narrow" w:hAnsi="Arial Narrow"/>
          <w:sz w:val="28"/>
          <w:szCs w:val="28"/>
        </w:rPr>
        <w:t>9`123.394</w:t>
      </w:r>
      <w:r>
        <w:rPr>
          <w:rFonts w:ascii="Arial Narrow" w:hAnsi="Arial Narrow"/>
          <w:sz w:val="28"/>
          <w:szCs w:val="28"/>
        </w:rPr>
        <w:t xml:space="preserve">, </w:t>
      </w:r>
      <w:r w:rsidR="009660CD" w:rsidRPr="00A071CD">
        <w:rPr>
          <w:rFonts w:ascii="Arial Narrow" w:hAnsi="Arial Narrow"/>
          <w:sz w:val="28"/>
          <w:szCs w:val="28"/>
        </w:rPr>
        <w:t>tal c</w:t>
      </w:r>
      <w:r>
        <w:rPr>
          <w:rFonts w:ascii="Arial Narrow" w:hAnsi="Arial Narrow"/>
          <w:sz w:val="28"/>
          <w:szCs w:val="28"/>
        </w:rPr>
        <w:t>ual s</w:t>
      </w:r>
      <w:r w:rsidR="009660CD" w:rsidRPr="00A071CD">
        <w:rPr>
          <w:rFonts w:ascii="Arial Narrow" w:hAnsi="Arial Narrow"/>
          <w:sz w:val="28"/>
          <w:szCs w:val="28"/>
        </w:rPr>
        <w:t>e ilustra en el siguiente cuadro que se pone de presente a los asistentes y que hará parte de</w:t>
      </w:r>
      <w:r w:rsidR="005F2851">
        <w:rPr>
          <w:rFonts w:ascii="Arial Narrow" w:hAnsi="Arial Narrow"/>
          <w:sz w:val="28"/>
          <w:szCs w:val="28"/>
        </w:rPr>
        <w:t>l acta final de esta au</w:t>
      </w:r>
      <w:r>
        <w:rPr>
          <w:rFonts w:ascii="Arial Narrow" w:hAnsi="Arial Narrow"/>
          <w:sz w:val="28"/>
          <w:szCs w:val="28"/>
        </w:rPr>
        <w:t xml:space="preserve">diencia. </w:t>
      </w:r>
    </w:p>
    <w:p w:rsidR="009660CD" w:rsidRDefault="000E5A6B" w:rsidP="005336D6">
      <w:pPr>
        <w:pStyle w:val="Sinespaciado"/>
        <w:spacing w:line="360" w:lineRule="auto"/>
        <w:ind w:firstLine="708"/>
        <w:jc w:val="both"/>
        <w:rPr>
          <w:rFonts w:ascii="Arial Narrow" w:hAnsi="Arial Narrow"/>
          <w:sz w:val="28"/>
          <w:szCs w:val="28"/>
        </w:rPr>
      </w:pPr>
      <w:r>
        <w:rPr>
          <w:rFonts w:ascii="Arial Narrow" w:hAnsi="Arial Narrow"/>
          <w:sz w:val="28"/>
          <w:szCs w:val="28"/>
        </w:rPr>
        <w:lastRenderedPageBreak/>
        <w:t xml:space="preserve">Se modificaran, por ende, </w:t>
      </w:r>
      <w:r w:rsidR="007850F6">
        <w:rPr>
          <w:rFonts w:ascii="Arial Narrow" w:hAnsi="Arial Narrow"/>
          <w:sz w:val="28"/>
          <w:szCs w:val="28"/>
        </w:rPr>
        <w:t xml:space="preserve">los </w:t>
      </w:r>
      <w:r w:rsidR="005F2851">
        <w:rPr>
          <w:rFonts w:ascii="Arial Narrow" w:hAnsi="Arial Narrow"/>
          <w:sz w:val="28"/>
          <w:szCs w:val="28"/>
        </w:rPr>
        <w:t>ordinal</w:t>
      </w:r>
      <w:r w:rsidR="007850F6">
        <w:rPr>
          <w:rFonts w:ascii="Arial Narrow" w:hAnsi="Arial Narrow"/>
          <w:sz w:val="28"/>
          <w:szCs w:val="28"/>
        </w:rPr>
        <w:t>es</w:t>
      </w:r>
      <w:r w:rsidR="005F2851">
        <w:rPr>
          <w:rFonts w:ascii="Arial Narrow" w:hAnsi="Arial Narrow"/>
          <w:sz w:val="28"/>
          <w:szCs w:val="28"/>
        </w:rPr>
        <w:t xml:space="preserve"> </w:t>
      </w:r>
      <w:r w:rsidR="007850F6">
        <w:rPr>
          <w:rFonts w:ascii="Arial Narrow" w:hAnsi="Arial Narrow"/>
          <w:sz w:val="28"/>
          <w:szCs w:val="28"/>
        </w:rPr>
        <w:t xml:space="preserve">4 y </w:t>
      </w:r>
      <w:r w:rsidR="005F2851">
        <w:rPr>
          <w:rFonts w:ascii="Arial Narrow" w:hAnsi="Arial Narrow"/>
          <w:sz w:val="28"/>
          <w:szCs w:val="28"/>
        </w:rPr>
        <w:t>5º de la sentencia</w:t>
      </w:r>
      <w:r w:rsidR="007850F6">
        <w:rPr>
          <w:rFonts w:ascii="Arial Narrow" w:hAnsi="Arial Narrow"/>
          <w:sz w:val="28"/>
          <w:szCs w:val="28"/>
        </w:rPr>
        <w:t>.</w:t>
      </w:r>
      <w:r w:rsidR="005F2851">
        <w:rPr>
          <w:rFonts w:ascii="Arial Narrow" w:hAnsi="Arial Narrow"/>
          <w:sz w:val="28"/>
          <w:szCs w:val="28"/>
        </w:rPr>
        <w:t xml:space="preserve"> </w:t>
      </w:r>
    </w:p>
    <w:p w:rsidR="005336D6" w:rsidRPr="00A778C9" w:rsidRDefault="005336D6" w:rsidP="00A778C9">
      <w:pPr>
        <w:pStyle w:val="Sinespaciado"/>
      </w:pPr>
    </w:p>
    <w:p w:rsidR="007850F6" w:rsidRDefault="007850F6" w:rsidP="007850F6">
      <w:pPr>
        <w:pStyle w:val="Sinespaciado"/>
        <w:spacing w:line="360" w:lineRule="auto"/>
        <w:ind w:firstLine="708"/>
        <w:jc w:val="both"/>
        <w:rPr>
          <w:rFonts w:ascii="Arial Narrow" w:hAnsi="Arial Narrow"/>
          <w:sz w:val="28"/>
          <w:szCs w:val="28"/>
        </w:rPr>
      </w:pPr>
      <w:r>
        <w:rPr>
          <w:rFonts w:ascii="Arial Narrow" w:hAnsi="Arial Narrow"/>
          <w:sz w:val="28"/>
          <w:szCs w:val="28"/>
        </w:rPr>
        <w:t>En cuanto</w:t>
      </w:r>
      <w:r w:rsidR="003237A2">
        <w:rPr>
          <w:rFonts w:ascii="Arial Narrow" w:hAnsi="Arial Narrow"/>
          <w:sz w:val="28"/>
          <w:szCs w:val="28"/>
        </w:rPr>
        <w:t xml:space="preserve"> a la condena por </w:t>
      </w:r>
      <w:r w:rsidR="005336D6">
        <w:rPr>
          <w:rFonts w:ascii="Arial Narrow" w:hAnsi="Arial Narrow"/>
          <w:sz w:val="28"/>
          <w:szCs w:val="28"/>
        </w:rPr>
        <w:t xml:space="preserve">el </w:t>
      </w:r>
      <w:r>
        <w:rPr>
          <w:rFonts w:ascii="Arial Narrow" w:hAnsi="Arial Narrow"/>
          <w:sz w:val="28"/>
          <w:szCs w:val="28"/>
        </w:rPr>
        <w:t>reajuste pensional causado entre el 1º de</w:t>
      </w:r>
      <w:r>
        <w:rPr>
          <w:rFonts w:ascii="Arial Narrow" w:hAnsi="Arial Narrow"/>
          <w:sz w:val="28"/>
          <w:szCs w:val="28"/>
        </w:rPr>
        <w:t xml:space="preserve"> junio de 2013</w:t>
      </w:r>
      <w:r>
        <w:rPr>
          <w:rFonts w:ascii="Arial Narrow" w:hAnsi="Arial Narrow"/>
          <w:sz w:val="28"/>
          <w:szCs w:val="28"/>
        </w:rPr>
        <w:t xml:space="preserve"> y </w:t>
      </w:r>
      <w:r>
        <w:rPr>
          <w:rFonts w:ascii="Arial Narrow" w:hAnsi="Arial Narrow"/>
          <w:sz w:val="28"/>
          <w:szCs w:val="28"/>
        </w:rPr>
        <w:t>el 31 de mayo de 2016, es decir, incluyendo el valor de la diferencia de las mesadas causadas a la emisión de esta providencia</w:t>
      </w:r>
      <w:r>
        <w:rPr>
          <w:rFonts w:ascii="Arial Narrow" w:hAnsi="Arial Narrow"/>
          <w:sz w:val="28"/>
          <w:szCs w:val="28"/>
        </w:rPr>
        <w:t xml:space="preserve">, se obtiene un monto equivalente a $ </w:t>
      </w:r>
      <w:r w:rsidR="003237A2">
        <w:rPr>
          <w:rFonts w:ascii="Arial Narrow" w:hAnsi="Arial Narrow"/>
          <w:sz w:val="28"/>
          <w:szCs w:val="28"/>
        </w:rPr>
        <w:t>13`086.952</w:t>
      </w:r>
      <w:r>
        <w:rPr>
          <w:rFonts w:ascii="Arial Narrow" w:hAnsi="Arial Narrow"/>
          <w:sz w:val="28"/>
          <w:szCs w:val="28"/>
        </w:rPr>
        <w:t xml:space="preserve">, </w:t>
      </w:r>
      <w:r w:rsidR="003237A2">
        <w:rPr>
          <w:rFonts w:ascii="Arial Narrow" w:hAnsi="Arial Narrow"/>
          <w:sz w:val="28"/>
          <w:szCs w:val="28"/>
        </w:rPr>
        <w:t>tal cual se ilustra en e</w:t>
      </w:r>
      <w:r w:rsidR="00484D99">
        <w:rPr>
          <w:rFonts w:ascii="Arial Narrow" w:hAnsi="Arial Narrow"/>
          <w:sz w:val="28"/>
          <w:szCs w:val="28"/>
        </w:rPr>
        <w:t xml:space="preserve">l cuadro elaborado por la Sala, que </w:t>
      </w:r>
      <w:r w:rsidR="003237A2">
        <w:rPr>
          <w:rFonts w:ascii="Arial Narrow" w:hAnsi="Arial Narrow"/>
          <w:sz w:val="28"/>
          <w:szCs w:val="28"/>
        </w:rPr>
        <w:t>también se po</w:t>
      </w:r>
      <w:r w:rsidR="005336D6">
        <w:rPr>
          <w:rFonts w:ascii="Arial Narrow" w:hAnsi="Arial Narrow"/>
          <w:sz w:val="28"/>
          <w:szCs w:val="28"/>
        </w:rPr>
        <w:t>ne</w:t>
      </w:r>
      <w:r w:rsidR="003237A2">
        <w:rPr>
          <w:rFonts w:ascii="Arial Narrow" w:hAnsi="Arial Narrow"/>
          <w:sz w:val="28"/>
          <w:szCs w:val="28"/>
        </w:rPr>
        <w:t xml:space="preserve"> </w:t>
      </w:r>
      <w:r w:rsidR="00484D99">
        <w:rPr>
          <w:rFonts w:ascii="Arial Narrow" w:hAnsi="Arial Narrow"/>
          <w:sz w:val="28"/>
          <w:szCs w:val="28"/>
        </w:rPr>
        <w:t xml:space="preserve">a disposición de las partes </w:t>
      </w:r>
      <w:r w:rsidR="005336D6">
        <w:rPr>
          <w:rFonts w:ascii="Arial Narrow" w:hAnsi="Arial Narrow"/>
          <w:sz w:val="28"/>
          <w:szCs w:val="28"/>
        </w:rPr>
        <w:t>y hará parte del acta que se suscriba al final de la diligencia.</w:t>
      </w:r>
      <w:r w:rsidR="00F750FA">
        <w:rPr>
          <w:rFonts w:ascii="Arial Narrow" w:hAnsi="Arial Narrow"/>
          <w:sz w:val="28"/>
          <w:szCs w:val="28"/>
        </w:rPr>
        <w:t xml:space="preserve"> </w:t>
      </w:r>
      <w:r w:rsidR="00C606D6">
        <w:rPr>
          <w:rFonts w:ascii="Arial Narrow" w:hAnsi="Arial Narrow"/>
          <w:sz w:val="28"/>
          <w:szCs w:val="28"/>
        </w:rPr>
        <w:t xml:space="preserve">Habrá entonces que modificar ordinal </w:t>
      </w:r>
      <w:r w:rsidR="00F750FA">
        <w:rPr>
          <w:rFonts w:ascii="Arial Narrow" w:hAnsi="Arial Narrow"/>
          <w:sz w:val="28"/>
          <w:szCs w:val="28"/>
        </w:rPr>
        <w:t>6º de la sentencia.</w:t>
      </w:r>
    </w:p>
    <w:p w:rsidR="00FE1106" w:rsidRPr="00D52A00" w:rsidRDefault="00FE1106" w:rsidP="00D52A00">
      <w:pPr>
        <w:pStyle w:val="Sinespaciado"/>
      </w:pPr>
    </w:p>
    <w:p w:rsidR="005336D6" w:rsidRPr="00A071CD" w:rsidRDefault="005336D6" w:rsidP="005336D6">
      <w:pPr>
        <w:pStyle w:val="Sinespaciado"/>
        <w:spacing w:line="360" w:lineRule="auto"/>
        <w:ind w:firstLine="708"/>
        <w:jc w:val="both"/>
        <w:rPr>
          <w:rFonts w:ascii="Arial Narrow" w:hAnsi="Arial Narrow"/>
          <w:sz w:val="28"/>
          <w:szCs w:val="28"/>
        </w:rPr>
      </w:pPr>
      <w:r w:rsidRPr="00A071CD">
        <w:rPr>
          <w:rFonts w:ascii="Arial Narrow" w:hAnsi="Arial Narrow"/>
          <w:sz w:val="28"/>
          <w:szCs w:val="28"/>
        </w:rPr>
        <w:t xml:space="preserve">Respecto de la excepción de prescripción, encuentra la Sala que la misma no está llamada a prosperar, como quiera que </w:t>
      </w:r>
      <w:r w:rsidR="00F750FA">
        <w:rPr>
          <w:rFonts w:ascii="Arial Narrow" w:hAnsi="Arial Narrow"/>
          <w:sz w:val="28"/>
          <w:szCs w:val="28"/>
        </w:rPr>
        <w:t>en los términos del artículo 151 del CPL</w:t>
      </w:r>
      <w:r w:rsidR="00F750FA" w:rsidRPr="00A071CD">
        <w:rPr>
          <w:rFonts w:ascii="Arial Narrow" w:hAnsi="Arial Narrow"/>
          <w:sz w:val="28"/>
          <w:szCs w:val="28"/>
        </w:rPr>
        <w:t xml:space="preserve"> </w:t>
      </w:r>
      <w:r w:rsidRPr="00A071CD">
        <w:rPr>
          <w:rFonts w:ascii="Arial Narrow" w:hAnsi="Arial Narrow"/>
          <w:sz w:val="28"/>
          <w:szCs w:val="28"/>
        </w:rPr>
        <w:t xml:space="preserve">no transcurrieron más de tres años desde que la respectiva obligación se hizo exigible y la interposición de la demanda, </w:t>
      </w:r>
      <w:r>
        <w:rPr>
          <w:rFonts w:ascii="Arial Narrow" w:hAnsi="Arial Narrow"/>
          <w:sz w:val="28"/>
          <w:szCs w:val="28"/>
        </w:rPr>
        <w:t>la cual tuvo lugar el 1</w:t>
      </w:r>
      <w:r w:rsidR="00F750FA">
        <w:rPr>
          <w:rFonts w:ascii="Arial Narrow" w:hAnsi="Arial Narrow"/>
          <w:sz w:val="28"/>
          <w:szCs w:val="28"/>
        </w:rPr>
        <w:t>8 de julio de 2014</w:t>
      </w:r>
      <w:r w:rsidR="00D52A00">
        <w:rPr>
          <w:rFonts w:ascii="Arial Narrow" w:hAnsi="Arial Narrow"/>
          <w:sz w:val="28"/>
          <w:szCs w:val="28"/>
        </w:rPr>
        <w:t>, según da cuenta la constancia de folio 7.</w:t>
      </w:r>
    </w:p>
    <w:p w:rsidR="005336D6" w:rsidRPr="00D52A00" w:rsidRDefault="005336D6" w:rsidP="00D52A00">
      <w:pPr>
        <w:pStyle w:val="Sinespaciado"/>
      </w:pPr>
    </w:p>
    <w:p w:rsidR="00FC3006" w:rsidRDefault="005336D6" w:rsidP="005336D6">
      <w:pPr>
        <w:spacing w:line="360" w:lineRule="auto"/>
        <w:ind w:firstLine="708"/>
        <w:jc w:val="both"/>
        <w:rPr>
          <w:rFonts w:ascii="Arial Narrow" w:hAnsi="Arial Narrow"/>
          <w:sz w:val="28"/>
          <w:szCs w:val="28"/>
        </w:rPr>
      </w:pPr>
      <w:r w:rsidRPr="00A071CD">
        <w:rPr>
          <w:rFonts w:ascii="Arial Narrow" w:hAnsi="Arial Narrow" w:cs="Arial"/>
          <w:iCs/>
          <w:sz w:val="28"/>
          <w:szCs w:val="28"/>
          <w:lang w:val="es-ES"/>
        </w:rPr>
        <w:t xml:space="preserve">Finalmente, en lo que toca con la condena </w:t>
      </w:r>
      <w:r w:rsidR="000B774C">
        <w:rPr>
          <w:rFonts w:ascii="Arial Narrow" w:hAnsi="Arial Narrow" w:cs="Arial"/>
          <w:iCs/>
          <w:sz w:val="28"/>
          <w:szCs w:val="28"/>
          <w:lang w:val="es-ES"/>
        </w:rPr>
        <w:t xml:space="preserve">al pago </w:t>
      </w:r>
      <w:r w:rsidRPr="00A071CD">
        <w:rPr>
          <w:rFonts w:ascii="Arial Narrow" w:hAnsi="Arial Narrow" w:cs="Arial"/>
          <w:iCs/>
          <w:sz w:val="28"/>
          <w:szCs w:val="28"/>
          <w:lang w:val="es-ES"/>
        </w:rPr>
        <w:t>de intereses moratorios</w:t>
      </w:r>
      <w:r w:rsidR="00F750FA">
        <w:rPr>
          <w:rFonts w:ascii="Arial Narrow" w:hAnsi="Arial Narrow" w:cs="Arial"/>
          <w:iCs/>
          <w:sz w:val="28"/>
          <w:szCs w:val="28"/>
          <w:lang w:val="es-ES"/>
        </w:rPr>
        <w:t xml:space="preserve"> sobre el valor del retroactivo pensional reconocido, </w:t>
      </w:r>
      <w:r w:rsidRPr="00A071CD">
        <w:rPr>
          <w:rFonts w:ascii="Arial Narrow" w:hAnsi="Arial Narrow" w:cs="Arial"/>
          <w:iCs/>
          <w:sz w:val="28"/>
          <w:szCs w:val="28"/>
          <w:lang w:val="es-ES"/>
        </w:rPr>
        <w:t xml:space="preserve">se tiene que la misma resulta procedente, </w:t>
      </w:r>
      <w:r w:rsidR="000B774C">
        <w:rPr>
          <w:rFonts w:ascii="Arial Narrow" w:hAnsi="Arial Narrow" w:cs="Arial"/>
          <w:iCs/>
          <w:sz w:val="28"/>
          <w:szCs w:val="28"/>
          <w:lang w:val="es-ES"/>
        </w:rPr>
        <w:t xml:space="preserve">habida cuenta que la </w:t>
      </w:r>
      <w:r w:rsidRPr="00A071CD">
        <w:rPr>
          <w:rFonts w:ascii="Arial Narrow" w:hAnsi="Arial Narrow"/>
          <w:sz w:val="28"/>
          <w:szCs w:val="28"/>
        </w:rPr>
        <w:t>reclamación administrativa</w:t>
      </w:r>
      <w:r w:rsidR="000B774C">
        <w:rPr>
          <w:rFonts w:ascii="Arial Narrow" w:hAnsi="Arial Narrow"/>
          <w:sz w:val="28"/>
          <w:szCs w:val="28"/>
        </w:rPr>
        <w:t xml:space="preserve"> fue presentada el </w:t>
      </w:r>
      <w:r>
        <w:rPr>
          <w:rFonts w:ascii="Arial Narrow" w:hAnsi="Arial Narrow"/>
          <w:sz w:val="28"/>
          <w:szCs w:val="28"/>
        </w:rPr>
        <w:t>1</w:t>
      </w:r>
      <w:r w:rsidR="00F750FA">
        <w:rPr>
          <w:rFonts w:ascii="Arial Narrow" w:hAnsi="Arial Narrow"/>
          <w:sz w:val="28"/>
          <w:szCs w:val="28"/>
        </w:rPr>
        <w:t>3 de noviembre de 2012</w:t>
      </w:r>
      <w:r>
        <w:rPr>
          <w:rFonts w:ascii="Arial Narrow" w:hAnsi="Arial Narrow"/>
          <w:sz w:val="28"/>
          <w:szCs w:val="28"/>
        </w:rPr>
        <w:t>,</w:t>
      </w:r>
      <w:r w:rsidRPr="00A071CD">
        <w:rPr>
          <w:rFonts w:ascii="Arial Narrow" w:hAnsi="Arial Narrow"/>
          <w:sz w:val="28"/>
          <w:szCs w:val="28"/>
        </w:rPr>
        <w:t xml:space="preserve"> </w:t>
      </w:r>
      <w:r w:rsidR="000B774C">
        <w:rPr>
          <w:rFonts w:ascii="Arial Narrow" w:hAnsi="Arial Narrow"/>
          <w:sz w:val="28"/>
          <w:szCs w:val="28"/>
        </w:rPr>
        <w:t xml:space="preserve">por lo que </w:t>
      </w:r>
      <w:r w:rsidRPr="00A071CD">
        <w:rPr>
          <w:rFonts w:ascii="Arial Narrow" w:hAnsi="Arial Narrow"/>
          <w:sz w:val="28"/>
          <w:szCs w:val="28"/>
        </w:rPr>
        <w:t xml:space="preserve">el término </w:t>
      </w:r>
      <w:r w:rsidR="000B774C">
        <w:rPr>
          <w:rFonts w:ascii="Arial Narrow" w:hAnsi="Arial Narrow"/>
          <w:sz w:val="28"/>
          <w:szCs w:val="28"/>
        </w:rPr>
        <w:t xml:space="preserve">legal </w:t>
      </w:r>
      <w:r w:rsidRPr="00A071CD">
        <w:rPr>
          <w:rFonts w:ascii="Arial Narrow" w:hAnsi="Arial Narrow"/>
          <w:sz w:val="28"/>
          <w:szCs w:val="28"/>
        </w:rPr>
        <w:t xml:space="preserve">de 6 meses con que contaba la entidad para dar respuesta de fondo a la solicitud </w:t>
      </w:r>
      <w:r w:rsidR="000B774C">
        <w:rPr>
          <w:rFonts w:ascii="Arial Narrow" w:hAnsi="Arial Narrow"/>
          <w:sz w:val="28"/>
          <w:szCs w:val="28"/>
        </w:rPr>
        <w:t xml:space="preserve">pensional </w:t>
      </w:r>
      <w:r w:rsidRPr="00A071CD">
        <w:rPr>
          <w:rFonts w:ascii="Arial Narrow" w:hAnsi="Arial Narrow"/>
          <w:sz w:val="28"/>
          <w:szCs w:val="28"/>
        </w:rPr>
        <w:t xml:space="preserve">feneció el </w:t>
      </w:r>
      <w:r w:rsidR="00F750FA">
        <w:rPr>
          <w:rFonts w:ascii="Arial Narrow" w:hAnsi="Arial Narrow"/>
          <w:sz w:val="28"/>
          <w:szCs w:val="28"/>
        </w:rPr>
        <w:t>12 de mayo de 2013</w:t>
      </w:r>
      <w:r w:rsidRPr="00A071CD">
        <w:rPr>
          <w:rFonts w:ascii="Arial Narrow" w:hAnsi="Arial Narrow"/>
          <w:sz w:val="28"/>
          <w:szCs w:val="28"/>
        </w:rPr>
        <w:t xml:space="preserve">, </w:t>
      </w:r>
      <w:r w:rsidR="00FC3006">
        <w:rPr>
          <w:rFonts w:ascii="Arial Narrow" w:hAnsi="Arial Narrow"/>
          <w:sz w:val="28"/>
          <w:szCs w:val="28"/>
        </w:rPr>
        <w:t xml:space="preserve">incurriendo en mora a partir del día siguiente, esto es, del </w:t>
      </w:r>
      <w:r>
        <w:rPr>
          <w:rFonts w:ascii="Arial Narrow" w:hAnsi="Arial Narrow"/>
          <w:sz w:val="28"/>
          <w:szCs w:val="28"/>
        </w:rPr>
        <w:t>1</w:t>
      </w:r>
      <w:r w:rsidR="00F750FA">
        <w:rPr>
          <w:rFonts w:ascii="Arial Narrow" w:hAnsi="Arial Narrow"/>
          <w:sz w:val="28"/>
          <w:szCs w:val="28"/>
        </w:rPr>
        <w:t>3 de mayo de</w:t>
      </w:r>
      <w:r w:rsidR="00FC3006">
        <w:rPr>
          <w:rFonts w:ascii="Arial Narrow" w:hAnsi="Arial Narrow"/>
          <w:sz w:val="28"/>
          <w:szCs w:val="28"/>
        </w:rPr>
        <w:t xml:space="preserve"> 2013 y hasta que se hiciera el pago efectivo de la obligación. </w:t>
      </w:r>
    </w:p>
    <w:p w:rsidR="00FC3006" w:rsidRPr="00D52A00" w:rsidRDefault="00FC3006" w:rsidP="00D52A00">
      <w:pPr>
        <w:pStyle w:val="Sinespaciado"/>
      </w:pPr>
    </w:p>
    <w:p w:rsidR="00FC3006" w:rsidRDefault="00FC3006" w:rsidP="005336D6">
      <w:pPr>
        <w:spacing w:line="360" w:lineRule="auto"/>
        <w:ind w:firstLine="708"/>
        <w:jc w:val="both"/>
        <w:rPr>
          <w:rFonts w:ascii="Arial Narrow" w:hAnsi="Arial Narrow"/>
          <w:sz w:val="28"/>
          <w:szCs w:val="28"/>
        </w:rPr>
      </w:pPr>
      <w:r>
        <w:rPr>
          <w:rFonts w:ascii="Arial Narrow" w:hAnsi="Arial Narrow"/>
          <w:sz w:val="28"/>
          <w:szCs w:val="28"/>
        </w:rPr>
        <w:t>No obstante lo anterior, como quiera que la jueza de primer grado limitó el pago</w:t>
      </w:r>
      <w:r w:rsidR="00C606D6">
        <w:rPr>
          <w:rFonts w:ascii="Arial Narrow" w:hAnsi="Arial Narrow"/>
          <w:sz w:val="28"/>
          <w:szCs w:val="28"/>
        </w:rPr>
        <w:t xml:space="preserve"> de tales réditos hasta el 29 de mayo de 2013, </w:t>
      </w:r>
      <w:r w:rsidR="00D52A00">
        <w:rPr>
          <w:rFonts w:ascii="Arial Narrow" w:hAnsi="Arial Narrow"/>
          <w:sz w:val="28"/>
          <w:szCs w:val="28"/>
        </w:rPr>
        <w:t xml:space="preserve">y que la sentencia está siendo analizada en virtud de grado jurisdiccional de consulta a favor de la entidad de seguridad social, </w:t>
      </w:r>
      <w:r w:rsidR="0075271E">
        <w:rPr>
          <w:rFonts w:ascii="Arial Narrow" w:hAnsi="Arial Narrow"/>
          <w:sz w:val="28"/>
          <w:szCs w:val="28"/>
        </w:rPr>
        <w:t xml:space="preserve">no es posible en </w:t>
      </w:r>
      <w:r w:rsidR="00D52A00">
        <w:rPr>
          <w:rFonts w:ascii="Arial Narrow" w:hAnsi="Arial Narrow"/>
          <w:sz w:val="28"/>
          <w:szCs w:val="28"/>
        </w:rPr>
        <w:t xml:space="preserve">esta segunda instancia </w:t>
      </w:r>
      <w:r w:rsidR="0075271E">
        <w:rPr>
          <w:rFonts w:ascii="Arial Narrow" w:hAnsi="Arial Narrow"/>
          <w:sz w:val="28"/>
          <w:szCs w:val="28"/>
        </w:rPr>
        <w:t xml:space="preserve">reformarla en peor, por cuanto se agravaría dicha condena, por manera que, se mantendrá la condena irrogada por la a-quo. </w:t>
      </w:r>
    </w:p>
    <w:p w:rsidR="005336D6" w:rsidRDefault="005336D6" w:rsidP="009660CD">
      <w:pPr>
        <w:pStyle w:val="Sinespaciado"/>
      </w:pPr>
    </w:p>
    <w:p w:rsidR="00737439" w:rsidRDefault="0075271E" w:rsidP="00B30692">
      <w:pPr>
        <w:spacing w:line="360" w:lineRule="auto"/>
        <w:ind w:firstLine="840"/>
        <w:jc w:val="both"/>
        <w:rPr>
          <w:rFonts w:ascii="Arial Narrow" w:hAnsi="Arial Narrow"/>
          <w:sz w:val="28"/>
          <w:szCs w:val="28"/>
          <w:lang w:eastAsia="en-US"/>
        </w:rPr>
      </w:pPr>
      <w:r>
        <w:rPr>
          <w:rFonts w:ascii="Arial Narrow" w:hAnsi="Arial Narrow"/>
          <w:sz w:val="28"/>
          <w:szCs w:val="28"/>
          <w:lang w:eastAsia="en-US"/>
        </w:rPr>
        <w:t>Sin costas en esta instancia.</w:t>
      </w:r>
    </w:p>
    <w:p w:rsidR="001843BD" w:rsidRDefault="001843BD" w:rsidP="001843BD">
      <w:pPr>
        <w:pStyle w:val="Sinespaciado"/>
      </w:pPr>
    </w:p>
    <w:p w:rsidR="00213F05" w:rsidRPr="00E96259" w:rsidRDefault="00213F05" w:rsidP="00213F05">
      <w:pPr>
        <w:pStyle w:val="Prrafodelista1"/>
        <w:spacing w:after="0" w:line="360" w:lineRule="auto"/>
        <w:ind w:left="0" w:firstLine="900"/>
        <w:jc w:val="both"/>
        <w:rPr>
          <w:rFonts w:ascii="Arial Narrow" w:hAnsi="Arial Narrow"/>
          <w:sz w:val="28"/>
          <w:szCs w:val="28"/>
        </w:rPr>
      </w:pPr>
      <w:r w:rsidRPr="00E96259">
        <w:rPr>
          <w:rFonts w:ascii="Arial Narrow" w:hAnsi="Arial Narrow"/>
          <w:sz w:val="28"/>
          <w:szCs w:val="28"/>
        </w:rPr>
        <w:t xml:space="preserve">En mérito de lo expuesto, </w:t>
      </w:r>
      <w:r w:rsidRPr="00E96259">
        <w:rPr>
          <w:rFonts w:ascii="Arial Narrow" w:hAnsi="Arial Narrow"/>
          <w:b/>
          <w:sz w:val="28"/>
          <w:szCs w:val="28"/>
        </w:rPr>
        <w:t>el H. Tribunal Superior del Distrito Judicial de Pereira - Risaralda, Sala Laboral,</w:t>
      </w:r>
      <w:r w:rsidRPr="00E96259">
        <w:rPr>
          <w:rFonts w:ascii="Arial Narrow" w:hAnsi="Arial Narrow"/>
          <w:sz w:val="28"/>
          <w:szCs w:val="28"/>
        </w:rPr>
        <w:t xml:space="preserve"> administrando justicia en nombre de la República y por autoridad de la ley,</w:t>
      </w:r>
    </w:p>
    <w:p w:rsidR="00213F05" w:rsidRPr="0013664A" w:rsidRDefault="00213F05" w:rsidP="00213F05">
      <w:pPr>
        <w:spacing w:line="360" w:lineRule="auto"/>
        <w:jc w:val="center"/>
        <w:rPr>
          <w:rFonts w:ascii="Arial Narrow" w:hAnsi="Arial Narrow" w:cs="Arial"/>
          <w:b/>
          <w:i/>
          <w:sz w:val="29"/>
          <w:szCs w:val="29"/>
        </w:rPr>
      </w:pPr>
      <w:r w:rsidRPr="0013664A">
        <w:rPr>
          <w:rFonts w:ascii="Arial Narrow" w:hAnsi="Arial Narrow" w:cs="Arial"/>
          <w:b/>
          <w:i/>
          <w:sz w:val="29"/>
          <w:szCs w:val="29"/>
        </w:rPr>
        <w:t>FALLA</w:t>
      </w:r>
    </w:p>
    <w:p w:rsidR="00A778C9" w:rsidRPr="00A778C9" w:rsidRDefault="00213F05" w:rsidP="00213F05">
      <w:pPr>
        <w:numPr>
          <w:ilvl w:val="0"/>
          <w:numId w:val="1"/>
        </w:numPr>
        <w:autoSpaceDE w:val="0"/>
        <w:autoSpaceDN w:val="0"/>
        <w:adjustRightInd w:val="0"/>
        <w:spacing w:line="360" w:lineRule="auto"/>
        <w:ind w:left="0" w:right="191" w:firstLine="851"/>
        <w:jc w:val="both"/>
        <w:rPr>
          <w:rFonts w:ascii="Arial Narrow" w:hAnsi="Arial Narrow" w:cs="Arial Narrow"/>
          <w:sz w:val="28"/>
          <w:szCs w:val="28"/>
        </w:rPr>
      </w:pPr>
      <w:r w:rsidRPr="00744217">
        <w:rPr>
          <w:rFonts w:ascii="Arial Narrow" w:hAnsi="Arial Narrow" w:cs="Arial"/>
          <w:b/>
          <w:i/>
          <w:spacing w:val="-2"/>
          <w:sz w:val="28"/>
          <w:szCs w:val="28"/>
        </w:rPr>
        <w:lastRenderedPageBreak/>
        <w:t xml:space="preserve">Modifica </w:t>
      </w:r>
      <w:r w:rsidRPr="00744217">
        <w:rPr>
          <w:rFonts w:ascii="Arial Narrow" w:hAnsi="Arial Narrow" w:cs="Arial"/>
          <w:spacing w:val="-2"/>
          <w:sz w:val="28"/>
          <w:szCs w:val="28"/>
        </w:rPr>
        <w:t xml:space="preserve">el ordinal </w:t>
      </w:r>
      <w:r w:rsidR="00A778C9">
        <w:rPr>
          <w:rFonts w:ascii="Arial Narrow" w:hAnsi="Arial Narrow" w:cs="Arial"/>
          <w:spacing w:val="-2"/>
          <w:sz w:val="28"/>
          <w:szCs w:val="28"/>
        </w:rPr>
        <w:t>4º</w:t>
      </w:r>
      <w:r>
        <w:rPr>
          <w:rFonts w:ascii="Arial Narrow" w:hAnsi="Arial Narrow" w:cs="Arial"/>
          <w:spacing w:val="-2"/>
          <w:sz w:val="28"/>
          <w:szCs w:val="28"/>
        </w:rPr>
        <w:t xml:space="preserve"> </w:t>
      </w:r>
      <w:r w:rsidRPr="00744217">
        <w:rPr>
          <w:rFonts w:ascii="Arial Narrow" w:hAnsi="Arial Narrow" w:cs="Arial"/>
          <w:spacing w:val="-2"/>
          <w:sz w:val="28"/>
          <w:szCs w:val="28"/>
        </w:rPr>
        <w:t xml:space="preserve">de </w:t>
      </w:r>
      <w:r w:rsidRPr="00744217">
        <w:rPr>
          <w:rFonts w:ascii="Arial Narrow" w:hAnsi="Arial Narrow" w:cs="Arial"/>
          <w:sz w:val="28"/>
          <w:szCs w:val="28"/>
        </w:rPr>
        <w:t xml:space="preserve">la sentencia proferida el </w:t>
      </w:r>
      <w:r w:rsidR="00A778C9">
        <w:rPr>
          <w:rFonts w:ascii="Arial Narrow" w:hAnsi="Arial Narrow" w:cs="Arial"/>
          <w:sz w:val="28"/>
          <w:szCs w:val="28"/>
        </w:rPr>
        <w:t>13 de abril de 2015</w:t>
      </w:r>
      <w:r w:rsidRPr="00744217">
        <w:rPr>
          <w:rFonts w:ascii="Arial Narrow" w:hAnsi="Arial Narrow" w:cs="Arial"/>
          <w:sz w:val="28"/>
          <w:szCs w:val="28"/>
        </w:rPr>
        <w:t xml:space="preserve"> por el Juzgado</w:t>
      </w:r>
      <w:r w:rsidR="00A778C9">
        <w:rPr>
          <w:rFonts w:ascii="Arial Narrow" w:hAnsi="Arial Narrow" w:cs="Arial"/>
          <w:sz w:val="28"/>
          <w:szCs w:val="28"/>
        </w:rPr>
        <w:t xml:space="preserve"> Quinto </w:t>
      </w:r>
      <w:r w:rsidRPr="00744217">
        <w:rPr>
          <w:rFonts w:ascii="Arial Narrow" w:hAnsi="Arial Narrow" w:cs="Arial"/>
          <w:sz w:val="28"/>
          <w:szCs w:val="28"/>
        </w:rPr>
        <w:t>Laboral del Circuito de Pereira, dentro del proceso</w:t>
      </w:r>
      <w:r>
        <w:rPr>
          <w:rFonts w:ascii="Arial Narrow" w:hAnsi="Arial Narrow" w:cs="Arial"/>
          <w:sz w:val="28"/>
          <w:szCs w:val="28"/>
        </w:rPr>
        <w:t xml:space="preserve"> de la referencia</w:t>
      </w:r>
      <w:r w:rsidRPr="00A8291E">
        <w:rPr>
          <w:rFonts w:ascii="Arial Narrow" w:hAnsi="Arial Narrow" w:cs="Arial"/>
          <w:b/>
          <w:i/>
          <w:sz w:val="28"/>
          <w:szCs w:val="28"/>
          <w:lang w:val="es-ES"/>
        </w:rPr>
        <w:t xml:space="preserve">, </w:t>
      </w:r>
      <w:r w:rsidRPr="00A8291E">
        <w:rPr>
          <w:rFonts w:ascii="Arial Narrow" w:hAnsi="Arial Narrow" w:cs="Arial"/>
          <w:sz w:val="28"/>
          <w:szCs w:val="28"/>
          <w:lang w:val="es-ES"/>
        </w:rPr>
        <w:t xml:space="preserve">en el sentido de </w:t>
      </w:r>
      <w:r>
        <w:rPr>
          <w:rFonts w:ascii="Arial Narrow" w:hAnsi="Arial Narrow" w:cs="Arial"/>
          <w:sz w:val="28"/>
          <w:szCs w:val="28"/>
          <w:lang w:val="es-ES"/>
        </w:rPr>
        <w:t xml:space="preserve">indicar </w:t>
      </w:r>
      <w:r w:rsidRPr="00A8291E">
        <w:rPr>
          <w:rFonts w:ascii="Arial Narrow" w:hAnsi="Arial Narrow" w:cs="Arial"/>
          <w:sz w:val="28"/>
          <w:szCs w:val="28"/>
          <w:lang w:val="es-ES"/>
        </w:rPr>
        <w:t xml:space="preserve">que </w:t>
      </w:r>
      <w:r w:rsidR="00A778C9">
        <w:rPr>
          <w:rFonts w:ascii="Arial Narrow" w:hAnsi="Arial Narrow" w:cs="Arial"/>
          <w:sz w:val="28"/>
          <w:szCs w:val="28"/>
          <w:lang w:val="es-ES"/>
        </w:rPr>
        <w:t xml:space="preserve">la primera mesada pensional de la demandante para el año 2012 asciende a la suma de $ </w:t>
      </w:r>
      <w:r w:rsidR="00A778C9">
        <w:rPr>
          <w:rFonts w:ascii="Arial Narrow" w:hAnsi="Arial Narrow"/>
          <w:sz w:val="28"/>
          <w:szCs w:val="28"/>
          <w:lang w:eastAsia="en-US"/>
        </w:rPr>
        <w:t>$901.343</w:t>
      </w:r>
      <w:r w:rsidR="00A778C9">
        <w:rPr>
          <w:rFonts w:ascii="Arial Narrow" w:hAnsi="Arial Narrow"/>
          <w:sz w:val="28"/>
          <w:szCs w:val="28"/>
          <w:lang w:eastAsia="en-US"/>
        </w:rPr>
        <w:t>.</w:t>
      </w:r>
    </w:p>
    <w:p w:rsidR="00A778C9" w:rsidRPr="00A778C9" w:rsidRDefault="00A778C9" w:rsidP="00A778C9">
      <w:pPr>
        <w:pStyle w:val="Sinespaciado"/>
      </w:pPr>
    </w:p>
    <w:p w:rsidR="00A778C9" w:rsidRPr="00A778C9" w:rsidRDefault="00A778C9" w:rsidP="00A778C9">
      <w:pPr>
        <w:pStyle w:val="Prrafodelista"/>
        <w:numPr>
          <w:ilvl w:val="0"/>
          <w:numId w:val="1"/>
        </w:numPr>
        <w:autoSpaceDE w:val="0"/>
        <w:autoSpaceDN w:val="0"/>
        <w:adjustRightInd w:val="0"/>
        <w:spacing w:line="360" w:lineRule="auto"/>
        <w:ind w:left="0" w:right="191" w:firstLine="851"/>
        <w:jc w:val="both"/>
        <w:rPr>
          <w:rFonts w:ascii="Arial Narrow" w:hAnsi="Arial Narrow" w:cs="Arial Narrow"/>
          <w:sz w:val="28"/>
          <w:szCs w:val="28"/>
        </w:rPr>
      </w:pPr>
      <w:r w:rsidRPr="00A778C9">
        <w:rPr>
          <w:rFonts w:ascii="Arial Narrow" w:hAnsi="Arial Narrow" w:cs="Arial"/>
          <w:b/>
          <w:i/>
          <w:sz w:val="28"/>
          <w:szCs w:val="28"/>
          <w:lang w:val="es-ES"/>
        </w:rPr>
        <w:t xml:space="preserve">Modifica </w:t>
      </w:r>
      <w:r w:rsidRPr="00A778C9">
        <w:rPr>
          <w:rFonts w:ascii="Arial Narrow" w:hAnsi="Arial Narrow" w:cs="Arial"/>
          <w:sz w:val="28"/>
          <w:szCs w:val="28"/>
          <w:lang w:val="es-ES"/>
        </w:rPr>
        <w:t xml:space="preserve">el ordinal 5º en el sentido de que el valor del retroactivo pensional causado </w:t>
      </w:r>
      <w:r>
        <w:rPr>
          <w:rFonts w:ascii="Arial Narrow" w:hAnsi="Arial Narrow" w:cs="Arial"/>
          <w:sz w:val="28"/>
          <w:szCs w:val="28"/>
          <w:lang w:val="es-ES"/>
        </w:rPr>
        <w:t>desde el</w:t>
      </w:r>
      <w:r w:rsidRPr="00A778C9">
        <w:rPr>
          <w:rFonts w:ascii="Arial Narrow" w:hAnsi="Arial Narrow"/>
          <w:sz w:val="28"/>
          <w:szCs w:val="28"/>
        </w:rPr>
        <w:t xml:space="preserve"> 1º de septiembre de 2012 hasta el 31 de mayo de 2013, </w:t>
      </w:r>
      <w:r>
        <w:rPr>
          <w:rFonts w:ascii="Arial Narrow" w:hAnsi="Arial Narrow"/>
          <w:sz w:val="28"/>
          <w:szCs w:val="28"/>
        </w:rPr>
        <w:t xml:space="preserve">asciende a </w:t>
      </w:r>
      <w:r w:rsidRPr="00A778C9">
        <w:rPr>
          <w:rFonts w:ascii="Arial Narrow" w:hAnsi="Arial Narrow"/>
          <w:sz w:val="28"/>
          <w:szCs w:val="28"/>
        </w:rPr>
        <w:t>la suma de $9`123.394</w:t>
      </w:r>
      <w:r>
        <w:rPr>
          <w:rFonts w:ascii="Arial Narrow" w:hAnsi="Arial Narrow"/>
          <w:sz w:val="28"/>
          <w:szCs w:val="28"/>
        </w:rPr>
        <w:t>.</w:t>
      </w:r>
    </w:p>
    <w:p w:rsidR="00A778C9" w:rsidRPr="00A778C9" w:rsidRDefault="00A778C9" w:rsidP="00A778C9">
      <w:pPr>
        <w:pStyle w:val="Sinespaciado"/>
      </w:pPr>
    </w:p>
    <w:p w:rsidR="00A778C9" w:rsidRPr="00A778C9" w:rsidRDefault="00A778C9" w:rsidP="00A778C9">
      <w:pPr>
        <w:pStyle w:val="Prrafodelista"/>
        <w:numPr>
          <w:ilvl w:val="0"/>
          <w:numId w:val="1"/>
        </w:numPr>
        <w:autoSpaceDE w:val="0"/>
        <w:autoSpaceDN w:val="0"/>
        <w:adjustRightInd w:val="0"/>
        <w:spacing w:line="360" w:lineRule="auto"/>
        <w:ind w:left="0" w:right="191" w:firstLine="851"/>
        <w:jc w:val="both"/>
        <w:rPr>
          <w:rFonts w:ascii="Arial Narrow" w:hAnsi="Arial Narrow" w:cs="Arial Narrow"/>
          <w:sz w:val="28"/>
          <w:szCs w:val="28"/>
        </w:rPr>
      </w:pPr>
      <w:r w:rsidRPr="00A778C9">
        <w:rPr>
          <w:rFonts w:ascii="Arial Narrow" w:hAnsi="Arial Narrow" w:cs="Arial"/>
          <w:b/>
          <w:i/>
          <w:sz w:val="28"/>
          <w:szCs w:val="28"/>
          <w:lang w:val="es-ES"/>
        </w:rPr>
        <w:t xml:space="preserve">Modifica </w:t>
      </w:r>
      <w:r w:rsidRPr="00A778C9">
        <w:rPr>
          <w:rFonts w:ascii="Arial Narrow" w:hAnsi="Arial Narrow" w:cs="Arial"/>
          <w:sz w:val="28"/>
          <w:szCs w:val="28"/>
          <w:lang w:val="es-ES"/>
        </w:rPr>
        <w:t xml:space="preserve">el ordinal </w:t>
      </w:r>
      <w:r>
        <w:rPr>
          <w:rFonts w:ascii="Arial Narrow" w:hAnsi="Arial Narrow" w:cs="Arial"/>
          <w:sz w:val="28"/>
          <w:szCs w:val="28"/>
          <w:lang w:val="es-ES"/>
        </w:rPr>
        <w:t>6</w:t>
      </w:r>
      <w:r w:rsidRPr="00A778C9">
        <w:rPr>
          <w:rFonts w:ascii="Arial Narrow" w:hAnsi="Arial Narrow" w:cs="Arial"/>
          <w:sz w:val="28"/>
          <w:szCs w:val="28"/>
          <w:lang w:val="es-ES"/>
        </w:rPr>
        <w:t xml:space="preserve">º </w:t>
      </w:r>
      <w:r w:rsidRPr="00A778C9">
        <w:rPr>
          <w:rFonts w:ascii="Arial Narrow" w:hAnsi="Arial Narrow" w:cs="Arial"/>
          <w:sz w:val="28"/>
          <w:szCs w:val="28"/>
          <w:lang w:val="es-ES"/>
        </w:rPr>
        <w:t xml:space="preserve">en el sentido de que el valor de la diferencia </w:t>
      </w:r>
      <w:r>
        <w:rPr>
          <w:rFonts w:ascii="Arial Narrow" w:hAnsi="Arial Narrow" w:cs="Arial"/>
          <w:sz w:val="28"/>
          <w:szCs w:val="28"/>
          <w:lang w:val="es-ES"/>
        </w:rPr>
        <w:t>por</w:t>
      </w:r>
      <w:r w:rsidRPr="00A778C9">
        <w:rPr>
          <w:rFonts w:ascii="Arial Narrow" w:hAnsi="Arial Narrow" w:cs="Arial"/>
          <w:sz w:val="28"/>
          <w:szCs w:val="28"/>
          <w:lang w:val="es-ES"/>
        </w:rPr>
        <w:t xml:space="preserve"> reajuste pensional </w:t>
      </w:r>
      <w:r>
        <w:rPr>
          <w:rFonts w:ascii="Arial Narrow" w:hAnsi="Arial Narrow"/>
          <w:sz w:val="28"/>
          <w:szCs w:val="28"/>
        </w:rPr>
        <w:t>causada</w:t>
      </w:r>
      <w:r w:rsidRPr="00A778C9">
        <w:rPr>
          <w:rFonts w:ascii="Arial Narrow" w:hAnsi="Arial Narrow"/>
          <w:sz w:val="28"/>
          <w:szCs w:val="28"/>
        </w:rPr>
        <w:t xml:space="preserve"> entre el 1º de junio de 2013 y el 31 de mayo de 2016, es decir, incluyendo el valor de la</w:t>
      </w:r>
      <w:r w:rsidRPr="00A778C9">
        <w:rPr>
          <w:rFonts w:ascii="Arial Narrow" w:hAnsi="Arial Narrow"/>
          <w:sz w:val="28"/>
          <w:szCs w:val="28"/>
        </w:rPr>
        <w:t>s</w:t>
      </w:r>
      <w:r w:rsidRPr="00A778C9">
        <w:rPr>
          <w:rFonts w:ascii="Arial Narrow" w:hAnsi="Arial Narrow"/>
          <w:sz w:val="28"/>
          <w:szCs w:val="28"/>
        </w:rPr>
        <w:t xml:space="preserve"> diferencia</w:t>
      </w:r>
      <w:r w:rsidRPr="00A778C9">
        <w:rPr>
          <w:rFonts w:ascii="Arial Narrow" w:hAnsi="Arial Narrow"/>
          <w:sz w:val="28"/>
          <w:szCs w:val="28"/>
        </w:rPr>
        <w:t>s</w:t>
      </w:r>
      <w:r w:rsidRPr="00A778C9">
        <w:rPr>
          <w:rFonts w:ascii="Arial Narrow" w:hAnsi="Arial Narrow"/>
          <w:sz w:val="28"/>
          <w:szCs w:val="28"/>
        </w:rPr>
        <w:t xml:space="preserve"> </w:t>
      </w:r>
      <w:r>
        <w:rPr>
          <w:rFonts w:ascii="Arial Narrow" w:hAnsi="Arial Narrow"/>
          <w:sz w:val="28"/>
          <w:szCs w:val="28"/>
        </w:rPr>
        <w:t>generadas</w:t>
      </w:r>
      <w:r w:rsidRPr="00A778C9">
        <w:rPr>
          <w:rFonts w:ascii="Arial Narrow" w:hAnsi="Arial Narrow"/>
          <w:sz w:val="28"/>
          <w:szCs w:val="28"/>
        </w:rPr>
        <w:t xml:space="preserve"> a la emisión de esta providencia, </w:t>
      </w:r>
      <w:r w:rsidRPr="00A778C9">
        <w:rPr>
          <w:rFonts w:ascii="Arial Narrow" w:hAnsi="Arial Narrow"/>
          <w:sz w:val="28"/>
          <w:szCs w:val="28"/>
        </w:rPr>
        <w:t xml:space="preserve">asciende </w:t>
      </w:r>
      <w:r w:rsidRPr="00A778C9">
        <w:rPr>
          <w:rFonts w:ascii="Arial Narrow" w:hAnsi="Arial Narrow"/>
          <w:sz w:val="28"/>
          <w:szCs w:val="28"/>
        </w:rPr>
        <w:t>a $ 13`086.952,</w:t>
      </w:r>
      <w:r>
        <w:rPr>
          <w:rFonts w:ascii="Arial Narrow" w:hAnsi="Arial Narrow"/>
          <w:sz w:val="28"/>
          <w:szCs w:val="28"/>
        </w:rPr>
        <w:t xml:space="preserve"> sin perjuicio de que se siga generando hasta su solución. </w:t>
      </w:r>
      <w:r w:rsidRPr="00A778C9">
        <w:rPr>
          <w:rFonts w:ascii="Arial Narrow" w:hAnsi="Arial Narrow"/>
          <w:sz w:val="28"/>
          <w:szCs w:val="28"/>
        </w:rPr>
        <w:t xml:space="preserve"> </w:t>
      </w:r>
    </w:p>
    <w:p w:rsidR="00A778C9" w:rsidRDefault="00A778C9" w:rsidP="00A778C9">
      <w:pPr>
        <w:pStyle w:val="Sinespaciado"/>
        <w:rPr>
          <w:lang w:val="es-ES"/>
        </w:rPr>
      </w:pPr>
    </w:p>
    <w:p w:rsidR="00A778C9" w:rsidRPr="00A778C9" w:rsidRDefault="00A778C9" w:rsidP="00213F05">
      <w:pPr>
        <w:numPr>
          <w:ilvl w:val="0"/>
          <w:numId w:val="1"/>
        </w:numPr>
        <w:autoSpaceDE w:val="0"/>
        <w:autoSpaceDN w:val="0"/>
        <w:adjustRightInd w:val="0"/>
        <w:spacing w:line="360" w:lineRule="auto"/>
        <w:ind w:left="0" w:right="191" w:firstLine="851"/>
        <w:jc w:val="both"/>
        <w:rPr>
          <w:rFonts w:ascii="Arial Narrow" w:hAnsi="Arial Narrow" w:cs="Arial Narrow"/>
          <w:sz w:val="28"/>
          <w:szCs w:val="28"/>
        </w:rPr>
      </w:pPr>
      <w:r w:rsidRPr="00A778C9">
        <w:rPr>
          <w:rFonts w:ascii="Arial Narrow" w:hAnsi="Arial Narrow" w:cs="Arial Narrow"/>
          <w:b/>
          <w:sz w:val="28"/>
          <w:szCs w:val="28"/>
        </w:rPr>
        <w:t>Confirma</w:t>
      </w:r>
      <w:r>
        <w:rPr>
          <w:rFonts w:ascii="Arial Narrow" w:hAnsi="Arial Narrow" w:cs="Arial Narrow"/>
          <w:sz w:val="28"/>
          <w:szCs w:val="28"/>
        </w:rPr>
        <w:t xml:space="preserve"> en todo lo demás.</w:t>
      </w:r>
    </w:p>
    <w:p w:rsidR="00213F05" w:rsidRPr="00A8291E" w:rsidRDefault="00213F05" w:rsidP="00213F05">
      <w:pPr>
        <w:pStyle w:val="Sinespaciado"/>
      </w:pPr>
    </w:p>
    <w:p w:rsidR="00213F05" w:rsidRPr="00C644E5" w:rsidRDefault="00213F05" w:rsidP="00213F05">
      <w:pPr>
        <w:numPr>
          <w:ilvl w:val="0"/>
          <w:numId w:val="1"/>
        </w:numPr>
        <w:autoSpaceDE w:val="0"/>
        <w:autoSpaceDN w:val="0"/>
        <w:adjustRightInd w:val="0"/>
        <w:spacing w:line="360" w:lineRule="auto"/>
        <w:ind w:left="0" w:firstLine="900"/>
        <w:jc w:val="both"/>
        <w:rPr>
          <w:rFonts w:ascii="Arial Narrow" w:hAnsi="Arial Narrow" w:cs="Arial"/>
          <w:b/>
          <w:sz w:val="28"/>
          <w:szCs w:val="28"/>
          <w:lang w:val="es-ES"/>
        </w:rPr>
      </w:pPr>
      <w:r w:rsidRPr="00C644E5">
        <w:rPr>
          <w:rFonts w:ascii="Arial Narrow" w:hAnsi="Arial Narrow" w:cs="Arial"/>
          <w:sz w:val="28"/>
          <w:szCs w:val="28"/>
          <w:lang w:val="es-ES"/>
        </w:rPr>
        <w:t>Sin costas en esta instancia</w:t>
      </w:r>
      <w:r w:rsidRPr="00C644E5">
        <w:rPr>
          <w:rFonts w:ascii="Arial Narrow" w:hAnsi="Arial Narrow" w:cs="Arial"/>
          <w:b/>
          <w:sz w:val="28"/>
          <w:szCs w:val="28"/>
          <w:lang w:val="es-ES"/>
        </w:rPr>
        <w:t>.</w:t>
      </w:r>
    </w:p>
    <w:p w:rsidR="00213F05" w:rsidRPr="00E96259" w:rsidRDefault="00213F05" w:rsidP="00213F05">
      <w:pPr>
        <w:pStyle w:val="Sinespaciado"/>
      </w:pPr>
      <w:r w:rsidRPr="00E96259">
        <w:rPr>
          <w:lang w:val="es-ES"/>
        </w:rPr>
        <w:tab/>
      </w:r>
    </w:p>
    <w:p w:rsidR="00213F05" w:rsidRPr="00E96259" w:rsidRDefault="00213F05" w:rsidP="00213F05">
      <w:pPr>
        <w:spacing w:line="360" w:lineRule="auto"/>
        <w:jc w:val="both"/>
        <w:rPr>
          <w:rFonts w:ascii="Arial Narrow" w:hAnsi="Arial Narrow" w:cs="Microsoft Sans Serif"/>
          <w:b/>
          <w:bCs/>
          <w:i/>
          <w:iCs/>
          <w:sz w:val="28"/>
          <w:szCs w:val="28"/>
          <w:lang w:val="es-ES"/>
        </w:rPr>
      </w:pPr>
      <w:r w:rsidRPr="00E96259">
        <w:rPr>
          <w:rFonts w:ascii="Arial Narrow" w:hAnsi="Arial Narrow" w:cs="Microsoft Sans Serif"/>
          <w:b/>
          <w:bCs/>
          <w:i/>
          <w:iCs/>
          <w:sz w:val="28"/>
          <w:szCs w:val="28"/>
          <w:lang w:val="es-ES"/>
        </w:rPr>
        <w:t>NOTIFÍQUESE, CÚMPLASE Y DEVUÉLVASE.</w:t>
      </w:r>
    </w:p>
    <w:p w:rsidR="00213F05" w:rsidRPr="00A8291E" w:rsidRDefault="00213F05" w:rsidP="00213F05">
      <w:pPr>
        <w:pStyle w:val="Sinespaciado"/>
      </w:pPr>
    </w:p>
    <w:p w:rsidR="00213F05" w:rsidRDefault="00213F05" w:rsidP="00213F05">
      <w:pPr>
        <w:pStyle w:val="Sinespaciado"/>
      </w:pPr>
    </w:p>
    <w:p w:rsidR="00213F05" w:rsidRPr="00A8291E" w:rsidRDefault="00213F05" w:rsidP="00213F05">
      <w:pPr>
        <w:pStyle w:val="Sinespaciado"/>
      </w:pPr>
    </w:p>
    <w:p w:rsidR="00213F05" w:rsidRPr="00E96259" w:rsidRDefault="00213F05" w:rsidP="00213F05">
      <w:pPr>
        <w:pStyle w:val="Sinespaciado"/>
        <w:rPr>
          <w:lang w:val="es-ES"/>
        </w:rPr>
      </w:pPr>
    </w:p>
    <w:p w:rsidR="00213F05" w:rsidRPr="00E96259" w:rsidRDefault="00213F05" w:rsidP="00213F05">
      <w:pPr>
        <w:ind w:firstLine="900"/>
        <w:jc w:val="both"/>
        <w:rPr>
          <w:rFonts w:ascii="Arial Narrow" w:hAnsi="Arial Narrow" w:cs="Microsoft Sans Serif"/>
          <w:bCs/>
          <w:iCs/>
          <w:sz w:val="28"/>
          <w:szCs w:val="28"/>
          <w:lang w:val="es-ES"/>
        </w:rPr>
      </w:pPr>
    </w:p>
    <w:p w:rsidR="00213F05" w:rsidRDefault="00213F05" w:rsidP="00213F05">
      <w:pPr>
        <w:ind w:firstLine="900"/>
        <w:jc w:val="center"/>
        <w:rPr>
          <w:rFonts w:ascii="Arial Narrow" w:hAnsi="Arial Narrow" w:cs="Microsoft Sans Serif"/>
          <w:b/>
          <w:bCs/>
          <w:iCs/>
          <w:sz w:val="28"/>
          <w:szCs w:val="28"/>
          <w:lang w:val="es-ES"/>
        </w:rPr>
      </w:pPr>
      <w:r w:rsidRPr="00E96259">
        <w:rPr>
          <w:rFonts w:ascii="Arial Narrow" w:hAnsi="Arial Narrow" w:cs="Microsoft Sans Serif"/>
          <w:b/>
          <w:bCs/>
          <w:iCs/>
          <w:sz w:val="28"/>
          <w:szCs w:val="28"/>
          <w:lang w:val="es-ES"/>
        </w:rPr>
        <w:t>FRANCISCO JAVIER TAMAYO TABARES</w:t>
      </w:r>
    </w:p>
    <w:p w:rsidR="00213F05" w:rsidRPr="00753C14" w:rsidRDefault="00213F05" w:rsidP="00213F05">
      <w:pPr>
        <w:ind w:firstLine="900"/>
        <w:jc w:val="center"/>
        <w:rPr>
          <w:rFonts w:ascii="Arial Narrow" w:hAnsi="Arial Narrow" w:cs="Microsoft Sans Serif"/>
          <w:bCs/>
          <w:iCs/>
          <w:sz w:val="28"/>
          <w:szCs w:val="28"/>
          <w:lang w:val="es-ES"/>
        </w:rPr>
      </w:pPr>
      <w:r w:rsidRPr="00753C14">
        <w:rPr>
          <w:rFonts w:ascii="Arial Narrow" w:hAnsi="Arial Narrow" w:cs="Microsoft Sans Serif"/>
          <w:bCs/>
          <w:iCs/>
          <w:sz w:val="28"/>
          <w:szCs w:val="28"/>
          <w:lang w:val="es-ES"/>
        </w:rPr>
        <w:t xml:space="preserve">Magistrado Ponente </w:t>
      </w:r>
    </w:p>
    <w:p w:rsidR="00213F05" w:rsidRPr="00E96259" w:rsidRDefault="00213F05" w:rsidP="00213F05">
      <w:pPr>
        <w:ind w:firstLine="900"/>
        <w:jc w:val="both"/>
        <w:rPr>
          <w:rFonts w:ascii="Arial Narrow" w:hAnsi="Arial Narrow" w:cs="Microsoft Sans Serif"/>
          <w:b/>
          <w:sz w:val="28"/>
          <w:szCs w:val="28"/>
          <w:lang w:val="es-ES"/>
        </w:rPr>
      </w:pPr>
    </w:p>
    <w:p w:rsidR="00213F05" w:rsidRDefault="00213F05" w:rsidP="00213F05">
      <w:pPr>
        <w:pStyle w:val="Sinespaciado"/>
        <w:rPr>
          <w:lang w:val="es-ES"/>
        </w:rPr>
      </w:pPr>
    </w:p>
    <w:p w:rsidR="00213F05" w:rsidRDefault="00213F05" w:rsidP="00213F05">
      <w:pPr>
        <w:pStyle w:val="Sinespaciado"/>
        <w:rPr>
          <w:lang w:val="es-ES"/>
        </w:rPr>
      </w:pPr>
    </w:p>
    <w:p w:rsidR="00213F05" w:rsidRPr="00E96259" w:rsidRDefault="00213F05" w:rsidP="00213F05">
      <w:pPr>
        <w:pStyle w:val="Sinespaciado"/>
        <w:rPr>
          <w:lang w:val="es-ES"/>
        </w:rPr>
      </w:pPr>
    </w:p>
    <w:p w:rsidR="00213F05" w:rsidRPr="00E96259" w:rsidRDefault="00213F05" w:rsidP="00213F05">
      <w:pPr>
        <w:jc w:val="both"/>
        <w:rPr>
          <w:rFonts w:ascii="Arial Narrow" w:hAnsi="Arial Narrow" w:cs="Microsoft Sans Serif"/>
          <w:b/>
          <w:bCs/>
          <w:iCs/>
          <w:sz w:val="28"/>
          <w:szCs w:val="28"/>
          <w:lang w:val="es-ES"/>
        </w:rPr>
      </w:pPr>
    </w:p>
    <w:p w:rsidR="00A778C9" w:rsidRDefault="00213F05" w:rsidP="00213F05">
      <w:pPr>
        <w:ind w:left="993" w:hanging="1135"/>
        <w:jc w:val="both"/>
        <w:rPr>
          <w:rFonts w:ascii="Arial Narrow" w:hAnsi="Arial Narrow" w:cs="Microsoft Sans Serif"/>
          <w:b/>
          <w:bCs/>
          <w:iCs/>
          <w:sz w:val="28"/>
          <w:szCs w:val="28"/>
          <w:lang w:val="es-ES"/>
        </w:rPr>
      </w:pPr>
      <w:r w:rsidRPr="00E96259">
        <w:rPr>
          <w:rFonts w:ascii="Arial Narrow" w:hAnsi="Arial Narrow" w:cs="Microsoft Sans Serif"/>
          <w:b/>
          <w:bCs/>
          <w:iCs/>
          <w:sz w:val="28"/>
          <w:szCs w:val="28"/>
          <w:lang w:val="es-ES"/>
        </w:rPr>
        <w:t xml:space="preserve">ANA LUCÍA CAICEDO CALDERÓN                       </w:t>
      </w:r>
      <w:r w:rsidR="009F3CFC">
        <w:rPr>
          <w:rFonts w:ascii="Arial Narrow" w:hAnsi="Arial Narrow" w:cs="Microsoft Sans Serif"/>
          <w:b/>
          <w:bCs/>
          <w:iCs/>
          <w:sz w:val="28"/>
          <w:szCs w:val="28"/>
          <w:lang w:val="es-ES"/>
        </w:rPr>
        <w:t>OLGA LUCIA HOYOS SEPÚLVEDA</w:t>
      </w:r>
    </w:p>
    <w:p w:rsidR="00213F05" w:rsidRPr="00753C14" w:rsidRDefault="00A778C9" w:rsidP="00213F05">
      <w:pPr>
        <w:ind w:left="993" w:hanging="1135"/>
        <w:jc w:val="both"/>
        <w:rPr>
          <w:rFonts w:ascii="Arial Narrow" w:hAnsi="Arial Narrow" w:cs="Microsoft Sans Serif"/>
          <w:bCs/>
          <w:iCs/>
          <w:sz w:val="28"/>
          <w:szCs w:val="28"/>
          <w:lang w:val="es-ES"/>
        </w:rPr>
      </w:pPr>
      <w:r>
        <w:rPr>
          <w:rFonts w:ascii="Arial Narrow" w:hAnsi="Arial Narrow" w:cs="Microsoft Sans Serif"/>
          <w:b/>
          <w:bCs/>
          <w:iCs/>
          <w:sz w:val="28"/>
          <w:szCs w:val="28"/>
          <w:lang w:val="es-ES"/>
        </w:rPr>
        <w:t xml:space="preserve">                  </w:t>
      </w:r>
      <w:r w:rsidR="00213F05" w:rsidRPr="00753C14">
        <w:rPr>
          <w:rFonts w:ascii="Arial Narrow" w:hAnsi="Arial Narrow" w:cs="Microsoft Sans Serif"/>
          <w:bCs/>
          <w:iCs/>
          <w:sz w:val="28"/>
          <w:szCs w:val="28"/>
          <w:lang w:val="es-ES"/>
        </w:rPr>
        <w:t xml:space="preserve">Magistrada </w:t>
      </w:r>
      <w:r w:rsidR="00213F05" w:rsidRPr="00753C14">
        <w:rPr>
          <w:rFonts w:ascii="Arial Narrow" w:hAnsi="Arial Narrow" w:cs="Microsoft Sans Serif"/>
          <w:bCs/>
          <w:iCs/>
          <w:sz w:val="28"/>
          <w:szCs w:val="28"/>
          <w:lang w:val="es-ES"/>
        </w:rPr>
        <w:tab/>
      </w:r>
      <w:r w:rsidR="00213F05" w:rsidRPr="00753C14">
        <w:rPr>
          <w:rFonts w:ascii="Arial Narrow" w:hAnsi="Arial Narrow" w:cs="Microsoft Sans Serif"/>
          <w:bCs/>
          <w:iCs/>
          <w:sz w:val="28"/>
          <w:szCs w:val="28"/>
          <w:lang w:val="es-ES"/>
        </w:rPr>
        <w:tab/>
      </w:r>
      <w:r w:rsidR="00213F05" w:rsidRPr="00753C14">
        <w:rPr>
          <w:rFonts w:ascii="Arial Narrow" w:hAnsi="Arial Narrow" w:cs="Microsoft Sans Serif"/>
          <w:bCs/>
          <w:iCs/>
          <w:sz w:val="28"/>
          <w:szCs w:val="28"/>
          <w:lang w:val="es-ES"/>
        </w:rPr>
        <w:tab/>
      </w:r>
      <w:r w:rsidR="00213F05" w:rsidRPr="00753C14">
        <w:rPr>
          <w:rFonts w:ascii="Arial Narrow" w:hAnsi="Arial Narrow" w:cs="Microsoft Sans Serif"/>
          <w:bCs/>
          <w:iCs/>
          <w:sz w:val="28"/>
          <w:szCs w:val="28"/>
          <w:lang w:val="es-ES"/>
        </w:rPr>
        <w:tab/>
      </w:r>
      <w:r w:rsidR="00213F05">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Magistrada</w:t>
      </w:r>
    </w:p>
    <w:p w:rsidR="00213F05" w:rsidRDefault="00213F05" w:rsidP="00213F05">
      <w:pPr>
        <w:ind w:left="-1276"/>
        <w:jc w:val="both"/>
        <w:rPr>
          <w:lang w:val="es-ES"/>
        </w:rPr>
      </w:pPr>
      <w:r>
        <w:rPr>
          <w:rFonts w:ascii="Arial Narrow" w:hAnsi="Arial Narrow" w:cs="Microsoft Sans Serif"/>
          <w:bCs/>
          <w:iCs/>
          <w:sz w:val="28"/>
          <w:szCs w:val="28"/>
          <w:lang w:val="es-ES"/>
        </w:rPr>
        <w:t xml:space="preserve">           </w:t>
      </w:r>
      <w:r w:rsidRPr="00753C14">
        <w:rPr>
          <w:lang w:val="es-ES"/>
        </w:rPr>
        <w:tab/>
      </w:r>
    </w:p>
    <w:p w:rsidR="00213F05" w:rsidRPr="00AB5E91" w:rsidRDefault="00213F05" w:rsidP="00213F05">
      <w:pPr>
        <w:ind w:left="-1276"/>
        <w:jc w:val="both"/>
      </w:pPr>
    </w:p>
    <w:p w:rsidR="00213F05" w:rsidRDefault="00213F05" w:rsidP="00213F05">
      <w:pPr>
        <w:pStyle w:val="Sinespaciado"/>
        <w:spacing w:line="720" w:lineRule="auto"/>
        <w:rPr>
          <w:lang w:val="es-ES"/>
        </w:rPr>
      </w:pPr>
    </w:p>
    <w:p w:rsidR="00213F05" w:rsidRDefault="00213F05" w:rsidP="00213F05">
      <w:pPr>
        <w:ind w:firstLine="900"/>
        <w:jc w:val="center"/>
        <w:rPr>
          <w:rFonts w:ascii="Arial Narrow" w:hAnsi="Arial Narrow" w:cs="Microsoft Sans Serif"/>
          <w:iCs/>
          <w:sz w:val="28"/>
          <w:szCs w:val="28"/>
          <w:lang w:val="es-ES"/>
        </w:rPr>
      </w:pPr>
    </w:p>
    <w:p w:rsidR="00213F05" w:rsidRDefault="00213F05" w:rsidP="00213F05">
      <w:pPr>
        <w:spacing w:after="160" w:line="259" w:lineRule="auto"/>
        <w:jc w:val="center"/>
        <w:rPr>
          <w:rFonts w:ascii="Arial Narrow" w:hAnsi="Arial Narrow" w:cs="Microsoft Sans Serif"/>
          <w:b/>
          <w:iCs/>
          <w:sz w:val="28"/>
          <w:szCs w:val="28"/>
          <w:lang w:val="es-ES"/>
        </w:rPr>
      </w:pPr>
    </w:p>
    <w:p w:rsidR="009F3CFC" w:rsidRDefault="009F3CFC" w:rsidP="00213F05">
      <w:pPr>
        <w:spacing w:after="160" w:line="259" w:lineRule="auto"/>
        <w:jc w:val="center"/>
        <w:rPr>
          <w:rFonts w:ascii="Arial Narrow" w:hAnsi="Arial Narrow" w:cs="Microsoft Sans Serif"/>
          <w:b/>
          <w:iCs/>
          <w:sz w:val="28"/>
          <w:szCs w:val="28"/>
          <w:lang w:val="es-ES"/>
        </w:rPr>
      </w:pPr>
    </w:p>
    <w:p w:rsidR="00213F05" w:rsidRPr="004B788A" w:rsidRDefault="00213F05" w:rsidP="004B788A">
      <w:pPr>
        <w:pStyle w:val="Sinespaciado"/>
        <w:jc w:val="center"/>
        <w:rPr>
          <w:rFonts w:ascii="Arial Narrow" w:hAnsi="Arial Narrow"/>
          <w:b/>
          <w:sz w:val="28"/>
          <w:szCs w:val="28"/>
          <w:lang w:val="es-ES"/>
        </w:rPr>
      </w:pPr>
      <w:r w:rsidRPr="004B788A">
        <w:rPr>
          <w:rFonts w:ascii="Arial Narrow" w:hAnsi="Arial Narrow"/>
          <w:b/>
          <w:sz w:val="28"/>
          <w:szCs w:val="28"/>
          <w:lang w:val="es-ES"/>
        </w:rPr>
        <w:lastRenderedPageBreak/>
        <w:t xml:space="preserve">ANEXO </w:t>
      </w:r>
      <w:bookmarkStart w:id="0" w:name="RANGE!A1:J341"/>
      <w:bookmarkStart w:id="1" w:name="RANGE!A1:J64"/>
      <w:bookmarkEnd w:id="0"/>
      <w:bookmarkEnd w:id="1"/>
      <w:r w:rsidR="004B788A">
        <w:rPr>
          <w:rFonts w:ascii="Arial Narrow" w:hAnsi="Arial Narrow"/>
          <w:b/>
          <w:sz w:val="28"/>
          <w:szCs w:val="28"/>
          <w:lang w:val="es-ES"/>
        </w:rPr>
        <w:t>I</w:t>
      </w:r>
    </w:p>
    <w:p w:rsidR="00213F05" w:rsidRPr="004B788A" w:rsidRDefault="00213F05" w:rsidP="004B788A">
      <w:pPr>
        <w:pStyle w:val="Sinespaciado"/>
        <w:jc w:val="center"/>
        <w:rPr>
          <w:rFonts w:ascii="Arial Narrow" w:hAnsi="Arial Narrow"/>
          <w:b/>
          <w:sz w:val="28"/>
          <w:szCs w:val="28"/>
          <w:lang w:val="es-ES"/>
        </w:rPr>
      </w:pPr>
      <w:r w:rsidRPr="004B788A">
        <w:rPr>
          <w:rFonts w:ascii="Arial Narrow" w:hAnsi="Arial Narrow"/>
          <w:b/>
          <w:sz w:val="28"/>
          <w:szCs w:val="28"/>
          <w:lang w:val="es-ES"/>
        </w:rPr>
        <w:t>RE</w:t>
      </w:r>
      <w:r w:rsidR="004B788A" w:rsidRPr="004B788A">
        <w:rPr>
          <w:rFonts w:ascii="Arial Narrow" w:hAnsi="Arial Narrow"/>
          <w:b/>
          <w:sz w:val="28"/>
          <w:szCs w:val="28"/>
          <w:lang w:val="es-ES"/>
        </w:rPr>
        <w:t xml:space="preserve">TROACTIVO </w:t>
      </w:r>
      <w:r w:rsidRPr="004B788A">
        <w:rPr>
          <w:rFonts w:ascii="Arial Narrow" w:hAnsi="Arial Narrow"/>
          <w:b/>
          <w:sz w:val="28"/>
          <w:szCs w:val="28"/>
          <w:lang w:val="es-ES"/>
        </w:rPr>
        <w:t>PENSIONAL</w:t>
      </w:r>
    </w:p>
    <w:p w:rsidR="00213F05" w:rsidRPr="004B788A" w:rsidRDefault="00213F05" w:rsidP="004B788A">
      <w:pPr>
        <w:pStyle w:val="Sinespaciado"/>
        <w:jc w:val="center"/>
        <w:rPr>
          <w:rFonts w:ascii="Arial Narrow" w:hAnsi="Arial Narrow"/>
          <w:b/>
          <w:sz w:val="28"/>
          <w:szCs w:val="28"/>
        </w:rPr>
      </w:pPr>
    </w:p>
    <w:p w:rsidR="00213F05" w:rsidRDefault="00213F05" w:rsidP="00213F05"/>
    <w:tbl>
      <w:tblPr>
        <w:tblW w:w="6780" w:type="dxa"/>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780"/>
        <w:gridCol w:w="1400"/>
        <w:gridCol w:w="1200"/>
      </w:tblGrid>
      <w:tr w:rsidR="004B788A" w:rsidRPr="004B788A" w:rsidTr="004B788A">
        <w:trPr>
          <w:trHeight w:val="300"/>
        </w:trPr>
        <w:tc>
          <w:tcPr>
            <w:tcW w:w="1200" w:type="dxa"/>
            <w:shd w:val="clear" w:color="auto" w:fill="auto"/>
            <w:vAlign w:val="center"/>
            <w:hideMark/>
          </w:tcPr>
          <w:p w:rsidR="004B788A" w:rsidRPr="004B788A" w:rsidRDefault="004B788A" w:rsidP="004B788A">
            <w:pPr>
              <w:jc w:val="center"/>
              <w:rPr>
                <w:rFonts w:ascii="Arial Narrow" w:hAnsi="Arial Narrow"/>
                <w:b/>
                <w:bCs/>
                <w:color w:val="000000"/>
                <w:sz w:val="20"/>
                <w:lang w:val="es-CO" w:eastAsia="es-CO"/>
              </w:rPr>
            </w:pPr>
            <w:r w:rsidRPr="004B788A">
              <w:rPr>
                <w:rFonts w:ascii="Arial Narrow" w:hAnsi="Arial Narrow"/>
                <w:b/>
                <w:bCs/>
                <w:color w:val="000000"/>
                <w:sz w:val="20"/>
                <w:lang w:val="es-CO" w:eastAsia="es-CO"/>
              </w:rPr>
              <w:t xml:space="preserve">AÑO </w:t>
            </w:r>
          </w:p>
        </w:tc>
        <w:tc>
          <w:tcPr>
            <w:tcW w:w="1200" w:type="dxa"/>
            <w:shd w:val="clear" w:color="auto" w:fill="auto"/>
            <w:vAlign w:val="center"/>
            <w:hideMark/>
          </w:tcPr>
          <w:p w:rsidR="004B788A" w:rsidRPr="004B788A" w:rsidRDefault="004B788A" w:rsidP="004B788A">
            <w:pPr>
              <w:jc w:val="center"/>
              <w:rPr>
                <w:rFonts w:ascii="Arial Narrow" w:hAnsi="Arial Narrow"/>
                <w:b/>
                <w:bCs/>
                <w:color w:val="000000"/>
                <w:sz w:val="20"/>
                <w:lang w:val="es-CO" w:eastAsia="es-CO"/>
              </w:rPr>
            </w:pPr>
            <w:r w:rsidRPr="004B788A">
              <w:rPr>
                <w:rFonts w:ascii="Arial Narrow" w:hAnsi="Arial Narrow"/>
                <w:b/>
                <w:bCs/>
                <w:color w:val="000000"/>
                <w:sz w:val="20"/>
                <w:lang w:val="es-CO" w:eastAsia="es-CO"/>
              </w:rPr>
              <w:t xml:space="preserve">IPC </w:t>
            </w:r>
          </w:p>
        </w:tc>
        <w:tc>
          <w:tcPr>
            <w:tcW w:w="1780" w:type="dxa"/>
            <w:shd w:val="clear" w:color="auto" w:fill="auto"/>
            <w:vAlign w:val="center"/>
            <w:hideMark/>
          </w:tcPr>
          <w:p w:rsidR="004B788A" w:rsidRPr="004B788A" w:rsidRDefault="004B788A" w:rsidP="004B788A">
            <w:pPr>
              <w:jc w:val="center"/>
              <w:rPr>
                <w:rFonts w:ascii="Arial Narrow" w:hAnsi="Arial Narrow"/>
                <w:b/>
                <w:bCs/>
                <w:color w:val="000000"/>
                <w:sz w:val="20"/>
                <w:lang w:val="es-CO" w:eastAsia="es-CO"/>
              </w:rPr>
            </w:pPr>
            <w:r w:rsidRPr="004B788A">
              <w:rPr>
                <w:rFonts w:ascii="Arial Narrow" w:hAnsi="Arial Narrow"/>
                <w:b/>
                <w:bCs/>
                <w:color w:val="000000"/>
                <w:sz w:val="20"/>
                <w:lang w:val="es-CO" w:eastAsia="es-CO"/>
              </w:rPr>
              <w:t xml:space="preserve">No. MESADAS </w:t>
            </w:r>
          </w:p>
        </w:tc>
        <w:tc>
          <w:tcPr>
            <w:tcW w:w="1400" w:type="dxa"/>
            <w:shd w:val="clear" w:color="auto" w:fill="auto"/>
            <w:vAlign w:val="center"/>
            <w:hideMark/>
          </w:tcPr>
          <w:p w:rsidR="004B788A" w:rsidRPr="004B788A" w:rsidRDefault="004B788A" w:rsidP="004B788A">
            <w:pPr>
              <w:jc w:val="center"/>
              <w:rPr>
                <w:rFonts w:ascii="Arial Narrow" w:hAnsi="Arial Narrow"/>
                <w:b/>
                <w:bCs/>
                <w:color w:val="000000"/>
                <w:sz w:val="20"/>
                <w:lang w:val="es-CO" w:eastAsia="es-CO"/>
              </w:rPr>
            </w:pPr>
            <w:r w:rsidRPr="004B788A">
              <w:rPr>
                <w:rFonts w:ascii="Arial Narrow" w:hAnsi="Arial Narrow"/>
                <w:b/>
                <w:bCs/>
                <w:color w:val="000000"/>
                <w:sz w:val="20"/>
                <w:lang w:val="es-CO" w:eastAsia="es-CO"/>
              </w:rPr>
              <w:t xml:space="preserve">VALOR MESADA </w:t>
            </w:r>
          </w:p>
        </w:tc>
        <w:tc>
          <w:tcPr>
            <w:tcW w:w="1200" w:type="dxa"/>
            <w:shd w:val="clear" w:color="auto" w:fill="auto"/>
            <w:vAlign w:val="center"/>
            <w:hideMark/>
          </w:tcPr>
          <w:p w:rsidR="004B788A" w:rsidRPr="004B788A" w:rsidRDefault="004B788A" w:rsidP="004B788A">
            <w:pPr>
              <w:jc w:val="center"/>
              <w:rPr>
                <w:rFonts w:ascii="Arial Narrow" w:hAnsi="Arial Narrow"/>
                <w:b/>
                <w:bCs/>
                <w:color w:val="000000"/>
                <w:sz w:val="20"/>
                <w:lang w:val="es-CO" w:eastAsia="es-CO"/>
              </w:rPr>
            </w:pPr>
            <w:r w:rsidRPr="004B788A">
              <w:rPr>
                <w:rFonts w:ascii="Arial Narrow" w:hAnsi="Arial Narrow"/>
                <w:b/>
                <w:bCs/>
                <w:color w:val="000000"/>
                <w:sz w:val="20"/>
                <w:lang w:val="es-CO" w:eastAsia="es-CO"/>
              </w:rPr>
              <w:t xml:space="preserve"> TOTAL </w:t>
            </w:r>
          </w:p>
        </w:tc>
      </w:tr>
      <w:tr w:rsidR="004B788A" w:rsidRPr="004B788A" w:rsidTr="004B788A">
        <w:trPr>
          <w:trHeight w:val="330"/>
        </w:trPr>
        <w:tc>
          <w:tcPr>
            <w:tcW w:w="1200" w:type="dxa"/>
            <w:shd w:val="clear" w:color="auto" w:fill="auto"/>
            <w:vAlign w:val="center"/>
            <w:hideMark/>
          </w:tcPr>
          <w:p w:rsidR="004B788A" w:rsidRPr="004B788A" w:rsidRDefault="004B788A" w:rsidP="004B788A">
            <w:pPr>
              <w:jc w:val="center"/>
              <w:rPr>
                <w:rFonts w:ascii="Arial Narrow" w:hAnsi="Arial Narrow"/>
                <w:color w:val="000000"/>
                <w:sz w:val="22"/>
                <w:szCs w:val="22"/>
                <w:lang w:val="es-CO" w:eastAsia="es-CO"/>
              </w:rPr>
            </w:pPr>
            <w:r w:rsidRPr="004B788A">
              <w:rPr>
                <w:rFonts w:ascii="Arial Narrow" w:hAnsi="Arial Narrow"/>
                <w:color w:val="000000"/>
                <w:sz w:val="22"/>
                <w:szCs w:val="22"/>
                <w:lang w:val="es-CO" w:eastAsia="es-CO"/>
              </w:rPr>
              <w:t>2012</w:t>
            </w:r>
          </w:p>
        </w:tc>
        <w:tc>
          <w:tcPr>
            <w:tcW w:w="1200" w:type="dxa"/>
            <w:shd w:val="clear" w:color="auto" w:fill="auto"/>
            <w:vAlign w:val="center"/>
            <w:hideMark/>
          </w:tcPr>
          <w:p w:rsidR="004B788A" w:rsidRPr="004B788A" w:rsidRDefault="004B788A" w:rsidP="004B788A">
            <w:pPr>
              <w:jc w:val="center"/>
              <w:rPr>
                <w:rFonts w:ascii="Arial Narrow" w:hAnsi="Arial Narrow"/>
                <w:color w:val="000000"/>
                <w:sz w:val="22"/>
                <w:szCs w:val="22"/>
                <w:lang w:val="es-CO" w:eastAsia="es-CO"/>
              </w:rPr>
            </w:pPr>
            <w:r w:rsidRPr="004B788A">
              <w:rPr>
                <w:rFonts w:ascii="Arial Narrow" w:hAnsi="Arial Narrow"/>
                <w:color w:val="000000"/>
                <w:sz w:val="22"/>
                <w:szCs w:val="22"/>
                <w:lang w:val="es-CO" w:eastAsia="es-CO"/>
              </w:rPr>
              <w:t>3,73</w:t>
            </w:r>
          </w:p>
        </w:tc>
        <w:tc>
          <w:tcPr>
            <w:tcW w:w="1780" w:type="dxa"/>
            <w:shd w:val="clear" w:color="auto" w:fill="auto"/>
            <w:vAlign w:val="center"/>
            <w:hideMark/>
          </w:tcPr>
          <w:p w:rsidR="004B788A" w:rsidRPr="004B788A" w:rsidRDefault="004B788A" w:rsidP="004B788A">
            <w:pPr>
              <w:jc w:val="center"/>
              <w:rPr>
                <w:rFonts w:ascii="Arial Narrow" w:hAnsi="Arial Narrow"/>
                <w:color w:val="000000"/>
                <w:sz w:val="22"/>
                <w:szCs w:val="22"/>
                <w:lang w:val="es-CO" w:eastAsia="es-CO"/>
              </w:rPr>
            </w:pPr>
            <w:r w:rsidRPr="004B788A">
              <w:rPr>
                <w:rFonts w:ascii="Arial Narrow" w:hAnsi="Arial Narrow"/>
                <w:color w:val="000000"/>
                <w:sz w:val="22"/>
                <w:szCs w:val="22"/>
                <w:lang w:val="es-CO" w:eastAsia="es-CO"/>
              </w:rPr>
              <w:t>5</w:t>
            </w:r>
          </w:p>
        </w:tc>
        <w:tc>
          <w:tcPr>
            <w:tcW w:w="1400" w:type="dxa"/>
            <w:shd w:val="clear" w:color="auto" w:fill="auto"/>
            <w:vAlign w:val="center"/>
            <w:hideMark/>
          </w:tcPr>
          <w:p w:rsidR="004B788A" w:rsidRPr="004B788A" w:rsidRDefault="004B788A" w:rsidP="004B788A">
            <w:pPr>
              <w:jc w:val="center"/>
              <w:rPr>
                <w:rFonts w:ascii="Arial Narrow" w:hAnsi="Arial Narrow"/>
                <w:color w:val="000000"/>
                <w:sz w:val="22"/>
                <w:szCs w:val="22"/>
                <w:lang w:val="es-CO" w:eastAsia="es-CO"/>
              </w:rPr>
            </w:pPr>
            <w:r w:rsidRPr="004B788A">
              <w:rPr>
                <w:rFonts w:ascii="Arial Narrow" w:hAnsi="Arial Narrow"/>
                <w:color w:val="000000"/>
                <w:sz w:val="22"/>
                <w:szCs w:val="22"/>
                <w:lang w:val="es-CO" w:eastAsia="es-CO"/>
              </w:rPr>
              <w:t>$901.343</w:t>
            </w:r>
          </w:p>
        </w:tc>
        <w:tc>
          <w:tcPr>
            <w:tcW w:w="1200" w:type="dxa"/>
            <w:shd w:val="clear" w:color="auto" w:fill="auto"/>
            <w:vAlign w:val="center"/>
            <w:hideMark/>
          </w:tcPr>
          <w:p w:rsidR="004B788A" w:rsidRPr="004B788A" w:rsidRDefault="004B788A" w:rsidP="004B788A">
            <w:pPr>
              <w:jc w:val="center"/>
              <w:rPr>
                <w:rFonts w:ascii="Arial Narrow" w:hAnsi="Arial Narrow"/>
                <w:color w:val="000000"/>
                <w:sz w:val="22"/>
                <w:szCs w:val="22"/>
                <w:lang w:val="es-CO" w:eastAsia="es-CO"/>
              </w:rPr>
            </w:pPr>
            <w:r w:rsidRPr="004B788A">
              <w:rPr>
                <w:rFonts w:ascii="Arial Narrow" w:hAnsi="Arial Narrow"/>
                <w:color w:val="000000"/>
                <w:sz w:val="22"/>
                <w:szCs w:val="22"/>
                <w:lang w:val="es-CO" w:eastAsia="es-CO"/>
              </w:rPr>
              <w:t>$4.506.715</w:t>
            </w:r>
          </w:p>
        </w:tc>
      </w:tr>
      <w:tr w:rsidR="004B788A" w:rsidRPr="004B788A" w:rsidTr="004B788A">
        <w:trPr>
          <w:trHeight w:val="330"/>
        </w:trPr>
        <w:tc>
          <w:tcPr>
            <w:tcW w:w="1200" w:type="dxa"/>
            <w:shd w:val="clear" w:color="auto" w:fill="auto"/>
            <w:vAlign w:val="center"/>
            <w:hideMark/>
          </w:tcPr>
          <w:p w:rsidR="004B788A" w:rsidRPr="004B788A" w:rsidRDefault="004B788A" w:rsidP="004B788A">
            <w:pPr>
              <w:jc w:val="center"/>
              <w:rPr>
                <w:rFonts w:ascii="Arial Narrow" w:hAnsi="Arial Narrow"/>
                <w:color w:val="000000"/>
                <w:sz w:val="22"/>
                <w:szCs w:val="22"/>
                <w:lang w:val="es-CO" w:eastAsia="es-CO"/>
              </w:rPr>
            </w:pPr>
            <w:r w:rsidRPr="004B788A">
              <w:rPr>
                <w:rFonts w:ascii="Arial Narrow" w:hAnsi="Arial Narrow"/>
                <w:color w:val="000000"/>
                <w:sz w:val="22"/>
                <w:szCs w:val="22"/>
                <w:lang w:val="es-CO" w:eastAsia="es-CO"/>
              </w:rPr>
              <w:t>2013</w:t>
            </w:r>
          </w:p>
        </w:tc>
        <w:tc>
          <w:tcPr>
            <w:tcW w:w="1200" w:type="dxa"/>
            <w:shd w:val="clear" w:color="auto" w:fill="auto"/>
            <w:vAlign w:val="center"/>
            <w:hideMark/>
          </w:tcPr>
          <w:p w:rsidR="004B788A" w:rsidRPr="004B788A" w:rsidRDefault="004B788A" w:rsidP="004B788A">
            <w:pPr>
              <w:jc w:val="center"/>
              <w:rPr>
                <w:rFonts w:ascii="Arial Narrow" w:hAnsi="Arial Narrow"/>
                <w:color w:val="000000"/>
                <w:sz w:val="22"/>
                <w:szCs w:val="22"/>
                <w:lang w:val="es-CO" w:eastAsia="es-CO"/>
              </w:rPr>
            </w:pPr>
            <w:r w:rsidRPr="004B788A">
              <w:rPr>
                <w:rFonts w:ascii="Arial Narrow" w:hAnsi="Arial Narrow"/>
                <w:color w:val="000000"/>
                <w:sz w:val="22"/>
                <w:szCs w:val="22"/>
                <w:lang w:val="es-CO" w:eastAsia="es-CO"/>
              </w:rPr>
              <w:t>2,44</w:t>
            </w:r>
          </w:p>
        </w:tc>
        <w:tc>
          <w:tcPr>
            <w:tcW w:w="1780" w:type="dxa"/>
            <w:shd w:val="clear" w:color="auto" w:fill="auto"/>
            <w:vAlign w:val="center"/>
            <w:hideMark/>
          </w:tcPr>
          <w:p w:rsidR="004B788A" w:rsidRPr="004B788A" w:rsidRDefault="004B788A" w:rsidP="004B788A">
            <w:pPr>
              <w:jc w:val="center"/>
              <w:rPr>
                <w:rFonts w:ascii="Arial Narrow" w:hAnsi="Arial Narrow"/>
                <w:color w:val="000000"/>
                <w:sz w:val="22"/>
                <w:szCs w:val="22"/>
                <w:lang w:val="es-CO" w:eastAsia="es-CO"/>
              </w:rPr>
            </w:pPr>
            <w:r w:rsidRPr="004B788A">
              <w:rPr>
                <w:rFonts w:ascii="Arial Narrow" w:hAnsi="Arial Narrow"/>
                <w:color w:val="000000"/>
                <w:sz w:val="22"/>
                <w:szCs w:val="22"/>
                <w:lang w:val="es-CO" w:eastAsia="es-CO"/>
              </w:rPr>
              <w:t>5</w:t>
            </w:r>
          </w:p>
        </w:tc>
        <w:tc>
          <w:tcPr>
            <w:tcW w:w="1400" w:type="dxa"/>
            <w:shd w:val="clear" w:color="auto" w:fill="auto"/>
            <w:vAlign w:val="center"/>
            <w:hideMark/>
          </w:tcPr>
          <w:p w:rsidR="004B788A" w:rsidRPr="004B788A" w:rsidRDefault="004B788A" w:rsidP="004B788A">
            <w:pPr>
              <w:jc w:val="center"/>
              <w:rPr>
                <w:rFonts w:ascii="Arial Narrow" w:hAnsi="Arial Narrow"/>
                <w:color w:val="000000"/>
                <w:sz w:val="22"/>
                <w:szCs w:val="22"/>
                <w:lang w:val="es-CO" w:eastAsia="es-CO"/>
              </w:rPr>
            </w:pPr>
            <w:r w:rsidRPr="004B788A">
              <w:rPr>
                <w:rFonts w:ascii="Arial Narrow" w:hAnsi="Arial Narrow"/>
                <w:color w:val="000000"/>
                <w:sz w:val="22"/>
                <w:szCs w:val="22"/>
                <w:lang w:val="es-CO" w:eastAsia="es-CO"/>
              </w:rPr>
              <w:t>$923.336</w:t>
            </w:r>
          </w:p>
        </w:tc>
        <w:tc>
          <w:tcPr>
            <w:tcW w:w="1200" w:type="dxa"/>
            <w:shd w:val="clear" w:color="auto" w:fill="auto"/>
            <w:vAlign w:val="center"/>
            <w:hideMark/>
          </w:tcPr>
          <w:p w:rsidR="004B788A" w:rsidRPr="004B788A" w:rsidRDefault="004B788A" w:rsidP="004B788A">
            <w:pPr>
              <w:jc w:val="center"/>
              <w:rPr>
                <w:rFonts w:ascii="Arial Narrow" w:hAnsi="Arial Narrow"/>
                <w:color w:val="000000"/>
                <w:sz w:val="22"/>
                <w:szCs w:val="22"/>
                <w:lang w:val="es-CO" w:eastAsia="es-CO"/>
              </w:rPr>
            </w:pPr>
            <w:r w:rsidRPr="004B788A">
              <w:rPr>
                <w:rFonts w:ascii="Arial Narrow" w:hAnsi="Arial Narrow"/>
                <w:color w:val="000000"/>
                <w:sz w:val="22"/>
                <w:szCs w:val="22"/>
                <w:lang w:val="es-CO" w:eastAsia="es-CO"/>
              </w:rPr>
              <w:t>$4.616.679</w:t>
            </w:r>
          </w:p>
        </w:tc>
      </w:tr>
      <w:tr w:rsidR="004B788A" w:rsidRPr="004B788A" w:rsidTr="004B788A">
        <w:trPr>
          <w:trHeight w:val="300"/>
        </w:trPr>
        <w:tc>
          <w:tcPr>
            <w:tcW w:w="1200" w:type="dxa"/>
            <w:shd w:val="clear" w:color="auto" w:fill="auto"/>
            <w:vAlign w:val="center"/>
            <w:hideMark/>
          </w:tcPr>
          <w:p w:rsidR="004B788A" w:rsidRPr="004B788A" w:rsidRDefault="004B788A" w:rsidP="004B788A">
            <w:pPr>
              <w:jc w:val="center"/>
              <w:rPr>
                <w:rFonts w:ascii="Arial Narrow" w:hAnsi="Arial Narrow"/>
                <w:color w:val="000000"/>
                <w:sz w:val="22"/>
                <w:szCs w:val="22"/>
                <w:lang w:val="es-CO" w:eastAsia="es-CO"/>
              </w:rPr>
            </w:pPr>
          </w:p>
        </w:tc>
        <w:tc>
          <w:tcPr>
            <w:tcW w:w="1200" w:type="dxa"/>
            <w:shd w:val="clear" w:color="auto" w:fill="auto"/>
            <w:vAlign w:val="center"/>
            <w:hideMark/>
          </w:tcPr>
          <w:p w:rsidR="004B788A" w:rsidRPr="004B788A" w:rsidRDefault="004B788A" w:rsidP="004B788A">
            <w:pPr>
              <w:jc w:val="center"/>
              <w:rPr>
                <w:sz w:val="20"/>
                <w:lang w:val="es-CO" w:eastAsia="es-CO"/>
              </w:rPr>
            </w:pPr>
          </w:p>
        </w:tc>
        <w:tc>
          <w:tcPr>
            <w:tcW w:w="1780" w:type="dxa"/>
            <w:shd w:val="clear" w:color="auto" w:fill="auto"/>
            <w:vAlign w:val="center"/>
            <w:hideMark/>
          </w:tcPr>
          <w:p w:rsidR="004B788A" w:rsidRPr="004B788A" w:rsidRDefault="004B788A" w:rsidP="004B788A">
            <w:pPr>
              <w:jc w:val="center"/>
              <w:rPr>
                <w:sz w:val="20"/>
                <w:lang w:val="es-CO" w:eastAsia="es-CO"/>
              </w:rPr>
            </w:pPr>
          </w:p>
        </w:tc>
        <w:tc>
          <w:tcPr>
            <w:tcW w:w="1400" w:type="dxa"/>
            <w:shd w:val="clear" w:color="auto" w:fill="auto"/>
            <w:vAlign w:val="center"/>
            <w:hideMark/>
          </w:tcPr>
          <w:p w:rsidR="004B788A" w:rsidRPr="004B788A" w:rsidRDefault="004B788A" w:rsidP="004B788A">
            <w:pPr>
              <w:jc w:val="center"/>
              <w:rPr>
                <w:sz w:val="20"/>
                <w:lang w:val="es-CO" w:eastAsia="es-CO"/>
              </w:rPr>
            </w:pPr>
          </w:p>
        </w:tc>
        <w:tc>
          <w:tcPr>
            <w:tcW w:w="1200" w:type="dxa"/>
            <w:shd w:val="clear" w:color="auto" w:fill="auto"/>
            <w:vAlign w:val="center"/>
            <w:hideMark/>
          </w:tcPr>
          <w:p w:rsidR="004B788A" w:rsidRPr="004B788A" w:rsidRDefault="004B788A" w:rsidP="004B788A">
            <w:pPr>
              <w:jc w:val="center"/>
              <w:rPr>
                <w:rFonts w:ascii="Arial Narrow" w:hAnsi="Arial Narrow"/>
                <w:b/>
                <w:bCs/>
                <w:color w:val="000000"/>
                <w:sz w:val="20"/>
                <w:lang w:val="es-CO" w:eastAsia="es-CO"/>
              </w:rPr>
            </w:pPr>
            <w:r w:rsidRPr="004B788A">
              <w:rPr>
                <w:rFonts w:ascii="Arial Narrow" w:hAnsi="Arial Narrow"/>
                <w:b/>
                <w:bCs/>
                <w:color w:val="000000"/>
                <w:sz w:val="20"/>
                <w:lang w:val="es-CO" w:eastAsia="es-CO"/>
              </w:rPr>
              <w:t>$9.123.394</w:t>
            </w:r>
          </w:p>
        </w:tc>
      </w:tr>
    </w:tbl>
    <w:p w:rsidR="00213F05" w:rsidRDefault="00213F05" w:rsidP="00213F05">
      <w:pPr>
        <w:spacing w:line="360" w:lineRule="auto"/>
        <w:ind w:firstLine="900"/>
        <w:jc w:val="center"/>
        <w:rPr>
          <w:rFonts w:ascii="Arial Narrow" w:hAnsi="Arial Narrow" w:cs="Microsoft Sans Serif"/>
          <w:b/>
          <w:iCs/>
          <w:sz w:val="28"/>
          <w:szCs w:val="28"/>
          <w:lang w:val="es-ES"/>
        </w:rPr>
      </w:pPr>
    </w:p>
    <w:p w:rsidR="00213F05" w:rsidRDefault="00213F05" w:rsidP="00213F05">
      <w:pPr>
        <w:spacing w:line="360" w:lineRule="auto"/>
        <w:ind w:firstLine="900"/>
        <w:jc w:val="center"/>
        <w:rPr>
          <w:rFonts w:ascii="Arial Narrow" w:hAnsi="Arial Narrow" w:cs="Microsoft Sans Serif"/>
          <w:b/>
          <w:iCs/>
          <w:sz w:val="28"/>
          <w:szCs w:val="28"/>
          <w:lang w:val="es-ES"/>
        </w:rPr>
      </w:pPr>
    </w:p>
    <w:p w:rsidR="00213F05" w:rsidRDefault="00213F05" w:rsidP="004B788A">
      <w:pPr>
        <w:ind w:firstLine="900"/>
        <w:jc w:val="center"/>
        <w:rPr>
          <w:rFonts w:ascii="Arial Narrow" w:hAnsi="Arial Narrow" w:cs="Microsoft Sans Serif"/>
          <w:b/>
          <w:iCs/>
          <w:sz w:val="28"/>
          <w:szCs w:val="28"/>
          <w:lang w:val="es-ES"/>
        </w:rPr>
      </w:pPr>
    </w:p>
    <w:p w:rsidR="00213F05" w:rsidRDefault="004B788A" w:rsidP="004B788A">
      <w:pPr>
        <w:ind w:firstLine="3828"/>
        <w:rPr>
          <w:rFonts w:ascii="Arial Narrow" w:hAnsi="Arial Narrow" w:cs="Microsoft Sans Serif"/>
          <w:b/>
          <w:iCs/>
          <w:sz w:val="28"/>
          <w:szCs w:val="28"/>
          <w:lang w:val="es-ES"/>
        </w:rPr>
      </w:pPr>
      <w:r>
        <w:rPr>
          <w:rFonts w:ascii="Arial Narrow" w:hAnsi="Arial Narrow" w:cs="Microsoft Sans Serif"/>
          <w:b/>
          <w:iCs/>
          <w:sz w:val="28"/>
          <w:szCs w:val="28"/>
          <w:lang w:val="es-ES"/>
        </w:rPr>
        <w:t>ANEXO II</w:t>
      </w:r>
    </w:p>
    <w:p w:rsidR="00213F05" w:rsidRDefault="004B788A" w:rsidP="004B788A">
      <w:pPr>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REAJUSTE PENSIONAL</w:t>
      </w:r>
    </w:p>
    <w:p w:rsidR="004B788A" w:rsidRDefault="004B788A" w:rsidP="004B788A">
      <w:pPr>
        <w:jc w:val="center"/>
      </w:pPr>
    </w:p>
    <w:p w:rsidR="004B788A" w:rsidRDefault="004B788A" w:rsidP="004B788A">
      <w:pPr>
        <w:jc w:val="center"/>
      </w:pPr>
      <w:bookmarkStart w:id="2" w:name="_GoBack"/>
      <w:bookmarkEnd w:id="2"/>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247"/>
        <w:gridCol w:w="924"/>
        <w:gridCol w:w="924"/>
        <w:gridCol w:w="1034"/>
        <w:gridCol w:w="1415"/>
        <w:gridCol w:w="997"/>
        <w:gridCol w:w="1564"/>
      </w:tblGrid>
      <w:tr w:rsidR="004B788A" w:rsidRPr="004B788A" w:rsidTr="004B788A">
        <w:trPr>
          <w:gridAfter w:val="3"/>
          <w:wAfter w:w="3976" w:type="dxa"/>
          <w:trHeight w:val="315"/>
        </w:trPr>
        <w:tc>
          <w:tcPr>
            <w:tcW w:w="1247" w:type="dxa"/>
            <w:shd w:val="clear" w:color="auto" w:fill="FFFFFF" w:themeFill="background1"/>
            <w:vAlign w:val="center"/>
            <w:hideMark/>
          </w:tcPr>
          <w:p w:rsidR="004B788A" w:rsidRPr="004B788A" w:rsidRDefault="004B788A" w:rsidP="004B788A">
            <w:pPr>
              <w:jc w:val="center"/>
              <w:rPr>
                <w:rFonts w:ascii="Arial Narrow" w:hAnsi="Arial Narrow"/>
                <w:b/>
                <w:bCs/>
                <w:color w:val="000000"/>
                <w:sz w:val="20"/>
                <w:lang w:val="es-CO" w:eastAsia="es-CO"/>
              </w:rPr>
            </w:pPr>
            <w:r w:rsidRPr="004B788A">
              <w:rPr>
                <w:rFonts w:ascii="Arial Narrow" w:hAnsi="Arial Narrow"/>
                <w:b/>
                <w:bCs/>
                <w:color w:val="000000"/>
                <w:sz w:val="20"/>
                <w:lang w:val="es-CO" w:eastAsia="es-CO"/>
              </w:rPr>
              <w:t>Fecha Liquida:</w:t>
            </w:r>
          </w:p>
        </w:tc>
        <w:tc>
          <w:tcPr>
            <w:tcW w:w="924" w:type="dxa"/>
            <w:shd w:val="clear" w:color="auto" w:fill="FFFFFF" w:themeFill="background1"/>
            <w:noWrap/>
            <w:vAlign w:val="center"/>
            <w:hideMark/>
          </w:tcPr>
          <w:p w:rsidR="004B788A" w:rsidRPr="004B788A" w:rsidRDefault="004B788A" w:rsidP="004B788A">
            <w:pPr>
              <w:jc w:val="right"/>
              <w:rPr>
                <w:rFonts w:ascii="Arial Narrow" w:hAnsi="Arial Narrow"/>
                <w:color w:val="000000"/>
                <w:sz w:val="20"/>
                <w:lang w:val="es-CO" w:eastAsia="es-CO"/>
              </w:rPr>
            </w:pPr>
            <w:r w:rsidRPr="004B788A">
              <w:rPr>
                <w:rFonts w:ascii="Arial Narrow" w:hAnsi="Arial Narrow"/>
                <w:color w:val="000000"/>
                <w:sz w:val="20"/>
                <w:lang w:val="es-CO" w:eastAsia="es-CO"/>
              </w:rPr>
              <w:t>31-may-16</w:t>
            </w:r>
          </w:p>
        </w:tc>
        <w:tc>
          <w:tcPr>
            <w:tcW w:w="924" w:type="dxa"/>
            <w:shd w:val="clear" w:color="auto" w:fill="FFFFFF" w:themeFill="background1"/>
            <w:vAlign w:val="center"/>
            <w:hideMark/>
          </w:tcPr>
          <w:p w:rsidR="004B788A" w:rsidRPr="004B788A" w:rsidRDefault="004B788A" w:rsidP="004B788A">
            <w:pPr>
              <w:jc w:val="center"/>
              <w:rPr>
                <w:rFonts w:ascii="Arial Narrow" w:hAnsi="Arial Narrow"/>
                <w:b/>
                <w:bCs/>
                <w:color w:val="000000"/>
                <w:sz w:val="20"/>
                <w:lang w:val="es-CO" w:eastAsia="es-CO"/>
              </w:rPr>
            </w:pPr>
            <w:r w:rsidRPr="004B788A">
              <w:rPr>
                <w:rFonts w:ascii="Arial Narrow" w:hAnsi="Arial Narrow"/>
                <w:b/>
                <w:bCs/>
                <w:color w:val="000000"/>
                <w:sz w:val="20"/>
                <w:lang w:val="es-CO" w:eastAsia="es-CO"/>
              </w:rPr>
              <w:t>Ipc (Vf)</w:t>
            </w:r>
          </w:p>
        </w:tc>
        <w:tc>
          <w:tcPr>
            <w:tcW w:w="1034" w:type="dxa"/>
            <w:shd w:val="clear" w:color="auto" w:fill="FFFFFF" w:themeFill="background1"/>
            <w:vAlign w:val="center"/>
            <w:hideMark/>
          </w:tcPr>
          <w:p w:rsidR="004B788A" w:rsidRPr="004B788A" w:rsidRDefault="004B788A" w:rsidP="004B788A">
            <w:pPr>
              <w:jc w:val="center"/>
              <w:rPr>
                <w:rFonts w:ascii="Arial Narrow" w:hAnsi="Arial Narrow"/>
                <w:sz w:val="20"/>
                <w:lang w:val="es-CO" w:eastAsia="es-CO"/>
              </w:rPr>
            </w:pPr>
            <w:r w:rsidRPr="004B788A">
              <w:rPr>
                <w:rFonts w:ascii="Arial Narrow" w:hAnsi="Arial Narrow"/>
                <w:sz w:val="20"/>
                <w:lang w:val="es-CO" w:eastAsia="es-CO"/>
              </w:rPr>
              <w:t xml:space="preserve">             126,15 </w:t>
            </w:r>
          </w:p>
        </w:tc>
      </w:tr>
      <w:tr w:rsidR="004B788A" w:rsidRPr="004B788A" w:rsidTr="004B788A">
        <w:trPr>
          <w:trHeight w:val="675"/>
        </w:trPr>
        <w:tc>
          <w:tcPr>
            <w:tcW w:w="1247" w:type="dxa"/>
            <w:shd w:val="clear" w:color="auto" w:fill="FFFFFF" w:themeFill="background1"/>
            <w:vAlign w:val="center"/>
            <w:hideMark/>
          </w:tcPr>
          <w:p w:rsidR="004B788A" w:rsidRPr="004B788A" w:rsidRDefault="004B788A" w:rsidP="004B788A">
            <w:pPr>
              <w:jc w:val="center"/>
              <w:rPr>
                <w:rFonts w:ascii="Arial Narrow" w:hAnsi="Arial Narrow"/>
                <w:b/>
                <w:bCs/>
                <w:color w:val="000000"/>
                <w:sz w:val="20"/>
                <w:lang w:val="es-CO" w:eastAsia="es-CO"/>
              </w:rPr>
            </w:pPr>
            <w:r w:rsidRPr="004B788A">
              <w:rPr>
                <w:rFonts w:ascii="Arial Narrow" w:hAnsi="Arial Narrow"/>
                <w:b/>
                <w:bCs/>
                <w:color w:val="000000"/>
                <w:sz w:val="20"/>
                <w:lang w:val="es-CO" w:eastAsia="es-CO"/>
              </w:rPr>
              <w:t>IPC</w:t>
            </w:r>
            <w:r w:rsidRPr="004B788A">
              <w:rPr>
                <w:rFonts w:ascii="Arial Narrow" w:hAnsi="Arial Narrow"/>
                <w:b/>
                <w:bCs/>
                <w:sz w:val="20"/>
                <w:lang w:val="es-CO" w:eastAsia="es-CO"/>
              </w:rPr>
              <w:t xml:space="preserve">   (Var. Año anterior)</w:t>
            </w:r>
          </w:p>
        </w:tc>
        <w:tc>
          <w:tcPr>
            <w:tcW w:w="924" w:type="dxa"/>
            <w:shd w:val="clear" w:color="auto" w:fill="FFFFFF" w:themeFill="background1"/>
            <w:vAlign w:val="center"/>
            <w:hideMark/>
          </w:tcPr>
          <w:p w:rsidR="004B788A" w:rsidRPr="004B788A" w:rsidRDefault="004B788A" w:rsidP="004B788A">
            <w:pPr>
              <w:jc w:val="center"/>
              <w:rPr>
                <w:rFonts w:ascii="Arial Narrow" w:hAnsi="Arial Narrow"/>
                <w:b/>
                <w:bCs/>
                <w:color w:val="000000"/>
                <w:sz w:val="20"/>
                <w:lang w:val="es-CO" w:eastAsia="es-CO"/>
              </w:rPr>
            </w:pPr>
            <w:r w:rsidRPr="004B788A">
              <w:rPr>
                <w:rFonts w:ascii="Arial Narrow" w:hAnsi="Arial Narrow"/>
                <w:b/>
                <w:bCs/>
                <w:color w:val="000000"/>
                <w:sz w:val="20"/>
                <w:lang w:val="es-CO" w:eastAsia="es-CO"/>
              </w:rPr>
              <w:t>Desde</w:t>
            </w:r>
          </w:p>
        </w:tc>
        <w:tc>
          <w:tcPr>
            <w:tcW w:w="924" w:type="dxa"/>
            <w:shd w:val="clear" w:color="auto" w:fill="FFFFFF" w:themeFill="background1"/>
            <w:vAlign w:val="center"/>
            <w:hideMark/>
          </w:tcPr>
          <w:p w:rsidR="004B788A" w:rsidRPr="004B788A" w:rsidRDefault="004B788A" w:rsidP="004B788A">
            <w:pPr>
              <w:jc w:val="center"/>
              <w:rPr>
                <w:rFonts w:ascii="Arial Narrow" w:hAnsi="Arial Narrow"/>
                <w:b/>
                <w:bCs/>
                <w:color w:val="000000"/>
                <w:sz w:val="20"/>
                <w:lang w:val="es-CO" w:eastAsia="es-CO"/>
              </w:rPr>
            </w:pPr>
            <w:r w:rsidRPr="004B788A">
              <w:rPr>
                <w:rFonts w:ascii="Arial Narrow" w:hAnsi="Arial Narrow"/>
                <w:b/>
                <w:bCs/>
                <w:color w:val="000000"/>
                <w:sz w:val="20"/>
                <w:lang w:val="es-CO" w:eastAsia="es-CO"/>
              </w:rPr>
              <w:t>Hasta</w:t>
            </w:r>
          </w:p>
        </w:tc>
        <w:tc>
          <w:tcPr>
            <w:tcW w:w="1034" w:type="dxa"/>
            <w:shd w:val="clear" w:color="auto" w:fill="FFFFFF" w:themeFill="background1"/>
            <w:vAlign w:val="center"/>
            <w:hideMark/>
          </w:tcPr>
          <w:p w:rsidR="004B788A" w:rsidRPr="004B788A" w:rsidRDefault="004B788A" w:rsidP="004B788A">
            <w:pPr>
              <w:jc w:val="center"/>
              <w:rPr>
                <w:rFonts w:ascii="Arial Narrow" w:hAnsi="Arial Narrow"/>
                <w:b/>
                <w:bCs/>
                <w:color w:val="000000"/>
                <w:sz w:val="20"/>
                <w:lang w:val="es-CO" w:eastAsia="es-CO"/>
              </w:rPr>
            </w:pPr>
            <w:r w:rsidRPr="004B788A">
              <w:rPr>
                <w:rFonts w:ascii="Arial Narrow" w:hAnsi="Arial Narrow"/>
                <w:b/>
                <w:bCs/>
                <w:color w:val="000000"/>
                <w:sz w:val="20"/>
                <w:lang w:val="es-CO" w:eastAsia="es-CO"/>
              </w:rPr>
              <w:t>Causadas</w:t>
            </w:r>
          </w:p>
        </w:tc>
        <w:tc>
          <w:tcPr>
            <w:tcW w:w="1415" w:type="dxa"/>
            <w:shd w:val="clear" w:color="auto" w:fill="FFFFFF" w:themeFill="background1"/>
            <w:vAlign w:val="center"/>
            <w:hideMark/>
          </w:tcPr>
          <w:p w:rsidR="004B788A" w:rsidRPr="004B788A" w:rsidRDefault="004B788A" w:rsidP="004B788A">
            <w:pPr>
              <w:jc w:val="center"/>
              <w:rPr>
                <w:rFonts w:ascii="Arial Narrow" w:hAnsi="Arial Narrow"/>
                <w:b/>
                <w:bCs/>
                <w:color w:val="000000"/>
                <w:sz w:val="20"/>
                <w:lang w:val="es-CO" w:eastAsia="es-CO"/>
              </w:rPr>
            </w:pPr>
            <w:r w:rsidRPr="004B788A">
              <w:rPr>
                <w:rFonts w:ascii="Arial Narrow" w:hAnsi="Arial Narrow"/>
                <w:b/>
                <w:bCs/>
                <w:color w:val="000000"/>
                <w:sz w:val="20"/>
                <w:lang w:val="es-CO" w:eastAsia="es-CO"/>
              </w:rPr>
              <w:t>Mesada reliquidada</w:t>
            </w:r>
          </w:p>
        </w:tc>
        <w:tc>
          <w:tcPr>
            <w:tcW w:w="997" w:type="dxa"/>
            <w:shd w:val="clear" w:color="auto" w:fill="FFFFFF" w:themeFill="background1"/>
            <w:vAlign w:val="center"/>
            <w:hideMark/>
          </w:tcPr>
          <w:p w:rsidR="004B788A" w:rsidRPr="004B788A" w:rsidRDefault="004B788A" w:rsidP="004B788A">
            <w:pPr>
              <w:jc w:val="center"/>
              <w:rPr>
                <w:rFonts w:ascii="Arial Narrow" w:hAnsi="Arial Narrow"/>
                <w:b/>
                <w:bCs/>
                <w:color w:val="000000"/>
                <w:sz w:val="20"/>
                <w:lang w:val="es-CO" w:eastAsia="es-CO"/>
              </w:rPr>
            </w:pPr>
            <w:r w:rsidRPr="004B788A">
              <w:rPr>
                <w:rFonts w:ascii="Arial Narrow" w:hAnsi="Arial Narrow"/>
                <w:b/>
                <w:bCs/>
                <w:color w:val="000000"/>
                <w:sz w:val="20"/>
                <w:lang w:val="es-CO" w:eastAsia="es-CO"/>
              </w:rPr>
              <w:t>Mesada anterior</w:t>
            </w:r>
          </w:p>
        </w:tc>
        <w:tc>
          <w:tcPr>
            <w:tcW w:w="1564" w:type="dxa"/>
            <w:shd w:val="clear" w:color="auto" w:fill="FFFFFF" w:themeFill="background1"/>
            <w:vAlign w:val="center"/>
            <w:hideMark/>
          </w:tcPr>
          <w:p w:rsidR="004B788A" w:rsidRPr="004B788A" w:rsidRDefault="004B788A" w:rsidP="004B788A">
            <w:pPr>
              <w:jc w:val="center"/>
              <w:rPr>
                <w:rFonts w:ascii="Arial Narrow" w:hAnsi="Arial Narrow"/>
                <w:b/>
                <w:bCs/>
                <w:color w:val="000000"/>
                <w:sz w:val="20"/>
                <w:lang w:val="es-CO" w:eastAsia="es-CO"/>
              </w:rPr>
            </w:pPr>
            <w:r w:rsidRPr="004B788A">
              <w:rPr>
                <w:rFonts w:ascii="Arial Narrow" w:hAnsi="Arial Narrow"/>
                <w:b/>
                <w:bCs/>
                <w:color w:val="000000"/>
                <w:sz w:val="20"/>
                <w:lang w:val="es-CO" w:eastAsia="es-CO"/>
              </w:rPr>
              <w:t xml:space="preserve"> Diferencias a cancelar </w:t>
            </w:r>
          </w:p>
        </w:tc>
      </w:tr>
      <w:tr w:rsidR="004B788A" w:rsidRPr="004B788A" w:rsidTr="004B788A">
        <w:trPr>
          <w:trHeight w:val="315"/>
        </w:trPr>
        <w:tc>
          <w:tcPr>
            <w:tcW w:w="1247" w:type="dxa"/>
            <w:shd w:val="clear" w:color="auto" w:fill="FFFFFF" w:themeFill="background1"/>
            <w:noWrap/>
            <w:vAlign w:val="bottom"/>
            <w:hideMark/>
          </w:tcPr>
          <w:p w:rsidR="004B788A" w:rsidRPr="004B788A" w:rsidRDefault="004B788A" w:rsidP="004B788A">
            <w:pPr>
              <w:jc w:val="center"/>
              <w:rPr>
                <w:rFonts w:ascii="Arial Narrow" w:hAnsi="Arial Narrow"/>
                <w:sz w:val="20"/>
                <w:lang w:val="es-CO" w:eastAsia="es-CO"/>
              </w:rPr>
            </w:pPr>
            <w:r w:rsidRPr="004B788A">
              <w:rPr>
                <w:rFonts w:ascii="Arial Narrow" w:hAnsi="Arial Narrow"/>
                <w:sz w:val="20"/>
                <w:lang w:val="es-CO" w:eastAsia="es-CO"/>
              </w:rPr>
              <w:t>2,44</w:t>
            </w:r>
          </w:p>
        </w:tc>
        <w:tc>
          <w:tcPr>
            <w:tcW w:w="924" w:type="dxa"/>
            <w:shd w:val="clear" w:color="auto" w:fill="FFFFFF" w:themeFill="background1"/>
            <w:noWrap/>
            <w:vAlign w:val="center"/>
            <w:hideMark/>
          </w:tcPr>
          <w:p w:rsidR="004B788A" w:rsidRPr="004B788A" w:rsidRDefault="004B788A" w:rsidP="004B788A">
            <w:pPr>
              <w:jc w:val="right"/>
              <w:rPr>
                <w:rFonts w:ascii="Arial Narrow" w:hAnsi="Arial Narrow"/>
                <w:color w:val="000000"/>
                <w:sz w:val="20"/>
                <w:lang w:val="es-CO" w:eastAsia="es-CO"/>
              </w:rPr>
            </w:pPr>
            <w:r w:rsidRPr="004B788A">
              <w:rPr>
                <w:rFonts w:ascii="Arial Narrow" w:hAnsi="Arial Narrow"/>
                <w:color w:val="000000"/>
                <w:sz w:val="20"/>
                <w:lang w:val="es-CO" w:eastAsia="es-CO"/>
              </w:rPr>
              <w:t>01-mar-12</w:t>
            </w:r>
          </w:p>
        </w:tc>
        <w:tc>
          <w:tcPr>
            <w:tcW w:w="924" w:type="dxa"/>
            <w:shd w:val="clear" w:color="auto" w:fill="FFFFFF" w:themeFill="background1"/>
            <w:noWrap/>
            <w:vAlign w:val="center"/>
            <w:hideMark/>
          </w:tcPr>
          <w:p w:rsidR="004B788A" w:rsidRPr="004B788A" w:rsidRDefault="004B788A" w:rsidP="004B788A">
            <w:pPr>
              <w:jc w:val="right"/>
              <w:rPr>
                <w:rFonts w:ascii="Arial Narrow" w:hAnsi="Arial Narrow"/>
                <w:color w:val="000000"/>
                <w:sz w:val="20"/>
                <w:lang w:val="es-CO" w:eastAsia="es-CO"/>
              </w:rPr>
            </w:pPr>
            <w:r w:rsidRPr="004B788A">
              <w:rPr>
                <w:rFonts w:ascii="Arial Narrow" w:hAnsi="Arial Narrow"/>
                <w:color w:val="000000"/>
                <w:sz w:val="20"/>
                <w:lang w:val="es-CO" w:eastAsia="es-CO"/>
              </w:rPr>
              <w:t>31-dic-12</w:t>
            </w:r>
          </w:p>
        </w:tc>
        <w:tc>
          <w:tcPr>
            <w:tcW w:w="1034" w:type="dxa"/>
            <w:shd w:val="clear" w:color="auto" w:fill="FFFFFF" w:themeFill="background1"/>
            <w:noWrap/>
            <w:vAlign w:val="bottom"/>
            <w:hideMark/>
          </w:tcPr>
          <w:p w:rsidR="004B788A" w:rsidRPr="004B788A" w:rsidRDefault="004B788A" w:rsidP="004B788A">
            <w:pPr>
              <w:jc w:val="center"/>
              <w:rPr>
                <w:rFonts w:ascii="Arial Narrow" w:hAnsi="Arial Narrow"/>
                <w:sz w:val="20"/>
                <w:lang w:val="es-CO" w:eastAsia="es-CO"/>
              </w:rPr>
            </w:pPr>
            <w:r w:rsidRPr="004B788A">
              <w:rPr>
                <w:rFonts w:ascii="Arial Narrow" w:hAnsi="Arial Narrow"/>
                <w:sz w:val="20"/>
                <w:lang w:val="es-CO" w:eastAsia="es-CO"/>
              </w:rPr>
              <w:t>8,00</w:t>
            </w:r>
          </w:p>
        </w:tc>
        <w:tc>
          <w:tcPr>
            <w:tcW w:w="1415" w:type="dxa"/>
            <w:shd w:val="clear" w:color="auto" w:fill="FFFFFF" w:themeFill="background1"/>
            <w:vAlign w:val="bottom"/>
            <w:hideMark/>
          </w:tcPr>
          <w:p w:rsidR="004B788A" w:rsidRPr="004B788A" w:rsidRDefault="004B788A" w:rsidP="004B788A">
            <w:pPr>
              <w:rPr>
                <w:rFonts w:ascii="Arial Narrow" w:hAnsi="Arial Narrow"/>
                <w:sz w:val="20"/>
                <w:lang w:val="es-CO" w:eastAsia="es-CO"/>
              </w:rPr>
            </w:pPr>
            <w:r w:rsidRPr="004B788A">
              <w:rPr>
                <w:rFonts w:ascii="Arial Narrow" w:hAnsi="Arial Narrow"/>
                <w:sz w:val="20"/>
                <w:lang w:val="es-CO" w:eastAsia="es-CO"/>
              </w:rPr>
              <w:t xml:space="preserve">    901.343 </w:t>
            </w:r>
          </w:p>
        </w:tc>
        <w:tc>
          <w:tcPr>
            <w:tcW w:w="997" w:type="dxa"/>
            <w:shd w:val="clear" w:color="auto" w:fill="FFFFFF" w:themeFill="background1"/>
            <w:vAlign w:val="bottom"/>
            <w:hideMark/>
          </w:tcPr>
          <w:p w:rsidR="004B788A" w:rsidRPr="004B788A" w:rsidRDefault="004B788A" w:rsidP="004B788A">
            <w:pPr>
              <w:rPr>
                <w:rFonts w:ascii="Arial Narrow" w:hAnsi="Arial Narrow"/>
                <w:sz w:val="20"/>
                <w:lang w:val="es-CO" w:eastAsia="es-CO"/>
              </w:rPr>
            </w:pPr>
            <w:r w:rsidRPr="004B788A">
              <w:rPr>
                <w:rFonts w:ascii="Arial Narrow" w:hAnsi="Arial Narrow"/>
                <w:sz w:val="20"/>
                <w:lang w:val="es-CO" w:eastAsia="es-CO"/>
              </w:rPr>
              <w:t xml:space="preserve">                     662.286 </w:t>
            </w:r>
          </w:p>
        </w:tc>
        <w:tc>
          <w:tcPr>
            <w:tcW w:w="1564" w:type="dxa"/>
            <w:shd w:val="clear" w:color="auto" w:fill="FFFFFF" w:themeFill="background1"/>
            <w:noWrap/>
            <w:vAlign w:val="center"/>
            <w:hideMark/>
          </w:tcPr>
          <w:p w:rsidR="004B788A" w:rsidRPr="004B788A" w:rsidRDefault="004B788A" w:rsidP="004B788A">
            <w:pPr>
              <w:rPr>
                <w:rFonts w:ascii="Arial Narrow" w:hAnsi="Arial Narrow"/>
                <w:color w:val="000000"/>
                <w:sz w:val="20"/>
                <w:lang w:val="es-CO" w:eastAsia="es-CO"/>
              </w:rPr>
            </w:pPr>
            <w:r w:rsidRPr="004B788A">
              <w:rPr>
                <w:rFonts w:ascii="Arial Narrow" w:hAnsi="Arial Narrow"/>
                <w:color w:val="000000"/>
                <w:sz w:val="20"/>
                <w:lang w:val="es-CO" w:eastAsia="es-CO"/>
              </w:rPr>
              <w:t xml:space="preserve">        1.912.456 </w:t>
            </w:r>
          </w:p>
        </w:tc>
      </w:tr>
      <w:tr w:rsidR="004B788A" w:rsidRPr="004B788A" w:rsidTr="004B788A">
        <w:trPr>
          <w:trHeight w:val="315"/>
        </w:trPr>
        <w:tc>
          <w:tcPr>
            <w:tcW w:w="1247" w:type="dxa"/>
            <w:shd w:val="clear" w:color="auto" w:fill="FFFFFF" w:themeFill="background1"/>
            <w:noWrap/>
            <w:vAlign w:val="bottom"/>
            <w:hideMark/>
          </w:tcPr>
          <w:p w:rsidR="004B788A" w:rsidRPr="004B788A" w:rsidRDefault="004B788A" w:rsidP="004B788A">
            <w:pPr>
              <w:jc w:val="center"/>
              <w:rPr>
                <w:rFonts w:ascii="Arial Narrow" w:hAnsi="Arial Narrow"/>
                <w:sz w:val="20"/>
                <w:lang w:val="es-CO" w:eastAsia="es-CO"/>
              </w:rPr>
            </w:pPr>
            <w:r w:rsidRPr="004B788A">
              <w:rPr>
                <w:rFonts w:ascii="Arial Narrow" w:hAnsi="Arial Narrow"/>
                <w:sz w:val="20"/>
                <w:lang w:val="es-CO" w:eastAsia="es-CO"/>
              </w:rPr>
              <w:t>1,94</w:t>
            </w:r>
          </w:p>
        </w:tc>
        <w:tc>
          <w:tcPr>
            <w:tcW w:w="924" w:type="dxa"/>
            <w:shd w:val="clear" w:color="auto" w:fill="FFFFFF" w:themeFill="background1"/>
            <w:noWrap/>
            <w:vAlign w:val="center"/>
            <w:hideMark/>
          </w:tcPr>
          <w:p w:rsidR="004B788A" w:rsidRPr="004B788A" w:rsidRDefault="004B788A" w:rsidP="004B788A">
            <w:pPr>
              <w:jc w:val="right"/>
              <w:rPr>
                <w:rFonts w:ascii="Arial Narrow" w:hAnsi="Arial Narrow"/>
                <w:color w:val="000000"/>
                <w:sz w:val="20"/>
                <w:lang w:val="es-CO" w:eastAsia="es-CO"/>
              </w:rPr>
            </w:pPr>
            <w:r w:rsidRPr="004B788A">
              <w:rPr>
                <w:rFonts w:ascii="Arial Narrow" w:hAnsi="Arial Narrow"/>
                <w:color w:val="000000"/>
                <w:sz w:val="20"/>
                <w:lang w:val="es-CO" w:eastAsia="es-CO"/>
              </w:rPr>
              <w:t>01-ene-13</w:t>
            </w:r>
          </w:p>
        </w:tc>
        <w:tc>
          <w:tcPr>
            <w:tcW w:w="924" w:type="dxa"/>
            <w:shd w:val="clear" w:color="auto" w:fill="FFFFFF" w:themeFill="background1"/>
            <w:noWrap/>
            <w:vAlign w:val="center"/>
            <w:hideMark/>
          </w:tcPr>
          <w:p w:rsidR="004B788A" w:rsidRPr="004B788A" w:rsidRDefault="004B788A" w:rsidP="004B788A">
            <w:pPr>
              <w:jc w:val="right"/>
              <w:rPr>
                <w:rFonts w:ascii="Arial Narrow" w:hAnsi="Arial Narrow"/>
                <w:color w:val="000000"/>
                <w:sz w:val="20"/>
                <w:lang w:val="es-CO" w:eastAsia="es-CO"/>
              </w:rPr>
            </w:pPr>
            <w:r w:rsidRPr="004B788A">
              <w:rPr>
                <w:rFonts w:ascii="Arial Narrow" w:hAnsi="Arial Narrow"/>
                <w:color w:val="000000"/>
                <w:sz w:val="20"/>
                <w:lang w:val="es-CO" w:eastAsia="es-CO"/>
              </w:rPr>
              <w:t>31-dic-13</w:t>
            </w:r>
          </w:p>
        </w:tc>
        <w:tc>
          <w:tcPr>
            <w:tcW w:w="1034" w:type="dxa"/>
            <w:shd w:val="clear" w:color="auto" w:fill="FFFFFF" w:themeFill="background1"/>
            <w:noWrap/>
            <w:vAlign w:val="bottom"/>
            <w:hideMark/>
          </w:tcPr>
          <w:p w:rsidR="004B788A" w:rsidRPr="004B788A" w:rsidRDefault="004B788A" w:rsidP="004B788A">
            <w:pPr>
              <w:jc w:val="center"/>
              <w:rPr>
                <w:rFonts w:ascii="Arial Narrow" w:hAnsi="Arial Narrow"/>
                <w:sz w:val="20"/>
                <w:lang w:val="es-CO" w:eastAsia="es-CO"/>
              </w:rPr>
            </w:pPr>
            <w:r w:rsidRPr="004B788A">
              <w:rPr>
                <w:rFonts w:ascii="Arial Narrow" w:hAnsi="Arial Narrow"/>
                <w:sz w:val="20"/>
                <w:lang w:val="es-CO" w:eastAsia="es-CO"/>
              </w:rPr>
              <w:t>13,00</w:t>
            </w:r>
          </w:p>
        </w:tc>
        <w:tc>
          <w:tcPr>
            <w:tcW w:w="1415" w:type="dxa"/>
            <w:shd w:val="clear" w:color="auto" w:fill="FFFFFF" w:themeFill="background1"/>
            <w:vAlign w:val="bottom"/>
            <w:hideMark/>
          </w:tcPr>
          <w:p w:rsidR="004B788A" w:rsidRPr="004B788A" w:rsidRDefault="004B788A" w:rsidP="004B788A">
            <w:pPr>
              <w:rPr>
                <w:rFonts w:ascii="Arial Narrow" w:hAnsi="Arial Narrow"/>
                <w:sz w:val="20"/>
                <w:lang w:val="es-CO" w:eastAsia="es-CO"/>
              </w:rPr>
            </w:pPr>
            <w:r w:rsidRPr="004B788A">
              <w:rPr>
                <w:rFonts w:ascii="Arial Narrow" w:hAnsi="Arial Narrow"/>
                <w:sz w:val="20"/>
                <w:lang w:val="es-CO" w:eastAsia="es-CO"/>
              </w:rPr>
              <w:t xml:space="preserve">    923.336 </w:t>
            </w:r>
          </w:p>
        </w:tc>
        <w:tc>
          <w:tcPr>
            <w:tcW w:w="997" w:type="dxa"/>
            <w:shd w:val="clear" w:color="auto" w:fill="FFFFFF" w:themeFill="background1"/>
            <w:vAlign w:val="bottom"/>
            <w:hideMark/>
          </w:tcPr>
          <w:p w:rsidR="004B788A" w:rsidRPr="004B788A" w:rsidRDefault="004B788A" w:rsidP="004B788A">
            <w:pPr>
              <w:rPr>
                <w:rFonts w:ascii="Arial Narrow" w:hAnsi="Arial Narrow"/>
                <w:sz w:val="20"/>
                <w:lang w:val="es-CO" w:eastAsia="es-CO"/>
              </w:rPr>
            </w:pPr>
            <w:r w:rsidRPr="004B788A">
              <w:rPr>
                <w:rFonts w:ascii="Arial Narrow" w:hAnsi="Arial Narrow"/>
                <w:sz w:val="20"/>
                <w:lang w:val="es-CO" w:eastAsia="es-CO"/>
              </w:rPr>
              <w:t xml:space="preserve">                     678.446 </w:t>
            </w:r>
          </w:p>
        </w:tc>
        <w:tc>
          <w:tcPr>
            <w:tcW w:w="1564" w:type="dxa"/>
            <w:shd w:val="clear" w:color="auto" w:fill="FFFFFF" w:themeFill="background1"/>
            <w:noWrap/>
            <w:vAlign w:val="center"/>
            <w:hideMark/>
          </w:tcPr>
          <w:p w:rsidR="004B788A" w:rsidRPr="004B788A" w:rsidRDefault="004B788A" w:rsidP="004B788A">
            <w:pPr>
              <w:rPr>
                <w:rFonts w:ascii="Arial Narrow" w:hAnsi="Arial Narrow"/>
                <w:color w:val="000000"/>
                <w:sz w:val="20"/>
                <w:lang w:val="es-CO" w:eastAsia="es-CO"/>
              </w:rPr>
            </w:pPr>
            <w:r w:rsidRPr="004B788A">
              <w:rPr>
                <w:rFonts w:ascii="Arial Narrow" w:hAnsi="Arial Narrow"/>
                <w:color w:val="000000"/>
                <w:sz w:val="20"/>
                <w:lang w:val="es-CO" w:eastAsia="es-CO"/>
              </w:rPr>
              <w:t xml:space="preserve">        3.183.570 </w:t>
            </w:r>
          </w:p>
        </w:tc>
      </w:tr>
      <w:tr w:rsidR="004B788A" w:rsidRPr="004B788A" w:rsidTr="004B788A">
        <w:trPr>
          <w:trHeight w:val="315"/>
        </w:trPr>
        <w:tc>
          <w:tcPr>
            <w:tcW w:w="1247" w:type="dxa"/>
            <w:shd w:val="clear" w:color="auto" w:fill="FFFFFF" w:themeFill="background1"/>
            <w:noWrap/>
            <w:vAlign w:val="bottom"/>
            <w:hideMark/>
          </w:tcPr>
          <w:p w:rsidR="004B788A" w:rsidRPr="004B788A" w:rsidRDefault="004B788A" w:rsidP="004B788A">
            <w:pPr>
              <w:jc w:val="center"/>
              <w:rPr>
                <w:rFonts w:ascii="Arial Narrow" w:hAnsi="Arial Narrow"/>
                <w:sz w:val="20"/>
                <w:lang w:val="es-CO" w:eastAsia="es-CO"/>
              </w:rPr>
            </w:pPr>
            <w:r w:rsidRPr="004B788A">
              <w:rPr>
                <w:rFonts w:ascii="Arial Narrow" w:hAnsi="Arial Narrow"/>
                <w:sz w:val="20"/>
                <w:lang w:val="es-CO" w:eastAsia="es-CO"/>
              </w:rPr>
              <w:t>3,66</w:t>
            </w:r>
          </w:p>
        </w:tc>
        <w:tc>
          <w:tcPr>
            <w:tcW w:w="924" w:type="dxa"/>
            <w:shd w:val="clear" w:color="auto" w:fill="FFFFFF" w:themeFill="background1"/>
            <w:noWrap/>
            <w:vAlign w:val="center"/>
            <w:hideMark/>
          </w:tcPr>
          <w:p w:rsidR="004B788A" w:rsidRPr="004B788A" w:rsidRDefault="004B788A" w:rsidP="004B788A">
            <w:pPr>
              <w:jc w:val="right"/>
              <w:rPr>
                <w:rFonts w:ascii="Arial Narrow" w:hAnsi="Arial Narrow"/>
                <w:color w:val="000000"/>
                <w:sz w:val="20"/>
                <w:lang w:val="es-CO" w:eastAsia="es-CO"/>
              </w:rPr>
            </w:pPr>
            <w:r w:rsidRPr="004B788A">
              <w:rPr>
                <w:rFonts w:ascii="Arial Narrow" w:hAnsi="Arial Narrow"/>
                <w:color w:val="000000"/>
                <w:sz w:val="20"/>
                <w:lang w:val="es-CO" w:eastAsia="es-CO"/>
              </w:rPr>
              <w:t>01-ene-14</w:t>
            </w:r>
          </w:p>
        </w:tc>
        <w:tc>
          <w:tcPr>
            <w:tcW w:w="924" w:type="dxa"/>
            <w:shd w:val="clear" w:color="auto" w:fill="FFFFFF" w:themeFill="background1"/>
            <w:noWrap/>
            <w:vAlign w:val="center"/>
            <w:hideMark/>
          </w:tcPr>
          <w:p w:rsidR="004B788A" w:rsidRPr="004B788A" w:rsidRDefault="004B788A" w:rsidP="004B788A">
            <w:pPr>
              <w:jc w:val="right"/>
              <w:rPr>
                <w:rFonts w:ascii="Arial Narrow" w:hAnsi="Arial Narrow"/>
                <w:color w:val="000000"/>
                <w:sz w:val="20"/>
                <w:lang w:val="es-CO" w:eastAsia="es-CO"/>
              </w:rPr>
            </w:pPr>
            <w:r w:rsidRPr="004B788A">
              <w:rPr>
                <w:rFonts w:ascii="Arial Narrow" w:hAnsi="Arial Narrow"/>
                <w:color w:val="000000"/>
                <w:sz w:val="20"/>
                <w:lang w:val="es-CO" w:eastAsia="es-CO"/>
              </w:rPr>
              <w:t>31-dic-14</w:t>
            </w:r>
          </w:p>
        </w:tc>
        <w:tc>
          <w:tcPr>
            <w:tcW w:w="1034" w:type="dxa"/>
            <w:shd w:val="clear" w:color="auto" w:fill="FFFFFF" w:themeFill="background1"/>
            <w:noWrap/>
            <w:vAlign w:val="bottom"/>
            <w:hideMark/>
          </w:tcPr>
          <w:p w:rsidR="004B788A" w:rsidRPr="004B788A" w:rsidRDefault="004B788A" w:rsidP="004B788A">
            <w:pPr>
              <w:jc w:val="center"/>
              <w:rPr>
                <w:rFonts w:ascii="Arial Narrow" w:hAnsi="Arial Narrow"/>
                <w:sz w:val="20"/>
                <w:lang w:val="es-CO" w:eastAsia="es-CO"/>
              </w:rPr>
            </w:pPr>
            <w:r w:rsidRPr="004B788A">
              <w:rPr>
                <w:rFonts w:ascii="Arial Narrow" w:hAnsi="Arial Narrow"/>
                <w:sz w:val="20"/>
                <w:lang w:val="es-CO" w:eastAsia="es-CO"/>
              </w:rPr>
              <w:t>13,00</w:t>
            </w:r>
          </w:p>
        </w:tc>
        <w:tc>
          <w:tcPr>
            <w:tcW w:w="1415" w:type="dxa"/>
            <w:shd w:val="clear" w:color="auto" w:fill="FFFFFF" w:themeFill="background1"/>
            <w:vAlign w:val="bottom"/>
            <w:hideMark/>
          </w:tcPr>
          <w:p w:rsidR="004B788A" w:rsidRPr="004B788A" w:rsidRDefault="004B788A" w:rsidP="004B788A">
            <w:pPr>
              <w:rPr>
                <w:rFonts w:ascii="Arial Narrow" w:hAnsi="Arial Narrow"/>
                <w:sz w:val="20"/>
                <w:lang w:val="es-CO" w:eastAsia="es-CO"/>
              </w:rPr>
            </w:pPr>
            <w:r w:rsidRPr="004B788A">
              <w:rPr>
                <w:rFonts w:ascii="Arial Narrow" w:hAnsi="Arial Narrow"/>
                <w:sz w:val="20"/>
                <w:lang w:val="es-CO" w:eastAsia="es-CO"/>
              </w:rPr>
              <w:t xml:space="preserve">    941.248 </w:t>
            </w:r>
          </w:p>
        </w:tc>
        <w:tc>
          <w:tcPr>
            <w:tcW w:w="997" w:type="dxa"/>
            <w:shd w:val="clear" w:color="auto" w:fill="FFFFFF" w:themeFill="background1"/>
            <w:vAlign w:val="bottom"/>
            <w:hideMark/>
          </w:tcPr>
          <w:p w:rsidR="004B788A" w:rsidRPr="004B788A" w:rsidRDefault="004B788A" w:rsidP="004B788A">
            <w:pPr>
              <w:rPr>
                <w:rFonts w:ascii="Arial Narrow" w:hAnsi="Arial Narrow"/>
                <w:sz w:val="20"/>
                <w:lang w:val="es-CO" w:eastAsia="es-CO"/>
              </w:rPr>
            </w:pPr>
            <w:r w:rsidRPr="004B788A">
              <w:rPr>
                <w:rFonts w:ascii="Arial Narrow" w:hAnsi="Arial Narrow"/>
                <w:sz w:val="20"/>
                <w:lang w:val="es-CO" w:eastAsia="es-CO"/>
              </w:rPr>
              <w:t xml:space="preserve">                     691.608 </w:t>
            </w:r>
          </w:p>
        </w:tc>
        <w:tc>
          <w:tcPr>
            <w:tcW w:w="1564" w:type="dxa"/>
            <w:shd w:val="clear" w:color="auto" w:fill="FFFFFF" w:themeFill="background1"/>
            <w:noWrap/>
            <w:vAlign w:val="center"/>
            <w:hideMark/>
          </w:tcPr>
          <w:p w:rsidR="004B788A" w:rsidRPr="004B788A" w:rsidRDefault="004B788A" w:rsidP="004B788A">
            <w:pPr>
              <w:rPr>
                <w:rFonts w:ascii="Arial Narrow" w:hAnsi="Arial Narrow"/>
                <w:color w:val="000000"/>
                <w:sz w:val="20"/>
                <w:lang w:val="es-CO" w:eastAsia="es-CO"/>
              </w:rPr>
            </w:pPr>
            <w:r w:rsidRPr="004B788A">
              <w:rPr>
                <w:rFonts w:ascii="Arial Narrow" w:hAnsi="Arial Narrow"/>
                <w:color w:val="000000"/>
                <w:sz w:val="20"/>
                <w:lang w:val="es-CO" w:eastAsia="es-CO"/>
              </w:rPr>
              <w:t xml:space="preserve">        3.245.331 </w:t>
            </w:r>
          </w:p>
        </w:tc>
      </w:tr>
      <w:tr w:rsidR="004B788A" w:rsidRPr="004B788A" w:rsidTr="004B788A">
        <w:trPr>
          <w:trHeight w:val="315"/>
        </w:trPr>
        <w:tc>
          <w:tcPr>
            <w:tcW w:w="1247" w:type="dxa"/>
            <w:shd w:val="clear" w:color="auto" w:fill="FFFFFF" w:themeFill="background1"/>
            <w:noWrap/>
            <w:vAlign w:val="bottom"/>
            <w:hideMark/>
          </w:tcPr>
          <w:p w:rsidR="004B788A" w:rsidRPr="004B788A" w:rsidRDefault="004B788A" w:rsidP="004B788A">
            <w:pPr>
              <w:jc w:val="center"/>
              <w:rPr>
                <w:rFonts w:ascii="Arial Narrow" w:hAnsi="Arial Narrow"/>
                <w:sz w:val="20"/>
                <w:lang w:val="es-CO" w:eastAsia="es-CO"/>
              </w:rPr>
            </w:pPr>
            <w:r w:rsidRPr="004B788A">
              <w:rPr>
                <w:rFonts w:ascii="Arial Narrow" w:hAnsi="Arial Narrow"/>
                <w:sz w:val="20"/>
                <w:lang w:val="es-CO" w:eastAsia="es-CO"/>
              </w:rPr>
              <w:t>6,77</w:t>
            </w:r>
          </w:p>
        </w:tc>
        <w:tc>
          <w:tcPr>
            <w:tcW w:w="924" w:type="dxa"/>
            <w:shd w:val="clear" w:color="auto" w:fill="FFFFFF" w:themeFill="background1"/>
            <w:noWrap/>
            <w:vAlign w:val="center"/>
            <w:hideMark/>
          </w:tcPr>
          <w:p w:rsidR="004B788A" w:rsidRPr="004B788A" w:rsidRDefault="004B788A" w:rsidP="004B788A">
            <w:pPr>
              <w:jc w:val="right"/>
              <w:rPr>
                <w:rFonts w:ascii="Arial Narrow" w:hAnsi="Arial Narrow"/>
                <w:color w:val="000000"/>
                <w:sz w:val="20"/>
                <w:lang w:val="es-CO" w:eastAsia="es-CO"/>
              </w:rPr>
            </w:pPr>
            <w:r w:rsidRPr="004B788A">
              <w:rPr>
                <w:rFonts w:ascii="Arial Narrow" w:hAnsi="Arial Narrow"/>
                <w:color w:val="000000"/>
                <w:sz w:val="20"/>
                <w:lang w:val="es-CO" w:eastAsia="es-CO"/>
              </w:rPr>
              <w:t>01-ene-15</w:t>
            </w:r>
          </w:p>
        </w:tc>
        <w:tc>
          <w:tcPr>
            <w:tcW w:w="924" w:type="dxa"/>
            <w:shd w:val="clear" w:color="auto" w:fill="FFFFFF" w:themeFill="background1"/>
            <w:noWrap/>
            <w:vAlign w:val="center"/>
            <w:hideMark/>
          </w:tcPr>
          <w:p w:rsidR="004B788A" w:rsidRPr="004B788A" w:rsidRDefault="004B788A" w:rsidP="004B788A">
            <w:pPr>
              <w:jc w:val="right"/>
              <w:rPr>
                <w:rFonts w:ascii="Arial Narrow" w:hAnsi="Arial Narrow"/>
                <w:color w:val="000000"/>
                <w:sz w:val="20"/>
                <w:lang w:val="es-CO" w:eastAsia="es-CO"/>
              </w:rPr>
            </w:pPr>
            <w:r w:rsidRPr="004B788A">
              <w:rPr>
                <w:rFonts w:ascii="Arial Narrow" w:hAnsi="Arial Narrow"/>
                <w:color w:val="000000"/>
                <w:sz w:val="20"/>
                <w:lang w:val="es-CO" w:eastAsia="es-CO"/>
              </w:rPr>
              <w:t>31-dic-15</w:t>
            </w:r>
          </w:p>
        </w:tc>
        <w:tc>
          <w:tcPr>
            <w:tcW w:w="1034" w:type="dxa"/>
            <w:shd w:val="clear" w:color="auto" w:fill="FFFFFF" w:themeFill="background1"/>
            <w:noWrap/>
            <w:vAlign w:val="bottom"/>
            <w:hideMark/>
          </w:tcPr>
          <w:p w:rsidR="004B788A" w:rsidRPr="004B788A" w:rsidRDefault="004B788A" w:rsidP="004B788A">
            <w:pPr>
              <w:jc w:val="center"/>
              <w:rPr>
                <w:rFonts w:ascii="Arial Narrow" w:hAnsi="Arial Narrow"/>
                <w:sz w:val="20"/>
                <w:lang w:val="es-CO" w:eastAsia="es-CO"/>
              </w:rPr>
            </w:pPr>
            <w:r w:rsidRPr="004B788A">
              <w:rPr>
                <w:rFonts w:ascii="Arial Narrow" w:hAnsi="Arial Narrow"/>
                <w:sz w:val="20"/>
                <w:lang w:val="es-CO" w:eastAsia="es-CO"/>
              </w:rPr>
              <w:t>13,00</w:t>
            </w:r>
          </w:p>
        </w:tc>
        <w:tc>
          <w:tcPr>
            <w:tcW w:w="1415" w:type="dxa"/>
            <w:shd w:val="clear" w:color="auto" w:fill="FFFFFF" w:themeFill="background1"/>
            <w:vAlign w:val="bottom"/>
            <w:hideMark/>
          </w:tcPr>
          <w:p w:rsidR="004B788A" w:rsidRPr="004B788A" w:rsidRDefault="004B788A" w:rsidP="004B788A">
            <w:pPr>
              <w:rPr>
                <w:rFonts w:ascii="Arial Narrow" w:hAnsi="Arial Narrow"/>
                <w:sz w:val="20"/>
                <w:lang w:val="es-CO" w:eastAsia="es-CO"/>
              </w:rPr>
            </w:pPr>
            <w:r w:rsidRPr="004B788A">
              <w:rPr>
                <w:rFonts w:ascii="Arial Narrow" w:hAnsi="Arial Narrow"/>
                <w:sz w:val="20"/>
                <w:lang w:val="es-CO" w:eastAsia="es-CO"/>
              </w:rPr>
              <w:t xml:space="preserve">    975.698 </w:t>
            </w:r>
          </w:p>
        </w:tc>
        <w:tc>
          <w:tcPr>
            <w:tcW w:w="997" w:type="dxa"/>
            <w:shd w:val="clear" w:color="auto" w:fill="FFFFFF" w:themeFill="background1"/>
            <w:vAlign w:val="bottom"/>
            <w:hideMark/>
          </w:tcPr>
          <w:p w:rsidR="004B788A" w:rsidRPr="004B788A" w:rsidRDefault="004B788A" w:rsidP="004B788A">
            <w:pPr>
              <w:rPr>
                <w:rFonts w:ascii="Arial Narrow" w:hAnsi="Arial Narrow"/>
                <w:sz w:val="20"/>
                <w:lang w:val="es-CO" w:eastAsia="es-CO"/>
              </w:rPr>
            </w:pPr>
            <w:r w:rsidRPr="004B788A">
              <w:rPr>
                <w:rFonts w:ascii="Arial Narrow" w:hAnsi="Arial Narrow"/>
                <w:sz w:val="20"/>
                <w:lang w:val="es-CO" w:eastAsia="es-CO"/>
              </w:rPr>
              <w:t xml:space="preserve">                     716.920 </w:t>
            </w:r>
          </w:p>
        </w:tc>
        <w:tc>
          <w:tcPr>
            <w:tcW w:w="1564" w:type="dxa"/>
            <w:shd w:val="clear" w:color="auto" w:fill="FFFFFF" w:themeFill="background1"/>
            <w:noWrap/>
            <w:vAlign w:val="center"/>
            <w:hideMark/>
          </w:tcPr>
          <w:p w:rsidR="004B788A" w:rsidRPr="004B788A" w:rsidRDefault="004B788A" w:rsidP="004B788A">
            <w:pPr>
              <w:rPr>
                <w:rFonts w:ascii="Arial Narrow" w:hAnsi="Arial Narrow"/>
                <w:color w:val="000000"/>
                <w:sz w:val="20"/>
                <w:lang w:val="es-CO" w:eastAsia="es-CO"/>
              </w:rPr>
            </w:pPr>
            <w:r w:rsidRPr="004B788A">
              <w:rPr>
                <w:rFonts w:ascii="Arial Narrow" w:hAnsi="Arial Narrow"/>
                <w:color w:val="000000"/>
                <w:sz w:val="20"/>
                <w:lang w:val="es-CO" w:eastAsia="es-CO"/>
              </w:rPr>
              <w:t xml:space="preserve">        3.364.110 </w:t>
            </w:r>
          </w:p>
        </w:tc>
      </w:tr>
      <w:tr w:rsidR="004B788A" w:rsidRPr="004B788A" w:rsidTr="004B788A">
        <w:trPr>
          <w:trHeight w:val="315"/>
        </w:trPr>
        <w:tc>
          <w:tcPr>
            <w:tcW w:w="1247" w:type="dxa"/>
            <w:shd w:val="clear" w:color="auto" w:fill="FFFFFF" w:themeFill="background1"/>
            <w:noWrap/>
            <w:vAlign w:val="bottom"/>
            <w:hideMark/>
          </w:tcPr>
          <w:p w:rsidR="004B788A" w:rsidRPr="004B788A" w:rsidRDefault="004B788A" w:rsidP="004B788A">
            <w:pPr>
              <w:jc w:val="center"/>
              <w:rPr>
                <w:rFonts w:ascii="Arial Narrow" w:hAnsi="Arial Narrow"/>
                <w:sz w:val="20"/>
                <w:lang w:val="es-CO" w:eastAsia="es-CO"/>
              </w:rPr>
            </w:pPr>
            <w:r w:rsidRPr="004B788A">
              <w:rPr>
                <w:rFonts w:ascii="Arial Narrow" w:hAnsi="Arial Narrow"/>
                <w:sz w:val="20"/>
                <w:lang w:val="es-CO" w:eastAsia="es-CO"/>
              </w:rPr>
              <w:t>0,00</w:t>
            </w:r>
          </w:p>
        </w:tc>
        <w:tc>
          <w:tcPr>
            <w:tcW w:w="924" w:type="dxa"/>
            <w:shd w:val="clear" w:color="auto" w:fill="FFFFFF" w:themeFill="background1"/>
            <w:noWrap/>
            <w:vAlign w:val="center"/>
            <w:hideMark/>
          </w:tcPr>
          <w:p w:rsidR="004B788A" w:rsidRPr="004B788A" w:rsidRDefault="004B788A" w:rsidP="004B788A">
            <w:pPr>
              <w:jc w:val="right"/>
              <w:rPr>
                <w:rFonts w:ascii="Arial Narrow" w:hAnsi="Arial Narrow"/>
                <w:color w:val="000000"/>
                <w:sz w:val="20"/>
                <w:lang w:val="es-CO" w:eastAsia="es-CO"/>
              </w:rPr>
            </w:pPr>
            <w:r w:rsidRPr="004B788A">
              <w:rPr>
                <w:rFonts w:ascii="Arial Narrow" w:hAnsi="Arial Narrow"/>
                <w:color w:val="000000"/>
                <w:sz w:val="20"/>
                <w:lang w:val="es-CO" w:eastAsia="es-CO"/>
              </w:rPr>
              <w:t>01-ene-16</w:t>
            </w:r>
          </w:p>
        </w:tc>
        <w:tc>
          <w:tcPr>
            <w:tcW w:w="924" w:type="dxa"/>
            <w:shd w:val="clear" w:color="auto" w:fill="FFFFFF" w:themeFill="background1"/>
            <w:noWrap/>
            <w:vAlign w:val="center"/>
            <w:hideMark/>
          </w:tcPr>
          <w:p w:rsidR="004B788A" w:rsidRPr="004B788A" w:rsidRDefault="004B788A" w:rsidP="004B788A">
            <w:pPr>
              <w:jc w:val="right"/>
              <w:rPr>
                <w:rFonts w:ascii="Arial Narrow" w:hAnsi="Arial Narrow"/>
                <w:color w:val="000000"/>
                <w:sz w:val="20"/>
                <w:lang w:val="es-CO" w:eastAsia="es-CO"/>
              </w:rPr>
            </w:pPr>
            <w:r w:rsidRPr="004B788A">
              <w:rPr>
                <w:rFonts w:ascii="Arial Narrow" w:hAnsi="Arial Narrow"/>
                <w:color w:val="000000"/>
                <w:sz w:val="20"/>
                <w:lang w:val="es-CO" w:eastAsia="es-CO"/>
              </w:rPr>
              <w:t>31-may-16</w:t>
            </w:r>
          </w:p>
        </w:tc>
        <w:tc>
          <w:tcPr>
            <w:tcW w:w="1034" w:type="dxa"/>
            <w:shd w:val="clear" w:color="auto" w:fill="FFFFFF" w:themeFill="background1"/>
            <w:noWrap/>
            <w:vAlign w:val="bottom"/>
            <w:hideMark/>
          </w:tcPr>
          <w:p w:rsidR="004B788A" w:rsidRPr="004B788A" w:rsidRDefault="004B788A" w:rsidP="004B788A">
            <w:pPr>
              <w:jc w:val="center"/>
              <w:rPr>
                <w:rFonts w:ascii="Arial Narrow" w:hAnsi="Arial Narrow"/>
                <w:sz w:val="20"/>
                <w:lang w:val="es-CO" w:eastAsia="es-CO"/>
              </w:rPr>
            </w:pPr>
            <w:r w:rsidRPr="004B788A">
              <w:rPr>
                <w:rFonts w:ascii="Arial Narrow" w:hAnsi="Arial Narrow"/>
                <w:sz w:val="20"/>
                <w:lang w:val="es-CO" w:eastAsia="es-CO"/>
              </w:rPr>
              <w:t>5,00</w:t>
            </w:r>
          </w:p>
        </w:tc>
        <w:tc>
          <w:tcPr>
            <w:tcW w:w="1415" w:type="dxa"/>
            <w:shd w:val="clear" w:color="auto" w:fill="FFFFFF" w:themeFill="background1"/>
            <w:vAlign w:val="bottom"/>
            <w:hideMark/>
          </w:tcPr>
          <w:p w:rsidR="004B788A" w:rsidRPr="004B788A" w:rsidRDefault="004B788A" w:rsidP="004B788A">
            <w:pPr>
              <w:rPr>
                <w:rFonts w:ascii="Arial Narrow" w:hAnsi="Arial Narrow"/>
                <w:sz w:val="20"/>
                <w:lang w:val="es-CO" w:eastAsia="es-CO"/>
              </w:rPr>
            </w:pPr>
            <w:r w:rsidRPr="004B788A">
              <w:rPr>
                <w:rFonts w:ascii="Arial Narrow" w:hAnsi="Arial Narrow"/>
                <w:sz w:val="20"/>
                <w:lang w:val="es-CO" w:eastAsia="es-CO"/>
              </w:rPr>
              <w:t xml:space="preserve"> 1.041.753 </w:t>
            </w:r>
          </w:p>
        </w:tc>
        <w:tc>
          <w:tcPr>
            <w:tcW w:w="997" w:type="dxa"/>
            <w:shd w:val="clear" w:color="auto" w:fill="FFFFFF" w:themeFill="background1"/>
            <w:vAlign w:val="bottom"/>
            <w:hideMark/>
          </w:tcPr>
          <w:p w:rsidR="004B788A" w:rsidRPr="004B788A" w:rsidRDefault="004B788A" w:rsidP="004B788A">
            <w:pPr>
              <w:rPr>
                <w:rFonts w:ascii="Arial Narrow" w:hAnsi="Arial Narrow"/>
                <w:sz w:val="20"/>
                <w:lang w:val="es-CO" w:eastAsia="es-CO"/>
              </w:rPr>
            </w:pPr>
            <w:r w:rsidRPr="004B788A">
              <w:rPr>
                <w:rFonts w:ascii="Arial Narrow" w:hAnsi="Arial Narrow"/>
                <w:sz w:val="20"/>
                <w:lang w:val="es-CO" w:eastAsia="es-CO"/>
              </w:rPr>
              <w:t xml:space="preserve">                     765.456 </w:t>
            </w:r>
          </w:p>
        </w:tc>
        <w:tc>
          <w:tcPr>
            <w:tcW w:w="1564" w:type="dxa"/>
            <w:shd w:val="clear" w:color="auto" w:fill="FFFFFF" w:themeFill="background1"/>
            <w:noWrap/>
            <w:vAlign w:val="center"/>
            <w:hideMark/>
          </w:tcPr>
          <w:p w:rsidR="004B788A" w:rsidRPr="004B788A" w:rsidRDefault="004B788A" w:rsidP="004B788A">
            <w:pPr>
              <w:rPr>
                <w:rFonts w:ascii="Arial Narrow" w:hAnsi="Arial Narrow"/>
                <w:color w:val="000000"/>
                <w:sz w:val="20"/>
                <w:lang w:val="es-CO" w:eastAsia="es-CO"/>
              </w:rPr>
            </w:pPr>
            <w:r w:rsidRPr="004B788A">
              <w:rPr>
                <w:rFonts w:ascii="Arial Narrow" w:hAnsi="Arial Narrow"/>
                <w:color w:val="000000"/>
                <w:sz w:val="20"/>
                <w:lang w:val="es-CO" w:eastAsia="es-CO"/>
              </w:rPr>
              <w:t xml:space="preserve">        1.381.485 </w:t>
            </w:r>
          </w:p>
        </w:tc>
      </w:tr>
      <w:tr w:rsidR="004B788A" w:rsidRPr="004B788A" w:rsidTr="004B788A">
        <w:trPr>
          <w:trHeight w:val="315"/>
        </w:trPr>
        <w:tc>
          <w:tcPr>
            <w:tcW w:w="1247" w:type="dxa"/>
            <w:shd w:val="clear" w:color="auto" w:fill="FFFFFF" w:themeFill="background1"/>
            <w:noWrap/>
            <w:vAlign w:val="bottom"/>
            <w:hideMark/>
          </w:tcPr>
          <w:p w:rsidR="004B788A" w:rsidRPr="004B788A" w:rsidRDefault="004B788A" w:rsidP="004B788A">
            <w:pPr>
              <w:rPr>
                <w:rFonts w:ascii="Arial Narrow" w:hAnsi="Arial Narrow"/>
                <w:color w:val="000000"/>
                <w:sz w:val="20"/>
                <w:lang w:val="es-CO" w:eastAsia="es-CO"/>
              </w:rPr>
            </w:pPr>
          </w:p>
        </w:tc>
        <w:tc>
          <w:tcPr>
            <w:tcW w:w="924" w:type="dxa"/>
            <w:shd w:val="clear" w:color="auto" w:fill="FFFFFF" w:themeFill="background1"/>
            <w:noWrap/>
            <w:vAlign w:val="bottom"/>
            <w:hideMark/>
          </w:tcPr>
          <w:p w:rsidR="004B788A" w:rsidRPr="004B788A" w:rsidRDefault="004B788A" w:rsidP="004B788A">
            <w:pPr>
              <w:rPr>
                <w:rFonts w:ascii="Arial Narrow" w:hAnsi="Arial Narrow"/>
                <w:sz w:val="20"/>
                <w:lang w:val="es-CO" w:eastAsia="es-CO"/>
              </w:rPr>
            </w:pPr>
          </w:p>
        </w:tc>
        <w:tc>
          <w:tcPr>
            <w:tcW w:w="924" w:type="dxa"/>
            <w:shd w:val="clear" w:color="auto" w:fill="FFFFFF" w:themeFill="background1"/>
            <w:noWrap/>
            <w:vAlign w:val="bottom"/>
            <w:hideMark/>
          </w:tcPr>
          <w:p w:rsidR="004B788A" w:rsidRPr="004B788A" w:rsidRDefault="004B788A" w:rsidP="004B788A">
            <w:pPr>
              <w:rPr>
                <w:rFonts w:ascii="Arial Narrow" w:hAnsi="Arial Narrow"/>
                <w:sz w:val="20"/>
                <w:lang w:val="es-CO" w:eastAsia="es-CO"/>
              </w:rPr>
            </w:pPr>
          </w:p>
        </w:tc>
        <w:tc>
          <w:tcPr>
            <w:tcW w:w="1034" w:type="dxa"/>
            <w:shd w:val="clear" w:color="auto" w:fill="FFFFFF" w:themeFill="background1"/>
            <w:noWrap/>
            <w:vAlign w:val="bottom"/>
            <w:hideMark/>
          </w:tcPr>
          <w:p w:rsidR="004B788A" w:rsidRPr="004B788A" w:rsidRDefault="004B788A" w:rsidP="004B788A">
            <w:pPr>
              <w:rPr>
                <w:rFonts w:ascii="Arial Narrow" w:hAnsi="Arial Narrow"/>
                <w:sz w:val="20"/>
                <w:lang w:val="es-CO" w:eastAsia="es-CO"/>
              </w:rPr>
            </w:pPr>
          </w:p>
        </w:tc>
        <w:tc>
          <w:tcPr>
            <w:tcW w:w="1415" w:type="dxa"/>
            <w:shd w:val="clear" w:color="auto" w:fill="FFFFFF" w:themeFill="background1"/>
            <w:noWrap/>
            <w:vAlign w:val="center"/>
            <w:hideMark/>
          </w:tcPr>
          <w:p w:rsidR="004B788A" w:rsidRPr="004B788A" w:rsidRDefault="004B788A" w:rsidP="004B788A">
            <w:pPr>
              <w:rPr>
                <w:rFonts w:ascii="Arial Narrow" w:hAnsi="Arial Narrow"/>
                <w:b/>
                <w:bCs/>
                <w:sz w:val="20"/>
                <w:lang w:val="es-CO" w:eastAsia="es-CO"/>
              </w:rPr>
            </w:pPr>
            <w:r w:rsidRPr="004B788A">
              <w:rPr>
                <w:rFonts w:ascii="Arial Narrow" w:hAnsi="Arial Narrow"/>
                <w:b/>
                <w:bCs/>
                <w:sz w:val="20"/>
                <w:lang w:val="es-CO" w:eastAsia="es-CO"/>
              </w:rPr>
              <w:t xml:space="preserve"> Valores a cancelar ===&gt; </w:t>
            </w:r>
          </w:p>
        </w:tc>
        <w:tc>
          <w:tcPr>
            <w:tcW w:w="997" w:type="dxa"/>
            <w:shd w:val="clear" w:color="auto" w:fill="FFFFFF" w:themeFill="background1"/>
            <w:noWrap/>
            <w:vAlign w:val="center"/>
            <w:hideMark/>
          </w:tcPr>
          <w:p w:rsidR="004B788A" w:rsidRPr="004B788A" w:rsidRDefault="004B788A" w:rsidP="004B788A">
            <w:pPr>
              <w:rPr>
                <w:rFonts w:ascii="Arial Narrow" w:hAnsi="Arial Narrow"/>
                <w:b/>
                <w:bCs/>
                <w:sz w:val="20"/>
                <w:lang w:val="es-CO" w:eastAsia="es-CO"/>
              </w:rPr>
            </w:pPr>
            <w:r w:rsidRPr="004B788A">
              <w:rPr>
                <w:rFonts w:ascii="Arial Narrow" w:hAnsi="Arial Narrow"/>
                <w:b/>
                <w:bCs/>
                <w:sz w:val="20"/>
                <w:lang w:val="es-CO" w:eastAsia="es-CO"/>
              </w:rPr>
              <w:t> </w:t>
            </w:r>
          </w:p>
        </w:tc>
        <w:tc>
          <w:tcPr>
            <w:tcW w:w="1564" w:type="dxa"/>
            <w:shd w:val="clear" w:color="auto" w:fill="FFFFFF" w:themeFill="background1"/>
            <w:noWrap/>
            <w:vAlign w:val="center"/>
            <w:hideMark/>
          </w:tcPr>
          <w:p w:rsidR="004B788A" w:rsidRPr="004B788A" w:rsidRDefault="004B788A" w:rsidP="004B788A">
            <w:pPr>
              <w:rPr>
                <w:rFonts w:ascii="Arial Narrow" w:hAnsi="Arial Narrow"/>
                <w:b/>
                <w:bCs/>
                <w:color w:val="000000"/>
                <w:sz w:val="20"/>
                <w:lang w:val="es-CO" w:eastAsia="es-CO"/>
              </w:rPr>
            </w:pPr>
            <w:r w:rsidRPr="004B788A">
              <w:rPr>
                <w:rFonts w:ascii="Arial Narrow" w:hAnsi="Arial Narrow"/>
                <w:b/>
                <w:bCs/>
                <w:color w:val="000000"/>
                <w:sz w:val="20"/>
                <w:lang w:val="es-CO" w:eastAsia="es-CO"/>
              </w:rPr>
              <w:t xml:space="preserve">      13.086.952 </w:t>
            </w:r>
          </w:p>
        </w:tc>
      </w:tr>
    </w:tbl>
    <w:p w:rsidR="00D84850" w:rsidRDefault="00102DDD" w:rsidP="004B788A">
      <w:pPr>
        <w:jc w:val="center"/>
      </w:pPr>
    </w:p>
    <w:sectPr w:rsidR="00D84850" w:rsidSect="00F93E63">
      <w:headerReference w:type="default" r:id="rId7"/>
      <w:footerReference w:type="even" r:id="rId8"/>
      <w:footerReference w:type="default" r:id="rId9"/>
      <w:pgSz w:w="12242" w:h="18722" w:code="14"/>
      <w:pgMar w:top="1418" w:right="1701" w:bottom="1702"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DDD" w:rsidRDefault="00102DDD" w:rsidP="00213F05">
      <w:r>
        <w:separator/>
      </w:r>
    </w:p>
  </w:endnote>
  <w:endnote w:type="continuationSeparator" w:id="0">
    <w:p w:rsidR="00102DDD" w:rsidRDefault="00102DDD" w:rsidP="0021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11" w:rsidRDefault="00090B8C" w:rsidP="00E370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4C11" w:rsidRDefault="00102DDD" w:rsidP="00E370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83177"/>
      <w:docPartObj>
        <w:docPartGallery w:val="Page Numbers (Bottom of Page)"/>
        <w:docPartUnique/>
      </w:docPartObj>
    </w:sdtPr>
    <w:sdtEndPr/>
    <w:sdtContent>
      <w:p w:rsidR="00D44C11" w:rsidRDefault="00090B8C">
        <w:pPr>
          <w:pStyle w:val="Piedepgina"/>
          <w:jc w:val="right"/>
        </w:pPr>
        <w:r>
          <w:fldChar w:fldCharType="begin"/>
        </w:r>
        <w:r>
          <w:instrText>PAGE   \* MERGEFORMAT</w:instrText>
        </w:r>
        <w:r>
          <w:fldChar w:fldCharType="separate"/>
        </w:r>
        <w:r w:rsidR="004B788A" w:rsidRPr="004B788A">
          <w:rPr>
            <w:noProof/>
            <w:lang w:val="es-ES"/>
          </w:rPr>
          <w:t>7</w:t>
        </w:r>
        <w:r>
          <w:rPr>
            <w:noProof/>
            <w:lang w:val="es-ES"/>
          </w:rPr>
          <w:fldChar w:fldCharType="end"/>
        </w:r>
      </w:p>
    </w:sdtContent>
  </w:sdt>
  <w:p w:rsidR="00D44C11" w:rsidRPr="004E61E4" w:rsidRDefault="00102DDD" w:rsidP="00E3707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DDD" w:rsidRDefault="00102DDD" w:rsidP="00213F05">
      <w:r>
        <w:separator/>
      </w:r>
    </w:p>
  </w:footnote>
  <w:footnote w:type="continuationSeparator" w:id="0">
    <w:p w:rsidR="00102DDD" w:rsidRDefault="00102DDD" w:rsidP="00213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11" w:rsidRPr="00106FD0" w:rsidRDefault="00090B8C" w:rsidP="00E3707A">
    <w:pPr>
      <w:jc w:val="both"/>
      <w:rPr>
        <w:rFonts w:ascii="Arial Narrow" w:hAnsi="Arial Narrow" w:cs="Arial"/>
        <w:bCs/>
        <w:sz w:val="18"/>
        <w:szCs w:val="18"/>
      </w:rPr>
    </w:pPr>
    <w:r w:rsidRPr="00106FD0">
      <w:rPr>
        <w:rFonts w:ascii="Arial Narrow" w:hAnsi="Arial Narrow" w:cs="Arial"/>
        <w:bCs/>
        <w:sz w:val="18"/>
        <w:szCs w:val="18"/>
      </w:rPr>
      <w:t xml:space="preserve">Radicación No: </w:t>
    </w:r>
    <w:r w:rsidR="00213F05">
      <w:rPr>
        <w:rFonts w:ascii="Arial Narrow" w:hAnsi="Arial Narrow" w:cs="Arial"/>
        <w:bCs/>
        <w:sz w:val="18"/>
        <w:szCs w:val="18"/>
      </w:rPr>
      <w:t>66001-31-05-005-2014-00435-01</w:t>
    </w:r>
  </w:p>
  <w:p w:rsidR="00D44C11" w:rsidRPr="00106FD0" w:rsidRDefault="00213F05" w:rsidP="00E3707A">
    <w:pPr>
      <w:jc w:val="both"/>
      <w:rPr>
        <w:rFonts w:ascii="Arial Narrow" w:hAnsi="Arial Narrow" w:cs="Arial"/>
        <w:bCs/>
        <w:iCs/>
        <w:sz w:val="18"/>
        <w:szCs w:val="18"/>
      </w:rPr>
    </w:pPr>
    <w:r>
      <w:rPr>
        <w:rFonts w:ascii="Arial Narrow" w:hAnsi="Arial Narrow" w:cs="Arial"/>
        <w:bCs/>
        <w:sz w:val="18"/>
        <w:szCs w:val="18"/>
      </w:rPr>
      <w:t>Inés Vera Idarraga</w:t>
    </w:r>
    <w:r w:rsidR="00090B8C" w:rsidRPr="00106FD0">
      <w:rPr>
        <w:rFonts w:ascii="Arial Narrow" w:hAnsi="Arial Narrow" w:cs="Arial"/>
        <w:bCs/>
        <w:sz w:val="18"/>
        <w:szCs w:val="18"/>
      </w:rPr>
      <w:t xml:space="preserve"> vs Colpensiones</w:t>
    </w:r>
  </w:p>
  <w:p w:rsidR="00D44C11" w:rsidRDefault="00102D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2345" w:hanging="360"/>
      </w:pPr>
      <w:rPr>
        <w:rFonts w:hint="default"/>
        <w:b/>
        <w:i/>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05"/>
    <w:rsid w:val="000222E0"/>
    <w:rsid w:val="00071024"/>
    <w:rsid w:val="00090B8C"/>
    <w:rsid w:val="000A676B"/>
    <w:rsid w:val="000B774C"/>
    <w:rsid w:val="000B78C2"/>
    <w:rsid w:val="000C7823"/>
    <w:rsid w:val="000E5A6B"/>
    <w:rsid w:val="000E7F42"/>
    <w:rsid w:val="000F1662"/>
    <w:rsid w:val="00102DDD"/>
    <w:rsid w:val="00131185"/>
    <w:rsid w:val="00132CD3"/>
    <w:rsid w:val="00172834"/>
    <w:rsid w:val="001843BD"/>
    <w:rsid w:val="001E071C"/>
    <w:rsid w:val="001E3B11"/>
    <w:rsid w:val="00213F05"/>
    <w:rsid w:val="00242152"/>
    <w:rsid w:val="0026240F"/>
    <w:rsid w:val="00281316"/>
    <w:rsid w:val="0030182C"/>
    <w:rsid w:val="00322804"/>
    <w:rsid w:val="003237A2"/>
    <w:rsid w:val="00357A2C"/>
    <w:rsid w:val="00364013"/>
    <w:rsid w:val="003C6868"/>
    <w:rsid w:val="003E00E3"/>
    <w:rsid w:val="00484D99"/>
    <w:rsid w:val="004B788A"/>
    <w:rsid w:val="004B79A0"/>
    <w:rsid w:val="004D01C5"/>
    <w:rsid w:val="004E3703"/>
    <w:rsid w:val="004E626A"/>
    <w:rsid w:val="005037DD"/>
    <w:rsid w:val="00515BDC"/>
    <w:rsid w:val="0053151E"/>
    <w:rsid w:val="005336D6"/>
    <w:rsid w:val="00563496"/>
    <w:rsid w:val="0057547A"/>
    <w:rsid w:val="005F2851"/>
    <w:rsid w:val="005F5E82"/>
    <w:rsid w:val="00613462"/>
    <w:rsid w:val="006135E9"/>
    <w:rsid w:val="00644C34"/>
    <w:rsid w:val="0067433D"/>
    <w:rsid w:val="006F2FF3"/>
    <w:rsid w:val="00737439"/>
    <w:rsid w:val="0075271E"/>
    <w:rsid w:val="00777FC9"/>
    <w:rsid w:val="007850F6"/>
    <w:rsid w:val="007B5499"/>
    <w:rsid w:val="007E1FFD"/>
    <w:rsid w:val="007F720C"/>
    <w:rsid w:val="0085524D"/>
    <w:rsid w:val="00887961"/>
    <w:rsid w:val="008F003B"/>
    <w:rsid w:val="008F2F14"/>
    <w:rsid w:val="00907A5F"/>
    <w:rsid w:val="0094598C"/>
    <w:rsid w:val="009660CD"/>
    <w:rsid w:val="009F3CFC"/>
    <w:rsid w:val="00A01855"/>
    <w:rsid w:val="00A23420"/>
    <w:rsid w:val="00A23CFA"/>
    <w:rsid w:val="00A615BC"/>
    <w:rsid w:val="00A778C9"/>
    <w:rsid w:val="00A805ED"/>
    <w:rsid w:val="00A82AC2"/>
    <w:rsid w:val="00A928D2"/>
    <w:rsid w:val="00AB49ED"/>
    <w:rsid w:val="00B27169"/>
    <w:rsid w:val="00B30692"/>
    <w:rsid w:val="00B47C32"/>
    <w:rsid w:val="00B56E76"/>
    <w:rsid w:val="00B726B2"/>
    <w:rsid w:val="00B807A3"/>
    <w:rsid w:val="00BA0C20"/>
    <w:rsid w:val="00BA64F9"/>
    <w:rsid w:val="00BD241C"/>
    <w:rsid w:val="00C606D6"/>
    <w:rsid w:val="00CA1E0D"/>
    <w:rsid w:val="00CF576A"/>
    <w:rsid w:val="00D25312"/>
    <w:rsid w:val="00D52A00"/>
    <w:rsid w:val="00D63C97"/>
    <w:rsid w:val="00DF30A5"/>
    <w:rsid w:val="00E04E7A"/>
    <w:rsid w:val="00E07F46"/>
    <w:rsid w:val="00E27B52"/>
    <w:rsid w:val="00E34588"/>
    <w:rsid w:val="00EB41C0"/>
    <w:rsid w:val="00EC2AC0"/>
    <w:rsid w:val="00F01BCE"/>
    <w:rsid w:val="00F35738"/>
    <w:rsid w:val="00F65645"/>
    <w:rsid w:val="00F750FA"/>
    <w:rsid w:val="00FC3006"/>
    <w:rsid w:val="00FE11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B3DC0-2D0C-4D3C-8EDE-C67D7817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F0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13F05"/>
    <w:rPr>
      <w:rFonts w:ascii="Arial" w:hAnsi="Arial" w:cs="Arial"/>
      <w:sz w:val="24"/>
      <w:lang w:val="es-ES_tradnl" w:eastAsia="es-ES"/>
    </w:rPr>
  </w:style>
  <w:style w:type="paragraph" w:styleId="Textoindependiente">
    <w:name w:val="Body Text"/>
    <w:basedOn w:val="Normal"/>
    <w:link w:val="TextoindependienteCar"/>
    <w:rsid w:val="00213F0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13F05"/>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13F05"/>
    <w:pPr>
      <w:tabs>
        <w:tab w:val="center" w:pos="4252"/>
        <w:tab w:val="right" w:pos="8504"/>
      </w:tabs>
    </w:pPr>
  </w:style>
  <w:style w:type="character" w:customStyle="1" w:styleId="PiedepginaCar">
    <w:name w:val="Pie de página Car"/>
    <w:basedOn w:val="Fuentedeprrafopredeter"/>
    <w:link w:val="Piedepgina"/>
    <w:uiPriority w:val="99"/>
    <w:rsid w:val="00213F0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13F05"/>
  </w:style>
  <w:style w:type="paragraph" w:styleId="Encabezado">
    <w:name w:val="header"/>
    <w:basedOn w:val="Normal"/>
    <w:link w:val="EncabezadoCar"/>
    <w:rsid w:val="00213F05"/>
    <w:pPr>
      <w:tabs>
        <w:tab w:val="center" w:pos="4252"/>
        <w:tab w:val="right" w:pos="8504"/>
      </w:tabs>
    </w:pPr>
  </w:style>
  <w:style w:type="character" w:customStyle="1" w:styleId="EncabezadoCar">
    <w:name w:val="Encabezado Car"/>
    <w:basedOn w:val="Fuentedeprrafopredeter"/>
    <w:link w:val="Encabezado"/>
    <w:rsid w:val="00213F0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213F05"/>
    <w:pPr>
      <w:spacing w:after="200" w:line="276" w:lineRule="auto"/>
      <w:ind w:left="720"/>
      <w:contextualSpacing/>
    </w:pPr>
    <w:rPr>
      <w:rFonts w:ascii="Calibri" w:hAnsi="Calibri"/>
      <w:sz w:val="22"/>
      <w:szCs w:val="22"/>
      <w:lang w:val="es-CO" w:eastAsia="en-US"/>
    </w:rPr>
  </w:style>
  <w:style w:type="paragraph" w:customStyle="1" w:styleId="Prrafodelista2">
    <w:name w:val="Párrafo de lista2"/>
    <w:basedOn w:val="Normal"/>
    <w:rsid w:val="00213F05"/>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13F05"/>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4">
    <w:name w:val="Texto independiente 34"/>
    <w:basedOn w:val="Normal"/>
    <w:rsid w:val="00213F05"/>
    <w:pPr>
      <w:widowControl w:val="0"/>
      <w:suppressAutoHyphens/>
      <w:spacing w:line="360" w:lineRule="auto"/>
      <w:jc w:val="both"/>
    </w:pPr>
    <w:rPr>
      <w:rFonts w:ascii="Arial" w:eastAsia="SimSun" w:hAnsi="Arial" w:cs="Arial"/>
      <w:kern w:val="1"/>
      <w:szCs w:val="24"/>
      <w:lang w:val="es-CO" w:eastAsia="zh-CN" w:bidi="hi-IN"/>
    </w:rPr>
  </w:style>
  <w:style w:type="paragraph" w:styleId="Prrafodelista">
    <w:name w:val="List Paragraph"/>
    <w:basedOn w:val="Normal"/>
    <w:uiPriority w:val="34"/>
    <w:qFormat/>
    <w:rsid w:val="00213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6240">
      <w:bodyDiv w:val="1"/>
      <w:marLeft w:val="0"/>
      <w:marRight w:val="0"/>
      <w:marTop w:val="0"/>
      <w:marBottom w:val="0"/>
      <w:divBdr>
        <w:top w:val="none" w:sz="0" w:space="0" w:color="auto"/>
        <w:left w:val="none" w:sz="0" w:space="0" w:color="auto"/>
        <w:bottom w:val="none" w:sz="0" w:space="0" w:color="auto"/>
        <w:right w:val="none" w:sz="0" w:space="0" w:color="auto"/>
      </w:divBdr>
    </w:div>
    <w:div w:id="8386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8</Pages>
  <Words>2364</Words>
  <Characters>13008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42</cp:revision>
  <dcterms:created xsi:type="dcterms:W3CDTF">2016-06-08T13:29:00Z</dcterms:created>
  <dcterms:modified xsi:type="dcterms:W3CDTF">2016-06-09T17:39:00Z</dcterms:modified>
</cp:coreProperties>
</file>