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0E4F31">
        <w:rPr>
          <w:rFonts w:ascii="Arial Narrow" w:hAnsi="Arial Narrow" w:cs="Arial"/>
          <w:i/>
          <w:sz w:val="20"/>
        </w:rPr>
        <w:t>Jueves</w:t>
      </w:r>
      <w:r w:rsidR="00241CF7">
        <w:rPr>
          <w:rFonts w:ascii="Arial Narrow" w:hAnsi="Arial Narrow" w:cs="Arial"/>
          <w:i/>
          <w:sz w:val="20"/>
        </w:rPr>
        <w:t xml:space="preserve"> </w:t>
      </w:r>
      <w:r w:rsidR="00E176BE">
        <w:rPr>
          <w:rFonts w:ascii="Arial Narrow" w:hAnsi="Arial Narrow" w:cs="Arial"/>
          <w:i/>
          <w:sz w:val="20"/>
        </w:rPr>
        <w:t>1</w:t>
      </w:r>
      <w:r w:rsidR="00595A27">
        <w:rPr>
          <w:rFonts w:ascii="Arial Narrow" w:hAnsi="Arial Narrow" w:cs="Arial"/>
          <w:i/>
          <w:sz w:val="20"/>
        </w:rPr>
        <w:t>5</w:t>
      </w:r>
      <w:r w:rsidR="00FF75A4">
        <w:rPr>
          <w:rFonts w:ascii="Arial Narrow" w:hAnsi="Arial Narrow" w:cs="Arial"/>
          <w:i/>
          <w:sz w:val="20"/>
        </w:rPr>
        <w:t xml:space="preserve"> de </w:t>
      </w:r>
      <w:r w:rsidR="00595A27">
        <w:rPr>
          <w:rFonts w:ascii="Arial Narrow" w:hAnsi="Arial Narrow" w:cs="Arial"/>
          <w:i/>
          <w:sz w:val="20"/>
        </w:rPr>
        <w:t>septiembre</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0E4F31">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w:t>
      </w:r>
      <w:r w:rsidR="00595A27">
        <w:rPr>
          <w:rFonts w:ascii="Arial Narrow" w:hAnsi="Arial Narrow" w:cs="Arial"/>
          <w:bCs/>
          <w:i/>
          <w:sz w:val="20"/>
        </w:rPr>
        <w:t>170</w:t>
      </w:r>
      <w:r w:rsidRPr="00C5292A">
        <w:rPr>
          <w:rFonts w:ascii="Arial Narrow" w:hAnsi="Arial Narrow" w:cs="Arial"/>
          <w:bCs/>
          <w:i/>
          <w:sz w:val="20"/>
        </w:rPr>
        <w:t>-31-</w:t>
      </w:r>
      <w:r w:rsidR="00FF780D">
        <w:rPr>
          <w:rFonts w:ascii="Arial Narrow" w:hAnsi="Arial Narrow" w:cs="Arial"/>
          <w:bCs/>
          <w:i/>
          <w:sz w:val="20"/>
        </w:rPr>
        <w:t>05</w:t>
      </w:r>
      <w:r w:rsidRPr="00C5292A">
        <w:rPr>
          <w:rFonts w:ascii="Arial Narrow" w:hAnsi="Arial Narrow" w:cs="Arial"/>
          <w:bCs/>
          <w:i/>
          <w:sz w:val="20"/>
        </w:rPr>
        <w:t>-00</w:t>
      </w:r>
      <w:r w:rsidR="00595A27">
        <w:rPr>
          <w:rFonts w:ascii="Arial Narrow" w:hAnsi="Arial Narrow" w:cs="Arial"/>
          <w:bCs/>
          <w:i/>
          <w:sz w:val="20"/>
        </w:rPr>
        <w:t>1</w:t>
      </w:r>
      <w:r w:rsidR="00482D15">
        <w:rPr>
          <w:rFonts w:ascii="Arial Narrow" w:hAnsi="Arial Narrow" w:cs="Arial"/>
          <w:bCs/>
          <w:i/>
          <w:sz w:val="20"/>
        </w:rPr>
        <w:t>-20</w:t>
      </w:r>
      <w:r w:rsidR="00595A27">
        <w:rPr>
          <w:rFonts w:ascii="Arial Narrow" w:hAnsi="Arial Narrow" w:cs="Arial"/>
          <w:bCs/>
          <w:i/>
          <w:sz w:val="20"/>
        </w:rPr>
        <w:t>07</w:t>
      </w:r>
      <w:r w:rsidR="00482D15">
        <w:rPr>
          <w:rFonts w:ascii="Arial Narrow" w:hAnsi="Arial Narrow" w:cs="Arial"/>
          <w:bCs/>
          <w:i/>
          <w:sz w:val="20"/>
        </w:rPr>
        <w:t>-0</w:t>
      </w:r>
      <w:r w:rsidR="00E176BE">
        <w:rPr>
          <w:rFonts w:ascii="Arial Narrow" w:hAnsi="Arial Narrow" w:cs="Arial"/>
          <w:bCs/>
          <w:i/>
          <w:sz w:val="20"/>
        </w:rPr>
        <w:t>0</w:t>
      </w:r>
      <w:r w:rsidR="00595A27">
        <w:rPr>
          <w:rFonts w:ascii="Arial Narrow" w:hAnsi="Arial Narrow" w:cs="Arial"/>
          <w:bCs/>
          <w:i/>
          <w:sz w:val="20"/>
        </w:rPr>
        <w:t>148</w:t>
      </w:r>
      <w:r w:rsidR="00482D15">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595A27">
        <w:rPr>
          <w:rFonts w:ascii="Arial Narrow" w:hAnsi="Arial Narrow" w:cs="Arial"/>
          <w:i/>
          <w:iCs/>
          <w:sz w:val="20"/>
        </w:rPr>
        <w:t>Beatriz del Pilar Waltero Bocanegra</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595A27">
        <w:rPr>
          <w:rFonts w:ascii="Arial Narrow" w:hAnsi="Arial Narrow" w:cs="Arial"/>
          <w:bCs/>
          <w:i/>
          <w:sz w:val="20"/>
        </w:rPr>
        <w:t>Ci Nicole S.A. y otros</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E176BE">
        <w:rPr>
          <w:rFonts w:ascii="Arial Narrow" w:hAnsi="Arial Narrow" w:cs="Arial"/>
          <w:i/>
          <w:sz w:val="20"/>
        </w:rPr>
        <w:t xml:space="preserve">Laboral del Circuito de </w:t>
      </w:r>
      <w:r w:rsidR="00481FB7">
        <w:rPr>
          <w:rFonts w:ascii="Arial Narrow" w:hAnsi="Arial Narrow" w:cs="Arial"/>
          <w:i/>
          <w:sz w:val="20"/>
        </w:rPr>
        <w:t>Dosquebradas</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AE4263" w:rsidRPr="00AA0F00" w:rsidRDefault="00181D67" w:rsidP="00AA0F00">
      <w:pPr>
        <w:autoSpaceDE w:val="0"/>
        <w:autoSpaceDN w:val="0"/>
        <w:adjustRightInd w:val="0"/>
        <w:ind w:left="2127" w:hanging="2127"/>
        <w:jc w:val="both"/>
        <w:rPr>
          <w:rFonts w:ascii="Arial Narrow" w:hAnsi="Arial Narrow" w:cs="Tahoma"/>
          <w:bCs/>
          <w:i/>
          <w:sz w:val="20"/>
          <w:szCs w:val="18"/>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AA0F00">
        <w:rPr>
          <w:rFonts w:ascii="Arial Narrow" w:hAnsi="Arial Narrow" w:cs="Tahoma"/>
          <w:b/>
          <w:bCs/>
          <w:i/>
          <w:sz w:val="20"/>
          <w:szCs w:val="18"/>
        </w:rPr>
        <w:t xml:space="preserve">Contrato de trabajo. Primacía de la realidad sobre las formas. Deberes Probatorios. </w:t>
      </w:r>
      <w:r w:rsidR="00AA0F00" w:rsidRPr="00AA0F00">
        <w:rPr>
          <w:rFonts w:ascii="Arial Narrow" w:hAnsi="Arial Narrow" w:cs="Tahoma"/>
          <w:bCs/>
          <w:i/>
          <w:sz w:val="20"/>
          <w:szCs w:val="18"/>
        </w:rPr>
        <w:t>El artículo 22 del Estatuto del Trabajo, define el contrato de trabajo como “aquél por el cual una persona natural se obliga a prestar un servicio personal a otra persona natural o jurídica, bajo la continuada dependencia o subordinación de la segunda y mediante remuneración”. De esta definición se extraen los tres elementos esenciales que identifican de manera especial al contrato de trabajo: (i) prestación personal de un servicio; (ii) continuada dependencia y subordinación que ejerce el beneficiario del servicio frente a quien lo presta y (iii) la remuneración del mismo. Estos elementos, reunidos en cualquier circunstancia, dan cuenta de la existencia de un contrato de trabajo, sin importar la denominación que se le dé al mismo, ello en virtud del principio de primacía de la realidad (art. 23 CST y art. 53 C.P.).</w:t>
      </w:r>
      <w:r w:rsidR="00AA0F00" w:rsidRPr="00AA0F00">
        <w:rPr>
          <w:rFonts w:ascii="Arial Narrow" w:hAnsi="Arial Narrow" w:cs="Tahoma"/>
          <w:bCs/>
          <w:i/>
          <w:sz w:val="20"/>
          <w:szCs w:val="18"/>
        </w:rPr>
        <w:t xml:space="preserve"> </w:t>
      </w:r>
      <w:r w:rsidR="00AA0F00" w:rsidRPr="00AA0F00">
        <w:rPr>
          <w:rFonts w:ascii="Arial Narrow" w:hAnsi="Arial Narrow" w:cs="Tahoma"/>
          <w:bCs/>
          <w:i/>
          <w:sz w:val="20"/>
          <w:szCs w:val="18"/>
        </w:rPr>
        <w:t>Llevando lo anterior al campo de las responsabilidades probatorias que tienen las partes que actúan en un proceso, le correspondería a quien persigue ser trabajador de una persona, demostrar la totalidad de los elementos antes anotados. Sin embargo, como tal carga es abiertamente excesiva, el legislador tuvo a bien establecer en pro del trabajador una presunción que invirtiera los deberes probatorios. La misma se encuentra en el artículo 24 del Código Laboral y establece que acreditada la prestación personal de un servicio a favor de una persona determinada, se presumirá que tal relación se rige por un contrato de trabajo, invirtiendo los deberes probatorios, siendo ya, el presumido empleador, el encargado de desvirtuar tal suposición legal.</w:t>
      </w:r>
      <w:r w:rsidR="00AA0F00" w:rsidRPr="00AA0F00">
        <w:rPr>
          <w:rFonts w:ascii="Arial Narrow" w:hAnsi="Arial Narrow" w:cs="Tahoma"/>
          <w:bCs/>
          <w:i/>
          <w:sz w:val="20"/>
          <w:szCs w:val="18"/>
        </w:rPr>
        <w:t xml:space="preserve"> </w:t>
      </w:r>
      <w:r w:rsidR="00AA0F00">
        <w:rPr>
          <w:rFonts w:ascii="Arial Narrow" w:hAnsi="Arial Narrow" w:cs="Tahoma"/>
          <w:b/>
          <w:bCs/>
          <w:i/>
          <w:sz w:val="20"/>
          <w:szCs w:val="18"/>
        </w:rPr>
        <w:t xml:space="preserve">Indemnización moratoria. Principio de la primacía de la realidad. </w:t>
      </w:r>
      <w:r w:rsidR="00AA0F00" w:rsidRPr="00AA0F00">
        <w:rPr>
          <w:rFonts w:ascii="Arial Narrow" w:hAnsi="Arial Narrow" w:cs="Tahoma"/>
          <w:bCs/>
          <w:i/>
          <w:sz w:val="20"/>
          <w:szCs w:val="18"/>
        </w:rPr>
        <w:t>Pues bien, dígase que ambas indemnizaciones implican un análisis de la buena o mala fe que tuvo el empleador en no cumplir sus obligaciones, situación que deberá analizarse por el juzgador en cada caso puntual, tal como se ha decantado suficientemente por parte del órgano de cierre de la jurisdicción laboral.</w:t>
      </w:r>
      <w:r w:rsidR="00AA0F00" w:rsidRPr="00AA0F00">
        <w:rPr>
          <w:rFonts w:ascii="Arial Narrow" w:hAnsi="Arial Narrow" w:cs="Tahoma"/>
          <w:bCs/>
          <w:i/>
          <w:sz w:val="20"/>
          <w:szCs w:val="18"/>
        </w:rPr>
        <w:t xml:space="preserve"> </w:t>
      </w:r>
      <w:r w:rsidR="00AA0F00" w:rsidRPr="00AA0F00">
        <w:rPr>
          <w:rFonts w:ascii="Arial Narrow" w:hAnsi="Arial Narrow" w:cs="Tahoma"/>
          <w:bCs/>
          <w:i/>
          <w:sz w:val="20"/>
          <w:szCs w:val="18"/>
        </w:rPr>
        <w:t>Es del caso, además, anotar, que el solo hecho de que en virtud del principio de la primacía de la realidad se declare que una relación muta a una laboral, no quiere decir per se, que el empleador obró de mala fe, pues es perfectamente posible que hubiere considerado erradamente, que en verdad estaba bajo otra forma contractual, situación que de evidenciarse, eliminaría la sanción contenida en las normas mencionadas.</w:t>
      </w:r>
      <w:r w:rsidR="00AA0F00">
        <w:rPr>
          <w:rFonts w:ascii="Arial Narrow" w:hAnsi="Arial Narrow" w:cs="Tahoma"/>
          <w:bCs/>
          <w:i/>
          <w:sz w:val="20"/>
          <w:szCs w:val="18"/>
        </w:rPr>
        <w:t xml:space="preserve"> </w:t>
      </w:r>
      <w:r w:rsidR="00AA0F00">
        <w:rPr>
          <w:rFonts w:ascii="Arial Narrow" w:hAnsi="Arial Narrow" w:cs="Tahoma"/>
          <w:b/>
          <w:bCs/>
          <w:i/>
          <w:sz w:val="20"/>
          <w:szCs w:val="18"/>
        </w:rPr>
        <w:t xml:space="preserve">Indemnización por despido injusto. Intermediación laboral. </w:t>
      </w:r>
      <w:r w:rsidR="00AA0F00" w:rsidRPr="00AA0F00">
        <w:rPr>
          <w:rFonts w:ascii="Arial Narrow" w:hAnsi="Arial Narrow" w:cs="Tahoma"/>
          <w:bCs/>
          <w:i/>
          <w:sz w:val="20"/>
          <w:szCs w:val="18"/>
        </w:rPr>
        <w:t>Pues bien, dígase que esta interpretación, no puede tener cabida en el presente asunto, dado que la  misma cohonestaría que las empresas que ocultan una relación laboral, valiéndose de métodos poco probos, se vean beneficiadas para despedir a sus empleados, por la sencilla razón de que lo hacen por medio de un mandadero o intermediario. Este argumento, de validarse, dejaría por el suelo el principio de la primacía de la realidad, pues de alguna forma se estarían validando actuaciones como la surtida en este caso entre Nicole y Coonix CTA, privilegiándose la burla al caro derecho a la estabilidad laboral.</w:t>
      </w:r>
      <w:r w:rsidR="00AA0F00" w:rsidRPr="00AA0F00">
        <w:rPr>
          <w:rFonts w:ascii="Arial Narrow" w:hAnsi="Arial Narrow" w:cs="Tahoma"/>
          <w:bCs/>
          <w:i/>
          <w:sz w:val="20"/>
          <w:szCs w:val="18"/>
        </w:rPr>
        <w:t xml:space="preserve">  </w:t>
      </w:r>
    </w:p>
    <w:p w:rsidR="00AE4263" w:rsidRDefault="00AE4263" w:rsidP="00AE4263">
      <w:pPr>
        <w:autoSpaceDE w:val="0"/>
        <w:autoSpaceDN w:val="0"/>
        <w:adjustRightInd w:val="0"/>
        <w:ind w:left="2127" w:hanging="2127"/>
        <w:jc w:val="both"/>
        <w:rPr>
          <w:rFonts w:ascii="Arial Narrow" w:hAnsi="Arial Narrow" w:cs="Tahoma"/>
          <w:i/>
          <w:sz w:val="36"/>
          <w:szCs w:val="29"/>
          <w:highlight w:val="yellow"/>
        </w:rPr>
      </w:pP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595A27">
        <w:rPr>
          <w:rFonts w:ascii="Arial Narrow" w:eastAsia="Calibri" w:hAnsi="Arial Narrow" w:cs="Arial"/>
          <w:sz w:val="28"/>
          <w:szCs w:val="28"/>
          <w:lang w:val="es-CO" w:eastAsia="en-US"/>
        </w:rPr>
        <w:t>quince</w:t>
      </w:r>
      <w:r w:rsidR="005B0298">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FF780D">
        <w:rPr>
          <w:rFonts w:ascii="Arial Narrow" w:eastAsia="Calibri" w:hAnsi="Arial Narrow" w:cs="Arial"/>
          <w:sz w:val="28"/>
          <w:szCs w:val="28"/>
          <w:lang w:val="es-CO" w:eastAsia="en-US"/>
        </w:rPr>
        <w:t>1</w:t>
      </w:r>
      <w:r w:rsidR="00595A27">
        <w:rPr>
          <w:rFonts w:ascii="Arial Narrow" w:eastAsia="Calibri" w:hAnsi="Arial Narrow" w:cs="Arial"/>
          <w:sz w:val="28"/>
          <w:szCs w:val="28"/>
          <w:lang w:val="es-CO" w:eastAsia="en-US"/>
        </w:rPr>
        <w:t>5</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595A27">
        <w:rPr>
          <w:rFonts w:ascii="Arial Narrow" w:eastAsia="Calibri" w:hAnsi="Arial Narrow" w:cs="Arial"/>
          <w:sz w:val="28"/>
          <w:szCs w:val="28"/>
          <w:lang w:val="es-CO" w:eastAsia="en-US"/>
        </w:rPr>
        <w:t>septiembre</w:t>
      </w:r>
      <w:r w:rsidR="00181D67" w:rsidRPr="00D30FA7">
        <w:rPr>
          <w:rFonts w:ascii="Arial Narrow" w:eastAsia="Calibri" w:hAnsi="Arial Narrow" w:cs="Arial"/>
          <w:sz w:val="28"/>
          <w:szCs w:val="28"/>
          <w:lang w:val="es-CO" w:eastAsia="en-US"/>
        </w:rPr>
        <w:t xml:space="preserve"> de dos mil </w:t>
      </w:r>
      <w:r w:rsidR="005B0298">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5B0298">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w:t>
      </w:r>
      <w:r>
        <w:rPr>
          <w:rFonts w:ascii="Arial Narrow" w:eastAsia="Calibri" w:hAnsi="Arial Narrow" w:cs="Arial"/>
          <w:sz w:val="28"/>
          <w:szCs w:val="28"/>
          <w:lang w:val="es-CO" w:eastAsia="en-US"/>
        </w:rPr>
        <w:t xml:space="preserve"> </w:t>
      </w:r>
      <w:r w:rsidR="0056623A">
        <w:rPr>
          <w:rFonts w:ascii="Arial Narrow" w:eastAsia="Calibri" w:hAnsi="Arial Narrow" w:cs="Arial"/>
          <w:sz w:val="28"/>
          <w:szCs w:val="28"/>
          <w:lang w:val="es-CO" w:eastAsia="en-US"/>
        </w:rPr>
        <w:t>una</w:t>
      </w:r>
      <w:r w:rsidR="008E6796">
        <w:rPr>
          <w:rFonts w:ascii="Arial Narrow" w:eastAsia="Calibri" w:hAnsi="Arial Narrow" w:cs="Arial"/>
          <w:sz w:val="28"/>
          <w:szCs w:val="28"/>
          <w:lang w:val="es-CO" w:eastAsia="en-US"/>
        </w:rPr>
        <w:t xml:space="preserve"> y </w:t>
      </w:r>
      <w:r w:rsidR="0056623A">
        <w:rPr>
          <w:rFonts w:ascii="Arial Narrow" w:eastAsia="Calibri" w:hAnsi="Arial Narrow" w:cs="Arial"/>
          <w:sz w:val="28"/>
          <w:szCs w:val="28"/>
          <w:lang w:val="es-CO" w:eastAsia="en-US"/>
        </w:rPr>
        <w:t>treinta</w:t>
      </w:r>
      <w:r w:rsidR="008E6796">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w:t>
      </w:r>
      <w:r w:rsidR="0056623A">
        <w:rPr>
          <w:rFonts w:ascii="Arial Narrow" w:eastAsia="Calibri" w:hAnsi="Arial Narrow" w:cs="Arial"/>
          <w:sz w:val="28"/>
          <w:szCs w:val="28"/>
          <w:lang w:val="es-CO" w:eastAsia="en-US"/>
        </w:rPr>
        <w:t>tarde</w:t>
      </w:r>
      <w:r w:rsidR="008E6796">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56623A">
        <w:rPr>
          <w:rFonts w:ascii="Arial Narrow" w:eastAsia="Calibri" w:hAnsi="Arial Narrow" w:cs="Arial"/>
          <w:sz w:val="28"/>
          <w:szCs w:val="28"/>
          <w:lang w:val="es-CO" w:eastAsia="en-US"/>
        </w:rPr>
        <w:t>01</w:t>
      </w:r>
      <w:r w:rsidR="00181D67" w:rsidRPr="00D30FA7">
        <w:rPr>
          <w:rFonts w:ascii="Arial Narrow" w:eastAsia="Calibri" w:hAnsi="Arial Narrow" w:cs="Arial"/>
          <w:sz w:val="28"/>
          <w:szCs w:val="28"/>
          <w:lang w:val="es-CO" w:eastAsia="en-US"/>
        </w:rPr>
        <w:t>:</w:t>
      </w:r>
      <w:r w:rsidR="0056623A">
        <w:rPr>
          <w:rFonts w:ascii="Arial Narrow" w:eastAsia="Calibri" w:hAnsi="Arial Narrow" w:cs="Arial"/>
          <w:sz w:val="28"/>
          <w:szCs w:val="28"/>
          <w:lang w:val="es-CO" w:eastAsia="en-US"/>
        </w:rPr>
        <w:t>30</w:t>
      </w:r>
      <w:r w:rsidR="00FF75A4">
        <w:rPr>
          <w:rFonts w:ascii="Arial Narrow" w:eastAsia="Calibri" w:hAnsi="Arial Narrow" w:cs="Arial"/>
          <w:sz w:val="28"/>
          <w:szCs w:val="28"/>
          <w:lang w:val="es-CO" w:eastAsia="en-US"/>
        </w:rPr>
        <w:t xml:space="preserve"> </w:t>
      </w:r>
      <w:r w:rsidR="0056623A">
        <w:rPr>
          <w:rFonts w:ascii="Arial Narrow" w:eastAsia="Calibri" w:hAnsi="Arial Narrow" w:cs="Arial"/>
          <w:sz w:val="28"/>
          <w:szCs w:val="28"/>
          <w:lang w:val="es-CO" w:eastAsia="en-US"/>
        </w:rPr>
        <w:t>p</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595A27">
        <w:rPr>
          <w:rFonts w:ascii="Arial Narrow" w:hAnsi="Arial Narrow" w:cs="Tahoma"/>
          <w:bCs/>
          <w:color w:val="000000"/>
          <w:sz w:val="28"/>
          <w:szCs w:val="28"/>
          <w:lang w:eastAsia="es-CO"/>
        </w:rPr>
        <w:t xml:space="preserve">de Decisión </w:t>
      </w:r>
      <w:r w:rsidR="00181D67" w:rsidRPr="00D30FA7">
        <w:rPr>
          <w:rFonts w:ascii="Arial Narrow" w:hAnsi="Arial Narrow" w:cs="Tahoma"/>
          <w:bCs/>
          <w:color w:val="000000"/>
          <w:sz w:val="28"/>
          <w:szCs w:val="28"/>
          <w:lang w:eastAsia="es-CO"/>
        </w:rPr>
        <w:t xml:space="preserve">Laboral </w:t>
      </w:r>
      <w:r w:rsidR="00595A27">
        <w:rPr>
          <w:rFonts w:ascii="Arial Narrow" w:hAnsi="Arial Narrow" w:cs="Tahoma"/>
          <w:bCs/>
          <w:color w:val="000000"/>
          <w:sz w:val="28"/>
          <w:szCs w:val="28"/>
          <w:lang w:eastAsia="es-CO"/>
        </w:rPr>
        <w:t xml:space="preserve">No. 03 </w:t>
      </w:r>
      <w:r w:rsidR="00181D67" w:rsidRPr="00D30FA7">
        <w:rPr>
          <w:rFonts w:ascii="Arial Narrow" w:hAnsi="Arial Narrow" w:cs="Tahoma"/>
          <w:bCs/>
          <w:color w:val="000000"/>
          <w:sz w:val="28"/>
          <w:szCs w:val="28"/>
          <w:lang w:eastAsia="es-CO"/>
        </w:rPr>
        <w:t>del Tribunal Superior de Pereira, el ponente declara abierto el act</w:t>
      </w:r>
      <w:bookmarkStart w:id="0" w:name="_GoBack"/>
      <w:bookmarkEnd w:id="0"/>
      <w:r w:rsidR="00181D67" w:rsidRPr="00D30FA7">
        <w:rPr>
          <w:rFonts w:ascii="Arial Narrow" w:hAnsi="Arial Narrow" w:cs="Tahoma"/>
          <w:bCs/>
          <w:color w:val="000000"/>
          <w:sz w:val="28"/>
          <w:szCs w:val="28"/>
          <w:lang w:eastAsia="es-CO"/>
        </w:rPr>
        <w:t xml:space="preserve">o, que tiene por objeto resolver </w:t>
      </w:r>
      <w:r w:rsidR="00FF780D">
        <w:rPr>
          <w:rFonts w:ascii="Arial Narrow" w:hAnsi="Arial Narrow" w:cs="Tahoma"/>
          <w:bCs/>
          <w:color w:val="000000"/>
          <w:sz w:val="28"/>
          <w:szCs w:val="28"/>
          <w:lang w:eastAsia="es-CO"/>
        </w:rPr>
        <w:t>el</w:t>
      </w:r>
      <w:r w:rsidR="008E6796">
        <w:rPr>
          <w:rFonts w:ascii="Arial Narrow" w:hAnsi="Arial Narrow" w:cs="Tahoma"/>
          <w:bCs/>
          <w:color w:val="000000"/>
          <w:sz w:val="28"/>
          <w:szCs w:val="28"/>
          <w:lang w:eastAsia="es-CO"/>
        </w:rPr>
        <w:t xml:space="preserve"> </w:t>
      </w:r>
      <w:r w:rsidR="00595A27">
        <w:rPr>
          <w:rFonts w:ascii="Arial Narrow" w:hAnsi="Arial Narrow" w:cs="Tahoma"/>
          <w:bCs/>
          <w:color w:val="000000"/>
          <w:sz w:val="28"/>
          <w:szCs w:val="28"/>
          <w:lang w:eastAsia="es-CO"/>
        </w:rPr>
        <w:t>recurso de apelación propuesto por el portavoz judicial de la codemandada CI Nicole S.A. contra</w:t>
      </w:r>
      <w:r w:rsidR="00E176BE">
        <w:rPr>
          <w:rFonts w:ascii="Arial Narrow" w:hAnsi="Arial Narrow" w:cs="Tahoma"/>
          <w:bCs/>
          <w:color w:val="000000"/>
          <w:sz w:val="28"/>
          <w:szCs w:val="28"/>
          <w:lang w:eastAsia="es-CO"/>
        </w:rPr>
        <w:t xml:space="preserve"> </w:t>
      </w:r>
      <w:r w:rsidR="008E6796">
        <w:rPr>
          <w:rFonts w:ascii="Arial Narrow" w:hAnsi="Arial Narrow" w:cs="Tahoma"/>
          <w:bCs/>
          <w:color w:val="000000"/>
          <w:sz w:val="28"/>
          <w:szCs w:val="28"/>
          <w:lang w:eastAsia="es-CO"/>
        </w:rPr>
        <w:t xml:space="preserve">la sentencia del </w:t>
      </w:r>
      <w:r w:rsidR="00595A27">
        <w:rPr>
          <w:rFonts w:ascii="Arial Narrow" w:hAnsi="Arial Narrow" w:cs="Tahoma"/>
          <w:bCs/>
          <w:color w:val="000000"/>
          <w:sz w:val="28"/>
          <w:szCs w:val="28"/>
          <w:lang w:eastAsia="es-CO"/>
        </w:rPr>
        <w:t>15</w:t>
      </w:r>
      <w:r w:rsidR="00E176BE">
        <w:rPr>
          <w:rFonts w:ascii="Arial Narrow" w:hAnsi="Arial Narrow" w:cs="Tahoma"/>
          <w:bCs/>
          <w:color w:val="000000"/>
          <w:sz w:val="28"/>
          <w:szCs w:val="28"/>
          <w:lang w:eastAsia="es-CO"/>
        </w:rPr>
        <w:t xml:space="preserve"> </w:t>
      </w:r>
      <w:r w:rsidR="008E6796">
        <w:rPr>
          <w:rFonts w:ascii="Arial Narrow" w:hAnsi="Arial Narrow" w:cs="Tahoma"/>
          <w:bCs/>
          <w:color w:val="000000"/>
          <w:sz w:val="28"/>
          <w:szCs w:val="28"/>
          <w:lang w:eastAsia="es-CO"/>
        </w:rPr>
        <w:t xml:space="preserve">de </w:t>
      </w:r>
      <w:r w:rsidR="00595A27">
        <w:rPr>
          <w:rFonts w:ascii="Arial Narrow" w:hAnsi="Arial Narrow" w:cs="Tahoma"/>
          <w:bCs/>
          <w:color w:val="000000"/>
          <w:sz w:val="28"/>
          <w:szCs w:val="28"/>
          <w:lang w:eastAsia="es-CO"/>
        </w:rPr>
        <w:t>diciembre</w:t>
      </w:r>
      <w:r w:rsidR="008E6796">
        <w:rPr>
          <w:rFonts w:ascii="Arial Narrow" w:hAnsi="Arial Narrow" w:cs="Tahoma"/>
          <w:bCs/>
          <w:color w:val="000000"/>
          <w:sz w:val="28"/>
          <w:szCs w:val="28"/>
          <w:lang w:eastAsia="es-CO"/>
        </w:rPr>
        <w:t xml:space="preserve"> de 201</w:t>
      </w:r>
      <w:r w:rsidR="00595A27">
        <w:rPr>
          <w:rFonts w:ascii="Arial Narrow" w:hAnsi="Arial Narrow" w:cs="Tahoma"/>
          <w:bCs/>
          <w:color w:val="000000"/>
          <w:sz w:val="28"/>
          <w:szCs w:val="28"/>
          <w:lang w:eastAsia="es-CO"/>
        </w:rPr>
        <w:t>4</w:t>
      </w:r>
      <w:r w:rsidR="008E6796">
        <w:rPr>
          <w:rFonts w:ascii="Arial Narrow" w:hAnsi="Arial Narrow" w:cs="Tahoma"/>
          <w:bCs/>
          <w:color w:val="000000"/>
          <w:sz w:val="28"/>
          <w:szCs w:val="28"/>
          <w:lang w:eastAsia="es-CO"/>
        </w:rPr>
        <w:t xml:space="preserve"> </w:t>
      </w:r>
      <w:r w:rsidR="000002A6">
        <w:rPr>
          <w:rFonts w:ascii="Arial Narrow" w:hAnsi="Arial Narrow" w:cs="Tahoma"/>
          <w:bCs/>
          <w:color w:val="000000"/>
          <w:sz w:val="28"/>
          <w:szCs w:val="28"/>
          <w:lang w:eastAsia="es-CO"/>
        </w:rPr>
        <w:t xml:space="preserve">dictada por el Juzgado </w:t>
      </w:r>
      <w:r w:rsidR="00FF780D">
        <w:rPr>
          <w:rFonts w:ascii="Arial Narrow" w:hAnsi="Arial Narrow" w:cs="Tahoma"/>
          <w:bCs/>
          <w:color w:val="000000"/>
          <w:sz w:val="28"/>
          <w:szCs w:val="28"/>
          <w:lang w:eastAsia="es-CO"/>
        </w:rPr>
        <w:t xml:space="preserve">Laboral </w:t>
      </w:r>
      <w:r w:rsidR="000002A6">
        <w:rPr>
          <w:rFonts w:ascii="Arial Narrow" w:hAnsi="Arial Narrow" w:cs="Tahoma"/>
          <w:bCs/>
          <w:color w:val="000000"/>
          <w:sz w:val="28"/>
          <w:szCs w:val="28"/>
          <w:lang w:eastAsia="es-CO"/>
        </w:rPr>
        <w:t xml:space="preserve">del Circuito </w:t>
      </w:r>
      <w:r w:rsidR="00E176BE">
        <w:rPr>
          <w:rFonts w:ascii="Arial Narrow" w:hAnsi="Arial Narrow" w:cs="Tahoma"/>
          <w:bCs/>
          <w:color w:val="000000"/>
          <w:sz w:val="28"/>
          <w:szCs w:val="28"/>
          <w:lang w:eastAsia="es-CO"/>
        </w:rPr>
        <w:t xml:space="preserve">de </w:t>
      </w:r>
      <w:r w:rsidR="00595A27">
        <w:rPr>
          <w:rFonts w:ascii="Arial Narrow" w:hAnsi="Arial Narrow" w:cs="Tahoma"/>
          <w:bCs/>
          <w:color w:val="000000"/>
          <w:sz w:val="28"/>
          <w:szCs w:val="28"/>
          <w:lang w:eastAsia="es-CO"/>
        </w:rPr>
        <w:t>Dosquebradas, Risaralda</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dentro del proceso ordinario laboral promovido por</w:t>
      </w:r>
      <w:r w:rsidR="00A915C0">
        <w:rPr>
          <w:rFonts w:ascii="Arial Narrow" w:hAnsi="Arial Narrow" w:cs="Arial"/>
          <w:sz w:val="28"/>
          <w:szCs w:val="28"/>
        </w:rPr>
        <w:t xml:space="preserve"> </w:t>
      </w:r>
      <w:r w:rsidR="00595A27">
        <w:rPr>
          <w:rFonts w:ascii="Arial Narrow" w:hAnsi="Arial Narrow" w:cs="Arial"/>
          <w:b/>
          <w:i/>
          <w:sz w:val="28"/>
          <w:szCs w:val="28"/>
        </w:rPr>
        <w:t>Beatriz del Pilar Waltero Bocanegra</w:t>
      </w:r>
      <w:r w:rsidR="00E176BE">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595A27">
        <w:rPr>
          <w:rFonts w:ascii="Arial Narrow" w:hAnsi="Arial Narrow" w:cs="Arial"/>
          <w:b/>
          <w:i/>
          <w:sz w:val="28"/>
          <w:szCs w:val="28"/>
        </w:rPr>
        <w:t>CI Nicole S.A., Protección S.A., Suratep ARL S.A. y Coonix CTA</w:t>
      </w:r>
      <w:r w:rsidR="00FF780D">
        <w:rPr>
          <w:rFonts w:ascii="Arial Narrow" w:hAnsi="Arial Narrow" w:cs="Arial"/>
          <w:b/>
          <w:i/>
          <w:sz w:val="28"/>
          <w:szCs w:val="28"/>
        </w:rPr>
        <w:t>.</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083DF1">
        <w:rPr>
          <w:rFonts w:ascii="Arial Narrow" w:hAnsi="Arial Narrow" w:cs="Tahoma"/>
          <w:b/>
          <w:i/>
          <w:sz w:val="28"/>
          <w:szCs w:val="28"/>
        </w:rPr>
        <w:t>ANTECEDENTES.</w:t>
      </w:r>
    </w:p>
    <w:p w:rsidR="00181D67" w:rsidRPr="00F60732" w:rsidRDefault="00181D67" w:rsidP="00F60732">
      <w:pPr>
        <w:pStyle w:val="Sinespaciado"/>
      </w:pPr>
    </w:p>
    <w:p w:rsidR="00B669FD" w:rsidRDefault="00FB2F33"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Para efectos de resolver la alzada, s</w:t>
      </w:r>
      <w:r w:rsidR="00595A27">
        <w:rPr>
          <w:rFonts w:ascii="Arial Narrow" w:hAnsi="Arial Narrow" w:cs="Tahoma"/>
          <w:sz w:val="28"/>
          <w:szCs w:val="28"/>
        </w:rPr>
        <w:t>e pide en la demanda que se declare que Ci Nicole S.A. y la CTA Coonix son responsables de la intermediación laboral</w:t>
      </w:r>
      <w:r>
        <w:rPr>
          <w:rFonts w:ascii="Arial Narrow" w:hAnsi="Arial Narrow" w:cs="Tahoma"/>
          <w:sz w:val="28"/>
          <w:szCs w:val="28"/>
        </w:rPr>
        <w:t xml:space="preserve"> y, en calidad de empleadores, celebraron un contrato de trabajo a término indefinido con la demandante desde el 24 de noviembre de 2003 y que el despido no produce efectos por incumplir lo ordenado en el artículo 65 del CST, en consecuencia pide que se condene a las codemandadas a pagar los salarios, primas, vacaciones, cesantías e intereses a las cesantías, dotación de calzado y vestido de labor y auxilio de transporte, dejados de percibir desde el 1º de noviembre de 2006. Así mismo pide que se fulmine condena por concepto de indemnización moratoria</w:t>
      </w:r>
      <w:r w:rsidR="00B669FD">
        <w:rPr>
          <w:rFonts w:ascii="Arial Narrow" w:hAnsi="Arial Narrow" w:cs="Tahoma"/>
          <w:sz w:val="28"/>
          <w:szCs w:val="28"/>
        </w:rPr>
        <w:t xml:space="preserve"> por la no consignación de cesantías</w:t>
      </w:r>
      <w:r w:rsidR="00464327">
        <w:rPr>
          <w:rFonts w:ascii="Arial Narrow" w:hAnsi="Arial Narrow" w:cs="Tahoma"/>
          <w:sz w:val="28"/>
          <w:szCs w:val="28"/>
        </w:rPr>
        <w:t xml:space="preserve"> y la moratoria de que trata el canon 65 del CST e indemnización por despido injusto</w:t>
      </w:r>
      <w:r w:rsidR="00B669FD">
        <w:rPr>
          <w:rFonts w:ascii="Arial Narrow" w:hAnsi="Arial Narrow" w:cs="Tahoma"/>
          <w:sz w:val="28"/>
          <w:szCs w:val="28"/>
        </w:rPr>
        <w:t>.</w:t>
      </w:r>
      <w:r w:rsidR="00EE54F8">
        <w:rPr>
          <w:rFonts w:ascii="Arial Narrow" w:hAnsi="Arial Narrow" w:cs="Tahoma"/>
          <w:sz w:val="28"/>
          <w:szCs w:val="28"/>
        </w:rPr>
        <w:t xml:space="preserve"> También pidió el pago de pensión de invalidez bien a cargo de la ARP o a cargo del Fondo de Pensiones.</w:t>
      </w:r>
      <w:r w:rsidR="00B669FD">
        <w:rPr>
          <w:rFonts w:ascii="Arial Narrow" w:hAnsi="Arial Narrow" w:cs="Tahoma"/>
          <w:sz w:val="28"/>
          <w:szCs w:val="28"/>
        </w:rPr>
        <w:t xml:space="preserve"> </w:t>
      </w:r>
    </w:p>
    <w:p w:rsidR="00B669FD" w:rsidRDefault="00B669FD" w:rsidP="00181D67">
      <w:pPr>
        <w:shd w:val="clear" w:color="auto" w:fill="FFFFFF"/>
        <w:spacing w:line="360" w:lineRule="auto"/>
        <w:ind w:firstLine="851"/>
        <w:jc w:val="both"/>
        <w:rPr>
          <w:rFonts w:ascii="Arial Narrow" w:hAnsi="Arial Narrow" w:cs="Tahoma"/>
          <w:sz w:val="28"/>
          <w:szCs w:val="28"/>
        </w:rPr>
      </w:pPr>
    </w:p>
    <w:p w:rsidR="00C72260" w:rsidRDefault="00B669FD"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El sustento fáctico de ellos, consiste en que la actora prestó sus servicios personales en el municipio de Dosquebradas a favor de Nicole, siendo vinculada inicialmente por el SENA y posteriormente por medio de la CTA Coonix, que el inicio de la relación laboral fue el 24 de noviembre de 2003 y hasta el 01</w:t>
      </w:r>
      <w:r w:rsidR="00481FB7">
        <w:rPr>
          <w:rFonts w:ascii="Arial Narrow" w:hAnsi="Arial Narrow" w:cs="Tahoma"/>
          <w:sz w:val="28"/>
          <w:szCs w:val="28"/>
        </w:rPr>
        <w:t xml:space="preserve"> </w:t>
      </w:r>
      <w:r>
        <w:rPr>
          <w:rFonts w:ascii="Arial Narrow" w:hAnsi="Arial Narrow" w:cs="Tahoma"/>
          <w:sz w:val="28"/>
          <w:szCs w:val="28"/>
        </w:rPr>
        <w:t>de noviembre de 2006, que en esta última fecha la gerente de la CTA</w:t>
      </w:r>
      <w:r w:rsidR="00481FB7">
        <w:rPr>
          <w:rFonts w:ascii="Arial Narrow" w:hAnsi="Arial Narrow" w:cs="Tahoma"/>
          <w:sz w:val="28"/>
          <w:szCs w:val="28"/>
        </w:rPr>
        <w:t xml:space="preserve"> Coonix</w:t>
      </w:r>
      <w:r>
        <w:rPr>
          <w:rFonts w:ascii="Arial Narrow" w:hAnsi="Arial Narrow" w:cs="Tahoma"/>
          <w:sz w:val="28"/>
          <w:szCs w:val="28"/>
        </w:rPr>
        <w:t xml:space="preserve"> le informó que el acuerdo cooperativo se cancelaba a partir de ese día, que la labor desempeñada era la de marquilladora</w:t>
      </w:r>
      <w:r w:rsidR="00481FB7">
        <w:rPr>
          <w:rFonts w:ascii="Arial Narrow" w:hAnsi="Arial Narrow" w:cs="Tahoma"/>
          <w:sz w:val="28"/>
          <w:szCs w:val="28"/>
        </w:rPr>
        <w:t xml:space="preserve"> y después pasó a manejar máquina plana, que empezó a presentar varias situaciones en su salud, especialmente problemas en sus ma</w:t>
      </w:r>
      <w:r w:rsidR="0072180A">
        <w:rPr>
          <w:rFonts w:ascii="Arial Narrow" w:hAnsi="Arial Narrow" w:cs="Tahoma"/>
          <w:sz w:val="28"/>
          <w:szCs w:val="28"/>
        </w:rPr>
        <w:t xml:space="preserve">nos, descamación y sangrado, los cuales fueron repetitivos desde el año 2004 hasta el final de la relación laboral, </w:t>
      </w:r>
      <w:r w:rsidR="006612A7">
        <w:rPr>
          <w:rFonts w:ascii="Arial Narrow" w:hAnsi="Arial Narrow" w:cs="Tahoma"/>
          <w:sz w:val="28"/>
          <w:szCs w:val="28"/>
        </w:rPr>
        <w:t>que el médico laboral recomendó guantes de nitrilo</w:t>
      </w:r>
      <w:r w:rsidR="00F959B0">
        <w:rPr>
          <w:rFonts w:ascii="Arial Narrow" w:hAnsi="Arial Narrow" w:cs="Tahoma"/>
          <w:sz w:val="28"/>
          <w:szCs w:val="28"/>
        </w:rPr>
        <w:t xml:space="preserve">, que los mismos se le suministraron pero que mermaba notoriamente el rendimiento en el trabajo, por lo que se los quitaron, que el médico laboral recomendó reubicación, pero no se hizo caso por parte de la empresa, que la demandante recibía órdenes de las jefes de modulo Martha </w:t>
      </w:r>
      <w:r w:rsidR="00BE58C0">
        <w:rPr>
          <w:rFonts w:ascii="Arial Narrow" w:hAnsi="Arial Narrow" w:cs="Tahoma"/>
          <w:sz w:val="28"/>
          <w:szCs w:val="28"/>
        </w:rPr>
        <w:t>González</w:t>
      </w:r>
      <w:r w:rsidR="00F959B0">
        <w:rPr>
          <w:rFonts w:ascii="Arial Narrow" w:hAnsi="Arial Narrow" w:cs="Tahoma"/>
          <w:sz w:val="28"/>
          <w:szCs w:val="28"/>
        </w:rPr>
        <w:t xml:space="preserve"> y Doris </w:t>
      </w:r>
      <w:r w:rsidR="00464327">
        <w:rPr>
          <w:rFonts w:ascii="Arial Narrow" w:hAnsi="Arial Narrow" w:cs="Tahoma"/>
          <w:sz w:val="28"/>
          <w:szCs w:val="28"/>
        </w:rPr>
        <w:t>Escobar</w:t>
      </w:r>
      <w:r w:rsidR="00F959B0">
        <w:rPr>
          <w:rFonts w:ascii="Arial Narrow" w:hAnsi="Arial Narrow" w:cs="Tahoma"/>
          <w:sz w:val="28"/>
          <w:szCs w:val="28"/>
        </w:rPr>
        <w:t>, ambas de Nicole, que cumplía varias jornadas laborales entre las 6 a.m. a 2 p.m., de 2 p.m. a 10 p.m. y de 10 p.m. a 6 a.m., que el salario devengado era el mínimo lega</w:t>
      </w:r>
      <w:r w:rsidR="00464327">
        <w:rPr>
          <w:rFonts w:ascii="Arial Narrow" w:hAnsi="Arial Narrow" w:cs="Tahoma"/>
          <w:sz w:val="28"/>
          <w:szCs w:val="28"/>
        </w:rPr>
        <w:t>l</w:t>
      </w:r>
      <w:r w:rsidR="00F959B0">
        <w:rPr>
          <w:rFonts w:ascii="Arial Narrow" w:hAnsi="Arial Narrow" w:cs="Tahoma"/>
          <w:sz w:val="28"/>
          <w:szCs w:val="28"/>
        </w:rPr>
        <w:t xml:space="preserve">, que la empresa Nicole contrataba </w:t>
      </w:r>
      <w:r w:rsidR="00464327">
        <w:rPr>
          <w:rFonts w:ascii="Arial Narrow" w:hAnsi="Arial Narrow" w:cs="Tahoma"/>
          <w:sz w:val="28"/>
          <w:szCs w:val="28"/>
        </w:rPr>
        <w:t xml:space="preserve">y prestaba </w:t>
      </w:r>
      <w:r w:rsidR="00F959B0">
        <w:rPr>
          <w:rFonts w:ascii="Arial Narrow" w:hAnsi="Arial Narrow" w:cs="Tahoma"/>
          <w:sz w:val="28"/>
          <w:szCs w:val="28"/>
        </w:rPr>
        <w:t>el servicio de transporte</w:t>
      </w:r>
      <w:r w:rsidR="00464327">
        <w:rPr>
          <w:rFonts w:ascii="Arial Narrow" w:hAnsi="Arial Narrow" w:cs="Tahoma"/>
          <w:sz w:val="28"/>
          <w:szCs w:val="28"/>
        </w:rPr>
        <w:t xml:space="preserve">, que no se le suministró dotación, ni se pagaron cesantías, ni intereses a </w:t>
      </w:r>
      <w:r w:rsidR="00464327">
        <w:rPr>
          <w:rFonts w:ascii="Arial Narrow" w:hAnsi="Arial Narrow" w:cs="Tahoma"/>
          <w:sz w:val="28"/>
          <w:szCs w:val="28"/>
        </w:rPr>
        <w:lastRenderedPageBreak/>
        <w:t>las cesantías, ni vacaciones, ni primas</w:t>
      </w:r>
      <w:r w:rsidR="00C72260">
        <w:rPr>
          <w:rFonts w:ascii="Arial Narrow" w:hAnsi="Arial Narrow" w:cs="Tahoma"/>
          <w:sz w:val="28"/>
          <w:szCs w:val="28"/>
        </w:rPr>
        <w:t xml:space="preserve"> y</w:t>
      </w:r>
      <w:r w:rsidR="00464327">
        <w:rPr>
          <w:rFonts w:ascii="Arial Narrow" w:hAnsi="Arial Narrow" w:cs="Tahoma"/>
          <w:sz w:val="28"/>
          <w:szCs w:val="28"/>
        </w:rPr>
        <w:t xml:space="preserve"> que la relación laboral se desarrolló con la intermediación de la CTA Coonix</w:t>
      </w:r>
      <w:r w:rsidR="00C72260">
        <w:rPr>
          <w:rFonts w:ascii="Arial Narrow" w:hAnsi="Arial Narrow" w:cs="Tahoma"/>
          <w:sz w:val="28"/>
          <w:szCs w:val="28"/>
        </w:rPr>
        <w:t>.</w:t>
      </w:r>
    </w:p>
    <w:p w:rsidR="00C72260" w:rsidRDefault="00C72260" w:rsidP="00181D67">
      <w:pPr>
        <w:shd w:val="clear" w:color="auto" w:fill="FFFFFF"/>
        <w:spacing w:line="360" w:lineRule="auto"/>
        <w:ind w:firstLine="851"/>
        <w:jc w:val="both"/>
        <w:rPr>
          <w:rFonts w:ascii="Arial Narrow" w:hAnsi="Arial Narrow" w:cs="Tahoma"/>
          <w:sz w:val="28"/>
          <w:szCs w:val="28"/>
        </w:rPr>
      </w:pPr>
    </w:p>
    <w:p w:rsidR="00EE54F8" w:rsidRDefault="00C72260"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dio traslado a los demandados, los cuales trajeron respuesta en los siguientes términos</w:t>
      </w:r>
      <w:r w:rsidR="00EE54F8">
        <w:rPr>
          <w:rFonts w:ascii="Arial Narrow" w:hAnsi="Arial Narrow" w:cs="Tahoma"/>
          <w:sz w:val="28"/>
          <w:szCs w:val="28"/>
        </w:rPr>
        <w:t>:</w:t>
      </w:r>
    </w:p>
    <w:p w:rsidR="00EE54F8" w:rsidRDefault="00EE54F8" w:rsidP="00181D67">
      <w:pPr>
        <w:shd w:val="clear" w:color="auto" w:fill="FFFFFF"/>
        <w:spacing w:line="360" w:lineRule="auto"/>
        <w:ind w:firstLine="851"/>
        <w:jc w:val="both"/>
        <w:rPr>
          <w:rFonts w:ascii="Arial Narrow" w:hAnsi="Arial Narrow" w:cs="Tahoma"/>
          <w:sz w:val="28"/>
          <w:szCs w:val="28"/>
        </w:rPr>
      </w:pPr>
    </w:p>
    <w:p w:rsidR="003D41D8" w:rsidRDefault="00EE54F8"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-CI Nicole S.A., por medio de portavoz judicial, negó todos los hechos enunciados en la demanda y se opuso a la totalidad de las pretensiones. Propuso como medios exceptivos los de “Inexistencia del vínculo laboral y cobro de lo no debido”, “Buena fe” y “Prescripción”</w:t>
      </w:r>
      <w:r w:rsidR="003D41D8">
        <w:rPr>
          <w:rFonts w:ascii="Arial Narrow" w:hAnsi="Arial Narrow" w:cs="Tahoma"/>
          <w:sz w:val="28"/>
          <w:szCs w:val="28"/>
        </w:rPr>
        <w:t>.</w:t>
      </w:r>
    </w:p>
    <w:p w:rsidR="00D16BE5" w:rsidRDefault="00D16BE5" w:rsidP="00181D67">
      <w:pPr>
        <w:shd w:val="clear" w:color="auto" w:fill="FFFFFF"/>
        <w:spacing w:line="360" w:lineRule="auto"/>
        <w:ind w:firstLine="851"/>
        <w:jc w:val="both"/>
        <w:rPr>
          <w:rFonts w:ascii="Arial Narrow" w:hAnsi="Arial Narrow" w:cs="Tahoma"/>
          <w:sz w:val="28"/>
          <w:szCs w:val="28"/>
        </w:rPr>
      </w:pPr>
    </w:p>
    <w:p w:rsidR="00D16BE5" w:rsidRDefault="00D16BE5"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-Suratep S.A. se opuso a las pretensiones que le incumbían y en cuanto a los hechos de la demanda, aceptó la afiliación de la demandante a su compañía. Excepcionó de fono “Enfermedad general. Presunción no desvirtuada”, “Falta de requisitos para ser beneficiario de la pensión de invalidez” y “Prescripción”.</w:t>
      </w:r>
    </w:p>
    <w:p w:rsidR="00AA0F00" w:rsidRDefault="00AA0F00" w:rsidP="00181D67">
      <w:pPr>
        <w:shd w:val="clear" w:color="auto" w:fill="FFFFFF"/>
        <w:spacing w:line="360" w:lineRule="auto"/>
        <w:ind w:firstLine="851"/>
        <w:jc w:val="both"/>
        <w:rPr>
          <w:rFonts w:ascii="Arial Narrow" w:hAnsi="Arial Narrow" w:cs="Tahoma"/>
          <w:sz w:val="28"/>
          <w:szCs w:val="28"/>
        </w:rPr>
      </w:pPr>
    </w:p>
    <w:p w:rsidR="00D16BE5" w:rsidRDefault="00D16BE5"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Protección S.A. aceptó la afiliación de la demandante a esa AFP., indicando que los restantes hechos le son ajenos. Se opone a las pretensiones que le incumben y excepcionó “Cobro de lo no debido”, “Buena fe” y “Prescripción”.</w:t>
      </w:r>
    </w:p>
    <w:p w:rsidR="00D16BE5" w:rsidRDefault="00D16BE5" w:rsidP="00181D67">
      <w:pPr>
        <w:shd w:val="clear" w:color="auto" w:fill="FFFFFF"/>
        <w:spacing w:line="360" w:lineRule="auto"/>
        <w:ind w:firstLine="851"/>
        <w:jc w:val="both"/>
        <w:rPr>
          <w:rFonts w:ascii="Arial Narrow" w:hAnsi="Arial Narrow" w:cs="Tahoma"/>
          <w:sz w:val="28"/>
          <w:szCs w:val="28"/>
        </w:rPr>
      </w:pPr>
    </w:p>
    <w:p w:rsidR="001B5279" w:rsidRPr="001B5279" w:rsidRDefault="001B5279" w:rsidP="001B5279">
      <w:pPr>
        <w:shd w:val="clear" w:color="auto" w:fill="FFFFFF"/>
        <w:spacing w:line="360" w:lineRule="auto"/>
        <w:ind w:firstLine="851"/>
        <w:jc w:val="both"/>
        <w:rPr>
          <w:rFonts w:ascii="Arial Narrow" w:hAnsi="Arial Narrow" w:cs="Tahoma"/>
          <w:sz w:val="28"/>
          <w:szCs w:val="28"/>
        </w:rPr>
      </w:pPr>
      <w:r w:rsidRPr="001B5279">
        <w:rPr>
          <w:rFonts w:ascii="Arial Narrow" w:hAnsi="Arial Narrow" w:cs="Tahoma"/>
          <w:sz w:val="28"/>
          <w:szCs w:val="28"/>
        </w:rPr>
        <w:t>-</w:t>
      </w:r>
      <w:r>
        <w:rPr>
          <w:rFonts w:ascii="Arial Narrow" w:hAnsi="Arial Narrow" w:cs="Tahoma"/>
          <w:sz w:val="28"/>
          <w:szCs w:val="28"/>
        </w:rPr>
        <w:t xml:space="preserve"> </w:t>
      </w:r>
      <w:r w:rsidR="00D42471" w:rsidRPr="001B5279">
        <w:rPr>
          <w:rFonts w:ascii="Arial Narrow" w:hAnsi="Arial Narrow" w:cs="Tahoma"/>
          <w:sz w:val="28"/>
          <w:szCs w:val="28"/>
        </w:rPr>
        <w:t>Finalmente la CTA Coonix, también actuando por intermedio de profesional de la abogacía, allegó respuesta en la que se manifestó frente a los hechos, aceptando que la señora Waltero Bocanegra estuvo vinculada a esa CTA prestando servicios en Nicole y lo relativo a la enfermedad padecida por la demandante</w:t>
      </w:r>
      <w:r w:rsidRPr="001B5279">
        <w:rPr>
          <w:rFonts w:ascii="Arial Narrow" w:hAnsi="Arial Narrow" w:cs="Tahoma"/>
          <w:sz w:val="28"/>
          <w:szCs w:val="28"/>
        </w:rPr>
        <w:t>. Frente a los restantes los niega. Se opone a las pretensiones de la demanda y no propuso excepciones de fondo.</w:t>
      </w:r>
    </w:p>
    <w:p w:rsidR="00C426A5" w:rsidRPr="002C3B7B" w:rsidRDefault="00C426A5" w:rsidP="002C3B7B">
      <w:pPr>
        <w:pStyle w:val="Sinespaciado"/>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8C7F45" w:rsidRPr="00D30FA7" w:rsidRDefault="008C7F45" w:rsidP="00A868E3">
      <w:pPr>
        <w:pStyle w:val="Sinespaciado"/>
      </w:pPr>
    </w:p>
    <w:p w:rsidR="00F7734C" w:rsidRDefault="001B5279"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Luego de rituado el proceso, </w:t>
      </w:r>
      <w:r w:rsidR="005B54CF">
        <w:rPr>
          <w:rFonts w:ascii="Arial Narrow" w:hAnsi="Arial Narrow" w:cs="Tahoma"/>
          <w:sz w:val="28"/>
          <w:szCs w:val="28"/>
        </w:rPr>
        <w:t xml:space="preserve">el Juez a-quo dictó sentencia en la que </w:t>
      </w:r>
      <w:r>
        <w:rPr>
          <w:rFonts w:ascii="Arial Narrow" w:hAnsi="Arial Narrow" w:cs="Tahoma"/>
          <w:sz w:val="28"/>
          <w:szCs w:val="28"/>
        </w:rPr>
        <w:t>encontró que conforme al material probatorio obrante en el proceso, tanto documental como testimonial</w:t>
      </w:r>
      <w:r w:rsidR="005B54CF">
        <w:rPr>
          <w:rFonts w:ascii="Arial Narrow" w:hAnsi="Arial Narrow" w:cs="Tahoma"/>
          <w:sz w:val="28"/>
          <w:szCs w:val="28"/>
        </w:rPr>
        <w:t xml:space="preserve">, es fácil colegir que la demandante prestó sus servicios en Nicole como marquilladora y operaria de maquina plana, servicios que fueron dependientes de esta </w:t>
      </w:r>
      <w:r w:rsidR="005B54CF">
        <w:rPr>
          <w:rFonts w:ascii="Arial Narrow" w:hAnsi="Arial Narrow" w:cs="Tahoma"/>
          <w:sz w:val="28"/>
          <w:szCs w:val="28"/>
        </w:rPr>
        <w:lastRenderedPageBreak/>
        <w:t xml:space="preserve">empresa, pues recibía ordenes de los varios jefes de modulo y supervisoras que estaban adscritos a Nicole, además, las actividades siempre se ejecutaron por cuenta </w:t>
      </w:r>
      <w:r w:rsidR="00662A3E">
        <w:rPr>
          <w:rFonts w:ascii="Arial Narrow" w:hAnsi="Arial Narrow" w:cs="Tahoma"/>
          <w:sz w:val="28"/>
          <w:szCs w:val="28"/>
        </w:rPr>
        <w:t>y riesgo de esta empresa</w:t>
      </w:r>
      <w:r w:rsidR="00F7734C">
        <w:rPr>
          <w:rFonts w:ascii="Arial Narrow" w:hAnsi="Arial Narrow" w:cs="Tahoma"/>
          <w:sz w:val="28"/>
          <w:szCs w:val="28"/>
        </w:rPr>
        <w:t xml:space="preserve"> Nicole y si bien el servicio se remuneraba por medio de la CTA Coonix, tal situación no obedeció más que a un disfraz de la verdadera naturaleza laboral de la relación, pues esta Cooperativa actuó completamente por fuera de su objeto social, dado que agremió empleados para remitirlos a un tercero para que le prestarán servicios, actuando como un simple intermediario.</w:t>
      </w:r>
    </w:p>
    <w:p w:rsidR="00F7734C" w:rsidRDefault="00F7734C" w:rsidP="00181D67">
      <w:pPr>
        <w:spacing w:line="360" w:lineRule="auto"/>
        <w:ind w:firstLine="900"/>
        <w:jc w:val="both"/>
        <w:rPr>
          <w:rFonts w:ascii="Arial Narrow" w:hAnsi="Arial Narrow" w:cs="Tahoma"/>
          <w:sz w:val="28"/>
          <w:szCs w:val="28"/>
        </w:rPr>
      </w:pPr>
    </w:p>
    <w:p w:rsidR="00F7734C" w:rsidRDefault="00F7734C"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Por lo anterior, impuso a Ci Nicole S.A. y a CTA Coonix de manera solidaria, el pago de las prestaciones causadas en el tiempo de relación laboral. Igualmente impuso sanción moratoria por no consignar las cesantías y no pagar la liquidación del contrato al finiquito del convenio laboral y no encontrar razón que justificara tal actuación. </w:t>
      </w:r>
      <w:r w:rsidR="00AA0F00">
        <w:rPr>
          <w:rFonts w:ascii="Arial Narrow" w:hAnsi="Arial Narrow" w:cs="Tahoma"/>
          <w:sz w:val="28"/>
          <w:szCs w:val="28"/>
        </w:rPr>
        <w:t>También</w:t>
      </w:r>
      <w:r>
        <w:rPr>
          <w:rFonts w:ascii="Arial Narrow" w:hAnsi="Arial Narrow" w:cs="Tahoma"/>
          <w:sz w:val="28"/>
          <w:szCs w:val="28"/>
        </w:rPr>
        <w:t xml:space="preserve"> impuso indemnización por despido injusto, pues no se trajo ninguna prueba que justificara el finiquito del contrato.</w:t>
      </w:r>
    </w:p>
    <w:p w:rsidR="00A50FF7" w:rsidRDefault="00A50FF7" w:rsidP="00181D67">
      <w:pPr>
        <w:spacing w:line="360" w:lineRule="auto"/>
        <w:ind w:firstLine="900"/>
        <w:jc w:val="both"/>
        <w:rPr>
          <w:rFonts w:ascii="Arial Narrow" w:hAnsi="Arial Narrow" w:cs="Tahoma"/>
          <w:sz w:val="28"/>
          <w:szCs w:val="28"/>
        </w:rPr>
      </w:pPr>
    </w:p>
    <w:p w:rsidR="00E93DFC" w:rsidRDefault="00E93DFC" w:rsidP="00181D67">
      <w:pPr>
        <w:spacing w:line="360" w:lineRule="auto"/>
        <w:ind w:firstLine="900"/>
        <w:jc w:val="both"/>
        <w:rPr>
          <w:rFonts w:ascii="Arial Narrow" w:hAnsi="Arial Narrow" w:cs="Tahoma"/>
          <w:b/>
          <w:i/>
          <w:sz w:val="28"/>
          <w:szCs w:val="28"/>
        </w:rPr>
      </w:pPr>
      <w:r>
        <w:rPr>
          <w:rFonts w:ascii="Arial Narrow" w:hAnsi="Arial Narrow" w:cs="Tahoma"/>
          <w:b/>
          <w:i/>
          <w:sz w:val="28"/>
          <w:szCs w:val="28"/>
        </w:rPr>
        <w:t>III. APELACIÓN.</w:t>
      </w:r>
    </w:p>
    <w:p w:rsidR="00E93DFC" w:rsidRDefault="00E93DFC" w:rsidP="00181D67">
      <w:pPr>
        <w:spacing w:line="360" w:lineRule="auto"/>
        <w:ind w:firstLine="900"/>
        <w:jc w:val="both"/>
        <w:rPr>
          <w:rFonts w:ascii="Arial Narrow" w:hAnsi="Arial Narrow" w:cs="Tahoma"/>
          <w:b/>
          <w:i/>
          <w:sz w:val="28"/>
          <w:szCs w:val="28"/>
        </w:rPr>
      </w:pPr>
    </w:p>
    <w:p w:rsidR="00C14FB0" w:rsidRDefault="00E93DFC"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El portavoz judicial de la codemandada Nicole S.A. interpuso y sustento recurso de apelación, en el cual alega que el contrato de trabajo no existió, pues la señora Beatriz del Pilar fue trabajadora de la CTA Coonix, condición que ella misma aceptó en la demanda. Destaca que entre Nicole y Coonix existió un contrato de prestación de servicios y esta última, actuó con autonomía en el cumplimiento del objeto contractual. </w:t>
      </w:r>
      <w:r w:rsidR="00C14FB0">
        <w:rPr>
          <w:rFonts w:ascii="Arial Narrow" w:hAnsi="Arial Narrow" w:cs="Tahoma"/>
          <w:sz w:val="28"/>
          <w:szCs w:val="28"/>
        </w:rPr>
        <w:t>R</w:t>
      </w:r>
      <w:r>
        <w:rPr>
          <w:rFonts w:ascii="Arial Narrow" w:hAnsi="Arial Narrow" w:cs="Tahoma"/>
          <w:sz w:val="28"/>
          <w:szCs w:val="28"/>
        </w:rPr>
        <w:t>efiere que si bien se utilizaron elementos de Nicole en la ejecuci</w:t>
      </w:r>
      <w:r w:rsidR="00C14FB0">
        <w:rPr>
          <w:rFonts w:ascii="Arial Narrow" w:hAnsi="Arial Narrow" w:cs="Tahoma"/>
          <w:sz w:val="28"/>
          <w:szCs w:val="28"/>
        </w:rPr>
        <w:t>ó</w:t>
      </w:r>
      <w:r>
        <w:rPr>
          <w:rFonts w:ascii="Arial Narrow" w:hAnsi="Arial Narrow" w:cs="Tahoma"/>
          <w:sz w:val="28"/>
          <w:szCs w:val="28"/>
        </w:rPr>
        <w:t>n del convenio, ello se d</w:t>
      </w:r>
      <w:r w:rsidR="00C14FB0">
        <w:rPr>
          <w:rFonts w:ascii="Arial Narrow" w:hAnsi="Arial Narrow" w:cs="Tahoma"/>
          <w:sz w:val="28"/>
          <w:szCs w:val="28"/>
        </w:rPr>
        <w:t>eb</w:t>
      </w:r>
      <w:r>
        <w:rPr>
          <w:rFonts w:ascii="Arial Narrow" w:hAnsi="Arial Narrow" w:cs="Tahoma"/>
          <w:sz w:val="28"/>
          <w:szCs w:val="28"/>
        </w:rPr>
        <w:t>i</w:t>
      </w:r>
      <w:r w:rsidR="00C14FB0">
        <w:rPr>
          <w:rFonts w:ascii="Arial Narrow" w:hAnsi="Arial Narrow" w:cs="Tahoma"/>
          <w:sz w:val="28"/>
          <w:szCs w:val="28"/>
        </w:rPr>
        <w:t>ó</w:t>
      </w:r>
      <w:r>
        <w:rPr>
          <w:rFonts w:ascii="Arial Narrow" w:hAnsi="Arial Narrow" w:cs="Tahoma"/>
          <w:sz w:val="28"/>
          <w:szCs w:val="28"/>
        </w:rPr>
        <w:t xml:space="preserve"> a un contra</w:t>
      </w:r>
      <w:r w:rsidR="00C14FB0">
        <w:rPr>
          <w:rFonts w:ascii="Arial Narrow" w:hAnsi="Arial Narrow" w:cs="Tahoma"/>
          <w:sz w:val="28"/>
          <w:szCs w:val="28"/>
        </w:rPr>
        <w:t xml:space="preserve">to de comodato entre las partes. Indica que Nicole no ejerció la más mínima intromisión o injerencia en decisiones de Coonix y menos </w:t>
      </w:r>
      <w:r w:rsidR="00B0652E">
        <w:rPr>
          <w:rFonts w:ascii="Arial Narrow" w:hAnsi="Arial Narrow" w:cs="Tahoma"/>
          <w:sz w:val="28"/>
          <w:szCs w:val="28"/>
        </w:rPr>
        <w:t>aún</w:t>
      </w:r>
      <w:r w:rsidR="00C14FB0">
        <w:rPr>
          <w:rFonts w:ascii="Arial Narrow" w:hAnsi="Arial Narrow" w:cs="Tahoma"/>
          <w:sz w:val="28"/>
          <w:szCs w:val="28"/>
        </w:rPr>
        <w:t xml:space="preserve"> del persona</w:t>
      </w:r>
      <w:r w:rsidR="00B0652E">
        <w:rPr>
          <w:rFonts w:ascii="Arial Narrow" w:hAnsi="Arial Narrow" w:cs="Tahoma"/>
          <w:sz w:val="28"/>
          <w:szCs w:val="28"/>
        </w:rPr>
        <w:t>l</w:t>
      </w:r>
      <w:r w:rsidR="00C14FB0">
        <w:rPr>
          <w:rFonts w:ascii="Arial Narrow" w:hAnsi="Arial Narrow" w:cs="Tahoma"/>
          <w:sz w:val="28"/>
          <w:szCs w:val="28"/>
        </w:rPr>
        <w:t xml:space="preserve"> que esta CTA contrataba. </w:t>
      </w:r>
    </w:p>
    <w:p w:rsidR="00C14FB0" w:rsidRDefault="00C14FB0" w:rsidP="00181D67">
      <w:pPr>
        <w:spacing w:line="360" w:lineRule="auto"/>
        <w:ind w:firstLine="900"/>
        <w:jc w:val="both"/>
        <w:rPr>
          <w:rFonts w:ascii="Arial Narrow" w:hAnsi="Arial Narrow" w:cs="Tahoma"/>
          <w:sz w:val="28"/>
          <w:szCs w:val="28"/>
        </w:rPr>
      </w:pPr>
    </w:p>
    <w:p w:rsidR="00B0652E" w:rsidRDefault="00C14FB0"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En caso de que se mantenga la existencia del contrato de trabajo, pide que se exonere a su representada </w:t>
      </w:r>
      <w:r w:rsidR="00B0652E">
        <w:rPr>
          <w:rFonts w:ascii="Arial Narrow" w:hAnsi="Arial Narrow" w:cs="Tahoma"/>
          <w:sz w:val="28"/>
          <w:szCs w:val="28"/>
        </w:rPr>
        <w:t>de las sanciones moratorias impuestas, pues la codemandada se sustrajo de cumplir con sus deberes, amparada en la buena fe y con el convencimiento de estar bajo una modalidad contractual diferente.</w:t>
      </w:r>
    </w:p>
    <w:p w:rsidR="00B0652E" w:rsidRDefault="00B0652E" w:rsidP="00181D67">
      <w:pPr>
        <w:spacing w:line="360" w:lineRule="auto"/>
        <w:ind w:firstLine="900"/>
        <w:jc w:val="both"/>
        <w:rPr>
          <w:rFonts w:ascii="Arial Narrow" w:hAnsi="Arial Narrow" w:cs="Tahoma"/>
          <w:sz w:val="28"/>
          <w:szCs w:val="28"/>
        </w:rPr>
      </w:pPr>
    </w:p>
    <w:p w:rsidR="00B0652E" w:rsidRDefault="00B0652E" w:rsidP="00181D67">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Finalmente, en cuanto a la terminación del vínculo laboral, estima que no se le puede imponer condena por concepto de indemnización, por cuanto el que terminó el vínculo fue la CTA Coonix.</w:t>
      </w:r>
    </w:p>
    <w:p w:rsidR="00A50FF7" w:rsidRDefault="00A50FF7" w:rsidP="00181D67">
      <w:pPr>
        <w:spacing w:line="360" w:lineRule="auto"/>
        <w:ind w:firstLine="900"/>
        <w:jc w:val="both"/>
        <w:rPr>
          <w:rFonts w:ascii="Arial Narrow" w:hAnsi="Arial Narrow" w:cs="Tahoma"/>
          <w:sz w:val="28"/>
          <w:szCs w:val="28"/>
        </w:rPr>
      </w:pPr>
    </w:p>
    <w:p w:rsidR="0076566F" w:rsidRPr="006B4716" w:rsidRDefault="00A50FF7"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I</w:t>
      </w:r>
      <w:r w:rsidR="00562779">
        <w:rPr>
          <w:rFonts w:ascii="Arial Narrow" w:hAnsi="Arial Narrow" w:cs="Tahoma"/>
          <w:b/>
          <w:i/>
          <w:sz w:val="28"/>
          <w:szCs w:val="28"/>
        </w:rPr>
        <w:t>V</w:t>
      </w:r>
      <w:r w:rsidR="0076566F">
        <w:rPr>
          <w:rFonts w:ascii="Arial Narrow" w:hAnsi="Arial Narrow" w:cs="Tahoma"/>
          <w:b/>
          <w:i/>
          <w:sz w:val="28"/>
          <w:szCs w:val="28"/>
        </w:rPr>
        <w:t xml:space="preserve">. </w:t>
      </w:r>
      <w:r w:rsidR="0076566F" w:rsidRPr="006B4716">
        <w:rPr>
          <w:rFonts w:ascii="Arial Narrow" w:hAnsi="Arial Narrow" w:cs="Tahoma"/>
          <w:b/>
          <w:i/>
          <w:sz w:val="28"/>
          <w:szCs w:val="28"/>
        </w:rPr>
        <w:t>ALEGATOS EN ESTA INSTANCIA</w:t>
      </w:r>
      <w:r w:rsidR="0076566F" w:rsidRPr="006B4716">
        <w:rPr>
          <w:rFonts w:ascii="Arial Narrow" w:hAnsi="Arial Narrow" w:cs="Tahoma"/>
          <w:sz w:val="28"/>
          <w:szCs w:val="28"/>
        </w:rPr>
        <w:t>:</w:t>
      </w:r>
    </w:p>
    <w:p w:rsidR="0076566F" w:rsidRPr="006B4716" w:rsidRDefault="0076566F" w:rsidP="0076566F">
      <w:pPr>
        <w:pStyle w:val="Sinespaciado"/>
        <w:rPr>
          <w:sz w:val="28"/>
          <w:szCs w:val="28"/>
        </w:rPr>
      </w:pPr>
    </w:p>
    <w:p w:rsidR="0035755F" w:rsidRDefault="0035755F" w:rsidP="0076566F">
      <w:pPr>
        <w:pStyle w:val="Sinespaciado"/>
        <w:spacing w:line="360" w:lineRule="auto"/>
        <w:ind w:firstLine="708"/>
        <w:jc w:val="both"/>
        <w:rPr>
          <w:rFonts w:ascii="Arial Narrow" w:hAnsi="Arial Narrow"/>
          <w:sz w:val="28"/>
          <w:szCs w:val="28"/>
        </w:rPr>
      </w:pPr>
      <w:r>
        <w:rPr>
          <w:rFonts w:ascii="Arial Narrow" w:hAnsi="Arial Narrow"/>
          <w:sz w:val="28"/>
          <w:szCs w:val="28"/>
        </w:rPr>
        <w:t>Corrido el traslado que establece el artículo 40 de la ley 712</w:t>
      </w:r>
      <w:r w:rsidR="00916524">
        <w:rPr>
          <w:rFonts w:ascii="Arial Narrow" w:hAnsi="Arial Narrow"/>
          <w:sz w:val="28"/>
          <w:szCs w:val="28"/>
        </w:rPr>
        <w:t xml:space="preserve"> de 2001, </w:t>
      </w:r>
      <w:r w:rsidR="00562779">
        <w:rPr>
          <w:rFonts w:ascii="Arial Narrow" w:hAnsi="Arial Narrow"/>
          <w:sz w:val="28"/>
          <w:szCs w:val="28"/>
        </w:rPr>
        <w:t xml:space="preserve">el recurrente insistió en los argumentos expuestos en el recurso de apelación. </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A50FF7" w:rsidRDefault="00562779"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Son varios los problemas jurídicos que se deben resolver en virtud de la alzada, los cuales se concretan en los siguientes interrogantes:</w:t>
      </w:r>
    </w:p>
    <w:p w:rsidR="00562779" w:rsidRDefault="00562779"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562779" w:rsidRDefault="00562779"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¿Existió contrato de trabajo entre la demandante Waltero Bocanegra y la CI Nicole S.A., siendo la CTA Coonix intermediaria en la misma?</w:t>
      </w:r>
    </w:p>
    <w:p w:rsidR="00562779" w:rsidRDefault="00562779"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964A0B" w:rsidRDefault="00562779" w:rsidP="00181D67">
      <w:pPr>
        <w:shd w:val="clear" w:color="auto" w:fill="FFFFFF"/>
        <w:tabs>
          <w:tab w:val="left" w:pos="5197"/>
        </w:tabs>
        <w:spacing w:line="360" w:lineRule="auto"/>
        <w:ind w:firstLine="851"/>
        <w:jc w:val="both"/>
        <w:rPr>
          <w:rFonts w:ascii="Arial Narrow" w:hAnsi="Arial Narrow" w:cs="Tahoma"/>
          <w:i/>
          <w:color w:val="000000"/>
          <w:sz w:val="28"/>
          <w:szCs w:val="28"/>
          <w:lang w:val="es-CO" w:eastAsia="es-CO"/>
        </w:rPr>
      </w:pPr>
      <w:r>
        <w:rPr>
          <w:rFonts w:ascii="Arial Narrow" w:hAnsi="Arial Narrow" w:cs="Tahoma"/>
          <w:i/>
          <w:color w:val="000000"/>
          <w:sz w:val="28"/>
          <w:szCs w:val="28"/>
          <w:lang w:eastAsia="es-CO"/>
        </w:rPr>
        <w:t>En caso de obtenerse una respuesta positiva al interrogante planteado</w:t>
      </w:r>
      <w:r w:rsidR="00964A0B">
        <w:rPr>
          <w:rFonts w:ascii="Arial Narrow" w:hAnsi="Arial Narrow" w:cs="Tahoma"/>
          <w:i/>
          <w:color w:val="000000"/>
          <w:sz w:val="28"/>
          <w:szCs w:val="28"/>
          <w:lang w:eastAsia="es-CO"/>
        </w:rPr>
        <w:t xml:space="preserve"> ¿Hubo justificación </w:t>
      </w:r>
      <w:r w:rsidR="00964A0B">
        <w:rPr>
          <w:rFonts w:ascii="Arial Narrow" w:hAnsi="Arial Narrow" w:cs="Tahoma"/>
          <w:i/>
          <w:color w:val="000000"/>
          <w:sz w:val="28"/>
          <w:szCs w:val="28"/>
          <w:lang w:val="es-CO" w:eastAsia="es-CO"/>
        </w:rPr>
        <w:t>de Nicole en el no pago de las prestaciones al finiquito del contrato de trabajo y de la no consignación de las cesantías a favor de la demandante?</w:t>
      </w:r>
    </w:p>
    <w:p w:rsidR="00964A0B" w:rsidRDefault="00964A0B" w:rsidP="00181D67">
      <w:pPr>
        <w:shd w:val="clear" w:color="auto" w:fill="FFFFFF"/>
        <w:tabs>
          <w:tab w:val="left" w:pos="5197"/>
        </w:tabs>
        <w:spacing w:line="360" w:lineRule="auto"/>
        <w:ind w:firstLine="851"/>
        <w:jc w:val="both"/>
        <w:rPr>
          <w:rFonts w:ascii="Arial Narrow" w:hAnsi="Arial Narrow" w:cs="Tahoma"/>
          <w:i/>
          <w:color w:val="000000"/>
          <w:sz w:val="28"/>
          <w:szCs w:val="28"/>
          <w:lang w:val="es-CO" w:eastAsia="es-CO"/>
        </w:rPr>
      </w:pPr>
    </w:p>
    <w:p w:rsidR="00964A0B" w:rsidRDefault="00964A0B"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¿Se puede exonerar Nicole, en su calidad de empleador, de la indemnización por despido injusto, alegando que la terminación del convenio fue dispuesta por el intermediario?</w:t>
      </w:r>
    </w:p>
    <w:p w:rsidR="00860327" w:rsidRDefault="0086032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C1724C" w:rsidRDefault="00C1724C" w:rsidP="00181D67">
      <w:pPr>
        <w:pStyle w:val="Sinespaciado"/>
        <w:spacing w:line="360" w:lineRule="auto"/>
        <w:ind w:firstLine="708"/>
        <w:jc w:val="both"/>
        <w:rPr>
          <w:rFonts w:ascii="Arial Narrow" w:hAnsi="Arial Narrow"/>
          <w:b/>
          <w:i/>
          <w:sz w:val="28"/>
          <w:szCs w:val="28"/>
          <w:lang w:eastAsia="en-US"/>
        </w:rPr>
      </w:pPr>
      <w:r>
        <w:rPr>
          <w:rFonts w:ascii="Arial Narrow" w:hAnsi="Arial Narrow"/>
          <w:b/>
          <w:i/>
          <w:sz w:val="28"/>
          <w:szCs w:val="28"/>
          <w:lang w:eastAsia="en-US"/>
        </w:rPr>
        <w:t>Existencia de c</w:t>
      </w:r>
      <w:r w:rsidR="00964A0B">
        <w:rPr>
          <w:rFonts w:ascii="Arial Narrow" w:hAnsi="Arial Narrow"/>
          <w:b/>
          <w:i/>
          <w:sz w:val="28"/>
          <w:szCs w:val="28"/>
          <w:lang w:eastAsia="en-US"/>
        </w:rPr>
        <w:t>ontrato de trabajo</w:t>
      </w:r>
      <w:r>
        <w:rPr>
          <w:rFonts w:ascii="Arial Narrow" w:hAnsi="Arial Narrow"/>
          <w:b/>
          <w:i/>
          <w:sz w:val="28"/>
          <w:szCs w:val="28"/>
          <w:lang w:eastAsia="en-US"/>
        </w:rPr>
        <w:t>.</w:t>
      </w:r>
    </w:p>
    <w:p w:rsidR="00964A0B" w:rsidRDefault="00964A0B" w:rsidP="00181D67">
      <w:pPr>
        <w:pStyle w:val="Sinespaciado"/>
        <w:spacing w:line="360" w:lineRule="auto"/>
        <w:ind w:firstLine="708"/>
        <w:jc w:val="both"/>
        <w:rPr>
          <w:rFonts w:ascii="Arial Narrow" w:hAnsi="Arial Narrow"/>
          <w:b/>
          <w:i/>
          <w:sz w:val="28"/>
          <w:szCs w:val="28"/>
          <w:lang w:eastAsia="en-US"/>
        </w:rPr>
      </w:pPr>
      <w:r>
        <w:rPr>
          <w:rFonts w:ascii="Arial Narrow" w:hAnsi="Arial Narrow"/>
          <w:b/>
          <w:i/>
          <w:sz w:val="28"/>
          <w:szCs w:val="28"/>
          <w:lang w:eastAsia="en-US"/>
        </w:rPr>
        <w:t xml:space="preserve"> </w:t>
      </w:r>
    </w:p>
    <w:p w:rsidR="00255498" w:rsidRDefault="00C1724C"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w:t>
      </w:r>
      <w:r w:rsidR="00DB1411">
        <w:rPr>
          <w:rFonts w:ascii="Arial Narrow" w:hAnsi="Arial Narrow"/>
          <w:sz w:val="28"/>
          <w:szCs w:val="28"/>
          <w:lang w:eastAsia="en-US"/>
        </w:rPr>
        <w:t xml:space="preserve">l artículo 22 del Estatuto del Trabajo, define el contrato de trabajo como </w:t>
      </w:r>
      <w:r w:rsidR="00DB1411">
        <w:rPr>
          <w:rFonts w:ascii="Arial Narrow" w:hAnsi="Arial Narrow"/>
          <w:i/>
          <w:sz w:val="28"/>
          <w:szCs w:val="28"/>
          <w:lang w:eastAsia="en-US"/>
        </w:rPr>
        <w:t xml:space="preserve">“aquél por el cual una persona natural se obliga a prestar un servicio personal a otra persona </w:t>
      </w:r>
      <w:r w:rsidR="00DB1411">
        <w:rPr>
          <w:rFonts w:ascii="Arial Narrow" w:hAnsi="Arial Narrow"/>
          <w:i/>
          <w:sz w:val="28"/>
          <w:szCs w:val="28"/>
          <w:lang w:eastAsia="en-US"/>
        </w:rPr>
        <w:lastRenderedPageBreak/>
        <w:t>natural o jurídica, bajo la continuada dependencia o subordinación de la segunda y mediante remuneración”</w:t>
      </w:r>
      <w:r w:rsidR="00DB1411">
        <w:rPr>
          <w:rFonts w:ascii="Arial Narrow" w:hAnsi="Arial Narrow"/>
          <w:sz w:val="28"/>
          <w:szCs w:val="28"/>
          <w:lang w:eastAsia="en-US"/>
        </w:rPr>
        <w:t xml:space="preserve">. De esta definición se extraen los tres elementos esenciales </w:t>
      </w:r>
      <w:r w:rsidR="00255498">
        <w:rPr>
          <w:rFonts w:ascii="Arial Narrow" w:hAnsi="Arial Narrow"/>
          <w:sz w:val="28"/>
          <w:szCs w:val="28"/>
          <w:lang w:eastAsia="en-US"/>
        </w:rPr>
        <w:t>que identifican de manera especial al contrato de trabajo: (i) prestación personal de un servicio; (ii) continuada dependencia y subordinación que ejerce el beneficiario del servicio frente a quien lo presta y (iii) la remuneración del mismo. Estos elementos, reunidos en cualquier circunstancia, dan cuenta de la existencia de un contrato de trabajo, sin importar la denominación que se le dé al mismo, ello en virtud del principio de primacía de la realidad (art. 23 CST y art. 53 C.P.).</w:t>
      </w:r>
    </w:p>
    <w:p w:rsidR="00255498" w:rsidRDefault="00255498" w:rsidP="00181D67">
      <w:pPr>
        <w:pStyle w:val="Sinespaciado"/>
        <w:spacing w:line="360" w:lineRule="auto"/>
        <w:ind w:firstLine="708"/>
        <w:jc w:val="both"/>
        <w:rPr>
          <w:rFonts w:ascii="Arial Narrow" w:hAnsi="Arial Narrow"/>
          <w:sz w:val="28"/>
          <w:szCs w:val="28"/>
          <w:lang w:eastAsia="en-US"/>
        </w:rPr>
      </w:pPr>
    </w:p>
    <w:p w:rsidR="000E1757" w:rsidRDefault="00C1724C"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Llevando lo anterior al campo de las responsabilidades probatorias que tienen las partes que actúan </w:t>
      </w:r>
      <w:r w:rsidR="005E7E1C">
        <w:rPr>
          <w:rFonts w:ascii="Arial Narrow" w:hAnsi="Arial Narrow"/>
          <w:sz w:val="28"/>
          <w:szCs w:val="28"/>
          <w:lang w:eastAsia="en-US"/>
        </w:rPr>
        <w:t>en un proceso, le correspondería a quien persigue ser trabajador de una persona, demostrar la totalidad de los elementos antes anotados. S</w:t>
      </w:r>
      <w:r w:rsidR="00255498">
        <w:rPr>
          <w:rFonts w:ascii="Arial Narrow" w:hAnsi="Arial Narrow"/>
          <w:sz w:val="28"/>
          <w:szCs w:val="28"/>
          <w:lang w:eastAsia="en-US"/>
        </w:rPr>
        <w:t>in embargo,</w:t>
      </w:r>
      <w:r w:rsidR="005E7E1C">
        <w:rPr>
          <w:rFonts w:ascii="Arial Narrow" w:hAnsi="Arial Narrow"/>
          <w:sz w:val="28"/>
          <w:szCs w:val="28"/>
          <w:lang w:eastAsia="en-US"/>
        </w:rPr>
        <w:t xml:space="preserve"> como tal carga es abiertamente excesiva, el legislador tuvo a bien establecer en pro del trabajador una presunción que invirtiera los deberes probatorios. La misma se encuentra en el artículo 24 del Código Laboral y establece que acreditada</w:t>
      </w:r>
      <w:r w:rsidR="002A649E">
        <w:rPr>
          <w:rFonts w:ascii="Arial Narrow" w:hAnsi="Arial Narrow"/>
          <w:sz w:val="28"/>
          <w:szCs w:val="28"/>
          <w:lang w:eastAsia="en-US"/>
        </w:rPr>
        <w:t xml:space="preserve"> la prestación personal de un servicio a favor de una persona determinada</w:t>
      </w:r>
      <w:r w:rsidR="00255498">
        <w:rPr>
          <w:rFonts w:ascii="Arial Narrow" w:hAnsi="Arial Narrow"/>
          <w:sz w:val="28"/>
          <w:szCs w:val="28"/>
          <w:lang w:eastAsia="en-US"/>
        </w:rPr>
        <w:t xml:space="preserve">, se presumirá que </w:t>
      </w:r>
      <w:r w:rsidR="000E1757">
        <w:rPr>
          <w:rFonts w:ascii="Arial Narrow" w:hAnsi="Arial Narrow"/>
          <w:sz w:val="28"/>
          <w:szCs w:val="28"/>
          <w:lang w:eastAsia="en-US"/>
        </w:rPr>
        <w:t>tal relación se rige por un contrato de trabajo, invirtiendo los deberes probatorios, siendo ya, el presumido empleador, el encargado de desvirtuar tal</w:t>
      </w:r>
      <w:r w:rsidR="000E1757" w:rsidRPr="000E1757">
        <w:rPr>
          <w:rFonts w:ascii="Arial Narrow" w:hAnsi="Arial Narrow"/>
          <w:sz w:val="28"/>
          <w:szCs w:val="28"/>
          <w:lang w:eastAsia="en-US"/>
        </w:rPr>
        <w:t xml:space="preserve"> </w:t>
      </w:r>
      <w:r w:rsidR="000E1757">
        <w:rPr>
          <w:rFonts w:ascii="Arial Narrow" w:hAnsi="Arial Narrow"/>
          <w:sz w:val="28"/>
          <w:szCs w:val="28"/>
          <w:lang w:eastAsia="en-US"/>
        </w:rPr>
        <w:t>suposición legal.</w:t>
      </w:r>
    </w:p>
    <w:p w:rsidR="000E1757" w:rsidRDefault="000E1757" w:rsidP="00181D67">
      <w:pPr>
        <w:pStyle w:val="Sinespaciado"/>
        <w:spacing w:line="360" w:lineRule="auto"/>
        <w:ind w:firstLine="708"/>
        <w:jc w:val="both"/>
        <w:rPr>
          <w:rFonts w:ascii="Arial Narrow" w:hAnsi="Arial Narrow"/>
          <w:sz w:val="28"/>
          <w:szCs w:val="28"/>
          <w:lang w:eastAsia="en-US"/>
        </w:rPr>
      </w:pPr>
    </w:p>
    <w:p w:rsidR="00760AC1" w:rsidRDefault="002A649E"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Pues bien, en el asunto que conoce la Colegiatura en virtud de la alzada, existen múltiples medios probatorios </w:t>
      </w:r>
      <w:r w:rsidR="009D2095">
        <w:rPr>
          <w:rFonts w:ascii="Arial Narrow" w:hAnsi="Arial Narrow"/>
          <w:sz w:val="28"/>
          <w:szCs w:val="28"/>
          <w:lang w:eastAsia="en-US"/>
        </w:rPr>
        <w:t xml:space="preserve">que acreditan de manera fehaciente la prestación del servicio </w:t>
      </w:r>
      <w:r w:rsidR="00C344E0">
        <w:rPr>
          <w:rFonts w:ascii="Arial Narrow" w:hAnsi="Arial Narrow"/>
          <w:sz w:val="28"/>
          <w:szCs w:val="28"/>
          <w:lang w:eastAsia="en-US"/>
        </w:rPr>
        <w:t xml:space="preserve">por parte de la señora Beatriz del Pilar, siendo ellos especialmente los testimonios practicados en curso de las varias audiencias de trámite agotadas en el proceso. Así se tiene las declaraciones de Luz Marina Puerta de </w:t>
      </w:r>
      <w:r w:rsidR="00D9472A">
        <w:rPr>
          <w:rFonts w:ascii="Arial Narrow" w:hAnsi="Arial Narrow"/>
          <w:sz w:val="28"/>
          <w:szCs w:val="28"/>
          <w:lang w:eastAsia="en-US"/>
        </w:rPr>
        <w:t>Mejía</w:t>
      </w:r>
      <w:r w:rsidR="00C344E0">
        <w:rPr>
          <w:rFonts w:ascii="Arial Narrow" w:hAnsi="Arial Narrow"/>
          <w:sz w:val="28"/>
          <w:szCs w:val="28"/>
          <w:lang w:eastAsia="en-US"/>
        </w:rPr>
        <w:t xml:space="preserve"> –fl. 238-, Alba Luz Castaño –fl. 244- e Hidaly Walteros Bocanegra </w:t>
      </w:r>
      <w:r w:rsidR="00402626">
        <w:rPr>
          <w:rFonts w:ascii="Arial Narrow" w:hAnsi="Arial Narrow"/>
          <w:sz w:val="28"/>
          <w:szCs w:val="28"/>
          <w:lang w:eastAsia="en-US"/>
        </w:rPr>
        <w:t>–</w:t>
      </w:r>
      <w:r w:rsidR="00C344E0">
        <w:rPr>
          <w:rFonts w:ascii="Arial Narrow" w:hAnsi="Arial Narrow"/>
          <w:sz w:val="28"/>
          <w:szCs w:val="28"/>
          <w:lang w:eastAsia="en-US"/>
        </w:rPr>
        <w:t>f</w:t>
      </w:r>
      <w:r w:rsidR="00402626">
        <w:rPr>
          <w:rFonts w:ascii="Arial Narrow" w:hAnsi="Arial Narrow"/>
          <w:sz w:val="28"/>
          <w:szCs w:val="28"/>
          <w:lang w:eastAsia="en-US"/>
        </w:rPr>
        <w:t>l. 288-, dan cuenta de que Walteros Bocanegra sí prestó un servicio personal, el cual beneficiaba a Nicole, pues le permitía cumplir su objeto social (fl. 56 y ss). Por lo tanto, acreditado ese servicio personal, Nicole debía desvirtuar la subordinación para liberarse de la carga laboral que allí nacía, mas sin embargo, dígase de una vez que tal deber fue incumplido, pues ninguna de las pruebas aportadas desacredita la subordinación, antes bien, las declarantes mencionadas y las versiones de Amanda García Maya –fl. 242- y María Esperanza Pérez Bonilla –fl.246-</w:t>
      </w:r>
      <w:r w:rsidR="00760AC1">
        <w:rPr>
          <w:rFonts w:ascii="Arial Narrow" w:hAnsi="Arial Narrow"/>
          <w:sz w:val="28"/>
          <w:szCs w:val="28"/>
          <w:lang w:eastAsia="en-US"/>
        </w:rPr>
        <w:t xml:space="preserve">, dan cuenta en sus declaraciones que todas las </w:t>
      </w:r>
      <w:r w:rsidR="00760AC1">
        <w:rPr>
          <w:rFonts w:ascii="Arial Narrow" w:hAnsi="Arial Narrow"/>
          <w:sz w:val="28"/>
          <w:szCs w:val="28"/>
          <w:lang w:eastAsia="en-US"/>
        </w:rPr>
        <w:lastRenderedPageBreak/>
        <w:t xml:space="preserve">operarias que prestaban sus servicios, tenían iguales condiciones  y reconocen a las señoras Martha González y Doris Escobar como supervisoras o jefes en la estructura de la empresa Nicole, siendo ellas señaladas por las restantes testigos, como las encargadas de subordinar el trabajo de la demandante. Es evidente, que el deber probatorio de Nicole, de desacreditar la subordinación laboral, fue absolutamente incumplido y, antes bien, se observa que el mismo resulta plenamente develado por las pruebas testimoniales. </w:t>
      </w:r>
    </w:p>
    <w:p w:rsidR="00760AC1" w:rsidRDefault="00760AC1" w:rsidP="00181D67">
      <w:pPr>
        <w:pStyle w:val="Sinespaciado"/>
        <w:spacing w:line="360" w:lineRule="auto"/>
        <w:ind w:firstLine="708"/>
        <w:jc w:val="both"/>
        <w:rPr>
          <w:rFonts w:ascii="Arial Narrow" w:hAnsi="Arial Narrow"/>
          <w:sz w:val="28"/>
          <w:szCs w:val="28"/>
          <w:lang w:eastAsia="en-US"/>
        </w:rPr>
      </w:pPr>
    </w:p>
    <w:p w:rsidR="005D64C2" w:rsidRDefault="00760AC1"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Tal conclusión, además, se refu</w:t>
      </w:r>
      <w:r w:rsidR="00BD3E1C">
        <w:rPr>
          <w:rFonts w:ascii="Arial Narrow" w:hAnsi="Arial Narrow"/>
          <w:sz w:val="28"/>
          <w:szCs w:val="28"/>
          <w:lang w:eastAsia="en-US"/>
        </w:rPr>
        <w:t>e</w:t>
      </w:r>
      <w:r>
        <w:rPr>
          <w:rFonts w:ascii="Arial Narrow" w:hAnsi="Arial Narrow"/>
          <w:sz w:val="28"/>
          <w:szCs w:val="28"/>
          <w:lang w:eastAsia="en-US"/>
        </w:rPr>
        <w:t>rza</w:t>
      </w:r>
      <w:r w:rsidR="00BD3E1C">
        <w:rPr>
          <w:rFonts w:ascii="Arial Narrow" w:hAnsi="Arial Narrow"/>
          <w:sz w:val="28"/>
          <w:szCs w:val="28"/>
          <w:lang w:eastAsia="en-US"/>
        </w:rPr>
        <w:t xml:space="preserve">, si se analiza el texto del acuerdo cooperativo -fls. 173 y 174-, especialmente la clausula sexta, literal a), en la que se indica que el servicio del asociado se prestara conforme a las exigencias del usuario de los servicios, lo que se traduce en que es la empresa usuaria la que tiene la disposición sobre la forma en que </w:t>
      </w:r>
      <w:r w:rsidR="005D64C2">
        <w:rPr>
          <w:rFonts w:ascii="Arial Narrow" w:hAnsi="Arial Narrow"/>
          <w:sz w:val="28"/>
          <w:szCs w:val="28"/>
          <w:lang w:eastAsia="en-US"/>
        </w:rPr>
        <w:t>los asociados prestan los servicios, desfigurándose de esta manera la naturaleza de las Cooperativas de Trabajo Asociado.</w:t>
      </w:r>
    </w:p>
    <w:p w:rsidR="005D64C2" w:rsidRDefault="005D64C2" w:rsidP="00181D67">
      <w:pPr>
        <w:pStyle w:val="Sinespaciado"/>
        <w:spacing w:line="360" w:lineRule="auto"/>
        <w:ind w:firstLine="708"/>
        <w:jc w:val="both"/>
        <w:rPr>
          <w:rFonts w:ascii="Arial Narrow" w:hAnsi="Arial Narrow"/>
          <w:sz w:val="28"/>
          <w:szCs w:val="28"/>
          <w:lang w:eastAsia="en-US"/>
        </w:rPr>
      </w:pPr>
    </w:p>
    <w:p w:rsidR="00337894" w:rsidRDefault="005D64C2"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lo tanto, la conclusión a la que arribó el a quo se observa atinada, pues en verdad se estructuró una relación laboral entre la demandante y la empresa CI Nicole S.A.</w:t>
      </w:r>
      <w:r w:rsidR="00337894">
        <w:rPr>
          <w:rFonts w:ascii="Arial Narrow" w:hAnsi="Arial Narrow"/>
          <w:sz w:val="28"/>
          <w:szCs w:val="28"/>
          <w:lang w:eastAsia="en-US"/>
        </w:rPr>
        <w:t>, en los extremos relatados en la demanda.</w:t>
      </w:r>
    </w:p>
    <w:p w:rsidR="002A649E" w:rsidRDefault="002A649E" w:rsidP="00181D67">
      <w:pPr>
        <w:pStyle w:val="Sinespaciado"/>
        <w:spacing w:line="360" w:lineRule="auto"/>
        <w:ind w:firstLine="708"/>
        <w:jc w:val="both"/>
        <w:rPr>
          <w:rFonts w:ascii="Arial Narrow" w:hAnsi="Arial Narrow"/>
          <w:sz w:val="28"/>
          <w:szCs w:val="28"/>
          <w:lang w:eastAsia="en-US"/>
        </w:rPr>
      </w:pPr>
    </w:p>
    <w:p w:rsidR="002A649E" w:rsidRPr="00BC1E4A" w:rsidRDefault="00BC1E4A" w:rsidP="00181D67">
      <w:pPr>
        <w:pStyle w:val="Sinespaciado"/>
        <w:spacing w:line="360" w:lineRule="auto"/>
        <w:ind w:firstLine="708"/>
        <w:jc w:val="both"/>
        <w:rPr>
          <w:rFonts w:ascii="Arial Narrow" w:hAnsi="Arial Narrow"/>
          <w:b/>
          <w:sz w:val="28"/>
          <w:szCs w:val="28"/>
          <w:lang w:eastAsia="en-US"/>
        </w:rPr>
      </w:pPr>
      <w:r w:rsidRPr="00BC1E4A">
        <w:rPr>
          <w:rFonts w:ascii="Arial Narrow" w:hAnsi="Arial Narrow"/>
          <w:b/>
          <w:sz w:val="28"/>
          <w:szCs w:val="28"/>
          <w:lang w:eastAsia="en-US"/>
        </w:rPr>
        <w:t xml:space="preserve">Indemnización moratoria. </w:t>
      </w:r>
    </w:p>
    <w:p w:rsidR="00BC1E4A" w:rsidRDefault="00BC1E4A" w:rsidP="00181D67">
      <w:pPr>
        <w:pStyle w:val="Sinespaciado"/>
        <w:spacing w:line="360" w:lineRule="auto"/>
        <w:ind w:firstLine="708"/>
        <w:jc w:val="both"/>
        <w:rPr>
          <w:rFonts w:ascii="Arial Narrow" w:hAnsi="Arial Narrow"/>
          <w:sz w:val="28"/>
          <w:szCs w:val="28"/>
          <w:lang w:eastAsia="en-US"/>
        </w:rPr>
      </w:pPr>
    </w:p>
    <w:p w:rsidR="00554D4E" w:rsidRDefault="00554D4E"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Se duele el portavoz judicial de la codemandada CI Nicole S.A., de las indemnizaciones moratorias impuestas por la no consignación de las cesantías y por el no pago de los salarios y prestaciones debidos al momento del finiquito del contrato.</w:t>
      </w:r>
    </w:p>
    <w:p w:rsidR="00554D4E" w:rsidRDefault="00554D4E" w:rsidP="00181D67">
      <w:pPr>
        <w:pStyle w:val="Sinespaciado"/>
        <w:spacing w:line="360" w:lineRule="auto"/>
        <w:ind w:firstLine="708"/>
        <w:jc w:val="both"/>
        <w:rPr>
          <w:rFonts w:ascii="Arial Narrow" w:hAnsi="Arial Narrow"/>
          <w:sz w:val="28"/>
          <w:szCs w:val="28"/>
          <w:lang w:eastAsia="en-US"/>
        </w:rPr>
      </w:pPr>
    </w:p>
    <w:p w:rsidR="003E62A8" w:rsidRDefault="00554D4E"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Pues bien, dígase que ambas indemnizaciones implican un análisis de la buena o mala fe que tuvo el empleador en no cumplir sus obligaciones,</w:t>
      </w:r>
      <w:r w:rsidR="00EF3899">
        <w:rPr>
          <w:rFonts w:ascii="Arial Narrow" w:hAnsi="Arial Narrow"/>
          <w:sz w:val="28"/>
          <w:szCs w:val="28"/>
          <w:lang w:eastAsia="en-US"/>
        </w:rPr>
        <w:t xml:space="preserve"> situación que deberá analizarse por el juzgador en cada caso puntual, tal</w:t>
      </w:r>
      <w:r>
        <w:rPr>
          <w:rFonts w:ascii="Arial Narrow" w:hAnsi="Arial Narrow"/>
          <w:sz w:val="28"/>
          <w:szCs w:val="28"/>
          <w:lang w:eastAsia="en-US"/>
        </w:rPr>
        <w:t xml:space="preserve"> como se ha decantado suficientemente por parte del órgano de cierre de la jurisdicción laboral</w:t>
      </w:r>
      <w:r w:rsidR="003E62A8">
        <w:rPr>
          <w:rFonts w:ascii="Arial Narrow" w:hAnsi="Arial Narrow"/>
          <w:sz w:val="28"/>
          <w:szCs w:val="28"/>
          <w:lang w:eastAsia="en-US"/>
        </w:rPr>
        <w:t>.</w:t>
      </w:r>
    </w:p>
    <w:p w:rsidR="003E62A8" w:rsidRDefault="003E62A8" w:rsidP="00181D67">
      <w:pPr>
        <w:pStyle w:val="Sinespaciado"/>
        <w:spacing w:line="360" w:lineRule="auto"/>
        <w:ind w:firstLine="708"/>
        <w:jc w:val="both"/>
        <w:rPr>
          <w:rFonts w:ascii="Arial Narrow" w:hAnsi="Arial Narrow"/>
          <w:sz w:val="28"/>
          <w:szCs w:val="28"/>
          <w:lang w:eastAsia="en-US"/>
        </w:rPr>
      </w:pPr>
    </w:p>
    <w:p w:rsidR="003E62A8" w:rsidRPr="003E62A8" w:rsidRDefault="003E62A8" w:rsidP="003E62A8">
      <w:pPr>
        <w:pStyle w:val="Sinespaciado"/>
        <w:spacing w:line="360" w:lineRule="auto"/>
        <w:ind w:firstLine="708"/>
        <w:jc w:val="both"/>
        <w:rPr>
          <w:rFonts w:ascii="Arial Narrow" w:hAnsi="Arial Narrow"/>
          <w:sz w:val="28"/>
          <w:szCs w:val="28"/>
          <w:lang w:eastAsia="en-US"/>
        </w:rPr>
      </w:pPr>
      <w:r w:rsidRPr="003E62A8">
        <w:rPr>
          <w:rFonts w:ascii="Arial Narrow" w:hAnsi="Arial Narrow"/>
          <w:sz w:val="28"/>
          <w:szCs w:val="28"/>
          <w:lang w:eastAsia="en-US"/>
        </w:rPr>
        <w:t xml:space="preserve">Es del caso, además, anotar, que el solo hecho de que en virtud del principio de la primacía de la realidad se declare que una relación muta a una laboral, no quiere </w:t>
      </w:r>
      <w:r w:rsidRPr="003E62A8">
        <w:rPr>
          <w:rFonts w:ascii="Arial Narrow" w:hAnsi="Arial Narrow"/>
          <w:sz w:val="28"/>
          <w:szCs w:val="28"/>
          <w:lang w:eastAsia="en-US"/>
        </w:rPr>
        <w:lastRenderedPageBreak/>
        <w:t xml:space="preserve">decir per se, que el empleador obró de mala fe, pues es perfectamente posible que hubiere considerado erradamente, que en verdad estaba bajo otra forma contractual, situación que </w:t>
      </w:r>
      <w:r>
        <w:rPr>
          <w:rFonts w:ascii="Arial Narrow" w:hAnsi="Arial Narrow"/>
          <w:sz w:val="28"/>
          <w:szCs w:val="28"/>
          <w:lang w:eastAsia="en-US"/>
        </w:rPr>
        <w:t>d</w:t>
      </w:r>
      <w:r w:rsidRPr="003E62A8">
        <w:rPr>
          <w:rFonts w:ascii="Arial Narrow" w:hAnsi="Arial Narrow"/>
          <w:sz w:val="28"/>
          <w:szCs w:val="28"/>
          <w:lang w:eastAsia="en-US"/>
        </w:rPr>
        <w:t xml:space="preserve">e evidenciarse, eliminaría la sanción contenida en las normas mencionadas.  </w:t>
      </w:r>
    </w:p>
    <w:p w:rsidR="003E62A8" w:rsidRPr="003E62A8" w:rsidRDefault="003E62A8" w:rsidP="003E62A8">
      <w:pPr>
        <w:pStyle w:val="Sinespaciado"/>
        <w:spacing w:line="360" w:lineRule="auto"/>
        <w:ind w:firstLine="708"/>
        <w:jc w:val="both"/>
        <w:rPr>
          <w:rFonts w:ascii="Arial Narrow" w:hAnsi="Arial Narrow"/>
          <w:sz w:val="28"/>
          <w:szCs w:val="28"/>
          <w:lang w:eastAsia="en-US"/>
        </w:rPr>
      </w:pPr>
    </w:p>
    <w:p w:rsidR="00BD0C6D" w:rsidRDefault="003E62A8" w:rsidP="003E62A8">
      <w:pPr>
        <w:pStyle w:val="Sinespaciado"/>
        <w:spacing w:line="360" w:lineRule="auto"/>
        <w:ind w:firstLine="708"/>
        <w:jc w:val="both"/>
        <w:rPr>
          <w:rFonts w:ascii="Arial Narrow" w:hAnsi="Arial Narrow"/>
          <w:sz w:val="28"/>
          <w:szCs w:val="28"/>
          <w:lang w:eastAsia="en-US"/>
        </w:rPr>
      </w:pPr>
      <w:r w:rsidRPr="003E62A8">
        <w:rPr>
          <w:rFonts w:ascii="Arial Narrow" w:hAnsi="Arial Narrow"/>
          <w:sz w:val="28"/>
          <w:szCs w:val="28"/>
          <w:lang w:eastAsia="en-US"/>
        </w:rPr>
        <w:t>Sin embargo, en el caso puntual, la verdad es que no se observa actuar de buena fe en la</w:t>
      </w:r>
      <w:r>
        <w:rPr>
          <w:rFonts w:ascii="Arial Narrow" w:hAnsi="Arial Narrow"/>
          <w:sz w:val="28"/>
          <w:szCs w:val="28"/>
          <w:lang w:eastAsia="en-US"/>
        </w:rPr>
        <w:t xml:space="preserve"> sociedad empleadora, amén que es velada la intención de ocultar una relación laboral, implicando esto el desconocimiento consciente de derechos de la trabajadora demandante</w:t>
      </w:r>
      <w:r w:rsidR="00BD0C6D">
        <w:rPr>
          <w:rFonts w:ascii="Arial Narrow" w:hAnsi="Arial Narrow"/>
          <w:sz w:val="28"/>
          <w:szCs w:val="28"/>
          <w:lang w:eastAsia="en-US"/>
        </w:rPr>
        <w:t>. Este ánimo dañoso se observa tanto al inicio, como al desarrollo y al final de la relación laboral, puesto que existió siempre la intención de eludir responsabilidades como empleador</w:t>
      </w:r>
      <w:r>
        <w:rPr>
          <w:rFonts w:ascii="Arial Narrow" w:hAnsi="Arial Narrow"/>
          <w:sz w:val="28"/>
          <w:szCs w:val="28"/>
          <w:lang w:eastAsia="en-US"/>
        </w:rPr>
        <w:t xml:space="preserve">. </w:t>
      </w:r>
    </w:p>
    <w:p w:rsidR="00BD0C6D" w:rsidRDefault="00BD0C6D" w:rsidP="003E62A8">
      <w:pPr>
        <w:pStyle w:val="Sinespaciado"/>
        <w:spacing w:line="360" w:lineRule="auto"/>
        <w:ind w:firstLine="708"/>
        <w:jc w:val="both"/>
        <w:rPr>
          <w:rFonts w:ascii="Arial Narrow" w:hAnsi="Arial Narrow"/>
          <w:sz w:val="28"/>
          <w:szCs w:val="28"/>
          <w:lang w:eastAsia="en-US"/>
        </w:rPr>
      </w:pPr>
    </w:p>
    <w:p w:rsidR="00BD0C6D" w:rsidRDefault="00BD0C6D" w:rsidP="003E62A8">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No puede aceptarse el argumento que expone el apelante en el recurso, en el sentido de que esta situación obedeció más a una interpretación diferente que a mala fe de la entidad, porque en realidad no hay una divergencia de criterios sino una clara conducta lesiva de los derechos de la trabajadora, al usar entidades como intermediarias con el fin de escabullirse a sus deberes patronales.</w:t>
      </w:r>
    </w:p>
    <w:p w:rsidR="00BD0C6D" w:rsidRDefault="00BD0C6D" w:rsidP="003E62A8">
      <w:pPr>
        <w:pStyle w:val="Sinespaciado"/>
        <w:spacing w:line="360" w:lineRule="auto"/>
        <w:ind w:firstLine="708"/>
        <w:jc w:val="both"/>
        <w:rPr>
          <w:rFonts w:ascii="Arial Narrow" w:hAnsi="Arial Narrow"/>
          <w:sz w:val="28"/>
          <w:szCs w:val="28"/>
          <w:lang w:eastAsia="en-US"/>
        </w:rPr>
      </w:pPr>
    </w:p>
    <w:p w:rsidR="00BD0C6D" w:rsidRDefault="00BD0C6D" w:rsidP="003E62A8">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Para esta Sala, es evidente la mala fe de la sociedad Nicole S.A. y, por lo mismo, estima que la decisión del a quo en esta materia es acertada.</w:t>
      </w:r>
    </w:p>
    <w:p w:rsidR="00BD0C6D" w:rsidRDefault="00BD0C6D" w:rsidP="003E62A8">
      <w:pPr>
        <w:pStyle w:val="Sinespaciado"/>
        <w:spacing w:line="360" w:lineRule="auto"/>
        <w:ind w:firstLine="708"/>
        <w:jc w:val="both"/>
        <w:rPr>
          <w:rFonts w:ascii="Arial Narrow" w:hAnsi="Arial Narrow"/>
          <w:sz w:val="28"/>
          <w:szCs w:val="28"/>
          <w:lang w:eastAsia="en-US"/>
        </w:rPr>
      </w:pPr>
    </w:p>
    <w:p w:rsidR="00BD0C6D" w:rsidRDefault="00BD0C6D" w:rsidP="003E62A8">
      <w:pPr>
        <w:pStyle w:val="Sinespaciado"/>
        <w:spacing w:line="360" w:lineRule="auto"/>
        <w:ind w:firstLine="708"/>
        <w:jc w:val="both"/>
        <w:rPr>
          <w:rFonts w:ascii="Arial Narrow" w:hAnsi="Arial Narrow"/>
          <w:b/>
          <w:sz w:val="28"/>
          <w:szCs w:val="28"/>
          <w:lang w:eastAsia="en-US"/>
        </w:rPr>
      </w:pPr>
      <w:r>
        <w:rPr>
          <w:rFonts w:ascii="Arial Narrow" w:hAnsi="Arial Narrow"/>
          <w:b/>
          <w:sz w:val="28"/>
          <w:szCs w:val="28"/>
          <w:lang w:eastAsia="en-US"/>
        </w:rPr>
        <w:t>Indemnización por despido injusto.</w:t>
      </w:r>
    </w:p>
    <w:p w:rsidR="00BD0C6D" w:rsidRDefault="00BD0C6D" w:rsidP="003E62A8">
      <w:pPr>
        <w:pStyle w:val="Sinespaciado"/>
        <w:spacing w:line="360" w:lineRule="auto"/>
        <w:ind w:firstLine="708"/>
        <w:jc w:val="both"/>
        <w:rPr>
          <w:rFonts w:ascii="Arial Narrow" w:hAnsi="Arial Narrow"/>
          <w:b/>
          <w:sz w:val="28"/>
          <w:szCs w:val="28"/>
          <w:lang w:eastAsia="en-US"/>
        </w:rPr>
      </w:pPr>
    </w:p>
    <w:p w:rsidR="00D930A1" w:rsidRDefault="00BD0C6D" w:rsidP="003E62A8">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Esta indemnización, contenida en el artículo 64 del Código Laboral, parte del supuesto de que el empleador termine, sin una causa que justifique, la relación laboral. El apelante ofrece una interpretación especial a esta norma, en el sentido de que al tratarse de una relación laboral apenas declarada en este caso, en la cual hubo una intermediación de una Cooperativa de Trabajo Asociado</w:t>
      </w:r>
      <w:r w:rsidR="00D930A1">
        <w:rPr>
          <w:rFonts w:ascii="Arial Narrow" w:hAnsi="Arial Narrow"/>
          <w:sz w:val="28"/>
          <w:szCs w:val="28"/>
          <w:lang w:eastAsia="en-US"/>
        </w:rPr>
        <w:t>, y haber sido esta la encargada de comunicar el finiquito del contrato, no puede endilgarse al verdadero empleador responsabilidad alguna.</w:t>
      </w:r>
    </w:p>
    <w:p w:rsidR="00D930A1" w:rsidRDefault="00D930A1" w:rsidP="003E62A8">
      <w:pPr>
        <w:pStyle w:val="Sinespaciado"/>
        <w:spacing w:line="360" w:lineRule="auto"/>
        <w:ind w:firstLine="708"/>
        <w:jc w:val="both"/>
        <w:rPr>
          <w:rFonts w:ascii="Arial Narrow" w:hAnsi="Arial Narrow"/>
          <w:sz w:val="28"/>
          <w:szCs w:val="28"/>
          <w:lang w:eastAsia="en-US"/>
        </w:rPr>
      </w:pPr>
    </w:p>
    <w:p w:rsidR="00D930A1" w:rsidRDefault="00D930A1" w:rsidP="003E62A8">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lastRenderedPageBreak/>
        <w:t>Pues bien, dígase que esta interpretación, no puede tener cabida en el presente asunto, dado que la  misma cohonestaría que las empresas que ocultan una relación laboral, valiéndose de métodos poco probos, se vean beneficiadas para despedir a sus empleados, por la sencilla razón de que lo hacen por medio de un mandadero o intermediario. Este argumento, de validarse, dejaría por el suelo el principio de la primacía de la realidad, pues de alguna forma se estarían validando actuaciones como la surtida en este caso entre Nicole y Coonix CTA, privilegiándose la burla al caro derecho a la estabilidad laboral.</w:t>
      </w:r>
    </w:p>
    <w:p w:rsidR="00D930A1" w:rsidRDefault="00D930A1" w:rsidP="003E62A8">
      <w:pPr>
        <w:pStyle w:val="Sinespaciado"/>
        <w:spacing w:line="360" w:lineRule="auto"/>
        <w:ind w:firstLine="708"/>
        <w:jc w:val="both"/>
        <w:rPr>
          <w:rFonts w:ascii="Arial Narrow" w:hAnsi="Arial Narrow"/>
          <w:sz w:val="28"/>
          <w:szCs w:val="28"/>
          <w:lang w:eastAsia="en-US"/>
        </w:rPr>
      </w:pPr>
    </w:p>
    <w:p w:rsidR="00D930A1" w:rsidRDefault="00D930A1" w:rsidP="003E62A8">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No queda hesitación alguna para esta Colegiatura, que lo propuesto en el recurso no puede tener cabida en este tipo de asuntos, porque la intermediación laboral se da en toda la extensión de la misma, esto es, entre el nacimiento del contrato, su desarrollo y la finalización del mismo, sin que en ninguna de estas etapas se pueda aprobar este tipo de conductas lesivas de los derechos laborales.</w:t>
      </w:r>
    </w:p>
    <w:p w:rsidR="00D930A1" w:rsidRDefault="00D930A1" w:rsidP="003E62A8">
      <w:pPr>
        <w:pStyle w:val="Sinespaciado"/>
        <w:spacing w:line="360" w:lineRule="auto"/>
        <w:ind w:firstLine="708"/>
        <w:jc w:val="both"/>
        <w:rPr>
          <w:rFonts w:ascii="Arial Narrow" w:hAnsi="Arial Narrow"/>
          <w:sz w:val="28"/>
          <w:szCs w:val="28"/>
          <w:lang w:eastAsia="en-US"/>
        </w:rPr>
      </w:pPr>
    </w:p>
    <w:p w:rsidR="00D930A1" w:rsidRDefault="00D930A1" w:rsidP="003E62A8">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lo tanto, es forzosa la confirmación de la decisión adoptada por el a-quo en este sentido.</w:t>
      </w:r>
    </w:p>
    <w:p w:rsidR="00D930A1" w:rsidRDefault="00D930A1" w:rsidP="003E62A8">
      <w:pPr>
        <w:pStyle w:val="Sinespaciado"/>
        <w:spacing w:line="360" w:lineRule="auto"/>
        <w:ind w:firstLine="708"/>
        <w:jc w:val="both"/>
        <w:rPr>
          <w:rFonts w:ascii="Arial Narrow" w:hAnsi="Arial Narrow"/>
          <w:sz w:val="28"/>
          <w:szCs w:val="28"/>
          <w:lang w:eastAsia="en-US"/>
        </w:rPr>
      </w:pPr>
    </w:p>
    <w:p w:rsidR="00D930A1" w:rsidRDefault="00D930A1" w:rsidP="003E62A8">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Resueltos los motivos de la apelación, ha de concluirse que la sentencia debe confirmarse en su integridad.</w:t>
      </w:r>
    </w:p>
    <w:p w:rsidR="00AA0F00" w:rsidRDefault="00AA0F00" w:rsidP="003E62A8">
      <w:pPr>
        <w:pStyle w:val="Sinespaciado"/>
        <w:spacing w:line="360" w:lineRule="auto"/>
        <w:ind w:firstLine="708"/>
        <w:jc w:val="both"/>
        <w:rPr>
          <w:rFonts w:ascii="Arial Narrow" w:hAnsi="Arial Narrow"/>
          <w:sz w:val="28"/>
          <w:szCs w:val="28"/>
          <w:lang w:eastAsia="en-US"/>
        </w:rPr>
      </w:pPr>
    </w:p>
    <w:p w:rsidR="0027306A" w:rsidRDefault="00AA0F00" w:rsidP="00AA0F00">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Las costas en esta instancia, quedan a cargo de la sociedad CI Nicole S.A. y a favor de la demandante.</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B71BD5" w:rsidRDefault="008213FA" w:rsidP="00220901">
      <w:pPr>
        <w:spacing w:line="360" w:lineRule="auto"/>
        <w:ind w:firstLine="851"/>
        <w:jc w:val="both"/>
        <w:rPr>
          <w:rFonts w:ascii="Arial Narrow" w:hAnsi="Arial Narrow" w:cs="Arial"/>
          <w:spacing w:val="-2"/>
          <w:sz w:val="28"/>
          <w:szCs w:val="28"/>
        </w:rPr>
      </w:pPr>
      <w:r w:rsidRPr="008C0CF7">
        <w:rPr>
          <w:rFonts w:ascii="Arial Narrow" w:hAnsi="Arial Narrow" w:cs="Arial"/>
          <w:b/>
          <w:i/>
          <w:spacing w:val="-2"/>
          <w:sz w:val="28"/>
          <w:szCs w:val="28"/>
        </w:rPr>
        <w:t xml:space="preserve">1. </w:t>
      </w:r>
      <w:r w:rsidR="00E3698C">
        <w:rPr>
          <w:rFonts w:ascii="Arial Narrow" w:hAnsi="Arial Narrow" w:cs="Arial"/>
          <w:b/>
          <w:i/>
          <w:spacing w:val="-2"/>
          <w:sz w:val="28"/>
          <w:szCs w:val="28"/>
        </w:rPr>
        <w:t xml:space="preserve">Confirma </w:t>
      </w:r>
      <w:r w:rsidR="00B71BD5">
        <w:rPr>
          <w:rFonts w:ascii="Arial Narrow" w:hAnsi="Arial Narrow" w:cs="Arial"/>
          <w:spacing w:val="-2"/>
          <w:sz w:val="28"/>
          <w:szCs w:val="28"/>
        </w:rPr>
        <w:t xml:space="preserve">la sentencia del </w:t>
      </w:r>
      <w:r w:rsidR="00AA0F00">
        <w:rPr>
          <w:rFonts w:ascii="Arial Narrow" w:hAnsi="Arial Narrow" w:cs="Arial"/>
          <w:spacing w:val="-2"/>
          <w:sz w:val="28"/>
          <w:szCs w:val="28"/>
        </w:rPr>
        <w:t>15</w:t>
      </w:r>
      <w:r w:rsidR="00B71BD5">
        <w:rPr>
          <w:rFonts w:ascii="Arial Narrow" w:hAnsi="Arial Narrow" w:cs="Arial"/>
          <w:spacing w:val="-2"/>
          <w:sz w:val="28"/>
          <w:szCs w:val="28"/>
        </w:rPr>
        <w:t xml:space="preserve"> de </w:t>
      </w:r>
      <w:r w:rsidR="00AA0F00">
        <w:rPr>
          <w:rFonts w:ascii="Arial Narrow" w:hAnsi="Arial Narrow" w:cs="Arial"/>
          <w:spacing w:val="-2"/>
          <w:sz w:val="28"/>
          <w:szCs w:val="28"/>
        </w:rPr>
        <w:t>diciembre</w:t>
      </w:r>
      <w:r w:rsidR="00B71BD5">
        <w:rPr>
          <w:rFonts w:ascii="Arial Narrow" w:hAnsi="Arial Narrow" w:cs="Arial"/>
          <w:spacing w:val="-2"/>
          <w:sz w:val="28"/>
          <w:szCs w:val="28"/>
        </w:rPr>
        <w:t xml:space="preserve"> de 201</w:t>
      </w:r>
      <w:r w:rsidR="00AA0F00">
        <w:rPr>
          <w:rFonts w:ascii="Arial Narrow" w:hAnsi="Arial Narrow" w:cs="Arial"/>
          <w:spacing w:val="-2"/>
          <w:sz w:val="28"/>
          <w:szCs w:val="28"/>
        </w:rPr>
        <w:t>4</w:t>
      </w:r>
      <w:r w:rsidR="00B71BD5">
        <w:rPr>
          <w:rFonts w:ascii="Arial Narrow" w:hAnsi="Arial Narrow" w:cs="Arial"/>
          <w:spacing w:val="-2"/>
          <w:sz w:val="28"/>
          <w:szCs w:val="28"/>
        </w:rPr>
        <w:t xml:space="preserve"> dictada por el Juzgado </w:t>
      </w:r>
      <w:r w:rsidR="00E3698C">
        <w:rPr>
          <w:rFonts w:ascii="Arial Narrow" w:hAnsi="Arial Narrow" w:cs="Arial"/>
          <w:spacing w:val="-2"/>
          <w:sz w:val="28"/>
          <w:szCs w:val="28"/>
        </w:rPr>
        <w:t xml:space="preserve">Laboral del Circuito de </w:t>
      </w:r>
      <w:r w:rsidR="00AA0F00">
        <w:rPr>
          <w:rFonts w:ascii="Arial Narrow" w:hAnsi="Arial Narrow" w:cs="Arial"/>
          <w:spacing w:val="-2"/>
          <w:sz w:val="28"/>
          <w:szCs w:val="28"/>
        </w:rPr>
        <w:t>Dosquebradas</w:t>
      </w:r>
      <w:r w:rsidR="00E3698C">
        <w:rPr>
          <w:rFonts w:ascii="Arial Narrow" w:hAnsi="Arial Narrow" w:cs="Arial"/>
          <w:spacing w:val="-2"/>
          <w:sz w:val="28"/>
          <w:szCs w:val="28"/>
        </w:rPr>
        <w:t>.</w:t>
      </w:r>
      <w:r w:rsidR="00B71BD5">
        <w:rPr>
          <w:rFonts w:ascii="Arial Narrow" w:hAnsi="Arial Narrow" w:cs="Arial"/>
          <w:spacing w:val="-2"/>
          <w:sz w:val="28"/>
          <w:szCs w:val="28"/>
        </w:rPr>
        <w:t xml:space="preserve"> </w:t>
      </w:r>
    </w:p>
    <w:p w:rsidR="00CF5AF1" w:rsidRDefault="00CF5AF1" w:rsidP="00220901">
      <w:pPr>
        <w:spacing w:line="360" w:lineRule="auto"/>
        <w:ind w:firstLine="851"/>
        <w:jc w:val="both"/>
        <w:rPr>
          <w:rFonts w:ascii="Arial Narrow" w:hAnsi="Arial Narrow" w:cs="Arial"/>
          <w:spacing w:val="-2"/>
          <w:sz w:val="28"/>
          <w:szCs w:val="28"/>
        </w:rPr>
      </w:pPr>
    </w:p>
    <w:p w:rsidR="00CF5AF1" w:rsidRDefault="00E3698C" w:rsidP="00CF5AF1">
      <w:pPr>
        <w:spacing w:line="360" w:lineRule="auto"/>
        <w:ind w:firstLine="851"/>
        <w:jc w:val="both"/>
        <w:rPr>
          <w:rFonts w:ascii="Arial Narrow" w:hAnsi="Arial Narrow" w:cs="Arial"/>
          <w:spacing w:val="-2"/>
          <w:sz w:val="28"/>
          <w:szCs w:val="28"/>
        </w:rPr>
      </w:pPr>
      <w:r>
        <w:rPr>
          <w:rFonts w:ascii="Arial Narrow" w:hAnsi="Arial Narrow" w:cs="Arial"/>
          <w:b/>
          <w:spacing w:val="-2"/>
          <w:sz w:val="28"/>
          <w:szCs w:val="28"/>
        </w:rPr>
        <w:lastRenderedPageBreak/>
        <w:t>2</w:t>
      </w:r>
      <w:r w:rsidR="00CF5AF1">
        <w:rPr>
          <w:rFonts w:ascii="Arial Narrow" w:hAnsi="Arial Narrow" w:cs="Arial"/>
          <w:b/>
          <w:spacing w:val="-2"/>
          <w:sz w:val="28"/>
          <w:szCs w:val="28"/>
        </w:rPr>
        <w:t xml:space="preserve">. </w:t>
      </w:r>
      <w:r w:rsidR="00AA0F00">
        <w:rPr>
          <w:rFonts w:ascii="Arial Narrow" w:hAnsi="Arial Narrow" w:cs="Arial"/>
          <w:spacing w:val="-2"/>
          <w:sz w:val="28"/>
          <w:szCs w:val="28"/>
        </w:rPr>
        <w:t>C</w:t>
      </w:r>
      <w:r w:rsidR="00CF5AF1">
        <w:rPr>
          <w:rFonts w:ascii="Arial Narrow" w:hAnsi="Arial Narrow" w:cs="Arial"/>
          <w:spacing w:val="-2"/>
          <w:sz w:val="28"/>
          <w:szCs w:val="28"/>
        </w:rPr>
        <w:t>ostas en esta instancia</w:t>
      </w:r>
      <w:r w:rsidR="00AA0F00">
        <w:rPr>
          <w:rFonts w:ascii="Arial Narrow" w:hAnsi="Arial Narrow" w:cs="Arial"/>
          <w:spacing w:val="-2"/>
          <w:sz w:val="28"/>
          <w:szCs w:val="28"/>
        </w:rPr>
        <w:t xml:space="preserve"> a cargo de C.I. Nicole S.A. y a favor de la demandante</w:t>
      </w:r>
      <w:r w:rsidR="00CF5AF1">
        <w:rPr>
          <w:rFonts w:ascii="Arial Narrow" w:hAnsi="Arial Narrow" w:cs="Arial"/>
          <w:spacing w:val="-2"/>
          <w:sz w:val="28"/>
          <w:szCs w:val="28"/>
        </w:rPr>
        <w:t>.</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7170BC">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855683" w:rsidRPr="00E80808" w:rsidRDefault="00855683"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AA0F00"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SEPULVEDA</w:t>
      </w:r>
      <w:r w:rsidR="005E2002" w:rsidRPr="005E2002">
        <w:rPr>
          <w:rFonts w:ascii="Arial Narrow" w:hAnsi="Arial Narrow" w:cs="Microsoft Sans Serif"/>
          <w:b/>
          <w:bCs/>
          <w:iCs/>
          <w:sz w:val="28"/>
          <w:szCs w:val="28"/>
          <w:lang w:val="es-ES"/>
        </w:rPr>
        <w:t xml:space="preserve"> </w:t>
      </w:r>
      <w:r w:rsidR="005E2002">
        <w:rPr>
          <w:rFonts w:ascii="Arial Narrow" w:hAnsi="Arial Narrow" w:cs="Microsoft Sans Serif"/>
          <w:b/>
          <w:bCs/>
          <w:iCs/>
          <w:sz w:val="28"/>
          <w:szCs w:val="28"/>
          <w:lang w:val="es-ES"/>
        </w:rPr>
        <w:tab/>
      </w:r>
      <w:r w:rsidR="005E2002">
        <w:rPr>
          <w:rFonts w:ascii="Arial Narrow" w:hAnsi="Arial Narrow" w:cs="Microsoft Sans Serif"/>
          <w:b/>
          <w:bCs/>
          <w:iCs/>
          <w:sz w:val="28"/>
          <w:szCs w:val="28"/>
          <w:lang w:val="es-ES"/>
        </w:rPr>
        <w:tab/>
        <w:t xml:space="preserve"> ANA LUCIA CAICEDO CALDERON </w:t>
      </w:r>
      <w:r w:rsidR="005E2002"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AA0F00">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sidR="005E200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5A70B7" w:rsidRDefault="00897A5F" w:rsidP="00220901">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220901">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5A70B7" w:rsidRDefault="005A70B7" w:rsidP="00220901">
      <w:pPr>
        <w:jc w:val="both"/>
        <w:rPr>
          <w:rFonts w:ascii="Arial Narrow" w:hAnsi="Arial Narrow" w:cs="Microsoft Sans Serif"/>
          <w:bCs/>
          <w:iCs/>
          <w:sz w:val="28"/>
          <w:szCs w:val="28"/>
          <w:lang w:val="es-ES"/>
        </w:rPr>
      </w:pPr>
    </w:p>
    <w:p w:rsidR="007E480D" w:rsidRPr="00E80808" w:rsidRDefault="005A70B7" w:rsidP="00220901">
      <w:pPr>
        <w:jc w:val="both"/>
        <w:rPr>
          <w:rFonts w:ascii="Arial Narrow" w:hAnsi="Arial Narrow" w:cs="Microsoft Sans Serif"/>
          <w:b/>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r w:rsidR="00AA0F00">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5E2002">
        <w:rPr>
          <w:rFonts w:ascii="Arial Narrow" w:hAnsi="Arial Narrow" w:cs="Microsoft Sans Serif"/>
          <w:iCs/>
          <w:sz w:val="28"/>
          <w:szCs w:val="28"/>
          <w:lang w:val="es-ES"/>
        </w:rPr>
        <w:t>Secretario</w:t>
      </w:r>
    </w:p>
    <w:sectPr w:rsidR="00465CF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717" w:rsidRDefault="00507717" w:rsidP="00181D67">
      <w:r>
        <w:separator/>
      </w:r>
    </w:p>
  </w:endnote>
  <w:endnote w:type="continuationSeparator" w:id="0">
    <w:p w:rsidR="00507717" w:rsidRDefault="00507717"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33" w:rsidRDefault="00FB2F3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B2F33" w:rsidRDefault="00FB2F33"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33" w:rsidRDefault="00FB2F3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0F00">
      <w:rPr>
        <w:rStyle w:val="Nmerodepgina"/>
        <w:noProof/>
      </w:rPr>
      <w:t>10</w:t>
    </w:r>
    <w:r>
      <w:rPr>
        <w:rStyle w:val="Nmerodepgina"/>
      </w:rPr>
      <w:fldChar w:fldCharType="end"/>
    </w:r>
  </w:p>
  <w:p w:rsidR="00FB2F33" w:rsidRDefault="00FB2F33"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717" w:rsidRDefault="00507717" w:rsidP="00181D67">
      <w:r>
        <w:separator/>
      </w:r>
    </w:p>
  </w:footnote>
  <w:footnote w:type="continuationSeparator" w:id="0">
    <w:p w:rsidR="00507717" w:rsidRDefault="00507717"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33" w:rsidRDefault="00FB2F33" w:rsidP="00FB2365">
    <w:pPr>
      <w:jc w:val="both"/>
      <w:rPr>
        <w:rFonts w:ascii="Arial" w:hAnsi="Arial" w:cs="Arial"/>
        <w:bCs/>
        <w:i/>
        <w:sz w:val="16"/>
        <w:szCs w:val="16"/>
      </w:rPr>
    </w:pPr>
    <w:r w:rsidRPr="00BD0CC8">
      <w:rPr>
        <w:rFonts w:ascii="Arial" w:hAnsi="Arial" w:cs="Arial"/>
        <w:bCs/>
        <w:i/>
        <w:sz w:val="16"/>
        <w:szCs w:val="16"/>
      </w:rPr>
      <w:t>Radicación No: 66</w:t>
    </w:r>
    <w:r>
      <w:rPr>
        <w:rFonts w:ascii="Arial" w:hAnsi="Arial" w:cs="Arial"/>
        <w:bCs/>
        <w:i/>
        <w:sz w:val="16"/>
        <w:szCs w:val="16"/>
      </w:rPr>
      <w:t>170</w:t>
    </w:r>
    <w:r w:rsidRPr="00BD0CC8">
      <w:rPr>
        <w:rFonts w:ascii="Arial" w:hAnsi="Arial" w:cs="Arial"/>
        <w:bCs/>
        <w:i/>
        <w:sz w:val="16"/>
        <w:szCs w:val="16"/>
      </w:rPr>
      <w:t>-31-</w:t>
    </w:r>
    <w:r>
      <w:rPr>
        <w:rFonts w:ascii="Arial" w:hAnsi="Arial" w:cs="Arial"/>
        <w:bCs/>
        <w:i/>
        <w:sz w:val="16"/>
        <w:szCs w:val="16"/>
      </w:rPr>
      <w:t>05</w:t>
    </w:r>
    <w:r w:rsidRPr="00BD0CC8">
      <w:rPr>
        <w:rFonts w:ascii="Arial" w:hAnsi="Arial" w:cs="Arial"/>
        <w:bCs/>
        <w:i/>
        <w:sz w:val="16"/>
        <w:szCs w:val="16"/>
      </w:rPr>
      <w:t>-</w:t>
    </w:r>
    <w:r>
      <w:rPr>
        <w:rFonts w:ascii="Arial" w:hAnsi="Arial" w:cs="Arial"/>
        <w:bCs/>
        <w:i/>
        <w:sz w:val="16"/>
        <w:szCs w:val="16"/>
      </w:rPr>
      <w:t>001-2007-00148-01</w:t>
    </w:r>
  </w:p>
  <w:p w:rsidR="00FB2F33" w:rsidRPr="00BD0CC8" w:rsidRDefault="00FB2F33" w:rsidP="00FB2365">
    <w:pPr>
      <w:jc w:val="both"/>
      <w:rPr>
        <w:rFonts w:ascii="Arial" w:hAnsi="Arial" w:cs="Arial"/>
        <w:bCs/>
        <w:i/>
        <w:iCs/>
        <w:sz w:val="16"/>
        <w:szCs w:val="16"/>
      </w:rPr>
    </w:pPr>
    <w:r>
      <w:rPr>
        <w:rFonts w:ascii="Arial" w:hAnsi="Arial" w:cs="Arial"/>
        <w:bCs/>
        <w:i/>
        <w:sz w:val="16"/>
        <w:szCs w:val="16"/>
      </w:rPr>
      <w:t>Beatriz del Pilar Waltero</w:t>
    </w:r>
    <w:r w:rsidR="00402626">
      <w:rPr>
        <w:rFonts w:ascii="Arial" w:hAnsi="Arial" w:cs="Arial"/>
        <w:bCs/>
        <w:i/>
        <w:sz w:val="16"/>
        <w:szCs w:val="16"/>
      </w:rPr>
      <w:t>s</w:t>
    </w:r>
    <w:r>
      <w:rPr>
        <w:rFonts w:ascii="Arial" w:hAnsi="Arial" w:cs="Arial"/>
        <w:bCs/>
        <w:i/>
        <w:sz w:val="16"/>
        <w:szCs w:val="16"/>
      </w:rPr>
      <w:t xml:space="preserve"> Bocanegra vs CI Nicole S.A. y otros.</w:t>
    </w:r>
  </w:p>
  <w:p w:rsidR="00FB2F33" w:rsidRDefault="00FB2F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2F2A2969"/>
    <w:multiLevelType w:val="hybridMultilevel"/>
    <w:tmpl w:val="A5203170"/>
    <w:lvl w:ilvl="0" w:tplc="5E822D1A">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9917D3C"/>
    <w:multiLevelType w:val="hybridMultilevel"/>
    <w:tmpl w:val="CF20AEE4"/>
    <w:lvl w:ilvl="0" w:tplc="E4401A4A">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5">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7E59643B"/>
    <w:multiLevelType w:val="hybridMultilevel"/>
    <w:tmpl w:val="DB48E0F0"/>
    <w:lvl w:ilvl="0" w:tplc="2A128110">
      <w:start w:val="3"/>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2DFE"/>
    <w:rsid w:val="0001753B"/>
    <w:rsid w:val="00017971"/>
    <w:rsid w:val="00024AC0"/>
    <w:rsid w:val="00030D22"/>
    <w:rsid w:val="00034D6D"/>
    <w:rsid w:val="0003620B"/>
    <w:rsid w:val="0003621B"/>
    <w:rsid w:val="00036CF3"/>
    <w:rsid w:val="000541AF"/>
    <w:rsid w:val="00057514"/>
    <w:rsid w:val="0006495E"/>
    <w:rsid w:val="000667FF"/>
    <w:rsid w:val="000700DB"/>
    <w:rsid w:val="000700E7"/>
    <w:rsid w:val="00071203"/>
    <w:rsid w:val="00071A7B"/>
    <w:rsid w:val="00071A9D"/>
    <w:rsid w:val="0007261C"/>
    <w:rsid w:val="000745A2"/>
    <w:rsid w:val="00080A62"/>
    <w:rsid w:val="00083DF1"/>
    <w:rsid w:val="00083ED6"/>
    <w:rsid w:val="0008718B"/>
    <w:rsid w:val="00094470"/>
    <w:rsid w:val="00094DD5"/>
    <w:rsid w:val="00097B5A"/>
    <w:rsid w:val="000A26AC"/>
    <w:rsid w:val="000A3EEE"/>
    <w:rsid w:val="000A6C62"/>
    <w:rsid w:val="000A78D4"/>
    <w:rsid w:val="000B0CF6"/>
    <w:rsid w:val="000B0E17"/>
    <w:rsid w:val="000B1C11"/>
    <w:rsid w:val="000B3068"/>
    <w:rsid w:val="000B5AFB"/>
    <w:rsid w:val="000B6AD0"/>
    <w:rsid w:val="000C0539"/>
    <w:rsid w:val="000C0635"/>
    <w:rsid w:val="000C0A92"/>
    <w:rsid w:val="000C719A"/>
    <w:rsid w:val="000C73AC"/>
    <w:rsid w:val="000D09A7"/>
    <w:rsid w:val="000D6F62"/>
    <w:rsid w:val="000E166B"/>
    <w:rsid w:val="000E1757"/>
    <w:rsid w:val="000E2EFB"/>
    <w:rsid w:val="000E3687"/>
    <w:rsid w:val="000E4F31"/>
    <w:rsid w:val="000E7F42"/>
    <w:rsid w:val="000F0EAC"/>
    <w:rsid w:val="000F5249"/>
    <w:rsid w:val="000F604F"/>
    <w:rsid w:val="00113DFF"/>
    <w:rsid w:val="00114E6E"/>
    <w:rsid w:val="00121679"/>
    <w:rsid w:val="00122B74"/>
    <w:rsid w:val="00124333"/>
    <w:rsid w:val="001342E2"/>
    <w:rsid w:val="00151FAB"/>
    <w:rsid w:val="0015632C"/>
    <w:rsid w:val="00156587"/>
    <w:rsid w:val="001571A9"/>
    <w:rsid w:val="00160D05"/>
    <w:rsid w:val="0016407C"/>
    <w:rsid w:val="0016555D"/>
    <w:rsid w:val="00165C53"/>
    <w:rsid w:val="001721E5"/>
    <w:rsid w:val="00172834"/>
    <w:rsid w:val="00176653"/>
    <w:rsid w:val="00180C77"/>
    <w:rsid w:val="001818C1"/>
    <w:rsid w:val="00181D67"/>
    <w:rsid w:val="00181DBB"/>
    <w:rsid w:val="00185F4E"/>
    <w:rsid w:val="00190996"/>
    <w:rsid w:val="00194459"/>
    <w:rsid w:val="00194763"/>
    <w:rsid w:val="001966FF"/>
    <w:rsid w:val="001971FD"/>
    <w:rsid w:val="00197A7F"/>
    <w:rsid w:val="001A1F95"/>
    <w:rsid w:val="001A28FC"/>
    <w:rsid w:val="001A41C0"/>
    <w:rsid w:val="001A6293"/>
    <w:rsid w:val="001B0456"/>
    <w:rsid w:val="001B5279"/>
    <w:rsid w:val="001C001D"/>
    <w:rsid w:val="001C1A3A"/>
    <w:rsid w:val="001E2A79"/>
    <w:rsid w:val="001E4ED7"/>
    <w:rsid w:val="001F70B4"/>
    <w:rsid w:val="0020066B"/>
    <w:rsid w:val="00200D02"/>
    <w:rsid w:val="0020183E"/>
    <w:rsid w:val="00204F66"/>
    <w:rsid w:val="002054B4"/>
    <w:rsid w:val="00214F11"/>
    <w:rsid w:val="00217065"/>
    <w:rsid w:val="00217C8B"/>
    <w:rsid w:val="00220901"/>
    <w:rsid w:val="00231133"/>
    <w:rsid w:val="0023419A"/>
    <w:rsid w:val="00241CF7"/>
    <w:rsid w:val="00242152"/>
    <w:rsid w:val="00244C46"/>
    <w:rsid w:val="00245208"/>
    <w:rsid w:val="002453A1"/>
    <w:rsid w:val="002475D9"/>
    <w:rsid w:val="00250400"/>
    <w:rsid w:val="0025169D"/>
    <w:rsid w:val="00252ADE"/>
    <w:rsid w:val="00255498"/>
    <w:rsid w:val="0025712A"/>
    <w:rsid w:val="002636A0"/>
    <w:rsid w:val="0026415B"/>
    <w:rsid w:val="002666DD"/>
    <w:rsid w:val="00271F3B"/>
    <w:rsid w:val="0027306A"/>
    <w:rsid w:val="002735EE"/>
    <w:rsid w:val="00274D31"/>
    <w:rsid w:val="002811CB"/>
    <w:rsid w:val="00281AF3"/>
    <w:rsid w:val="00282824"/>
    <w:rsid w:val="0028369F"/>
    <w:rsid w:val="00287849"/>
    <w:rsid w:val="00290FC3"/>
    <w:rsid w:val="002971B9"/>
    <w:rsid w:val="002A1431"/>
    <w:rsid w:val="002A1875"/>
    <w:rsid w:val="002A649E"/>
    <w:rsid w:val="002B11F5"/>
    <w:rsid w:val="002B2F11"/>
    <w:rsid w:val="002B4B0A"/>
    <w:rsid w:val="002B5701"/>
    <w:rsid w:val="002B5A38"/>
    <w:rsid w:val="002C3B7B"/>
    <w:rsid w:val="002C50FA"/>
    <w:rsid w:val="002C62E6"/>
    <w:rsid w:val="002C76A9"/>
    <w:rsid w:val="002C7ACC"/>
    <w:rsid w:val="002D2DB2"/>
    <w:rsid w:val="002D633D"/>
    <w:rsid w:val="002E12BC"/>
    <w:rsid w:val="002E1ABE"/>
    <w:rsid w:val="002F21EF"/>
    <w:rsid w:val="002F2D76"/>
    <w:rsid w:val="002F43BB"/>
    <w:rsid w:val="003024B1"/>
    <w:rsid w:val="00310A39"/>
    <w:rsid w:val="0031484A"/>
    <w:rsid w:val="003152EE"/>
    <w:rsid w:val="003156F5"/>
    <w:rsid w:val="003202FC"/>
    <w:rsid w:val="00325C8C"/>
    <w:rsid w:val="003265D5"/>
    <w:rsid w:val="00327174"/>
    <w:rsid w:val="0033037D"/>
    <w:rsid w:val="00330E76"/>
    <w:rsid w:val="00331A84"/>
    <w:rsid w:val="00332200"/>
    <w:rsid w:val="0033240E"/>
    <w:rsid w:val="00336F17"/>
    <w:rsid w:val="00337894"/>
    <w:rsid w:val="003400C8"/>
    <w:rsid w:val="00342D76"/>
    <w:rsid w:val="00350750"/>
    <w:rsid w:val="00351220"/>
    <w:rsid w:val="00353032"/>
    <w:rsid w:val="0035333E"/>
    <w:rsid w:val="0035399E"/>
    <w:rsid w:val="00355D5D"/>
    <w:rsid w:val="0035755F"/>
    <w:rsid w:val="00360979"/>
    <w:rsid w:val="00362BCD"/>
    <w:rsid w:val="00365ECD"/>
    <w:rsid w:val="0037272B"/>
    <w:rsid w:val="00384FB1"/>
    <w:rsid w:val="00385359"/>
    <w:rsid w:val="003A42E5"/>
    <w:rsid w:val="003A4937"/>
    <w:rsid w:val="003A4C72"/>
    <w:rsid w:val="003B30B8"/>
    <w:rsid w:val="003B35A1"/>
    <w:rsid w:val="003B7E72"/>
    <w:rsid w:val="003D2568"/>
    <w:rsid w:val="003D2E4A"/>
    <w:rsid w:val="003D2F2C"/>
    <w:rsid w:val="003D41D8"/>
    <w:rsid w:val="003D448D"/>
    <w:rsid w:val="003D5AF4"/>
    <w:rsid w:val="003E24A3"/>
    <w:rsid w:val="003E5B26"/>
    <w:rsid w:val="003E62A8"/>
    <w:rsid w:val="003E73F0"/>
    <w:rsid w:val="003F13E1"/>
    <w:rsid w:val="003F4D93"/>
    <w:rsid w:val="003F6953"/>
    <w:rsid w:val="004004B8"/>
    <w:rsid w:val="00400D36"/>
    <w:rsid w:val="0040108B"/>
    <w:rsid w:val="004021D5"/>
    <w:rsid w:val="00402626"/>
    <w:rsid w:val="004062A1"/>
    <w:rsid w:val="0040689D"/>
    <w:rsid w:val="00410250"/>
    <w:rsid w:val="004102C0"/>
    <w:rsid w:val="00411A34"/>
    <w:rsid w:val="00414CD0"/>
    <w:rsid w:val="0041771A"/>
    <w:rsid w:val="00422223"/>
    <w:rsid w:val="00425950"/>
    <w:rsid w:val="00427FDB"/>
    <w:rsid w:val="004310BA"/>
    <w:rsid w:val="00434A0D"/>
    <w:rsid w:val="00441F0F"/>
    <w:rsid w:val="004450B1"/>
    <w:rsid w:val="00446124"/>
    <w:rsid w:val="00446A9B"/>
    <w:rsid w:val="00450FD9"/>
    <w:rsid w:val="00452616"/>
    <w:rsid w:val="00464327"/>
    <w:rsid w:val="00465CFD"/>
    <w:rsid w:val="00473689"/>
    <w:rsid w:val="004761AF"/>
    <w:rsid w:val="00476311"/>
    <w:rsid w:val="00476F91"/>
    <w:rsid w:val="00481EE2"/>
    <w:rsid w:val="00481FB7"/>
    <w:rsid w:val="00482591"/>
    <w:rsid w:val="00482D15"/>
    <w:rsid w:val="00483406"/>
    <w:rsid w:val="00486CB5"/>
    <w:rsid w:val="0049276B"/>
    <w:rsid w:val="004A18E6"/>
    <w:rsid w:val="004A359A"/>
    <w:rsid w:val="004A5015"/>
    <w:rsid w:val="004A703F"/>
    <w:rsid w:val="004A7539"/>
    <w:rsid w:val="004A7DAE"/>
    <w:rsid w:val="004B3006"/>
    <w:rsid w:val="004B38EA"/>
    <w:rsid w:val="004B5958"/>
    <w:rsid w:val="004B6F43"/>
    <w:rsid w:val="004B6F6B"/>
    <w:rsid w:val="004C1E12"/>
    <w:rsid w:val="004C37BF"/>
    <w:rsid w:val="004D01C5"/>
    <w:rsid w:val="004D7BE8"/>
    <w:rsid w:val="004E2A16"/>
    <w:rsid w:val="004E33E6"/>
    <w:rsid w:val="004E4494"/>
    <w:rsid w:val="004F3CC2"/>
    <w:rsid w:val="004F4534"/>
    <w:rsid w:val="004F4DD2"/>
    <w:rsid w:val="004F6356"/>
    <w:rsid w:val="004F7A42"/>
    <w:rsid w:val="005010B3"/>
    <w:rsid w:val="00502503"/>
    <w:rsid w:val="00503569"/>
    <w:rsid w:val="00503737"/>
    <w:rsid w:val="0050557A"/>
    <w:rsid w:val="00505F81"/>
    <w:rsid w:val="00507717"/>
    <w:rsid w:val="00512EBD"/>
    <w:rsid w:val="00515BDC"/>
    <w:rsid w:val="00520A89"/>
    <w:rsid w:val="0052178E"/>
    <w:rsid w:val="00531D05"/>
    <w:rsid w:val="005376A7"/>
    <w:rsid w:val="00540704"/>
    <w:rsid w:val="005417FF"/>
    <w:rsid w:val="00542338"/>
    <w:rsid w:val="005446D5"/>
    <w:rsid w:val="005465C2"/>
    <w:rsid w:val="00550CEE"/>
    <w:rsid w:val="00553896"/>
    <w:rsid w:val="00553F87"/>
    <w:rsid w:val="00554D4E"/>
    <w:rsid w:val="00560715"/>
    <w:rsid w:val="00561710"/>
    <w:rsid w:val="00561DB0"/>
    <w:rsid w:val="00562779"/>
    <w:rsid w:val="00563496"/>
    <w:rsid w:val="0056623A"/>
    <w:rsid w:val="0057078F"/>
    <w:rsid w:val="00571B65"/>
    <w:rsid w:val="005757BB"/>
    <w:rsid w:val="00580741"/>
    <w:rsid w:val="005824A3"/>
    <w:rsid w:val="00583EA7"/>
    <w:rsid w:val="00584AF2"/>
    <w:rsid w:val="00584B30"/>
    <w:rsid w:val="0059060F"/>
    <w:rsid w:val="0059109F"/>
    <w:rsid w:val="0059122D"/>
    <w:rsid w:val="00592739"/>
    <w:rsid w:val="00594E60"/>
    <w:rsid w:val="00595A27"/>
    <w:rsid w:val="005A39C0"/>
    <w:rsid w:val="005A4EAC"/>
    <w:rsid w:val="005A70B7"/>
    <w:rsid w:val="005A737E"/>
    <w:rsid w:val="005A7832"/>
    <w:rsid w:val="005A78ED"/>
    <w:rsid w:val="005A7FAE"/>
    <w:rsid w:val="005B0298"/>
    <w:rsid w:val="005B1568"/>
    <w:rsid w:val="005B51C7"/>
    <w:rsid w:val="005B54CF"/>
    <w:rsid w:val="005B71B1"/>
    <w:rsid w:val="005C5229"/>
    <w:rsid w:val="005C5A77"/>
    <w:rsid w:val="005D64C2"/>
    <w:rsid w:val="005E2002"/>
    <w:rsid w:val="005E2062"/>
    <w:rsid w:val="005E3646"/>
    <w:rsid w:val="005E7E1C"/>
    <w:rsid w:val="005F20DB"/>
    <w:rsid w:val="005F414A"/>
    <w:rsid w:val="005F5E82"/>
    <w:rsid w:val="00600B88"/>
    <w:rsid w:val="006017DA"/>
    <w:rsid w:val="00602B54"/>
    <w:rsid w:val="00604842"/>
    <w:rsid w:val="00604A9C"/>
    <w:rsid w:val="00605ED8"/>
    <w:rsid w:val="00611838"/>
    <w:rsid w:val="006135E9"/>
    <w:rsid w:val="006156A2"/>
    <w:rsid w:val="00615CCC"/>
    <w:rsid w:val="00636ADA"/>
    <w:rsid w:val="00640513"/>
    <w:rsid w:val="00642DD1"/>
    <w:rsid w:val="00646D84"/>
    <w:rsid w:val="0065406E"/>
    <w:rsid w:val="00656EF4"/>
    <w:rsid w:val="006612A7"/>
    <w:rsid w:val="00662A3E"/>
    <w:rsid w:val="00664F7B"/>
    <w:rsid w:val="00666BED"/>
    <w:rsid w:val="0067128F"/>
    <w:rsid w:val="006723A0"/>
    <w:rsid w:val="00683754"/>
    <w:rsid w:val="00683BD9"/>
    <w:rsid w:val="0068688B"/>
    <w:rsid w:val="00687346"/>
    <w:rsid w:val="006941A8"/>
    <w:rsid w:val="00696978"/>
    <w:rsid w:val="006976E9"/>
    <w:rsid w:val="006A51B3"/>
    <w:rsid w:val="006A6BC9"/>
    <w:rsid w:val="006B1E90"/>
    <w:rsid w:val="006B4716"/>
    <w:rsid w:val="006C14AD"/>
    <w:rsid w:val="006C408E"/>
    <w:rsid w:val="006D2AA9"/>
    <w:rsid w:val="006D4701"/>
    <w:rsid w:val="006E1DE4"/>
    <w:rsid w:val="006E55C7"/>
    <w:rsid w:val="006E56E0"/>
    <w:rsid w:val="006E5837"/>
    <w:rsid w:val="006F0383"/>
    <w:rsid w:val="006F047C"/>
    <w:rsid w:val="006F2FF3"/>
    <w:rsid w:val="006F3382"/>
    <w:rsid w:val="006F51B2"/>
    <w:rsid w:val="006F5FE2"/>
    <w:rsid w:val="006F7641"/>
    <w:rsid w:val="006F7AD2"/>
    <w:rsid w:val="00712B22"/>
    <w:rsid w:val="007170BC"/>
    <w:rsid w:val="00720D73"/>
    <w:rsid w:val="0072180A"/>
    <w:rsid w:val="007264E4"/>
    <w:rsid w:val="00740103"/>
    <w:rsid w:val="00740681"/>
    <w:rsid w:val="0074280E"/>
    <w:rsid w:val="00745F82"/>
    <w:rsid w:val="007464A2"/>
    <w:rsid w:val="00746C86"/>
    <w:rsid w:val="00753398"/>
    <w:rsid w:val="0075410E"/>
    <w:rsid w:val="007549F2"/>
    <w:rsid w:val="00755E24"/>
    <w:rsid w:val="00756D3D"/>
    <w:rsid w:val="0075767F"/>
    <w:rsid w:val="00760AC1"/>
    <w:rsid w:val="0076225A"/>
    <w:rsid w:val="00763ED2"/>
    <w:rsid w:val="0076566F"/>
    <w:rsid w:val="00766970"/>
    <w:rsid w:val="00767361"/>
    <w:rsid w:val="007718F2"/>
    <w:rsid w:val="007720EF"/>
    <w:rsid w:val="00776280"/>
    <w:rsid w:val="00777CEF"/>
    <w:rsid w:val="00780003"/>
    <w:rsid w:val="0079233D"/>
    <w:rsid w:val="0079416A"/>
    <w:rsid w:val="00794E2B"/>
    <w:rsid w:val="0079779A"/>
    <w:rsid w:val="007A19B7"/>
    <w:rsid w:val="007A1DD3"/>
    <w:rsid w:val="007A3A90"/>
    <w:rsid w:val="007A7725"/>
    <w:rsid w:val="007B247C"/>
    <w:rsid w:val="007B2E71"/>
    <w:rsid w:val="007B34A7"/>
    <w:rsid w:val="007B5499"/>
    <w:rsid w:val="007C04E6"/>
    <w:rsid w:val="007C50CF"/>
    <w:rsid w:val="007E480D"/>
    <w:rsid w:val="007F5F40"/>
    <w:rsid w:val="007F7E6B"/>
    <w:rsid w:val="0080019E"/>
    <w:rsid w:val="00803C9F"/>
    <w:rsid w:val="008126CF"/>
    <w:rsid w:val="00812D96"/>
    <w:rsid w:val="008157B3"/>
    <w:rsid w:val="00817E5D"/>
    <w:rsid w:val="00820AAD"/>
    <w:rsid w:val="008212BE"/>
    <w:rsid w:val="008213FA"/>
    <w:rsid w:val="00823B56"/>
    <w:rsid w:val="00823F84"/>
    <w:rsid w:val="00825B27"/>
    <w:rsid w:val="0083360F"/>
    <w:rsid w:val="00834C2F"/>
    <w:rsid w:val="00836CF9"/>
    <w:rsid w:val="00842ECC"/>
    <w:rsid w:val="00846867"/>
    <w:rsid w:val="008513B2"/>
    <w:rsid w:val="00854651"/>
    <w:rsid w:val="00855683"/>
    <w:rsid w:val="00860327"/>
    <w:rsid w:val="008605F1"/>
    <w:rsid w:val="008623CD"/>
    <w:rsid w:val="00862C38"/>
    <w:rsid w:val="00865179"/>
    <w:rsid w:val="0086798B"/>
    <w:rsid w:val="00875A96"/>
    <w:rsid w:val="00876FF5"/>
    <w:rsid w:val="0088333D"/>
    <w:rsid w:val="00883B23"/>
    <w:rsid w:val="008846C9"/>
    <w:rsid w:val="00884EDE"/>
    <w:rsid w:val="008851A6"/>
    <w:rsid w:val="0088711A"/>
    <w:rsid w:val="0089320E"/>
    <w:rsid w:val="00893D25"/>
    <w:rsid w:val="00894F1F"/>
    <w:rsid w:val="00897A5F"/>
    <w:rsid w:val="008A3733"/>
    <w:rsid w:val="008B3F94"/>
    <w:rsid w:val="008C09E0"/>
    <w:rsid w:val="008C0CF7"/>
    <w:rsid w:val="008C2BB2"/>
    <w:rsid w:val="008C2C57"/>
    <w:rsid w:val="008C7F45"/>
    <w:rsid w:val="008D0385"/>
    <w:rsid w:val="008D0F22"/>
    <w:rsid w:val="008D18BF"/>
    <w:rsid w:val="008D69AF"/>
    <w:rsid w:val="008E2AA3"/>
    <w:rsid w:val="008E3D8E"/>
    <w:rsid w:val="008E6796"/>
    <w:rsid w:val="008F003B"/>
    <w:rsid w:val="008F70A9"/>
    <w:rsid w:val="008F7ACA"/>
    <w:rsid w:val="00907A5F"/>
    <w:rsid w:val="00916524"/>
    <w:rsid w:val="00923D33"/>
    <w:rsid w:val="00925430"/>
    <w:rsid w:val="00925B2A"/>
    <w:rsid w:val="00927001"/>
    <w:rsid w:val="0093094A"/>
    <w:rsid w:val="009424D7"/>
    <w:rsid w:val="00943F58"/>
    <w:rsid w:val="00946A91"/>
    <w:rsid w:val="0095199C"/>
    <w:rsid w:val="00952E49"/>
    <w:rsid w:val="00954E8F"/>
    <w:rsid w:val="00955679"/>
    <w:rsid w:val="00964A0B"/>
    <w:rsid w:val="00966A5F"/>
    <w:rsid w:val="00974528"/>
    <w:rsid w:val="009747DC"/>
    <w:rsid w:val="00976632"/>
    <w:rsid w:val="00980B0C"/>
    <w:rsid w:val="0098260C"/>
    <w:rsid w:val="00983B97"/>
    <w:rsid w:val="00985A27"/>
    <w:rsid w:val="00985D6A"/>
    <w:rsid w:val="009A2908"/>
    <w:rsid w:val="009A40BE"/>
    <w:rsid w:val="009A4616"/>
    <w:rsid w:val="009A6DEB"/>
    <w:rsid w:val="009A75F5"/>
    <w:rsid w:val="009B061B"/>
    <w:rsid w:val="009B3450"/>
    <w:rsid w:val="009B4758"/>
    <w:rsid w:val="009B52E7"/>
    <w:rsid w:val="009B6165"/>
    <w:rsid w:val="009B6EDF"/>
    <w:rsid w:val="009C06AF"/>
    <w:rsid w:val="009C6232"/>
    <w:rsid w:val="009D16AB"/>
    <w:rsid w:val="009D2095"/>
    <w:rsid w:val="009E0C95"/>
    <w:rsid w:val="009E46E3"/>
    <w:rsid w:val="009F29A4"/>
    <w:rsid w:val="009F2B8B"/>
    <w:rsid w:val="009F7447"/>
    <w:rsid w:val="00A00606"/>
    <w:rsid w:val="00A1656B"/>
    <w:rsid w:val="00A23CFA"/>
    <w:rsid w:val="00A31A93"/>
    <w:rsid w:val="00A41CF2"/>
    <w:rsid w:val="00A45535"/>
    <w:rsid w:val="00A45C3B"/>
    <w:rsid w:val="00A46AF9"/>
    <w:rsid w:val="00A46D01"/>
    <w:rsid w:val="00A50FF7"/>
    <w:rsid w:val="00A53C0F"/>
    <w:rsid w:val="00A54A7F"/>
    <w:rsid w:val="00A570D1"/>
    <w:rsid w:val="00A57C44"/>
    <w:rsid w:val="00A57F25"/>
    <w:rsid w:val="00A57FE3"/>
    <w:rsid w:val="00A63A14"/>
    <w:rsid w:val="00A649B9"/>
    <w:rsid w:val="00A65B0D"/>
    <w:rsid w:val="00A662AF"/>
    <w:rsid w:val="00A7415F"/>
    <w:rsid w:val="00A7763E"/>
    <w:rsid w:val="00A82EA8"/>
    <w:rsid w:val="00A841E7"/>
    <w:rsid w:val="00A84814"/>
    <w:rsid w:val="00A868E3"/>
    <w:rsid w:val="00A90F00"/>
    <w:rsid w:val="00A915C0"/>
    <w:rsid w:val="00A924D0"/>
    <w:rsid w:val="00A92C53"/>
    <w:rsid w:val="00A9346E"/>
    <w:rsid w:val="00AA0F00"/>
    <w:rsid w:val="00AA2144"/>
    <w:rsid w:val="00AA51D6"/>
    <w:rsid w:val="00AA6424"/>
    <w:rsid w:val="00AB2FC5"/>
    <w:rsid w:val="00AB4D39"/>
    <w:rsid w:val="00AC0389"/>
    <w:rsid w:val="00AC0DBC"/>
    <w:rsid w:val="00AC1055"/>
    <w:rsid w:val="00AC1F31"/>
    <w:rsid w:val="00AC55D8"/>
    <w:rsid w:val="00AC5DB9"/>
    <w:rsid w:val="00AC7AC9"/>
    <w:rsid w:val="00AC7EB6"/>
    <w:rsid w:val="00AD010D"/>
    <w:rsid w:val="00AD1578"/>
    <w:rsid w:val="00AD2DDE"/>
    <w:rsid w:val="00AD5314"/>
    <w:rsid w:val="00AD7619"/>
    <w:rsid w:val="00AE2F5F"/>
    <w:rsid w:val="00AE4263"/>
    <w:rsid w:val="00AF0D26"/>
    <w:rsid w:val="00AF1D5C"/>
    <w:rsid w:val="00AF5DF3"/>
    <w:rsid w:val="00B0476C"/>
    <w:rsid w:val="00B05CA9"/>
    <w:rsid w:val="00B0615A"/>
    <w:rsid w:val="00B0652E"/>
    <w:rsid w:val="00B15F2B"/>
    <w:rsid w:val="00B20A28"/>
    <w:rsid w:val="00B251A0"/>
    <w:rsid w:val="00B265E5"/>
    <w:rsid w:val="00B26FD9"/>
    <w:rsid w:val="00B3143E"/>
    <w:rsid w:val="00B34059"/>
    <w:rsid w:val="00B34731"/>
    <w:rsid w:val="00B3738C"/>
    <w:rsid w:val="00B40E7A"/>
    <w:rsid w:val="00B4285D"/>
    <w:rsid w:val="00B43C20"/>
    <w:rsid w:val="00B55738"/>
    <w:rsid w:val="00B56E76"/>
    <w:rsid w:val="00B5766E"/>
    <w:rsid w:val="00B664E4"/>
    <w:rsid w:val="00B669FD"/>
    <w:rsid w:val="00B674E4"/>
    <w:rsid w:val="00B675BD"/>
    <w:rsid w:val="00B71BD5"/>
    <w:rsid w:val="00B763D7"/>
    <w:rsid w:val="00B81692"/>
    <w:rsid w:val="00B82C4C"/>
    <w:rsid w:val="00B874AB"/>
    <w:rsid w:val="00B87CC3"/>
    <w:rsid w:val="00B902C2"/>
    <w:rsid w:val="00BB2777"/>
    <w:rsid w:val="00BC1E4A"/>
    <w:rsid w:val="00BC5A4F"/>
    <w:rsid w:val="00BC5CDD"/>
    <w:rsid w:val="00BC7639"/>
    <w:rsid w:val="00BD0C6D"/>
    <w:rsid w:val="00BD3E1C"/>
    <w:rsid w:val="00BD418C"/>
    <w:rsid w:val="00BE18F9"/>
    <w:rsid w:val="00BE2FD0"/>
    <w:rsid w:val="00BE3E90"/>
    <w:rsid w:val="00BE4D67"/>
    <w:rsid w:val="00BE58C0"/>
    <w:rsid w:val="00BE7CCC"/>
    <w:rsid w:val="00BF281B"/>
    <w:rsid w:val="00BF30A4"/>
    <w:rsid w:val="00BF608B"/>
    <w:rsid w:val="00BF6B14"/>
    <w:rsid w:val="00BF7955"/>
    <w:rsid w:val="00C00BF3"/>
    <w:rsid w:val="00C01FFD"/>
    <w:rsid w:val="00C135E4"/>
    <w:rsid w:val="00C14FB0"/>
    <w:rsid w:val="00C15A83"/>
    <w:rsid w:val="00C1629B"/>
    <w:rsid w:val="00C1724C"/>
    <w:rsid w:val="00C220E2"/>
    <w:rsid w:val="00C22D8B"/>
    <w:rsid w:val="00C344E0"/>
    <w:rsid w:val="00C426A5"/>
    <w:rsid w:val="00C43685"/>
    <w:rsid w:val="00C43DA4"/>
    <w:rsid w:val="00C449F0"/>
    <w:rsid w:val="00C51098"/>
    <w:rsid w:val="00C5455D"/>
    <w:rsid w:val="00C6185A"/>
    <w:rsid w:val="00C623C0"/>
    <w:rsid w:val="00C659E7"/>
    <w:rsid w:val="00C72260"/>
    <w:rsid w:val="00C72C04"/>
    <w:rsid w:val="00C7406F"/>
    <w:rsid w:val="00C802C2"/>
    <w:rsid w:val="00C81A91"/>
    <w:rsid w:val="00C8310E"/>
    <w:rsid w:val="00C8417C"/>
    <w:rsid w:val="00C87C62"/>
    <w:rsid w:val="00C9351A"/>
    <w:rsid w:val="00C9692E"/>
    <w:rsid w:val="00C9735B"/>
    <w:rsid w:val="00CA1D2D"/>
    <w:rsid w:val="00CA39C8"/>
    <w:rsid w:val="00CA4895"/>
    <w:rsid w:val="00CA7F07"/>
    <w:rsid w:val="00CB4515"/>
    <w:rsid w:val="00CB5453"/>
    <w:rsid w:val="00CC0B21"/>
    <w:rsid w:val="00CC3135"/>
    <w:rsid w:val="00CC6443"/>
    <w:rsid w:val="00CC6B90"/>
    <w:rsid w:val="00CC758D"/>
    <w:rsid w:val="00CD1313"/>
    <w:rsid w:val="00CD301E"/>
    <w:rsid w:val="00CE1262"/>
    <w:rsid w:val="00CE13A1"/>
    <w:rsid w:val="00CE2254"/>
    <w:rsid w:val="00CE24FA"/>
    <w:rsid w:val="00CE528D"/>
    <w:rsid w:val="00CE7909"/>
    <w:rsid w:val="00CF24D4"/>
    <w:rsid w:val="00CF3266"/>
    <w:rsid w:val="00CF33FD"/>
    <w:rsid w:val="00CF3970"/>
    <w:rsid w:val="00CF478D"/>
    <w:rsid w:val="00CF576A"/>
    <w:rsid w:val="00CF5AF1"/>
    <w:rsid w:val="00CF615B"/>
    <w:rsid w:val="00D03432"/>
    <w:rsid w:val="00D03885"/>
    <w:rsid w:val="00D04135"/>
    <w:rsid w:val="00D04903"/>
    <w:rsid w:val="00D05B3F"/>
    <w:rsid w:val="00D1080C"/>
    <w:rsid w:val="00D11394"/>
    <w:rsid w:val="00D11B62"/>
    <w:rsid w:val="00D13B6E"/>
    <w:rsid w:val="00D16BE5"/>
    <w:rsid w:val="00D175D1"/>
    <w:rsid w:val="00D247B8"/>
    <w:rsid w:val="00D279D2"/>
    <w:rsid w:val="00D30FA7"/>
    <w:rsid w:val="00D314F4"/>
    <w:rsid w:val="00D32708"/>
    <w:rsid w:val="00D33F4D"/>
    <w:rsid w:val="00D340F4"/>
    <w:rsid w:val="00D370F0"/>
    <w:rsid w:val="00D41CD1"/>
    <w:rsid w:val="00D42471"/>
    <w:rsid w:val="00D534D9"/>
    <w:rsid w:val="00D553F8"/>
    <w:rsid w:val="00D566B5"/>
    <w:rsid w:val="00D60D54"/>
    <w:rsid w:val="00D65F30"/>
    <w:rsid w:val="00D663AD"/>
    <w:rsid w:val="00D66E9F"/>
    <w:rsid w:val="00D7125F"/>
    <w:rsid w:val="00D7404F"/>
    <w:rsid w:val="00D74F64"/>
    <w:rsid w:val="00D75C19"/>
    <w:rsid w:val="00D907A0"/>
    <w:rsid w:val="00D918F4"/>
    <w:rsid w:val="00D930A1"/>
    <w:rsid w:val="00D943A6"/>
    <w:rsid w:val="00D9472A"/>
    <w:rsid w:val="00DA5010"/>
    <w:rsid w:val="00DA66B5"/>
    <w:rsid w:val="00DB0F6F"/>
    <w:rsid w:val="00DB1411"/>
    <w:rsid w:val="00DB2DDC"/>
    <w:rsid w:val="00DB486D"/>
    <w:rsid w:val="00DC19C5"/>
    <w:rsid w:val="00DC64EC"/>
    <w:rsid w:val="00DC6FF2"/>
    <w:rsid w:val="00DD2BE7"/>
    <w:rsid w:val="00DD3DB0"/>
    <w:rsid w:val="00DD4B02"/>
    <w:rsid w:val="00DE46FF"/>
    <w:rsid w:val="00DE5426"/>
    <w:rsid w:val="00DE5A4D"/>
    <w:rsid w:val="00DE663B"/>
    <w:rsid w:val="00DE7DD0"/>
    <w:rsid w:val="00DF0DA6"/>
    <w:rsid w:val="00DF30A5"/>
    <w:rsid w:val="00DF4DE9"/>
    <w:rsid w:val="00DF7689"/>
    <w:rsid w:val="00E022B4"/>
    <w:rsid w:val="00E02B3C"/>
    <w:rsid w:val="00E02E8B"/>
    <w:rsid w:val="00E03D3A"/>
    <w:rsid w:val="00E04014"/>
    <w:rsid w:val="00E06970"/>
    <w:rsid w:val="00E1051B"/>
    <w:rsid w:val="00E12365"/>
    <w:rsid w:val="00E14AFD"/>
    <w:rsid w:val="00E176BE"/>
    <w:rsid w:val="00E21619"/>
    <w:rsid w:val="00E27B52"/>
    <w:rsid w:val="00E3042E"/>
    <w:rsid w:val="00E32B6B"/>
    <w:rsid w:val="00E33FE9"/>
    <w:rsid w:val="00E36436"/>
    <w:rsid w:val="00E3698C"/>
    <w:rsid w:val="00E41767"/>
    <w:rsid w:val="00E458BB"/>
    <w:rsid w:val="00E51AD2"/>
    <w:rsid w:val="00E533DE"/>
    <w:rsid w:val="00E5576B"/>
    <w:rsid w:val="00E56F77"/>
    <w:rsid w:val="00E60B74"/>
    <w:rsid w:val="00E63FBF"/>
    <w:rsid w:val="00E65CC6"/>
    <w:rsid w:val="00E71FF3"/>
    <w:rsid w:val="00E72B17"/>
    <w:rsid w:val="00E73259"/>
    <w:rsid w:val="00E74AAB"/>
    <w:rsid w:val="00E77C73"/>
    <w:rsid w:val="00E77C77"/>
    <w:rsid w:val="00E80808"/>
    <w:rsid w:val="00E80C98"/>
    <w:rsid w:val="00E85A1D"/>
    <w:rsid w:val="00E90FC3"/>
    <w:rsid w:val="00E9190B"/>
    <w:rsid w:val="00E9206C"/>
    <w:rsid w:val="00E921A8"/>
    <w:rsid w:val="00E93DFC"/>
    <w:rsid w:val="00E94C9D"/>
    <w:rsid w:val="00E96AFA"/>
    <w:rsid w:val="00E97FE1"/>
    <w:rsid w:val="00EA18B9"/>
    <w:rsid w:val="00EA2380"/>
    <w:rsid w:val="00EA2C52"/>
    <w:rsid w:val="00EB401E"/>
    <w:rsid w:val="00EB54C4"/>
    <w:rsid w:val="00EB7DB4"/>
    <w:rsid w:val="00EC0CD4"/>
    <w:rsid w:val="00EC3FD6"/>
    <w:rsid w:val="00EC4EF1"/>
    <w:rsid w:val="00EC6E17"/>
    <w:rsid w:val="00ED785E"/>
    <w:rsid w:val="00EE54F8"/>
    <w:rsid w:val="00EE576F"/>
    <w:rsid w:val="00EE6ED3"/>
    <w:rsid w:val="00EF1CD4"/>
    <w:rsid w:val="00EF3899"/>
    <w:rsid w:val="00EF5B4C"/>
    <w:rsid w:val="00F01DFE"/>
    <w:rsid w:val="00F243CB"/>
    <w:rsid w:val="00F261DA"/>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7734C"/>
    <w:rsid w:val="00F81430"/>
    <w:rsid w:val="00F82DA5"/>
    <w:rsid w:val="00F84F53"/>
    <w:rsid w:val="00F856EC"/>
    <w:rsid w:val="00F91602"/>
    <w:rsid w:val="00F93BAD"/>
    <w:rsid w:val="00F941C5"/>
    <w:rsid w:val="00F959B0"/>
    <w:rsid w:val="00F96B8E"/>
    <w:rsid w:val="00FA1DEE"/>
    <w:rsid w:val="00FA7D73"/>
    <w:rsid w:val="00FB2365"/>
    <w:rsid w:val="00FB2F33"/>
    <w:rsid w:val="00FC47A5"/>
    <w:rsid w:val="00FC5530"/>
    <w:rsid w:val="00FC59F1"/>
    <w:rsid w:val="00FD0591"/>
    <w:rsid w:val="00FE03E4"/>
    <w:rsid w:val="00FE79BD"/>
    <w:rsid w:val="00FF5550"/>
    <w:rsid w:val="00FF593B"/>
    <w:rsid w:val="00FF75A4"/>
    <w:rsid w:val="00FF78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7FAFE-169A-4BD4-AB5A-B421F08B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255928">
      <w:bodyDiv w:val="1"/>
      <w:marLeft w:val="0"/>
      <w:marRight w:val="0"/>
      <w:marTop w:val="0"/>
      <w:marBottom w:val="0"/>
      <w:divBdr>
        <w:top w:val="none" w:sz="0" w:space="0" w:color="auto"/>
        <w:left w:val="none" w:sz="0" w:space="0" w:color="auto"/>
        <w:bottom w:val="none" w:sz="0" w:space="0" w:color="auto"/>
        <w:right w:val="none" w:sz="0" w:space="0" w:color="auto"/>
      </w:divBdr>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ECD44-279A-4341-BE64-F3499DE1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10</Pages>
  <Words>3129</Words>
  <Characters>17212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Piedrahita</cp:lastModifiedBy>
  <cp:revision>6</cp:revision>
  <cp:lastPrinted>2016-08-19T20:27:00Z</cp:lastPrinted>
  <dcterms:created xsi:type="dcterms:W3CDTF">2016-08-18T20:10:00Z</dcterms:created>
  <dcterms:modified xsi:type="dcterms:W3CDTF">2016-08-19T20:28:00Z</dcterms:modified>
</cp:coreProperties>
</file>