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r>
      <w:r w:rsidR="00D00875">
        <w:rPr>
          <w:rFonts w:ascii="Arial Narrow" w:hAnsi="Arial Narrow" w:cs="Arial"/>
          <w:i/>
          <w:sz w:val="20"/>
        </w:rPr>
        <w:t>Auto</w:t>
      </w:r>
      <w:r w:rsidRPr="00C5292A">
        <w:rPr>
          <w:rFonts w:ascii="Arial Narrow" w:hAnsi="Arial Narrow" w:cs="Arial"/>
          <w:i/>
          <w:sz w:val="20"/>
        </w:rPr>
        <w:t xml:space="preserve"> de Segunda Instancia, </w:t>
      </w:r>
      <w:r w:rsidR="000E4F31">
        <w:rPr>
          <w:rFonts w:ascii="Arial Narrow" w:hAnsi="Arial Narrow" w:cs="Arial"/>
          <w:i/>
          <w:sz w:val="20"/>
        </w:rPr>
        <w:t>Jueves</w:t>
      </w:r>
      <w:r w:rsidR="00241CF7">
        <w:rPr>
          <w:rFonts w:ascii="Arial Narrow" w:hAnsi="Arial Narrow" w:cs="Arial"/>
          <w:i/>
          <w:sz w:val="20"/>
        </w:rPr>
        <w:t xml:space="preserve"> </w:t>
      </w:r>
      <w:r w:rsidR="002676D3">
        <w:rPr>
          <w:rFonts w:ascii="Arial Narrow" w:hAnsi="Arial Narrow" w:cs="Arial"/>
          <w:i/>
          <w:sz w:val="20"/>
        </w:rPr>
        <w:t>08</w:t>
      </w:r>
      <w:r w:rsidR="00FF75A4">
        <w:rPr>
          <w:rFonts w:ascii="Arial Narrow" w:hAnsi="Arial Narrow" w:cs="Arial"/>
          <w:i/>
          <w:sz w:val="20"/>
        </w:rPr>
        <w:t xml:space="preserve"> de </w:t>
      </w:r>
      <w:r w:rsidR="002676D3">
        <w:rPr>
          <w:rFonts w:ascii="Arial Narrow" w:hAnsi="Arial Narrow" w:cs="Arial"/>
          <w:i/>
          <w:sz w:val="20"/>
        </w:rPr>
        <w:t>septiembre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Pr="002676D3" w:rsidRDefault="00181D67" w:rsidP="00181D67">
      <w:pPr>
        <w:jc w:val="both"/>
        <w:rPr>
          <w:rFonts w:ascii="Arial Narrow" w:hAnsi="Arial Narrow" w:cs="Arial"/>
          <w:bCs/>
          <w:i/>
          <w:sz w:val="20"/>
          <w:lang w:val="es-CO"/>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594C12">
        <w:rPr>
          <w:rFonts w:ascii="Arial Narrow" w:hAnsi="Arial Narrow" w:cs="Arial"/>
          <w:bCs/>
          <w:i/>
          <w:sz w:val="20"/>
        </w:rPr>
        <w:t>001</w:t>
      </w:r>
      <w:r w:rsidRPr="00C5292A">
        <w:rPr>
          <w:rFonts w:ascii="Arial Narrow" w:hAnsi="Arial Narrow" w:cs="Arial"/>
          <w:bCs/>
          <w:i/>
          <w:sz w:val="20"/>
        </w:rPr>
        <w:t>-31-</w:t>
      </w:r>
      <w:r w:rsidR="00594C12">
        <w:rPr>
          <w:rFonts w:ascii="Arial Narrow" w:hAnsi="Arial Narrow" w:cs="Arial"/>
          <w:bCs/>
          <w:i/>
          <w:sz w:val="20"/>
        </w:rPr>
        <w:t>05</w:t>
      </w:r>
      <w:r w:rsidRPr="00C5292A">
        <w:rPr>
          <w:rFonts w:ascii="Arial Narrow" w:hAnsi="Arial Narrow" w:cs="Arial"/>
          <w:bCs/>
          <w:i/>
          <w:sz w:val="20"/>
        </w:rPr>
        <w:t>-00</w:t>
      </w:r>
      <w:r w:rsidR="0059109F">
        <w:rPr>
          <w:rFonts w:ascii="Arial Narrow" w:hAnsi="Arial Narrow" w:cs="Arial"/>
          <w:bCs/>
          <w:i/>
          <w:sz w:val="20"/>
        </w:rPr>
        <w:t>1</w:t>
      </w:r>
      <w:r w:rsidR="00482D15">
        <w:rPr>
          <w:rFonts w:ascii="Arial Narrow" w:hAnsi="Arial Narrow" w:cs="Arial"/>
          <w:bCs/>
          <w:i/>
          <w:sz w:val="20"/>
        </w:rPr>
        <w:t>-20</w:t>
      </w:r>
      <w:r w:rsidR="002676D3">
        <w:rPr>
          <w:rFonts w:ascii="Arial Narrow" w:hAnsi="Arial Narrow" w:cs="Arial"/>
          <w:bCs/>
          <w:i/>
          <w:sz w:val="20"/>
        </w:rPr>
        <w:t>07</w:t>
      </w:r>
      <w:r w:rsidR="00482D15">
        <w:rPr>
          <w:rFonts w:ascii="Arial Narrow" w:hAnsi="Arial Narrow" w:cs="Arial"/>
          <w:bCs/>
          <w:i/>
          <w:sz w:val="20"/>
        </w:rPr>
        <w:t>-00</w:t>
      </w:r>
      <w:r w:rsidR="002676D3">
        <w:rPr>
          <w:rFonts w:ascii="Arial Narrow" w:hAnsi="Arial Narrow" w:cs="Arial"/>
          <w:bCs/>
          <w:i/>
          <w:sz w:val="20"/>
        </w:rPr>
        <w:t>578</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2676D3">
        <w:rPr>
          <w:rFonts w:ascii="Arial Narrow" w:hAnsi="Arial Narrow" w:cs="Arial"/>
          <w:i/>
          <w:iCs/>
          <w:sz w:val="20"/>
        </w:rPr>
        <w:t>Noel de Jesús Rodas Cifuentes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2676D3">
        <w:rPr>
          <w:rFonts w:ascii="Arial Narrow" w:hAnsi="Arial Narrow" w:cs="Arial"/>
          <w:bCs/>
          <w:i/>
          <w:sz w:val="20"/>
        </w:rPr>
        <w:t>Cajanal</w:t>
      </w:r>
      <w:proofErr w:type="spellEnd"/>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CC71CD">
        <w:rPr>
          <w:rFonts w:ascii="Arial Narrow" w:hAnsi="Arial Narrow" w:cs="Arial"/>
          <w:i/>
          <w:sz w:val="20"/>
        </w:rPr>
        <w:t>Primero Laboral del Circuito de Pereira</w:t>
      </w:r>
    </w:p>
    <w:p w:rsidR="00181D67" w:rsidRDefault="00181D67" w:rsidP="00181D67">
      <w:pPr>
        <w:jc w:val="both"/>
        <w:rPr>
          <w:rFonts w:ascii="Arial Narrow" w:hAnsi="Arial Narrow" w:cs="Arial"/>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CC71CD" w:rsidRDefault="00CC71CD" w:rsidP="004A3A0B">
      <w:pPr>
        <w:ind w:left="2124" w:hanging="2124"/>
        <w:jc w:val="both"/>
        <w:rPr>
          <w:rFonts w:ascii="Arial Narrow" w:hAnsi="Arial Narrow" w:cs="Arial"/>
          <w:iCs/>
          <w:sz w:val="20"/>
        </w:rPr>
      </w:pPr>
      <w:r w:rsidRPr="004A3A0B">
        <w:rPr>
          <w:rFonts w:ascii="Arial Narrow" w:hAnsi="Arial Narrow" w:cs="Arial"/>
          <w:b/>
          <w:i/>
          <w:iCs/>
          <w:sz w:val="20"/>
        </w:rPr>
        <w:t>Tema:</w:t>
      </w:r>
      <w:r w:rsidRPr="004A3A0B">
        <w:rPr>
          <w:rFonts w:ascii="Arial Narrow" w:hAnsi="Arial Narrow" w:cs="Arial"/>
          <w:b/>
          <w:i/>
          <w:iCs/>
          <w:sz w:val="20"/>
        </w:rPr>
        <w:tab/>
      </w:r>
      <w:r w:rsidR="00863408">
        <w:rPr>
          <w:rFonts w:ascii="Arial Narrow" w:hAnsi="Arial Narrow" w:cs="Arial"/>
          <w:b/>
          <w:i/>
          <w:iCs/>
          <w:sz w:val="20"/>
        </w:rPr>
        <w:t xml:space="preserve">Grado Jurisdiccional de consulta. </w:t>
      </w:r>
      <w:r w:rsidR="00863408" w:rsidRPr="00863408">
        <w:rPr>
          <w:rFonts w:ascii="Arial Narrow" w:hAnsi="Arial Narrow" w:cs="Arial"/>
          <w:i/>
          <w:iCs/>
          <w:sz w:val="20"/>
        </w:rPr>
        <w:t>las providencias proferidas anteriormente al citado fallo</w:t>
      </w:r>
      <w:r w:rsidR="00863408">
        <w:rPr>
          <w:rFonts w:ascii="Arial Narrow" w:hAnsi="Arial Narrow" w:cs="Arial"/>
          <w:i/>
          <w:iCs/>
          <w:sz w:val="20"/>
        </w:rPr>
        <w:t xml:space="preserve"> -26 de noviembre de 2013-</w:t>
      </w:r>
      <w:r w:rsidR="00863408" w:rsidRPr="00863408">
        <w:rPr>
          <w:rFonts w:ascii="Arial Narrow" w:hAnsi="Arial Narrow" w:cs="Arial"/>
          <w:i/>
          <w:iCs/>
          <w:sz w:val="20"/>
        </w:rPr>
        <w:t>, sin duda que seguían una línea decantada extensamente y que constituía para las partes y para los mismos operadores judiciales un hito de seguridad jurídica y confianza legítima que era invariable y que determinaba que en los fallos proferidos contra estas entidades, el grado jurisdiccional de consulta era inviable, lo que implicaba que, las decisiones proferidas contra las mismas, que no fueran apeladas por sus representantes judiciales, adquirían ejecutoria y, por lo mismo, podían ser ejecutadas.</w:t>
      </w:r>
    </w:p>
    <w:p w:rsidR="00B96DA5" w:rsidRDefault="00B96DA5" w:rsidP="004A3A0B">
      <w:pPr>
        <w:ind w:left="2124" w:hanging="2124"/>
        <w:jc w:val="both"/>
        <w:rPr>
          <w:rFonts w:ascii="Arial Narrow" w:hAnsi="Arial Narrow" w:cs="Arial"/>
          <w:iCs/>
          <w:sz w:val="20"/>
        </w:rPr>
      </w:pPr>
    </w:p>
    <w:p w:rsidR="00B96DA5" w:rsidRPr="00B96DA5" w:rsidRDefault="00B96DA5" w:rsidP="00B96DA5">
      <w:pPr>
        <w:pStyle w:val="Sinespaciado"/>
        <w:jc w:val="both"/>
        <w:rPr>
          <w:rFonts w:ascii="Arial Narrow" w:hAnsi="Arial Narrow" w:cs="Arial"/>
          <w:iCs/>
          <w:sz w:val="20"/>
        </w:rPr>
      </w:pPr>
      <w:r w:rsidRPr="00B96DA5">
        <w:rPr>
          <w:rFonts w:ascii="Arial Narrow" w:hAnsi="Arial Narrow" w:cs="Arial"/>
          <w:b/>
          <w:iCs/>
          <w:sz w:val="20"/>
        </w:rPr>
        <w:t>Citación jurisprudencial:</w:t>
      </w:r>
      <w:r w:rsidRPr="00B96DA5">
        <w:rPr>
          <w:rFonts w:ascii="Arial Narrow" w:hAnsi="Arial Narrow" w:cs="Arial"/>
          <w:iCs/>
          <w:sz w:val="20"/>
        </w:rPr>
        <w:t xml:space="preserve"> </w:t>
      </w:r>
      <w:r w:rsidRPr="00B96DA5">
        <w:rPr>
          <w:rFonts w:ascii="Arial Narrow" w:hAnsi="Arial Narrow" w:cs="Arial"/>
          <w:iCs/>
          <w:sz w:val="20"/>
        </w:rPr>
        <w:t xml:space="preserve">Sentencias del 26 de octubre y 30 de noviembre de 2010, radicaciones 38389 y 40525, respectivamente, así como en el auto del 02 de mayo de 2012. Radicación 43.013 / </w:t>
      </w:r>
      <w:r>
        <w:rPr>
          <w:rFonts w:ascii="Arial Narrow" w:hAnsi="Arial Narrow" w:cs="Arial"/>
          <w:iCs/>
          <w:sz w:val="20"/>
        </w:rPr>
        <w:t>S</w:t>
      </w:r>
      <w:r w:rsidRPr="00B96DA5">
        <w:rPr>
          <w:rFonts w:ascii="Arial Narrow" w:hAnsi="Arial Narrow" w:cs="Arial"/>
          <w:iCs/>
          <w:sz w:val="20"/>
        </w:rPr>
        <w:t xml:space="preserve">entencia de tutela </w:t>
      </w:r>
      <w:proofErr w:type="spellStart"/>
      <w:r w:rsidRPr="00B96DA5">
        <w:rPr>
          <w:rFonts w:ascii="Arial Narrow" w:hAnsi="Arial Narrow" w:cs="Arial"/>
          <w:iCs/>
          <w:sz w:val="20"/>
        </w:rPr>
        <w:t>STL</w:t>
      </w:r>
      <w:proofErr w:type="spellEnd"/>
      <w:r w:rsidRPr="00B96DA5">
        <w:rPr>
          <w:rFonts w:ascii="Arial Narrow" w:hAnsi="Arial Narrow" w:cs="Arial"/>
          <w:iCs/>
          <w:sz w:val="20"/>
        </w:rPr>
        <w:t xml:space="preserve"> 4126-2013, Radicación n° 34552 del 26 de noviembre de 2013 / </w:t>
      </w:r>
      <w:bookmarkStart w:id="0" w:name="_GoBack"/>
      <w:bookmarkEnd w:id="0"/>
    </w:p>
    <w:p w:rsidR="00B96DA5" w:rsidRPr="00B96DA5" w:rsidRDefault="00B96DA5" w:rsidP="004A3A0B">
      <w:pPr>
        <w:ind w:left="2124" w:hanging="2124"/>
        <w:jc w:val="both"/>
        <w:rPr>
          <w:rFonts w:ascii="Arial Narrow" w:hAnsi="Arial Narrow" w:cs="Arial"/>
          <w:iCs/>
          <w:sz w:val="20"/>
        </w:rPr>
      </w:pPr>
    </w:p>
    <w:p w:rsidR="008E1628" w:rsidRDefault="008E1628" w:rsidP="00C01FFD">
      <w:pPr>
        <w:pStyle w:val="Sinespaciado"/>
        <w:ind w:left="2127"/>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594C12"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CC71CD">
        <w:rPr>
          <w:rFonts w:ascii="Arial Narrow" w:eastAsia="Calibri" w:hAnsi="Arial Narrow" w:cs="Arial"/>
          <w:sz w:val="28"/>
          <w:szCs w:val="28"/>
          <w:lang w:val="es-CO" w:eastAsia="en-US"/>
        </w:rPr>
        <w:t>ocho</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C71CD">
        <w:rPr>
          <w:rFonts w:ascii="Arial Narrow" w:eastAsia="Calibri" w:hAnsi="Arial Narrow" w:cs="Arial"/>
          <w:sz w:val="28"/>
          <w:szCs w:val="28"/>
          <w:lang w:val="es-CO" w:eastAsia="en-US"/>
        </w:rPr>
        <w:t>08</w:t>
      </w:r>
      <w:r w:rsidR="00181D67" w:rsidRPr="00D30FA7">
        <w:rPr>
          <w:rFonts w:ascii="Arial Narrow" w:eastAsia="Calibri" w:hAnsi="Arial Narrow" w:cs="Arial"/>
          <w:sz w:val="28"/>
          <w:szCs w:val="28"/>
          <w:lang w:val="es-CO" w:eastAsia="en-US"/>
        </w:rPr>
        <w:t>) del mes de</w:t>
      </w:r>
      <w:r w:rsidR="00FF75A4">
        <w:rPr>
          <w:rFonts w:ascii="Arial Narrow" w:eastAsia="Calibri" w:hAnsi="Arial Narrow" w:cs="Arial"/>
          <w:sz w:val="28"/>
          <w:szCs w:val="28"/>
          <w:lang w:val="es-CO" w:eastAsia="en-US"/>
        </w:rPr>
        <w:t xml:space="preserve"> </w:t>
      </w:r>
      <w:r w:rsidR="00CC71CD">
        <w:rPr>
          <w:rFonts w:ascii="Arial Narrow" w:eastAsia="Calibri" w:hAnsi="Arial Narrow" w:cs="Arial"/>
          <w:sz w:val="28"/>
          <w:szCs w:val="28"/>
          <w:lang w:val="es-CO" w:eastAsia="en-US"/>
        </w:rPr>
        <w:t>septiembre</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una</w:t>
      </w:r>
      <w:r w:rsidR="008E6796">
        <w:rPr>
          <w:rFonts w:ascii="Arial Narrow" w:eastAsia="Calibri" w:hAnsi="Arial Narrow" w:cs="Arial"/>
          <w:sz w:val="28"/>
          <w:szCs w:val="28"/>
          <w:lang w:val="es-CO" w:eastAsia="en-US"/>
        </w:rPr>
        <w:t xml:space="preserve"> y </w:t>
      </w:r>
      <w:r w:rsidR="0056623A">
        <w:rPr>
          <w:rFonts w:ascii="Arial Narrow" w:eastAsia="Calibri" w:hAnsi="Arial Narrow" w:cs="Arial"/>
          <w:sz w:val="28"/>
          <w:szCs w:val="28"/>
          <w:lang w:val="es-CO" w:eastAsia="en-US"/>
        </w:rPr>
        <w:t>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6623A">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01</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CC71CD">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CC71CD">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w:t>
      </w:r>
      <w:r w:rsidR="00D00875">
        <w:rPr>
          <w:rFonts w:ascii="Arial Narrow" w:hAnsi="Arial Narrow" w:cs="Tahoma"/>
          <w:bCs/>
          <w:color w:val="000000"/>
          <w:sz w:val="28"/>
          <w:szCs w:val="28"/>
          <w:lang w:eastAsia="es-CO"/>
        </w:rPr>
        <w:t>tenía</w:t>
      </w:r>
      <w:r w:rsidR="00181D67" w:rsidRPr="00D30FA7">
        <w:rPr>
          <w:rFonts w:ascii="Arial Narrow" w:hAnsi="Arial Narrow" w:cs="Tahoma"/>
          <w:bCs/>
          <w:color w:val="000000"/>
          <w:sz w:val="28"/>
          <w:szCs w:val="28"/>
          <w:lang w:eastAsia="es-CO"/>
        </w:rPr>
        <w:t xml:space="preserve"> por objeto </w:t>
      </w:r>
      <w:r w:rsidR="00D00875">
        <w:rPr>
          <w:rFonts w:ascii="Arial Narrow" w:hAnsi="Arial Narrow" w:cs="Tahoma"/>
          <w:bCs/>
          <w:color w:val="000000"/>
          <w:sz w:val="28"/>
          <w:szCs w:val="28"/>
          <w:lang w:eastAsia="es-CO"/>
        </w:rPr>
        <w:t xml:space="preserve">inicial </w:t>
      </w:r>
      <w:r w:rsidR="00181D67" w:rsidRPr="00D30FA7">
        <w:rPr>
          <w:rFonts w:ascii="Arial Narrow" w:hAnsi="Arial Narrow" w:cs="Tahoma"/>
          <w:bCs/>
          <w:color w:val="000000"/>
          <w:sz w:val="28"/>
          <w:szCs w:val="28"/>
          <w:lang w:eastAsia="es-CO"/>
        </w:rPr>
        <w:t xml:space="preserve">resolver </w:t>
      </w:r>
      <w:r w:rsidR="00594C12">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w:t>
      </w:r>
      <w:r w:rsidR="00CC71CD">
        <w:rPr>
          <w:rFonts w:ascii="Arial Narrow" w:hAnsi="Arial Narrow" w:cs="Tahoma"/>
          <w:bCs/>
          <w:color w:val="000000"/>
          <w:sz w:val="28"/>
          <w:szCs w:val="28"/>
          <w:lang w:eastAsia="es-CO"/>
        </w:rPr>
        <w:t xml:space="preserve">grado jurisdiccional de consulta </w:t>
      </w:r>
      <w:r w:rsidR="00594C12">
        <w:rPr>
          <w:rFonts w:ascii="Arial Narrow" w:hAnsi="Arial Narrow" w:cs="Tahoma"/>
          <w:bCs/>
          <w:color w:val="000000"/>
          <w:sz w:val="28"/>
          <w:szCs w:val="28"/>
          <w:lang w:eastAsia="es-CO"/>
        </w:rPr>
        <w:t xml:space="preserve">contra la sentencia </w:t>
      </w:r>
      <w:r w:rsidR="008E6796">
        <w:rPr>
          <w:rFonts w:ascii="Arial Narrow" w:hAnsi="Arial Narrow" w:cs="Tahoma"/>
          <w:bCs/>
          <w:color w:val="000000"/>
          <w:sz w:val="28"/>
          <w:szCs w:val="28"/>
          <w:lang w:eastAsia="es-CO"/>
        </w:rPr>
        <w:t xml:space="preserve">del </w:t>
      </w:r>
      <w:r w:rsidR="00847EDA">
        <w:rPr>
          <w:rFonts w:ascii="Arial Narrow" w:hAnsi="Arial Narrow" w:cs="Tahoma"/>
          <w:bCs/>
          <w:color w:val="000000"/>
          <w:sz w:val="28"/>
          <w:szCs w:val="28"/>
          <w:lang w:eastAsia="es-CO"/>
        </w:rPr>
        <w:t>13</w:t>
      </w:r>
      <w:r w:rsidR="008E6796">
        <w:rPr>
          <w:rFonts w:ascii="Arial Narrow" w:hAnsi="Arial Narrow" w:cs="Tahoma"/>
          <w:bCs/>
          <w:color w:val="000000"/>
          <w:sz w:val="28"/>
          <w:szCs w:val="28"/>
          <w:lang w:eastAsia="es-CO"/>
        </w:rPr>
        <w:t xml:space="preserve"> de </w:t>
      </w:r>
      <w:r w:rsidR="00847EDA">
        <w:rPr>
          <w:rFonts w:ascii="Arial Narrow" w:hAnsi="Arial Narrow" w:cs="Tahoma"/>
          <w:bCs/>
          <w:color w:val="000000"/>
          <w:sz w:val="28"/>
          <w:szCs w:val="28"/>
          <w:lang w:eastAsia="es-CO"/>
        </w:rPr>
        <w:t>febrero</w:t>
      </w:r>
      <w:r w:rsidR="008E6796">
        <w:rPr>
          <w:rFonts w:ascii="Arial Narrow" w:hAnsi="Arial Narrow" w:cs="Tahoma"/>
          <w:bCs/>
          <w:color w:val="000000"/>
          <w:sz w:val="28"/>
          <w:szCs w:val="28"/>
          <w:lang w:eastAsia="es-CO"/>
        </w:rPr>
        <w:t xml:space="preserve"> de 20</w:t>
      </w:r>
      <w:r w:rsidR="00847EDA">
        <w:rPr>
          <w:rFonts w:ascii="Arial Narrow" w:hAnsi="Arial Narrow" w:cs="Tahoma"/>
          <w:bCs/>
          <w:color w:val="000000"/>
          <w:sz w:val="28"/>
          <w:szCs w:val="28"/>
          <w:lang w:eastAsia="es-CO"/>
        </w:rPr>
        <w:t>09</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847EDA">
        <w:rPr>
          <w:rFonts w:ascii="Arial Narrow" w:hAnsi="Arial Narrow" w:cs="Tahoma"/>
          <w:bCs/>
          <w:color w:val="000000"/>
          <w:sz w:val="28"/>
          <w:szCs w:val="28"/>
          <w:lang w:eastAsia="es-CO"/>
        </w:rPr>
        <w:t>Primero</w:t>
      </w:r>
      <w:r w:rsidR="00594C12">
        <w:rPr>
          <w:rFonts w:ascii="Arial Narrow" w:hAnsi="Arial Narrow" w:cs="Tahoma"/>
          <w:bCs/>
          <w:color w:val="000000"/>
          <w:sz w:val="28"/>
          <w:szCs w:val="28"/>
          <w:lang w:eastAsia="es-CO"/>
        </w:rPr>
        <w:t xml:space="preserve"> Laboral del </w:t>
      </w:r>
      <w:r w:rsidR="000002A6">
        <w:rPr>
          <w:rFonts w:ascii="Arial Narrow" w:hAnsi="Arial Narrow" w:cs="Tahoma"/>
          <w:bCs/>
          <w:color w:val="000000"/>
          <w:sz w:val="28"/>
          <w:szCs w:val="28"/>
          <w:lang w:eastAsia="es-CO"/>
        </w:rPr>
        <w:t>Circuito</w:t>
      </w:r>
      <w:r w:rsidR="00594C12">
        <w:rPr>
          <w:rFonts w:ascii="Arial Narrow" w:hAnsi="Arial Narrow" w:cs="Tahoma"/>
          <w:bCs/>
          <w:color w:val="000000"/>
          <w:sz w:val="28"/>
          <w:szCs w:val="28"/>
          <w:lang w:eastAsia="es-CO"/>
        </w:rPr>
        <w:t xml:space="preserve"> de 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847EDA">
        <w:rPr>
          <w:rFonts w:ascii="Arial Narrow" w:hAnsi="Arial Narrow" w:cs="Arial"/>
          <w:b/>
          <w:i/>
          <w:sz w:val="28"/>
          <w:szCs w:val="28"/>
        </w:rPr>
        <w:t>Noel de Jesús Rodas Cifuentes</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594C12">
        <w:rPr>
          <w:rFonts w:ascii="Arial Narrow" w:hAnsi="Arial Narrow" w:cs="Arial"/>
          <w:b/>
          <w:i/>
          <w:sz w:val="28"/>
          <w:szCs w:val="28"/>
        </w:rPr>
        <w:t xml:space="preserve">la </w:t>
      </w:r>
      <w:r w:rsidR="00847EDA">
        <w:rPr>
          <w:rFonts w:ascii="Arial Narrow" w:hAnsi="Arial Narrow" w:cs="Arial"/>
          <w:b/>
          <w:i/>
          <w:sz w:val="28"/>
          <w:szCs w:val="28"/>
        </w:rPr>
        <w:t>Caja Nacional de Previsión Social “</w:t>
      </w:r>
      <w:proofErr w:type="spellStart"/>
      <w:r w:rsidR="00847EDA">
        <w:rPr>
          <w:rFonts w:ascii="Arial Narrow" w:hAnsi="Arial Narrow" w:cs="Arial"/>
          <w:b/>
          <w:i/>
          <w:sz w:val="28"/>
          <w:szCs w:val="28"/>
        </w:rPr>
        <w:t>Cajanal</w:t>
      </w:r>
      <w:proofErr w:type="spellEnd"/>
      <w:r w:rsidR="00847EDA">
        <w:rPr>
          <w:rFonts w:ascii="Arial Narrow" w:hAnsi="Arial Narrow" w:cs="Arial"/>
          <w:b/>
          <w:i/>
          <w:sz w:val="28"/>
          <w:szCs w:val="28"/>
        </w:rPr>
        <w:t>”</w:t>
      </w:r>
      <w:r w:rsidR="00594C12">
        <w:rPr>
          <w:rFonts w:ascii="Arial Narrow" w:hAnsi="Arial Narrow" w:cs="Arial"/>
          <w:sz w:val="28"/>
          <w:szCs w:val="28"/>
        </w:rPr>
        <w:t>.</w:t>
      </w:r>
      <w:r w:rsidR="00D00875">
        <w:rPr>
          <w:rFonts w:ascii="Arial Narrow" w:hAnsi="Arial Narrow" w:cs="Arial"/>
          <w:sz w:val="28"/>
          <w:szCs w:val="28"/>
        </w:rPr>
        <w:t xml:space="preserve"> Sin embargo, estudiado el asunto, se observa que no será posible emitir el pronunciamiento de fondo, dado que el presente asunto no debió someterse al grado jurisdiccional de consulta.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083DF1">
        <w:rPr>
          <w:rFonts w:ascii="Arial Narrow" w:hAnsi="Arial Narrow" w:cs="Tahoma"/>
          <w:b/>
          <w:i/>
          <w:sz w:val="28"/>
          <w:szCs w:val="28"/>
        </w:rPr>
        <w:t>ANTECEDENTES.</w:t>
      </w:r>
    </w:p>
    <w:p w:rsidR="00181D67" w:rsidRPr="00F60732" w:rsidRDefault="00181D67" w:rsidP="00F60732">
      <w:pPr>
        <w:pStyle w:val="Sinespaciado"/>
      </w:pPr>
    </w:p>
    <w:p w:rsidR="00E51F0F" w:rsidRDefault="00D00875" w:rsidP="00D0087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Mediante la sentencia del 13 de febrero de 2009, se declaró que el actor tenía derecho a la </w:t>
      </w:r>
      <w:r w:rsidR="00F9059F">
        <w:rPr>
          <w:rFonts w:ascii="Arial Narrow" w:hAnsi="Arial Narrow" w:cs="Tahoma"/>
          <w:sz w:val="28"/>
          <w:szCs w:val="28"/>
        </w:rPr>
        <w:t xml:space="preserve">reliquidación de la pensión, al encontrar que el demandante era beneficiario del régimen especial contemplado en el Decreto 546 de 1971, en virtud del régimen transicional y, atendiendo varias decisiones de la jurisdicción contencioso administrativa, los conceptos de primas de vacaciones, de servicios y de navidad, así como la </w:t>
      </w:r>
      <w:r w:rsidR="00E51F0F">
        <w:rPr>
          <w:rFonts w:ascii="Arial Narrow" w:hAnsi="Arial Narrow" w:cs="Tahoma"/>
          <w:sz w:val="28"/>
          <w:szCs w:val="28"/>
        </w:rPr>
        <w:t>ascensional</w:t>
      </w:r>
      <w:r w:rsidR="00F9059F">
        <w:rPr>
          <w:rFonts w:ascii="Arial Narrow" w:hAnsi="Arial Narrow" w:cs="Tahoma"/>
          <w:sz w:val="28"/>
          <w:szCs w:val="28"/>
        </w:rPr>
        <w:t xml:space="preserve">, forman parte del IBL, por lo que obtuvo como asignación salarial más alta la suma de $815.77,08, a la que al aplicarle la tasa de reemplazo del 75% arroja como valor de la mesada para el año 1992 de $611.382,81, existiendo a favor del </w:t>
      </w:r>
      <w:r w:rsidR="00F9059F">
        <w:rPr>
          <w:rFonts w:ascii="Arial Narrow" w:hAnsi="Arial Narrow" w:cs="Tahoma"/>
          <w:sz w:val="28"/>
          <w:szCs w:val="28"/>
        </w:rPr>
        <w:lastRenderedPageBreak/>
        <w:t>actor una diferencia de $75.602,31</w:t>
      </w:r>
      <w:r w:rsidR="00E51F0F">
        <w:rPr>
          <w:rFonts w:ascii="Arial Narrow" w:hAnsi="Arial Narrow" w:cs="Tahoma"/>
          <w:sz w:val="28"/>
          <w:szCs w:val="28"/>
        </w:rPr>
        <w:t xml:space="preserve">, así mismo ordenó la indexación de las condenas y negó los réditos moratorios deprecados. </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E51F0F">
        <w:rPr>
          <w:rFonts w:ascii="Arial Narrow" w:hAnsi="Arial Narrow" w:cs="Tahoma"/>
          <w:b/>
          <w:i/>
          <w:sz w:val="28"/>
          <w:szCs w:val="28"/>
          <w:lang w:eastAsia="es-CO"/>
        </w:rPr>
        <w:t>CONSULTA</w:t>
      </w:r>
    </w:p>
    <w:p w:rsidR="0059122D" w:rsidRDefault="0059122D" w:rsidP="00181D67">
      <w:pPr>
        <w:pStyle w:val="Sinespaciado"/>
        <w:rPr>
          <w:lang w:eastAsia="es-CO"/>
        </w:rPr>
      </w:pPr>
    </w:p>
    <w:p w:rsidR="00E51F0F" w:rsidRDefault="00E51F0F"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El Juez de ejecución, mediante providencia del 05 de noviembre de 2014, declaró la nulidad de lo actuado con posterioridad a la sentencia, al estimar que era necesario se surtiera el grado jurisdiccional de consulta, apoyando su determinación en sentencias de la Corte Constitucional.</w:t>
      </w:r>
    </w:p>
    <w:p w:rsidR="00E51F0F" w:rsidRDefault="00E51F0F"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76566F" w:rsidP="00F853FA">
      <w:pPr>
        <w:tabs>
          <w:tab w:val="left" w:pos="0"/>
          <w:tab w:val="left" w:pos="8647"/>
        </w:tabs>
        <w:suppressAutoHyphens/>
        <w:spacing w:line="360" w:lineRule="auto"/>
        <w:ind w:firstLine="900"/>
        <w:jc w:val="both"/>
        <w:rPr>
          <w:rFonts w:ascii="Arial Narrow" w:hAnsi="Arial Narrow" w:cs="Tahoma"/>
          <w:b/>
          <w:i/>
          <w:iCs/>
          <w:color w:val="000000"/>
          <w:sz w:val="28"/>
          <w:szCs w:val="28"/>
          <w:lang w:val="es-MX" w:eastAsia="es-CO"/>
        </w:rPr>
      </w:pPr>
      <w:r>
        <w:rPr>
          <w:rFonts w:ascii="Arial Narrow" w:hAnsi="Arial Narrow" w:cs="Tahoma"/>
          <w:b/>
          <w:i/>
          <w:sz w:val="28"/>
          <w:szCs w:val="28"/>
        </w:rPr>
        <w:t xml:space="preserve">IV. </w:t>
      </w:r>
      <w:r w:rsidR="00CC6443" w:rsidRPr="00CC6443">
        <w:rPr>
          <w:rFonts w:ascii="Arial Narrow" w:hAnsi="Arial Narrow" w:cs="Tahoma"/>
          <w:b/>
          <w:i/>
          <w:iCs/>
          <w:color w:val="000000"/>
          <w:sz w:val="28"/>
          <w:szCs w:val="28"/>
          <w:lang w:val="es-MX" w:eastAsia="es-CO"/>
        </w:rPr>
        <w:t>CONSIDERACIONES</w:t>
      </w:r>
    </w:p>
    <w:p w:rsidR="00F853FA" w:rsidRDefault="00F853FA" w:rsidP="00181D67">
      <w:pPr>
        <w:pStyle w:val="Sinespaciado"/>
        <w:spacing w:line="360" w:lineRule="auto"/>
        <w:ind w:firstLine="708"/>
        <w:jc w:val="both"/>
        <w:rPr>
          <w:rFonts w:ascii="Arial Narrow" w:hAnsi="Arial Narrow"/>
          <w:sz w:val="28"/>
          <w:szCs w:val="28"/>
          <w:lang w:eastAsia="en-US"/>
        </w:rPr>
      </w:pPr>
    </w:p>
    <w:p w:rsidR="00F853FA" w:rsidRDefault="00F853FA" w:rsidP="00F853FA">
      <w:pPr>
        <w:spacing w:line="360" w:lineRule="auto"/>
        <w:ind w:firstLine="851"/>
        <w:jc w:val="both"/>
        <w:rPr>
          <w:rFonts w:ascii="Arial Narrow" w:hAnsi="Arial Narrow" w:cs="Arial"/>
          <w:sz w:val="29"/>
          <w:szCs w:val="29"/>
        </w:rPr>
      </w:pPr>
      <w:r>
        <w:rPr>
          <w:rFonts w:ascii="Arial Narrow" w:hAnsi="Arial Narrow" w:cs="Arial"/>
          <w:sz w:val="29"/>
          <w:szCs w:val="29"/>
        </w:rPr>
        <w:t>El artículo 69 del CPTSS fue modificado por el canon 14 de la Ley 1149 de 2007, disponiéndose que el grado jurisdiccional de consulta se debía surtir en aquellos procesos en que la decisión fuere totalmente adversa a los intereses del trabajador, afiliado o beneficiario del SGSS y cuando la misma fuere adversa a los interese de la Nación, Departamento o Municipio o a las entidades descentralizadas en que la Nación fuere garante.</w:t>
      </w:r>
    </w:p>
    <w:p w:rsidR="00F853FA" w:rsidRDefault="00F853FA" w:rsidP="00F853FA">
      <w:pPr>
        <w:spacing w:line="360" w:lineRule="auto"/>
        <w:ind w:firstLine="851"/>
        <w:jc w:val="both"/>
        <w:rPr>
          <w:rFonts w:ascii="Arial Narrow" w:hAnsi="Arial Narrow" w:cs="Arial"/>
          <w:sz w:val="29"/>
          <w:szCs w:val="29"/>
        </w:rPr>
      </w:pPr>
    </w:p>
    <w:p w:rsidR="00F853FA" w:rsidRDefault="00F853FA" w:rsidP="00F853FA">
      <w:pPr>
        <w:spacing w:line="360" w:lineRule="auto"/>
        <w:ind w:firstLine="851"/>
        <w:jc w:val="both"/>
        <w:rPr>
          <w:rFonts w:ascii="Arial Narrow" w:hAnsi="Arial Narrow" w:cs="Arial"/>
          <w:sz w:val="29"/>
          <w:szCs w:val="29"/>
        </w:rPr>
      </w:pPr>
      <w:r>
        <w:rPr>
          <w:rFonts w:ascii="Arial Narrow" w:hAnsi="Arial Narrow" w:cs="Arial"/>
          <w:sz w:val="29"/>
          <w:szCs w:val="29"/>
        </w:rPr>
        <w:t xml:space="preserve">Al tenor de esta norma, sería admisible la interpretación dada por el Juez Segundo Laboral del Descongestión de esta ciudad, pues en efecto se establece que las decisiones que cierran la primera instancia y que impongan una condena en contra de una entidad descentralizada como lo es </w:t>
      </w:r>
      <w:proofErr w:type="spellStart"/>
      <w:r>
        <w:rPr>
          <w:rFonts w:ascii="Arial Narrow" w:hAnsi="Arial Narrow" w:cs="Arial"/>
          <w:sz w:val="29"/>
          <w:szCs w:val="29"/>
        </w:rPr>
        <w:t>Cajanal</w:t>
      </w:r>
      <w:proofErr w:type="spellEnd"/>
      <w:r>
        <w:rPr>
          <w:rFonts w:ascii="Arial Narrow" w:hAnsi="Arial Narrow" w:cs="Arial"/>
          <w:sz w:val="29"/>
          <w:szCs w:val="29"/>
        </w:rPr>
        <w:t xml:space="preserve"> y en la que el Estado es garante, como se verifica en el artículo 4º de la Ley 490 de 1998, debe surtirse el grado jurisdiccional de consulta y, su omisión impediría la ejecutoria de la sentencia.</w:t>
      </w:r>
    </w:p>
    <w:p w:rsidR="00F853FA" w:rsidRDefault="00F853FA" w:rsidP="00F853FA">
      <w:pPr>
        <w:spacing w:line="360" w:lineRule="auto"/>
        <w:ind w:firstLine="851"/>
        <w:jc w:val="both"/>
        <w:rPr>
          <w:rFonts w:ascii="Arial Narrow" w:hAnsi="Arial Narrow" w:cs="Arial"/>
          <w:sz w:val="29"/>
          <w:szCs w:val="29"/>
        </w:rPr>
      </w:pPr>
    </w:p>
    <w:p w:rsidR="00F853FA" w:rsidRDefault="00F853FA" w:rsidP="00F853FA">
      <w:pPr>
        <w:spacing w:line="360" w:lineRule="auto"/>
        <w:ind w:firstLine="851"/>
        <w:jc w:val="both"/>
        <w:rPr>
          <w:rFonts w:ascii="Arial Narrow" w:hAnsi="Arial Narrow" w:cs="Arial"/>
          <w:sz w:val="29"/>
          <w:szCs w:val="29"/>
        </w:rPr>
      </w:pPr>
      <w:r>
        <w:rPr>
          <w:rFonts w:ascii="Arial Narrow" w:hAnsi="Arial Narrow" w:cs="Arial"/>
          <w:sz w:val="29"/>
          <w:szCs w:val="29"/>
        </w:rPr>
        <w:t xml:space="preserve">Sin embargo, esta conclusión no puede verificarse de manera tan simple, si se tiene en cuenta que la Corte Suprema de Justicia, en su Sala de Casación Laboral, en su calidad de órgano de cierre de la especialidad laboral, venía decantando la inaplicabilidad del grado jurisdiccional de consulta en esta clase de </w:t>
      </w:r>
      <w:r>
        <w:rPr>
          <w:rFonts w:ascii="Arial Narrow" w:hAnsi="Arial Narrow" w:cs="Arial"/>
          <w:sz w:val="29"/>
          <w:szCs w:val="29"/>
        </w:rPr>
        <w:lastRenderedPageBreak/>
        <w:t>asuntos</w:t>
      </w:r>
      <w:r>
        <w:rPr>
          <w:rStyle w:val="Refdenotaalpie"/>
          <w:rFonts w:ascii="Arial Narrow" w:hAnsi="Arial Narrow" w:cs="Arial"/>
          <w:sz w:val="29"/>
          <w:szCs w:val="29"/>
        </w:rPr>
        <w:footnoteReference w:id="1"/>
      </w:r>
      <w:r>
        <w:rPr>
          <w:rFonts w:ascii="Arial Narrow" w:hAnsi="Arial Narrow" w:cs="Arial"/>
          <w:sz w:val="29"/>
          <w:szCs w:val="29"/>
        </w:rPr>
        <w:t xml:space="preserve">, posición que se varió únicamente a partir de la sentencia de tutela </w:t>
      </w:r>
      <w:r w:rsidRPr="00D34CFB">
        <w:rPr>
          <w:rFonts w:ascii="Arial Narrow" w:hAnsi="Arial Narrow" w:cs="Arial"/>
          <w:sz w:val="29"/>
          <w:szCs w:val="29"/>
        </w:rPr>
        <w:t>STL 4126-2013</w:t>
      </w:r>
      <w:r>
        <w:rPr>
          <w:rFonts w:ascii="Arial Narrow" w:hAnsi="Arial Narrow" w:cs="Arial"/>
          <w:sz w:val="29"/>
          <w:szCs w:val="29"/>
        </w:rPr>
        <w:t xml:space="preserve">, </w:t>
      </w:r>
      <w:r w:rsidRPr="00D34CFB">
        <w:rPr>
          <w:rFonts w:ascii="Arial Narrow" w:hAnsi="Arial Narrow" w:cs="Arial"/>
          <w:sz w:val="29"/>
          <w:szCs w:val="29"/>
        </w:rPr>
        <w:t>Radicación n° 34552</w:t>
      </w:r>
      <w:r>
        <w:rPr>
          <w:rFonts w:ascii="Arial Narrow" w:hAnsi="Arial Narrow" w:cs="Arial"/>
          <w:sz w:val="29"/>
          <w:szCs w:val="29"/>
        </w:rPr>
        <w:t xml:space="preserve"> del 26 de noviembre de 2013, que si bien alude al caso de Colpensiones, por similitud fáctica debe hacerse extensiva a </w:t>
      </w:r>
      <w:proofErr w:type="spellStart"/>
      <w:r>
        <w:rPr>
          <w:rFonts w:ascii="Arial Narrow" w:hAnsi="Arial Narrow" w:cs="Arial"/>
          <w:sz w:val="29"/>
          <w:szCs w:val="29"/>
        </w:rPr>
        <w:t>Cajanal</w:t>
      </w:r>
      <w:proofErr w:type="spellEnd"/>
      <w:r>
        <w:rPr>
          <w:rFonts w:ascii="Arial Narrow" w:hAnsi="Arial Narrow" w:cs="Arial"/>
          <w:sz w:val="29"/>
          <w:szCs w:val="29"/>
        </w:rPr>
        <w:t>.</w:t>
      </w:r>
    </w:p>
    <w:p w:rsidR="00F853FA" w:rsidRDefault="00F853FA" w:rsidP="00F853FA">
      <w:pPr>
        <w:spacing w:line="360" w:lineRule="auto"/>
        <w:ind w:firstLine="851"/>
        <w:jc w:val="both"/>
        <w:rPr>
          <w:rFonts w:ascii="Arial Narrow" w:hAnsi="Arial Narrow" w:cs="Arial"/>
          <w:sz w:val="29"/>
          <w:szCs w:val="29"/>
        </w:rPr>
      </w:pPr>
    </w:p>
    <w:p w:rsidR="00F853FA" w:rsidRDefault="00F853FA" w:rsidP="00F853FA">
      <w:pPr>
        <w:spacing w:line="360" w:lineRule="auto"/>
        <w:ind w:firstLine="851"/>
        <w:jc w:val="both"/>
        <w:rPr>
          <w:rFonts w:ascii="Arial Narrow" w:hAnsi="Arial Narrow" w:cs="Arial"/>
          <w:sz w:val="29"/>
          <w:szCs w:val="29"/>
        </w:rPr>
      </w:pPr>
      <w:r>
        <w:rPr>
          <w:rFonts w:ascii="Arial Narrow" w:hAnsi="Arial Narrow" w:cs="Arial"/>
          <w:sz w:val="29"/>
          <w:szCs w:val="29"/>
        </w:rPr>
        <w:t>Lo anterior, implica que en las providencias proferidas anteriormente al citado fallo, sin duda que seguían una línea decantada extensamente y que constituía para las partes y para los mismos operadores judiciales un hito de seguridad jurídica y confianza legítima que era invariable y que determinaba que en los fallos proferidos contra estas entidades, el grado jurisdiccional de consulta era inviable, lo que implicaba que, las decisiones proferidas contra las mismas, que no fueran apeladas por sus representantes judiciales, adquirían ejecutoria y, por lo mismo, podían ser ejecutadas.</w:t>
      </w:r>
    </w:p>
    <w:p w:rsidR="00F853FA" w:rsidRDefault="00F853FA" w:rsidP="00F853FA">
      <w:pPr>
        <w:spacing w:line="360" w:lineRule="auto"/>
        <w:ind w:firstLine="851"/>
        <w:jc w:val="both"/>
        <w:rPr>
          <w:rFonts w:ascii="Arial Narrow" w:hAnsi="Arial Narrow" w:cs="Arial"/>
          <w:sz w:val="29"/>
          <w:szCs w:val="29"/>
        </w:rPr>
      </w:pPr>
    </w:p>
    <w:p w:rsidR="00F853FA" w:rsidRDefault="00F853FA" w:rsidP="00F853FA">
      <w:pPr>
        <w:spacing w:line="360" w:lineRule="auto"/>
        <w:ind w:firstLine="851"/>
        <w:jc w:val="both"/>
        <w:rPr>
          <w:rFonts w:ascii="Arial Narrow" w:hAnsi="Arial Narrow" w:cs="Arial"/>
          <w:sz w:val="29"/>
          <w:szCs w:val="29"/>
        </w:rPr>
      </w:pPr>
      <w:r>
        <w:rPr>
          <w:rFonts w:ascii="Arial Narrow" w:hAnsi="Arial Narrow" w:cs="Arial"/>
          <w:sz w:val="29"/>
          <w:szCs w:val="29"/>
        </w:rPr>
        <w:t>Además de lo ya dicho, disponer la consulta de las sentencias anteriores al 26 de noviembre de 2013 –fecha de la tutela que cambio de posición- implicaría darle a dicho fallo un efecto retroactivo que en realidad no lo tiene y no lo puede tener, pues recuérdese que las decisiones de amparo constitucional tienen efectos hacia el futuro, como regla general, tal como lo estatuye el artículo 45 de la Ley 270 de 1996.</w:t>
      </w:r>
    </w:p>
    <w:p w:rsidR="00F853FA" w:rsidRDefault="00F853FA" w:rsidP="00F853FA">
      <w:pPr>
        <w:spacing w:line="360" w:lineRule="auto"/>
        <w:ind w:firstLine="851"/>
        <w:jc w:val="both"/>
        <w:rPr>
          <w:rFonts w:ascii="Arial Narrow" w:hAnsi="Arial Narrow" w:cs="Arial"/>
          <w:sz w:val="29"/>
          <w:szCs w:val="29"/>
        </w:rPr>
      </w:pPr>
    </w:p>
    <w:p w:rsidR="00F853FA" w:rsidRDefault="00F853FA" w:rsidP="00F853FA">
      <w:pPr>
        <w:spacing w:line="360" w:lineRule="auto"/>
        <w:ind w:firstLine="851"/>
        <w:jc w:val="both"/>
        <w:rPr>
          <w:rFonts w:ascii="Arial Narrow" w:hAnsi="Arial Narrow" w:cs="Arial"/>
          <w:sz w:val="29"/>
          <w:szCs w:val="29"/>
        </w:rPr>
      </w:pPr>
      <w:r>
        <w:rPr>
          <w:rFonts w:ascii="Arial Narrow" w:hAnsi="Arial Narrow" w:cs="Arial"/>
          <w:sz w:val="29"/>
          <w:szCs w:val="29"/>
        </w:rPr>
        <w:t xml:space="preserve">Por ello, estima esta Sala que es necesario precisar que las sentencias dictadas contra </w:t>
      </w:r>
      <w:proofErr w:type="spellStart"/>
      <w:r>
        <w:rPr>
          <w:rFonts w:ascii="Arial Narrow" w:hAnsi="Arial Narrow" w:cs="Arial"/>
          <w:sz w:val="29"/>
          <w:szCs w:val="29"/>
        </w:rPr>
        <w:t>Cajanal</w:t>
      </w:r>
      <w:proofErr w:type="spellEnd"/>
      <w:r>
        <w:rPr>
          <w:rFonts w:ascii="Arial Narrow" w:hAnsi="Arial Narrow" w:cs="Arial"/>
          <w:sz w:val="29"/>
          <w:szCs w:val="29"/>
        </w:rPr>
        <w:t>, con anterioridad al 26 de noviembre de 2013, en virtud del principio de la seguridad jurídica y la confianza legítima, no deben surtir el grado jurisdiccional de consulta estatuido en el artículo 69 del CPLSS. Con esta decisión, se recoge cualquier postura anterior que esta Sala en su mayoría, con participación del acá ponente, había adoptado sobre el tema.</w:t>
      </w:r>
    </w:p>
    <w:p w:rsidR="00F853FA" w:rsidRDefault="00F853FA" w:rsidP="00F853FA">
      <w:pPr>
        <w:spacing w:line="360" w:lineRule="auto"/>
        <w:ind w:firstLine="851"/>
        <w:jc w:val="both"/>
        <w:rPr>
          <w:rFonts w:ascii="Arial Narrow" w:hAnsi="Arial Narrow" w:cs="Arial"/>
          <w:sz w:val="29"/>
          <w:szCs w:val="29"/>
        </w:rPr>
      </w:pPr>
    </w:p>
    <w:p w:rsidR="006776E2" w:rsidRDefault="00F853FA" w:rsidP="00863408">
      <w:pPr>
        <w:spacing w:line="360" w:lineRule="auto"/>
        <w:ind w:firstLine="851"/>
        <w:jc w:val="both"/>
        <w:rPr>
          <w:rFonts w:ascii="Arial Narrow" w:hAnsi="Arial Narrow"/>
          <w:sz w:val="28"/>
          <w:szCs w:val="28"/>
          <w:lang w:eastAsia="en-US"/>
        </w:rPr>
      </w:pPr>
      <w:r>
        <w:rPr>
          <w:rFonts w:ascii="Arial Narrow" w:hAnsi="Arial Narrow" w:cs="Arial"/>
          <w:sz w:val="29"/>
          <w:szCs w:val="29"/>
        </w:rPr>
        <w:t xml:space="preserve">Por lo dicho, en el caso concreto, es evidente que la decisión del Juez que conocía del proceso ejecutivo en torno a declarar la nulidad de lo actuado con </w:t>
      </w:r>
      <w:r>
        <w:rPr>
          <w:rFonts w:ascii="Arial Narrow" w:hAnsi="Arial Narrow" w:cs="Arial"/>
          <w:sz w:val="29"/>
          <w:szCs w:val="29"/>
        </w:rPr>
        <w:lastRenderedPageBreak/>
        <w:t>posterioridad a la sentencia y disponer su consulta, es desacertado y por lo mismo, se hace inviable el grado jurisdiccional referido, siendo pertinente de</w:t>
      </w:r>
      <w:r w:rsidR="00863408">
        <w:rPr>
          <w:rFonts w:ascii="Arial Narrow" w:hAnsi="Arial Narrow" w:cs="Arial"/>
          <w:sz w:val="29"/>
          <w:szCs w:val="29"/>
        </w:rPr>
        <w:t xml:space="preserve">jar sin efecto todo lo actuado en esta Sala, a partir del auto del 09 de diciembre de 2014, inclusive, y en su lugar declarar la inadmisible el grado jurisdiccional de consulta, remitiendo las diligencias al Despacho de origen para que continúe con el trámite del proceso ejecutivo a continuación. </w:t>
      </w:r>
    </w:p>
    <w:p w:rsidR="006776E2" w:rsidRDefault="006776E2" w:rsidP="00181D67">
      <w:pPr>
        <w:pStyle w:val="Sinespaciado"/>
        <w:spacing w:line="360" w:lineRule="auto"/>
        <w:ind w:firstLine="708"/>
        <w:jc w:val="both"/>
        <w:rPr>
          <w:rFonts w:ascii="Arial Narrow" w:hAnsi="Arial Narrow"/>
          <w:sz w:val="28"/>
          <w:szCs w:val="28"/>
          <w:lang w:eastAsia="en-US"/>
        </w:rPr>
      </w:pPr>
    </w:p>
    <w:p w:rsidR="002F0B02" w:rsidRDefault="007A168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w:t>
      </w:r>
    </w:p>
    <w:p w:rsidR="00181D67" w:rsidRPr="00F46F6F" w:rsidRDefault="00181D67" w:rsidP="00F46F6F">
      <w:pPr>
        <w:pStyle w:val="Sinespaciado"/>
      </w:pPr>
    </w:p>
    <w:p w:rsidR="00181D67" w:rsidRPr="006B4716" w:rsidRDefault="00863408" w:rsidP="00181D67">
      <w:pPr>
        <w:spacing w:line="360" w:lineRule="auto"/>
        <w:jc w:val="center"/>
        <w:rPr>
          <w:rFonts w:ascii="Arial Narrow" w:hAnsi="Arial Narrow" w:cs="Arial"/>
          <w:b/>
          <w:i/>
          <w:sz w:val="28"/>
          <w:szCs w:val="28"/>
        </w:rPr>
      </w:pPr>
      <w:r>
        <w:rPr>
          <w:rFonts w:ascii="Arial Narrow" w:hAnsi="Arial Narrow" w:cs="Arial"/>
          <w:b/>
          <w:i/>
          <w:sz w:val="28"/>
          <w:szCs w:val="28"/>
        </w:rPr>
        <w:t>RESUELVE</w:t>
      </w:r>
    </w:p>
    <w:p w:rsidR="00181D67" w:rsidRPr="00F46F6F" w:rsidRDefault="00181D67" w:rsidP="00F46F6F">
      <w:pPr>
        <w:pStyle w:val="Sinespaciado"/>
      </w:pPr>
    </w:p>
    <w:p w:rsidR="006776E2" w:rsidRPr="006776E2" w:rsidRDefault="00863408" w:rsidP="006776E2">
      <w:pPr>
        <w:pStyle w:val="Prrafodelista"/>
        <w:numPr>
          <w:ilvl w:val="0"/>
          <w:numId w:val="6"/>
        </w:numPr>
        <w:spacing w:line="360" w:lineRule="auto"/>
        <w:jc w:val="both"/>
        <w:rPr>
          <w:rFonts w:ascii="Arial Narrow" w:hAnsi="Arial Narrow" w:cs="Arial"/>
          <w:spacing w:val="-2"/>
          <w:sz w:val="28"/>
          <w:szCs w:val="28"/>
        </w:rPr>
      </w:pPr>
      <w:r>
        <w:rPr>
          <w:rFonts w:ascii="Arial Narrow" w:hAnsi="Arial Narrow" w:cs="Arial"/>
          <w:b/>
          <w:i/>
          <w:spacing w:val="-2"/>
          <w:sz w:val="28"/>
          <w:szCs w:val="28"/>
        </w:rPr>
        <w:t>Dejar sin efecto</w:t>
      </w:r>
      <w:r>
        <w:rPr>
          <w:rFonts w:ascii="Arial Narrow" w:hAnsi="Arial Narrow" w:cs="Arial"/>
          <w:i/>
          <w:spacing w:val="-2"/>
          <w:sz w:val="28"/>
          <w:szCs w:val="28"/>
        </w:rPr>
        <w:t xml:space="preserve">, </w:t>
      </w:r>
      <w:r w:rsidRPr="00863408">
        <w:rPr>
          <w:rFonts w:ascii="Arial Narrow" w:hAnsi="Arial Narrow" w:cs="Arial"/>
          <w:spacing w:val="-2"/>
          <w:sz w:val="28"/>
          <w:szCs w:val="28"/>
        </w:rPr>
        <w:t>la actuación surtida en esta Sala</w:t>
      </w:r>
      <w:r>
        <w:rPr>
          <w:rFonts w:ascii="Arial Narrow" w:hAnsi="Arial Narrow" w:cs="Arial"/>
          <w:b/>
          <w:spacing w:val="-2"/>
          <w:sz w:val="28"/>
          <w:szCs w:val="28"/>
        </w:rPr>
        <w:t xml:space="preserve">, </w:t>
      </w:r>
      <w:r>
        <w:rPr>
          <w:rFonts w:ascii="Arial Narrow" w:hAnsi="Arial Narrow" w:cs="Arial"/>
          <w:spacing w:val="-2"/>
          <w:sz w:val="28"/>
          <w:szCs w:val="28"/>
        </w:rPr>
        <w:t xml:space="preserve">a partir de la providencia del 09 de diciembre de 2014, inclusive, y en su lugar </w:t>
      </w:r>
      <w:r w:rsidRPr="00863408">
        <w:rPr>
          <w:rFonts w:ascii="Arial Narrow" w:hAnsi="Arial Narrow" w:cs="Arial"/>
          <w:b/>
          <w:spacing w:val="-2"/>
          <w:sz w:val="28"/>
          <w:szCs w:val="28"/>
        </w:rPr>
        <w:t>declarar</w:t>
      </w:r>
      <w:r>
        <w:rPr>
          <w:rFonts w:ascii="Arial Narrow" w:hAnsi="Arial Narrow" w:cs="Arial"/>
          <w:b/>
          <w:spacing w:val="-2"/>
          <w:sz w:val="28"/>
          <w:szCs w:val="28"/>
        </w:rPr>
        <w:t xml:space="preserve"> inadmisible </w:t>
      </w:r>
      <w:r>
        <w:rPr>
          <w:rFonts w:ascii="Arial Narrow" w:hAnsi="Arial Narrow" w:cs="Arial"/>
          <w:spacing w:val="-2"/>
          <w:sz w:val="28"/>
          <w:szCs w:val="28"/>
        </w:rPr>
        <w:t xml:space="preserve">el grado jurisdiccional de consulta de la sentencia del 13 de febrero de 2009, proferida por </w:t>
      </w:r>
      <w:r w:rsidR="00083DF1" w:rsidRPr="006776E2">
        <w:rPr>
          <w:rFonts w:ascii="Arial Narrow" w:hAnsi="Arial Narrow" w:cs="Arial"/>
          <w:spacing w:val="-2"/>
          <w:sz w:val="28"/>
          <w:szCs w:val="28"/>
        </w:rPr>
        <w:t xml:space="preserve">el Juzgado </w:t>
      </w:r>
      <w:r w:rsidR="006776E2" w:rsidRPr="006776E2">
        <w:rPr>
          <w:rFonts w:ascii="Arial Narrow" w:hAnsi="Arial Narrow" w:cs="Arial"/>
          <w:spacing w:val="-2"/>
          <w:sz w:val="28"/>
          <w:szCs w:val="28"/>
        </w:rPr>
        <w:t xml:space="preserve">Primero Laboral del Circuito </w:t>
      </w:r>
      <w:r w:rsidR="002F0B02" w:rsidRPr="006776E2">
        <w:rPr>
          <w:rFonts w:ascii="Arial Narrow" w:hAnsi="Arial Narrow" w:cs="Arial"/>
          <w:spacing w:val="-2"/>
          <w:sz w:val="28"/>
          <w:szCs w:val="28"/>
        </w:rPr>
        <w:t>de Pereira</w:t>
      </w:r>
      <w:r w:rsidR="006776E2" w:rsidRPr="006776E2">
        <w:rPr>
          <w:rFonts w:ascii="Arial Narrow" w:hAnsi="Arial Narrow" w:cs="Arial"/>
          <w:spacing w:val="-2"/>
          <w:sz w:val="28"/>
          <w:szCs w:val="28"/>
        </w:rPr>
        <w:t>.</w:t>
      </w:r>
      <w:r>
        <w:rPr>
          <w:rFonts w:ascii="Arial Narrow" w:hAnsi="Arial Narrow" w:cs="Arial"/>
          <w:spacing w:val="-2"/>
          <w:sz w:val="28"/>
          <w:szCs w:val="28"/>
        </w:rPr>
        <w:t xml:space="preserve"> En consecuencia, se dispone la remisión al Despacho de origen, para que se continúe con el trámite del proceso ejecutivo a continuación. </w:t>
      </w:r>
    </w:p>
    <w:p w:rsidR="005E2002" w:rsidRDefault="005E2002" w:rsidP="00CC0B21">
      <w:pPr>
        <w:spacing w:line="360" w:lineRule="auto"/>
        <w:ind w:firstLine="851"/>
        <w:jc w:val="both"/>
        <w:rPr>
          <w:rFonts w:ascii="Arial Narrow" w:hAnsi="Arial Narrow" w:cs="Arial"/>
          <w:b/>
          <w:i/>
          <w:sz w:val="28"/>
          <w:szCs w:val="28"/>
        </w:rPr>
      </w:pPr>
    </w:p>
    <w:p w:rsidR="0098260C" w:rsidRPr="00024AC0" w:rsidRDefault="00083DF1" w:rsidP="00CC0B21">
      <w:pPr>
        <w:spacing w:line="360" w:lineRule="auto"/>
        <w:ind w:firstLine="851"/>
        <w:jc w:val="both"/>
        <w:rPr>
          <w:rFonts w:ascii="Arial Narrow" w:hAnsi="Arial Narrow" w:cs="Arial"/>
          <w:sz w:val="28"/>
          <w:szCs w:val="28"/>
        </w:rPr>
      </w:pPr>
      <w:r>
        <w:rPr>
          <w:rFonts w:ascii="Arial Narrow" w:hAnsi="Arial Narrow" w:cs="Arial"/>
          <w:b/>
          <w:i/>
          <w:sz w:val="28"/>
          <w:szCs w:val="28"/>
        </w:rPr>
        <w:t>2</w:t>
      </w:r>
      <w:r w:rsidR="00CC0B21">
        <w:rPr>
          <w:rFonts w:ascii="Arial Narrow" w:hAnsi="Arial Narrow" w:cs="Arial"/>
          <w:b/>
          <w:i/>
          <w:sz w:val="28"/>
          <w:szCs w:val="28"/>
        </w:rPr>
        <w:t>.</w:t>
      </w:r>
      <w:r w:rsidR="008E1628">
        <w:rPr>
          <w:rFonts w:ascii="Arial Narrow" w:hAnsi="Arial Narrow" w:cs="Arial"/>
          <w:b/>
          <w:i/>
          <w:sz w:val="28"/>
          <w:szCs w:val="28"/>
        </w:rPr>
        <w:t xml:space="preserve"> </w:t>
      </w:r>
      <w:r w:rsidR="008E1628">
        <w:rPr>
          <w:rFonts w:ascii="Arial Narrow" w:hAnsi="Arial Narrow" w:cs="Arial"/>
          <w:sz w:val="28"/>
          <w:szCs w:val="28"/>
        </w:rPr>
        <w:t xml:space="preserve"> Sin costas</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7E480D">
      <w:pPr>
        <w:jc w:val="both"/>
        <w:rPr>
          <w:rFonts w:ascii="Arial Narrow" w:hAnsi="Arial Narrow" w:cs="Microsoft Sans Serif"/>
          <w:b/>
          <w:bCs/>
          <w:iCs/>
          <w:sz w:val="28"/>
          <w:szCs w:val="28"/>
          <w:lang w:val="es-ES"/>
        </w:rPr>
      </w:pPr>
    </w:p>
    <w:p w:rsidR="00863408" w:rsidRPr="00E80808" w:rsidRDefault="00863408" w:rsidP="007E480D">
      <w:pPr>
        <w:jc w:val="both"/>
        <w:rPr>
          <w:rFonts w:ascii="Arial Narrow" w:hAnsi="Arial Narrow" w:cs="Microsoft Sans Serif"/>
          <w:b/>
          <w:bCs/>
          <w:iCs/>
          <w:sz w:val="28"/>
          <w:szCs w:val="28"/>
          <w:lang w:val="es-ES"/>
        </w:rPr>
      </w:pPr>
    </w:p>
    <w:p w:rsidR="007E480D" w:rsidRPr="00E80808" w:rsidRDefault="00AD4F60"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SEPULVEDA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AD4F60">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5E2002">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63408" w:rsidRDefault="00863408" w:rsidP="00EB7DB4">
      <w:pPr>
        <w:jc w:val="both"/>
        <w:rPr>
          <w:rFonts w:ascii="Arial Narrow" w:hAnsi="Arial Narrow" w:cs="Microsoft Sans Serif"/>
          <w:bCs/>
          <w:iCs/>
          <w:sz w:val="28"/>
          <w:szCs w:val="28"/>
          <w:lang w:val="es-ES"/>
        </w:rPr>
      </w:pP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lastRenderedPageBreak/>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AD4F60">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A4" w:rsidRDefault="00C638A4" w:rsidP="00181D67">
      <w:r>
        <w:separator/>
      </w:r>
    </w:p>
  </w:endnote>
  <w:endnote w:type="continuationSeparator" w:id="0">
    <w:p w:rsidR="00C638A4" w:rsidRDefault="00C638A4"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C8" w:rsidRDefault="00707EC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7EC8" w:rsidRDefault="00707EC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C8" w:rsidRDefault="00707EC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6DA5">
      <w:rPr>
        <w:rStyle w:val="Nmerodepgina"/>
        <w:noProof/>
      </w:rPr>
      <w:t>5</w:t>
    </w:r>
    <w:r>
      <w:rPr>
        <w:rStyle w:val="Nmerodepgina"/>
      </w:rPr>
      <w:fldChar w:fldCharType="end"/>
    </w:r>
  </w:p>
  <w:p w:rsidR="00707EC8" w:rsidRDefault="00707EC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A4" w:rsidRDefault="00C638A4" w:rsidP="00181D67">
      <w:r>
        <w:separator/>
      </w:r>
    </w:p>
  </w:footnote>
  <w:footnote w:type="continuationSeparator" w:id="0">
    <w:p w:rsidR="00C638A4" w:rsidRDefault="00C638A4" w:rsidP="00181D67">
      <w:r>
        <w:continuationSeparator/>
      </w:r>
    </w:p>
  </w:footnote>
  <w:footnote w:id="1">
    <w:p w:rsidR="00F853FA" w:rsidRPr="00D34CFB" w:rsidRDefault="00F853FA" w:rsidP="00F853FA">
      <w:pPr>
        <w:pStyle w:val="Textonotapie"/>
        <w:jc w:val="both"/>
        <w:rPr>
          <w:lang w:val="es-CO"/>
        </w:rPr>
      </w:pPr>
      <w:r w:rsidRPr="00D34CFB">
        <w:rPr>
          <w:rStyle w:val="Refdenotaalpie"/>
          <w:rFonts w:ascii="Arial Narrow" w:hAnsi="Arial Narrow"/>
        </w:rPr>
        <w:footnoteRef/>
      </w:r>
      <w:r w:rsidRPr="00D34CFB">
        <w:rPr>
          <w:rFonts w:ascii="Arial Narrow" w:hAnsi="Arial Narrow"/>
        </w:rPr>
        <w:t xml:space="preserve"> </w:t>
      </w:r>
      <w:r w:rsidRPr="00D34CFB">
        <w:rPr>
          <w:rFonts w:ascii="Arial Narrow" w:hAnsi="Arial Narrow"/>
          <w:lang w:val="es-CO"/>
        </w:rPr>
        <w:t>Sentencias del 26 de octubre y 30 de noviembre de 2010, radicaciones 38389 y 40525, respectivamente, así como en el auto del 02 de mayo de 2012. Radicación 43.013</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C8" w:rsidRDefault="00707EC8"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0013105001-20</w:t>
    </w:r>
    <w:r w:rsidR="004A3A0B">
      <w:rPr>
        <w:rFonts w:ascii="Arial" w:hAnsi="Arial" w:cs="Arial"/>
        <w:bCs/>
        <w:i/>
        <w:sz w:val="16"/>
        <w:szCs w:val="16"/>
      </w:rPr>
      <w:t>07</w:t>
    </w:r>
    <w:r>
      <w:rPr>
        <w:rFonts w:ascii="Arial" w:hAnsi="Arial" w:cs="Arial"/>
        <w:bCs/>
        <w:i/>
        <w:sz w:val="16"/>
        <w:szCs w:val="16"/>
      </w:rPr>
      <w:t>-00</w:t>
    </w:r>
    <w:r w:rsidR="004A3A0B">
      <w:rPr>
        <w:rFonts w:ascii="Arial" w:hAnsi="Arial" w:cs="Arial"/>
        <w:bCs/>
        <w:i/>
        <w:sz w:val="16"/>
        <w:szCs w:val="16"/>
      </w:rPr>
      <w:t>578</w:t>
    </w:r>
    <w:r>
      <w:rPr>
        <w:rFonts w:ascii="Arial" w:hAnsi="Arial" w:cs="Arial"/>
        <w:bCs/>
        <w:i/>
        <w:sz w:val="16"/>
        <w:szCs w:val="16"/>
      </w:rPr>
      <w:t>-01</w:t>
    </w:r>
  </w:p>
  <w:p w:rsidR="00707EC8" w:rsidRPr="00BD0CC8" w:rsidRDefault="004A3A0B" w:rsidP="00FB2365">
    <w:pPr>
      <w:jc w:val="both"/>
      <w:rPr>
        <w:rFonts w:ascii="Arial" w:hAnsi="Arial" w:cs="Arial"/>
        <w:bCs/>
        <w:i/>
        <w:iCs/>
        <w:sz w:val="16"/>
        <w:szCs w:val="16"/>
      </w:rPr>
    </w:pPr>
    <w:r>
      <w:rPr>
        <w:rFonts w:ascii="Arial" w:hAnsi="Arial" w:cs="Arial"/>
        <w:bCs/>
        <w:i/>
        <w:sz w:val="16"/>
        <w:szCs w:val="16"/>
      </w:rPr>
      <w:t>Noel de Jesús Rodas Cifuentes</w:t>
    </w:r>
    <w:r w:rsidR="00707EC8">
      <w:rPr>
        <w:rFonts w:ascii="Arial" w:hAnsi="Arial" w:cs="Arial"/>
        <w:bCs/>
        <w:i/>
        <w:sz w:val="16"/>
        <w:szCs w:val="16"/>
      </w:rPr>
      <w:t xml:space="preserve"> vs </w:t>
    </w:r>
    <w:proofErr w:type="spellStart"/>
    <w:r>
      <w:rPr>
        <w:rFonts w:ascii="Arial" w:hAnsi="Arial" w:cs="Arial"/>
        <w:bCs/>
        <w:i/>
        <w:sz w:val="16"/>
        <w:szCs w:val="16"/>
      </w:rPr>
      <w:t>Cajanal</w:t>
    </w:r>
    <w:proofErr w:type="spellEnd"/>
    <w:r w:rsidR="00707EC8">
      <w:rPr>
        <w:rFonts w:ascii="Arial" w:hAnsi="Arial" w:cs="Arial"/>
        <w:bCs/>
        <w:i/>
        <w:sz w:val="16"/>
        <w:szCs w:val="16"/>
      </w:rPr>
      <w:t>.</w:t>
    </w:r>
  </w:p>
  <w:p w:rsidR="00707EC8" w:rsidRDefault="00707E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B703F58"/>
    <w:multiLevelType w:val="hybridMultilevel"/>
    <w:tmpl w:val="3EA48156"/>
    <w:lvl w:ilvl="0" w:tplc="A47A7C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7E59643B"/>
    <w:multiLevelType w:val="hybridMultilevel"/>
    <w:tmpl w:val="DB48E0F0"/>
    <w:lvl w:ilvl="0" w:tplc="2A128110">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971"/>
    <w:rsid w:val="00024AC0"/>
    <w:rsid w:val="00030D22"/>
    <w:rsid w:val="00034D6D"/>
    <w:rsid w:val="0003620B"/>
    <w:rsid w:val="0003621B"/>
    <w:rsid w:val="00036CF3"/>
    <w:rsid w:val="000541AF"/>
    <w:rsid w:val="00057514"/>
    <w:rsid w:val="00062FA1"/>
    <w:rsid w:val="0006495E"/>
    <w:rsid w:val="000667FF"/>
    <w:rsid w:val="000700E7"/>
    <w:rsid w:val="00071203"/>
    <w:rsid w:val="00071A7B"/>
    <w:rsid w:val="00071A9D"/>
    <w:rsid w:val="000745A2"/>
    <w:rsid w:val="00080A62"/>
    <w:rsid w:val="0008170A"/>
    <w:rsid w:val="00083DF1"/>
    <w:rsid w:val="00083ED6"/>
    <w:rsid w:val="0008718B"/>
    <w:rsid w:val="00094470"/>
    <w:rsid w:val="00094DD5"/>
    <w:rsid w:val="00097B5A"/>
    <w:rsid w:val="000A26AC"/>
    <w:rsid w:val="000A78D4"/>
    <w:rsid w:val="000B0CF6"/>
    <w:rsid w:val="000B0E17"/>
    <w:rsid w:val="000B3068"/>
    <w:rsid w:val="000B5AFB"/>
    <w:rsid w:val="000B6AD0"/>
    <w:rsid w:val="000C0635"/>
    <w:rsid w:val="000C0A92"/>
    <w:rsid w:val="000C6FF0"/>
    <w:rsid w:val="000C719A"/>
    <w:rsid w:val="000C73AC"/>
    <w:rsid w:val="000C7636"/>
    <w:rsid w:val="000D09A7"/>
    <w:rsid w:val="000D6F62"/>
    <w:rsid w:val="000E166B"/>
    <w:rsid w:val="000E2EFB"/>
    <w:rsid w:val="000E3687"/>
    <w:rsid w:val="000E4F31"/>
    <w:rsid w:val="000E7F42"/>
    <w:rsid w:val="000F0EAC"/>
    <w:rsid w:val="000F5249"/>
    <w:rsid w:val="000F604F"/>
    <w:rsid w:val="00113DFF"/>
    <w:rsid w:val="00114E6E"/>
    <w:rsid w:val="00121679"/>
    <w:rsid w:val="00122B74"/>
    <w:rsid w:val="00124333"/>
    <w:rsid w:val="001342E2"/>
    <w:rsid w:val="00151FAB"/>
    <w:rsid w:val="0015632C"/>
    <w:rsid w:val="00156587"/>
    <w:rsid w:val="001571A9"/>
    <w:rsid w:val="00160D05"/>
    <w:rsid w:val="0016407C"/>
    <w:rsid w:val="00165C53"/>
    <w:rsid w:val="001721E5"/>
    <w:rsid w:val="00172834"/>
    <w:rsid w:val="00176653"/>
    <w:rsid w:val="00177B5D"/>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5761"/>
    <w:rsid w:val="001A6293"/>
    <w:rsid w:val="001B0456"/>
    <w:rsid w:val="001C001D"/>
    <w:rsid w:val="001C1A3A"/>
    <w:rsid w:val="001E2A79"/>
    <w:rsid w:val="001E4ED7"/>
    <w:rsid w:val="001E6D81"/>
    <w:rsid w:val="001F6B3D"/>
    <w:rsid w:val="001F70B4"/>
    <w:rsid w:val="0020066B"/>
    <w:rsid w:val="00200D02"/>
    <w:rsid w:val="0020183E"/>
    <w:rsid w:val="00204F66"/>
    <w:rsid w:val="002054B4"/>
    <w:rsid w:val="00214F11"/>
    <w:rsid w:val="00217065"/>
    <w:rsid w:val="00217C8B"/>
    <w:rsid w:val="00220901"/>
    <w:rsid w:val="00232FAD"/>
    <w:rsid w:val="0023419A"/>
    <w:rsid w:val="00241CF7"/>
    <w:rsid w:val="00242152"/>
    <w:rsid w:val="00244C46"/>
    <w:rsid w:val="00245208"/>
    <w:rsid w:val="002453A1"/>
    <w:rsid w:val="002475D9"/>
    <w:rsid w:val="00247DAF"/>
    <w:rsid w:val="00250400"/>
    <w:rsid w:val="0025169D"/>
    <w:rsid w:val="00252ADE"/>
    <w:rsid w:val="0025712A"/>
    <w:rsid w:val="0026415B"/>
    <w:rsid w:val="002666DD"/>
    <w:rsid w:val="002676D3"/>
    <w:rsid w:val="00271F3B"/>
    <w:rsid w:val="002735EE"/>
    <w:rsid w:val="00274D31"/>
    <w:rsid w:val="002811CB"/>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6B1F"/>
    <w:rsid w:val="002C76A9"/>
    <w:rsid w:val="002C7ACC"/>
    <w:rsid w:val="002D2DB2"/>
    <w:rsid w:val="002D633D"/>
    <w:rsid w:val="002E12BC"/>
    <w:rsid w:val="002E1ABE"/>
    <w:rsid w:val="002E5F78"/>
    <w:rsid w:val="002F0B02"/>
    <w:rsid w:val="002F21EF"/>
    <w:rsid w:val="002F2D76"/>
    <w:rsid w:val="003024B1"/>
    <w:rsid w:val="00310A39"/>
    <w:rsid w:val="0031484A"/>
    <w:rsid w:val="00314D67"/>
    <w:rsid w:val="003152EE"/>
    <w:rsid w:val="003156F5"/>
    <w:rsid w:val="00316E4A"/>
    <w:rsid w:val="003202FC"/>
    <w:rsid w:val="00323D15"/>
    <w:rsid w:val="00325C8C"/>
    <w:rsid w:val="003265D5"/>
    <w:rsid w:val="00327174"/>
    <w:rsid w:val="00327D74"/>
    <w:rsid w:val="0033037D"/>
    <w:rsid w:val="00330E76"/>
    <w:rsid w:val="00331A84"/>
    <w:rsid w:val="00336F17"/>
    <w:rsid w:val="003400C8"/>
    <w:rsid w:val="00342D76"/>
    <w:rsid w:val="00350750"/>
    <w:rsid w:val="00351220"/>
    <w:rsid w:val="00353032"/>
    <w:rsid w:val="0035333E"/>
    <w:rsid w:val="0035399E"/>
    <w:rsid w:val="00355D5D"/>
    <w:rsid w:val="0035755F"/>
    <w:rsid w:val="00360979"/>
    <w:rsid w:val="00362BCD"/>
    <w:rsid w:val="00365ECD"/>
    <w:rsid w:val="00365F54"/>
    <w:rsid w:val="0037272B"/>
    <w:rsid w:val="00384FB1"/>
    <w:rsid w:val="00385359"/>
    <w:rsid w:val="003A4937"/>
    <w:rsid w:val="003A4C72"/>
    <w:rsid w:val="003B30B8"/>
    <w:rsid w:val="003B35A1"/>
    <w:rsid w:val="003B7E72"/>
    <w:rsid w:val="003D2568"/>
    <w:rsid w:val="003D2E4A"/>
    <w:rsid w:val="003D2F2C"/>
    <w:rsid w:val="003D448D"/>
    <w:rsid w:val="003D5AF4"/>
    <w:rsid w:val="003E24A3"/>
    <w:rsid w:val="003E5B26"/>
    <w:rsid w:val="003F13E1"/>
    <w:rsid w:val="003F4D93"/>
    <w:rsid w:val="003F6953"/>
    <w:rsid w:val="0040108B"/>
    <w:rsid w:val="004021D5"/>
    <w:rsid w:val="004062A1"/>
    <w:rsid w:val="0040689D"/>
    <w:rsid w:val="00410250"/>
    <w:rsid w:val="00411A34"/>
    <w:rsid w:val="00414CD0"/>
    <w:rsid w:val="0041771A"/>
    <w:rsid w:val="00422223"/>
    <w:rsid w:val="00425950"/>
    <w:rsid w:val="00427FDB"/>
    <w:rsid w:val="0043289B"/>
    <w:rsid w:val="00434A0D"/>
    <w:rsid w:val="00440EF0"/>
    <w:rsid w:val="00441F0F"/>
    <w:rsid w:val="00444240"/>
    <w:rsid w:val="004450B1"/>
    <w:rsid w:val="00446124"/>
    <w:rsid w:val="00446A9B"/>
    <w:rsid w:val="00465CFD"/>
    <w:rsid w:val="004761AF"/>
    <w:rsid w:val="00476311"/>
    <w:rsid w:val="00476F91"/>
    <w:rsid w:val="00481EE2"/>
    <w:rsid w:val="00482591"/>
    <w:rsid w:val="00482D15"/>
    <w:rsid w:val="00483406"/>
    <w:rsid w:val="00486CB5"/>
    <w:rsid w:val="0049276B"/>
    <w:rsid w:val="004A18E6"/>
    <w:rsid w:val="004A359A"/>
    <w:rsid w:val="004A3A0B"/>
    <w:rsid w:val="004A5015"/>
    <w:rsid w:val="004A703F"/>
    <w:rsid w:val="004A7539"/>
    <w:rsid w:val="004B3006"/>
    <w:rsid w:val="004B38EA"/>
    <w:rsid w:val="004B5958"/>
    <w:rsid w:val="004B6F43"/>
    <w:rsid w:val="004B6F6B"/>
    <w:rsid w:val="004C1E12"/>
    <w:rsid w:val="004C37BF"/>
    <w:rsid w:val="004C7E14"/>
    <w:rsid w:val="004D01C5"/>
    <w:rsid w:val="004D7BE8"/>
    <w:rsid w:val="004E33E6"/>
    <w:rsid w:val="004F3CC2"/>
    <w:rsid w:val="004F4534"/>
    <w:rsid w:val="004F4DD2"/>
    <w:rsid w:val="004F6356"/>
    <w:rsid w:val="004F7A42"/>
    <w:rsid w:val="005010B3"/>
    <w:rsid w:val="00501DAB"/>
    <w:rsid w:val="00502503"/>
    <w:rsid w:val="00503569"/>
    <w:rsid w:val="00503737"/>
    <w:rsid w:val="0050557A"/>
    <w:rsid w:val="00505F81"/>
    <w:rsid w:val="00512EBD"/>
    <w:rsid w:val="00515BDC"/>
    <w:rsid w:val="00520A89"/>
    <w:rsid w:val="0052178E"/>
    <w:rsid w:val="00531D05"/>
    <w:rsid w:val="005376A7"/>
    <w:rsid w:val="005417FF"/>
    <w:rsid w:val="00542338"/>
    <w:rsid w:val="005446D5"/>
    <w:rsid w:val="005465C2"/>
    <w:rsid w:val="00550CEE"/>
    <w:rsid w:val="00553F87"/>
    <w:rsid w:val="00560715"/>
    <w:rsid w:val="00561710"/>
    <w:rsid w:val="00561DB0"/>
    <w:rsid w:val="00563496"/>
    <w:rsid w:val="0056623A"/>
    <w:rsid w:val="0057049E"/>
    <w:rsid w:val="0057078F"/>
    <w:rsid w:val="00571B65"/>
    <w:rsid w:val="005757BB"/>
    <w:rsid w:val="00580741"/>
    <w:rsid w:val="005824A3"/>
    <w:rsid w:val="00583EA7"/>
    <w:rsid w:val="00584AF2"/>
    <w:rsid w:val="00584B30"/>
    <w:rsid w:val="0059060F"/>
    <w:rsid w:val="0059109F"/>
    <w:rsid w:val="0059122D"/>
    <w:rsid w:val="00592739"/>
    <w:rsid w:val="00594610"/>
    <w:rsid w:val="00594C12"/>
    <w:rsid w:val="00594E60"/>
    <w:rsid w:val="005A39C0"/>
    <w:rsid w:val="005A4EAC"/>
    <w:rsid w:val="005A70B7"/>
    <w:rsid w:val="005A737E"/>
    <w:rsid w:val="005A7832"/>
    <w:rsid w:val="005A7FAE"/>
    <w:rsid w:val="005B0298"/>
    <w:rsid w:val="005B1568"/>
    <w:rsid w:val="005B51C7"/>
    <w:rsid w:val="005B71B1"/>
    <w:rsid w:val="005C5229"/>
    <w:rsid w:val="005E2002"/>
    <w:rsid w:val="005E3646"/>
    <w:rsid w:val="005F20DB"/>
    <w:rsid w:val="005F414A"/>
    <w:rsid w:val="005F5E82"/>
    <w:rsid w:val="00600B88"/>
    <w:rsid w:val="006017DA"/>
    <w:rsid w:val="00602B54"/>
    <w:rsid w:val="00604842"/>
    <w:rsid w:val="00604A9C"/>
    <w:rsid w:val="00605ED8"/>
    <w:rsid w:val="00611838"/>
    <w:rsid w:val="006135E9"/>
    <w:rsid w:val="006156A2"/>
    <w:rsid w:val="00615CCC"/>
    <w:rsid w:val="00622F16"/>
    <w:rsid w:val="00636ADA"/>
    <w:rsid w:val="00640513"/>
    <w:rsid w:val="00642DD1"/>
    <w:rsid w:val="00646D84"/>
    <w:rsid w:val="0065406E"/>
    <w:rsid w:val="00656EF4"/>
    <w:rsid w:val="00664F7B"/>
    <w:rsid w:val="00666BED"/>
    <w:rsid w:val="0067128F"/>
    <w:rsid w:val="006723A0"/>
    <w:rsid w:val="006776E2"/>
    <w:rsid w:val="00683754"/>
    <w:rsid w:val="00683BD9"/>
    <w:rsid w:val="0068688B"/>
    <w:rsid w:val="00687346"/>
    <w:rsid w:val="006941A8"/>
    <w:rsid w:val="00696978"/>
    <w:rsid w:val="006976E9"/>
    <w:rsid w:val="006B1E90"/>
    <w:rsid w:val="006B4716"/>
    <w:rsid w:val="006C14AD"/>
    <w:rsid w:val="006C408E"/>
    <w:rsid w:val="006D2AA9"/>
    <w:rsid w:val="006D4701"/>
    <w:rsid w:val="006E1DE4"/>
    <w:rsid w:val="006E55C7"/>
    <w:rsid w:val="006E56E0"/>
    <w:rsid w:val="006E5837"/>
    <w:rsid w:val="006F047C"/>
    <w:rsid w:val="006F22D5"/>
    <w:rsid w:val="006F2FF3"/>
    <w:rsid w:val="006F3382"/>
    <w:rsid w:val="006F5FE2"/>
    <w:rsid w:val="006F7641"/>
    <w:rsid w:val="006F7AD2"/>
    <w:rsid w:val="00707EC8"/>
    <w:rsid w:val="00712B22"/>
    <w:rsid w:val="007170BC"/>
    <w:rsid w:val="00720D73"/>
    <w:rsid w:val="0072204A"/>
    <w:rsid w:val="007264E4"/>
    <w:rsid w:val="00736B2A"/>
    <w:rsid w:val="00740103"/>
    <w:rsid w:val="00740681"/>
    <w:rsid w:val="0074280E"/>
    <w:rsid w:val="0074590D"/>
    <w:rsid w:val="00745F82"/>
    <w:rsid w:val="007464A2"/>
    <w:rsid w:val="00746C86"/>
    <w:rsid w:val="007549F2"/>
    <w:rsid w:val="00755E24"/>
    <w:rsid w:val="00756D3D"/>
    <w:rsid w:val="0075767F"/>
    <w:rsid w:val="0076225A"/>
    <w:rsid w:val="00763ED2"/>
    <w:rsid w:val="0076566F"/>
    <w:rsid w:val="00766970"/>
    <w:rsid w:val="00767361"/>
    <w:rsid w:val="007718F2"/>
    <w:rsid w:val="007720EF"/>
    <w:rsid w:val="00776280"/>
    <w:rsid w:val="00777CEF"/>
    <w:rsid w:val="00780003"/>
    <w:rsid w:val="0079233D"/>
    <w:rsid w:val="00794E2B"/>
    <w:rsid w:val="0079779A"/>
    <w:rsid w:val="007A168D"/>
    <w:rsid w:val="007A19B7"/>
    <w:rsid w:val="007A3A90"/>
    <w:rsid w:val="007A7725"/>
    <w:rsid w:val="007B247C"/>
    <w:rsid w:val="007B2A03"/>
    <w:rsid w:val="007B2E71"/>
    <w:rsid w:val="007B34A7"/>
    <w:rsid w:val="007B5499"/>
    <w:rsid w:val="007C04E6"/>
    <w:rsid w:val="007C50CF"/>
    <w:rsid w:val="007E480D"/>
    <w:rsid w:val="007F7E6B"/>
    <w:rsid w:val="0080019E"/>
    <w:rsid w:val="00803C9F"/>
    <w:rsid w:val="008126CF"/>
    <w:rsid w:val="00812D96"/>
    <w:rsid w:val="00817E5D"/>
    <w:rsid w:val="008212BE"/>
    <w:rsid w:val="008213FA"/>
    <w:rsid w:val="00823B56"/>
    <w:rsid w:val="00823F84"/>
    <w:rsid w:val="00825B27"/>
    <w:rsid w:val="0083360F"/>
    <w:rsid w:val="00834C2F"/>
    <w:rsid w:val="00842ECC"/>
    <w:rsid w:val="00846867"/>
    <w:rsid w:val="00847EDA"/>
    <w:rsid w:val="008513B2"/>
    <w:rsid w:val="00854651"/>
    <w:rsid w:val="00855683"/>
    <w:rsid w:val="00860327"/>
    <w:rsid w:val="008605F1"/>
    <w:rsid w:val="008623CD"/>
    <w:rsid w:val="00862C38"/>
    <w:rsid w:val="00863408"/>
    <w:rsid w:val="0086798B"/>
    <w:rsid w:val="00875A96"/>
    <w:rsid w:val="0088333D"/>
    <w:rsid w:val="008846C9"/>
    <w:rsid w:val="00884EDE"/>
    <w:rsid w:val="008851A6"/>
    <w:rsid w:val="0088711A"/>
    <w:rsid w:val="0089320E"/>
    <w:rsid w:val="00893D25"/>
    <w:rsid w:val="00894F1F"/>
    <w:rsid w:val="00897A5F"/>
    <w:rsid w:val="008B0C35"/>
    <w:rsid w:val="008B108A"/>
    <w:rsid w:val="008B3F94"/>
    <w:rsid w:val="008C0CF7"/>
    <w:rsid w:val="008C2BB2"/>
    <w:rsid w:val="008C7F45"/>
    <w:rsid w:val="008D0385"/>
    <w:rsid w:val="008D0F22"/>
    <w:rsid w:val="008D18BF"/>
    <w:rsid w:val="008D69AF"/>
    <w:rsid w:val="008E1628"/>
    <w:rsid w:val="008E2AA3"/>
    <w:rsid w:val="008E6796"/>
    <w:rsid w:val="008F003B"/>
    <w:rsid w:val="008F70A9"/>
    <w:rsid w:val="008F7ACA"/>
    <w:rsid w:val="00907A5F"/>
    <w:rsid w:val="00922A45"/>
    <w:rsid w:val="00923D33"/>
    <w:rsid w:val="00925430"/>
    <w:rsid w:val="00925B2A"/>
    <w:rsid w:val="00927001"/>
    <w:rsid w:val="0093094A"/>
    <w:rsid w:val="009424D7"/>
    <w:rsid w:val="00943F58"/>
    <w:rsid w:val="00946A91"/>
    <w:rsid w:val="00952E49"/>
    <w:rsid w:val="00954E8F"/>
    <w:rsid w:val="00955679"/>
    <w:rsid w:val="00966A5F"/>
    <w:rsid w:val="00974528"/>
    <w:rsid w:val="009747DC"/>
    <w:rsid w:val="009758B9"/>
    <w:rsid w:val="00980B0C"/>
    <w:rsid w:val="0098260C"/>
    <w:rsid w:val="00982A72"/>
    <w:rsid w:val="00983B97"/>
    <w:rsid w:val="00985A27"/>
    <w:rsid w:val="00985D6A"/>
    <w:rsid w:val="00991101"/>
    <w:rsid w:val="009A2908"/>
    <w:rsid w:val="009A40BE"/>
    <w:rsid w:val="009A4616"/>
    <w:rsid w:val="009A6DEB"/>
    <w:rsid w:val="009B061B"/>
    <w:rsid w:val="009B3450"/>
    <w:rsid w:val="009B4758"/>
    <w:rsid w:val="009B52E7"/>
    <w:rsid w:val="009B6165"/>
    <w:rsid w:val="009B6EDF"/>
    <w:rsid w:val="009C06AF"/>
    <w:rsid w:val="009D16AB"/>
    <w:rsid w:val="009E0C95"/>
    <w:rsid w:val="009E46E3"/>
    <w:rsid w:val="009F29A4"/>
    <w:rsid w:val="009F2B8B"/>
    <w:rsid w:val="009F7447"/>
    <w:rsid w:val="00A00606"/>
    <w:rsid w:val="00A1656B"/>
    <w:rsid w:val="00A23CFA"/>
    <w:rsid w:val="00A26275"/>
    <w:rsid w:val="00A31A93"/>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5E0"/>
    <w:rsid w:val="00A92C53"/>
    <w:rsid w:val="00A9346E"/>
    <w:rsid w:val="00AA2144"/>
    <w:rsid w:val="00AA51D6"/>
    <w:rsid w:val="00AB431B"/>
    <w:rsid w:val="00AB4D39"/>
    <w:rsid w:val="00AC0389"/>
    <w:rsid w:val="00AC0DBC"/>
    <w:rsid w:val="00AC1055"/>
    <w:rsid w:val="00AC55D8"/>
    <w:rsid w:val="00AC5DB9"/>
    <w:rsid w:val="00AC7AC9"/>
    <w:rsid w:val="00AC7EB6"/>
    <w:rsid w:val="00AD010D"/>
    <w:rsid w:val="00AD1578"/>
    <w:rsid w:val="00AD2DDE"/>
    <w:rsid w:val="00AD4F60"/>
    <w:rsid w:val="00AD5314"/>
    <w:rsid w:val="00AD7619"/>
    <w:rsid w:val="00AE2F5F"/>
    <w:rsid w:val="00AF0D26"/>
    <w:rsid w:val="00AF1D5C"/>
    <w:rsid w:val="00AF6755"/>
    <w:rsid w:val="00B0476C"/>
    <w:rsid w:val="00B0615A"/>
    <w:rsid w:val="00B15F2B"/>
    <w:rsid w:val="00B20A28"/>
    <w:rsid w:val="00B251A0"/>
    <w:rsid w:val="00B2526A"/>
    <w:rsid w:val="00B265E5"/>
    <w:rsid w:val="00B26FD9"/>
    <w:rsid w:val="00B34731"/>
    <w:rsid w:val="00B3738C"/>
    <w:rsid w:val="00B40E7A"/>
    <w:rsid w:val="00B4285D"/>
    <w:rsid w:val="00B43C20"/>
    <w:rsid w:val="00B55738"/>
    <w:rsid w:val="00B56E76"/>
    <w:rsid w:val="00B5766E"/>
    <w:rsid w:val="00B664E4"/>
    <w:rsid w:val="00B674E4"/>
    <w:rsid w:val="00B675BD"/>
    <w:rsid w:val="00B763D7"/>
    <w:rsid w:val="00B81692"/>
    <w:rsid w:val="00B82C4C"/>
    <w:rsid w:val="00B874AB"/>
    <w:rsid w:val="00B87CC3"/>
    <w:rsid w:val="00B902C2"/>
    <w:rsid w:val="00B96DA5"/>
    <w:rsid w:val="00BB2777"/>
    <w:rsid w:val="00BC5A4F"/>
    <w:rsid w:val="00BC5CDD"/>
    <w:rsid w:val="00BC7639"/>
    <w:rsid w:val="00BD034F"/>
    <w:rsid w:val="00BD418C"/>
    <w:rsid w:val="00BE18F9"/>
    <w:rsid w:val="00BE2FD0"/>
    <w:rsid w:val="00BE3E90"/>
    <w:rsid w:val="00BE7CCC"/>
    <w:rsid w:val="00BF281B"/>
    <w:rsid w:val="00BF608B"/>
    <w:rsid w:val="00BF6B14"/>
    <w:rsid w:val="00BF7955"/>
    <w:rsid w:val="00C00BF3"/>
    <w:rsid w:val="00C01FFD"/>
    <w:rsid w:val="00C135E4"/>
    <w:rsid w:val="00C14EC5"/>
    <w:rsid w:val="00C15A83"/>
    <w:rsid w:val="00C1629B"/>
    <w:rsid w:val="00C22D8B"/>
    <w:rsid w:val="00C33ED8"/>
    <w:rsid w:val="00C426A5"/>
    <w:rsid w:val="00C43685"/>
    <w:rsid w:val="00C43DA4"/>
    <w:rsid w:val="00C449F0"/>
    <w:rsid w:val="00C51098"/>
    <w:rsid w:val="00C5455D"/>
    <w:rsid w:val="00C6185A"/>
    <w:rsid w:val="00C623C0"/>
    <w:rsid w:val="00C638A4"/>
    <w:rsid w:val="00C659E7"/>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5453"/>
    <w:rsid w:val="00CC0B21"/>
    <w:rsid w:val="00CC6443"/>
    <w:rsid w:val="00CC6B90"/>
    <w:rsid w:val="00CC71CD"/>
    <w:rsid w:val="00CC758D"/>
    <w:rsid w:val="00CD1313"/>
    <w:rsid w:val="00CD301E"/>
    <w:rsid w:val="00CE1262"/>
    <w:rsid w:val="00CE24FA"/>
    <w:rsid w:val="00CE528D"/>
    <w:rsid w:val="00CF24D4"/>
    <w:rsid w:val="00CF33FD"/>
    <w:rsid w:val="00CF3970"/>
    <w:rsid w:val="00CF478D"/>
    <w:rsid w:val="00CF576A"/>
    <w:rsid w:val="00CF5FAF"/>
    <w:rsid w:val="00CF615B"/>
    <w:rsid w:val="00D00875"/>
    <w:rsid w:val="00D03432"/>
    <w:rsid w:val="00D03885"/>
    <w:rsid w:val="00D04135"/>
    <w:rsid w:val="00D05B3F"/>
    <w:rsid w:val="00D1080C"/>
    <w:rsid w:val="00D11394"/>
    <w:rsid w:val="00D11B62"/>
    <w:rsid w:val="00D13B6E"/>
    <w:rsid w:val="00D175D1"/>
    <w:rsid w:val="00D247B8"/>
    <w:rsid w:val="00D279D2"/>
    <w:rsid w:val="00D30FA7"/>
    <w:rsid w:val="00D314F4"/>
    <w:rsid w:val="00D32708"/>
    <w:rsid w:val="00D340F4"/>
    <w:rsid w:val="00D370F0"/>
    <w:rsid w:val="00D41CD1"/>
    <w:rsid w:val="00D534D9"/>
    <w:rsid w:val="00D553F8"/>
    <w:rsid w:val="00D566B5"/>
    <w:rsid w:val="00D60D54"/>
    <w:rsid w:val="00D65F30"/>
    <w:rsid w:val="00D663AD"/>
    <w:rsid w:val="00D66E9F"/>
    <w:rsid w:val="00D7125F"/>
    <w:rsid w:val="00D74F64"/>
    <w:rsid w:val="00D75C19"/>
    <w:rsid w:val="00D907A0"/>
    <w:rsid w:val="00D918F4"/>
    <w:rsid w:val="00DA5010"/>
    <w:rsid w:val="00DA66B5"/>
    <w:rsid w:val="00DB0F6F"/>
    <w:rsid w:val="00DB2DDC"/>
    <w:rsid w:val="00DC19C5"/>
    <w:rsid w:val="00DC64EC"/>
    <w:rsid w:val="00DC6FF2"/>
    <w:rsid w:val="00DD1A85"/>
    <w:rsid w:val="00DD2BE7"/>
    <w:rsid w:val="00DD3DB0"/>
    <w:rsid w:val="00DD4B02"/>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2B6B"/>
    <w:rsid w:val="00E33FE9"/>
    <w:rsid w:val="00E36436"/>
    <w:rsid w:val="00E41767"/>
    <w:rsid w:val="00E458BB"/>
    <w:rsid w:val="00E51AD2"/>
    <w:rsid w:val="00E51F0F"/>
    <w:rsid w:val="00E533DE"/>
    <w:rsid w:val="00E5576B"/>
    <w:rsid w:val="00E56F77"/>
    <w:rsid w:val="00E63FBF"/>
    <w:rsid w:val="00E65CC6"/>
    <w:rsid w:val="00E71FF3"/>
    <w:rsid w:val="00E72B17"/>
    <w:rsid w:val="00E73259"/>
    <w:rsid w:val="00E74AAB"/>
    <w:rsid w:val="00E77C73"/>
    <w:rsid w:val="00E77C77"/>
    <w:rsid w:val="00E80808"/>
    <w:rsid w:val="00E80C98"/>
    <w:rsid w:val="00E85A1D"/>
    <w:rsid w:val="00E90FC3"/>
    <w:rsid w:val="00E9190B"/>
    <w:rsid w:val="00E921A8"/>
    <w:rsid w:val="00E94C9D"/>
    <w:rsid w:val="00E96AFA"/>
    <w:rsid w:val="00E97FE1"/>
    <w:rsid w:val="00EA18B9"/>
    <w:rsid w:val="00EA2380"/>
    <w:rsid w:val="00EA2C52"/>
    <w:rsid w:val="00EB401E"/>
    <w:rsid w:val="00EB54C4"/>
    <w:rsid w:val="00EB7DB4"/>
    <w:rsid w:val="00EC0CD4"/>
    <w:rsid w:val="00EC3FD6"/>
    <w:rsid w:val="00EC4EF1"/>
    <w:rsid w:val="00EC6E17"/>
    <w:rsid w:val="00ED785E"/>
    <w:rsid w:val="00EE576F"/>
    <w:rsid w:val="00EE5BDF"/>
    <w:rsid w:val="00EE6ED3"/>
    <w:rsid w:val="00EF1CD4"/>
    <w:rsid w:val="00EF5B4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3FA"/>
    <w:rsid w:val="00F856EC"/>
    <w:rsid w:val="00F9059F"/>
    <w:rsid w:val="00F91602"/>
    <w:rsid w:val="00F93BAD"/>
    <w:rsid w:val="00F941C5"/>
    <w:rsid w:val="00F96B8E"/>
    <w:rsid w:val="00FA1DEE"/>
    <w:rsid w:val="00FA6BD2"/>
    <w:rsid w:val="00FA7D73"/>
    <w:rsid w:val="00FB2365"/>
    <w:rsid w:val="00FC47A5"/>
    <w:rsid w:val="00FC5530"/>
    <w:rsid w:val="00FC59F1"/>
    <w:rsid w:val="00FD0591"/>
    <w:rsid w:val="00FE03E4"/>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434A5-90BA-4F11-BD91-B7B5968E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EB54C4"/>
    <w:rPr>
      <w:vertAlign w:val="superscript"/>
    </w:rPr>
  </w:style>
  <w:style w:type="paragraph" w:styleId="Sangra3detindependiente">
    <w:name w:val="Body Text Indent 3"/>
    <w:basedOn w:val="Normal"/>
    <w:link w:val="Sangra3detindependienteCar"/>
    <w:uiPriority w:val="99"/>
    <w:semiHidden/>
    <w:unhideWhenUsed/>
    <w:rsid w:val="001A576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A5761"/>
    <w:rPr>
      <w:rFonts w:ascii="Times New Roman" w:eastAsia="Times New Roman" w:hAnsi="Times New Roman" w:cs="Times New Roman"/>
      <w:sz w:val="16"/>
      <w:szCs w:val="16"/>
      <w:lang w:val="es-ES_tradnl" w:eastAsia="es-ES"/>
    </w:rPr>
  </w:style>
  <w:style w:type="character" w:customStyle="1" w:styleId="SinespaciadoCar">
    <w:name w:val="Sin espaciado Car"/>
    <w:link w:val="Sinespaciado"/>
    <w:uiPriority w:val="1"/>
    <w:locked/>
    <w:rsid w:val="00B96DA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 w:id="18941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D853A-CE37-46EA-8CB7-6B2C3F61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Pages>
  <Words>1208</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16</cp:revision>
  <cp:lastPrinted>2016-09-07T19:44:00Z</cp:lastPrinted>
  <dcterms:created xsi:type="dcterms:W3CDTF">2016-08-16T13:29:00Z</dcterms:created>
  <dcterms:modified xsi:type="dcterms:W3CDTF">2016-11-18T22:23:00Z</dcterms:modified>
</cp:coreProperties>
</file>