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9E" w:rsidRDefault="005C219E" w:rsidP="005C219E">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0173E4">
        <w:rPr>
          <w:rFonts w:ascii="Arial Narrow" w:hAnsi="Arial Narrow" w:cs="Arial"/>
          <w:i/>
          <w:sz w:val="20"/>
        </w:rPr>
        <w:t>20</w:t>
      </w:r>
      <w:r w:rsidR="00FF75A4">
        <w:rPr>
          <w:rFonts w:ascii="Arial Narrow" w:hAnsi="Arial Narrow" w:cs="Arial"/>
          <w:i/>
          <w:sz w:val="20"/>
        </w:rPr>
        <w:t xml:space="preserve"> de </w:t>
      </w:r>
      <w:r w:rsidR="000173E4">
        <w:rPr>
          <w:rFonts w:ascii="Arial Narrow" w:hAnsi="Arial Narrow" w:cs="Arial"/>
          <w:i/>
          <w:sz w:val="20"/>
        </w:rPr>
        <w:t>octubre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0173E4">
        <w:rPr>
          <w:rFonts w:ascii="Arial Narrow" w:hAnsi="Arial Narrow" w:cs="Arial"/>
          <w:bCs/>
          <w:i/>
          <w:sz w:val="20"/>
        </w:rPr>
        <w:t>4</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0173E4">
        <w:rPr>
          <w:rFonts w:ascii="Arial Narrow" w:hAnsi="Arial Narrow" w:cs="Arial"/>
          <w:bCs/>
          <w:i/>
          <w:sz w:val="20"/>
        </w:rPr>
        <w:t>658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0173E4">
        <w:rPr>
          <w:rFonts w:ascii="Arial Narrow" w:hAnsi="Arial Narrow" w:cs="Arial"/>
          <w:i/>
          <w:iCs/>
          <w:sz w:val="20"/>
        </w:rPr>
        <w:t xml:space="preserve">Dora Luz González </w:t>
      </w:r>
      <w:proofErr w:type="spellStart"/>
      <w:r w:rsidR="000173E4">
        <w:rPr>
          <w:rFonts w:ascii="Arial Narrow" w:hAnsi="Arial Narrow" w:cs="Arial"/>
          <w:i/>
          <w:iCs/>
          <w:sz w:val="20"/>
        </w:rPr>
        <w:t>González</w:t>
      </w:r>
      <w:proofErr w:type="spellEnd"/>
      <w:r w:rsidR="000173E4">
        <w:rPr>
          <w:rFonts w:ascii="Arial Narrow" w:hAnsi="Arial Narrow" w:cs="Arial"/>
          <w:i/>
          <w:iCs/>
          <w:sz w:val="20"/>
        </w:rPr>
        <w:t xml:space="preserve"> en representación Gloria </w:t>
      </w:r>
      <w:proofErr w:type="spellStart"/>
      <w:r w:rsidR="000173E4">
        <w:rPr>
          <w:rFonts w:ascii="Arial Narrow" w:hAnsi="Arial Narrow" w:cs="Arial"/>
          <w:i/>
          <w:iCs/>
          <w:sz w:val="20"/>
        </w:rPr>
        <w:t>Ludivia</w:t>
      </w:r>
      <w:proofErr w:type="spellEnd"/>
      <w:r w:rsidR="000173E4">
        <w:rPr>
          <w:rFonts w:ascii="Arial Narrow" w:hAnsi="Arial Narrow" w:cs="Arial"/>
          <w:i/>
          <w:iCs/>
          <w:sz w:val="20"/>
        </w:rPr>
        <w:t xml:space="preserve"> González </w:t>
      </w:r>
      <w:proofErr w:type="spellStart"/>
      <w:r w:rsidR="000173E4">
        <w:rPr>
          <w:rFonts w:ascii="Arial Narrow" w:hAnsi="Arial Narrow" w:cs="Arial"/>
          <w:i/>
          <w:iCs/>
          <w:sz w:val="20"/>
        </w:rPr>
        <w:t>González</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436820">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36820">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970443" w:rsidRDefault="00181D67" w:rsidP="007A34E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557BE">
        <w:rPr>
          <w:rFonts w:ascii="Arial Narrow" w:hAnsi="Arial Narrow" w:cs="Tahoma"/>
          <w:b/>
          <w:bCs/>
          <w:i/>
          <w:sz w:val="20"/>
          <w:szCs w:val="18"/>
        </w:rPr>
        <w:t xml:space="preserve">Pensión de invalidez. </w:t>
      </w:r>
      <w:r w:rsidR="00970443">
        <w:rPr>
          <w:rFonts w:ascii="Arial Narrow" w:hAnsi="Arial Narrow" w:cs="Tahoma"/>
          <w:b/>
          <w:bCs/>
          <w:i/>
          <w:sz w:val="20"/>
          <w:szCs w:val="18"/>
        </w:rPr>
        <w:t xml:space="preserve">Hipótesis. </w:t>
      </w:r>
      <w:r w:rsidR="00B557BE">
        <w:rPr>
          <w:rFonts w:ascii="Arial Narrow" w:hAnsi="Arial Narrow" w:cs="Tahoma"/>
          <w:b/>
          <w:bCs/>
          <w:i/>
          <w:sz w:val="20"/>
          <w:szCs w:val="18"/>
        </w:rPr>
        <w:t xml:space="preserve"> </w:t>
      </w:r>
      <w:r w:rsidR="000900BA">
        <w:rPr>
          <w:rFonts w:ascii="Arial Narrow" w:hAnsi="Arial Narrow" w:cs="Tahoma"/>
          <w:bCs/>
          <w:i/>
          <w:sz w:val="20"/>
          <w:szCs w:val="18"/>
        </w:rPr>
        <w:t>B</w:t>
      </w:r>
      <w:r w:rsidR="00970443" w:rsidRPr="00970443">
        <w:rPr>
          <w:rFonts w:ascii="Arial Narrow" w:hAnsi="Arial Narrow" w:cs="Tahoma"/>
          <w:bCs/>
          <w:i/>
          <w:sz w:val="20"/>
          <w:szCs w:val="18"/>
        </w:rPr>
        <w:t>ajo la óptica del artículo 39 de la Ley 100 de 1993, modificada por la Ley 860 de 2003, que establece varias hipótesis para pensionar por invalidez, en cuanto a la densidad de cotizaciones: (i) como regla general, indica que acceden a esta prestación, quienes cuenten con 50 semanas cotizadas en los tres años anteriores a la fecha de estructuración de la invalidez; (ii) por excepción, a quienes sean menores a 20 años, se les exigirá que acrediten 26 semanas en el año inmediatamente anterior al hecho causante de su invalidez o a su declaratoria y (iii) quienes cuenten con un 75% de las semanas mínimas requeridas para pensionarse por vejez, quienes deberán tener cotizadas 25 semanas en los tres años anteriores.</w:t>
      </w:r>
      <w:r w:rsidR="000900BA">
        <w:rPr>
          <w:rFonts w:ascii="Arial Narrow" w:hAnsi="Arial Narrow" w:cs="Tahoma"/>
          <w:bCs/>
          <w:i/>
          <w:sz w:val="20"/>
          <w:szCs w:val="18"/>
        </w:rPr>
        <w:t xml:space="preserve"> </w:t>
      </w:r>
    </w:p>
    <w:p w:rsidR="00181D67" w:rsidRPr="005C219E" w:rsidRDefault="00181D67" w:rsidP="005C219E">
      <w:pPr>
        <w:pStyle w:val="Sinespaciado"/>
        <w:jc w:val="both"/>
        <w:rPr>
          <w:rFonts w:ascii="Arial Narrow" w:hAnsi="Arial Narrow"/>
          <w:sz w:val="20"/>
        </w:rPr>
      </w:pPr>
    </w:p>
    <w:p w:rsidR="005C219E" w:rsidRPr="005C219E" w:rsidRDefault="005C219E" w:rsidP="005C219E">
      <w:pPr>
        <w:pStyle w:val="Sinespaciado"/>
        <w:jc w:val="both"/>
        <w:rPr>
          <w:rFonts w:ascii="Arial Narrow" w:hAnsi="Arial Narrow"/>
          <w:sz w:val="20"/>
        </w:rPr>
      </w:pPr>
      <w:r w:rsidRPr="005C219E">
        <w:rPr>
          <w:rFonts w:ascii="Arial Narrow" w:hAnsi="Arial Narrow"/>
          <w:b/>
          <w:sz w:val="20"/>
        </w:rPr>
        <w:t>Citación jurisprudencial:</w:t>
      </w:r>
      <w:r w:rsidRPr="005C219E">
        <w:rPr>
          <w:rFonts w:ascii="Arial Narrow" w:hAnsi="Arial Narrow"/>
          <w:sz w:val="20"/>
        </w:rPr>
        <w:t xml:space="preserve"> Corte Suprema de Justicia. Sala de Casación Laboral, sentencia del 03 de septiembre de 2014 expediente 52.823</w:t>
      </w:r>
    </w:p>
    <w:p w:rsidR="005C219E" w:rsidRPr="005C219E" w:rsidRDefault="005C219E" w:rsidP="005C219E">
      <w:pPr>
        <w:pStyle w:val="Sinespaciado"/>
        <w:jc w:val="both"/>
        <w:rPr>
          <w:rFonts w:ascii="Arial Narrow" w:hAnsi="Arial Narrow"/>
          <w:sz w:val="20"/>
        </w:rPr>
      </w:pPr>
      <w:bookmarkStart w:id="0" w:name="_GoBack"/>
      <w:bookmarkEnd w:id="0"/>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0173E4">
        <w:rPr>
          <w:rFonts w:ascii="Arial Narrow" w:eastAsia="Calibri" w:hAnsi="Arial Narrow" w:cs="Arial"/>
          <w:sz w:val="28"/>
          <w:szCs w:val="28"/>
          <w:lang w:val="es-CO" w:eastAsia="en-US"/>
        </w:rPr>
        <w:t>veinte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0173E4">
        <w:rPr>
          <w:rFonts w:ascii="Arial Narrow" w:eastAsia="Calibri" w:hAnsi="Arial Narrow" w:cs="Arial"/>
          <w:sz w:val="28"/>
          <w:szCs w:val="28"/>
          <w:lang w:val="es-CO" w:eastAsia="en-US"/>
        </w:rPr>
        <w:t>20</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0173E4">
        <w:rPr>
          <w:rFonts w:ascii="Arial Narrow" w:eastAsia="Calibri" w:hAnsi="Arial Narrow" w:cs="Arial"/>
          <w:sz w:val="28"/>
          <w:szCs w:val="28"/>
          <w:lang w:val="es-CO" w:eastAsia="en-US"/>
        </w:rPr>
        <w:t>octu</w:t>
      </w:r>
      <w:r w:rsidR="00436820">
        <w:rPr>
          <w:rFonts w:ascii="Arial Narrow" w:eastAsia="Calibri" w:hAnsi="Arial Narrow" w:cs="Arial"/>
          <w:sz w:val="28"/>
          <w:szCs w:val="28"/>
          <w:lang w:val="es-CO" w:eastAsia="en-US"/>
        </w:rPr>
        <w:t>bre</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ocho y</w:t>
      </w:r>
      <w:r w:rsidR="00A915C0">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quince</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1</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0173E4">
        <w:rPr>
          <w:rFonts w:ascii="Arial Narrow" w:hAnsi="Arial Narrow" w:cs="Tahoma"/>
          <w:bCs/>
          <w:color w:val="000000"/>
          <w:sz w:val="28"/>
          <w:szCs w:val="28"/>
          <w:lang w:eastAsia="es-CO"/>
        </w:rPr>
        <w:t>02</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36820">
        <w:rPr>
          <w:rFonts w:ascii="Arial Narrow" w:hAnsi="Arial Narrow" w:cs="Tahoma"/>
          <w:bCs/>
          <w:color w:val="000000"/>
          <w:sz w:val="28"/>
          <w:szCs w:val="28"/>
          <w:lang w:eastAsia="es-CO"/>
        </w:rPr>
        <w:t>ju</w:t>
      </w:r>
      <w:r w:rsidR="000173E4">
        <w:rPr>
          <w:rFonts w:ascii="Arial Narrow" w:hAnsi="Arial Narrow" w:cs="Tahoma"/>
          <w:bCs/>
          <w:color w:val="000000"/>
          <w:sz w:val="28"/>
          <w:szCs w:val="28"/>
          <w:lang w:eastAsia="es-CO"/>
        </w:rPr>
        <w:t>l</w:t>
      </w:r>
      <w:r w:rsidR="00436820">
        <w:rPr>
          <w:rFonts w:ascii="Arial Narrow" w:hAnsi="Arial Narrow" w:cs="Tahoma"/>
          <w:bCs/>
          <w:color w:val="000000"/>
          <w:sz w:val="28"/>
          <w:szCs w:val="28"/>
          <w:lang w:eastAsia="es-CO"/>
        </w:rPr>
        <w:t>io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0173E4">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0173E4">
        <w:rPr>
          <w:rFonts w:ascii="Arial Narrow" w:hAnsi="Arial Narrow" w:cs="Tahoma"/>
          <w:b/>
          <w:bCs/>
          <w:i/>
          <w:color w:val="000000"/>
          <w:sz w:val="28"/>
          <w:szCs w:val="28"/>
          <w:lang w:eastAsia="es-CO"/>
        </w:rPr>
        <w:t xml:space="preserve">Dora Luz González </w:t>
      </w:r>
      <w:proofErr w:type="spellStart"/>
      <w:r w:rsidR="000173E4">
        <w:rPr>
          <w:rFonts w:ascii="Arial Narrow" w:hAnsi="Arial Narrow" w:cs="Tahoma"/>
          <w:b/>
          <w:bCs/>
          <w:i/>
          <w:color w:val="000000"/>
          <w:sz w:val="28"/>
          <w:szCs w:val="28"/>
          <w:lang w:eastAsia="es-CO"/>
        </w:rPr>
        <w:t>González</w:t>
      </w:r>
      <w:proofErr w:type="spellEnd"/>
      <w:r w:rsidR="000173E4">
        <w:rPr>
          <w:rFonts w:ascii="Arial Narrow" w:hAnsi="Arial Narrow" w:cs="Tahoma"/>
          <w:b/>
          <w:bCs/>
          <w:i/>
          <w:color w:val="000000"/>
          <w:sz w:val="28"/>
          <w:szCs w:val="28"/>
          <w:lang w:eastAsia="es-CO"/>
        </w:rPr>
        <w:t xml:space="preserve"> en representación de Gloria </w:t>
      </w:r>
      <w:proofErr w:type="spellStart"/>
      <w:r w:rsidR="000173E4">
        <w:rPr>
          <w:rFonts w:ascii="Arial Narrow" w:hAnsi="Arial Narrow" w:cs="Tahoma"/>
          <w:b/>
          <w:bCs/>
          <w:i/>
          <w:color w:val="000000"/>
          <w:sz w:val="28"/>
          <w:szCs w:val="28"/>
          <w:lang w:eastAsia="es-CO"/>
        </w:rPr>
        <w:t>Ludivia</w:t>
      </w:r>
      <w:proofErr w:type="spellEnd"/>
      <w:r w:rsidR="000173E4">
        <w:rPr>
          <w:rFonts w:ascii="Arial Narrow" w:hAnsi="Arial Narrow" w:cs="Tahoma"/>
          <w:b/>
          <w:bCs/>
          <w:i/>
          <w:color w:val="000000"/>
          <w:sz w:val="28"/>
          <w:szCs w:val="28"/>
          <w:lang w:eastAsia="es-CO"/>
        </w:rPr>
        <w:t xml:space="preserve"> González </w:t>
      </w:r>
      <w:proofErr w:type="spellStart"/>
      <w:r w:rsidR="000173E4">
        <w:rPr>
          <w:rFonts w:ascii="Arial Narrow" w:hAnsi="Arial Narrow" w:cs="Tahoma"/>
          <w:b/>
          <w:bCs/>
          <w:i/>
          <w:color w:val="000000"/>
          <w:sz w:val="28"/>
          <w:szCs w:val="28"/>
          <w:lang w:eastAsia="es-CO"/>
        </w:rPr>
        <w:t>González</w:t>
      </w:r>
      <w:proofErr w:type="spellEnd"/>
      <w:r w:rsidR="000173E4">
        <w:rPr>
          <w:rFonts w:ascii="Arial Narrow" w:hAnsi="Arial Narrow" w:cs="Tahoma"/>
          <w:b/>
          <w:bCs/>
          <w:i/>
          <w:color w:val="000000"/>
          <w:sz w:val="28"/>
          <w:szCs w:val="28"/>
          <w:lang w:eastAsia="es-CO"/>
        </w:rPr>
        <w:t xml:space="preserve"> </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175C5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175C57">
        <w:rPr>
          <w:rFonts w:ascii="Arial Narrow" w:hAnsi="Arial Narrow" w:cs="Tahoma"/>
          <w:sz w:val="28"/>
          <w:szCs w:val="28"/>
        </w:rPr>
        <w:t>la</w:t>
      </w:r>
      <w:r w:rsidR="000A5A77">
        <w:rPr>
          <w:rFonts w:ascii="Arial Narrow" w:hAnsi="Arial Narrow" w:cs="Tahoma"/>
          <w:sz w:val="28"/>
          <w:szCs w:val="28"/>
        </w:rPr>
        <w:t xml:space="preserve"> demandante busca que se </w:t>
      </w:r>
      <w:r w:rsidR="00916E2E">
        <w:rPr>
          <w:rFonts w:ascii="Arial Narrow" w:hAnsi="Arial Narrow" w:cs="Tahoma"/>
          <w:sz w:val="28"/>
          <w:szCs w:val="28"/>
        </w:rPr>
        <w:t>declara</w:t>
      </w:r>
      <w:r w:rsidR="00175C57">
        <w:rPr>
          <w:rFonts w:ascii="Arial Narrow" w:hAnsi="Arial Narrow" w:cs="Tahoma"/>
          <w:sz w:val="28"/>
          <w:szCs w:val="28"/>
        </w:rPr>
        <w:t xml:space="preserve"> que la señora Gloria </w:t>
      </w:r>
      <w:proofErr w:type="spellStart"/>
      <w:r w:rsidR="00175C57">
        <w:rPr>
          <w:rFonts w:ascii="Arial Narrow" w:hAnsi="Arial Narrow" w:cs="Tahoma"/>
          <w:sz w:val="28"/>
          <w:szCs w:val="28"/>
        </w:rPr>
        <w:t>Ludivia</w:t>
      </w:r>
      <w:proofErr w:type="spellEnd"/>
      <w:r w:rsidR="00175C57">
        <w:rPr>
          <w:rFonts w:ascii="Arial Narrow" w:hAnsi="Arial Narrow" w:cs="Tahoma"/>
          <w:sz w:val="28"/>
          <w:szCs w:val="28"/>
        </w:rPr>
        <w:t xml:space="preserve"> tiene derecho a la pensión de invalidez y en consecuencia se ordene a Colpensiones a reconocerla, con </w:t>
      </w:r>
      <w:r w:rsidR="00175C57">
        <w:rPr>
          <w:rFonts w:ascii="Arial Narrow" w:hAnsi="Arial Narrow" w:cs="Tahoma"/>
          <w:sz w:val="28"/>
          <w:szCs w:val="28"/>
        </w:rPr>
        <w:lastRenderedPageBreak/>
        <w:t>el correspondiente retroactivo, a partir del 1º de septiembre de 2009 y las respectivas costas.</w:t>
      </w:r>
    </w:p>
    <w:p w:rsidR="00175C57" w:rsidRDefault="00175C57" w:rsidP="00181D67">
      <w:pPr>
        <w:shd w:val="clear" w:color="auto" w:fill="FFFFFF"/>
        <w:spacing w:line="360" w:lineRule="auto"/>
        <w:ind w:firstLine="851"/>
        <w:jc w:val="both"/>
        <w:rPr>
          <w:rFonts w:ascii="Arial Narrow" w:hAnsi="Arial Narrow" w:cs="Tahoma"/>
          <w:sz w:val="28"/>
          <w:szCs w:val="28"/>
        </w:rPr>
      </w:pPr>
    </w:p>
    <w:p w:rsidR="00364336" w:rsidRDefault="00175C5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tales pretensiones, se relató que la señora Gloria </w:t>
      </w:r>
      <w:proofErr w:type="spellStart"/>
      <w:r>
        <w:rPr>
          <w:rFonts w:ascii="Arial Narrow" w:hAnsi="Arial Narrow" w:cs="Tahoma"/>
          <w:sz w:val="28"/>
          <w:szCs w:val="28"/>
        </w:rPr>
        <w:t>Ludivia</w:t>
      </w:r>
      <w:proofErr w:type="spellEnd"/>
      <w:r>
        <w:rPr>
          <w:rFonts w:ascii="Arial Narrow" w:hAnsi="Arial Narrow" w:cs="Tahoma"/>
          <w:sz w:val="28"/>
          <w:szCs w:val="28"/>
        </w:rPr>
        <w:t xml:space="preserve"> sufrió accidente de tránsito que le generó trauma craneoencefálico severo, con alteraciones neurológicas funcionales y motoras definitivas, que el 29 de febrero de 2012 fue calificada por la Junta Regional de Calificación de Invalidez con una pérdida de capacidad laboral del 93.25%, que laboró en el Hospital Universitario San Jorge de Pereira por 28 años, que la actora aportó parte del tiempo al mismo ente hospitalario y otro tanto lo aportó al Seguro Social, que el 22 de mayo de 2012 elevó petición para el reconocimiento pensional, que el 20 de mayo de 2013 se negó la pensión bajo el argumento de que no cuenta con las 50 semanas en los tres años anteriores, que se agotaron los recursos de ley, argumentando que la demandante cuenta con más de 28 años de afiliación al sistema de pensiones, con lo cual es suficiente para subvencionar la pensión de vejez y, por ende, la de invalidez, que la entidad mantuvo la aludida </w:t>
      </w:r>
      <w:r w:rsidR="00364336">
        <w:rPr>
          <w:rFonts w:ascii="Arial Narrow" w:hAnsi="Arial Narrow" w:cs="Tahoma"/>
          <w:sz w:val="28"/>
          <w:szCs w:val="28"/>
        </w:rPr>
        <w:t xml:space="preserve">decisión. </w:t>
      </w:r>
    </w:p>
    <w:p w:rsidR="00364336" w:rsidRDefault="00364336" w:rsidP="00181D67">
      <w:pPr>
        <w:shd w:val="clear" w:color="auto" w:fill="FFFFFF"/>
        <w:spacing w:line="360" w:lineRule="auto"/>
        <w:ind w:firstLine="851"/>
        <w:jc w:val="both"/>
        <w:rPr>
          <w:rFonts w:ascii="Arial Narrow" w:hAnsi="Arial Narrow" w:cs="Tahoma"/>
          <w:sz w:val="28"/>
          <w:szCs w:val="28"/>
        </w:rPr>
      </w:pPr>
    </w:p>
    <w:p w:rsidR="007B0A1E" w:rsidRDefault="005B20B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 sociedad demandada, la cual allegó contestación por medio de portavoz judicial que se pronunció respecto a los hechos, aceptando el accidente padecido por la demandante, su merma de capacidad laboral, la negativa de la entidad en reconocer el derecho pensional y el argumento para ello, así como el recurso interpuesto y la confirmación de la decisión. Se opone a las pretensiones demandadas y formula como excepciones de fondo las de “Inexistencia de la obligación” y “Prescripción”.</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23955"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Agotadas las probanzas y escuchados los alegatos de las partes, </w:t>
      </w:r>
      <w:r w:rsidR="00D670D1">
        <w:rPr>
          <w:rFonts w:ascii="Arial Narrow" w:hAnsi="Arial Narrow" w:cs="Tahoma"/>
          <w:sz w:val="28"/>
          <w:szCs w:val="28"/>
        </w:rPr>
        <w:t>la Jueza a quo</w:t>
      </w:r>
      <w:r w:rsidR="004A5E46">
        <w:rPr>
          <w:rFonts w:ascii="Arial Narrow" w:hAnsi="Arial Narrow" w:cs="Tahoma"/>
          <w:sz w:val="28"/>
          <w:szCs w:val="28"/>
        </w:rPr>
        <w:t xml:space="preserve"> dictó decisión atendiendo las pretensiones de la demandada, lo que hizo con apoyo en la posición de la Corte Suprema de Justicia Sala de Casación Laboral, en la que dispuso que en aquellos casos, en los cuales una persona alcanzaba la densidad de cotizaciones para lograr la pensión, la gracia de invalidez debía reconocerse, </w:t>
      </w:r>
      <w:r w:rsidR="004A5E46">
        <w:rPr>
          <w:rFonts w:ascii="Arial Narrow" w:hAnsi="Arial Narrow" w:cs="Tahoma"/>
          <w:sz w:val="28"/>
          <w:szCs w:val="28"/>
        </w:rPr>
        <w:lastRenderedPageBreak/>
        <w:t xml:space="preserve">atendiendo además otro presupuesto como lo era lo especialísimo del caso y el riesgo inminente de afectar la digna subsistencia de quien padecía una invalidez severa. En este caso, encontró la juzgadora que la demandante contaba con muchísimo más del tiempo exigido para alcanzar la gracia por vejez y que el caso era especialmente grave, pues la actora tenía una invalidez que superaba el 90%, lo que hacía evidente la urgencia e inminencia del asunto. </w:t>
      </w:r>
      <w:r w:rsidR="00B23955">
        <w:rPr>
          <w:rFonts w:ascii="Arial Narrow" w:hAnsi="Arial Narrow" w:cs="Tahoma"/>
          <w:sz w:val="28"/>
          <w:szCs w:val="28"/>
        </w:rPr>
        <w:t>Dispuso que dicha prestación debía reconocerse desde el 1º de septiembre de 2009 y condenó al pago del retroactivo por un valor de $62.727.726,91, y el valor de la mesada para el año 2015 debía equivaler a la suma de $842.300,90. Negó la excepción de prescripción, al estimar que el derecho se hizo exigible con la calificación, la cual acaeció en abril de 2012 y, al haberse incoado la demanda en diciembre de 2014 no se habían superado los tres años exigidos, además que en ese lapso se había agotado la reclamación administrativa.</w:t>
      </w:r>
      <w:r w:rsidR="004163B6">
        <w:rPr>
          <w:rFonts w:ascii="Arial Narrow" w:hAnsi="Arial Narrow" w:cs="Tahoma"/>
          <w:sz w:val="28"/>
          <w:szCs w:val="28"/>
        </w:rPr>
        <w:t xml:space="preserve"> Impuso costas a Colpensiones en un 100%.</w:t>
      </w:r>
    </w:p>
    <w:p w:rsidR="00B23955" w:rsidRDefault="00B2395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w:t>
      </w:r>
      <w:r w:rsidR="00B23955">
        <w:rPr>
          <w:rFonts w:ascii="Arial Narrow" w:hAnsi="Arial Narrow" w:cs="Tahoma"/>
          <w:sz w:val="28"/>
          <w:szCs w:val="28"/>
        </w:rPr>
        <w:t xml:space="preserve">imponer una condena contra Colpensiones, entidad en la que es garante la Nación.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w:t>
      </w:r>
      <w:r w:rsidR="00E47971">
        <w:rPr>
          <w:rFonts w:ascii="Arial Narrow" w:hAnsi="Arial Narrow" w:cs="Tahoma"/>
          <w:color w:val="000000"/>
          <w:sz w:val="28"/>
          <w:szCs w:val="28"/>
          <w:lang w:eastAsia="es-CO"/>
        </w:rPr>
        <w:t>n los siguientes in</w:t>
      </w:r>
      <w:r>
        <w:rPr>
          <w:rFonts w:ascii="Arial Narrow" w:hAnsi="Arial Narrow" w:cs="Tahoma"/>
          <w:color w:val="000000"/>
          <w:sz w:val="28"/>
          <w:szCs w:val="28"/>
          <w:lang w:eastAsia="es-CO"/>
        </w:rPr>
        <w:t>terrogante</w:t>
      </w:r>
      <w:r w:rsidR="00E47971">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894424">
        <w:rPr>
          <w:rFonts w:ascii="Arial Narrow" w:hAnsi="Arial Narrow" w:cs="Tahoma"/>
          <w:i/>
          <w:color w:val="000000"/>
          <w:sz w:val="28"/>
          <w:szCs w:val="28"/>
          <w:lang w:eastAsia="es-CO"/>
        </w:rPr>
        <w:t xml:space="preserve">Es la señora Gloria </w:t>
      </w:r>
      <w:proofErr w:type="spellStart"/>
      <w:r w:rsidR="00894424">
        <w:rPr>
          <w:rFonts w:ascii="Arial Narrow" w:hAnsi="Arial Narrow" w:cs="Tahoma"/>
          <w:i/>
          <w:color w:val="000000"/>
          <w:sz w:val="28"/>
          <w:szCs w:val="28"/>
          <w:lang w:eastAsia="es-CO"/>
        </w:rPr>
        <w:t>Ludivia</w:t>
      </w:r>
      <w:proofErr w:type="spellEnd"/>
      <w:r w:rsidR="00894424">
        <w:rPr>
          <w:rFonts w:ascii="Arial Narrow" w:hAnsi="Arial Narrow" w:cs="Tahoma"/>
          <w:i/>
          <w:color w:val="000000"/>
          <w:sz w:val="28"/>
          <w:szCs w:val="28"/>
          <w:lang w:eastAsia="es-CO"/>
        </w:rPr>
        <w:t xml:space="preserve"> González </w:t>
      </w:r>
      <w:proofErr w:type="spellStart"/>
      <w:r w:rsidR="00894424">
        <w:rPr>
          <w:rFonts w:ascii="Arial Narrow" w:hAnsi="Arial Narrow" w:cs="Tahoma"/>
          <w:i/>
          <w:color w:val="000000"/>
          <w:sz w:val="28"/>
          <w:szCs w:val="28"/>
          <w:lang w:eastAsia="es-CO"/>
        </w:rPr>
        <w:t>González</w:t>
      </w:r>
      <w:proofErr w:type="spellEnd"/>
      <w:r w:rsidR="00894424">
        <w:rPr>
          <w:rFonts w:ascii="Arial Narrow" w:hAnsi="Arial Narrow" w:cs="Tahoma"/>
          <w:i/>
          <w:color w:val="000000"/>
          <w:sz w:val="28"/>
          <w:szCs w:val="28"/>
          <w:lang w:eastAsia="es-CO"/>
        </w:rPr>
        <w:t xml:space="preserve"> beneficiaria de la pensión por invalidez</w:t>
      </w:r>
      <w:r>
        <w:rPr>
          <w:rFonts w:ascii="Arial Narrow" w:hAnsi="Arial Narrow" w:cs="Tahoma"/>
          <w:i/>
          <w:color w:val="000000"/>
          <w:sz w:val="28"/>
          <w:szCs w:val="28"/>
          <w:lang w:eastAsia="es-CO"/>
        </w:rPr>
        <w:t>?</w:t>
      </w: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503DD8" w:rsidRDefault="00477DA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w:t>
      </w:r>
      <w:r w:rsidR="005836E2">
        <w:rPr>
          <w:rFonts w:ascii="Arial Narrow" w:hAnsi="Arial Narrow" w:cs="Arial"/>
          <w:sz w:val="28"/>
          <w:szCs w:val="28"/>
          <w:lang w:val="es-ES"/>
        </w:rPr>
        <w:t>tiene</w:t>
      </w:r>
      <w:r>
        <w:rPr>
          <w:rFonts w:ascii="Arial Narrow" w:hAnsi="Arial Narrow" w:cs="Arial"/>
          <w:sz w:val="28"/>
          <w:szCs w:val="28"/>
          <w:lang w:val="es-ES"/>
        </w:rPr>
        <w:t xml:space="preserve"> como regla general, que la pensión de invalidez está regida estrictamente por la normatividad vigente al momento de la estructuración de la </w:t>
      </w:r>
      <w:r w:rsidR="005836E2">
        <w:rPr>
          <w:rFonts w:ascii="Arial Narrow" w:hAnsi="Arial Narrow" w:cs="Arial"/>
          <w:sz w:val="28"/>
          <w:szCs w:val="28"/>
          <w:lang w:val="es-ES"/>
        </w:rPr>
        <w:t>merma de la capacidad laboral, por lo que en este caso, el asunto debería estudiarse bajo la óptica de</w:t>
      </w:r>
      <w:r w:rsidR="00D11D19">
        <w:rPr>
          <w:rFonts w:ascii="Arial Narrow" w:hAnsi="Arial Narrow" w:cs="Arial"/>
          <w:sz w:val="28"/>
          <w:szCs w:val="28"/>
          <w:lang w:val="es-ES"/>
        </w:rPr>
        <w:t>l artículo 39 de</w:t>
      </w:r>
      <w:r w:rsidR="005836E2">
        <w:rPr>
          <w:rFonts w:ascii="Arial Narrow" w:hAnsi="Arial Narrow" w:cs="Arial"/>
          <w:sz w:val="28"/>
          <w:szCs w:val="28"/>
          <w:lang w:val="es-ES"/>
        </w:rPr>
        <w:t xml:space="preserve"> la Ley 100 de 1993, modificada por la Ley 860 de 2003</w:t>
      </w:r>
      <w:r w:rsidR="00D11D19">
        <w:rPr>
          <w:rFonts w:ascii="Arial Narrow" w:hAnsi="Arial Narrow" w:cs="Arial"/>
          <w:sz w:val="28"/>
          <w:szCs w:val="28"/>
          <w:lang w:val="es-ES"/>
        </w:rPr>
        <w:t>, que establec</w:t>
      </w:r>
      <w:r w:rsidR="00A16E9E">
        <w:rPr>
          <w:rFonts w:ascii="Arial Narrow" w:hAnsi="Arial Narrow" w:cs="Arial"/>
          <w:sz w:val="28"/>
          <w:szCs w:val="28"/>
          <w:lang w:val="es-ES"/>
        </w:rPr>
        <w:t>e varias hipótesis para pensionar por invalidez</w:t>
      </w:r>
      <w:r w:rsidR="00E3587B">
        <w:rPr>
          <w:rFonts w:ascii="Arial Narrow" w:hAnsi="Arial Narrow" w:cs="Arial"/>
          <w:sz w:val="28"/>
          <w:szCs w:val="28"/>
          <w:lang w:val="es-ES"/>
        </w:rPr>
        <w:t>, en cuanto a la densidad de cotizaciones: (i) como regla general, indica que acceden a esta prestación, quienes cuenten con 50 semanas cotizadas en los tres años anteriores a la fecha de estructuración de la invalidez; (ii) por excepción, a quienes sean menores a 20 años, se les exigirá que acrediten 26 semanas en el año inmediatamente anterior al hecho causante de su invalidez o a su declaratoria y (iii) quienes cuenten con un 75% de las semanas mínimas requeridas</w:t>
      </w:r>
      <w:r w:rsidR="00503DD8">
        <w:rPr>
          <w:rFonts w:ascii="Arial Narrow" w:hAnsi="Arial Narrow" w:cs="Arial"/>
          <w:sz w:val="28"/>
          <w:szCs w:val="28"/>
          <w:lang w:val="es-ES"/>
        </w:rPr>
        <w:t xml:space="preserve"> para pensionarse por vejez, quienes deberán tener cotizadas 25 semanas en los tres años anteriores.</w:t>
      </w:r>
    </w:p>
    <w:p w:rsidR="00503DD8" w:rsidRDefault="00503DD8" w:rsidP="00505F81">
      <w:pPr>
        <w:spacing w:line="360" w:lineRule="auto"/>
        <w:ind w:firstLine="851"/>
        <w:jc w:val="both"/>
        <w:rPr>
          <w:rFonts w:ascii="Arial Narrow" w:hAnsi="Arial Narrow" w:cs="Arial"/>
          <w:sz w:val="28"/>
          <w:szCs w:val="28"/>
          <w:lang w:val="es-ES"/>
        </w:rPr>
      </w:pPr>
    </w:p>
    <w:p w:rsidR="00503DD8" w:rsidRDefault="00503DD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Dígase de una vez, que la señora Gloria </w:t>
      </w:r>
      <w:proofErr w:type="spellStart"/>
      <w:r>
        <w:rPr>
          <w:rFonts w:ascii="Arial Narrow" w:hAnsi="Arial Narrow" w:cs="Arial"/>
          <w:sz w:val="28"/>
          <w:szCs w:val="28"/>
          <w:lang w:val="es-ES"/>
        </w:rPr>
        <w:t>Ludivia</w:t>
      </w:r>
      <w:proofErr w:type="spellEnd"/>
      <w:r>
        <w:rPr>
          <w:rFonts w:ascii="Arial Narrow" w:hAnsi="Arial Narrow" w:cs="Arial"/>
          <w:sz w:val="28"/>
          <w:szCs w:val="28"/>
          <w:lang w:val="es-ES"/>
        </w:rPr>
        <w:t xml:space="preserve"> no cumple ninguna de las hipótesis que estableció el legislador, pues la merma severa que sufrió en su capacidad laboral -93,25%- se estructuró el 01 de septiembre de 2009, tal como se verifica en el dictamen de la Junta Regional de Calificación de Invalidez </w:t>
      </w:r>
      <w:r w:rsidR="00154470">
        <w:rPr>
          <w:rFonts w:ascii="Arial Narrow" w:hAnsi="Arial Narrow" w:cs="Arial"/>
          <w:sz w:val="28"/>
          <w:szCs w:val="28"/>
          <w:lang w:val="es-ES"/>
        </w:rPr>
        <w:t xml:space="preserve">de Risaralda visible a folio 16; y en los tres años anteriores no cuenta con cotización alguna, tal como consta en la historia laboral visible a folio 102 y ss. </w:t>
      </w:r>
      <w:r w:rsidR="00136479">
        <w:rPr>
          <w:rFonts w:ascii="Arial Narrow" w:hAnsi="Arial Narrow" w:cs="Arial"/>
          <w:sz w:val="28"/>
          <w:szCs w:val="28"/>
          <w:lang w:val="es-ES"/>
        </w:rPr>
        <w:t>Tampoco, en aplicación del principio de la condición más beneficiosa, cumple con los supuestos legales de la Ley 100 de 1993, en redacción original.</w:t>
      </w:r>
    </w:p>
    <w:p w:rsidR="00154470" w:rsidRDefault="00154470" w:rsidP="00505F81">
      <w:pPr>
        <w:spacing w:line="360" w:lineRule="auto"/>
        <w:ind w:firstLine="851"/>
        <w:jc w:val="both"/>
        <w:rPr>
          <w:rFonts w:ascii="Arial Narrow" w:hAnsi="Arial Narrow" w:cs="Arial"/>
          <w:sz w:val="28"/>
          <w:szCs w:val="28"/>
          <w:lang w:val="es-ES"/>
        </w:rPr>
      </w:pPr>
    </w:p>
    <w:p w:rsidR="0095131A" w:rsidRDefault="0015447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Sin embargo, no puede pasarse por alto que la </w:t>
      </w:r>
      <w:r w:rsidR="00525C48">
        <w:rPr>
          <w:rFonts w:ascii="Arial Narrow" w:hAnsi="Arial Narrow" w:cs="Arial"/>
          <w:sz w:val="28"/>
          <w:szCs w:val="28"/>
          <w:lang w:val="es-ES"/>
        </w:rPr>
        <w:t>demandante</w:t>
      </w:r>
      <w:r>
        <w:rPr>
          <w:rFonts w:ascii="Arial Narrow" w:hAnsi="Arial Narrow" w:cs="Arial"/>
          <w:sz w:val="28"/>
          <w:szCs w:val="28"/>
          <w:lang w:val="es-ES"/>
        </w:rPr>
        <w:t>, además del tiempo que tiene cotizado a Colpensiones -573,10</w:t>
      </w:r>
      <w:r w:rsidR="00525C48">
        <w:rPr>
          <w:rFonts w:ascii="Arial Narrow" w:hAnsi="Arial Narrow" w:cs="Arial"/>
          <w:sz w:val="28"/>
          <w:szCs w:val="28"/>
          <w:lang w:val="es-ES"/>
        </w:rPr>
        <w:t xml:space="preserve"> semanas-, prestó sus servicios al Hospital Universitario San Jorge de esta capital desde el 1º de marzo de 1977, hasta el 06 de enero de 2005, tal como se certificó por esa entidad –</w:t>
      </w:r>
      <w:proofErr w:type="spellStart"/>
      <w:r w:rsidR="00525C48">
        <w:rPr>
          <w:rFonts w:ascii="Arial Narrow" w:hAnsi="Arial Narrow" w:cs="Arial"/>
          <w:sz w:val="28"/>
          <w:szCs w:val="28"/>
          <w:lang w:val="es-ES"/>
        </w:rPr>
        <w:t>fl</w:t>
      </w:r>
      <w:proofErr w:type="spellEnd"/>
      <w:r w:rsidR="00525C48">
        <w:rPr>
          <w:rFonts w:ascii="Arial Narrow" w:hAnsi="Arial Narrow" w:cs="Arial"/>
          <w:sz w:val="28"/>
          <w:szCs w:val="28"/>
          <w:lang w:val="es-ES"/>
        </w:rPr>
        <w:t>. 18-, lapso del que solo se cotizó a Colpensiones a partir del 01 de septiembre de 1995. Por tal motivo, contabilizando ese lapso restante, para el cual se han expedido las certificaciones respectivas para el trámite de bonos pensionales –</w:t>
      </w:r>
      <w:proofErr w:type="spellStart"/>
      <w:r w:rsidR="00525C48">
        <w:rPr>
          <w:rFonts w:ascii="Arial Narrow" w:hAnsi="Arial Narrow" w:cs="Arial"/>
          <w:sz w:val="28"/>
          <w:szCs w:val="28"/>
          <w:lang w:val="es-ES"/>
        </w:rPr>
        <w:t>fls</w:t>
      </w:r>
      <w:proofErr w:type="spellEnd"/>
      <w:r w:rsidR="00525C48">
        <w:rPr>
          <w:rFonts w:ascii="Arial Narrow" w:hAnsi="Arial Narrow" w:cs="Arial"/>
          <w:sz w:val="28"/>
          <w:szCs w:val="28"/>
          <w:lang w:val="es-ES"/>
        </w:rPr>
        <w:t>. 19 a 35-. Ese período equivale a 6.661 días o 951,57 semanas, contando la demandante con un total de 1.524,67 semanas</w:t>
      </w:r>
      <w:r w:rsidR="00136479">
        <w:rPr>
          <w:rFonts w:ascii="Arial Narrow" w:hAnsi="Arial Narrow" w:cs="Arial"/>
          <w:sz w:val="28"/>
          <w:szCs w:val="28"/>
          <w:lang w:val="es-ES"/>
        </w:rPr>
        <w:t xml:space="preserve"> cotizadas</w:t>
      </w:r>
      <w:r w:rsidR="00525C48">
        <w:rPr>
          <w:rFonts w:ascii="Arial Narrow" w:hAnsi="Arial Narrow" w:cs="Arial"/>
          <w:sz w:val="28"/>
          <w:szCs w:val="28"/>
          <w:lang w:val="es-ES"/>
        </w:rPr>
        <w:t xml:space="preserve">, cifra que supera ampliamente la densidad de cotizaciones exigidas en la actualidad para acceder a dicha prestación, resultando completamente desproporcionado e inequitativo que </w:t>
      </w:r>
      <w:r w:rsidR="00A2577F">
        <w:rPr>
          <w:rFonts w:ascii="Arial Narrow" w:hAnsi="Arial Narrow" w:cs="Arial"/>
          <w:sz w:val="28"/>
          <w:szCs w:val="28"/>
          <w:lang w:val="es-ES"/>
        </w:rPr>
        <w:t xml:space="preserve">una persona que ostenta tal número de cotizaciones, no sea amparado en una de las contingencias para las cuales cotizó en </w:t>
      </w:r>
      <w:r w:rsidR="00136479">
        <w:rPr>
          <w:rFonts w:ascii="Arial Narrow" w:hAnsi="Arial Narrow" w:cs="Arial"/>
          <w:sz w:val="28"/>
          <w:szCs w:val="28"/>
          <w:lang w:val="es-ES"/>
        </w:rPr>
        <w:t>abundancia</w:t>
      </w:r>
      <w:r w:rsidR="00A2577F">
        <w:rPr>
          <w:rFonts w:ascii="Arial Narrow" w:hAnsi="Arial Narrow" w:cs="Arial"/>
          <w:sz w:val="28"/>
          <w:szCs w:val="28"/>
          <w:lang w:val="es-ES"/>
        </w:rPr>
        <w:t>, bajo el argumento de que esas cotizaciones fueron en tiempo anterior al exigido</w:t>
      </w:r>
      <w:r w:rsidR="0095131A">
        <w:rPr>
          <w:rFonts w:ascii="Arial Narrow" w:hAnsi="Arial Narrow" w:cs="Arial"/>
          <w:sz w:val="28"/>
          <w:szCs w:val="28"/>
          <w:lang w:val="es-ES"/>
        </w:rPr>
        <w:t xml:space="preserve"> por la norma.</w:t>
      </w:r>
    </w:p>
    <w:p w:rsidR="0095131A" w:rsidRDefault="0095131A" w:rsidP="00505F81">
      <w:pPr>
        <w:spacing w:line="360" w:lineRule="auto"/>
        <w:ind w:firstLine="851"/>
        <w:jc w:val="both"/>
        <w:rPr>
          <w:rFonts w:ascii="Arial Narrow" w:hAnsi="Arial Narrow" w:cs="Arial"/>
          <w:sz w:val="28"/>
          <w:szCs w:val="28"/>
          <w:lang w:val="es-ES"/>
        </w:rPr>
      </w:pPr>
    </w:p>
    <w:p w:rsidR="00DC179C" w:rsidRDefault="00BC4B2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Una de las razones que el legislador tuvo para tener esas exigencias en cuanto a cotizaciones para alcanzar la pensión de invalidez, es el financi</w:t>
      </w:r>
      <w:r w:rsidR="00DC179C">
        <w:rPr>
          <w:rFonts w:ascii="Arial Narrow" w:hAnsi="Arial Narrow" w:cs="Arial"/>
          <w:sz w:val="28"/>
          <w:szCs w:val="28"/>
          <w:lang w:val="es-ES"/>
        </w:rPr>
        <w:t>amiento del sistema, resultando abiertamente ilógico que a pesar de tener tiempo cotizado de más para financiar una pensión de vejez, no pueda acceder a una pensión de invalidez, cuyas exigencias legales de financiamiento son menores.</w:t>
      </w:r>
    </w:p>
    <w:p w:rsidR="00DC179C" w:rsidRDefault="00DC179C" w:rsidP="00505F81">
      <w:pPr>
        <w:spacing w:line="360" w:lineRule="auto"/>
        <w:ind w:firstLine="851"/>
        <w:jc w:val="both"/>
        <w:rPr>
          <w:rFonts w:ascii="Arial Narrow" w:hAnsi="Arial Narrow" w:cs="Arial"/>
          <w:sz w:val="28"/>
          <w:szCs w:val="28"/>
          <w:lang w:val="es-ES"/>
        </w:rPr>
      </w:pPr>
    </w:p>
    <w:p w:rsidR="00900B75" w:rsidRDefault="00DC179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 por ello que la decisión de primer grado debe avalarse, por cuanto aplicó de manera adecuada y proporcionada al caso, la posición jurisprudencial del órgano de cierre de la jurisdicción laboral, vertida en la sentencia del 03 de septiembre de 2014 expediente 52.823, decisión que es perfectamente ajustable al caso puntual, amén que la señora González </w:t>
      </w:r>
      <w:proofErr w:type="spellStart"/>
      <w:r>
        <w:rPr>
          <w:rFonts w:ascii="Arial Narrow" w:hAnsi="Arial Narrow" w:cs="Arial"/>
          <w:sz w:val="28"/>
          <w:szCs w:val="28"/>
          <w:lang w:val="es-ES"/>
        </w:rPr>
        <w:t>González</w:t>
      </w:r>
      <w:proofErr w:type="spellEnd"/>
      <w:r w:rsidR="009C3EE7">
        <w:rPr>
          <w:rFonts w:ascii="Arial Narrow" w:hAnsi="Arial Narrow" w:cs="Arial"/>
          <w:sz w:val="28"/>
          <w:szCs w:val="28"/>
          <w:lang w:val="es-ES"/>
        </w:rPr>
        <w:t xml:space="preserve"> cuenta con más de las cotizaciones exigidas para alcanzar la pensión de vejez, además que es indudablemente severo su grado de pérdida de capacidad laboral, el cual supera el 93%, lo que pone en evidencia que es un caso especialísimo que requiere una atención y un enfoque diferenciado y que requiere un trato especial para no socavar las condiciones de existencia que requiere la demandante. Por lo tanto, no queda duda que la decisión es ajustada a derecho, </w:t>
      </w:r>
      <w:r w:rsidR="009C3EE7">
        <w:rPr>
          <w:rFonts w:ascii="Arial Narrow" w:hAnsi="Arial Narrow" w:cs="Arial"/>
          <w:sz w:val="28"/>
          <w:szCs w:val="28"/>
          <w:lang w:val="es-ES"/>
        </w:rPr>
        <w:lastRenderedPageBreak/>
        <w:t>además que</w:t>
      </w:r>
      <w:r w:rsidR="00900B75">
        <w:rPr>
          <w:rFonts w:ascii="Arial Narrow" w:hAnsi="Arial Narrow" w:cs="Arial"/>
          <w:sz w:val="28"/>
          <w:szCs w:val="28"/>
          <w:lang w:val="es-ES"/>
        </w:rPr>
        <w:t>,</w:t>
      </w:r>
      <w:r w:rsidR="009C3EE7">
        <w:rPr>
          <w:rFonts w:ascii="Arial Narrow" w:hAnsi="Arial Narrow" w:cs="Arial"/>
          <w:sz w:val="28"/>
          <w:szCs w:val="28"/>
          <w:lang w:val="es-ES"/>
        </w:rPr>
        <w:t xml:space="preserve"> al verificarse la tasación </w:t>
      </w:r>
      <w:r w:rsidR="00900B75">
        <w:rPr>
          <w:rFonts w:ascii="Arial Narrow" w:hAnsi="Arial Narrow" w:cs="Arial"/>
          <w:sz w:val="28"/>
          <w:szCs w:val="28"/>
          <w:lang w:val="es-ES"/>
        </w:rPr>
        <w:t>de la pensión</w:t>
      </w:r>
      <w:r w:rsidR="00136479">
        <w:rPr>
          <w:rFonts w:ascii="Arial Narrow" w:hAnsi="Arial Narrow" w:cs="Arial"/>
          <w:sz w:val="28"/>
          <w:szCs w:val="28"/>
          <w:lang w:val="es-ES"/>
        </w:rPr>
        <w:t xml:space="preserve">, la misma </w:t>
      </w:r>
      <w:r w:rsidR="009C3EE7">
        <w:rPr>
          <w:rFonts w:ascii="Arial Narrow" w:hAnsi="Arial Narrow" w:cs="Arial"/>
          <w:sz w:val="28"/>
          <w:szCs w:val="28"/>
          <w:lang w:val="es-ES"/>
        </w:rPr>
        <w:t>se observa igualmente ac</w:t>
      </w:r>
      <w:r w:rsidR="00136479">
        <w:rPr>
          <w:rFonts w:ascii="Arial Narrow" w:hAnsi="Arial Narrow" w:cs="Arial"/>
          <w:sz w:val="28"/>
          <w:szCs w:val="28"/>
          <w:lang w:val="es-ES"/>
        </w:rPr>
        <w:t xml:space="preserve">ertada. </w:t>
      </w:r>
    </w:p>
    <w:p w:rsidR="00136479" w:rsidRDefault="00136479" w:rsidP="00505F81">
      <w:pPr>
        <w:spacing w:line="360" w:lineRule="auto"/>
        <w:ind w:firstLine="851"/>
        <w:jc w:val="both"/>
        <w:rPr>
          <w:rFonts w:ascii="Arial Narrow" w:hAnsi="Arial Narrow" w:cs="Arial"/>
          <w:sz w:val="28"/>
          <w:szCs w:val="28"/>
          <w:lang w:val="es-ES"/>
        </w:rPr>
      </w:pPr>
    </w:p>
    <w:p w:rsidR="00A2478F" w:rsidRDefault="00900B7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Resta solamente a esta Sala </w:t>
      </w:r>
      <w:r w:rsidR="00136479">
        <w:rPr>
          <w:rFonts w:ascii="Arial Narrow" w:hAnsi="Arial Narrow" w:cs="Arial"/>
          <w:sz w:val="28"/>
          <w:szCs w:val="28"/>
          <w:lang w:val="es-ES"/>
        </w:rPr>
        <w:t xml:space="preserve">analizar </w:t>
      </w:r>
      <w:r w:rsidR="00564098">
        <w:rPr>
          <w:rFonts w:ascii="Arial Narrow" w:hAnsi="Arial Narrow" w:cs="Arial"/>
          <w:sz w:val="28"/>
          <w:szCs w:val="28"/>
          <w:lang w:val="es-ES"/>
        </w:rPr>
        <w:t>lo tocante al retroactivo dispuesto por la sentenciadora de primera instancia. Pues bien, estima la Colegiatura que atendiendo a que esta pensión se concede con apoyo en una interpretación amplia y favorable de las normas legales y constitucionales que regulan el tema y que la negativa de la entidad, venia fundamentada en una interpretación igualmente valida de la legislación, estima esta Sala que no puede imponerse el reconocimiento y pago de la prestación desde el momento en que se estructuró la invalidez, sino apenas a partir de la ejecutoria de esta providencia</w:t>
      </w:r>
      <w:r w:rsidR="005C40B5">
        <w:rPr>
          <w:rFonts w:ascii="Arial Narrow" w:hAnsi="Arial Narrow" w:cs="Arial"/>
          <w:sz w:val="28"/>
          <w:szCs w:val="28"/>
          <w:lang w:val="es-ES"/>
        </w:rPr>
        <w:t xml:space="preserve">, dado que fue mediante las decisiones judiciales que se logró verificar y determinar, por vía interpretativa, que la señora Gloria </w:t>
      </w:r>
      <w:proofErr w:type="spellStart"/>
      <w:r w:rsidR="005C40B5">
        <w:rPr>
          <w:rFonts w:ascii="Arial Narrow" w:hAnsi="Arial Narrow" w:cs="Arial"/>
          <w:sz w:val="28"/>
          <w:szCs w:val="28"/>
          <w:lang w:val="es-ES"/>
        </w:rPr>
        <w:t>Ludivia</w:t>
      </w:r>
      <w:proofErr w:type="spellEnd"/>
      <w:r w:rsidR="005C40B5">
        <w:rPr>
          <w:rFonts w:ascii="Arial Narrow" w:hAnsi="Arial Narrow" w:cs="Arial"/>
          <w:sz w:val="28"/>
          <w:szCs w:val="28"/>
          <w:lang w:val="es-ES"/>
        </w:rPr>
        <w:t xml:space="preserve"> González </w:t>
      </w:r>
      <w:proofErr w:type="spellStart"/>
      <w:r w:rsidR="005C40B5">
        <w:rPr>
          <w:rFonts w:ascii="Arial Narrow" w:hAnsi="Arial Narrow" w:cs="Arial"/>
          <w:sz w:val="28"/>
          <w:szCs w:val="28"/>
          <w:lang w:val="es-ES"/>
        </w:rPr>
        <w:t>González</w:t>
      </w:r>
      <w:proofErr w:type="spellEnd"/>
      <w:r w:rsidR="005C40B5">
        <w:rPr>
          <w:rFonts w:ascii="Arial Narrow" w:hAnsi="Arial Narrow" w:cs="Arial"/>
          <w:sz w:val="28"/>
          <w:szCs w:val="28"/>
          <w:lang w:val="es-ES"/>
        </w:rPr>
        <w:t xml:space="preserve"> tenía derecho a la pensión de invalidez. Por ello, estima esta Sala que se debe absolver a</w:t>
      </w:r>
      <w:r w:rsidR="00A2478F">
        <w:rPr>
          <w:rFonts w:ascii="Arial Narrow" w:hAnsi="Arial Narrow" w:cs="Arial"/>
          <w:sz w:val="28"/>
          <w:szCs w:val="28"/>
          <w:lang w:val="es-ES"/>
        </w:rPr>
        <w:t xml:space="preserve"> Colpensiones del pago del retr</w:t>
      </w:r>
      <w:r w:rsidR="005C40B5">
        <w:rPr>
          <w:rFonts w:ascii="Arial Narrow" w:hAnsi="Arial Narrow" w:cs="Arial"/>
          <w:sz w:val="28"/>
          <w:szCs w:val="28"/>
          <w:lang w:val="es-ES"/>
        </w:rPr>
        <w:t>oactivo pensional</w:t>
      </w:r>
      <w:r w:rsidR="00A2478F">
        <w:rPr>
          <w:rFonts w:ascii="Arial Narrow" w:hAnsi="Arial Narrow" w:cs="Arial"/>
          <w:sz w:val="28"/>
          <w:szCs w:val="28"/>
          <w:lang w:val="es-ES"/>
        </w:rPr>
        <w:t xml:space="preserve"> y ordenarle que reconozca y pague la prestación por invalidez, a partir de la ejecutoria de esta providencia, en cuantía de $899.210,85.</w:t>
      </w:r>
    </w:p>
    <w:p w:rsidR="00B557BE" w:rsidRDefault="00A2478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B557BE" w:rsidRDefault="00B557B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abstendrá la Sala de imponer costas en esta instancia, amén que se conoció en sede de consulta.</w:t>
      </w:r>
      <w:r w:rsidR="004163B6">
        <w:rPr>
          <w:rFonts w:ascii="Arial Narrow" w:hAnsi="Arial Narrow" w:cs="Arial"/>
          <w:sz w:val="28"/>
          <w:szCs w:val="28"/>
          <w:lang w:val="es-ES"/>
        </w:rPr>
        <w:t xml:space="preserve"> En cuanto a las costas de primera instancia se reducirán en un 50%, amén que la procedencia del derecho se determinó por vía interpretativa.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A2478F" w:rsidRDefault="00A2478F" w:rsidP="00B557BE">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Revocar</w:t>
      </w:r>
      <w:r w:rsidR="00B557BE">
        <w:rPr>
          <w:rFonts w:ascii="Arial Narrow" w:hAnsi="Arial Narrow" w:cs="Arial"/>
          <w:b/>
          <w:i/>
          <w:spacing w:val="-2"/>
          <w:szCs w:val="28"/>
        </w:rPr>
        <w:t xml:space="preserve"> </w:t>
      </w:r>
      <w:r w:rsidR="00B557BE" w:rsidRPr="00B557BE">
        <w:rPr>
          <w:rFonts w:ascii="Arial Narrow" w:hAnsi="Arial Narrow" w:cs="Arial"/>
          <w:spacing w:val="-2"/>
          <w:szCs w:val="28"/>
        </w:rPr>
        <w:t>el ordinal</w:t>
      </w:r>
      <w:r w:rsidR="00B557BE">
        <w:rPr>
          <w:rFonts w:ascii="Arial Narrow" w:hAnsi="Arial Narrow" w:cs="Arial"/>
          <w:spacing w:val="-2"/>
          <w:szCs w:val="28"/>
        </w:rPr>
        <w:t xml:space="preserve"> tercero de</w:t>
      </w:r>
      <w:r w:rsidR="00B557BE">
        <w:rPr>
          <w:rFonts w:ascii="Arial Narrow" w:hAnsi="Arial Narrow" w:cs="Arial"/>
          <w:i/>
          <w:spacing w:val="-2"/>
          <w:szCs w:val="28"/>
        </w:rPr>
        <w:t xml:space="preserve"> </w:t>
      </w:r>
      <w:r w:rsidR="00F57ABE">
        <w:rPr>
          <w:rFonts w:ascii="Arial Narrow" w:hAnsi="Arial Narrow" w:cs="Arial"/>
          <w:spacing w:val="-2"/>
          <w:szCs w:val="28"/>
        </w:rPr>
        <w:t xml:space="preserve">la sentencia proferida el </w:t>
      </w:r>
      <w:r w:rsidR="00B557BE">
        <w:rPr>
          <w:rFonts w:ascii="Arial Narrow" w:hAnsi="Arial Narrow" w:cs="Arial"/>
          <w:spacing w:val="-2"/>
          <w:szCs w:val="28"/>
        </w:rPr>
        <w:t>2</w:t>
      </w:r>
      <w:r w:rsidR="00F57ABE">
        <w:rPr>
          <w:rFonts w:ascii="Arial Narrow" w:hAnsi="Arial Narrow" w:cs="Arial"/>
          <w:spacing w:val="-2"/>
          <w:szCs w:val="28"/>
        </w:rPr>
        <w:t xml:space="preserve"> de </w:t>
      </w:r>
      <w:r w:rsidR="00821435">
        <w:rPr>
          <w:rFonts w:ascii="Arial Narrow" w:hAnsi="Arial Narrow" w:cs="Arial"/>
          <w:spacing w:val="-2"/>
          <w:szCs w:val="28"/>
        </w:rPr>
        <w:t>ju</w:t>
      </w:r>
      <w:r w:rsidR="00B557BE">
        <w:rPr>
          <w:rFonts w:ascii="Arial Narrow" w:hAnsi="Arial Narrow" w:cs="Arial"/>
          <w:spacing w:val="-2"/>
          <w:szCs w:val="28"/>
        </w:rPr>
        <w:t>l</w:t>
      </w:r>
      <w:r w:rsidR="00821435">
        <w:rPr>
          <w:rFonts w:ascii="Arial Narrow" w:hAnsi="Arial Narrow" w:cs="Arial"/>
          <w:spacing w:val="-2"/>
          <w:szCs w:val="28"/>
        </w:rPr>
        <w:t>io</w:t>
      </w:r>
      <w:r w:rsidR="00F57ABE">
        <w:rPr>
          <w:rFonts w:ascii="Arial Narrow" w:hAnsi="Arial Narrow" w:cs="Arial"/>
          <w:spacing w:val="-2"/>
          <w:szCs w:val="28"/>
        </w:rPr>
        <w:t xml:space="preserve"> de 2015 por el Juzgado </w:t>
      </w:r>
      <w:r w:rsidR="00B557BE">
        <w:rPr>
          <w:rFonts w:ascii="Arial Narrow" w:hAnsi="Arial Narrow" w:cs="Arial"/>
          <w:spacing w:val="-2"/>
          <w:szCs w:val="28"/>
        </w:rPr>
        <w:t>Cuarto Laboral</w:t>
      </w:r>
      <w:r w:rsidR="00F57ABE">
        <w:rPr>
          <w:rFonts w:ascii="Arial Narrow" w:hAnsi="Arial Narrow" w:cs="Arial"/>
          <w:spacing w:val="-2"/>
          <w:szCs w:val="28"/>
        </w:rPr>
        <w:t xml:space="preserve"> </w:t>
      </w:r>
      <w:proofErr w:type="spellStart"/>
      <w:r w:rsidR="00F57ABE">
        <w:rPr>
          <w:rFonts w:ascii="Arial Narrow" w:hAnsi="Arial Narrow" w:cs="Arial"/>
          <w:spacing w:val="-2"/>
          <w:szCs w:val="28"/>
        </w:rPr>
        <w:t>Laboral</w:t>
      </w:r>
      <w:proofErr w:type="spellEnd"/>
      <w:r w:rsidR="00F57ABE">
        <w:rPr>
          <w:rFonts w:ascii="Arial Narrow" w:hAnsi="Arial Narrow" w:cs="Arial"/>
          <w:spacing w:val="-2"/>
          <w:szCs w:val="28"/>
        </w:rPr>
        <w:t xml:space="preserve">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 xml:space="preserve"> y en su lugar absolver a la Administradora Colombiana de Pensiones Colpensiones del retroactivo pensional, ordenándole que incluya en nómina a la actora a partir de la ejecutoria de esta providencia y le inicie a pagar la pensión en cuantía de $899.210,85.</w:t>
      </w:r>
    </w:p>
    <w:p w:rsidR="00A2478F" w:rsidRDefault="00A2478F" w:rsidP="00A2478F">
      <w:pPr>
        <w:pStyle w:val="Textoindependiente31"/>
        <w:ind w:left="1068"/>
        <w:rPr>
          <w:rFonts w:ascii="Arial Narrow" w:hAnsi="Arial Narrow" w:cs="Arial"/>
          <w:spacing w:val="-2"/>
          <w:szCs w:val="28"/>
        </w:rPr>
      </w:pPr>
    </w:p>
    <w:p w:rsidR="000A13F4" w:rsidRDefault="00B557BE" w:rsidP="00B557BE">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Confirmar </w:t>
      </w:r>
      <w:r w:rsidRPr="00B557BE">
        <w:rPr>
          <w:rFonts w:ascii="Arial Narrow" w:hAnsi="Arial Narrow" w:cs="Arial"/>
          <w:spacing w:val="-2"/>
          <w:szCs w:val="28"/>
        </w:rPr>
        <w:t>la sentencia en todo lo demás</w:t>
      </w:r>
      <w:r>
        <w:rPr>
          <w:rFonts w:ascii="Arial Narrow" w:hAnsi="Arial Narrow" w:cs="Arial"/>
          <w:spacing w:val="-2"/>
          <w:szCs w:val="28"/>
        </w:rPr>
        <w:t>.</w:t>
      </w:r>
      <w:r w:rsidRPr="00B557BE">
        <w:rPr>
          <w:rFonts w:ascii="Arial Narrow" w:hAnsi="Arial Narrow" w:cs="Arial"/>
          <w:spacing w:val="-2"/>
          <w:szCs w:val="28"/>
        </w:rPr>
        <w:t xml:space="preserve"> </w:t>
      </w:r>
      <w:r>
        <w:rPr>
          <w:rFonts w:ascii="Arial Narrow" w:hAnsi="Arial Narrow" w:cs="Arial"/>
          <w:spacing w:val="-2"/>
          <w:szCs w:val="28"/>
        </w:rPr>
        <w:t xml:space="preserve"> </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B557BE">
      <w:pPr>
        <w:pStyle w:val="Textoindependiente31"/>
        <w:numPr>
          <w:ilvl w:val="0"/>
          <w:numId w:val="4"/>
        </w:numPr>
        <w:rPr>
          <w:rFonts w:ascii="Arial Narrow" w:hAnsi="Arial Narrow" w:cs="Arial"/>
          <w:bCs/>
          <w:szCs w:val="28"/>
        </w:rPr>
      </w:pP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4163B6">
        <w:rPr>
          <w:rFonts w:ascii="Arial Narrow" w:hAnsi="Arial Narrow" w:cs="Arial"/>
          <w:bCs/>
          <w:szCs w:val="28"/>
        </w:rPr>
        <w:t xml:space="preserve"> Las costas de primer grado serán a cargo de Colpensiones en un 50% de las causadas.</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B557BE" w:rsidRDefault="00B557BE" w:rsidP="007E480D">
      <w:pPr>
        <w:jc w:val="both"/>
        <w:rPr>
          <w:rFonts w:ascii="Arial Narrow" w:hAnsi="Arial Narrow" w:cs="Microsoft Sans Serif"/>
          <w:bCs/>
          <w:iCs/>
          <w:sz w:val="28"/>
          <w:szCs w:val="28"/>
          <w:lang w:val="es-ES"/>
        </w:rPr>
      </w:pPr>
    </w:p>
    <w:p w:rsidR="00B557BE" w:rsidRDefault="00B557BE" w:rsidP="007E480D">
      <w:pPr>
        <w:jc w:val="both"/>
        <w:rPr>
          <w:rFonts w:ascii="Arial Narrow" w:hAnsi="Arial Narrow" w:cs="Microsoft Sans Serif"/>
          <w:bCs/>
          <w:iCs/>
          <w:sz w:val="28"/>
          <w:szCs w:val="28"/>
          <w:lang w:val="es-ES"/>
        </w:rPr>
      </w:pPr>
    </w:p>
    <w:p w:rsidR="00B557BE" w:rsidRDefault="00B557BE" w:rsidP="00B557BE">
      <w:pPr>
        <w:jc w:val="center"/>
        <w:rPr>
          <w:rFonts w:ascii="Arial Narrow" w:hAnsi="Arial Narrow" w:cs="Microsoft Sans Serif"/>
          <w:bCs/>
          <w:iCs/>
          <w:sz w:val="28"/>
          <w:szCs w:val="28"/>
          <w:lang w:val="es-ES"/>
        </w:rPr>
      </w:pPr>
    </w:p>
    <w:sectPr w:rsidR="00B557BE"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D5" w:rsidRDefault="000E2ED5" w:rsidP="00181D67">
      <w:r>
        <w:separator/>
      </w:r>
    </w:p>
  </w:endnote>
  <w:endnote w:type="continuationSeparator" w:id="0">
    <w:p w:rsidR="000E2ED5" w:rsidRDefault="000E2ED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219E">
      <w:rPr>
        <w:rStyle w:val="Nmerodepgina"/>
        <w:noProof/>
      </w:rPr>
      <w:t>7</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D5" w:rsidRDefault="000E2ED5" w:rsidP="00181D67">
      <w:r>
        <w:separator/>
      </w:r>
    </w:p>
  </w:footnote>
  <w:footnote w:type="continuationSeparator" w:id="0">
    <w:p w:rsidR="000E2ED5" w:rsidRDefault="000E2ED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173E4">
      <w:rPr>
        <w:rFonts w:ascii="Arial" w:hAnsi="Arial" w:cs="Arial"/>
        <w:bCs/>
        <w:i/>
        <w:sz w:val="16"/>
        <w:szCs w:val="16"/>
      </w:rPr>
      <w:t>4</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0173E4">
      <w:rPr>
        <w:rFonts w:ascii="Arial" w:hAnsi="Arial" w:cs="Arial"/>
        <w:bCs/>
        <w:i/>
        <w:sz w:val="16"/>
        <w:szCs w:val="16"/>
      </w:rPr>
      <w:t>65</w:t>
    </w:r>
    <w:r w:rsidR="00436820">
      <w:rPr>
        <w:rFonts w:ascii="Arial" w:hAnsi="Arial" w:cs="Arial"/>
        <w:bCs/>
        <w:i/>
        <w:sz w:val="16"/>
        <w:szCs w:val="16"/>
      </w:rPr>
      <w:t>8</w:t>
    </w:r>
    <w:r>
      <w:rPr>
        <w:rFonts w:ascii="Arial" w:hAnsi="Arial" w:cs="Arial"/>
        <w:bCs/>
        <w:i/>
        <w:sz w:val="16"/>
        <w:szCs w:val="16"/>
      </w:rPr>
      <w:t>-01</w:t>
    </w:r>
  </w:p>
  <w:p w:rsidR="0083360F" w:rsidRDefault="000173E4" w:rsidP="00FB2365">
    <w:pPr>
      <w:jc w:val="both"/>
      <w:rPr>
        <w:rFonts w:ascii="Arial" w:hAnsi="Arial" w:cs="Arial"/>
        <w:bCs/>
        <w:i/>
        <w:sz w:val="16"/>
        <w:szCs w:val="16"/>
      </w:rPr>
    </w:pPr>
    <w:r>
      <w:rPr>
        <w:rFonts w:ascii="Arial" w:hAnsi="Arial" w:cs="Arial"/>
        <w:bCs/>
        <w:i/>
        <w:sz w:val="16"/>
        <w:szCs w:val="16"/>
      </w:rPr>
      <w:t xml:space="preserve">Dora Luz González </w:t>
    </w:r>
    <w:proofErr w:type="spellStart"/>
    <w:r>
      <w:rPr>
        <w:rFonts w:ascii="Arial" w:hAnsi="Arial" w:cs="Arial"/>
        <w:bCs/>
        <w:i/>
        <w:sz w:val="16"/>
        <w:szCs w:val="16"/>
      </w:rPr>
      <w:t>González</w:t>
    </w:r>
    <w:proofErr w:type="spellEnd"/>
    <w:r>
      <w:rPr>
        <w:rFonts w:ascii="Arial" w:hAnsi="Arial" w:cs="Arial"/>
        <w:bCs/>
        <w:i/>
        <w:sz w:val="16"/>
        <w:szCs w:val="16"/>
      </w:rPr>
      <w:t xml:space="preserve"> en representación de Gloria </w:t>
    </w:r>
    <w:proofErr w:type="spellStart"/>
    <w:r>
      <w:rPr>
        <w:rFonts w:ascii="Arial" w:hAnsi="Arial" w:cs="Arial"/>
        <w:bCs/>
        <w:i/>
        <w:sz w:val="16"/>
        <w:szCs w:val="16"/>
      </w:rPr>
      <w:t>Ludivia</w:t>
    </w:r>
    <w:proofErr w:type="spellEnd"/>
    <w:r>
      <w:rPr>
        <w:rFonts w:ascii="Arial" w:hAnsi="Arial" w:cs="Arial"/>
        <w:bCs/>
        <w:i/>
        <w:sz w:val="16"/>
        <w:szCs w:val="16"/>
      </w:rPr>
      <w:t xml:space="preserve"> González </w:t>
    </w:r>
    <w:proofErr w:type="spellStart"/>
    <w:r>
      <w:rPr>
        <w:rFonts w:ascii="Arial" w:hAnsi="Arial" w:cs="Arial"/>
        <w:bCs/>
        <w:i/>
        <w:sz w:val="16"/>
        <w:szCs w:val="16"/>
      </w:rPr>
      <w:t>González</w:t>
    </w:r>
    <w:proofErr w:type="spellEnd"/>
    <w:r>
      <w:rPr>
        <w:rFonts w:ascii="Arial" w:hAnsi="Arial" w:cs="Arial"/>
        <w:bCs/>
        <w:i/>
        <w:sz w:val="16"/>
        <w:szCs w:val="16"/>
      </w:rPr>
      <w:t xml:space="preserve">  </w:t>
    </w:r>
    <w:r w:rsidR="00916E2E">
      <w:rPr>
        <w:rFonts w:ascii="Arial" w:hAnsi="Arial" w:cs="Arial"/>
        <w:bCs/>
        <w:i/>
        <w:sz w:val="16"/>
        <w:szCs w:val="16"/>
      </w:rPr>
      <w:t xml:space="preserve"> </w:t>
    </w:r>
    <w:r w:rsidR="0083360F">
      <w:rPr>
        <w:rFonts w:ascii="Arial" w:hAnsi="Arial" w:cs="Arial"/>
        <w:bCs/>
        <w:i/>
        <w:sz w:val="16"/>
        <w:szCs w:val="16"/>
      </w:rPr>
      <w:t xml:space="preserve">vs Colpensiones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1B3901EC"/>
    <w:multiLevelType w:val="hybridMultilevel"/>
    <w:tmpl w:val="D1EA944E"/>
    <w:lvl w:ilvl="0" w:tplc="C9125A2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3E4"/>
    <w:rsid w:val="0001753B"/>
    <w:rsid w:val="00032D0D"/>
    <w:rsid w:val="0003620B"/>
    <w:rsid w:val="00036CF3"/>
    <w:rsid w:val="0004269F"/>
    <w:rsid w:val="00057514"/>
    <w:rsid w:val="00063D00"/>
    <w:rsid w:val="0006495E"/>
    <w:rsid w:val="000667FF"/>
    <w:rsid w:val="000700E7"/>
    <w:rsid w:val="00071203"/>
    <w:rsid w:val="000745A2"/>
    <w:rsid w:val="00074981"/>
    <w:rsid w:val="0007631D"/>
    <w:rsid w:val="00080C4B"/>
    <w:rsid w:val="00083ED6"/>
    <w:rsid w:val="000900BA"/>
    <w:rsid w:val="000A13F4"/>
    <w:rsid w:val="000A26AC"/>
    <w:rsid w:val="000A5A77"/>
    <w:rsid w:val="000B0A3B"/>
    <w:rsid w:val="000B2E37"/>
    <w:rsid w:val="000B4EAE"/>
    <w:rsid w:val="000B5AFB"/>
    <w:rsid w:val="000B6979"/>
    <w:rsid w:val="000C0A92"/>
    <w:rsid w:val="000D6F62"/>
    <w:rsid w:val="000E1BFD"/>
    <w:rsid w:val="000E2ED5"/>
    <w:rsid w:val="000E3687"/>
    <w:rsid w:val="000E7F42"/>
    <w:rsid w:val="000F604F"/>
    <w:rsid w:val="00105EE6"/>
    <w:rsid w:val="00113DFF"/>
    <w:rsid w:val="00114E6E"/>
    <w:rsid w:val="00122B74"/>
    <w:rsid w:val="001342E2"/>
    <w:rsid w:val="00135AF2"/>
    <w:rsid w:val="00136479"/>
    <w:rsid w:val="00143700"/>
    <w:rsid w:val="00151FAB"/>
    <w:rsid w:val="00154470"/>
    <w:rsid w:val="0015539E"/>
    <w:rsid w:val="0015632C"/>
    <w:rsid w:val="00156587"/>
    <w:rsid w:val="00160D05"/>
    <w:rsid w:val="00163559"/>
    <w:rsid w:val="0016407C"/>
    <w:rsid w:val="0016587F"/>
    <w:rsid w:val="00172834"/>
    <w:rsid w:val="00175C57"/>
    <w:rsid w:val="00180C77"/>
    <w:rsid w:val="001818C1"/>
    <w:rsid w:val="00181D67"/>
    <w:rsid w:val="00181DBB"/>
    <w:rsid w:val="00185F4E"/>
    <w:rsid w:val="00194459"/>
    <w:rsid w:val="00194763"/>
    <w:rsid w:val="00197A7F"/>
    <w:rsid w:val="001A1F95"/>
    <w:rsid w:val="001A41C0"/>
    <w:rsid w:val="001B0456"/>
    <w:rsid w:val="001C1A3A"/>
    <w:rsid w:val="001C7D78"/>
    <w:rsid w:val="001D0EEB"/>
    <w:rsid w:val="001D2ABA"/>
    <w:rsid w:val="001E05D8"/>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00390"/>
    <w:rsid w:val="00310A39"/>
    <w:rsid w:val="003152EE"/>
    <w:rsid w:val="00330E76"/>
    <w:rsid w:val="00331A84"/>
    <w:rsid w:val="00333762"/>
    <w:rsid w:val="00336F17"/>
    <w:rsid w:val="003400C8"/>
    <w:rsid w:val="00341062"/>
    <w:rsid w:val="00346FC0"/>
    <w:rsid w:val="00351220"/>
    <w:rsid w:val="00353032"/>
    <w:rsid w:val="00355D5D"/>
    <w:rsid w:val="00360979"/>
    <w:rsid w:val="00364336"/>
    <w:rsid w:val="00365ECD"/>
    <w:rsid w:val="0037435E"/>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63B6"/>
    <w:rsid w:val="0041771A"/>
    <w:rsid w:val="00436820"/>
    <w:rsid w:val="004450B1"/>
    <w:rsid w:val="00446A9B"/>
    <w:rsid w:val="00465CFD"/>
    <w:rsid w:val="00476F91"/>
    <w:rsid w:val="00477DA7"/>
    <w:rsid w:val="00483406"/>
    <w:rsid w:val="004870F8"/>
    <w:rsid w:val="0049276B"/>
    <w:rsid w:val="004950F6"/>
    <w:rsid w:val="004A18E6"/>
    <w:rsid w:val="004A359A"/>
    <w:rsid w:val="004A5E46"/>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3DD8"/>
    <w:rsid w:val="00504363"/>
    <w:rsid w:val="0050557A"/>
    <w:rsid w:val="00505F81"/>
    <w:rsid w:val="00512EBD"/>
    <w:rsid w:val="00515BDC"/>
    <w:rsid w:val="00525C48"/>
    <w:rsid w:val="005268C7"/>
    <w:rsid w:val="005417FF"/>
    <w:rsid w:val="005446D5"/>
    <w:rsid w:val="00547BC2"/>
    <w:rsid w:val="00550CEE"/>
    <w:rsid w:val="0055232F"/>
    <w:rsid w:val="00560715"/>
    <w:rsid w:val="00561DB0"/>
    <w:rsid w:val="00563496"/>
    <w:rsid w:val="00564098"/>
    <w:rsid w:val="00565DD2"/>
    <w:rsid w:val="0057078F"/>
    <w:rsid w:val="005757BB"/>
    <w:rsid w:val="00580741"/>
    <w:rsid w:val="005836E2"/>
    <w:rsid w:val="00584AF2"/>
    <w:rsid w:val="00584B30"/>
    <w:rsid w:val="0059122D"/>
    <w:rsid w:val="00592739"/>
    <w:rsid w:val="00594E60"/>
    <w:rsid w:val="005A5A57"/>
    <w:rsid w:val="005A737E"/>
    <w:rsid w:val="005B1568"/>
    <w:rsid w:val="005B20B9"/>
    <w:rsid w:val="005B51C7"/>
    <w:rsid w:val="005C219E"/>
    <w:rsid w:val="005C40B5"/>
    <w:rsid w:val="005F20DB"/>
    <w:rsid w:val="005F5E82"/>
    <w:rsid w:val="005F6214"/>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A1657"/>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0A1E"/>
    <w:rsid w:val="007B247C"/>
    <w:rsid w:val="007B5499"/>
    <w:rsid w:val="007C04E6"/>
    <w:rsid w:val="007C071F"/>
    <w:rsid w:val="007C372D"/>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46867"/>
    <w:rsid w:val="008477EC"/>
    <w:rsid w:val="00854651"/>
    <w:rsid w:val="008605F1"/>
    <w:rsid w:val="00862C38"/>
    <w:rsid w:val="00863478"/>
    <w:rsid w:val="008635E7"/>
    <w:rsid w:val="008846C9"/>
    <w:rsid w:val="0088711A"/>
    <w:rsid w:val="00893D25"/>
    <w:rsid w:val="00894424"/>
    <w:rsid w:val="00894F1F"/>
    <w:rsid w:val="00897A5F"/>
    <w:rsid w:val="008B3F94"/>
    <w:rsid w:val="008C2B54"/>
    <w:rsid w:val="008C69AA"/>
    <w:rsid w:val="008D0F22"/>
    <w:rsid w:val="008D69AF"/>
    <w:rsid w:val="008E2AA3"/>
    <w:rsid w:val="008F003B"/>
    <w:rsid w:val="008F70A9"/>
    <w:rsid w:val="00900B75"/>
    <w:rsid w:val="0090394C"/>
    <w:rsid w:val="0090696E"/>
    <w:rsid w:val="00907A5F"/>
    <w:rsid w:val="00916E2E"/>
    <w:rsid w:val="00923D33"/>
    <w:rsid w:val="00925430"/>
    <w:rsid w:val="009311B5"/>
    <w:rsid w:val="00933662"/>
    <w:rsid w:val="0093458F"/>
    <w:rsid w:val="009405DA"/>
    <w:rsid w:val="009424D7"/>
    <w:rsid w:val="00943F58"/>
    <w:rsid w:val="00946A91"/>
    <w:rsid w:val="0095131A"/>
    <w:rsid w:val="00952E49"/>
    <w:rsid w:val="00970443"/>
    <w:rsid w:val="00980B0C"/>
    <w:rsid w:val="00983B97"/>
    <w:rsid w:val="00985D6A"/>
    <w:rsid w:val="009862D7"/>
    <w:rsid w:val="009A2908"/>
    <w:rsid w:val="009A40BE"/>
    <w:rsid w:val="009A6DEB"/>
    <w:rsid w:val="009B4E0B"/>
    <w:rsid w:val="009B52E7"/>
    <w:rsid w:val="009C06AF"/>
    <w:rsid w:val="009C3EE7"/>
    <w:rsid w:val="009C6364"/>
    <w:rsid w:val="009C6541"/>
    <w:rsid w:val="009D16AB"/>
    <w:rsid w:val="009F29A4"/>
    <w:rsid w:val="009F2B8B"/>
    <w:rsid w:val="00A00606"/>
    <w:rsid w:val="00A15815"/>
    <w:rsid w:val="00A16E9E"/>
    <w:rsid w:val="00A23CFA"/>
    <w:rsid w:val="00A2478F"/>
    <w:rsid w:val="00A2577F"/>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AF5224"/>
    <w:rsid w:val="00B04BC6"/>
    <w:rsid w:val="00B05195"/>
    <w:rsid w:val="00B0615A"/>
    <w:rsid w:val="00B20A28"/>
    <w:rsid w:val="00B21087"/>
    <w:rsid w:val="00B23955"/>
    <w:rsid w:val="00B251A0"/>
    <w:rsid w:val="00B265E5"/>
    <w:rsid w:val="00B26FD9"/>
    <w:rsid w:val="00B34731"/>
    <w:rsid w:val="00B4285D"/>
    <w:rsid w:val="00B43C20"/>
    <w:rsid w:val="00B55476"/>
    <w:rsid w:val="00B55738"/>
    <w:rsid w:val="00B557BE"/>
    <w:rsid w:val="00B56E76"/>
    <w:rsid w:val="00B5766E"/>
    <w:rsid w:val="00B647E5"/>
    <w:rsid w:val="00B664E4"/>
    <w:rsid w:val="00B674E4"/>
    <w:rsid w:val="00B675BD"/>
    <w:rsid w:val="00B76BAB"/>
    <w:rsid w:val="00B81692"/>
    <w:rsid w:val="00B87CC3"/>
    <w:rsid w:val="00B902C2"/>
    <w:rsid w:val="00BA62C5"/>
    <w:rsid w:val="00BB3B73"/>
    <w:rsid w:val="00BB7986"/>
    <w:rsid w:val="00BC45D5"/>
    <w:rsid w:val="00BC4B22"/>
    <w:rsid w:val="00BD418C"/>
    <w:rsid w:val="00BE3E90"/>
    <w:rsid w:val="00BE7CCC"/>
    <w:rsid w:val="00BF59B6"/>
    <w:rsid w:val="00BF7955"/>
    <w:rsid w:val="00C00BF3"/>
    <w:rsid w:val="00C01FFD"/>
    <w:rsid w:val="00C11813"/>
    <w:rsid w:val="00C1629B"/>
    <w:rsid w:val="00C24644"/>
    <w:rsid w:val="00C34BB9"/>
    <w:rsid w:val="00C43685"/>
    <w:rsid w:val="00C43DA4"/>
    <w:rsid w:val="00C449F0"/>
    <w:rsid w:val="00C52F1F"/>
    <w:rsid w:val="00C623C0"/>
    <w:rsid w:val="00C64244"/>
    <w:rsid w:val="00C64601"/>
    <w:rsid w:val="00C659E7"/>
    <w:rsid w:val="00C7406F"/>
    <w:rsid w:val="00C802C2"/>
    <w:rsid w:val="00C81DFC"/>
    <w:rsid w:val="00C87C62"/>
    <w:rsid w:val="00C92D4A"/>
    <w:rsid w:val="00C9735B"/>
    <w:rsid w:val="00CA0C22"/>
    <w:rsid w:val="00CA39C8"/>
    <w:rsid w:val="00CA4895"/>
    <w:rsid w:val="00CA7F07"/>
    <w:rsid w:val="00CB1592"/>
    <w:rsid w:val="00CB5453"/>
    <w:rsid w:val="00CC0E63"/>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D19"/>
    <w:rsid w:val="00D11E8D"/>
    <w:rsid w:val="00D13B6E"/>
    <w:rsid w:val="00D14862"/>
    <w:rsid w:val="00D175D1"/>
    <w:rsid w:val="00D247B8"/>
    <w:rsid w:val="00D279D2"/>
    <w:rsid w:val="00D30FA7"/>
    <w:rsid w:val="00D314F4"/>
    <w:rsid w:val="00D340F4"/>
    <w:rsid w:val="00D36B3C"/>
    <w:rsid w:val="00D370F0"/>
    <w:rsid w:val="00D516D4"/>
    <w:rsid w:val="00D51ABF"/>
    <w:rsid w:val="00D52F01"/>
    <w:rsid w:val="00D534D9"/>
    <w:rsid w:val="00D55051"/>
    <w:rsid w:val="00D553F8"/>
    <w:rsid w:val="00D566B5"/>
    <w:rsid w:val="00D603F2"/>
    <w:rsid w:val="00D60D54"/>
    <w:rsid w:val="00D663AD"/>
    <w:rsid w:val="00D670D1"/>
    <w:rsid w:val="00D7125F"/>
    <w:rsid w:val="00D75C19"/>
    <w:rsid w:val="00D76FC8"/>
    <w:rsid w:val="00D907A0"/>
    <w:rsid w:val="00D918F4"/>
    <w:rsid w:val="00DA5010"/>
    <w:rsid w:val="00DB0F6F"/>
    <w:rsid w:val="00DC179C"/>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587B"/>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AB0"/>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58E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5C219E"/>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40D0-88CE-4778-9038-D3E4014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18</cp:revision>
  <cp:lastPrinted>2016-10-20T13:19:00Z</cp:lastPrinted>
  <dcterms:created xsi:type="dcterms:W3CDTF">2016-09-26T15:43:00Z</dcterms:created>
  <dcterms:modified xsi:type="dcterms:W3CDTF">2016-12-27T20:20:00Z</dcterms:modified>
</cp:coreProperties>
</file>