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B07" w:rsidRPr="00760671" w:rsidRDefault="00E21B07" w:rsidP="00E21B07">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w:t>
      </w:r>
      <w:r>
        <w:rPr>
          <w:rFonts w:ascii="Arial Narrow" w:hAnsi="Arial Narrow" w:cs="Tahoma"/>
          <w:color w:val="FF0000"/>
          <w:sz w:val="16"/>
          <w:szCs w:val="18"/>
        </w:rPr>
        <w:t xml:space="preserve"> Secretaría de la respectiva sala.</w:t>
      </w:r>
    </w:p>
    <w:p w:rsidR="00E21B07" w:rsidRDefault="00E21B07" w:rsidP="00E21B07">
      <w:pPr>
        <w:pStyle w:val="Sinespaciado"/>
        <w:jc w:val="both"/>
        <w:rPr>
          <w:rFonts w:asciiTheme="minorHAnsi" w:hAnsiTheme="minorHAnsi"/>
          <w:sz w:val="18"/>
          <w:szCs w:val="18"/>
        </w:rPr>
      </w:pPr>
    </w:p>
    <w:p w:rsidR="00047C93" w:rsidRDefault="00047C93" w:rsidP="00047C93">
      <w:pPr>
        <w:spacing w:line="360" w:lineRule="auto"/>
        <w:jc w:val="both"/>
        <w:rPr>
          <w:rFonts w:ascii="Arial Narrow" w:hAnsi="Arial Narrow" w:cs="Arial"/>
          <w:bCs/>
          <w:i/>
          <w:iCs/>
          <w:sz w:val="36"/>
          <w:szCs w:val="36"/>
          <w:u w:val="single"/>
        </w:rPr>
      </w:pPr>
      <w:bookmarkStart w:id="0" w:name="_GoBack"/>
      <w:bookmarkEnd w:id="0"/>
      <w:r w:rsidRPr="00047C93">
        <w:rPr>
          <w:rFonts w:ascii="Arial Narrow" w:hAnsi="Arial Narrow" w:cs="Arial"/>
          <w:bCs/>
          <w:i/>
          <w:iCs/>
          <w:sz w:val="36"/>
          <w:szCs w:val="36"/>
          <w:u w:val="single"/>
        </w:rPr>
        <w:t>ORALIDAD</w:t>
      </w:r>
    </w:p>
    <w:p w:rsidR="00401E99" w:rsidRPr="00047C93" w:rsidRDefault="00401E99" w:rsidP="00401E99">
      <w:pPr>
        <w:pStyle w:val="Sinespaciado"/>
      </w:pPr>
    </w:p>
    <w:p w:rsidR="00047C93" w:rsidRPr="007703B7" w:rsidRDefault="00047C93" w:rsidP="00047C93">
      <w:pPr>
        <w:jc w:val="both"/>
        <w:rPr>
          <w:rFonts w:ascii="Arial Narrow" w:hAnsi="Arial Narrow" w:cs="Arial"/>
          <w:sz w:val="16"/>
          <w:szCs w:val="16"/>
        </w:rPr>
      </w:pPr>
      <w:r w:rsidRPr="007703B7">
        <w:rPr>
          <w:rFonts w:ascii="Arial Narrow" w:hAnsi="Arial Narrow" w:cs="Arial"/>
          <w:b/>
          <w:sz w:val="16"/>
          <w:szCs w:val="16"/>
        </w:rPr>
        <w:t>Providencia</w:t>
      </w:r>
      <w:r w:rsidRPr="007703B7">
        <w:rPr>
          <w:rFonts w:ascii="Arial Narrow" w:hAnsi="Arial Narrow" w:cs="Arial"/>
          <w:sz w:val="16"/>
          <w:szCs w:val="16"/>
        </w:rPr>
        <w:t>:</w:t>
      </w:r>
      <w:r w:rsidRPr="007703B7">
        <w:rPr>
          <w:rFonts w:ascii="Arial Narrow" w:hAnsi="Arial Narrow" w:cs="Arial"/>
          <w:b/>
          <w:sz w:val="16"/>
          <w:szCs w:val="16"/>
        </w:rPr>
        <w:t xml:space="preserve"> </w:t>
      </w:r>
      <w:r w:rsidRPr="007703B7">
        <w:rPr>
          <w:rFonts w:ascii="Arial Narrow" w:hAnsi="Arial Narrow" w:cs="Arial"/>
          <w:sz w:val="16"/>
          <w:szCs w:val="16"/>
        </w:rPr>
        <w:tab/>
      </w:r>
      <w:r w:rsidRPr="007703B7">
        <w:rPr>
          <w:rFonts w:ascii="Arial Narrow" w:hAnsi="Arial Narrow" w:cs="Arial"/>
          <w:sz w:val="16"/>
          <w:szCs w:val="16"/>
        </w:rPr>
        <w:tab/>
        <w:t>Sentencia de Segunda Instancia,</w:t>
      </w:r>
      <w:r w:rsidR="00F97C22">
        <w:rPr>
          <w:rFonts w:ascii="Arial Narrow" w:hAnsi="Arial Narrow" w:cs="Arial"/>
          <w:sz w:val="16"/>
          <w:szCs w:val="16"/>
        </w:rPr>
        <w:t xml:space="preserve"> 8 </w:t>
      </w:r>
      <w:r>
        <w:rPr>
          <w:rFonts w:ascii="Arial Narrow" w:hAnsi="Arial Narrow" w:cs="Arial"/>
          <w:sz w:val="16"/>
          <w:szCs w:val="16"/>
        </w:rPr>
        <w:t xml:space="preserve">de noviembre de </w:t>
      </w:r>
      <w:r w:rsidRPr="007703B7">
        <w:rPr>
          <w:rFonts w:ascii="Arial Narrow" w:hAnsi="Arial Narrow" w:cs="Arial"/>
          <w:sz w:val="16"/>
          <w:szCs w:val="16"/>
        </w:rPr>
        <w:t>2016</w:t>
      </w:r>
    </w:p>
    <w:p w:rsidR="00047C93" w:rsidRPr="007703B7" w:rsidRDefault="00047C93" w:rsidP="00047C93">
      <w:pPr>
        <w:jc w:val="both"/>
        <w:rPr>
          <w:rFonts w:ascii="Arial Narrow" w:hAnsi="Arial Narrow" w:cs="Arial"/>
          <w:bCs/>
          <w:sz w:val="16"/>
          <w:szCs w:val="16"/>
        </w:rPr>
      </w:pPr>
      <w:r w:rsidRPr="007703B7">
        <w:rPr>
          <w:rFonts w:ascii="Arial Narrow" w:hAnsi="Arial Narrow" w:cs="Arial"/>
          <w:b/>
          <w:bCs/>
          <w:sz w:val="16"/>
          <w:szCs w:val="16"/>
        </w:rPr>
        <w:t>Radicación No</w:t>
      </w:r>
      <w:r w:rsidRPr="007703B7">
        <w:rPr>
          <w:rFonts w:ascii="Arial Narrow" w:hAnsi="Arial Narrow" w:cs="Arial"/>
          <w:bCs/>
          <w:sz w:val="16"/>
          <w:szCs w:val="16"/>
        </w:rPr>
        <w:t>:</w:t>
      </w:r>
      <w:r w:rsidRPr="007703B7">
        <w:rPr>
          <w:rFonts w:ascii="Arial Narrow" w:hAnsi="Arial Narrow" w:cs="Arial"/>
          <w:b/>
          <w:bCs/>
          <w:sz w:val="16"/>
          <w:szCs w:val="16"/>
        </w:rPr>
        <w:t xml:space="preserve"> </w:t>
      </w:r>
      <w:r w:rsidRPr="007703B7">
        <w:rPr>
          <w:rFonts w:ascii="Arial Narrow" w:hAnsi="Arial Narrow" w:cs="Arial"/>
          <w:b/>
          <w:bCs/>
          <w:sz w:val="16"/>
          <w:szCs w:val="16"/>
        </w:rPr>
        <w:tab/>
        <w:t xml:space="preserve">      </w:t>
      </w:r>
      <w:r w:rsidRPr="007703B7">
        <w:rPr>
          <w:rFonts w:ascii="Arial Narrow" w:hAnsi="Arial Narrow" w:cs="Arial"/>
          <w:b/>
          <w:bCs/>
          <w:sz w:val="16"/>
          <w:szCs w:val="16"/>
        </w:rPr>
        <w:tab/>
      </w:r>
      <w:r w:rsidRPr="007703B7">
        <w:rPr>
          <w:rFonts w:ascii="Arial Narrow" w:hAnsi="Arial Narrow" w:cs="Arial"/>
          <w:bCs/>
          <w:sz w:val="16"/>
          <w:szCs w:val="16"/>
        </w:rPr>
        <w:t>66001-31-05-00</w:t>
      </w:r>
      <w:r>
        <w:rPr>
          <w:rFonts w:ascii="Arial Narrow" w:hAnsi="Arial Narrow" w:cs="Arial"/>
          <w:bCs/>
          <w:sz w:val="16"/>
          <w:szCs w:val="16"/>
        </w:rPr>
        <w:t>1-2014-00056-01</w:t>
      </w:r>
    </w:p>
    <w:p w:rsidR="00047C93" w:rsidRPr="007703B7" w:rsidRDefault="00047C93" w:rsidP="00047C93">
      <w:pPr>
        <w:jc w:val="both"/>
        <w:rPr>
          <w:rFonts w:ascii="Arial Narrow" w:hAnsi="Arial Narrow" w:cs="Arial"/>
          <w:iCs/>
          <w:sz w:val="16"/>
          <w:szCs w:val="16"/>
        </w:rPr>
      </w:pPr>
      <w:r w:rsidRPr="007703B7">
        <w:rPr>
          <w:rFonts w:ascii="Arial Narrow" w:hAnsi="Arial Narrow" w:cs="Arial"/>
          <w:b/>
          <w:bCs/>
          <w:iCs/>
          <w:sz w:val="16"/>
          <w:szCs w:val="16"/>
        </w:rPr>
        <w:t>Proceso</w:t>
      </w:r>
      <w:r w:rsidRPr="007703B7">
        <w:rPr>
          <w:rFonts w:ascii="Arial Narrow" w:hAnsi="Arial Narrow" w:cs="Arial"/>
          <w:bCs/>
          <w:iCs/>
          <w:sz w:val="16"/>
          <w:szCs w:val="16"/>
        </w:rPr>
        <w:t>:</w:t>
      </w:r>
      <w:r w:rsidRPr="007703B7">
        <w:rPr>
          <w:rFonts w:ascii="Arial Narrow" w:hAnsi="Arial Narrow" w:cs="Arial"/>
          <w:iCs/>
          <w:sz w:val="16"/>
          <w:szCs w:val="16"/>
        </w:rPr>
        <w:t xml:space="preserve"> </w:t>
      </w:r>
      <w:r w:rsidRPr="007703B7">
        <w:rPr>
          <w:rFonts w:ascii="Arial Narrow" w:hAnsi="Arial Narrow" w:cs="Arial"/>
          <w:b/>
          <w:iCs/>
          <w:sz w:val="16"/>
          <w:szCs w:val="16"/>
        </w:rPr>
        <w:tab/>
      </w:r>
      <w:r w:rsidRPr="007703B7">
        <w:rPr>
          <w:rFonts w:ascii="Arial Narrow" w:hAnsi="Arial Narrow" w:cs="Arial"/>
          <w:b/>
          <w:iCs/>
          <w:sz w:val="16"/>
          <w:szCs w:val="16"/>
        </w:rPr>
        <w:tab/>
      </w:r>
      <w:r w:rsidRPr="007703B7">
        <w:rPr>
          <w:rFonts w:ascii="Arial Narrow" w:hAnsi="Arial Narrow" w:cs="Arial"/>
          <w:b/>
          <w:iCs/>
          <w:sz w:val="16"/>
          <w:szCs w:val="16"/>
        </w:rPr>
        <w:tab/>
      </w:r>
      <w:r w:rsidRPr="007703B7">
        <w:rPr>
          <w:rFonts w:ascii="Arial Narrow" w:hAnsi="Arial Narrow" w:cs="Arial"/>
          <w:iCs/>
          <w:sz w:val="16"/>
          <w:szCs w:val="16"/>
        </w:rPr>
        <w:t>Ordinario Laboral</w:t>
      </w:r>
    </w:p>
    <w:p w:rsidR="00047C93" w:rsidRPr="007703B7" w:rsidRDefault="00047C93" w:rsidP="00047C93">
      <w:pPr>
        <w:ind w:firstLine="6"/>
        <w:jc w:val="both"/>
        <w:rPr>
          <w:rFonts w:ascii="Arial Narrow" w:hAnsi="Arial Narrow" w:cs="Arial"/>
          <w:iCs/>
          <w:sz w:val="16"/>
          <w:szCs w:val="16"/>
        </w:rPr>
      </w:pPr>
      <w:r w:rsidRPr="007703B7">
        <w:rPr>
          <w:rFonts w:ascii="Arial Narrow" w:hAnsi="Arial Narrow" w:cs="Arial"/>
          <w:b/>
          <w:iCs/>
          <w:sz w:val="16"/>
          <w:szCs w:val="16"/>
        </w:rPr>
        <w:t>Demandante</w:t>
      </w:r>
      <w:r w:rsidRPr="007703B7">
        <w:rPr>
          <w:rFonts w:ascii="Arial Narrow" w:hAnsi="Arial Narrow" w:cs="Arial"/>
          <w:iCs/>
          <w:sz w:val="16"/>
          <w:szCs w:val="16"/>
        </w:rPr>
        <w:t xml:space="preserve">:     </w:t>
      </w:r>
      <w:r w:rsidRPr="007703B7">
        <w:rPr>
          <w:rFonts w:ascii="Arial Narrow" w:hAnsi="Arial Narrow" w:cs="Arial"/>
          <w:iCs/>
          <w:sz w:val="16"/>
          <w:szCs w:val="16"/>
        </w:rPr>
        <w:tab/>
      </w:r>
      <w:r w:rsidRPr="007703B7">
        <w:rPr>
          <w:rFonts w:ascii="Arial Narrow" w:hAnsi="Arial Narrow" w:cs="Arial"/>
          <w:iCs/>
          <w:sz w:val="16"/>
          <w:szCs w:val="16"/>
        </w:rPr>
        <w:tab/>
      </w:r>
      <w:r>
        <w:rPr>
          <w:rFonts w:ascii="Arial Narrow" w:hAnsi="Arial Narrow" w:cs="Arial"/>
          <w:iCs/>
          <w:sz w:val="16"/>
          <w:szCs w:val="16"/>
        </w:rPr>
        <w:t xml:space="preserve">María </w:t>
      </w:r>
      <w:proofErr w:type="spellStart"/>
      <w:r>
        <w:rPr>
          <w:rFonts w:ascii="Arial Narrow" w:hAnsi="Arial Narrow" w:cs="Arial"/>
          <w:iCs/>
          <w:sz w:val="16"/>
          <w:szCs w:val="16"/>
        </w:rPr>
        <w:t>Cenelia</w:t>
      </w:r>
      <w:proofErr w:type="spellEnd"/>
      <w:r>
        <w:rPr>
          <w:rFonts w:ascii="Arial Narrow" w:hAnsi="Arial Narrow" w:cs="Arial"/>
          <w:iCs/>
          <w:sz w:val="16"/>
          <w:szCs w:val="16"/>
        </w:rPr>
        <w:t xml:space="preserve"> Zuluaga Palacio  </w:t>
      </w:r>
      <w:r w:rsidRPr="007703B7">
        <w:rPr>
          <w:rFonts w:ascii="Arial Narrow" w:hAnsi="Arial Narrow" w:cs="Arial"/>
          <w:iCs/>
          <w:sz w:val="16"/>
          <w:szCs w:val="16"/>
        </w:rPr>
        <w:t xml:space="preserve">   </w:t>
      </w:r>
    </w:p>
    <w:p w:rsidR="00047C93" w:rsidRPr="007703B7" w:rsidRDefault="00047C93" w:rsidP="00047C93">
      <w:pPr>
        <w:ind w:firstLine="6"/>
        <w:jc w:val="both"/>
        <w:rPr>
          <w:rFonts w:ascii="Arial Narrow" w:hAnsi="Arial Narrow" w:cs="Arial"/>
          <w:bCs/>
          <w:sz w:val="16"/>
          <w:szCs w:val="16"/>
        </w:rPr>
      </w:pPr>
      <w:r w:rsidRPr="007703B7">
        <w:rPr>
          <w:rFonts w:ascii="Arial Narrow" w:hAnsi="Arial Narrow" w:cs="Arial"/>
          <w:b/>
          <w:bCs/>
          <w:sz w:val="16"/>
          <w:szCs w:val="16"/>
        </w:rPr>
        <w:t>Demandado:</w:t>
      </w:r>
      <w:r w:rsidRPr="007703B7">
        <w:rPr>
          <w:rFonts w:ascii="Arial Narrow" w:hAnsi="Arial Narrow" w:cs="Arial"/>
          <w:bCs/>
          <w:sz w:val="16"/>
          <w:szCs w:val="16"/>
        </w:rPr>
        <w:t xml:space="preserve">           </w:t>
      </w:r>
      <w:r w:rsidRPr="007703B7">
        <w:rPr>
          <w:rFonts w:ascii="Arial Narrow" w:hAnsi="Arial Narrow" w:cs="Arial"/>
          <w:bCs/>
          <w:sz w:val="16"/>
          <w:szCs w:val="16"/>
        </w:rPr>
        <w:tab/>
        <w:t xml:space="preserve"> </w:t>
      </w:r>
      <w:r w:rsidRPr="007703B7">
        <w:rPr>
          <w:rFonts w:ascii="Arial Narrow" w:hAnsi="Arial Narrow" w:cs="Arial"/>
          <w:bCs/>
          <w:sz w:val="16"/>
          <w:szCs w:val="16"/>
        </w:rPr>
        <w:tab/>
      </w:r>
      <w:proofErr w:type="spellStart"/>
      <w:r w:rsidRPr="007703B7">
        <w:rPr>
          <w:rFonts w:ascii="Arial Narrow" w:hAnsi="Arial Narrow" w:cs="Arial"/>
          <w:bCs/>
          <w:sz w:val="16"/>
          <w:szCs w:val="16"/>
        </w:rPr>
        <w:t>Colpensiones</w:t>
      </w:r>
      <w:proofErr w:type="spellEnd"/>
      <w:r>
        <w:rPr>
          <w:rFonts w:ascii="Arial Narrow" w:hAnsi="Arial Narrow" w:cs="Arial"/>
          <w:bCs/>
          <w:sz w:val="16"/>
          <w:szCs w:val="16"/>
        </w:rPr>
        <w:t xml:space="preserve"> y otro </w:t>
      </w:r>
    </w:p>
    <w:p w:rsidR="00047C93" w:rsidRPr="007703B7" w:rsidRDefault="00047C93" w:rsidP="00047C93">
      <w:pPr>
        <w:jc w:val="both"/>
        <w:rPr>
          <w:rFonts w:ascii="Arial Narrow" w:hAnsi="Arial Narrow" w:cs="Arial"/>
          <w:sz w:val="16"/>
          <w:szCs w:val="16"/>
        </w:rPr>
      </w:pPr>
      <w:r w:rsidRPr="007703B7">
        <w:rPr>
          <w:rFonts w:ascii="Arial Narrow" w:hAnsi="Arial Narrow" w:cs="Arial"/>
          <w:b/>
          <w:sz w:val="16"/>
          <w:szCs w:val="16"/>
        </w:rPr>
        <w:t>Juzgado de origen</w:t>
      </w:r>
      <w:r w:rsidRPr="007703B7">
        <w:rPr>
          <w:rFonts w:ascii="Arial Narrow" w:hAnsi="Arial Narrow" w:cs="Arial"/>
          <w:sz w:val="16"/>
          <w:szCs w:val="16"/>
        </w:rPr>
        <w:t xml:space="preserve">:     </w:t>
      </w:r>
      <w:r w:rsidRPr="007703B7">
        <w:rPr>
          <w:rFonts w:ascii="Arial Narrow" w:hAnsi="Arial Narrow" w:cs="Arial"/>
          <w:sz w:val="16"/>
          <w:szCs w:val="16"/>
        </w:rPr>
        <w:tab/>
      </w:r>
      <w:r>
        <w:rPr>
          <w:rFonts w:ascii="Arial Narrow" w:hAnsi="Arial Narrow" w:cs="Arial"/>
          <w:sz w:val="16"/>
          <w:szCs w:val="16"/>
        </w:rPr>
        <w:tab/>
        <w:t xml:space="preserve">Primero </w:t>
      </w:r>
      <w:r w:rsidRPr="007703B7">
        <w:rPr>
          <w:rFonts w:ascii="Arial Narrow" w:hAnsi="Arial Narrow" w:cs="Arial"/>
          <w:sz w:val="16"/>
          <w:szCs w:val="16"/>
        </w:rPr>
        <w:t>Laboral del Circuito de Pereira.</w:t>
      </w:r>
    </w:p>
    <w:p w:rsidR="00047C93" w:rsidRPr="007703B7" w:rsidRDefault="00047C93" w:rsidP="00047C93">
      <w:pPr>
        <w:jc w:val="both"/>
        <w:rPr>
          <w:rFonts w:ascii="Arial Narrow" w:hAnsi="Arial Narrow" w:cs="Arial"/>
          <w:b/>
          <w:iCs/>
          <w:sz w:val="16"/>
          <w:szCs w:val="16"/>
        </w:rPr>
      </w:pPr>
      <w:r w:rsidRPr="007703B7">
        <w:rPr>
          <w:rFonts w:ascii="Arial Narrow" w:hAnsi="Arial Narrow" w:cs="Arial"/>
          <w:b/>
          <w:iCs/>
          <w:sz w:val="16"/>
          <w:szCs w:val="16"/>
        </w:rPr>
        <w:t xml:space="preserve">Magistrado Ponente:     </w:t>
      </w:r>
      <w:r w:rsidRPr="007703B7">
        <w:rPr>
          <w:rFonts w:ascii="Arial Narrow" w:hAnsi="Arial Narrow" w:cs="Arial"/>
          <w:b/>
          <w:iCs/>
          <w:sz w:val="16"/>
          <w:szCs w:val="16"/>
        </w:rPr>
        <w:tab/>
      </w:r>
      <w:r w:rsidRPr="007703B7">
        <w:rPr>
          <w:rFonts w:ascii="Arial Narrow" w:hAnsi="Arial Narrow" w:cs="Arial"/>
          <w:iCs/>
          <w:sz w:val="16"/>
          <w:szCs w:val="16"/>
        </w:rPr>
        <w:t>Francisco Javier Tamayo Tabares.</w:t>
      </w:r>
    </w:p>
    <w:p w:rsidR="003D04D3" w:rsidRPr="00501F03" w:rsidRDefault="00047C93" w:rsidP="00501F03">
      <w:pPr>
        <w:pStyle w:val="Sinespaciado"/>
        <w:ind w:left="2124" w:hanging="2124"/>
        <w:jc w:val="both"/>
        <w:rPr>
          <w:rFonts w:ascii="Arial Narrow" w:hAnsi="Arial Narrow"/>
          <w:sz w:val="16"/>
          <w:szCs w:val="16"/>
          <w:lang w:val="es-CO"/>
        </w:rPr>
      </w:pPr>
      <w:r w:rsidRPr="00501F03">
        <w:rPr>
          <w:rFonts w:ascii="Arial Narrow" w:hAnsi="Arial Narrow" w:cs="Arial"/>
          <w:b/>
          <w:bCs/>
          <w:sz w:val="16"/>
          <w:szCs w:val="16"/>
        </w:rPr>
        <w:t xml:space="preserve">Tema a tratar: </w:t>
      </w:r>
      <w:r w:rsidRPr="00501F03">
        <w:rPr>
          <w:rFonts w:ascii="Arial Narrow" w:hAnsi="Arial Narrow" w:cs="Arial"/>
          <w:b/>
          <w:bCs/>
          <w:sz w:val="16"/>
          <w:szCs w:val="16"/>
        </w:rPr>
        <w:tab/>
      </w:r>
      <w:r w:rsidR="003D04D3" w:rsidRPr="00501F03">
        <w:rPr>
          <w:rFonts w:ascii="Arial Narrow" w:hAnsi="Arial Narrow"/>
          <w:b/>
          <w:sz w:val="16"/>
          <w:szCs w:val="16"/>
        </w:rPr>
        <w:t>Recuperación del régimen de transición luego del retorno al RPM</w:t>
      </w:r>
      <w:r w:rsidRPr="00501F03">
        <w:rPr>
          <w:rFonts w:ascii="Arial Narrow" w:hAnsi="Arial Narrow"/>
          <w:b/>
          <w:sz w:val="16"/>
          <w:szCs w:val="16"/>
        </w:rPr>
        <w:t xml:space="preserve">: </w:t>
      </w:r>
      <w:r w:rsidR="003D04D3" w:rsidRPr="00501F03">
        <w:rPr>
          <w:rFonts w:ascii="Arial Narrow" w:hAnsi="Arial Narrow"/>
          <w:sz w:val="16"/>
          <w:szCs w:val="16"/>
        </w:rPr>
        <w:t xml:space="preserve">la Sala de Casación Laboral de la Corte Suprema de Justicia, entre otras, en sentencia SL6438 de 2015, ha establecido que el requisito de equivalencia de los aportes no puede exigirse a quienes han cumplido 15 años de servicios al 1º de abril de 1994, para </w:t>
      </w:r>
      <w:r w:rsidR="00501F03" w:rsidRPr="00501F03">
        <w:rPr>
          <w:rFonts w:ascii="Arial Narrow" w:hAnsi="Arial Narrow"/>
          <w:sz w:val="16"/>
          <w:szCs w:val="16"/>
        </w:rPr>
        <w:t xml:space="preserve">efectos de </w:t>
      </w:r>
      <w:r w:rsidR="003D04D3" w:rsidRPr="00501F03">
        <w:rPr>
          <w:rFonts w:ascii="Arial Narrow" w:hAnsi="Arial Narrow"/>
          <w:sz w:val="16"/>
          <w:szCs w:val="16"/>
        </w:rPr>
        <w:t xml:space="preserve">recuperar el régimen de transición del artículo 36 de la Ley 100/93, </w:t>
      </w:r>
      <w:r w:rsidR="003D04D3" w:rsidRPr="00501F03">
        <w:rPr>
          <w:rFonts w:ascii="Arial Narrow" w:hAnsi="Arial Narrow"/>
          <w:sz w:val="16"/>
          <w:szCs w:val="16"/>
          <w:lang w:val="es-CO"/>
        </w:rPr>
        <w:t xml:space="preserve">fundamentalmente porque el legislador no estableció este requisito para que las personas pudieran acceder a su pensión de vejez conforme al régimen de transición. </w:t>
      </w:r>
      <w:r w:rsidR="00501F03" w:rsidRPr="00501F03">
        <w:rPr>
          <w:rFonts w:ascii="Arial Narrow" w:hAnsi="Arial Narrow"/>
          <w:sz w:val="16"/>
          <w:szCs w:val="16"/>
          <w:lang w:val="es-CO"/>
        </w:rPr>
        <w:t xml:space="preserve">En ese sentido, </w:t>
      </w:r>
      <w:r w:rsidR="003D04D3" w:rsidRPr="00501F03">
        <w:rPr>
          <w:rFonts w:ascii="Arial Narrow" w:hAnsi="Arial Narrow" w:cs="Arial"/>
          <w:i/>
          <w:sz w:val="16"/>
          <w:szCs w:val="16"/>
          <w:lang w:eastAsia="es-CO"/>
        </w:rPr>
        <w:t>no resulta razonable exigir a quienes pretenden recuperar el régimen de transición, una vez regresan del régimen de ahorro individual al de prima media, y cumplen el requisito de 15 años o más de servicios o de cotizaciones a la entrada en vigencia del sistema, además del traslado de todo el saldo de la cuenta de ahorro individual, la equivalencia de los aportes legales, puesto que se trata de una exigencia que no fue contemplada por el legislador</w:t>
      </w:r>
      <w:r w:rsidR="00501F03" w:rsidRPr="00501F03">
        <w:rPr>
          <w:rFonts w:ascii="Arial Narrow" w:hAnsi="Arial Narrow" w:cs="Arial"/>
          <w:i/>
          <w:sz w:val="16"/>
          <w:szCs w:val="16"/>
          <w:lang w:eastAsia="es-CO"/>
        </w:rPr>
        <w:t>.</w:t>
      </w:r>
    </w:p>
    <w:p w:rsidR="00047C93" w:rsidRPr="00047C93" w:rsidRDefault="00047C93" w:rsidP="003D04D3">
      <w:pPr>
        <w:pStyle w:val="Sinespaciado"/>
        <w:ind w:left="2127" w:hanging="2127"/>
        <w:jc w:val="both"/>
        <w:rPr>
          <w:rFonts w:ascii="Arial Narrow" w:hAnsi="Arial Narrow" w:cs="Arial"/>
          <w:color w:val="FF0000"/>
          <w:sz w:val="16"/>
          <w:szCs w:val="16"/>
          <w:lang w:val="es-CO"/>
        </w:rPr>
      </w:pPr>
    </w:p>
    <w:p w:rsidR="00047C93" w:rsidRPr="00B43DE5" w:rsidRDefault="00047C93" w:rsidP="00047C93">
      <w:pPr>
        <w:pStyle w:val="Sinespaciado"/>
      </w:pPr>
      <w:r w:rsidRPr="007703B7">
        <w:t xml:space="preserve">    </w:t>
      </w:r>
    </w:p>
    <w:p w:rsidR="00047C93" w:rsidRPr="00047C93" w:rsidRDefault="00047C93" w:rsidP="00047C93">
      <w:pPr>
        <w:spacing w:line="360" w:lineRule="auto"/>
        <w:ind w:firstLine="840"/>
        <w:rPr>
          <w:rFonts w:ascii="Arial Narrow" w:hAnsi="Arial Narrow" w:cs="Arial"/>
          <w:sz w:val="28"/>
          <w:szCs w:val="28"/>
        </w:rPr>
      </w:pPr>
      <w:r w:rsidRPr="00047C93">
        <w:rPr>
          <w:rFonts w:ascii="Arial Narrow" w:hAnsi="Arial Narrow" w:cs="Arial"/>
          <w:sz w:val="28"/>
          <w:szCs w:val="28"/>
          <w:u w:val="single"/>
        </w:rPr>
        <w:t>AUDIENCIA PÚBLICA</w:t>
      </w:r>
      <w:r w:rsidRPr="00047C93">
        <w:rPr>
          <w:rFonts w:ascii="Arial Narrow" w:hAnsi="Arial Narrow" w:cs="Arial"/>
          <w:sz w:val="28"/>
          <w:szCs w:val="28"/>
        </w:rPr>
        <w:t>:</w:t>
      </w:r>
    </w:p>
    <w:p w:rsidR="00047C93" w:rsidRPr="00C27456" w:rsidRDefault="00047C93" w:rsidP="00047C93">
      <w:pPr>
        <w:pStyle w:val="Sinespaciado"/>
      </w:pPr>
    </w:p>
    <w:p w:rsidR="00047C93" w:rsidRPr="00D93343" w:rsidRDefault="00F97C22" w:rsidP="00047C93">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hoy ocho </w:t>
      </w:r>
      <w:r w:rsidR="00047C93"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08</w:t>
      </w:r>
      <w:r w:rsidR="00047C93" w:rsidRPr="00D30FA7">
        <w:rPr>
          <w:rFonts w:ascii="Arial Narrow" w:eastAsia="Calibri" w:hAnsi="Arial Narrow" w:cs="Arial"/>
          <w:sz w:val="28"/>
          <w:szCs w:val="28"/>
          <w:lang w:val="es-CO" w:eastAsia="en-US"/>
        </w:rPr>
        <w:t>) de</w:t>
      </w:r>
      <w:r w:rsidR="00047C93">
        <w:rPr>
          <w:rFonts w:ascii="Arial Narrow" w:eastAsia="Calibri" w:hAnsi="Arial Narrow" w:cs="Arial"/>
          <w:sz w:val="28"/>
          <w:szCs w:val="28"/>
          <w:lang w:val="es-CO" w:eastAsia="en-US"/>
        </w:rPr>
        <w:t xml:space="preserve"> </w:t>
      </w:r>
      <w:r w:rsidR="00401E99">
        <w:rPr>
          <w:rFonts w:ascii="Arial Narrow" w:eastAsia="Calibri" w:hAnsi="Arial Narrow" w:cs="Arial"/>
          <w:sz w:val="28"/>
          <w:szCs w:val="28"/>
          <w:lang w:val="es-CO" w:eastAsia="en-US"/>
        </w:rPr>
        <w:t>noviembre de dos mi</w:t>
      </w:r>
      <w:r w:rsidR="00047C93" w:rsidRPr="00D30FA7">
        <w:rPr>
          <w:rFonts w:ascii="Arial Narrow" w:eastAsia="Calibri" w:hAnsi="Arial Narrow" w:cs="Arial"/>
          <w:sz w:val="28"/>
          <w:szCs w:val="28"/>
          <w:lang w:val="es-CO" w:eastAsia="en-US"/>
        </w:rPr>
        <w:t>l</w:t>
      </w:r>
      <w:r w:rsidR="00047C93">
        <w:rPr>
          <w:rFonts w:ascii="Arial Narrow" w:eastAsia="Calibri" w:hAnsi="Arial Narrow" w:cs="Arial"/>
          <w:sz w:val="28"/>
          <w:szCs w:val="28"/>
          <w:lang w:val="es-CO" w:eastAsia="en-US"/>
        </w:rPr>
        <w:t xml:space="preserve"> dieciséis (2016)</w:t>
      </w:r>
      <w:r>
        <w:rPr>
          <w:rFonts w:ascii="Arial Narrow" w:eastAsia="Calibri" w:hAnsi="Arial Narrow" w:cs="Arial"/>
          <w:sz w:val="28"/>
          <w:szCs w:val="28"/>
          <w:lang w:val="es-CO" w:eastAsia="en-US"/>
        </w:rPr>
        <w:t>, siendo la una y veinte de la tarde (1:20 p</w:t>
      </w:r>
      <w:r w:rsidR="00047C93" w:rsidRPr="00D30FA7">
        <w:rPr>
          <w:rFonts w:ascii="Arial Narrow" w:eastAsia="Calibri" w:hAnsi="Arial Narrow" w:cs="Arial"/>
          <w:sz w:val="28"/>
          <w:szCs w:val="28"/>
          <w:lang w:val="es-CO" w:eastAsia="en-US"/>
        </w:rPr>
        <w:t xml:space="preserve">.m.), </w:t>
      </w:r>
      <w:r w:rsidR="00047C93" w:rsidRPr="00D30FA7">
        <w:rPr>
          <w:rFonts w:ascii="Arial Narrow" w:hAnsi="Arial Narrow" w:cs="Tahoma"/>
          <w:bCs/>
          <w:color w:val="000000"/>
          <w:sz w:val="28"/>
          <w:szCs w:val="28"/>
          <w:lang w:eastAsia="es-CO"/>
        </w:rPr>
        <w:t xml:space="preserve">reunidos en la Sala de Audiencia la magistrada y los magistrados de la Sala Laboral del Tribunal Superior de Pereira, el ponente declara abierto el acto, que tiene por objeto </w:t>
      </w:r>
      <w:r w:rsidR="00047C93" w:rsidRPr="0052227F">
        <w:rPr>
          <w:rFonts w:ascii="Arial Narrow" w:hAnsi="Arial Narrow" w:cs="Tahoma"/>
          <w:bCs/>
          <w:sz w:val="28"/>
          <w:szCs w:val="28"/>
          <w:lang w:eastAsia="es-CO"/>
        </w:rPr>
        <w:t>resolver el grado jurisdiccional de consulta</w:t>
      </w:r>
      <w:r w:rsidR="00401E99" w:rsidRPr="0052227F">
        <w:rPr>
          <w:rFonts w:ascii="Arial Narrow" w:hAnsi="Arial Narrow" w:cs="Tahoma"/>
          <w:bCs/>
          <w:sz w:val="28"/>
          <w:szCs w:val="28"/>
          <w:lang w:eastAsia="es-CO"/>
        </w:rPr>
        <w:t xml:space="preserve"> y el recurso de apelación propuesto por </w:t>
      </w:r>
      <w:proofErr w:type="spellStart"/>
      <w:r w:rsidR="0052227F" w:rsidRPr="0052227F">
        <w:rPr>
          <w:rFonts w:ascii="Arial Narrow" w:hAnsi="Arial Narrow" w:cs="Tahoma"/>
          <w:bCs/>
          <w:sz w:val="28"/>
          <w:szCs w:val="28"/>
          <w:lang w:eastAsia="es-CO"/>
        </w:rPr>
        <w:t>Colpensiones</w:t>
      </w:r>
      <w:proofErr w:type="spellEnd"/>
      <w:r w:rsidR="0052227F" w:rsidRPr="0052227F">
        <w:rPr>
          <w:rFonts w:ascii="Arial Narrow" w:hAnsi="Arial Narrow" w:cs="Tahoma"/>
          <w:bCs/>
          <w:sz w:val="28"/>
          <w:szCs w:val="28"/>
          <w:lang w:eastAsia="es-CO"/>
        </w:rPr>
        <w:t xml:space="preserve"> en contra </w:t>
      </w:r>
      <w:r w:rsidR="00047C93" w:rsidRPr="0052227F">
        <w:rPr>
          <w:rFonts w:ascii="Arial Narrow" w:hAnsi="Arial Narrow" w:cs="Tahoma"/>
          <w:bCs/>
          <w:sz w:val="28"/>
          <w:szCs w:val="28"/>
          <w:lang w:eastAsia="es-CO"/>
        </w:rPr>
        <w:t xml:space="preserve">la </w:t>
      </w:r>
      <w:r w:rsidR="00047C93" w:rsidRPr="0052227F">
        <w:rPr>
          <w:rFonts w:ascii="Arial Narrow" w:hAnsi="Arial Narrow" w:cs="Arial"/>
          <w:sz w:val="28"/>
          <w:szCs w:val="28"/>
        </w:rPr>
        <w:t xml:space="preserve">sentencia proferida el </w:t>
      </w:r>
      <w:r w:rsidR="00401E99" w:rsidRPr="0052227F">
        <w:rPr>
          <w:rFonts w:ascii="Arial Narrow" w:hAnsi="Arial Narrow" w:cs="Arial"/>
          <w:sz w:val="28"/>
          <w:szCs w:val="28"/>
        </w:rPr>
        <w:t xml:space="preserve">2 de julio de 2015 </w:t>
      </w:r>
      <w:r w:rsidR="00047C93" w:rsidRPr="0052227F">
        <w:rPr>
          <w:rFonts w:ascii="Arial Narrow" w:hAnsi="Arial Narrow" w:cs="Arial"/>
          <w:sz w:val="28"/>
          <w:szCs w:val="28"/>
        </w:rPr>
        <w:t xml:space="preserve">por el Juzgado </w:t>
      </w:r>
      <w:r w:rsidR="00401E99" w:rsidRPr="0052227F">
        <w:rPr>
          <w:rFonts w:ascii="Arial Narrow" w:hAnsi="Arial Narrow" w:cs="Arial"/>
          <w:sz w:val="28"/>
          <w:szCs w:val="28"/>
        </w:rPr>
        <w:t xml:space="preserve">Primero </w:t>
      </w:r>
      <w:r w:rsidR="00047C93" w:rsidRPr="0052227F">
        <w:rPr>
          <w:rFonts w:ascii="Arial Narrow" w:hAnsi="Arial Narrow" w:cs="Arial"/>
          <w:sz w:val="28"/>
          <w:szCs w:val="28"/>
        </w:rPr>
        <w:t>Laboral del Circuito de Pereira</w:t>
      </w:r>
      <w:r w:rsidR="00047C93" w:rsidRPr="00D30FA7">
        <w:rPr>
          <w:rFonts w:ascii="Arial Narrow" w:hAnsi="Arial Narrow" w:cs="Arial"/>
          <w:sz w:val="28"/>
          <w:szCs w:val="28"/>
        </w:rPr>
        <w:t xml:space="preserve">, dentro del </w:t>
      </w:r>
      <w:proofErr w:type="gramStart"/>
      <w:r w:rsidR="00047C93" w:rsidRPr="00D30FA7">
        <w:rPr>
          <w:rFonts w:ascii="Arial Narrow" w:hAnsi="Arial Narrow" w:cs="Arial"/>
          <w:sz w:val="28"/>
          <w:szCs w:val="28"/>
        </w:rPr>
        <w:t>proceso</w:t>
      </w:r>
      <w:proofErr w:type="gramEnd"/>
      <w:r w:rsidR="00047C93" w:rsidRPr="00D30FA7">
        <w:rPr>
          <w:rFonts w:ascii="Arial Narrow" w:hAnsi="Arial Narrow" w:cs="Arial"/>
          <w:sz w:val="28"/>
          <w:szCs w:val="28"/>
        </w:rPr>
        <w:t xml:space="preserve"> ordinario laboral promovido por </w:t>
      </w:r>
      <w:r w:rsidR="00401E99">
        <w:rPr>
          <w:rFonts w:ascii="Arial Narrow" w:hAnsi="Arial Narrow" w:cs="Arial"/>
          <w:i/>
          <w:sz w:val="28"/>
          <w:szCs w:val="28"/>
        </w:rPr>
        <w:t xml:space="preserve">María </w:t>
      </w:r>
      <w:proofErr w:type="spellStart"/>
      <w:r w:rsidR="00401E99">
        <w:rPr>
          <w:rFonts w:ascii="Arial Narrow" w:hAnsi="Arial Narrow" w:cs="Arial"/>
          <w:i/>
          <w:sz w:val="28"/>
          <w:szCs w:val="28"/>
        </w:rPr>
        <w:t>Cenelia</w:t>
      </w:r>
      <w:proofErr w:type="spellEnd"/>
      <w:r w:rsidR="00401E99">
        <w:rPr>
          <w:rFonts w:ascii="Arial Narrow" w:hAnsi="Arial Narrow" w:cs="Arial"/>
          <w:i/>
          <w:sz w:val="28"/>
          <w:szCs w:val="28"/>
        </w:rPr>
        <w:t xml:space="preserve"> Zuluaga Palacio</w:t>
      </w:r>
      <w:r w:rsidR="00047C93">
        <w:rPr>
          <w:rFonts w:ascii="Arial Narrow" w:hAnsi="Arial Narrow" w:cs="Arial"/>
          <w:i/>
          <w:sz w:val="28"/>
          <w:szCs w:val="28"/>
        </w:rPr>
        <w:t xml:space="preserve"> </w:t>
      </w:r>
      <w:r w:rsidR="00047C93" w:rsidRPr="00D30FA7">
        <w:rPr>
          <w:rFonts w:ascii="Arial Narrow" w:hAnsi="Arial Narrow" w:cs="Arial"/>
          <w:sz w:val="28"/>
          <w:szCs w:val="28"/>
        </w:rPr>
        <w:t xml:space="preserve">contra </w:t>
      </w:r>
      <w:r w:rsidR="00047C93" w:rsidRPr="00D93343">
        <w:rPr>
          <w:rFonts w:ascii="Arial Narrow" w:hAnsi="Arial Narrow" w:cs="Arial"/>
          <w:sz w:val="28"/>
          <w:szCs w:val="28"/>
        </w:rPr>
        <w:t xml:space="preserve">la </w:t>
      </w:r>
      <w:r w:rsidR="00047C93" w:rsidRPr="00D93343">
        <w:rPr>
          <w:rFonts w:ascii="Arial Narrow" w:hAnsi="Arial Narrow" w:cs="Arial"/>
          <w:i/>
          <w:sz w:val="28"/>
          <w:szCs w:val="28"/>
        </w:rPr>
        <w:t xml:space="preserve">Administradora Colombiana de Pensiones </w:t>
      </w:r>
      <w:proofErr w:type="spellStart"/>
      <w:r w:rsidR="00047C93" w:rsidRPr="00D93343">
        <w:rPr>
          <w:rFonts w:ascii="Arial Narrow" w:hAnsi="Arial Narrow" w:cs="Arial"/>
          <w:bCs/>
          <w:i/>
          <w:sz w:val="28"/>
          <w:szCs w:val="28"/>
        </w:rPr>
        <w:t>Colpensiones</w:t>
      </w:r>
      <w:proofErr w:type="spellEnd"/>
      <w:r w:rsidR="00047C93">
        <w:rPr>
          <w:rFonts w:ascii="Arial Narrow" w:hAnsi="Arial Narrow" w:cs="Arial"/>
          <w:bCs/>
          <w:i/>
          <w:sz w:val="28"/>
          <w:szCs w:val="28"/>
        </w:rPr>
        <w:t xml:space="preserve"> </w:t>
      </w:r>
      <w:r w:rsidR="00047C93" w:rsidRPr="00D93343">
        <w:rPr>
          <w:rFonts w:ascii="Arial Narrow" w:hAnsi="Arial Narrow" w:cs="Arial"/>
          <w:bCs/>
          <w:sz w:val="28"/>
          <w:szCs w:val="28"/>
        </w:rPr>
        <w:t>y</w:t>
      </w:r>
      <w:r w:rsidR="00047C93" w:rsidRPr="00D93343">
        <w:rPr>
          <w:rFonts w:ascii="Arial Narrow" w:hAnsi="Arial Narrow" w:cs="Arial"/>
          <w:bCs/>
          <w:i/>
          <w:sz w:val="28"/>
          <w:szCs w:val="28"/>
        </w:rPr>
        <w:t xml:space="preserve"> </w:t>
      </w:r>
      <w:r w:rsidR="00401E99">
        <w:rPr>
          <w:rFonts w:ascii="Arial Narrow" w:hAnsi="Arial Narrow" w:cs="Arial"/>
          <w:bCs/>
          <w:i/>
          <w:sz w:val="28"/>
          <w:szCs w:val="28"/>
        </w:rPr>
        <w:t>Protección S</w:t>
      </w:r>
      <w:r w:rsidR="00047C93" w:rsidRPr="00D93343">
        <w:rPr>
          <w:rFonts w:ascii="Arial Narrow" w:hAnsi="Arial Narrow" w:cs="Arial"/>
          <w:bCs/>
          <w:i/>
          <w:sz w:val="28"/>
          <w:szCs w:val="28"/>
        </w:rPr>
        <w:t>.A.</w:t>
      </w:r>
    </w:p>
    <w:p w:rsidR="00047C93" w:rsidRPr="0061236C" w:rsidRDefault="00047C93" w:rsidP="0061236C">
      <w:pPr>
        <w:pStyle w:val="Sinespaciado"/>
      </w:pPr>
    </w:p>
    <w:p w:rsidR="00047C93" w:rsidRPr="0061236C" w:rsidRDefault="00047C93" w:rsidP="00047C93">
      <w:pPr>
        <w:shd w:val="clear" w:color="auto" w:fill="FFFFFF"/>
        <w:spacing w:line="360" w:lineRule="atLeast"/>
        <w:ind w:firstLine="708"/>
        <w:jc w:val="both"/>
        <w:rPr>
          <w:rFonts w:ascii="Arial Narrow" w:hAnsi="Arial Narrow" w:cs="Tahoma"/>
          <w:bCs/>
          <w:color w:val="000000"/>
          <w:sz w:val="28"/>
          <w:szCs w:val="28"/>
          <w:lang w:eastAsia="es-CO"/>
        </w:rPr>
      </w:pPr>
      <w:r w:rsidRPr="0061236C">
        <w:rPr>
          <w:rFonts w:ascii="Arial Narrow" w:hAnsi="Arial Narrow" w:cs="Tahoma"/>
          <w:bCs/>
          <w:color w:val="000000"/>
          <w:sz w:val="28"/>
          <w:szCs w:val="28"/>
          <w:lang w:eastAsia="es-CO"/>
        </w:rPr>
        <w:t>IDENTIFICACIÓN DE LOS PRESENTES:</w:t>
      </w:r>
    </w:p>
    <w:p w:rsidR="0061236C" w:rsidRDefault="0061236C" w:rsidP="0061236C">
      <w:pPr>
        <w:pStyle w:val="Sinespaciado"/>
        <w:rPr>
          <w:lang w:eastAsia="es-CO"/>
        </w:rPr>
      </w:pPr>
    </w:p>
    <w:p w:rsidR="0061236C" w:rsidRPr="0061236C" w:rsidRDefault="0061236C" w:rsidP="0061236C">
      <w:pPr>
        <w:pStyle w:val="Prrafodelista"/>
        <w:numPr>
          <w:ilvl w:val="0"/>
          <w:numId w:val="2"/>
        </w:numPr>
        <w:shd w:val="clear" w:color="auto" w:fill="FFFFFF"/>
        <w:spacing w:line="360" w:lineRule="atLeast"/>
        <w:jc w:val="both"/>
        <w:rPr>
          <w:rFonts w:ascii="Arial Narrow" w:hAnsi="Arial Narrow" w:cs="Tahoma"/>
          <w:bCs/>
          <w:i/>
          <w:color w:val="000000"/>
          <w:sz w:val="28"/>
          <w:szCs w:val="28"/>
          <w:lang w:eastAsia="es-CO"/>
        </w:rPr>
      </w:pPr>
      <w:r w:rsidRPr="0061236C">
        <w:rPr>
          <w:rFonts w:ascii="Arial Narrow" w:hAnsi="Arial Narrow" w:cs="Tahoma"/>
          <w:bCs/>
          <w:i/>
          <w:color w:val="000000"/>
          <w:sz w:val="28"/>
          <w:szCs w:val="28"/>
          <w:lang w:eastAsia="es-CO"/>
        </w:rPr>
        <w:t>ANTECEDENTES</w:t>
      </w:r>
    </w:p>
    <w:p w:rsidR="00047C93" w:rsidRPr="00C27456" w:rsidRDefault="00047C93" w:rsidP="00047C93">
      <w:pPr>
        <w:pStyle w:val="Sinespaciado"/>
        <w:spacing w:line="276" w:lineRule="auto"/>
      </w:pPr>
    </w:p>
    <w:p w:rsidR="00047C93" w:rsidRDefault="00047C93" w:rsidP="00047C93">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digamos que </w:t>
      </w:r>
      <w:r>
        <w:rPr>
          <w:rFonts w:ascii="Arial Narrow" w:hAnsi="Arial Narrow" w:cs="Tahoma"/>
          <w:sz w:val="28"/>
          <w:szCs w:val="28"/>
        </w:rPr>
        <w:t xml:space="preserve">la demandante </w:t>
      </w:r>
      <w:r w:rsidRPr="00D30FA7">
        <w:rPr>
          <w:rFonts w:ascii="Arial Narrow" w:hAnsi="Arial Narrow" w:cs="Tahoma"/>
          <w:sz w:val="28"/>
          <w:szCs w:val="28"/>
        </w:rPr>
        <w:t xml:space="preserve">pretende que </w:t>
      </w:r>
      <w:r>
        <w:rPr>
          <w:rFonts w:ascii="Arial Narrow" w:hAnsi="Arial Narrow" w:cs="Tahoma"/>
          <w:sz w:val="28"/>
          <w:szCs w:val="28"/>
        </w:rPr>
        <w:t>se declare que tiene derecho a trasladarse del Régimen de Ahorro Individual al de Prima Media con Prestación Definida, y</w:t>
      </w:r>
      <w:r w:rsidR="00792FD6">
        <w:rPr>
          <w:rFonts w:ascii="Arial Narrow" w:hAnsi="Arial Narrow" w:cs="Tahoma"/>
          <w:sz w:val="28"/>
          <w:szCs w:val="28"/>
        </w:rPr>
        <w:t xml:space="preserve"> que </w:t>
      </w:r>
      <w:r>
        <w:rPr>
          <w:rFonts w:ascii="Arial Narrow" w:hAnsi="Arial Narrow" w:cs="Tahoma"/>
          <w:sz w:val="28"/>
          <w:szCs w:val="28"/>
        </w:rPr>
        <w:t>por ende, es beneficiaria del régimen de transición consagrado en el artículo 36 de la Le 100 de 1993. En consecuencia, pide que se ordene a</w:t>
      </w:r>
      <w:r w:rsidR="0061236C">
        <w:rPr>
          <w:rFonts w:ascii="Arial Narrow" w:hAnsi="Arial Narrow" w:cs="Tahoma"/>
          <w:sz w:val="28"/>
          <w:szCs w:val="28"/>
        </w:rPr>
        <w:t xml:space="preserve"> </w:t>
      </w:r>
      <w:proofErr w:type="spellStart"/>
      <w:r w:rsidR="0061236C">
        <w:rPr>
          <w:rFonts w:ascii="Arial Narrow" w:hAnsi="Arial Narrow" w:cs="Tahoma"/>
          <w:sz w:val="28"/>
          <w:szCs w:val="28"/>
        </w:rPr>
        <w:t>Colpensiones</w:t>
      </w:r>
      <w:proofErr w:type="spellEnd"/>
      <w:r w:rsidR="0061236C">
        <w:rPr>
          <w:rFonts w:ascii="Arial Narrow" w:hAnsi="Arial Narrow" w:cs="Tahoma"/>
          <w:sz w:val="28"/>
          <w:szCs w:val="28"/>
        </w:rPr>
        <w:t xml:space="preserve"> a </w:t>
      </w:r>
      <w:r>
        <w:rPr>
          <w:rFonts w:ascii="Arial Narrow" w:hAnsi="Arial Narrow" w:cs="Tahoma"/>
          <w:sz w:val="28"/>
          <w:szCs w:val="28"/>
        </w:rPr>
        <w:t>aceptar y legalizar su retorno a</w:t>
      </w:r>
      <w:r w:rsidR="0061236C">
        <w:rPr>
          <w:rFonts w:ascii="Arial Narrow" w:hAnsi="Arial Narrow" w:cs="Tahoma"/>
          <w:sz w:val="28"/>
          <w:szCs w:val="28"/>
        </w:rPr>
        <w:t xml:space="preserve">l régimen de prima media, y se condena a las accionadas al pago de las costas procesales. </w:t>
      </w:r>
      <w:r>
        <w:rPr>
          <w:rFonts w:ascii="Arial Narrow" w:hAnsi="Arial Narrow" w:cs="Tahoma"/>
          <w:sz w:val="28"/>
          <w:szCs w:val="28"/>
        </w:rPr>
        <w:t xml:space="preserve"> </w:t>
      </w:r>
    </w:p>
    <w:p w:rsidR="0061236C" w:rsidRDefault="0061236C" w:rsidP="00792FD6">
      <w:pPr>
        <w:pStyle w:val="Sinespaciado"/>
      </w:pPr>
    </w:p>
    <w:p w:rsidR="00792FD6" w:rsidRDefault="00047C93" w:rsidP="00047C93">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lastRenderedPageBreak/>
        <w:t xml:space="preserve">Para así pedir, indica que nació el </w:t>
      </w:r>
      <w:r w:rsidR="00792FD6">
        <w:rPr>
          <w:rFonts w:ascii="Arial Narrow" w:hAnsi="Arial Narrow" w:cs="Tahoma"/>
          <w:color w:val="000000"/>
          <w:sz w:val="28"/>
          <w:szCs w:val="28"/>
          <w:lang w:eastAsia="es-CO"/>
        </w:rPr>
        <w:t xml:space="preserve">14 de octubre de 1955; que al 1º de abril de 1994 contaba con más de 35 años de edad y más de 15 años de servicios, por haber laborado 256 días en la ESE Hospital San José; 304 días en la Superintendencia de Notariado y Registro, 2664 días en favor del Departamento de Risaralda, y 3751 días en </w:t>
      </w:r>
      <w:proofErr w:type="spellStart"/>
      <w:r w:rsidR="00792FD6">
        <w:rPr>
          <w:rFonts w:ascii="Arial Narrow" w:hAnsi="Arial Narrow" w:cs="Tahoma"/>
          <w:color w:val="000000"/>
          <w:sz w:val="28"/>
          <w:szCs w:val="28"/>
          <w:lang w:eastAsia="es-CO"/>
        </w:rPr>
        <w:t>Federcafé</w:t>
      </w:r>
      <w:proofErr w:type="spellEnd"/>
      <w:r w:rsidR="00792FD6">
        <w:rPr>
          <w:rFonts w:ascii="Arial Narrow" w:hAnsi="Arial Narrow" w:cs="Tahoma"/>
          <w:color w:val="000000"/>
          <w:sz w:val="28"/>
          <w:szCs w:val="28"/>
          <w:lang w:eastAsia="es-CO"/>
        </w:rPr>
        <w:t xml:space="preserve">. Indica que se trasladó del Régimen de Prima Media con Prestación Definida al Régimen de Ahorro Individual con </w:t>
      </w:r>
      <w:r w:rsidR="00CF5C68">
        <w:rPr>
          <w:rFonts w:ascii="Arial Narrow" w:hAnsi="Arial Narrow" w:cs="Tahoma"/>
          <w:color w:val="000000"/>
          <w:sz w:val="28"/>
          <w:szCs w:val="28"/>
          <w:lang w:eastAsia="es-CO"/>
        </w:rPr>
        <w:t xml:space="preserve">solidaridad en octubre de 1997, con afiliación a la AFP ING, hoy Protección; que el 12 de agosto de 2012 radicó ante el </w:t>
      </w:r>
      <w:proofErr w:type="spellStart"/>
      <w:r w:rsidR="00CF5C68">
        <w:rPr>
          <w:rFonts w:ascii="Arial Narrow" w:hAnsi="Arial Narrow" w:cs="Tahoma"/>
          <w:color w:val="000000"/>
          <w:sz w:val="28"/>
          <w:szCs w:val="28"/>
          <w:lang w:eastAsia="es-CO"/>
        </w:rPr>
        <w:t>ISS</w:t>
      </w:r>
      <w:proofErr w:type="spellEnd"/>
      <w:r w:rsidR="00CF5C68">
        <w:rPr>
          <w:rFonts w:ascii="Arial Narrow" w:hAnsi="Arial Narrow" w:cs="Tahoma"/>
          <w:color w:val="000000"/>
          <w:sz w:val="28"/>
          <w:szCs w:val="28"/>
          <w:lang w:eastAsia="es-CO"/>
        </w:rPr>
        <w:t xml:space="preserve"> la solicitud de traslado de régimen; que esa entidad expidió el oficio No. 20904 del 17 de julio de 22012, mediante la cual informa </w:t>
      </w:r>
      <w:r w:rsidR="00936637">
        <w:rPr>
          <w:rFonts w:ascii="Arial Narrow" w:hAnsi="Arial Narrow" w:cs="Tahoma"/>
          <w:color w:val="000000"/>
          <w:sz w:val="28"/>
          <w:szCs w:val="28"/>
          <w:lang w:eastAsia="es-CO"/>
        </w:rPr>
        <w:t xml:space="preserve">que verificará si la demandante cumple con 15 años de servicios al 1º de abril de 1994; que la AFP Protección mediante comunicado del 23 de noviembre de 2013 informa que la afiliada no tiene 15 años de servicios a la entrada en vigencia del sistema de seguridad social. </w:t>
      </w:r>
    </w:p>
    <w:p w:rsidR="00047C93" w:rsidRPr="007035E6" w:rsidRDefault="00047C93" w:rsidP="00047C93">
      <w:pPr>
        <w:pStyle w:val="Sinespaciado"/>
      </w:pPr>
    </w:p>
    <w:p w:rsidR="00047C93" w:rsidRPr="00142906" w:rsidRDefault="00047C93" w:rsidP="00047C93">
      <w:pPr>
        <w:spacing w:line="360" w:lineRule="auto"/>
        <w:ind w:firstLine="708"/>
        <w:jc w:val="both"/>
        <w:rPr>
          <w:rFonts w:ascii="Arial Narrow" w:hAnsi="Arial Narrow" w:cs="Tahoma"/>
          <w:sz w:val="28"/>
          <w:szCs w:val="28"/>
        </w:rPr>
      </w:pPr>
      <w:r w:rsidRPr="00142906">
        <w:rPr>
          <w:rFonts w:ascii="Arial Narrow" w:hAnsi="Arial Narrow" w:cs="Tahoma"/>
          <w:sz w:val="28"/>
          <w:szCs w:val="28"/>
        </w:rPr>
        <w:t xml:space="preserve">La </w:t>
      </w:r>
      <w:r w:rsidRPr="00142906">
        <w:rPr>
          <w:rFonts w:ascii="Arial Narrow" w:hAnsi="Arial Narrow" w:cs="Tahoma"/>
          <w:i/>
          <w:sz w:val="28"/>
          <w:szCs w:val="28"/>
        </w:rPr>
        <w:t xml:space="preserve">Administradora Colombiana de Pensiones </w:t>
      </w:r>
      <w:proofErr w:type="spellStart"/>
      <w:r w:rsidRPr="00142906">
        <w:rPr>
          <w:rFonts w:ascii="Arial Narrow" w:hAnsi="Arial Narrow" w:cs="Tahoma"/>
          <w:i/>
          <w:sz w:val="28"/>
          <w:szCs w:val="28"/>
        </w:rPr>
        <w:t>Colpensiones</w:t>
      </w:r>
      <w:proofErr w:type="spellEnd"/>
      <w:r w:rsidRPr="00142906">
        <w:rPr>
          <w:rFonts w:ascii="Arial Narrow" w:hAnsi="Arial Narrow" w:cs="Tahoma"/>
          <w:sz w:val="28"/>
          <w:szCs w:val="28"/>
        </w:rPr>
        <w:t xml:space="preserve"> </w:t>
      </w:r>
      <w:r w:rsidR="0098334E">
        <w:rPr>
          <w:rFonts w:ascii="Arial Narrow" w:hAnsi="Arial Narrow" w:cs="Tahoma"/>
          <w:sz w:val="28"/>
          <w:szCs w:val="28"/>
        </w:rPr>
        <w:t>se</w:t>
      </w:r>
      <w:r w:rsidRPr="00142906">
        <w:rPr>
          <w:rFonts w:ascii="Arial Narrow" w:hAnsi="Arial Narrow" w:cs="Tahoma"/>
          <w:sz w:val="28"/>
          <w:szCs w:val="28"/>
        </w:rPr>
        <w:t xml:space="preserve"> opuso a la </w:t>
      </w:r>
      <w:r w:rsidR="0098334E">
        <w:rPr>
          <w:rFonts w:ascii="Arial Narrow" w:hAnsi="Arial Narrow" w:cs="Tahoma"/>
          <w:sz w:val="28"/>
          <w:szCs w:val="28"/>
        </w:rPr>
        <w:t xml:space="preserve">prosperidad de las pretensiones, alegando que la demandante no acredita 15 años de servicios al 1º de abril de 1994. En su defensa, </w:t>
      </w:r>
      <w:r w:rsidRPr="00142906">
        <w:rPr>
          <w:rFonts w:ascii="Arial Narrow" w:hAnsi="Arial Narrow" w:cs="Tahoma"/>
          <w:sz w:val="28"/>
          <w:szCs w:val="28"/>
        </w:rPr>
        <w:t>formuló las excepciones de “</w:t>
      </w:r>
      <w:r w:rsidR="0098334E">
        <w:rPr>
          <w:rFonts w:ascii="Arial Narrow" w:hAnsi="Arial Narrow" w:cs="Tahoma"/>
          <w:sz w:val="28"/>
          <w:szCs w:val="28"/>
        </w:rPr>
        <w:t xml:space="preserve">Inexistencia de la obligación demandada” y “Prescripción”. </w:t>
      </w:r>
    </w:p>
    <w:p w:rsidR="00047C93" w:rsidRPr="0094117E" w:rsidRDefault="00047C93" w:rsidP="00047C93">
      <w:pPr>
        <w:pStyle w:val="Sinespaciado"/>
      </w:pPr>
    </w:p>
    <w:p w:rsidR="00047C93" w:rsidRPr="000D7FE8" w:rsidRDefault="0098334E" w:rsidP="00047C93">
      <w:pPr>
        <w:spacing w:line="360" w:lineRule="auto"/>
        <w:ind w:firstLine="708"/>
        <w:jc w:val="both"/>
        <w:rPr>
          <w:rFonts w:ascii="Arial Narrow" w:hAnsi="Arial Narrow" w:cs="Tahoma"/>
          <w:sz w:val="28"/>
          <w:szCs w:val="28"/>
        </w:rPr>
      </w:pPr>
      <w:r>
        <w:rPr>
          <w:rFonts w:ascii="Arial Narrow" w:hAnsi="Arial Narrow" w:cs="Tahoma"/>
          <w:i/>
          <w:sz w:val="28"/>
          <w:szCs w:val="28"/>
        </w:rPr>
        <w:t xml:space="preserve">Protección S.A. </w:t>
      </w:r>
      <w:r w:rsidR="00047C93" w:rsidRPr="00142906">
        <w:rPr>
          <w:rFonts w:ascii="Arial Narrow" w:hAnsi="Arial Narrow" w:cs="Tahoma"/>
          <w:sz w:val="28"/>
          <w:szCs w:val="28"/>
        </w:rPr>
        <w:t>en respuesta a la demanda indicó que no se opone a</w:t>
      </w:r>
      <w:r w:rsidR="0001580F">
        <w:rPr>
          <w:rFonts w:ascii="Arial Narrow" w:hAnsi="Arial Narrow" w:cs="Tahoma"/>
          <w:sz w:val="28"/>
          <w:szCs w:val="28"/>
        </w:rPr>
        <w:t xml:space="preserve"> la pretens</w:t>
      </w:r>
      <w:r w:rsidR="00F443B3">
        <w:rPr>
          <w:rFonts w:ascii="Arial Narrow" w:hAnsi="Arial Narrow" w:cs="Tahoma"/>
          <w:sz w:val="28"/>
          <w:szCs w:val="28"/>
        </w:rPr>
        <w:t>ión principal d</w:t>
      </w:r>
      <w:r w:rsidR="0001580F">
        <w:rPr>
          <w:rFonts w:ascii="Arial Narrow" w:hAnsi="Arial Narrow" w:cs="Tahoma"/>
          <w:sz w:val="28"/>
          <w:szCs w:val="28"/>
        </w:rPr>
        <w:t xml:space="preserve">e la demanda, </w:t>
      </w:r>
      <w:r w:rsidR="00F443B3">
        <w:rPr>
          <w:rFonts w:ascii="Arial Narrow" w:hAnsi="Arial Narrow" w:cs="Tahoma"/>
          <w:sz w:val="28"/>
          <w:szCs w:val="28"/>
        </w:rPr>
        <w:t>en la medida en que la actora logre acreditar que cumple con los requisitos legales y jurisprudenciales para el traslado de régimen.</w:t>
      </w:r>
      <w:r w:rsidR="00047C93">
        <w:rPr>
          <w:rFonts w:ascii="Arial Narrow" w:hAnsi="Arial Narrow" w:cs="Tahoma"/>
          <w:b/>
          <w:i/>
          <w:sz w:val="28"/>
          <w:szCs w:val="28"/>
        </w:rPr>
        <w:t xml:space="preserve"> </w:t>
      </w:r>
      <w:r w:rsidR="00047C93">
        <w:rPr>
          <w:rFonts w:ascii="Arial Narrow" w:hAnsi="Arial Narrow" w:cs="Tahoma"/>
          <w:sz w:val="28"/>
          <w:szCs w:val="28"/>
        </w:rPr>
        <w:t>Propuso como medios exceptivos de fondo “</w:t>
      </w:r>
      <w:r w:rsidR="00F443B3">
        <w:rPr>
          <w:rFonts w:ascii="Arial Narrow" w:hAnsi="Arial Narrow" w:cs="Tahoma"/>
          <w:sz w:val="28"/>
          <w:szCs w:val="28"/>
        </w:rPr>
        <w:t>Prescripción”, “Compensación”, “Exoneración de condena en costas y de intereses de mora”, “Falta de causa para pedir” e “Inexistencia de los presupuestos legales para retomar y/o recuperar el régimen de transición”.</w:t>
      </w:r>
      <w:r w:rsidR="00047C93">
        <w:rPr>
          <w:rFonts w:ascii="Arial Narrow" w:hAnsi="Arial Narrow" w:cs="Tahoma"/>
          <w:sz w:val="28"/>
          <w:szCs w:val="28"/>
        </w:rPr>
        <w:t xml:space="preserve"> </w:t>
      </w:r>
    </w:p>
    <w:p w:rsidR="00047C93" w:rsidRDefault="00047C93" w:rsidP="00047C93">
      <w:pPr>
        <w:spacing w:line="276" w:lineRule="auto"/>
        <w:jc w:val="both"/>
      </w:pPr>
    </w:p>
    <w:p w:rsidR="00047C93" w:rsidRPr="00F443B3" w:rsidRDefault="00047C93" w:rsidP="00047C93">
      <w:pPr>
        <w:spacing w:line="360" w:lineRule="auto"/>
        <w:ind w:firstLine="900"/>
        <w:jc w:val="both"/>
        <w:rPr>
          <w:rFonts w:ascii="Arial Narrow" w:hAnsi="Arial Narrow" w:cs="Tahoma"/>
          <w:i/>
          <w:iCs/>
          <w:sz w:val="28"/>
          <w:szCs w:val="28"/>
        </w:rPr>
      </w:pPr>
      <w:r w:rsidRPr="00F443B3">
        <w:rPr>
          <w:rFonts w:ascii="Arial Narrow" w:hAnsi="Arial Narrow" w:cs="Tahoma"/>
          <w:sz w:val="28"/>
          <w:szCs w:val="28"/>
        </w:rPr>
        <w:t xml:space="preserve">  </w:t>
      </w:r>
      <w:r w:rsidRPr="00F443B3">
        <w:rPr>
          <w:rFonts w:ascii="Arial Narrow" w:hAnsi="Arial Narrow" w:cs="Tahoma"/>
          <w:i/>
          <w:sz w:val="28"/>
          <w:szCs w:val="28"/>
        </w:rPr>
        <w:t xml:space="preserve">II. </w:t>
      </w:r>
      <w:r w:rsidRPr="00F443B3">
        <w:rPr>
          <w:rFonts w:ascii="Arial Narrow" w:hAnsi="Arial Narrow" w:cs="Tahoma"/>
          <w:i/>
          <w:iCs/>
          <w:sz w:val="28"/>
          <w:szCs w:val="28"/>
        </w:rPr>
        <w:t>SENTENCIA DEL JUZGADO</w:t>
      </w:r>
    </w:p>
    <w:p w:rsidR="00047C93" w:rsidRPr="008E485A" w:rsidRDefault="00047C93" w:rsidP="00047C93">
      <w:pPr>
        <w:pStyle w:val="Sinespaciado"/>
      </w:pPr>
    </w:p>
    <w:p w:rsidR="00047C93" w:rsidRDefault="00047C93" w:rsidP="00AE6F04">
      <w:pPr>
        <w:spacing w:line="360" w:lineRule="auto"/>
        <w:ind w:firstLine="900"/>
        <w:jc w:val="both"/>
        <w:rPr>
          <w:rFonts w:ascii="Arial Narrow" w:hAnsi="Arial Narrow" w:cs="Tahoma"/>
          <w:sz w:val="28"/>
          <w:szCs w:val="28"/>
          <w:lang w:eastAsia="es-CO"/>
        </w:rPr>
      </w:pPr>
      <w:r w:rsidRPr="00D30FA7">
        <w:rPr>
          <w:rFonts w:ascii="Arial Narrow" w:hAnsi="Arial Narrow" w:cs="Tahoma"/>
          <w:color w:val="FF0000"/>
          <w:sz w:val="28"/>
          <w:szCs w:val="28"/>
        </w:rPr>
        <w:t xml:space="preserve">  </w:t>
      </w:r>
      <w:r w:rsidRPr="007B247C">
        <w:rPr>
          <w:rFonts w:ascii="Arial Narrow" w:hAnsi="Arial Narrow" w:cs="Tahoma"/>
          <w:sz w:val="28"/>
          <w:szCs w:val="28"/>
          <w:lang w:eastAsia="es-CO"/>
        </w:rPr>
        <w:t xml:space="preserve">El Juzgado </w:t>
      </w:r>
      <w:r w:rsidR="00F443B3">
        <w:rPr>
          <w:rFonts w:ascii="Arial Narrow" w:hAnsi="Arial Narrow" w:cs="Tahoma"/>
          <w:sz w:val="28"/>
          <w:szCs w:val="28"/>
          <w:lang w:eastAsia="es-CO"/>
        </w:rPr>
        <w:t>Primero L</w:t>
      </w:r>
      <w:r w:rsidRPr="007B247C">
        <w:rPr>
          <w:rFonts w:ascii="Arial Narrow" w:hAnsi="Arial Narrow" w:cs="Tahoma"/>
          <w:sz w:val="28"/>
          <w:szCs w:val="28"/>
          <w:lang w:eastAsia="es-CO"/>
        </w:rPr>
        <w:t xml:space="preserve">aboral del Circuito de Pereira </w:t>
      </w:r>
      <w:r>
        <w:rPr>
          <w:rFonts w:ascii="Arial Narrow" w:hAnsi="Arial Narrow" w:cs="Tahoma"/>
          <w:sz w:val="28"/>
          <w:szCs w:val="28"/>
          <w:lang w:eastAsia="es-CO"/>
        </w:rPr>
        <w:t xml:space="preserve">dictó fallo el </w:t>
      </w:r>
      <w:r w:rsidR="00AE6F04">
        <w:rPr>
          <w:rFonts w:ascii="Arial Narrow" w:hAnsi="Arial Narrow" w:cs="Tahoma"/>
          <w:sz w:val="28"/>
          <w:szCs w:val="28"/>
          <w:lang w:eastAsia="es-CO"/>
        </w:rPr>
        <w:t>2 de julio de 2015</w:t>
      </w:r>
      <w:r>
        <w:rPr>
          <w:rFonts w:ascii="Arial Narrow" w:hAnsi="Arial Narrow" w:cs="Tahoma"/>
          <w:sz w:val="28"/>
          <w:szCs w:val="28"/>
          <w:lang w:eastAsia="es-CO"/>
        </w:rPr>
        <w:t xml:space="preserve">, a través del cual accedió a </w:t>
      </w:r>
      <w:r w:rsidR="00AE6F04">
        <w:rPr>
          <w:rFonts w:ascii="Arial Narrow" w:hAnsi="Arial Narrow" w:cs="Tahoma"/>
          <w:sz w:val="28"/>
          <w:szCs w:val="28"/>
          <w:lang w:eastAsia="es-CO"/>
        </w:rPr>
        <w:t xml:space="preserve">las pretensiones de la demanda, declarando que la señora María </w:t>
      </w:r>
      <w:proofErr w:type="spellStart"/>
      <w:r w:rsidR="00AE6F04">
        <w:rPr>
          <w:rFonts w:ascii="Arial Narrow" w:hAnsi="Arial Narrow" w:cs="Tahoma"/>
          <w:sz w:val="28"/>
          <w:szCs w:val="28"/>
          <w:lang w:eastAsia="es-CO"/>
        </w:rPr>
        <w:t>Cenelia</w:t>
      </w:r>
      <w:proofErr w:type="spellEnd"/>
      <w:r w:rsidR="00AE6F04">
        <w:rPr>
          <w:rFonts w:ascii="Arial Narrow" w:hAnsi="Arial Narrow" w:cs="Tahoma"/>
          <w:sz w:val="28"/>
          <w:szCs w:val="28"/>
          <w:lang w:eastAsia="es-CO"/>
        </w:rPr>
        <w:t xml:space="preserve"> Zuluaga Palacio es beneficiaria del régimen de transición, toda vez que al 1º de abril de 1994 contaba con más de 750 semanas y más de 35 años de edad, conforme lo previsto en el artículo 36 de la Ley 100 de 1993</w:t>
      </w:r>
      <w:r w:rsidR="000F5EA4">
        <w:rPr>
          <w:rFonts w:ascii="Arial Narrow" w:hAnsi="Arial Narrow" w:cs="Tahoma"/>
          <w:sz w:val="28"/>
          <w:szCs w:val="28"/>
          <w:lang w:eastAsia="es-CO"/>
        </w:rPr>
        <w:t xml:space="preserve">, y por ende, tiene derecho a retornar al régimen de prima media con prestación definida, en los términos </w:t>
      </w:r>
      <w:r w:rsidR="000F5EA4">
        <w:rPr>
          <w:rFonts w:ascii="Arial Narrow" w:hAnsi="Arial Narrow" w:cs="Tahoma"/>
          <w:sz w:val="28"/>
          <w:szCs w:val="28"/>
          <w:lang w:eastAsia="es-CO"/>
        </w:rPr>
        <w:lastRenderedPageBreak/>
        <w:t xml:space="preserve">de las sentencias </w:t>
      </w:r>
      <w:r w:rsidR="000F5EA4" w:rsidRPr="00C310D4">
        <w:rPr>
          <w:rFonts w:ascii="Arial Narrow" w:hAnsi="Arial Narrow" w:cs="Tahoma"/>
          <w:sz w:val="28"/>
          <w:szCs w:val="28"/>
          <w:lang w:eastAsia="es-CO"/>
        </w:rPr>
        <w:t>SU 062</w:t>
      </w:r>
      <w:r w:rsidR="000F5EA4">
        <w:rPr>
          <w:rFonts w:ascii="Arial Narrow" w:hAnsi="Arial Narrow" w:cs="Tahoma"/>
          <w:sz w:val="28"/>
          <w:szCs w:val="28"/>
          <w:lang w:eastAsia="es-CO"/>
        </w:rPr>
        <w:t xml:space="preserve"> de 2010, y </w:t>
      </w:r>
      <w:r w:rsidR="000F5EA4" w:rsidRPr="00C310D4">
        <w:rPr>
          <w:rFonts w:ascii="Arial Narrow" w:hAnsi="Arial Narrow" w:cs="Tahoma"/>
          <w:sz w:val="28"/>
          <w:szCs w:val="28"/>
          <w:lang w:eastAsia="es-CO"/>
        </w:rPr>
        <w:t xml:space="preserve">130 </w:t>
      </w:r>
      <w:r w:rsidR="000F5EA4">
        <w:rPr>
          <w:rFonts w:ascii="Arial Narrow" w:hAnsi="Arial Narrow" w:cs="Tahoma"/>
          <w:sz w:val="28"/>
          <w:szCs w:val="28"/>
          <w:lang w:eastAsia="es-CO"/>
        </w:rPr>
        <w:t xml:space="preserve">de </w:t>
      </w:r>
      <w:r w:rsidR="000F5EA4" w:rsidRPr="00C310D4">
        <w:rPr>
          <w:rFonts w:ascii="Arial Narrow" w:hAnsi="Arial Narrow" w:cs="Tahoma"/>
          <w:sz w:val="28"/>
          <w:szCs w:val="28"/>
          <w:lang w:eastAsia="es-CO"/>
        </w:rPr>
        <w:t>2013</w:t>
      </w:r>
      <w:r w:rsidR="00AE6F04">
        <w:rPr>
          <w:rFonts w:ascii="Arial Narrow" w:hAnsi="Arial Narrow" w:cs="Tahoma"/>
          <w:sz w:val="28"/>
          <w:szCs w:val="28"/>
          <w:lang w:eastAsia="es-CO"/>
        </w:rPr>
        <w:t xml:space="preserve">. En consecuencia, ordenó a la AFP Protección, efectuar el traslado de los aportes realizados por la actora, del régimen de ahorro individual con solidaridad al de prima media con prestación definida, administrado por </w:t>
      </w:r>
      <w:proofErr w:type="spellStart"/>
      <w:r w:rsidR="00AE6F04">
        <w:rPr>
          <w:rFonts w:ascii="Arial Narrow" w:hAnsi="Arial Narrow" w:cs="Tahoma"/>
          <w:sz w:val="28"/>
          <w:szCs w:val="28"/>
          <w:lang w:eastAsia="es-CO"/>
        </w:rPr>
        <w:t>Colpensiones</w:t>
      </w:r>
      <w:proofErr w:type="spellEnd"/>
      <w:r w:rsidR="00AE6F04">
        <w:rPr>
          <w:rFonts w:ascii="Arial Narrow" w:hAnsi="Arial Narrow" w:cs="Tahoma"/>
          <w:sz w:val="28"/>
          <w:szCs w:val="28"/>
          <w:lang w:eastAsia="es-CO"/>
        </w:rPr>
        <w:t xml:space="preserve">, </w:t>
      </w:r>
      <w:r w:rsidR="000F5EA4">
        <w:rPr>
          <w:rFonts w:ascii="Arial Narrow" w:hAnsi="Arial Narrow" w:cs="Tahoma"/>
          <w:sz w:val="28"/>
          <w:szCs w:val="28"/>
          <w:lang w:eastAsia="es-CO"/>
        </w:rPr>
        <w:t>y a esta última entidad a a</w:t>
      </w:r>
      <w:r w:rsidR="00AE6F04">
        <w:rPr>
          <w:rFonts w:ascii="Arial Narrow" w:hAnsi="Arial Narrow" w:cs="Tahoma"/>
          <w:sz w:val="28"/>
          <w:szCs w:val="28"/>
          <w:lang w:eastAsia="es-CO"/>
        </w:rPr>
        <w:t>ceptar el traslado de lo</w:t>
      </w:r>
      <w:r w:rsidR="000F5EA4">
        <w:rPr>
          <w:rFonts w:ascii="Arial Narrow" w:hAnsi="Arial Narrow" w:cs="Tahoma"/>
          <w:sz w:val="28"/>
          <w:szCs w:val="28"/>
          <w:lang w:eastAsia="es-CO"/>
        </w:rPr>
        <w:t xml:space="preserve">s aportes realizados en el </w:t>
      </w:r>
      <w:proofErr w:type="spellStart"/>
      <w:r w:rsidR="000F5EA4">
        <w:rPr>
          <w:rFonts w:ascii="Arial Narrow" w:hAnsi="Arial Narrow" w:cs="Tahoma"/>
          <w:sz w:val="28"/>
          <w:szCs w:val="28"/>
          <w:lang w:eastAsia="es-CO"/>
        </w:rPr>
        <w:t>RAIS</w:t>
      </w:r>
      <w:proofErr w:type="spellEnd"/>
      <w:r w:rsidR="000F5EA4">
        <w:rPr>
          <w:rFonts w:ascii="Arial Narrow" w:hAnsi="Arial Narrow" w:cs="Tahoma"/>
          <w:sz w:val="28"/>
          <w:szCs w:val="28"/>
          <w:lang w:eastAsia="es-CO"/>
        </w:rPr>
        <w:t xml:space="preserve">. Condenó en costas a las demandadas </w:t>
      </w:r>
      <w:r w:rsidR="00607FA6">
        <w:rPr>
          <w:rFonts w:ascii="Arial Narrow" w:hAnsi="Arial Narrow" w:cs="Tahoma"/>
          <w:sz w:val="28"/>
          <w:szCs w:val="28"/>
          <w:lang w:eastAsia="es-CO"/>
        </w:rPr>
        <w:t>y fijó las agencias en derecho en cuantía de $ 4`510.450.</w:t>
      </w:r>
    </w:p>
    <w:p w:rsidR="000F5EA4" w:rsidRDefault="000F5EA4" w:rsidP="000F5EA4">
      <w:pPr>
        <w:pStyle w:val="Sinespaciado"/>
        <w:rPr>
          <w:lang w:eastAsia="es-CO"/>
        </w:rPr>
      </w:pPr>
    </w:p>
    <w:p w:rsidR="00634AF4" w:rsidRDefault="000F5EA4" w:rsidP="00AE6F04">
      <w:pPr>
        <w:spacing w:line="360" w:lineRule="auto"/>
        <w:ind w:firstLine="900"/>
        <w:jc w:val="both"/>
        <w:rPr>
          <w:rFonts w:ascii="Arial Narrow" w:hAnsi="Arial Narrow" w:cs="Tahoma"/>
          <w:sz w:val="28"/>
          <w:szCs w:val="28"/>
          <w:lang w:eastAsia="es-CO"/>
        </w:rPr>
      </w:pPr>
      <w:r>
        <w:rPr>
          <w:rFonts w:ascii="Arial Narrow" w:hAnsi="Arial Narrow" w:cs="Tahoma"/>
          <w:sz w:val="28"/>
          <w:szCs w:val="28"/>
          <w:lang w:eastAsia="es-CO"/>
        </w:rPr>
        <w:t>Contra la anterior determinación se alzó el vocero judicial de la Administradora Colomb</w:t>
      </w:r>
      <w:r w:rsidR="00E736D6">
        <w:rPr>
          <w:rFonts w:ascii="Arial Narrow" w:hAnsi="Arial Narrow" w:cs="Tahoma"/>
          <w:sz w:val="28"/>
          <w:szCs w:val="28"/>
          <w:lang w:eastAsia="es-CO"/>
        </w:rPr>
        <w:t xml:space="preserve">iana de Pensiones </w:t>
      </w:r>
      <w:proofErr w:type="spellStart"/>
      <w:r w:rsidR="00E736D6">
        <w:rPr>
          <w:rFonts w:ascii="Arial Narrow" w:hAnsi="Arial Narrow" w:cs="Tahoma"/>
          <w:sz w:val="28"/>
          <w:szCs w:val="28"/>
          <w:lang w:eastAsia="es-CO"/>
        </w:rPr>
        <w:t>Colpensiones</w:t>
      </w:r>
      <w:proofErr w:type="spellEnd"/>
      <w:r w:rsidR="002970D4">
        <w:rPr>
          <w:rFonts w:ascii="Arial Narrow" w:hAnsi="Arial Narrow" w:cs="Tahoma"/>
          <w:sz w:val="28"/>
          <w:szCs w:val="28"/>
          <w:lang w:eastAsia="es-CO"/>
        </w:rPr>
        <w:t xml:space="preserve">. Para el efecto, centra </w:t>
      </w:r>
      <w:r w:rsidR="00E736D6">
        <w:rPr>
          <w:rFonts w:ascii="Arial Narrow" w:hAnsi="Arial Narrow" w:cs="Tahoma"/>
          <w:sz w:val="28"/>
          <w:szCs w:val="28"/>
          <w:lang w:eastAsia="es-CO"/>
        </w:rPr>
        <w:t>su inconformidad en la falta de verificación del cumplimiento de</w:t>
      </w:r>
      <w:r w:rsidR="006C31E1">
        <w:rPr>
          <w:rFonts w:ascii="Arial Narrow" w:hAnsi="Arial Narrow" w:cs="Tahoma"/>
          <w:sz w:val="28"/>
          <w:szCs w:val="28"/>
          <w:lang w:eastAsia="es-CO"/>
        </w:rPr>
        <w:t>l requisito de</w:t>
      </w:r>
      <w:r w:rsidR="00E736D6">
        <w:rPr>
          <w:rFonts w:ascii="Arial Narrow" w:hAnsi="Arial Narrow" w:cs="Tahoma"/>
          <w:sz w:val="28"/>
          <w:szCs w:val="28"/>
          <w:lang w:eastAsia="es-CO"/>
        </w:rPr>
        <w:t xml:space="preserve"> la equivalencia de los aportes para el traslado de r</w:t>
      </w:r>
      <w:r w:rsidR="0037224F">
        <w:rPr>
          <w:rFonts w:ascii="Arial Narrow" w:hAnsi="Arial Narrow" w:cs="Tahoma"/>
          <w:sz w:val="28"/>
          <w:szCs w:val="28"/>
          <w:lang w:eastAsia="es-CO"/>
        </w:rPr>
        <w:t>égimen y se recuperen los beneficios del régimen de transición,</w:t>
      </w:r>
      <w:r w:rsidR="006C31E1">
        <w:rPr>
          <w:rFonts w:ascii="Arial Narrow" w:hAnsi="Arial Narrow" w:cs="Tahoma"/>
          <w:sz w:val="28"/>
          <w:szCs w:val="28"/>
          <w:lang w:eastAsia="es-CO"/>
        </w:rPr>
        <w:t xml:space="preserve"> </w:t>
      </w:r>
      <w:r w:rsidR="00E736D6">
        <w:rPr>
          <w:rFonts w:ascii="Arial Narrow" w:hAnsi="Arial Narrow" w:cs="Tahoma"/>
          <w:sz w:val="28"/>
          <w:szCs w:val="28"/>
          <w:lang w:eastAsia="es-CO"/>
        </w:rPr>
        <w:t>en los términos de la sentencia SU 062 de 2010. Alude a que si bien el Consejo de Estado declaró la</w:t>
      </w:r>
      <w:r w:rsidR="00634AF4">
        <w:rPr>
          <w:rFonts w:ascii="Arial Narrow" w:hAnsi="Arial Narrow" w:cs="Tahoma"/>
          <w:sz w:val="28"/>
          <w:szCs w:val="28"/>
          <w:lang w:eastAsia="es-CO"/>
        </w:rPr>
        <w:t xml:space="preserve"> nulidad de los literales a y b del artículo 3º del Decreto 3800 de 2003, </w:t>
      </w:r>
      <w:r w:rsidR="006C31E1">
        <w:rPr>
          <w:rFonts w:ascii="Arial Narrow" w:hAnsi="Arial Narrow" w:cs="Tahoma"/>
          <w:sz w:val="28"/>
          <w:szCs w:val="28"/>
          <w:lang w:eastAsia="es-CO"/>
        </w:rPr>
        <w:t xml:space="preserve">eliminando con ello el requisito de equivalencia de </w:t>
      </w:r>
      <w:r w:rsidR="00F24497">
        <w:rPr>
          <w:rFonts w:ascii="Arial Narrow" w:hAnsi="Arial Narrow" w:cs="Tahoma"/>
          <w:sz w:val="28"/>
          <w:szCs w:val="28"/>
          <w:lang w:eastAsia="es-CO"/>
        </w:rPr>
        <w:t xml:space="preserve">los </w:t>
      </w:r>
      <w:r w:rsidR="006C31E1">
        <w:rPr>
          <w:rFonts w:ascii="Arial Narrow" w:hAnsi="Arial Narrow" w:cs="Tahoma"/>
          <w:sz w:val="28"/>
          <w:szCs w:val="28"/>
          <w:lang w:eastAsia="es-CO"/>
        </w:rPr>
        <w:t xml:space="preserve">aportes y de los rendimientos para la recuperación del régimen de transición, </w:t>
      </w:r>
      <w:r w:rsidR="00F24497">
        <w:rPr>
          <w:rFonts w:ascii="Arial Narrow" w:hAnsi="Arial Narrow" w:cs="Tahoma"/>
          <w:sz w:val="28"/>
          <w:szCs w:val="28"/>
          <w:lang w:eastAsia="es-CO"/>
        </w:rPr>
        <w:t xml:space="preserve">esto resulta intrascendente por cuanto </w:t>
      </w:r>
      <w:r w:rsidR="006C31E1">
        <w:rPr>
          <w:rFonts w:ascii="Arial Narrow" w:hAnsi="Arial Narrow" w:cs="Tahoma"/>
          <w:sz w:val="28"/>
          <w:szCs w:val="28"/>
          <w:lang w:eastAsia="es-CO"/>
        </w:rPr>
        <w:t xml:space="preserve">la </w:t>
      </w:r>
      <w:r w:rsidR="00F24497">
        <w:rPr>
          <w:rFonts w:ascii="Arial Narrow" w:hAnsi="Arial Narrow" w:cs="Tahoma"/>
          <w:sz w:val="28"/>
          <w:szCs w:val="28"/>
          <w:lang w:eastAsia="es-CO"/>
        </w:rPr>
        <w:t xml:space="preserve">jurisprudencia de </w:t>
      </w:r>
      <w:r w:rsidR="006C31E1">
        <w:rPr>
          <w:rFonts w:ascii="Arial Narrow" w:hAnsi="Arial Narrow" w:cs="Tahoma"/>
          <w:sz w:val="28"/>
          <w:szCs w:val="28"/>
          <w:lang w:eastAsia="es-CO"/>
        </w:rPr>
        <w:t xml:space="preserve">la Corte Constitucional </w:t>
      </w:r>
      <w:r w:rsidR="0037224F">
        <w:rPr>
          <w:rFonts w:ascii="Arial Narrow" w:hAnsi="Arial Narrow" w:cs="Tahoma"/>
          <w:sz w:val="28"/>
          <w:szCs w:val="28"/>
          <w:lang w:eastAsia="es-CO"/>
        </w:rPr>
        <w:t>aun exige dicho requisito.</w:t>
      </w:r>
    </w:p>
    <w:p w:rsidR="00B85A86" w:rsidRDefault="00B85A86" w:rsidP="00DD182B">
      <w:pPr>
        <w:pStyle w:val="Sinespaciado"/>
        <w:rPr>
          <w:lang w:val="es-MX" w:eastAsia="es-CO"/>
        </w:rPr>
      </w:pPr>
    </w:p>
    <w:p w:rsidR="00D77795" w:rsidRDefault="00D77795" w:rsidP="00DD182B">
      <w:pPr>
        <w:spacing w:line="360" w:lineRule="auto"/>
        <w:ind w:firstLine="708"/>
        <w:jc w:val="both"/>
        <w:rPr>
          <w:rFonts w:ascii="Arial Narrow" w:hAnsi="Arial Narrow" w:cs="Tahoma"/>
          <w:sz w:val="28"/>
          <w:szCs w:val="28"/>
        </w:rPr>
      </w:pPr>
      <w:r>
        <w:rPr>
          <w:rFonts w:ascii="Arial Narrow" w:hAnsi="Arial Narrow" w:cs="Tahoma"/>
          <w:sz w:val="28"/>
          <w:szCs w:val="28"/>
        </w:rPr>
        <w:t xml:space="preserve">También se desatará el grado jurisdiccional de consulta </w:t>
      </w:r>
      <w:r w:rsidR="00DD182B">
        <w:rPr>
          <w:rFonts w:ascii="Arial Narrow" w:hAnsi="Arial Narrow" w:cs="Tahoma"/>
          <w:sz w:val="28"/>
          <w:szCs w:val="28"/>
        </w:rPr>
        <w:t>en favor de</w:t>
      </w:r>
      <w:r>
        <w:rPr>
          <w:rFonts w:ascii="Arial Narrow" w:hAnsi="Arial Narrow" w:cs="Tahoma"/>
          <w:sz w:val="28"/>
          <w:szCs w:val="28"/>
        </w:rPr>
        <w:t xml:space="preserve"> Administradora Colombiana de Pensiones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en acatamiento a la sentencia de tutela de la CSJ Sala Laboral, radicación </w:t>
      </w:r>
      <w:proofErr w:type="spellStart"/>
      <w:r>
        <w:rPr>
          <w:rFonts w:ascii="Arial Narrow" w:hAnsi="Arial Narrow" w:cs="Tahoma"/>
          <w:sz w:val="28"/>
          <w:szCs w:val="28"/>
        </w:rPr>
        <w:t>STL</w:t>
      </w:r>
      <w:proofErr w:type="spellEnd"/>
      <w:r>
        <w:rPr>
          <w:rFonts w:ascii="Arial Narrow" w:hAnsi="Arial Narrow" w:cs="Tahoma"/>
          <w:sz w:val="28"/>
          <w:szCs w:val="28"/>
        </w:rPr>
        <w:t xml:space="preserve"> 7382 del 9 de junio de 2015. </w:t>
      </w:r>
    </w:p>
    <w:p w:rsidR="00047C93" w:rsidRPr="002E213D" w:rsidRDefault="00047C93" w:rsidP="00DD182B">
      <w:pPr>
        <w:pStyle w:val="Sinespaciado"/>
        <w:spacing w:line="360" w:lineRule="auto"/>
        <w:rPr>
          <w:lang w:val="es-MX"/>
        </w:rPr>
      </w:pPr>
    </w:p>
    <w:p w:rsidR="00047C93" w:rsidRPr="00501F03" w:rsidRDefault="00047C93" w:rsidP="00047C93">
      <w:pPr>
        <w:shd w:val="clear" w:color="auto" w:fill="FFFFFF"/>
        <w:tabs>
          <w:tab w:val="left" w:pos="5197"/>
        </w:tabs>
        <w:spacing w:line="360" w:lineRule="auto"/>
        <w:ind w:firstLine="851"/>
        <w:jc w:val="both"/>
        <w:rPr>
          <w:rFonts w:ascii="Arial Narrow" w:hAnsi="Arial Narrow" w:cs="Tahoma"/>
          <w:sz w:val="28"/>
          <w:szCs w:val="28"/>
        </w:rPr>
      </w:pPr>
      <w:r w:rsidRPr="00501F03">
        <w:rPr>
          <w:rFonts w:ascii="Arial Narrow" w:hAnsi="Arial Narrow" w:cs="Tahoma"/>
          <w:sz w:val="28"/>
          <w:szCs w:val="28"/>
        </w:rPr>
        <w:t>Del problema jurídico.</w:t>
      </w:r>
    </w:p>
    <w:p w:rsidR="00DD182B" w:rsidRPr="00501F03" w:rsidRDefault="00DD182B" w:rsidP="00501F03">
      <w:pPr>
        <w:pStyle w:val="Sinespaciado"/>
      </w:pPr>
    </w:p>
    <w:p w:rsidR="00047C93" w:rsidRDefault="00047C93" w:rsidP="00047C93">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B4716">
        <w:rPr>
          <w:rFonts w:ascii="Arial Narrow" w:hAnsi="Arial Narrow" w:cs="Tahoma"/>
          <w:color w:val="000000"/>
          <w:sz w:val="28"/>
          <w:szCs w:val="28"/>
          <w:lang w:eastAsia="es-CO"/>
        </w:rPr>
        <w:t>Visto el recuento anterior, la Sala formula el problema jurídico en los siguientes términos:</w:t>
      </w:r>
    </w:p>
    <w:p w:rsidR="00DD182B" w:rsidRPr="00501F03" w:rsidRDefault="00DD182B" w:rsidP="00501F03">
      <w:pPr>
        <w:pStyle w:val="Sinespaciado"/>
      </w:pPr>
    </w:p>
    <w:p w:rsidR="00047C93" w:rsidRPr="00501F03" w:rsidRDefault="00DD182B" w:rsidP="00DD182B">
      <w:pPr>
        <w:spacing w:line="276" w:lineRule="auto"/>
        <w:ind w:firstLine="900"/>
        <w:jc w:val="both"/>
        <w:rPr>
          <w:rFonts w:ascii="Arial Narrow" w:hAnsi="Arial Narrow" w:cs="Tahoma"/>
          <w:sz w:val="26"/>
          <w:szCs w:val="26"/>
        </w:rPr>
      </w:pPr>
      <w:r w:rsidRPr="00501F03">
        <w:rPr>
          <w:rFonts w:ascii="Arial Narrow" w:hAnsi="Arial Narrow" w:cs="Tahoma"/>
          <w:sz w:val="26"/>
          <w:szCs w:val="26"/>
        </w:rPr>
        <w:t xml:space="preserve">¿Acreditó la demandante </w:t>
      </w:r>
      <w:r w:rsidR="00047C93" w:rsidRPr="00501F03">
        <w:rPr>
          <w:rFonts w:ascii="Arial Narrow" w:hAnsi="Arial Narrow" w:cs="Tahoma"/>
          <w:sz w:val="26"/>
          <w:szCs w:val="26"/>
        </w:rPr>
        <w:t xml:space="preserve">15 años de servicios a la entrada en vigencia del Sistema de Seguridad Social en pensiones, que le permitan retornar en cualquier tiempo al Régimen de Prima Media con prestación definida, y recuperar los beneficios transicionales consagrados el artículo 36 de la Ley 100 de 1993? </w:t>
      </w:r>
    </w:p>
    <w:p w:rsidR="00047C93" w:rsidRPr="00DD182B" w:rsidRDefault="00047C93" w:rsidP="00501F03">
      <w:pPr>
        <w:pStyle w:val="Sinespaciado"/>
        <w:spacing w:line="360" w:lineRule="auto"/>
        <w:rPr>
          <w:sz w:val="28"/>
          <w:szCs w:val="28"/>
        </w:rPr>
      </w:pPr>
    </w:p>
    <w:p w:rsidR="00047C93" w:rsidRPr="00501F03" w:rsidRDefault="00047C93" w:rsidP="00047C93">
      <w:pPr>
        <w:tabs>
          <w:tab w:val="left" w:pos="0"/>
          <w:tab w:val="left" w:pos="8647"/>
        </w:tabs>
        <w:suppressAutoHyphens/>
        <w:spacing w:line="360" w:lineRule="auto"/>
        <w:ind w:firstLine="900"/>
        <w:jc w:val="both"/>
        <w:rPr>
          <w:rFonts w:ascii="Arial Narrow" w:hAnsi="Arial Narrow" w:cs="Tahoma"/>
          <w:sz w:val="28"/>
          <w:szCs w:val="28"/>
        </w:rPr>
      </w:pPr>
      <w:r w:rsidRPr="00501F03">
        <w:rPr>
          <w:rFonts w:ascii="Arial Narrow" w:hAnsi="Arial Narrow" w:cs="Tahoma"/>
          <w:sz w:val="28"/>
          <w:szCs w:val="28"/>
        </w:rPr>
        <w:t>Alegatos en esta instancia:</w:t>
      </w:r>
    </w:p>
    <w:p w:rsidR="00047C93" w:rsidRPr="005A5FED" w:rsidRDefault="00047C93" w:rsidP="00047C93">
      <w:pPr>
        <w:pStyle w:val="Sinespaciado"/>
      </w:pPr>
    </w:p>
    <w:p w:rsidR="00047C93" w:rsidRPr="006B4716" w:rsidRDefault="00047C93" w:rsidP="00047C93">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de respuesta al problema jurídico planteado, se corre traslado por el término de 8 minutos a cada uno de los voceros judiciales de las partes asistentes a la audiencia, empezando por la </w:t>
      </w:r>
      <w:r>
        <w:rPr>
          <w:rFonts w:ascii="Arial Narrow" w:hAnsi="Arial Narrow"/>
          <w:sz w:val="28"/>
          <w:szCs w:val="28"/>
        </w:rPr>
        <w:lastRenderedPageBreak/>
        <w:t>entidad en favor de quien se surte el grado de consulta</w:t>
      </w:r>
      <w:r w:rsidRPr="006B4716">
        <w:rPr>
          <w:rFonts w:ascii="Arial Narrow" w:hAnsi="Arial Narrow"/>
          <w:sz w:val="28"/>
          <w:szCs w:val="28"/>
        </w:rPr>
        <w:t>.</w:t>
      </w:r>
      <w:r>
        <w:rPr>
          <w:rFonts w:ascii="Arial Narrow" w:hAnsi="Arial Narrow"/>
          <w:sz w:val="28"/>
          <w:szCs w:val="28"/>
        </w:rPr>
        <w:t xml:space="preserve"> </w:t>
      </w:r>
      <w:r w:rsidRPr="006B4716">
        <w:rPr>
          <w:rFonts w:ascii="Arial Narrow" w:hAnsi="Arial Narrow"/>
          <w:sz w:val="28"/>
          <w:szCs w:val="28"/>
        </w:rPr>
        <w:t>Escuchadas las anteriores intervenciones</w:t>
      </w:r>
      <w:r w:rsidR="00DD182B">
        <w:rPr>
          <w:rFonts w:ascii="Arial Narrow" w:hAnsi="Arial Narrow"/>
          <w:sz w:val="28"/>
          <w:szCs w:val="28"/>
        </w:rPr>
        <w:t>,</w:t>
      </w:r>
      <w:r w:rsidRPr="006B4716">
        <w:rPr>
          <w:rFonts w:ascii="Arial Narrow" w:hAnsi="Arial Narrow"/>
          <w:sz w:val="28"/>
          <w:szCs w:val="28"/>
        </w:rPr>
        <w:t xml:space="preserve"> que en síntesis reflejan los puntos debatidos por los integrantes de la Sala, se procede a decidir de fondo, previa las siguientes: </w:t>
      </w:r>
    </w:p>
    <w:p w:rsidR="00047C93" w:rsidRPr="00BB0A26" w:rsidRDefault="00047C93" w:rsidP="00501F03">
      <w:pPr>
        <w:pStyle w:val="Sinespaciado"/>
        <w:spacing w:line="276" w:lineRule="auto"/>
      </w:pPr>
    </w:p>
    <w:p w:rsidR="00047C93" w:rsidRDefault="00047C93" w:rsidP="002B4992">
      <w:pPr>
        <w:pStyle w:val="Sinespaciado"/>
        <w:numPr>
          <w:ilvl w:val="0"/>
          <w:numId w:val="2"/>
        </w:numPr>
        <w:spacing w:line="360" w:lineRule="auto"/>
        <w:jc w:val="both"/>
        <w:rPr>
          <w:rFonts w:ascii="Arial Narrow" w:hAnsi="Arial Narrow"/>
          <w:sz w:val="28"/>
          <w:szCs w:val="28"/>
        </w:rPr>
      </w:pPr>
      <w:r w:rsidRPr="002B4992">
        <w:rPr>
          <w:rFonts w:ascii="Arial Narrow" w:hAnsi="Arial Narrow"/>
          <w:sz w:val="28"/>
          <w:szCs w:val="28"/>
        </w:rPr>
        <w:t>CONSIDERACIONES:</w:t>
      </w:r>
    </w:p>
    <w:p w:rsidR="002B4992" w:rsidRPr="002B4992" w:rsidRDefault="002B4992" w:rsidP="002B4992">
      <w:pPr>
        <w:pStyle w:val="Sinespaciado"/>
      </w:pPr>
    </w:p>
    <w:p w:rsidR="006910C0" w:rsidRPr="006910C0" w:rsidRDefault="002B4992" w:rsidP="006910C0">
      <w:pPr>
        <w:spacing w:line="360" w:lineRule="auto"/>
        <w:ind w:firstLine="708"/>
        <w:jc w:val="both"/>
        <w:rPr>
          <w:rFonts w:ascii="Arial Narrow" w:hAnsi="Arial Narrow"/>
          <w:color w:val="FF0000"/>
          <w:sz w:val="28"/>
          <w:szCs w:val="28"/>
        </w:rPr>
      </w:pPr>
      <w:r w:rsidRPr="00584A97">
        <w:rPr>
          <w:rFonts w:ascii="Arial Narrow" w:hAnsi="Arial Narrow"/>
          <w:sz w:val="28"/>
          <w:szCs w:val="28"/>
        </w:rPr>
        <w:t xml:space="preserve">Sería del caso, en virtud del recurso de apelación interpuesto por </w:t>
      </w:r>
      <w:proofErr w:type="spellStart"/>
      <w:r>
        <w:rPr>
          <w:rFonts w:ascii="Arial Narrow" w:hAnsi="Arial Narrow"/>
          <w:sz w:val="28"/>
          <w:szCs w:val="28"/>
        </w:rPr>
        <w:t>Colpensiones</w:t>
      </w:r>
      <w:proofErr w:type="spellEnd"/>
      <w:r>
        <w:rPr>
          <w:rFonts w:ascii="Arial Narrow" w:hAnsi="Arial Narrow"/>
          <w:sz w:val="28"/>
          <w:szCs w:val="28"/>
        </w:rPr>
        <w:t xml:space="preserve"> y del grado jurisdiccional de consulta que opera en </w:t>
      </w:r>
      <w:r w:rsidR="00093511">
        <w:rPr>
          <w:rFonts w:ascii="Arial Narrow" w:hAnsi="Arial Narrow"/>
          <w:sz w:val="28"/>
          <w:szCs w:val="28"/>
        </w:rPr>
        <w:t>favor de esa entidad</w:t>
      </w:r>
      <w:r>
        <w:rPr>
          <w:rFonts w:ascii="Arial Narrow" w:hAnsi="Arial Narrow"/>
          <w:sz w:val="28"/>
          <w:szCs w:val="28"/>
        </w:rPr>
        <w:t xml:space="preserve">, </w:t>
      </w:r>
      <w:r w:rsidR="005C712A">
        <w:rPr>
          <w:rFonts w:ascii="Arial Narrow" w:hAnsi="Arial Narrow"/>
          <w:sz w:val="28"/>
          <w:szCs w:val="28"/>
        </w:rPr>
        <w:t>verificar</w:t>
      </w:r>
      <w:r w:rsidR="00093511">
        <w:rPr>
          <w:rFonts w:ascii="Arial Narrow" w:hAnsi="Arial Narrow"/>
          <w:sz w:val="28"/>
          <w:szCs w:val="28"/>
        </w:rPr>
        <w:t xml:space="preserve"> si la demandante cumple c</w:t>
      </w:r>
      <w:r w:rsidR="00531E9B">
        <w:rPr>
          <w:rFonts w:ascii="Arial Narrow" w:hAnsi="Arial Narrow"/>
          <w:sz w:val="28"/>
          <w:szCs w:val="28"/>
        </w:rPr>
        <w:t xml:space="preserve">on los requisitos </w:t>
      </w:r>
      <w:r w:rsidR="005C712A">
        <w:rPr>
          <w:rFonts w:ascii="Arial Narrow" w:hAnsi="Arial Narrow"/>
          <w:sz w:val="28"/>
          <w:szCs w:val="28"/>
        </w:rPr>
        <w:t>establecido</w:t>
      </w:r>
      <w:r w:rsidR="00A01FEE">
        <w:rPr>
          <w:rFonts w:ascii="Arial Narrow" w:hAnsi="Arial Narrow"/>
          <w:sz w:val="28"/>
          <w:szCs w:val="28"/>
        </w:rPr>
        <w:t xml:space="preserve">s en la ley y la jurisprudencia, para retornar </w:t>
      </w:r>
      <w:r w:rsidR="00093511">
        <w:rPr>
          <w:rFonts w:ascii="Arial Narrow" w:hAnsi="Arial Narrow"/>
          <w:sz w:val="28"/>
          <w:szCs w:val="28"/>
        </w:rPr>
        <w:t xml:space="preserve">al régimen de prima media con prestación definida, y por ende, </w:t>
      </w:r>
      <w:r w:rsidR="005C712A">
        <w:rPr>
          <w:rFonts w:ascii="Arial Narrow" w:hAnsi="Arial Narrow"/>
          <w:sz w:val="28"/>
          <w:szCs w:val="28"/>
        </w:rPr>
        <w:t xml:space="preserve">determinar </w:t>
      </w:r>
      <w:r w:rsidR="00093511">
        <w:rPr>
          <w:rFonts w:ascii="Arial Narrow" w:hAnsi="Arial Narrow"/>
          <w:sz w:val="28"/>
          <w:szCs w:val="28"/>
        </w:rPr>
        <w:t xml:space="preserve">si recuperó los beneficios del régimen de transición que consagra el artículo 36 de la Ley 100 de 1993, sino fuera porque el </w:t>
      </w:r>
      <w:r w:rsidR="002A5552">
        <w:rPr>
          <w:rFonts w:ascii="Arial Narrow" w:hAnsi="Arial Narrow"/>
          <w:sz w:val="28"/>
          <w:szCs w:val="28"/>
        </w:rPr>
        <w:t>12 de febrero de 2016</w:t>
      </w:r>
      <w:r w:rsidR="00531E9B">
        <w:rPr>
          <w:rFonts w:ascii="Arial Narrow" w:hAnsi="Arial Narrow"/>
          <w:sz w:val="28"/>
          <w:szCs w:val="28"/>
        </w:rPr>
        <w:t xml:space="preserve"> se </w:t>
      </w:r>
      <w:proofErr w:type="spellStart"/>
      <w:r w:rsidR="00531E9B">
        <w:rPr>
          <w:rFonts w:ascii="Arial Narrow" w:hAnsi="Arial Narrow"/>
          <w:sz w:val="28"/>
          <w:szCs w:val="28"/>
        </w:rPr>
        <w:t>allegó</w:t>
      </w:r>
      <w:proofErr w:type="spellEnd"/>
      <w:r w:rsidR="00531E9B">
        <w:rPr>
          <w:rFonts w:ascii="Arial Narrow" w:hAnsi="Arial Narrow"/>
          <w:sz w:val="28"/>
          <w:szCs w:val="28"/>
        </w:rPr>
        <w:t xml:space="preserve"> a la Secretaría de esta Corporación, copia de </w:t>
      </w:r>
      <w:r w:rsidR="00271845">
        <w:rPr>
          <w:rFonts w:ascii="Arial Narrow" w:hAnsi="Arial Narrow"/>
          <w:sz w:val="28"/>
          <w:szCs w:val="28"/>
        </w:rPr>
        <w:t xml:space="preserve">la aprobación del traslado del régimen de ahorro individual al de prima media con prestación que </w:t>
      </w:r>
      <w:r w:rsidR="0003728C">
        <w:rPr>
          <w:rFonts w:ascii="Arial Narrow" w:hAnsi="Arial Narrow"/>
          <w:sz w:val="28"/>
          <w:szCs w:val="28"/>
        </w:rPr>
        <w:t>realizó l</w:t>
      </w:r>
      <w:r w:rsidR="00271845">
        <w:rPr>
          <w:rFonts w:ascii="Arial Narrow" w:hAnsi="Arial Narrow"/>
          <w:sz w:val="28"/>
          <w:szCs w:val="28"/>
        </w:rPr>
        <w:t xml:space="preserve">a AFP Protección, así como de la </w:t>
      </w:r>
      <w:r w:rsidR="00531E9B">
        <w:rPr>
          <w:rFonts w:ascii="Arial Narrow" w:hAnsi="Arial Narrow"/>
          <w:sz w:val="28"/>
          <w:szCs w:val="28"/>
        </w:rPr>
        <w:t>aceptación</w:t>
      </w:r>
      <w:r w:rsidR="002A5552">
        <w:rPr>
          <w:rFonts w:ascii="Arial Narrow" w:hAnsi="Arial Narrow"/>
          <w:sz w:val="28"/>
          <w:szCs w:val="28"/>
        </w:rPr>
        <w:t xml:space="preserve"> </w:t>
      </w:r>
      <w:r w:rsidR="0003728C">
        <w:rPr>
          <w:rFonts w:ascii="Arial Narrow" w:hAnsi="Arial Narrow"/>
          <w:sz w:val="28"/>
          <w:szCs w:val="28"/>
        </w:rPr>
        <w:t xml:space="preserve">que </w:t>
      </w:r>
      <w:proofErr w:type="spellStart"/>
      <w:r w:rsidR="002A5552">
        <w:rPr>
          <w:rFonts w:ascii="Arial Narrow" w:hAnsi="Arial Narrow"/>
          <w:sz w:val="28"/>
          <w:szCs w:val="28"/>
        </w:rPr>
        <w:t>Colpensiones</w:t>
      </w:r>
      <w:proofErr w:type="spellEnd"/>
      <w:r w:rsidR="00271845">
        <w:rPr>
          <w:rFonts w:ascii="Arial Narrow" w:hAnsi="Arial Narrow"/>
          <w:sz w:val="28"/>
          <w:szCs w:val="28"/>
        </w:rPr>
        <w:t xml:space="preserve"> </w:t>
      </w:r>
      <w:r w:rsidR="0003728C">
        <w:rPr>
          <w:rFonts w:ascii="Arial Narrow" w:hAnsi="Arial Narrow"/>
          <w:sz w:val="28"/>
          <w:szCs w:val="28"/>
        </w:rPr>
        <w:t xml:space="preserve">efectuó frente al mismo. También se allegó copia </w:t>
      </w:r>
      <w:r w:rsidR="000844B2">
        <w:rPr>
          <w:rFonts w:ascii="Arial Narrow" w:hAnsi="Arial Narrow"/>
          <w:sz w:val="28"/>
          <w:szCs w:val="28"/>
        </w:rPr>
        <w:t xml:space="preserve">de la </w:t>
      </w:r>
      <w:r w:rsidR="0003728C">
        <w:rPr>
          <w:rFonts w:ascii="Arial Narrow" w:hAnsi="Arial Narrow"/>
          <w:sz w:val="28"/>
          <w:szCs w:val="28"/>
        </w:rPr>
        <w:t xml:space="preserve">certificación expedida </w:t>
      </w:r>
      <w:r w:rsidR="006158C6">
        <w:rPr>
          <w:rFonts w:ascii="Arial Narrow" w:hAnsi="Arial Narrow"/>
          <w:sz w:val="28"/>
          <w:szCs w:val="28"/>
        </w:rPr>
        <w:t xml:space="preserve">el 1º de febrero de 2016, </w:t>
      </w:r>
      <w:r w:rsidR="0003728C">
        <w:rPr>
          <w:rFonts w:ascii="Arial Narrow" w:hAnsi="Arial Narrow"/>
          <w:sz w:val="28"/>
          <w:szCs w:val="28"/>
        </w:rPr>
        <w:t xml:space="preserve">por </w:t>
      </w:r>
      <w:r w:rsidR="002C3BD0">
        <w:rPr>
          <w:rFonts w:ascii="Arial Narrow" w:hAnsi="Arial Narrow"/>
          <w:sz w:val="28"/>
          <w:szCs w:val="28"/>
        </w:rPr>
        <w:t>la Gerencia Nacional de Servicio al Ciudadano</w:t>
      </w:r>
      <w:r w:rsidR="0003728C">
        <w:rPr>
          <w:rFonts w:ascii="Arial Narrow" w:hAnsi="Arial Narrow"/>
          <w:sz w:val="28"/>
          <w:szCs w:val="28"/>
        </w:rPr>
        <w:t xml:space="preserve"> de </w:t>
      </w:r>
      <w:proofErr w:type="spellStart"/>
      <w:r w:rsidR="0003728C">
        <w:rPr>
          <w:rFonts w:ascii="Arial Narrow" w:hAnsi="Arial Narrow"/>
          <w:sz w:val="28"/>
          <w:szCs w:val="28"/>
        </w:rPr>
        <w:t>Colpensiones</w:t>
      </w:r>
      <w:proofErr w:type="spellEnd"/>
      <w:r w:rsidR="0003728C">
        <w:rPr>
          <w:rFonts w:ascii="Arial Narrow" w:hAnsi="Arial Narrow"/>
          <w:sz w:val="28"/>
          <w:szCs w:val="28"/>
        </w:rPr>
        <w:t xml:space="preserve">, que da cuenta de </w:t>
      </w:r>
      <w:r w:rsidR="006158C6">
        <w:rPr>
          <w:rFonts w:ascii="Arial Narrow" w:hAnsi="Arial Narrow"/>
          <w:sz w:val="28"/>
          <w:szCs w:val="28"/>
        </w:rPr>
        <w:t xml:space="preserve">que para efectos del traslado de régimen se dio aplicación a </w:t>
      </w:r>
      <w:r w:rsidR="00E72072">
        <w:rPr>
          <w:rFonts w:ascii="Arial Narrow" w:hAnsi="Arial Narrow"/>
          <w:sz w:val="28"/>
          <w:szCs w:val="28"/>
        </w:rPr>
        <w:t xml:space="preserve">la sentencia SU 062 de 2010, y de que el estado de afiliación de la actora </w:t>
      </w:r>
      <w:r w:rsidR="006158C6">
        <w:rPr>
          <w:rFonts w:ascii="Arial Narrow" w:hAnsi="Arial Narrow"/>
          <w:sz w:val="28"/>
          <w:szCs w:val="28"/>
        </w:rPr>
        <w:t xml:space="preserve">en el RPM </w:t>
      </w:r>
      <w:r w:rsidR="00E72072">
        <w:rPr>
          <w:rFonts w:ascii="Arial Narrow" w:hAnsi="Arial Narrow"/>
          <w:sz w:val="28"/>
          <w:szCs w:val="28"/>
        </w:rPr>
        <w:t>es</w:t>
      </w:r>
      <w:r w:rsidR="00CF379C">
        <w:rPr>
          <w:rFonts w:ascii="Arial Narrow" w:hAnsi="Arial Narrow"/>
          <w:sz w:val="28"/>
          <w:szCs w:val="28"/>
        </w:rPr>
        <w:t xml:space="preserve"> </w:t>
      </w:r>
      <w:r w:rsidR="0069161E">
        <w:rPr>
          <w:rFonts w:ascii="Arial Narrow" w:hAnsi="Arial Narrow"/>
          <w:sz w:val="28"/>
          <w:szCs w:val="28"/>
        </w:rPr>
        <w:t>“c</w:t>
      </w:r>
      <w:r w:rsidR="00CF379C">
        <w:rPr>
          <w:rFonts w:ascii="Arial Narrow" w:hAnsi="Arial Narrow"/>
          <w:sz w:val="28"/>
          <w:szCs w:val="28"/>
        </w:rPr>
        <w:t>otizante activa</w:t>
      </w:r>
      <w:r w:rsidR="0069161E">
        <w:rPr>
          <w:rFonts w:ascii="Arial Narrow" w:hAnsi="Arial Narrow"/>
          <w:sz w:val="28"/>
          <w:szCs w:val="28"/>
        </w:rPr>
        <w:t>”</w:t>
      </w:r>
      <w:r w:rsidR="00CF379C">
        <w:rPr>
          <w:rFonts w:ascii="Arial Narrow" w:hAnsi="Arial Narrow"/>
          <w:sz w:val="28"/>
          <w:szCs w:val="28"/>
        </w:rPr>
        <w:t>.</w:t>
      </w:r>
      <w:r w:rsidR="006910C0">
        <w:rPr>
          <w:rFonts w:ascii="Arial Narrow" w:hAnsi="Arial Narrow"/>
          <w:sz w:val="28"/>
          <w:szCs w:val="28"/>
        </w:rPr>
        <w:t xml:space="preserve"> </w:t>
      </w:r>
      <w:r w:rsidR="004C1509" w:rsidRPr="00F97C22">
        <w:rPr>
          <w:rFonts w:ascii="Arial Narrow" w:hAnsi="Arial Narrow"/>
          <w:sz w:val="28"/>
          <w:szCs w:val="28"/>
        </w:rPr>
        <w:t xml:space="preserve">Dichos documentos fueron puestos </w:t>
      </w:r>
      <w:r w:rsidR="006910C0" w:rsidRPr="00F97C22">
        <w:rPr>
          <w:rFonts w:ascii="Arial Narrow" w:hAnsi="Arial Narrow"/>
          <w:sz w:val="28"/>
          <w:szCs w:val="28"/>
        </w:rPr>
        <w:t>en conocimiento de l</w:t>
      </w:r>
      <w:r w:rsidR="004C1509" w:rsidRPr="00F97C22">
        <w:rPr>
          <w:rFonts w:ascii="Arial Narrow" w:hAnsi="Arial Narrow"/>
          <w:sz w:val="28"/>
          <w:szCs w:val="28"/>
        </w:rPr>
        <w:t>as entidades demandadas</w:t>
      </w:r>
      <w:r w:rsidR="006910C0" w:rsidRPr="00F97C22">
        <w:rPr>
          <w:rFonts w:ascii="Arial Narrow" w:hAnsi="Arial Narrow"/>
          <w:sz w:val="28"/>
          <w:szCs w:val="28"/>
        </w:rPr>
        <w:t xml:space="preserve">, sin que </w:t>
      </w:r>
      <w:r w:rsidR="004C1509" w:rsidRPr="00F97C22">
        <w:rPr>
          <w:rFonts w:ascii="Arial Narrow" w:hAnsi="Arial Narrow"/>
          <w:sz w:val="28"/>
          <w:szCs w:val="28"/>
        </w:rPr>
        <w:t xml:space="preserve">hubiesen </w:t>
      </w:r>
      <w:r w:rsidR="006910C0" w:rsidRPr="00F97C22">
        <w:rPr>
          <w:rFonts w:ascii="Arial Narrow" w:hAnsi="Arial Narrow"/>
          <w:sz w:val="28"/>
          <w:szCs w:val="28"/>
        </w:rPr>
        <w:t>sido tachado</w:t>
      </w:r>
      <w:r w:rsidR="004C1509" w:rsidRPr="00F97C22">
        <w:rPr>
          <w:rFonts w:ascii="Arial Narrow" w:hAnsi="Arial Narrow"/>
          <w:sz w:val="28"/>
          <w:szCs w:val="28"/>
        </w:rPr>
        <w:t>s</w:t>
      </w:r>
      <w:r w:rsidR="006910C0" w:rsidRPr="00F97C22">
        <w:rPr>
          <w:rFonts w:ascii="Arial Narrow" w:hAnsi="Arial Narrow"/>
          <w:sz w:val="28"/>
          <w:szCs w:val="28"/>
        </w:rPr>
        <w:t xml:space="preserve"> de falso. </w:t>
      </w:r>
    </w:p>
    <w:p w:rsidR="00C03C58" w:rsidRPr="00C03C58" w:rsidRDefault="00C03C58" w:rsidP="006910C0">
      <w:pPr>
        <w:pStyle w:val="Sinespaciado"/>
        <w:spacing w:line="276" w:lineRule="auto"/>
      </w:pPr>
    </w:p>
    <w:p w:rsidR="00C03C58" w:rsidRPr="00C03C58" w:rsidRDefault="00C03C58" w:rsidP="00C03C58">
      <w:pPr>
        <w:pStyle w:val="Sinespaciado"/>
        <w:spacing w:line="360" w:lineRule="auto"/>
        <w:ind w:firstLine="708"/>
        <w:jc w:val="both"/>
        <w:rPr>
          <w:rFonts w:ascii="Arial Narrow" w:hAnsi="Arial Narrow"/>
          <w:iCs/>
          <w:sz w:val="28"/>
          <w:szCs w:val="28"/>
        </w:rPr>
      </w:pPr>
      <w:r w:rsidRPr="00C03C58">
        <w:rPr>
          <w:rFonts w:ascii="Arial Narrow" w:hAnsi="Arial Narrow"/>
          <w:sz w:val="28"/>
          <w:szCs w:val="28"/>
        </w:rPr>
        <w:t xml:space="preserve">De conformidad con el inciso </w:t>
      </w:r>
      <w:r w:rsidRPr="00C03C58">
        <w:rPr>
          <w:rFonts w:ascii="Arial Narrow" w:hAnsi="Arial Narrow"/>
          <w:iCs/>
          <w:sz w:val="28"/>
          <w:szCs w:val="28"/>
        </w:rPr>
        <w:t xml:space="preserve">4º del artículo 305 del </w:t>
      </w:r>
      <w:proofErr w:type="spellStart"/>
      <w:r w:rsidRPr="00C03C58">
        <w:rPr>
          <w:rFonts w:ascii="Arial Narrow" w:hAnsi="Arial Narrow"/>
          <w:iCs/>
          <w:sz w:val="28"/>
          <w:szCs w:val="28"/>
        </w:rPr>
        <w:t>C.P.C</w:t>
      </w:r>
      <w:proofErr w:type="spellEnd"/>
      <w:r w:rsidRPr="00C03C58">
        <w:rPr>
          <w:rFonts w:ascii="Arial Narrow" w:hAnsi="Arial Narrow"/>
          <w:iCs/>
          <w:sz w:val="28"/>
          <w:szCs w:val="28"/>
        </w:rPr>
        <w:t>.</w:t>
      </w:r>
      <w:r>
        <w:rPr>
          <w:rFonts w:ascii="Arial Narrow" w:hAnsi="Arial Narrow"/>
          <w:iCs/>
          <w:sz w:val="28"/>
          <w:szCs w:val="28"/>
        </w:rPr>
        <w:t xml:space="preserve"> hoy artículo 281 del </w:t>
      </w:r>
      <w:proofErr w:type="spellStart"/>
      <w:r>
        <w:rPr>
          <w:rFonts w:ascii="Arial Narrow" w:hAnsi="Arial Narrow"/>
          <w:iCs/>
          <w:sz w:val="28"/>
          <w:szCs w:val="28"/>
        </w:rPr>
        <w:t>C.G.P</w:t>
      </w:r>
      <w:proofErr w:type="spellEnd"/>
      <w:r>
        <w:rPr>
          <w:rFonts w:ascii="Arial Narrow" w:hAnsi="Arial Narrow"/>
          <w:iCs/>
          <w:sz w:val="28"/>
          <w:szCs w:val="28"/>
        </w:rPr>
        <w:t>.</w:t>
      </w:r>
      <w:r w:rsidRPr="00C03C58">
        <w:rPr>
          <w:rFonts w:ascii="Arial Narrow" w:hAnsi="Arial Narrow"/>
          <w:iCs/>
          <w:sz w:val="28"/>
          <w:szCs w:val="28"/>
        </w:rPr>
        <w:t xml:space="preserve">, la decisión de </w:t>
      </w:r>
      <w:proofErr w:type="spellStart"/>
      <w:r w:rsidRPr="00C03C58">
        <w:rPr>
          <w:rFonts w:ascii="Arial Narrow" w:hAnsi="Arial Narrow"/>
          <w:iCs/>
          <w:sz w:val="28"/>
          <w:szCs w:val="28"/>
        </w:rPr>
        <w:t>Colpensiones</w:t>
      </w:r>
      <w:proofErr w:type="spellEnd"/>
      <w:r w:rsidRPr="00C03C58">
        <w:rPr>
          <w:rFonts w:ascii="Arial Narrow" w:hAnsi="Arial Narrow"/>
          <w:iCs/>
          <w:sz w:val="28"/>
          <w:szCs w:val="28"/>
        </w:rPr>
        <w:t xml:space="preserve"> allegada al proceso en segunda instancia, constituye un hecho anterior a la sentencia que ahora se debe proferir y posterior a la presentación de la demanda, mediante el cual se extingue o modifica el derecho sustancial sobre el que versa el litigio y por ello deberá ten</w:t>
      </w:r>
      <w:r w:rsidR="00F97C22">
        <w:rPr>
          <w:rFonts w:ascii="Arial Narrow" w:hAnsi="Arial Narrow"/>
          <w:iCs/>
          <w:sz w:val="28"/>
          <w:szCs w:val="28"/>
        </w:rPr>
        <w:t>erse en cuenta en esta decisión, siendo entonces innecesario desatar el grado de consulta frente a este punto.</w:t>
      </w:r>
    </w:p>
    <w:p w:rsidR="00C03C58" w:rsidRPr="00173354" w:rsidRDefault="00C03C58" w:rsidP="00F13FF3">
      <w:pPr>
        <w:pStyle w:val="Sinespaciado"/>
      </w:pPr>
    </w:p>
    <w:p w:rsidR="000E2215" w:rsidRDefault="00C03C58" w:rsidP="005B3D68">
      <w:pPr>
        <w:pStyle w:val="Sinespaciado"/>
        <w:spacing w:line="360" w:lineRule="auto"/>
        <w:ind w:firstLine="708"/>
        <w:jc w:val="both"/>
        <w:rPr>
          <w:rFonts w:ascii="Arial Narrow" w:hAnsi="Arial Narrow"/>
          <w:sz w:val="28"/>
          <w:szCs w:val="28"/>
          <w:lang w:val="es-CO"/>
        </w:rPr>
      </w:pPr>
      <w:r w:rsidRPr="006F02B0">
        <w:rPr>
          <w:rFonts w:ascii="Arial Narrow" w:hAnsi="Arial Narrow"/>
          <w:sz w:val="28"/>
          <w:szCs w:val="28"/>
        </w:rPr>
        <w:t>Ahora</w:t>
      </w:r>
      <w:r w:rsidR="00322214" w:rsidRPr="006F02B0">
        <w:rPr>
          <w:rFonts w:ascii="Arial Narrow" w:hAnsi="Arial Narrow"/>
          <w:sz w:val="28"/>
          <w:szCs w:val="28"/>
        </w:rPr>
        <w:t xml:space="preserve"> bien</w:t>
      </w:r>
      <w:r w:rsidRPr="006F02B0">
        <w:rPr>
          <w:rFonts w:ascii="Arial Narrow" w:hAnsi="Arial Narrow"/>
          <w:sz w:val="28"/>
          <w:szCs w:val="28"/>
        </w:rPr>
        <w:t xml:space="preserve">, </w:t>
      </w:r>
      <w:r w:rsidR="00A01FEE">
        <w:rPr>
          <w:rFonts w:ascii="Arial Narrow" w:hAnsi="Arial Narrow"/>
          <w:sz w:val="28"/>
          <w:szCs w:val="28"/>
        </w:rPr>
        <w:t xml:space="preserve">a propósito de los argumentos de la </w:t>
      </w:r>
      <w:r w:rsidR="00FA5025">
        <w:rPr>
          <w:rFonts w:ascii="Arial Narrow" w:hAnsi="Arial Narrow"/>
          <w:sz w:val="28"/>
          <w:szCs w:val="28"/>
        </w:rPr>
        <w:t xml:space="preserve">entidad </w:t>
      </w:r>
      <w:r w:rsidR="00A01FEE">
        <w:rPr>
          <w:rFonts w:ascii="Arial Narrow" w:hAnsi="Arial Narrow"/>
          <w:sz w:val="28"/>
          <w:szCs w:val="28"/>
        </w:rPr>
        <w:t xml:space="preserve">recurrente, </w:t>
      </w:r>
      <w:r w:rsidR="005B3D68">
        <w:rPr>
          <w:rFonts w:ascii="Arial Narrow" w:hAnsi="Arial Narrow"/>
          <w:sz w:val="28"/>
          <w:szCs w:val="28"/>
        </w:rPr>
        <w:t xml:space="preserve">en </w:t>
      </w:r>
      <w:r w:rsidRPr="006F02B0">
        <w:rPr>
          <w:rFonts w:ascii="Arial Narrow" w:hAnsi="Arial Narrow"/>
          <w:sz w:val="28"/>
          <w:szCs w:val="28"/>
        </w:rPr>
        <w:t xml:space="preserve">aras de darle claridad al tema de la recuperación del régimen de transición que consagra el </w:t>
      </w:r>
      <w:r w:rsidRPr="00A01FEE">
        <w:rPr>
          <w:rFonts w:ascii="Arial Narrow" w:hAnsi="Arial Narrow"/>
          <w:sz w:val="28"/>
          <w:szCs w:val="28"/>
        </w:rPr>
        <w:t>artículo 36 de la Ley 100 de 1993</w:t>
      </w:r>
      <w:r w:rsidR="00322214" w:rsidRPr="00A01FEE">
        <w:rPr>
          <w:rFonts w:ascii="Arial Narrow" w:hAnsi="Arial Narrow"/>
          <w:sz w:val="28"/>
          <w:szCs w:val="28"/>
        </w:rPr>
        <w:t xml:space="preserve">, </w:t>
      </w:r>
      <w:r w:rsidR="006F02B0" w:rsidRPr="00A01FEE">
        <w:rPr>
          <w:rFonts w:ascii="Arial Narrow" w:hAnsi="Arial Narrow"/>
          <w:sz w:val="28"/>
          <w:szCs w:val="28"/>
        </w:rPr>
        <w:t xml:space="preserve">cuando </w:t>
      </w:r>
      <w:r w:rsidR="005B3D68" w:rsidRPr="00A01FEE">
        <w:rPr>
          <w:rFonts w:ascii="Arial Narrow" w:hAnsi="Arial Narrow"/>
          <w:sz w:val="28"/>
          <w:szCs w:val="28"/>
        </w:rPr>
        <w:t xml:space="preserve">se presenta el </w:t>
      </w:r>
      <w:r w:rsidR="006F02B0" w:rsidRPr="00A01FEE">
        <w:rPr>
          <w:rFonts w:ascii="Arial Narrow" w:hAnsi="Arial Narrow"/>
          <w:sz w:val="28"/>
          <w:szCs w:val="28"/>
        </w:rPr>
        <w:t xml:space="preserve"> </w:t>
      </w:r>
      <w:r w:rsidR="00F14D72" w:rsidRPr="00A01FEE">
        <w:rPr>
          <w:rFonts w:ascii="Arial Narrow" w:hAnsi="Arial Narrow"/>
          <w:sz w:val="28"/>
          <w:szCs w:val="28"/>
        </w:rPr>
        <w:t xml:space="preserve">traslado </w:t>
      </w:r>
      <w:r w:rsidR="005B3D68" w:rsidRPr="00A01FEE">
        <w:rPr>
          <w:rFonts w:ascii="Arial Narrow" w:hAnsi="Arial Narrow"/>
          <w:sz w:val="28"/>
          <w:szCs w:val="28"/>
        </w:rPr>
        <w:t xml:space="preserve">de un afiliado </w:t>
      </w:r>
      <w:r w:rsidR="006E1E87" w:rsidRPr="00A01FEE">
        <w:rPr>
          <w:rFonts w:ascii="Arial Narrow" w:hAnsi="Arial Narrow"/>
          <w:sz w:val="28"/>
          <w:szCs w:val="28"/>
        </w:rPr>
        <w:t>al</w:t>
      </w:r>
      <w:r w:rsidR="00F14D72" w:rsidRPr="00A01FEE">
        <w:rPr>
          <w:rFonts w:ascii="Arial Narrow" w:hAnsi="Arial Narrow"/>
          <w:sz w:val="28"/>
          <w:szCs w:val="28"/>
        </w:rPr>
        <w:t xml:space="preserve"> régimen </w:t>
      </w:r>
      <w:r w:rsidR="006E1E87" w:rsidRPr="00A01FEE">
        <w:rPr>
          <w:rFonts w:ascii="Arial Narrow" w:hAnsi="Arial Narrow"/>
          <w:sz w:val="28"/>
          <w:szCs w:val="28"/>
        </w:rPr>
        <w:t>de ahorro individual y su posterior retorno a</w:t>
      </w:r>
      <w:r w:rsidR="00F14D72" w:rsidRPr="00A01FEE">
        <w:rPr>
          <w:rFonts w:ascii="Arial Narrow" w:hAnsi="Arial Narrow"/>
          <w:sz w:val="28"/>
          <w:szCs w:val="28"/>
        </w:rPr>
        <w:t xml:space="preserve">l de prima media </w:t>
      </w:r>
      <w:r w:rsidR="00266979" w:rsidRPr="00A01FEE">
        <w:rPr>
          <w:rFonts w:ascii="Arial Narrow" w:hAnsi="Arial Narrow"/>
          <w:sz w:val="28"/>
          <w:szCs w:val="28"/>
        </w:rPr>
        <w:t xml:space="preserve">por virtud del cumplimiento esencial de los </w:t>
      </w:r>
      <w:r w:rsidR="00F14D72" w:rsidRPr="00A01FEE">
        <w:rPr>
          <w:rFonts w:ascii="Arial Narrow" w:hAnsi="Arial Narrow"/>
          <w:sz w:val="28"/>
          <w:szCs w:val="28"/>
        </w:rPr>
        <w:t xml:space="preserve">15 años de servicios al 1º de abril de 1994, </w:t>
      </w:r>
      <w:r w:rsidR="005B3D68" w:rsidRPr="00A01FEE">
        <w:rPr>
          <w:rFonts w:ascii="Arial Narrow" w:hAnsi="Arial Narrow"/>
          <w:sz w:val="28"/>
          <w:szCs w:val="28"/>
        </w:rPr>
        <w:t xml:space="preserve">es preciso indicar </w:t>
      </w:r>
      <w:r w:rsidR="00F13FF3" w:rsidRPr="00A01FEE">
        <w:rPr>
          <w:rFonts w:ascii="Arial Narrow" w:hAnsi="Arial Narrow"/>
          <w:sz w:val="28"/>
          <w:szCs w:val="28"/>
        </w:rPr>
        <w:t xml:space="preserve">que la Sala de Casación Laboral de la Corte Suprema de Justicia, entre otras, </w:t>
      </w:r>
      <w:r w:rsidR="00F13FF3" w:rsidRPr="00A01FEE">
        <w:rPr>
          <w:rFonts w:ascii="Arial Narrow" w:hAnsi="Arial Narrow"/>
          <w:sz w:val="28"/>
          <w:szCs w:val="28"/>
        </w:rPr>
        <w:lastRenderedPageBreak/>
        <w:t xml:space="preserve">en sentencia SL6438 de 2015, ha </w:t>
      </w:r>
      <w:r w:rsidR="005B3D68" w:rsidRPr="00A01FEE">
        <w:rPr>
          <w:rFonts w:ascii="Arial Narrow" w:hAnsi="Arial Narrow"/>
          <w:sz w:val="28"/>
          <w:szCs w:val="28"/>
        </w:rPr>
        <w:t xml:space="preserve">establecido que el requisito de equivalencia de los aportes no puede exigirse para recuperar el régimen de transición del artículo 36 de la Ley 100/93, </w:t>
      </w:r>
      <w:r w:rsidR="005B3D68" w:rsidRPr="00A01FEE">
        <w:rPr>
          <w:rFonts w:ascii="Arial Narrow" w:hAnsi="Arial Narrow"/>
          <w:sz w:val="28"/>
          <w:szCs w:val="28"/>
          <w:lang w:val="es-CO"/>
        </w:rPr>
        <w:t>fundamentalmente porque el legislador no estableció este requisito para que las personas pudieran acceder a su pensión de vejez co</w:t>
      </w:r>
      <w:r w:rsidR="00A01FEE">
        <w:rPr>
          <w:rFonts w:ascii="Arial Narrow" w:hAnsi="Arial Narrow"/>
          <w:sz w:val="28"/>
          <w:szCs w:val="28"/>
          <w:lang w:val="es-CO"/>
        </w:rPr>
        <w:t xml:space="preserve">nforme al régimen de transición. </w:t>
      </w:r>
    </w:p>
    <w:p w:rsidR="00FA5025" w:rsidRPr="00FA5025" w:rsidRDefault="00FA5025" w:rsidP="00FA5025">
      <w:pPr>
        <w:pStyle w:val="Sinespaciado"/>
      </w:pPr>
    </w:p>
    <w:p w:rsidR="005A6347" w:rsidRDefault="00EE7579" w:rsidP="00FA5025">
      <w:pPr>
        <w:pStyle w:val="Sinespaciado"/>
        <w:spacing w:line="360" w:lineRule="auto"/>
        <w:ind w:firstLine="708"/>
        <w:jc w:val="both"/>
        <w:rPr>
          <w:rFonts w:ascii="Arial Narrow" w:hAnsi="Arial Narrow"/>
          <w:sz w:val="28"/>
          <w:szCs w:val="28"/>
          <w:lang w:val="es-CO"/>
        </w:rPr>
      </w:pPr>
      <w:r>
        <w:rPr>
          <w:rFonts w:ascii="Arial Narrow" w:hAnsi="Arial Narrow"/>
          <w:sz w:val="28"/>
          <w:szCs w:val="28"/>
          <w:lang w:val="es-CO"/>
        </w:rPr>
        <w:t>En esa ocasión sostuvo</w:t>
      </w:r>
      <w:r w:rsidR="005A6347">
        <w:rPr>
          <w:rFonts w:ascii="Arial Narrow" w:hAnsi="Arial Narrow"/>
          <w:sz w:val="28"/>
          <w:szCs w:val="28"/>
          <w:lang w:val="es-CO"/>
        </w:rPr>
        <w:t xml:space="preserve">: </w:t>
      </w:r>
    </w:p>
    <w:p w:rsidR="005A6347" w:rsidRPr="00EE7579" w:rsidRDefault="005A6347" w:rsidP="00EE7579">
      <w:pPr>
        <w:pStyle w:val="Sinespaciado"/>
      </w:pPr>
    </w:p>
    <w:p w:rsidR="00D16A02" w:rsidRPr="000E2215" w:rsidRDefault="005A6347" w:rsidP="005A6347">
      <w:pPr>
        <w:pStyle w:val="Sinespaciado"/>
        <w:ind w:left="708" w:firstLine="1"/>
        <w:jc w:val="both"/>
        <w:rPr>
          <w:rFonts w:ascii="Arial Narrow" w:hAnsi="Arial Narrow"/>
          <w:i/>
          <w:sz w:val="28"/>
          <w:szCs w:val="28"/>
          <w:lang w:val="es-MX" w:eastAsia="es-CO"/>
        </w:rPr>
      </w:pPr>
      <w:r>
        <w:rPr>
          <w:rFonts w:ascii="Arial Narrow" w:hAnsi="Arial Narrow"/>
          <w:sz w:val="28"/>
          <w:szCs w:val="28"/>
          <w:lang w:val="es-CO"/>
        </w:rPr>
        <w:t>“</w:t>
      </w:r>
      <w:r w:rsidR="00D16A02" w:rsidRPr="000E2215">
        <w:rPr>
          <w:rFonts w:ascii="Arial Narrow" w:hAnsi="Arial Narrow"/>
          <w:i/>
          <w:sz w:val="28"/>
          <w:szCs w:val="28"/>
          <w:lang w:val="es-MX" w:eastAsia="es-CO"/>
        </w:rPr>
        <w:t>la línea jurisprudencial de la Corte Constitucional no ha sido uniforme en la exigencia del requisito de equivalencia del aporte, presentando oscilaciones, pues unas veces reclama ese requisito para reconocer la recuperación del régimen de transición, y otras veces hace caso omiso de él, como lo evidencian las decisiones a que se ha hecho referencia.</w:t>
      </w:r>
    </w:p>
    <w:p w:rsidR="00D16A02" w:rsidRPr="000E2215" w:rsidRDefault="00D16A02" w:rsidP="00D16A02">
      <w:pPr>
        <w:overflowPunct w:val="0"/>
        <w:autoSpaceDE w:val="0"/>
        <w:autoSpaceDN w:val="0"/>
        <w:adjustRightInd w:val="0"/>
        <w:ind w:left="709"/>
        <w:jc w:val="both"/>
        <w:textAlignment w:val="baseline"/>
        <w:rPr>
          <w:rFonts w:ascii="Arial Narrow" w:hAnsi="Arial Narrow"/>
          <w:i/>
          <w:sz w:val="28"/>
          <w:szCs w:val="28"/>
          <w:lang w:val="es-MX" w:eastAsia="es-CO"/>
        </w:rPr>
      </w:pPr>
    </w:p>
    <w:p w:rsidR="00D16A02" w:rsidRPr="000E2215" w:rsidRDefault="00D16A02" w:rsidP="00D16A02">
      <w:pPr>
        <w:overflowPunct w:val="0"/>
        <w:autoSpaceDE w:val="0"/>
        <w:autoSpaceDN w:val="0"/>
        <w:adjustRightInd w:val="0"/>
        <w:ind w:left="709"/>
        <w:jc w:val="both"/>
        <w:textAlignment w:val="baseline"/>
        <w:rPr>
          <w:rFonts w:ascii="Arial Narrow" w:hAnsi="Arial Narrow"/>
          <w:i/>
          <w:sz w:val="28"/>
          <w:szCs w:val="28"/>
          <w:lang w:val="es-MX" w:eastAsia="es-CO"/>
        </w:rPr>
      </w:pPr>
      <w:r w:rsidRPr="000E2215">
        <w:rPr>
          <w:rFonts w:ascii="Arial Narrow" w:hAnsi="Arial Narrow"/>
          <w:i/>
          <w:sz w:val="28"/>
          <w:szCs w:val="28"/>
          <w:lang w:val="es-MX" w:eastAsia="es-CO"/>
        </w:rPr>
        <w:t xml:space="preserve">Cumple advertir que en la sentencia SU 130-13 </w:t>
      </w:r>
      <w:smartTag w:uri="urn:schemas-microsoft-com:office:smarttags" w:element="PersonName">
        <w:smartTagPr>
          <w:attr w:name="ProductID" w:val="la Corte Constitucional"/>
        </w:smartTagPr>
        <w:r w:rsidRPr="000E2215">
          <w:rPr>
            <w:rFonts w:ascii="Arial Narrow" w:hAnsi="Arial Narrow"/>
            <w:i/>
            <w:sz w:val="28"/>
            <w:szCs w:val="28"/>
            <w:lang w:val="es-MX" w:eastAsia="es-CO"/>
          </w:rPr>
          <w:t>la Corte Constitucional</w:t>
        </w:r>
      </w:smartTag>
      <w:r w:rsidRPr="000E2215">
        <w:rPr>
          <w:rFonts w:ascii="Arial Narrow" w:hAnsi="Arial Narrow"/>
          <w:i/>
          <w:sz w:val="28"/>
          <w:szCs w:val="28"/>
          <w:lang w:val="es-MX" w:eastAsia="es-CO"/>
        </w:rPr>
        <w:t xml:space="preserve"> consciente de la disparidad de criterios sostenida en sus decisiones de tutela sobre el tema, y en un esfuerzo por trazar un derrotero para abordar el problema jurídico en sus distintas Sala de Revisión concluyó que: </w:t>
      </w:r>
    </w:p>
    <w:p w:rsidR="00D16A02" w:rsidRPr="000E2215" w:rsidRDefault="00D16A02" w:rsidP="00D16A02">
      <w:pPr>
        <w:widowControl w:val="0"/>
        <w:shd w:val="clear" w:color="auto" w:fill="FFFFFF"/>
        <w:tabs>
          <w:tab w:val="left" w:pos="830"/>
        </w:tabs>
        <w:overflowPunct w:val="0"/>
        <w:autoSpaceDE w:val="0"/>
        <w:autoSpaceDN w:val="0"/>
        <w:adjustRightInd w:val="0"/>
        <w:ind w:left="709"/>
        <w:jc w:val="both"/>
        <w:textAlignment w:val="baseline"/>
        <w:rPr>
          <w:rFonts w:ascii="Arial Narrow" w:hAnsi="Arial Narrow"/>
          <w:i/>
          <w:sz w:val="28"/>
          <w:szCs w:val="28"/>
          <w:lang w:val="es-MX" w:eastAsia="es-CO"/>
        </w:rPr>
      </w:pPr>
    </w:p>
    <w:p w:rsidR="00D16A02" w:rsidRPr="000E2215" w:rsidRDefault="00D16A02" w:rsidP="00D16A02">
      <w:pPr>
        <w:widowControl w:val="0"/>
        <w:shd w:val="clear" w:color="auto" w:fill="FFFFFF"/>
        <w:tabs>
          <w:tab w:val="left" w:pos="830"/>
        </w:tabs>
        <w:overflowPunct w:val="0"/>
        <w:autoSpaceDE w:val="0"/>
        <w:autoSpaceDN w:val="0"/>
        <w:adjustRightInd w:val="0"/>
        <w:ind w:left="709"/>
        <w:jc w:val="both"/>
        <w:textAlignment w:val="baseline"/>
        <w:rPr>
          <w:rFonts w:ascii="Arial Narrow" w:hAnsi="Arial Narrow"/>
          <w:i/>
          <w:sz w:val="28"/>
          <w:szCs w:val="28"/>
          <w:lang w:eastAsia="es-CO"/>
        </w:rPr>
      </w:pPr>
      <w:r w:rsidRPr="000E2215">
        <w:rPr>
          <w:rFonts w:ascii="Arial Narrow" w:hAnsi="Arial Narrow"/>
          <w:i/>
          <w:sz w:val="28"/>
          <w:szCs w:val="28"/>
          <w:lang w:val="es-MX" w:eastAsia="es-CO"/>
        </w:rPr>
        <w:t>«</w:t>
      </w:r>
      <w:r w:rsidRPr="000E2215">
        <w:rPr>
          <w:rFonts w:ascii="Arial Narrow" w:hAnsi="Arial Narrow"/>
          <w:i/>
          <w:sz w:val="28"/>
          <w:szCs w:val="28"/>
          <w:lang w:eastAsia="es-CO"/>
        </w:rPr>
        <w:t xml:space="preserve">Bajo ese contexto, y con el propósito de aclarar y unificar la jurisprudencia Constitucional en torno a este tema, </w:t>
      </w:r>
      <w:smartTag w:uri="urn:schemas-microsoft-com:office:smarttags" w:element="PersonName">
        <w:smartTagPr>
          <w:attr w:name="ProductID" w:val="la Sala Plena"/>
        </w:smartTagPr>
        <w:r w:rsidRPr="000E2215">
          <w:rPr>
            <w:rFonts w:ascii="Arial Narrow" w:hAnsi="Arial Narrow"/>
            <w:i/>
            <w:sz w:val="28"/>
            <w:szCs w:val="28"/>
            <w:lang w:eastAsia="es-CO"/>
          </w:rPr>
          <w:t>la Sala Plena</w:t>
        </w:r>
      </w:smartTag>
      <w:r w:rsidRPr="000E2215">
        <w:rPr>
          <w:rFonts w:ascii="Arial Narrow" w:hAnsi="Arial Narrow"/>
          <w:i/>
          <w:sz w:val="28"/>
          <w:szCs w:val="28"/>
          <w:lang w:eastAsia="es-CO"/>
        </w:rPr>
        <w:t xml:space="preserve"> de </w:t>
      </w:r>
      <w:smartTag w:uri="urn:schemas-microsoft-com:office:smarttags" w:element="PersonName">
        <w:smartTagPr>
          <w:attr w:name="ProductID" w:val="la Corte Constitucional"/>
        </w:smartTagPr>
        <w:r w:rsidRPr="000E2215">
          <w:rPr>
            <w:rFonts w:ascii="Arial Narrow" w:hAnsi="Arial Narrow"/>
            <w:i/>
            <w:sz w:val="28"/>
            <w:szCs w:val="28"/>
            <w:lang w:eastAsia="es-CO"/>
          </w:rPr>
          <w:t>la Corte Constitucional</w:t>
        </w:r>
      </w:smartTag>
      <w:r w:rsidRPr="000E2215">
        <w:rPr>
          <w:rFonts w:ascii="Arial Narrow" w:hAnsi="Arial Narrow"/>
          <w:i/>
          <w:sz w:val="28"/>
          <w:szCs w:val="28"/>
          <w:lang w:eastAsia="es-CO"/>
        </w:rPr>
        <w:t xml:space="preserve"> concluye que únicamente los afiliados con quince (15) años o más de servicios cotizados a 1 ° de abril de 1994, fecha en la cual entró en vigencia el </w:t>
      </w:r>
      <w:proofErr w:type="spellStart"/>
      <w:r w:rsidRPr="000E2215">
        <w:rPr>
          <w:rFonts w:ascii="Arial Narrow" w:hAnsi="Arial Narrow"/>
          <w:i/>
          <w:sz w:val="28"/>
          <w:szCs w:val="28"/>
          <w:lang w:eastAsia="es-CO"/>
        </w:rPr>
        <w:t>SGP</w:t>
      </w:r>
      <w:proofErr w:type="spellEnd"/>
      <w:r w:rsidRPr="000E2215">
        <w:rPr>
          <w:rFonts w:ascii="Arial Narrow" w:hAnsi="Arial Narrow"/>
          <w:i/>
          <w:sz w:val="28"/>
          <w:szCs w:val="28"/>
          <w:lang w:eastAsia="es-CO"/>
        </w:rPr>
        <w:t>, pueden trasladarse ‘en cualquier tiempo’ del régimen de ahorro individual con solidaridad al régimen de prima media con prestación definida, conservando los beneficios del régimen de transición. Para tal efecto, deberán trasladar a él la totalidad del ahorro depositado en la respectiva cuenta individual, el cual no podrá ser inferior al monto total del aporte legal correspondiente en caso de que hubieren permanecido en el régimen de prima media. De no ser posible tal equivalencia, conforme quedó definido en la Sentencia C-062 de 2010, el afiliado tiene la opción de aportar el dinero que haga falta para cumplir con dicha exigencia, lo cual debe hacer dentro de un plazo razonable»</w:t>
      </w:r>
      <w:r w:rsidR="00EE7579">
        <w:rPr>
          <w:rFonts w:ascii="Arial Narrow" w:hAnsi="Arial Narrow"/>
          <w:i/>
          <w:sz w:val="28"/>
          <w:szCs w:val="28"/>
          <w:lang w:eastAsia="es-CO"/>
        </w:rPr>
        <w:t>”</w:t>
      </w:r>
      <w:r w:rsidRPr="000E2215">
        <w:rPr>
          <w:rFonts w:ascii="Arial Narrow" w:hAnsi="Arial Narrow"/>
          <w:i/>
          <w:sz w:val="28"/>
          <w:szCs w:val="28"/>
          <w:lang w:eastAsia="es-CO"/>
        </w:rPr>
        <w:t>.</w:t>
      </w:r>
    </w:p>
    <w:p w:rsidR="00D16A02" w:rsidRPr="000E2215" w:rsidRDefault="00D16A02" w:rsidP="00D16A02">
      <w:pPr>
        <w:widowControl w:val="0"/>
        <w:shd w:val="clear" w:color="auto" w:fill="FFFFFF"/>
        <w:tabs>
          <w:tab w:val="left" w:pos="830"/>
        </w:tabs>
        <w:overflowPunct w:val="0"/>
        <w:autoSpaceDE w:val="0"/>
        <w:autoSpaceDN w:val="0"/>
        <w:adjustRightInd w:val="0"/>
        <w:ind w:left="709"/>
        <w:jc w:val="both"/>
        <w:textAlignment w:val="baseline"/>
        <w:rPr>
          <w:rFonts w:ascii="Arial Narrow" w:hAnsi="Arial Narrow"/>
          <w:i/>
          <w:sz w:val="28"/>
          <w:szCs w:val="28"/>
          <w:lang w:eastAsia="es-CO"/>
        </w:rPr>
      </w:pPr>
    </w:p>
    <w:p w:rsidR="00D16A02" w:rsidRPr="000E2215" w:rsidRDefault="00EE7579" w:rsidP="000E2215">
      <w:pPr>
        <w:widowControl w:val="0"/>
        <w:shd w:val="clear" w:color="auto" w:fill="FFFFFF"/>
        <w:tabs>
          <w:tab w:val="left" w:pos="830"/>
        </w:tabs>
        <w:overflowPunct w:val="0"/>
        <w:autoSpaceDE w:val="0"/>
        <w:autoSpaceDN w:val="0"/>
        <w:adjustRightInd w:val="0"/>
        <w:jc w:val="both"/>
        <w:textAlignment w:val="baseline"/>
        <w:rPr>
          <w:rFonts w:ascii="Arial Narrow" w:hAnsi="Arial Narrow"/>
          <w:sz w:val="28"/>
          <w:szCs w:val="28"/>
          <w:lang w:eastAsia="es-CO"/>
        </w:rPr>
      </w:pPr>
      <w:r>
        <w:rPr>
          <w:rFonts w:ascii="Arial Narrow" w:hAnsi="Arial Narrow"/>
          <w:sz w:val="28"/>
          <w:szCs w:val="28"/>
          <w:lang w:eastAsia="es-CO"/>
        </w:rPr>
        <w:t>Continuó diciendo</w:t>
      </w:r>
      <w:r w:rsidR="00D16A02" w:rsidRPr="000E2215">
        <w:rPr>
          <w:rFonts w:ascii="Arial Narrow" w:hAnsi="Arial Narrow"/>
          <w:sz w:val="28"/>
          <w:szCs w:val="28"/>
          <w:lang w:eastAsia="es-CO"/>
        </w:rPr>
        <w:t>:</w:t>
      </w:r>
    </w:p>
    <w:p w:rsidR="00D16A02" w:rsidRPr="00EE7579" w:rsidRDefault="00D16A02" w:rsidP="00EE7579">
      <w:pPr>
        <w:pStyle w:val="Sinespaciado"/>
      </w:pPr>
    </w:p>
    <w:p w:rsidR="00D16A02" w:rsidRPr="000E2215" w:rsidRDefault="00EE7579" w:rsidP="00D16A02">
      <w:pPr>
        <w:overflowPunct w:val="0"/>
        <w:autoSpaceDE w:val="0"/>
        <w:autoSpaceDN w:val="0"/>
        <w:adjustRightInd w:val="0"/>
        <w:ind w:left="709"/>
        <w:jc w:val="both"/>
        <w:textAlignment w:val="baseline"/>
        <w:rPr>
          <w:rFonts w:ascii="Arial Narrow" w:hAnsi="Arial Narrow" w:cs="Franklin Gothic Book"/>
          <w:i/>
          <w:sz w:val="28"/>
          <w:szCs w:val="28"/>
          <w:lang w:eastAsia="es-CO"/>
        </w:rPr>
      </w:pPr>
      <w:r>
        <w:rPr>
          <w:rFonts w:ascii="Arial Narrow" w:hAnsi="Arial Narrow"/>
          <w:i/>
          <w:sz w:val="28"/>
          <w:szCs w:val="28"/>
          <w:lang w:eastAsia="es-CO"/>
        </w:rPr>
        <w:t>“</w:t>
      </w:r>
      <w:r w:rsidR="00D16A02" w:rsidRPr="000E2215">
        <w:rPr>
          <w:rFonts w:ascii="Arial Narrow" w:hAnsi="Arial Narrow"/>
          <w:i/>
          <w:sz w:val="28"/>
          <w:szCs w:val="28"/>
          <w:lang w:eastAsia="es-CO"/>
        </w:rPr>
        <w:t>La Corte Suprema de Justicia sobre este tema ha mantenido una línea jurisprudencial uniforme, que tiene</w:t>
      </w:r>
      <w:r w:rsidR="001641A3" w:rsidRPr="000E2215">
        <w:rPr>
          <w:rFonts w:ascii="Arial Narrow" w:hAnsi="Arial Narrow"/>
          <w:i/>
          <w:sz w:val="28"/>
          <w:szCs w:val="28"/>
          <w:lang w:eastAsia="es-CO"/>
        </w:rPr>
        <w:t xml:space="preserve"> </w:t>
      </w:r>
      <w:r w:rsidR="00D16A02" w:rsidRPr="000E2215">
        <w:rPr>
          <w:rFonts w:ascii="Arial Narrow" w:hAnsi="Arial Narrow"/>
          <w:i/>
          <w:sz w:val="28"/>
          <w:szCs w:val="28"/>
          <w:lang w:eastAsia="es-CO"/>
        </w:rPr>
        <w:t xml:space="preserve">el carácter de reiterada. Ha considerado entre otras en sentencias de 31 de enero de 2007, rad. 27465; 1° de diciembre de 2009, rad. 36301; 9 de marzo de 2010, rad. N° 35406; y 14 de noviembre de 2012, rad. 38366, que los beneficiarios del régimen de transición que </w:t>
      </w:r>
      <w:r w:rsidR="00D16A02" w:rsidRPr="000E2215">
        <w:rPr>
          <w:rFonts w:ascii="Arial Narrow" w:hAnsi="Arial Narrow" w:cs="Franklin Gothic Book"/>
          <w:i/>
          <w:sz w:val="28"/>
          <w:szCs w:val="28"/>
          <w:lang w:eastAsia="es-CO"/>
        </w:rPr>
        <w:t>migraron al régimen de ahorro individual con solidaridad y posteriormente deciden regresar al prima media con prestación definida, recuperan los beneficios de la transición siempre que a la entrada en vigencia del nuevo sistema general de pensiones, el 1º de abril de 1994, tuvieren 15 o más años de servicios cotizados.</w:t>
      </w:r>
    </w:p>
    <w:p w:rsidR="00D16A02" w:rsidRPr="000E2215" w:rsidRDefault="00D16A02" w:rsidP="00D16A02">
      <w:pPr>
        <w:overflowPunct w:val="0"/>
        <w:autoSpaceDE w:val="0"/>
        <w:autoSpaceDN w:val="0"/>
        <w:adjustRightInd w:val="0"/>
        <w:ind w:left="709"/>
        <w:jc w:val="both"/>
        <w:textAlignment w:val="baseline"/>
        <w:rPr>
          <w:rFonts w:ascii="Arial Narrow" w:hAnsi="Arial Narrow" w:cs="Franklin Gothic Book"/>
          <w:i/>
          <w:sz w:val="28"/>
          <w:szCs w:val="28"/>
          <w:lang w:eastAsia="es-CO"/>
        </w:rPr>
      </w:pPr>
    </w:p>
    <w:p w:rsidR="00D16A02" w:rsidRPr="000E2215" w:rsidRDefault="00D16A02" w:rsidP="00D16A02">
      <w:pPr>
        <w:overflowPunct w:val="0"/>
        <w:autoSpaceDE w:val="0"/>
        <w:autoSpaceDN w:val="0"/>
        <w:adjustRightInd w:val="0"/>
        <w:ind w:left="709"/>
        <w:jc w:val="both"/>
        <w:textAlignment w:val="baseline"/>
        <w:rPr>
          <w:rFonts w:ascii="Arial Narrow" w:hAnsi="Arial Narrow" w:cs="Franklin Gothic Book"/>
          <w:i/>
          <w:sz w:val="28"/>
          <w:szCs w:val="28"/>
          <w:lang w:val="es-MX" w:eastAsia="es-CO"/>
        </w:rPr>
      </w:pPr>
      <w:r w:rsidRPr="000E2215">
        <w:rPr>
          <w:rFonts w:ascii="Arial Narrow" w:hAnsi="Arial Narrow" w:cs="Franklin Gothic Book"/>
          <w:i/>
          <w:sz w:val="28"/>
          <w:szCs w:val="28"/>
          <w:lang w:val="es-MX" w:eastAsia="es-CO"/>
        </w:rPr>
        <w:lastRenderedPageBreak/>
        <w:t xml:space="preserve">No ha exigido el requisito de la equivalencia de aportes, porque ha considerado que se trata de condicionamientos no establecidos por la ley. En la sentencia rad. 35406 ya citada, dejó esta Corporación las siguientes enseñanzas:   </w:t>
      </w:r>
    </w:p>
    <w:p w:rsidR="00D16A02" w:rsidRPr="000E2215" w:rsidRDefault="00D16A02" w:rsidP="00D16A02">
      <w:pPr>
        <w:overflowPunct w:val="0"/>
        <w:autoSpaceDE w:val="0"/>
        <w:autoSpaceDN w:val="0"/>
        <w:adjustRightInd w:val="0"/>
        <w:ind w:left="709"/>
        <w:jc w:val="both"/>
        <w:textAlignment w:val="baseline"/>
        <w:rPr>
          <w:rFonts w:ascii="Arial Narrow" w:hAnsi="Arial Narrow" w:cs="Franklin Gothic Book"/>
          <w:i/>
          <w:sz w:val="28"/>
          <w:szCs w:val="28"/>
          <w:lang w:val="es-MX" w:eastAsia="es-CO"/>
        </w:rPr>
      </w:pPr>
      <w:r w:rsidRPr="000E2215">
        <w:rPr>
          <w:rFonts w:ascii="Arial Narrow" w:hAnsi="Arial Narrow" w:cs="Franklin Gothic Book"/>
          <w:i/>
          <w:sz w:val="28"/>
          <w:szCs w:val="28"/>
          <w:lang w:val="es-MX" w:eastAsia="es-CO"/>
        </w:rPr>
        <w:t xml:space="preserve">  </w:t>
      </w:r>
    </w:p>
    <w:p w:rsidR="00D16A02" w:rsidRPr="000E2215" w:rsidRDefault="00D16A02" w:rsidP="00D16A02">
      <w:pPr>
        <w:overflowPunct w:val="0"/>
        <w:autoSpaceDE w:val="0"/>
        <w:autoSpaceDN w:val="0"/>
        <w:adjustRightInd w:val="0"/>
        <w:ind w:left="709"/>
        <w:jc w:val="both"/>
        <w:textAlignment w:val="baseline"/>
        <w:rPr>
          <w:rFonts w:ascii="Arial Narrow" w:hAnsi="Arial Narrow" w:cs="Arial"/>
          <w:i/>
          <w:sz w:val="28"/>
          <w:szCs w:val="28"/>
          <w:lang w:eastAsia="es-CO"/>
        </w:rPr>
      </w:pPr>
      <w:r w:rsidRPr="000E2215">
        <w:rPr>
          <w:rFonts w:ascii="Arial Narrow" w:hAnsi="Arial Narrow" w:cs="Arial"/>
          <w:i/>
          <w:sz w:val="28"/>
          <w:szCs w:val="28"/>
          <w:lang w:val="es-MX" w:eastAsia="es-CO"/>
        </w:rPr>
        <w:t>«</w:t>
      </w:r>
      <w:r w:rsidRPr="000E2215">
        <w:rPr>
          <w:rFonts w:ascii="Arial Narrow" w:hAnsi="Arial Narrow" w:cs="Arial"/>
          <w:i/>
          <w:sz w:val="28"/>
          <w:szCs w:val="28"/>
          <w:lang w:eastAsia="es-CO"/>
        </w:rPr>
        <w:t xml:space="preserve">En realidad, la solución que se pretendió ofrecer a las personas que se encontraron ante un panorama como el descrito, a través de la sentencia C-789 de 24 de septiembre de 2002, se tradujo, prácticamente, en la imposibilidad de recuperar los beneficios del régimen de transición, pues al exigir que, además de retornar al régimen de prima media, y de trasladar todo el importe efectuado en el régimen de ahorro con solidaridad, dicho ahorro debía ser, por lo menos, </w:t>
      </w:r>
      <w:r w:rsidRPr="000E2215">
        <w:rPr>
          <w:rFonts w:ascii="Arial Narrow" w:hAnsi="Arial Narrow"/>
          <w:i/>
          <w:iCs/>
          <w:sz w:val="28"/>
          <w:szCs w:val="28"/>
          <w:lang w:eastAsia="es-CO"/>
        </w:rPr>
        <w:t xml:space="preserve">igual ‘monto total del aporte legal correspondiente en </w:t>
      </w:r>
      <w:r w:rsidRPr="000E2215">
        <w:rPr>
          <w:rFonts w:ascii="Arial Narrow" w:hAnsi="Arial Narrow"/>
          <w:i/>
          <w:sz w:val="28"/>
          <w:szCs w:val="28"/>
          <w:lang w:eastAsia="es-CO"/>
        </w:rPr>
        <w:t xml:space="preserve">caso </w:t>
      </w:r>
      <w:r w:rsidRPr="000E2215">
        <w:rPr>
          <w:rFonts w:ascii="Arial Narrow" w:hAnsi="Arial Narrow"/>
          <w:i/>
          <w:iCs/>
          <w:sz w:val="28"/>
          <w:szCs w:val="28"/>
          <w:lang w:eastAsia="es-CO"/>
        </w:rPr>
        <w:t xml:space="preserve">que hubieran permanecido en el régimen de prima </w:t>
      </w:r>
      <w:r w:rsidRPr="000E2215">
        <w:rPr>
          <w:rFonts w:ascii="Arial Narrow" w:hAnsi="Arial Narrow" w:cs="Arial"/>
          <w:i/>
          <w:iCs/>
          <w:sz w:val="28"/>
          <w:szCs w:val="28"/>
          <w:lang w:eastAsia="es-CO"/>
        </w:rPr>
        <w:t xml:space="preserve">media’, </w:t>
      </w:r>
      <w:r w:rsidRPr="000E2215">
        <w:rPr>
          <w:rFonts w:ascii="Arial Narrow" w:hAnsi="Arial Narrow" w:cs="Arial"/>
          <w:i/>
          <w:sz w:val="28"/>
          <w:szCs w:val="28"/>
          <w:lang w:eastAsia="es-CO"/>
        </w:rPr>
        <w:t xml:space="preserve">pretextando proporcionalidad y salud financiera del sistema, introdujo unos condicionamientos no establecidos por </w:t>
      </w:r>
      <w:smartTag w:uri="urn:schemas-microsoft-com:office:smarttags" w:element="PersonName">
        <w:smartTagPr>
          <w:attr w:name="ProductID" w:val="la Ley."/>
        </w:smartTagPr>
        <w:r w:rsidRPr="000E2215">
          <w:rPr>
            <w:rFonts w:ascii="Arial Narrow" w:hAnsi="Arial Narrow" w:cs="Arial"/>
            <w:i/>
            <w:sz w:val="28"/>
            <w:szCs w:val="28"/>
            <w:lang w:eastAsia="es-CO"/>
          </w:rPr>
          <w:t>la Ley.</w:t>
        </w:r>
      </w:smartTag>
      <w:r w:rsidRPr="000E2215">
        <w:rPr>
          <w:rFonts w:ascii="Arial Narrow" w:hAnsi="Arial Narrow" w:cs="Arial"/>
          <w:i/>
          <w:sz w:val="28"/>
          <w:szCs w:val="28"/>
          <w:lang w:eastAsia="es-CO"/>
        </w:rPr>
        <w:t xml:space="preserve"> </w:t>
      </w:r>
    </w:p>
    <w:p w:rsidR="00D16A02" w:rsidRPr="000E2215" w:rsidRDefault="00D16A02" w:rsidP="00D16A02">
      <w:pPr>
        <w:overflowPunct w:val="0"/>
        <w:autoSpaceDE w:val="0"/>
        <w:autoSpaceDN w:val="0"/>
        <w:adjustRightInd w:val="0"/>
        <w:ind w:left="709"/>
        <w:jc w:val="both"/>
        <w:textAlignment w:val="baseline"/>
        <w:rPr>
          <w:rFonts w:ascii="Arial Narrow" w:hAnsi="Arial Narrow" w:cs="Arial"/>
          <w:i/>
          <w:sz w:val="28"/>
          <w:szCs w:val="28"/>
          <w:lang w:eastAsia="es-CO"/>
        </w:rPr>
      </w:pPr>
    </w:p>
    <w:p w:rsidR="00D16A02" w:rsidRPr="000E2215" w:rsidRDefault="00D16A02" w:rsidP="00D16A02">
      <w:pPr>
        <w:overflowPunct w:val="0"/>
        <w:autoSpaceDE w:val="0"/>
        <w:autoSpaceDN w:val="0"/>
        <w:adjustRightInd w:val="0"/>
        <w:ind w:left="709"/>
        <w:jc w:val="both"/>
        <w:textAlignment w:val="baseline"/>
        <w:rPr>
          <w:rFonts w:ascii="Arial Narrow" w:hAnsi="Arial Narrow" w:cs="Arial"/>
          <w:i/>
          <w:sz w:val="28"/>
          <w:szCs w:val="28"/>
          <w:lang w:eastAsia="es-CO"/>
        </w:rPr>
      </w:pPr>
      <w:r w:rsidRPr="000E2215">
        <w:rPr>
          <w:rFonts w:ascii="Arial Narrow" w:hAnsi="Arial Narrow" w:cs="Arial"/>
          <w:i/>
          <w:sz w:val="28"/>
          <w:szCs w:val="28"/>
          <w:lang w:eastAsia="es-CO"/>
        </w:rPr>
        <w:t xml:space="preserve">Tan es así, que la propia Corte Constitucional en un pronunciamiento posterior en sede de tutela, reconoció la imposibilidad comentada, al concluir que siempre será mayor el porcentaje destinado a financiar la pensión de vejez en el régimen de prima media, que en el de ahorro individual (T-818/07)». </w:t>
      </w:r>
    </w:p>
    <w:p w:rsidR="00D16A02" w:rsidRPr="000E2215" w:rsidRDefault="00D16A02" w:rsidP="00D16A02">
      <w:pPr>
        <w:overflowPunct w:val="0"/>
        <w:autoSpaceDE w:val="0"/>
        <w:autoSpaceDN w:val="0"/>
        <w:adjustRightInd w:val="0"/>
        <w:ind w:left="709"/>
        <w:jc w:val="both"/>
        <w:textAlignment w:val="baseline"/>
        <w:rPr>
          <w:rFonts w:ascii="Arial Narrow" w:hAnsi="Arial Narrow" w:cs="Franklin Gothic Book"/>
          <w:i/>
          <w:sz w:val="28"/>
          <w:szCs w:val="28"/>
          <w:lang w:eastAsia="es-CO"/>
        </w:rPr>
      </w:pPr>
      <w:r w:rsidRPr="000E2215">
        <w:rPr>
          <w:rFonts w:ascii="Arial Narrow" w:hAnsi="Arial Narrow" w:cs="Franklin Gothic Book"/>
          <w:i/>
          <w:sz w:val="28"/>
          <w:szCs w:val="28"/>
          <w:lang w:eastAsia="es-CO"/>
        </w:rPr>
        <w:t xml:space="preserve"> </w:t>
      </w:r>
    </w:p>
    <w:p w:rsidR="00D16A02" w:rsidRPr="000E2215" w:rsidRDefault="00D16A02" w:rsidP="00D16A02">
      <w:pPr>
        <w:ind w:left="709"/>
        <w:jc w:val="both"/>
        <w:rPr>
          <w:rFonts w:ascii="Arial Narrow" w:hAnsi="Arial Narrow" w:cs="Estrangelo Edessa"/>
          <w:sz w:val="28"/>
          <w:szCs w:val="28"/>
        </w:rPr>
      </w:pPr>
      <w:r w:rsidRPr="000E2215">
        <w:rPr>
          <w:rFonts w:ascii="Arial Narrow" w:hAnsi="Arial Narrow" w:cs="Arial"/>
          <w:i/>
          <w:sz w:val="28"/>
          <w:szCs w:val="28"/>
          <w:lang w:eastAsia="es-CO"/>
        </w:rPr>
        <w:t>El anterior panorama permite a la Sala concluir, que no resulta razonable exigir a quienes pretenden recuperar el régimen de transición, una vez regresan del régimen de ahorro individual al de prima media, y cumplen el requisito de 15 años o más de servicios o de cotizaciones a la entrada en vigencia del sistema, además del traslado de todo el saldo de la cuenta de ahorro individual, la equivalencia de los aportes legales, puesto que se trata de una exigencia que no fue contemplada por el legislador</w:t>
      </w:r>
      <w:r w:rsidR="002462DE">
        <w:rPr>
          <w:rFonts w:ascii="Arial Narrow" w:hAnsi="Arial Narrow" w:cs="Arial"/>
          <w:i/>
          <w:sz w:val="28"/>
          <w:szCs w:val="28"/>
          <w:lang w:eastAsia="es-CO"/>
        </w:rPr>
        <w:t>”</w:t>
      </w:r>
      <w:r w:rsidRPr="000E2215">
        <w:rPr>
          <w:rFonts w:ascii="Arial Narrow" w:hAnsi="Arial Narrow" w:cs="Arial"/>
          <w:i/>
          <w:sz w:val="28"/>
          <w:szCs w:val="28"/>
          <w:lang w:eastAsia="es-CO"/>
        </w:rPr>
        <w:t>.</w:t>
      </w:r>
    </w:p>
    <w:p w:rsidR="00D16A02" w:rsidRDefault="00D16A02" w:rsidP="00D16A02">
      <w:pPr>
        <w:spacing w:line="360" w:lineRule="auto"/>
        <w:ind w:firstLine="709"/>
        <w:jc w:val="both"/>
        <w:rPr>
          <w:rFonts w:ascii="Bookman Old Style" w:hAnsi="Bookman Old Style" w:cs="Estrangelo Edessa"/>
          <w:sz w:val="28"/>
          <w:szCs w:val="28"/>
        </w:rPr>
      </w:pPr>
    </w:p>
    <w:p w:rsidR="00047C93" w:rsidRDefault="005E0FDC" w:rsidP="00B402CA">
      <w:pPr>
        <w:spacing w:line="360" w:lineRule="auto"/>
        <w:ind w:firstLine="709"/>
        <w:jc w:val="both"/>
        <w:rPr>
          <w:rFonts w:ascii="Arial Narrow" w:hAnsi="Arial Narrow" w:cs="Arial"/>
          <w:color w:val="000000"/>
          <w:sz w:val="28"/>
          <w:szCs w:val="28"/>
          <w:shd w:val="clear" w:color="auto" w:fill="FFFFFF"/>
          <w:lang w:val="es-ES"/>
        </w:rPr>
      </w:pPr>
      <w:r w:rsidRPr="00B402CA">
        <w:rPr>
          <w:rFonts w:ascii="Arial Narrow" w:hAnsi="Arial Narrow" w:cs="Estrangelo Edessa"/>
          <w:sz w:val="28"/>
          <w:szCs w:val="28"/>
        </w:rPr>
        <w:t xml:space="preserve">Por lo expuesto, </w:t>
      </w:r>
      <w:r w:rsidR="00B402CA">
        <w:rPr>
          <w:rFonts w:ascii="Arial Narrow" w:hAnsi="Arial Narrow" w:cs="Estrangelo Edessa"/>
          <w:sz w:val="28"/>
          <w:szCs w:val="28"/>
        </w:rPr>
        <w:t>no procede el r</w:t>
      </w:r>
      <w:r w:rsidRPr="00B402CA">
        <w:rPr>
          <w:rFonts w:ascii="Arial Narrow" w:hAnsi="Arial Narrow" w:cs="Estrangelo Edessa"/>
          <w:sz w:val="28"/>
          <w:szCs w:val="28"/>
        </w:rPr>
        <w:t>ecurso de apelación</w:t>
      </w:r>
      <w:r w:rsidR="00B402CA">
        <w:rPr>
          <w:rFonts w:ascii="Arial Narrow" w:hAnsi="Arial Narrow" w:cs="Estrangelo Edessa"/>
          <w:sz w:val="28"/>
          <w:szCs w:val="28"/>
        </w:rPr>
        <w:t xml:space="preserve"> propuesto por la </w:t>
      </w:r>
      <w:r w:rsidRPr="00B402CA">
        <w:rPr>
          <w:rFonts w:ascii="Arial Narrow" w:hAnsi="Arial Narrow" w:cs="Estrangelo Edessa"/>
          <w:sz w:val="28"/>
          <w:szCs w:val="28"/>
        </w:rPr>
        <w:t>entidad</w:t>
      </w:r>
      <w:r w:rsidR="00B402CA">
        <w:rPr>
          <w:rFonts w:ascii="Arial Narrow" w:hAnsi="Arial Narrow" w:cs="Estrangelo Edessa"/>
          <w:sz w:val="28"/>
          <w:szCs w:val="28"/>
        </w:rPr>
        <w:t xml:space="preserve"> demandada</w:t>
      </w:r>
      <w:r w:rsidR="00B37353">
        <w:rPr>
          <w:rFonts w:ascii="Arial Narrow" w:hAnsi="Arial Narrow" w:cs="Estrangelo Edessa"/>
          <w:sz w:val="28"/>
          <w:szCs w:val="28"/>
        </w:rPr>
        <w:t xml:space="preserve"> y resulta innecesario desatar el grado de consulta en favor de esta</w:t>
      </w:r>
      <w:r w:rsidR="00B402CA">
        <w:rPr>
          <w:rFonts w:ascii="Arial Narrow" w:hAnsi="Arial Narrow" w:cs="Estrangelo Edessa"/>
          <w:sz w:val="28"/>
          <w:szCs w:val="28"/>
        </w:rPr>
        <w:t xml:space="preserve">, </w:t>
      </w:r>
      <w:r w:rsidR="008E0F2B">
        <w:rPr>
          <w:rFonts w:ascii="Arial Narrow" w:hAnsi="Arial Narrow" w:cs="Estrangelo Edessa"/>
          <w:sz w:val="28"/>
          <w:szCs w:val="28"/>
        </w:rPr>
        <w:t xml:space="preserve">siendo </w:t>
      </w:r>
      <w:r w:rsidR="00B402CA">
        <w:rPr>
          <w:rFonts w:ascii="Arial Narrow" w:hAnsi="Arial Narrow" w:cs="Arial"/>
          <w:color w:val="000000"/>
          <w:sz w:val="28"/>
          <w:szCs w:val="28"/>
          <w:shd w:val="clear" w:color="auto" w:fill="FFFFFF"/>
          <w:lang w:val="es-ES"/>
        </w:rPr>
        <w:t>forzosa</w:t>
      </w:r>
      <w:r w:rsidR="00047C93">
        <w:rPr>
          <w:rFonts w:ascii="Arial Narrow" w:hAnsi="Arial Narrow" w:cs="Arial"/>
          <w:color w:val="000000"/>
          <w:sz w:val="28"/>
          <w:szCs w:val="28"/>
          <w:shd w:val="clear" w:color="auto" w:fill="FFFFFF"/>
          <w:lang w:val="es-ES"/>
        </w:rPr>
        <w:t>, entonces, la confirmación de la sentencia</w:t>
      </w:r>
      <w:r w:rsidR="002462DE">
        <w:rPr>
          <w:rFonts w:ascii="Arial Narrow" w:hAnsi="Arial Narrow" w:cs="Arial"/>
          <w:color w:val="000000"/>
          <w:sz w:val="28"/>
          <w:szCs w:val="28"/>
          <w:shd w:val="clear" w:color="auto" w:fill="FFFFFF"/>
          <w:lang w:val="es-ES"/>
        </w:rPr>
        <w:t xml:space="preserve"> de primer grado.</w:t>
      </w:r>
    </w:p>
    <w:p w:rsidR="00047C93" w:rsidRPr="00B60270" w:rsidRDefault="00047C93" w:rsidP="00047C93">
      <w:pPr>
        <w:pStyle w:val="Sinespaciado"/>
      </w:pPr>
    </w:p>
    <w:p w:rsidR="00047C93" w:rsidRDefault="00B402CA" w:rsidP="00047C93">
      <w:pPr>
        <w:spacing w:line="360" w:lineRule="auto"/>
        <w:ind w:firstLine="851"/>
        <w:jc w:val="both"/>
        <w:rPr>
          <w:rFonts w:ascii="Arial Narrow" w:hAnsi="Arial Narrow" w:cs="Arial"/>
          <w:color w:val="000000"/>
          <w:sz w:val="28"/>
          <w:szCs w:val="28"/>
          <w:shd w:val="clear" w:color="auto" w:fill="FFFFFF"/>
          <w:lang w:val="es-ES"/>
        </w:rPr>
      </w:pPr>
      <w:r>
        <w:rPr>
          <w:rFonts w:ascii="Arial Narrow" w:hAnsi="Arial Narrow" w:cs="Arial"/>
          <w:color w:val="000000"/>
          <w:sz w:val="28"/>
          <w:szCs w:val="28"/>
          <w:shd w:val="clear" w:color="auto" w:fill="FFFFFF"/>
          <w:lang w:val="es-ES"/>
        </w:rPr>
        <w:t xml:space="preserve">Costas </w:t>
      </w:r>
      <w:r w:rsidR="00EA6F00">
        <w:rPr>
          <w:rFonts w:ascii="Arial Narrow" w:hAnsi="Arial Narrow" w:cs="Arial"/>
          <w:color w:val="000000"/>
          <w:sz w:val="28"/>
          <w:szCs w:val="28"/>
          <w:shd w:val="clear" w:color="auto" w:fill="FFFFFF"/>
          <w:lang w:val="es-ES"/>
        </w:rPr>
        <w:t xml:space="preserve">en esta instancia </w:t>
      </w:r>
      <w:r>
        <w:rPr>
          <w:rFonts w:ascii="Arial Narrow" w:hAnsi="Arial Narrow" w:cs="Arial"/>
          <w:color w:val="000000"/>
          <w:sz w:val="28"/>
          <w:szCs w:val="28"/>
          <w:shd w:val="clear" w:color="auto" w:fill="FFFFFF"/>
          <w:lang w:val="es-ES"/>
        </w:rPr>
        <w:t xml:space="preserve">a cargo de </w:t>
      </w:r>
      <w:proofErr w:type="spellStart"/>
      <w:r>
        <w:rPr>
          <w:rFonts w:ascii="Arial Narrow" w:hAnsi="Arial Narrow" w:cs="Arial"/>
          <w:color w:val="000000"/>
          <w:sz w:val="28"/>
          <w:szCs w:val="28"/>
          <w:shd w:val="clear" w:color="auto" w:fill="FFFFFF"/>
          <w:lang w:val="es-ES"/>
        </w:rPr>
        <w:t>Colpensio</w:t>
      </w:r>
      <w:r w:rsidR="00EA6F00">
        <w:rPr>
          <w:rFonts w:ascii="Arial Narrow" w:hAnsi="Arial Narrow" w:cs="Arial"/>
          <w:color w:val="000000"/>
          <w:sz w:val="28"/>
          <w:szCs w:val="28"/>
          <w:shd w:val="clear" w:color="auto" w:fill="FFFFFF"/>
          <w:lang w:val="es-ES"/>
        </w:rPr>
        <w:t>nes</w:t>
      </w:r>
      <w:proofErr w:type="spellEnd"/>
      <w:r w:rsidR="00EA6F00">
        <w:rPr>
          <w:rFonts w:ascii="Arial Narrow" w:hAnsi="Arial Narrow" w:cs="Arial"/>
          <w:color w:val="000000"/>
          <w:sz w:val="28"/>
          <w:szCs w:val="28"/>
          <w:shd w:val="clear" w:color="auto" w:fill="FFFFFF"/>
          <w:lang w:val="es-ES"/>
        </w:rPr>
        <w:t>.</w:t>
      </w:r>
    </w:p>
    <w:p w:rsidR="00047C93" w:rsidRPr="000D7BA2" w:rsidRDefault="00047C93" w:rsidP="00047C93">
      <w:pPr>
        <w:pStyle w:val="Sinespaciado"/>
      </w:pPr>
    </w:p>
    <w:p w:rsidR="00047C93" w:rsidRPr="000D7BA2" w:rsidRDefault="00047C93" w:rsidP="00047C93">
      <w:pPr>
        <w:pStyle w:val="Prrafodelista1"/>
        <w:spacing w:after="0" w:line="360" w:lineRule="auto"/>
        <w:ind w:left="0" w:firstLine="709"/>
        <w:jc w:val="both"/>
        <w:rPr>
          <w:rFonts w:ascii="Arial Narrow" w:hAnsi="Arial Narrow"/>
          <w:sz w:val="28"/>
          <w:szCs w:val="28"/>
        </w:rPr>
      </w:pPr>
      <w:r w:rsidRPr="006B4716">
        <w:rPr>
          <w:rFonts w:ascii="Arial Narrow" w:hAnsi="Arial Narrow"/>
          <w:sz w:val="28"/>
          <w:szCs w:val="28"/>
        </w:rPr>
        <w:t xml:space="preserve">En mérito de lo expuesto, </w:t>
      </w:r>
      <w:r w:rsidRPr="000D7BA2">
        <w:rPr>
          <w:rFonts w:ascii="Arial Narrow" w:hAnsi="Arial Narrow"/>
          <w:sz w:val="28"/>
          <w:szCs w:val="28"/>
        </w:rPr>
        <w:t xml:space="preserve">el </w:t>
      </w:r>
      <w:r w:rsidRPr="000D7BA2">
        <w:rPr>
          <w:rFonts w:ascii="Arial Narrow" w:hAnsi="Arial Narrow"/>
          <w:i/>
          <w:sz w:val="28"/>
          <w:szCs w:val="28"/>
        </w:rPr>
        <w:t>H. Tribunal Superior del Distrito Judicial de Pereira - Risaralda, Sala Laboral,</w:t>
      </w:r>
      <w:r w:rsidRPr="000D7BA2">
        <w:rPr>
          <w:rFonts w:ascii="Arial Narrow" w:hAnsi="Arial Narrow"/>
          <w:sz w:val="28"/>
          <w:szCs w:val="28"/>
        </w:rPr>
        <w:t xml:space="preserve"> administrando justicia en nombre de la República y por autoridad de la ley,</w:t>
      </w:r>
    </w:p>
    <w:p w:rsidR="00047C93" w:rsidRPr="00704C53" w:rsidRDefault="00047C93" w:rsidP="00047C93">
      <w:pPr>
        <w:spacing w:line="360" w:lineRule="auto"/>
        <w:jc w:val="center"/>
        <w:rPr>
          <w:rFonts w:ascii="Arial Narrow" w:hAnsi="Arial Narrow" w:cs="Arial"/>
          <w:i/>
          <w:sz w:val="28"/>
          <w:szCs w:val="28"/>
        </w:rPr>
      </w:pPr>
      <w:r w:rsidRPr="00704C53">
        <w:rPr>
          <w:rFonts w:ascii="Arial Narrow" w:hAnsi="Arial Narrow" w:cs="Arial"/>
          <w:i/>
          <w:sz w:val="28"/>
          <w:szCs w:val="28"/>
        </w:rPr>
        <w:t>FALLA</w:t>
      </w:r>
    </w:p>
    <w:p w:rsidR="00047C93" w:rsidRPr="00704C53" w:rsidRDefault="00047C93" w:rsidP="00704C53">
      <w:pPr>
        <w:pStyle w:val="Sinespaciado"/>
      </w:pPr>
    </w:p>
    <w:p w:rsidR="00047C93" w:rsidRPr="00704C53" w:rsidRDefault="00047C93" w:rsidP="00047C93">
      <w:pPr>
        <w:pStyle w:val="Textoindependiente31"/>
        <w:ind w:firstLine="708"/>
        <w:rPr>
          <w:rFonts w:ascii="Arial Narrow" w:hAnsi="Arial Narrow" w:cs="Arial"/>
          <w:iCs/>
          <w:szCs w:val="28"/>
        </w:rPr>
      </w:pPr>
      <w:r w:rsidRPr="00704C53">
        <w:rPr>
          <w:rFonts w:ascii="Arial Narrow" w:hAnsi="Arial Narrow" w:cs="Arial"/>
          <w:spacing w:val="-2"/>
          <w:szCs w:val="28"/>
        </w:rPr>
        <w:t xml:space="preserve">Confirma </w:t>
      </w:r>
      <w:r w:rsidRPr="00704C53">
        <w:rPr>
          <w:rFonts w:ascii="Arial Narrow" w:hAnsi="Arial Narrow" w:cs="Arial"/>
          <w:szCs w:val="28"/>
        </w:rPr>
        <w:t xml:space="preserve">la sentencia proferida el </w:t>
      </w:r>
      <w:r w:rsidR="00EA6F00" w:rsidRPr="00704C53">
        <w:rPr>
          <w:rFonts w:ascii="Arial Narrow" w:hAnsi="Arial Narrow" w:cs="Arial"/>
          <w:szCs w:val="28"/>
        </w:rPr>
        <w:t>2 de julio de 201</w:t>
      </w:r>
      <w:r w:rsidRPr="00704C53">
        <w:rPr>
          <w:rFonts w:ascii="Arial Narrow" w:hAnsi="Arial Narrow" w:cs="Arial"/>
          <w:szCs w:val="28"/>
        </w:rPr>
        <w:t xml:space="preserve">5 por el Juzgado </w:t>
      </w:r>
      <w:r w:rsidR="00795866" w:rsidRPr="00704C53">
        <w:rPr>
          <w:rFonts w:ascii="Arial Narrow" w:hAnsi="Arial Narrow" w:cs="Arial"/>
          <w:szCs w:val="28"/>
        </w:rPr>
        <w:t xml:space="preserve">Primero Laboral </w:t>
      </w:r>
      <w:r w:rsidRPr="00704C53">
        <w:rPr>
          <w:rFonts w:ascii="Arial Narrow" w:hAnsi="Arial Narrow" w:cs="Arial"/>
          <w:szCs w:val="28"/>
        </w:rPr>
        <w:t xml:space="preserve">del Circuito de Pereira, dentro del proceso ordinario laboral de </w:t>
      </w:r>
      <w:r w:rsidR="00795866" w:rsidRPr="00704C53">
        <w:rPr>
          <w:rFonts w:ascii="Arial Narrow" w:hAnsi="Arial Narrow" w:cs="Arial"/>
          <w:i/>
          <w:szCs w:val="28"/>
        </w:rPr>
        <w:t xml:space="preserve">María </w:t>
      </w:r>
      <w:proofErr w:type="spellStart"/>
      <w:r w:rsidR="00795866" w:rsidRPr="00704C53">
        <w:rPr>
          <w:rFonts w:ascii="Arial Narrow" w:hAnsi="Arial Narrow" w:cs="Arial"/>
          <w:i/>
          <w:szCs w:val="28"/>
        </w:rPr>
        <w:t>Cenelia</w:t>
      </w:r>
      <w:proofErr w:type="spellEnd"/>
      <w:r w:rsidR="00795866" w:rsidRPr="00704C53">
        <w:rPr>
          <w:rFonts w:ascii="Arial Narrow" w:hAnsi="Arial Narrow" w:cs="Arial"/>
          <w:i/>
          <w:szCs w:val="28"/>
        </w:rPr>
        <w:t xml:space="preserve"> Zuluaga Palacio</w:t>
      </w:r>
      <w:r w:rsidRPr="00704C53">
        <w:rPr>
          <w:rFonts w:ascii="Arial Narrow" w:hAnsi="Arial Narrow" w:cs="Arial"/>
          <w:i/>
          <w:szCs w:val="28"/>
        </w:rPr>
        <w:t xml:space="preserve"> </w:t>
      </w:r>
      <w:r w:rsidRPr="00704C53">
        <w:rPr>
          <w:rFonts w:ascii="Arial Narrow" w:hAnsi="Arial Narrow" w:cs="Arial"/>
          <w:iCs/>
          <w:szCs w:val="28"/>
        </w:rPr>
        <w:t xml:space="preserve">contra la </w:t>
      </w:r>
      <w:r w:rsidRPr="00704C53">
        <w:rPr>
          <w:rFonts w:ascii="Arial Narrow" w:hAnsi="Arial Narrow" w:cs="Arial"/>
          <w:i/>
          <w:iCs/>
          <w:szCs w:val="28"/>
        </w:rPr>
        <w:t xml:space="preserve">Administradora Colombiana de Pensiones </w:t>
      </w:r>
      <w:proofErr w:type="spellStart"/>
      <w:r w:rsidRPr="00704C53">
        <w:rPr>
          <w:rFonts w:ascii="Arial Narrow" w:hAnsi="Arial Narrow" w:cs="Arial"/>
          <w:i/>
          <w:iCs/>
          <w:szCs w:val="28"/>
        </w:rPr>
        <w:t>Colpensiones</w:t>
      </w:r>
      <w:proofErr w:type="spellEnd"/>
      <w:r w:rsidRPr="00704C53">
        <w:rPr>
          <w:rFonts w:ascii="Arial Narrow" w:hAnsi="Arial Narrow" w:cs="Arial"/>
          <w:iCs/>
          <w:szCs w:val="28"/>
        </w:rPr>
        <w:t>,</w:t>
      </w:r>
      <w:r w:rsidRPr="00704C53">
        <w:rPr>
          <w:rFonts w:ascii="Arial Narrow" w:hAnsi="Arial Narrow" w:cs="Arial"/>
          <w:i/>
          <w:iCs/>
          <w:szCs w:val="28"/>
        </w:rPr>
        <w:t xml:space="preserve"> </w:t>
      </w:r>
      <w:r w:rsidRPr="00704C53">
        <w:rPr>
          <w:rFonts w:ascii="Arial Narrow" w:hAnsi="Arial Narrow" w:cs="Arial"/>
          <w:iCs/>
          <w:szCs w:val="28"/>
        </w:rPr>
        <w:t xml:space="preserve">y </w:t>
      </w:r>
      <w:r w:rsidR="00795866" w:rsidRPr="00704C53">
        <w:rPr>
          <w:rFonts w:ascii="Arial Narrow" w:hAnsi="Arial Narrow" w:cs="Arial"/>
          <w:iCs/>
          <w:szCs w:val="28"/>
        </w:rPr>
        <w:t>la</w:t>
      </w:r>
      <w:r w:rsidR="00795866" w:rsidRPr="00704C53">
        <w:rPr>
          <w:rFonts w:ascii="Arial Narrow" w:hAnsi="Arial Narrow" w:cs="Arial"/>
          <w:i/>
          <w:iCs/>
          <w:szCs w:val="28"/>
        </w:rPr>
        <w:t xml:space="preserve"> AFP Protección </w:t>
      </w:r>
      <w:r w:rsidRPr="00704C53">
        <w:rPr>
          <w:rFonts w:ascii="Arial Narrow" w:hAnsi="Arial Narrow" w:cs="Arial"/>
          <w:i/>
          <w:iCs/>
          <w:szCs w:val="28"/>
        </w:rPr>
        <w:t>S.A</w:t>
      </w:r>
      <w:r w:rsidRPr="00704C53">
        <w:rPr>
          <w:rFonts w:ascii="Arial Narrow" w:hAnsi="Arial Narrow" w:cs="Arial"/>
          <w:iCs/>
          <w:szCs w:val="28"/>
        </w:rPr>
        <w:t>.</w:t>
      </w:r>
    </w:p>
    <w:p w:rsidR="00047C93" w:rsidRPr="003D04D3" w:rsidRDefault="00047C93" w:rsidP="003D04D3">
      <w:pPr>
        <w:pStyle w:val="Sinespaciado"/>
      </w:pPr>
    </w:p>
    <w:p w:rsidR="00047C93" w:rsidRDefault="00704C53" w:rsidP="003D04D3">
      <w:pPr>
        <w:pStyle w:val="Textoindependiente31"/>
        <w:ind w:firstLine="708"/>
        <w:rPr>
          <w:rFonts w:ascii="Arial Narrow" w:hAnsi="Arial Narrow" w:cs="Arial"/>
          <w:iCs/>
          <w:szCs w:val="28"/>
        </w:rPr>
      </w:pPr>
      <w:r w:rsidRPr="00704C53">
        <w:rPr>
          <w:rFonts w:ascii="Arial Narrow" w:hAnsi="Arial Narrow" w:cs="Arial"/>
          <w:iCs/>
          <w:szCs w:val="28"/>
        </w:rPr>
        <w:t xml:space="preserve">Costas a cargo de </w:t>
      </w:r>
      <w:proofErr w:type="spellStart"/>
      <w:r w:rsidRPr="00704C53">
        <w:rPr>
          <w:rFonts w:ascii="Arial Narrow" w:hAnsi="Arial Narrow" w:cs="Arial"/>
          <w:iCs/>
          <w:szCs w:val="28"/>
        </w:rPr>
        <w:t>Colpensiones</w:t>
      </w:r>
      <w:proofErr w:type="spellEnd"/>
      <w:r w:rsidR="003D04D3">
        <w:rPr>
          <w:rFonts w:ascii="Arial Narrow" w:hAnsi="Arial Narrow" w:cs="Arial"/>
          <w:iCs/>
          <w:szCs w:val="28"/>
        </w:rPr>
        <w:t>.</w:t>
      </w:r>
    </w:p>
    <w:p w:rsidR="003D04D3" w:rsidRPr="003D04D3" w:rsidRDefault="003D04D3" w:rsidP="003D04D3">
      <w:pPr>
        <w:pStyle w:val="Sinespaciado"/>
      </w:pPr>
    </w:p>
    <w:p w:rsidR="00047C93" w:rsidRPr="00E80808" w:rsidRDefault="00047C93" w:rsidP="00047C93">
      <w:pPr>
        <w:spacing w:line="276"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047C93" w:rsidRPr="00E80808" w:rsidRDefault="00047C93" w:rsidP="00047C93">
      <w:pPr>
        <w:pStyle w:val="Sinespaciado"/>
        <w:rPr>
          <w:lang w:val="es-ES"/>
        </w:rPr>
      </w:pPr>
    </w:p>
    <w:p w:rsidR="00047C93" w:rsidRPr="00E80808" w:rsidRDefault="00047C93" w:rsidP="00047C93">
      <w:pPr>
        <w:pStyle w:val="Sinespaciado"/>
        <w:rPr>
          <w:lang w:val="es-ES"/>
        </w:rPr>
      </w:pPr>
    </w:p>
    <w:p w:rsidR="002B4C82" w:rsidRPr="00F46F6F" w:rsidRDefault="002B4C82" w:rsidP="003D04D3">
      <w:pPr>
        <w:pStyle w:val="Sinespaciado"/>
        <w:spacing w:line="360" w:lineRule="auto"/>
      </w:pPr>
    </w:p>
    <w:p w:rsidR="00047C93" w:rsidRPr="00E80808" w:rsidRDefault="00047C93" w:rsidP="00047C93">
      <w:pPr>
        <w:ind w:firstLine="900"/>
        <w:jc w:val="center"/>
        <w:rPr>
          <w:rFonts w:ascii="Arial Narrow" w:hAnsi="Arial Narrow" w:cs="Microsoft Sans Serif"/>
          <w:b/>
          <w:bCs/>
          <w:iCs/>
          <w:sz w:val="28"/>
          <w:szCs w:val="28"/>
          <w:lang w:val="es-ES"/>
        </w:rPr>
      </w:pPr>
    </w:p>
    <w:p w:rsidR="00047C93" w:rsidRPr="00704C53" w:rsidRDefault="00047C93" w:rsidP="00047C93">
      <w:pPr>
        <w:ind w:firstLine="900"/>
        <w:jc w:val="center"/>
        <w:rPr>
          <w:rFonts w:ascii="Arial Narrow" w:hAnsi="Arial Narrow" w:cs="Microsoft Sans Serif"/>
          <w:bCs/>
          <w:iCs/>
          <w:sz w:val="28"/>
          <w:szCs w:val="28"/>
          <w:lang w:val="es-ES"/>
        </w:rPr>
      </w:pPr>
      <w:r w:rsidRPr="00704C53">
        <w:rPr>
          <w:rFonts w:ascii="Arial Narrow" w:hAnsi="Arial Narrow" w:cs="Microsoft Sans Serif"/>
          <w:bCs/>
          <w:iCs/>
          <w:sz w:val="28"/>
          <w:szCs w:val="28"/>
          <w:lang w:val="es-ES"/>
        </w:rPr>
        <w:t>FRANCISCO JAVIER TAMAYO TABARES</w:t>
      </w:r>
    </w:p>
    <w:p w:rsidR="00047C93" w:rsidRPr="00704C53" w:rsidRDefault="00047C93" w:rsidP="00047C93">
      <w:pPr>
        <w:ind w:firstLine="900"/>
        <w:jc w:val="center"/>
        <w:rPr>
          <w:rFonts w:ascii="Arial Narrow" w:hAnsi="Arial Narrow" w:cs="Microsoft Sans Serif"/>
          <w:bCs/>
          <w:iCs/>
          <w:sz w:val="28"/>
          <w:szCs w:val="28"/>
          <w:lang w:val="es-ES"/>
        </w:rPr>
      </w:pPr>
      <w:r w:rsidRPr="00704C53">
        <w:rPr>
          <w:rFonts w:ascii="Arial Narrow" w:hAnsi="Arial Narrow" w:cs="Microsoft Sans Serif"/>
          <w:bCs/>
          <w:iCs/>
          <w:sz w:val="28"/>
          <w:szCs w:val="28"/>
          <w:lang w:val="es-ES"/>
        </w:rPr>
        <w:t>Magistrado Ponente</w:t>
      </w:r>
    </w:p>
    <w:p w:rsidR="00047C93" w:rsidRPr="00704C53" w:rsidRDefault="00047C93" w:rsidP="00047C93">
      <w:pPr>
        <w:ind w:firstLine="900"/>
        <w:jc w:val="both"/>
        <w:rPr>
          <w:rFonts w:ascii="Arial Narrow" w:hAnsi="Arial Narrow" w:cs="Microsoft Sans Serif"/>
          <w:sz w:val="28"/>
          <w:szCs w:val="28"/>
          <w:lang w:val="es-ES"/>
        </w:rPr>
      </w:pPr>
    </w:p>
    <w:p w:rsidR="00047C93" w:rsidRPr="00704C53" w:rsidRDefault="00047C93" w:rsidP="00047C93">
      <w:pPr>
        <w:pStyle w:val="Sinespaciado"/>
        <w:rPr>
          <w:lang w:val="es-ES"/>
        </w:rPr>
      </w:pPr>
    </w:p>
    <w:p w:rsidR="00047C93" w:rsidRPr="00704C53" w:rsidRDefault="00047C93" w:rsidP="00047C93">
      <w:pPr>
        <w:pStyle w:val="Sinespaciado"/>
        <w:rPr>
          <w:lang w:val="es-ES"/>
        </w:rPr>
      </w:pPr>
    </w:p>
    <w:p w:rsidR="00047C93" w:rsidRPr="00704C53" w:rsidRDefault="00047C93" w:rsidP="00047C93">
      <w:pPr>
        <w:pStyle w:val="Sinespaciado"/>
        <w:rPr>
          <w:lang w:val="es-ES"/>
        </w:rPr>
      </w:pPr>
    </w:p>
    <w:p w:rsidR="00047C93" w:rsidRPr="00704C53" w:rsidRDefault="00047C93" w:rsidP="00047C93">
      <w:pPr>
        <w:pStyle w:val="Sinespaciado"/>
        <w:rPr>
          <w:lang w:val="es-ES"/>
        </w:rPr>
      </w:pPr>
    </w:p>
    <w:p w:rsidR="00047C93" w:rsidRPr="00704C53" w:rsidRDefault="00047C93" w:rsidP="00047C93">
      <w:pPr>
        <w:jc w:val="both"/>
        <w:rPr>
          <w:rFonts w:ascii="Arial Narrow" w:hAnsi="Arial Narrow" w:cs="Microsoft Sans Serif"/>
          <w:bCs/>
          <w:iCs/>
          <w:sz w:val="28"/>
          <w:szCs w:val="28"/>
          <w:lang w:val="es-ES"/>
        </w:rPr>
      </w:pPr>
      <w:r w:rsidRPr="00704C53">
        <w:rPr>
          <w:rFonts w:ascii="Arial Narrow" w:hAnsi="Arial Narrow" w:cs="Microsoft Sans Serif"/>
          <w:bCs/>
          <w:iCs/>
          <w:sz w:val="28"/>
          <w:szCs w:val="28"/>
          <w:lang w:val="es-ES"/>
        </w:rPr>
        <w:t>ANA LUCIA CAICEDO CALDERÓN                   OLGA LUCIA HOYOS SEPÚLVEDA</w:t>
      </w:r>
    </w:p>
    <w:p w:rsidR="00047C93" w:rsidRPr="00704C53" w:rsidRDefault="00047C93" w:rsidP="00047C93">
      <w:pPr>
        <w:jc w:val="both"/>
        <w:rPr>
          <w:rFonts w:ascii="Arial Narrow" w:hAnsi="Arial Narrow" w:cs="Microsoft Sans Serif"/>
          <w:bCs/>
          <w:iCs/>
          <w:sz w:val="28"/>
          <w:szCs w:val="28"/>
          <w:lang w:val="es-ES"/>
        </w:rPr>
      </w:pPr>
      <w:r w:rsidRPr="00704C53">
        <w:rPr>
          <w:rFonts w:ascii="Arial Narrow" w:hAnsi="Arial Narrow" w:cs="Microsoft Sans Serif"/>
          <w:bCs/>
          <w:iCs/>
          <w:sz w:val="28"/>
          <w:szCs w:val="28"/>
          <w:lang w:val="es-ES"/>
        </w:rPr>
        <w:t xml:space="preserve">                  Magistrada                                                                 </w:t>
      </w:r>
      <w:proofErr w:type="spellStart"/>
      <w:r w:rsidRPr="00704C53">
        <w:rPr>
          <w:rFonts w:ascii="Arial Narrow" w:hAnsi="Arial Narrow" w:cs="Microsoft Sans Serif"/>
          <w:bCs/>
          <w:iCs/>
          <w:sz w:val="28"/>
          <w:szCs w:val="28"/>
          <w:lang w:val="es-ES"/>
        </w:rPr>
        <w:t>Magistrada</w:t>
      </w:r>
      <w:proofErr w:type="spellEnd"/>
      <w:r w:rsidRPr="00704C53">
        <w:rPr>
          <w:rFonts w:ascii="Arial Narrow" w:hAnsi="Arial Narrow" w:cs="Microsoft Sans Serif"/>
          <w:bCs/>
          <w:iCs/>
          <w:sz w:val="28"/>
          <w:szCs w:val="28"/>
          <w:lang w:val="es-ES"/>
        </w:rPr>
        <w:t xml:space="preserve"> </w:t>
      </w:r>
    </w:p>
    <w:p w:rsidR="00047C93" w:rsidRPr="00704C53" w:rsidRDefault="00047C93" w:rsidP="00047C93">
      <w:pPr>
        <w:pStyle w:val="Sinespaciado"/>
        <w:rPr>
          <w:lang w:val="es-ES"/>
        </w:rPr>
      </w:pPr>
    </w:p>
    <w:p w:rsidR="00047C93" w:rsidRPr="00704C53" w:rsidRDefault="00047C93" w:rsidP="00047C93">
      <w:pPr>
        <w:ind w:firstLine="900"/>
        <w:jc w:val="center"/>
        <w:rPr>
          <w:rFonts w:ascii="Arial Narrow" w:hAnsi="Arial Narrow" w:cs="Microsoft Sans Serif"/>
          <w:bCs/>
          <w:iCs/>
          <w:sz w:val="28"/>
          <w:szCs w:val="28"/>
          <w:lang w:val="es-ES"/>
        </w:rPr>
      </w:pPr>
    </w:p>
    <w:p w:rsidR="00047C93" w:rsidRPr="00704C53" w:rsidRDefault="00047C93" w:rsidP="00047C93"/>
    <w:p w:rsidR="00047C93" w:rsidRDefault="00047C93" w:rsidP="00047C93"/>
    <w:p w:rsidR="00C35CA1" w:rsidRDefault="00C35CA1"/>
    <w:sectPr w:rsidR="00C35CA1" w:rsidSect="000C611B">
      <w:headerReference w:type="default" r:id="rId7"/>
      <w:footerReference w:type="even" r:id="rId8"/>
      <w:footerReference w:type="default" r:id="rId9"/>
      <w:pgSz w:w="12242" w:h="18722" w:code="121"/>
      <w:pgMar w:top="1418"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786" w:rsidRDefault="00677786" w:rsidP="00047C93">
      <w:r>
        <w:separator/>
      </w:r>
    </w:p>
  </w:endnote>
  <w:endnote w:type="continuationSeparator" w:id="0">
    <w:p w:rsidR="00677786" w:rsidRDefault="00677786" w:rsidP="0004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89" w:rsidRDefault="00595DD4" w:rsidP="000C61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20989" w:rsidRDefault="00677786" w:rsidP="000C611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89" w:rsidRDefault="00595DD4" w:rsidP="000C61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21B07">
      <w:rPr>
        <w:rStyle w:val="Nmerodepgina"/>
        <w:noProof/>
      </w:rPr>
      <w:t>7</w:t>
    </w:r>
    <w:r>
      <w:rPr>
        <w:rStyle w:val="Nmerodepgina"/>
      </w:rPr>
      <w:fldChar w:fldCharType="end"/>
    </w:r>
  </w:p>
  <w:p w:rsidR="00320989" w:rsidRDefault="00677786" w:rsidP="000C611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786" w:rsidRDefault="00677786" w:rsidP="00047C93">
      <w:r>
        <w:separator/>
      </w:r>
    </w:p>
  </w:footnote>
  <w:footnote w:type="continuationSeparator" w:id="0">
    <w:p w:rsidR="00677786" w:rsidRDefault="00677786" w:rsidP="00047C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989" w:rsidRPr="00047C93" w:rsidRDefault="00595DD4" w:rsidP="000C611B">
    <w:pPr>
      <w:jc w:val="both"/>
      <w:rPr>
        <w:rFonts w:ascii="Arial Narrow" w:hAnsi="Arial Narrow" w:cs="Arial"/>
        <w:bCs/>
        <w:sz w:val="18"/>
        <w:szCs w:val="18"/>
      </w:rPr>
    </w:pPr>
    <w:r w:rsidRPr="00047C93">
      <w:rPr>
        <w:rFonts w:ascii="Arial Narrow" w:hAnsi="Arial Narrow" w:cs="Arial"/>
        <w:bCs/>
        <w:sz w:val="18"/>
        <w:szCs w:val="18"/>
      </w:rPr>
      <w:t>Radicación No: 66001-31-05-00</w:t>
    </w:r>
    <w:r w:rsidR="00047C93" w:rsidRPr="00047C93">
      <w:rPr>
        <w:rFonts w:ascii="Arial Narrow" w:hAnsi="Arial Narrow" w:cs="Arial"/>
        <w:bCs/>
        <w:sz w:val="18"/>
        <w:szCs w:val="18"/>
      </w:rPr>
      <w:t>1-2014-00056-01</w:t>
    </w:r>
  </w:p>
  <w:p w:rsidR="00320989" w:rsidRPr="00047C93" w:rsidRDefault="00047C93" w:rsidP="000C611B">
    <w:pPr>
      <w:jc w:val="both"/>
      <w:rPr>
        <w:rFonts w:ascii="Arial Narrow" w:hAnsi="Arial Narrow" w:cs="Arial"/>
        <w:bCs/>
        <w:iCs/>
        <w:sz w:val="18"/>
        <w:szCs w:val="18"/>
      </w:rPr>
    </w:pPr>
    <w:r w:rsidRPr="00047C93">
      <w:rPr>
        <w:rFonts w:ascii="Arial Narrow" w:hAnsi="Arial Narrow" w:cs="Arial"/>
        <w:bCs/>
        <w:sz w:val="18"/>
        <w:szCs w:val="18"/>
      </w:rPr>
      <w:t xml:space="preserve">María </w:t>
    </w:r>
    <w:proofErr w:type="spellStart"/>
    <w:r w:rsidRPr="00047C93">
      <w:rPr>
        <w:rFonts w:ascii="Arial Narrow" w:hAnsi="Arial Narrow" w:cs="Arial"/>
        <w:bCs/>
        <w:sz w:val="18"/>
        <w:szCs w:val="18"/>
      </w:rPr>
      <w:t>Cenelia</w:t>
    </w:r>
    <w:proofErr w:type="spellEnd"/>
    <w:r w:rsidRPr="00047C93">
      <w:rPr>
        <w:rFonts w:ascii="Arial Narrow" w:hAnsi="Arial Narrow" w:cs="Arial"/>
        <w:bCs/>
        <w:sz w:val="18"/>
        <w:szCs w:val="18"/>
      </w:rPr>
      <w:t xml:space="preserve"> Zuluaga Palacio</w:t>
    </w:r>
    <w:r w:rsidR="00595DD4" w:rsidRPr="00047C93">
      <w:rPr>
        <w:rFonts w:ascii="Arial Narrow" w:hAnsi="Arial Narrow" w:cs="Arial"/>
        <w:bCs/>
        <w:sz w:val="18"/>
        <w:szCs w:val="18"/>
      </w:rPr>
      <w:t xml:space="preserve"> vs </w:t>
    </w:r>
    <w:proofErr w:type="spellStart"/>
    <w:r w:rsidR="00595DD4" w:rsidRPr="00047C93">
      <w:rPr>
        <w:rFonts w:ascii="Arial Narrow" w:hAnsi="Arial Narrow" w:cs="Arial"/>
        <w:bCs/>
        <w:sz w:val="18"/>
        <w:szCs w:val="18"/>
      </w:rPr>
      <w:t>Colpensiones</w:t>
    </w:r>
    <w:proofErr w:type="spellEnd"/>
    <w:r w:rsidR="00595DD4" w:rsidRPr="00047C93">
      <w:rPr>
        <w:rFonts w:ascii="Arial Narrow" w:hAnsi="Arial Narrow" w:cs="Arial"/>
        <w:bCs/>
        <w:sz w:val="18"/>
        <w:szCs w:val="18"/>
      </w:rPr>
      <w:t xml:space="preserve"> y </w:t>
    </w:r>
    <w:r w:rsidRPr="00047C93">
      <w:rPr>
        <w:rFonts w:ascii="Arial Narrow" w:hAnsi="Arial Narrow" w:cs="Arial"/>
        <w:bCs/>
        <w:sz w:val="18"/>
        <w:szCs w:val="18"/>
      </w:rPr>
      <w:t xml:space="preserve">Protección </w:t>
    </w:r>
    <w:r w:rsidR="00595DD4" w:rsidRPr="00047C93">
      <w:rPr>
        <w:rFonts w:ascii="Arial Narrow" w:hAnsi="Arial Narrow" w:cs="Arial"/>
        <w:bCs/>
        <w:sz w:val="18"/>
        <w:szCs w:val="18"/>
      </w:rPr>
      <w:t>S.A.</w:t>
    </w:r>
  </w:p>
  <w:p w:rsidR="00320989" w:rsidRPr="00047C93" w:rsidRDefault="00677786">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C0368"/>
    <w:multiLevelType w:val="hybridMultilevel"/>
    <w:tmpl w:val="3EBE685C"/>
    <w:lvl w:ilvl="0" w:tplc="E6BC6160">
      <w:start w:val="1"/>
      <w:numFmt w:val="lowerRoman"/>
      <w:lvlText w:val="(%1)"/>
      <w:lvlJc w:val="left"/>
      <w:pPr>
        <w:tabs>
          <w:tab w:val="num" w:pos="1334"/>
        </w:tabs>
        <w:ind w:left="1334" w:hanging="1050"/>
      </w:pPr>
      <w:rPr>
        <w:rFonts w:hint="default"/>
      </w:rPr>
    </w:lvl>
    <w:lvl w:ilvl="1" w:tplc="4E8A6660">
      <w:start w:val="7"/>
      <w:numFmt w:val="decimal"/>
      <w:lvlText w:val="%2-"/>
      <w:lvlJc w:val="left"/>
      <w:pPr>
        <w:tabs>
          <w:tab w:val="num" w:pos="1364"/>
        </w:tabs>
        <w:ind w:left="1364" w:hanging="360"/>
      </w:pPr>
      <w:rPr>
        <w:rFonts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
    <w:nsid w:val="54F04B83"/>
    <w:multiLevelType w:val="hybridMultilevel"/>
    <w:tmpl w:val="4D60D242"/>
    <w:lvl w:ilvl="0" w:tplc="9C10BF80">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93"/>
    <w:rsid w:val="0001580F"/>
    <w:rsid w:val="0003728C"/>
    <w:rsid w:val="00047C93"/>
    <w:rsid w:val="000767BE"/>
    <w:rsid w:val="000844B2"/>
    <w:rsid w:val="00093511"/>
    <w:rsid w:val="000E2215"/>
    <w:rsid w:val="000F5EA4"/>
    <w:rsid w:val="001641A3"/>
    <w:rsid w:val="001B32BB"/>
    <w:rsid w:val="002462DE"/>
    <w:rsid w:val="00266979"/>
    <w:rsid w:val="00271845"/>
    <w:rsid w:val="002970D4"/>
    <w:rsid w:val="002A5552"/>
    <w:rsid w:val="002B4992"/>
    <w:rsid w:val="002B4C82"/>
    <w:rsid w:val="002C3BD0"/>
    <w:rsid w:val="002E5168"/>
    <w:rsid w:val="00322214"/>
    <w:rsid w:val="0037224F"/>
    <w:rsid w:val="003D04D3"/>
    <w:rsid w:val="003E092C"/>
    <w:rsid w:val="00401E99"/>
    <w:rsid w:val="004C1509"/>
    <w:rsid w:val="00501F03"/>
    <w:rsid w:val="0052227F"/>
    <w:rsid w:val="00531E9B"/>
    <w:rsid w:val="00595DD4"/>
    <w:rsid w:val="005A6347"/>
    <w:rsid w:val="005B3D68"/>
    <w:rsid w:val="005C712A"/>
    <w:rsid w:val="005E0FDC"/>
    <w:rsid w:val="00607FA6"/>
    <w:rsid w:val="0061236C"/>
    <w:rsid w:val="006158C6"/>
    <w:rsid w:val="00634AF4"/>
    <w:rsid w:val="00646AC4"/>
    <w:rsid w:val="006755B1"/>
    <w:rsid w:val="00677786"/>
    <w:rsid w:val="006910C0"/>
    <w:rsid w:val="0069161E"/>
    <w:rsid w:val="006C31E1"/>
    <w:rsid w:val="006E1E87"/>
    <w:rsid w:val="006F02B0"/>
    <w:rsid w:val="00704C53"/>
    <w:rsid w:val="00792FD6"/>
    <w:rsid w:val="00795866"/>
    <w:rsid w:val="007F345C"/>
    <w:rsid w:val="00814151"/>
    <w:rsid w:val="008A0712"/>
    <w:rsid w:val="008E0F2B"/>
    <w:rsid w:val="00936637"/>
    <w:rsid w:val="0098334E"/>
    <w:rsid w:val="00A01FEE"/>
    <w:rsid w:val="00A157F5"/>
    <w:rsid w:val="00AE6F04"/>
    <w:rsid w:val="00B37353"/>
    <w:rsid w:val="00B402CA"/>
    <w:rsid w:val="00B85A86"/>
    <w:rsid w:val="00BC2D49"/>
    <w:rsid w:val="00BC3EA5"/>
    <w:rsid w:val="00BE7032"/>
    <w:rsid w:val="00C03C58"/>
    <w:rsid w:val="00C35CA1"/>
    <w:rsid w:val="00C45484"/>
    <w:rsid w:val="00C720E7"/>
    <w:rsid w:val="00C879AF"/>
    <w:rsid w:val="00CF379C"/>
    <w:rsid w:val="00CF5C68"/>
    <w:rsid w:val="00D16A02"/>
    <w:rsid w:val="00D77795"/>
    <w:rsid w:val="00DA2BC6"/>
    <w:rsid w:val="00DD182B"/>
    <w:rsid w:val="00E21B07"/>
    <w:rsid w:val="00E72072"/>
    <w:rsid w:val="00E736D6"/>
    <w:rsid w:val="00EA6F00"/>
    <w:rsid w:val="00EE7579"/>
    <w:rsid w:val="00F13FF3"/>
    <w:rsid w:val="00F14D72"/>
    <w:rsid w:val="00F24497"/>
    <w:rsid w:val="00F443B3"/>
    <w:rsid w:val="00F45FC1"/>
    <w:rsid w:val="00F96A9A"/>
    <w:rsid w:val="00F97C22"/>
    <w:rsid w:val="00FA50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4028057-78F9-4AC6-B988-E8F59107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93"/>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047C93"/>
    <w:pPr>
      <w:tabs>
        <w:tab w:val="center" w:pos="4252"/>
        <w:tab w:val="right" w:pos="8504"/>
      </w:tabs>
    </w:pPr>
  </w:style>
  <w:style w:type="character" w:customStyle="1" w:styleId="PiedepginaCar">
    <w:name w:val="Pie de página Car"/>
    <w:basedOn w:val="Fuentedeprrafopredeter"/>
    <w:link w:val="Piedepgina"/>
    <w:rsid w:val="00047C93"/>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047C93"/>
  </w:style>
  <w:style w:type="paragraph" w:styleId="Encabezado">
    <w:name w:val="header"/>
    <w:basedOn w:val="Normal"/>
    <w:link w:val="EncabezadoCar"/>
    <w:rsid w:val="00047C93"/>
    <w:pPr>
      <w:tabs>
        <w:tab w:val="center" w:pos="4252"/>
        <w:tab w:val="right" w:pos="8504"/>
      </w:tabs>
    </w:pPr>
  </w:style>
  <w:style w:type="character" w:customStyle="1" w:styleId="EncabezadoCar">
    <w:name w:val="Encabezado Car"/>
    <w:basedOn w:val="Fuentedeprrafopredeter"/>
    <w:link w:val="Encabezado"/>
    <w:rsid w:val="00047C93"/>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047C93"/>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047C93"/>
    <w:pPr>
      <w:ind w:left="708"/>
    </w:pPr>
  </w:style>
  <w:style w:type="paragraph" w:styleId="Sinespaciado">
    <w:name w:val="No Spacing"/>
    <w:link w:val="SinespaciadoCar"/>
    <w:uiPriority w:val="1"/>
    <w:qFormat/>
    <w:rsid w:val="00047C93"/>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047C93"/>
    <w:pPr>
      <w:spacing w:line="360" w:lineRule="auto"/>
      <w:jc w:val="both"/>
    </w:pPr>
    <w:rPr>
      <w:rFonts w:ascii="Arial" w:hAnsi="Arial"/>
      <w:sz w:val="28"/>
    </w:rPr>
  </w:style>
  <w:style w:type="paragraph" w:styleId="Textoindependiente">
    <w:name w:val="Body Text"/>
    <w:basedOn w:val="Normal"/>
    <w:link w:val="TextoindependienteCar"/>
    <w:rsid w:val="00047C93"/>
    <w:pPr>
      <w:spacing w:line="360" w:lineRule="auto"/>
      <w:jc w:val="both"/>
    </w:pPr>
    <w:rPr>
      <w:rFonts w:ascii="Tahoma" w:hAnsi="Tahoma" w:cs="Tahoma"/>
      <w:szCs w:val="24"/>
      <w:lang w:val="es-ES"/>
    </w:rPr>
  </w:style>
  <w:style w:type="character" w:customStyle="1" w:styleId="TextoindependienteCar">
    <w:name w:val="Texto independiente Car"/>
    <w:basedOn w:val="Fuentedeprrafopredeter"/>
    <w:link w:val="Textoindependiente"/>
    <w:rsid w:val="00047C93"/>
    <w:rPr>
      <w:rFonts w:ascii="Tahoma" w:eastAsia="Times New Roman" w:hAnsi="Tahoma" w:cs="Tahoma"/>
      <w:sz w:val="24"/>
      <w:szCs w:val="24"/>
      <w:lang w:eastAsia="es-ES"/>
    </w:rPr>
  </w:style>
  <w:style w:type="character" w:customStyle="1" w:styleId="SinespaciadoCar">
    <w:name w:val="Sin espaciado Car"/>
    <w:link w:val="Sinespaciado"/>
    <w:uiPriority w:val="1"/>
    <w:locked/>
    <w:rsid w:val="00E21B07"/>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2379</Words>
  <Characters>13085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cp:revision>
  <dcterms:created xsi:type="dcterms:W3CDTF">2016-11-08T18:39:00Z</dcterms:created>
  <dcterms:modified xsi:type="dcterms:W3CDTF">2017-02-28T13:23:00Z</dcterms:modified>
</cp:coreProperties>
</file>