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E9" w:rsidRPr="00760671" w:rsidRDefault="00881AE9" w:rsidP="00881AE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81AE9" w:rsidRDefault="00881AE9" w:rsidP="00881AE9">
      <w:pPr>
        <w:pStyle w:val="Sinespaciado"/>
        <w:jc w:val="both"/>
        <w:rPr>
          <w:rFonts w:asciiTheme="minorHAnsi" w:hAnsiTheme="minorHAnsi"/>
          <w:sz w:val="18"/>
          <w:szCs w:val="18"/>
        </w:rPr>
      </w:pPr>
    </w:p>
    <w:p w:rsidR="003B0C5B" w:rsidRPr="00C42844" w:rsidRDefault="003B0C5B" w:rsidP="003B0C5B">
      <w:pPr>
        <w:spacing w:line="360" w:lineRule="auto"/>
        <w:jc w:val="both"/>
        <w:rPr>
          <w:rFonts w:ascii="Arial Narrow" w:hAnsi="Arial Narrow" w:cs="Arial"/>
          <w:bCs/>
          <w:i/>
          <w:iCs/>
          <w:sz w:val="36"/>
          <w:szCs w:val="36"/>
          <w:u w:val="single"/>
        </w:rPr>
      </w:pPr>
      <w:bookmarkStart w:id="0" w:name="_GoBack"/>
      <w:bookmarkEnd w:id="0"/>
      <w:r w:rsidRPr="00C42844">
        <w:rPr>
          <w:rFonts w:ascii="Arial Narrow" w:hAnsi="Arial Narrow" w:cs="Arial"/>
          <w:bCs/>
          <w:i/>
          <w:iCs/>
          <w:sz w:val="36"/>
          <w:szCs w:val="36"/>
          <w:u w:val="single"/>
        </w:rPr>
        <w:t>ORALIDAD</w:t>
      </w:r>
    </w:p>
    <w:p w:rsidR="003B0C5B" w:rsidRPr="00C42844" w:rsidRDefault="003B0C5B" w:rsidP="003B0C5B">
      <w:pPr>
        <w:jc w:val="both"/>
        <w:rPr>
          <w:rFonts w:ascii="Arial Narrow" w:hAnsi="Arial Narrow" w:cs="Arial"/>
          <w:sz w:val="18"/>
          <w:szCs w:val="18"/>
        </w:rPr>
      </w:pPr>
      <w:r w:rsidRPr="00C42844">
        <w:rPr>
          <w:rFonts w:ascii="Arial Narrow" w:hAnsi="Arial Narrow" w:cs="Arial"/>
          <w:sz w:val="18"/>
          <w:szCs w:val="18"/>
        </w:rPr>
        <w:t>Providencia:</w:t>
      </w:r>
      <w:r w:rsidRPr="00C42844">
        <w:rPr>
          <w:rFonts w:ascii="Arial Narrow" w:hAnsi="Arial Narrow" w:cs="Arial"/>
          <w:sz w:val="18"/>
          <w:szCs w:val="18"/>
        </w:rPr>
        <w:tab/>
      </w:r>
      <w:r w:rsidRPr="00C42844">
        <w:rPr>
          <w:rFonts w:ascii="Arial Narrow" w:hAnsi="Arial Narrow" w:cs="Arial"/>
          <w:sz w:val="18"/>
          <w:szCs w:val="18"/>
        </w:rPr>
        <w:tab/>
        <w:t xml:space="preserve">Sentencia de Segunda Instancia, jueves </w:t>
      </w:r>
      <w:r w:rsidR="006F61CD">
        <w:rPr>
          <w:rFonts w:ascii="Arial Narrow" w:hAnsi="Arial Narrow" w:cs="Arial"/>
          <w:sz w:val="18"/>
          <w:szCs w:val="18"/>
        </w:rPr>
        <w:t xml:space="preserve">17 de noviembre </w:t>
      </w:r>
      <w:r w:rsidRPr="00C42844">
        <w:rPr>
          <w:rFonts w:ascii="Arial Narrow" w:hAnsi="Arial Narrow" w:cs="Arial"/>
          <w:sz w:val="18"/>
          <w:szCs w:val="18"/>
        </w:rPr>
        <w:t>de 2016.</w:t>
      </w:r>
    </w:p>
    <w:p w:rsidR="003B0C5B" w:rsidRPr="00C42844" w:rsidRDefault="003B0C5B" w:rsidP="003B0C5B">
      <w:pPr>
        <w:jc w:val="both"/>
        <w:rPr>
          <w:rFonts w:ascii="Arial Narrow" w:hAnsi="Arial Narrow" w:cs="Arial"/>
          <w:bCs/>
          <w:iCs/>
          <w:sz w:val="18"/>
          <w:szCs w:val="18"/>
        </w:rPr>
      </w:pPr>
      <w:r w:rsidRPr="00C42844">
        <w:rPr>
          <w:rFonts w:ascii="Arial Narrow" w:hAnsi="Arial Narrow" w:cs="Arial"/>
          <w:bCs/>
          <w:sz w:val="18"/>
          <w:szCs w:val="18"/>
        </w:rPr>
        <w:t>Radicación No:</w:t>
      </w:r>
      <w:r w:rsidRPr="00C42844">
        <w:rPr>
          <w:rFonts w:ascii="Arial Narrow" w:hAnsi="Arial Narrow" w:cs="Arial"/>
          <w:bCs/>
          <w:sz w:val="18"/>
          <w:szCs w:val="18"/>
        </w:rPr>
        <w:tab/>
      </w:r>
      <w:r w:rsidRPr="00C42844">
        <w:rPr>
          <w:rFonts w:ascii="Arial Narrow" w:hAnsi="Arial Narrow" w:cs="Arial"/>
          <w:bCs/>
          <w:sz w:val="18"/>
          <w:szCs w:val="18"/>
        </w:rPr>
        <w:tab/>
        <w:t>66001-31-05-004-2014-00597-01</w:t>
      </w:r>
    </w:p>
    <w:p w:rsidR="003B0C5B" w:rsidRPr="00C42844" w:rsidRDefault="003B0C5B" w:rsidP="003B0C5B">
      <w:pPr>
        <w:jc w:val="both"/>
        <w:rPr>
          <w:rFonts w:ascii="Arial Narrow" w:hAnsi="Arial Narrow" w:cs="Arial"/>
          <w:iCs/>
          <w:sz w:val="18"/>
          <w:szCs w:val="18"/>
        </w:rPr>
      </w:pPr>
      <w:r w:rsidRPr="00C42844">
        <w:rPr>
          <w:rFonts w:ascii="Arial Narrow" w:hAnsi="Arial Narrow" w:cs="Arial"/>
          <w:bCs/>
          <w:iCs/>
          <w:sz w:val="18"/>
          <w:szCs w:val="18"/>
        </w:rPr>
        <w:t>Proceso:</w:t>
      </w:r>
      <w:r w:rsidRPr="00C42844">
        <w:rPr>
          <w:rFonts w:ascii="Arial Narrow" w:hAnsi="Arial Narrow" w:cs="Arial"/>
          <w:iCs/>
          <w:sz w:val="18"/>
          <w:szCs w:val="18"/>
        </w:rPr>
        <w:tab/>
      </w:r>
      <w:r w:rsidRPr="00C42844">
        <w:rPr>
          <w:rFonts w:ascii="Arial Narrow" w:hAnsi="Arial Narrow" w:cs="Arial"/>
          <w:iCs/>
          <w:sz w:val="18"/>
          <w:szCs w:val="18"/>
        </w:rPr>
        <w:tab/>
      </w:r>
      <w:r w:rsidRPr="00C42844">
        <w:rPr>
          <w:rFonts w:ascii="Arial Narrow" w:hAnsi="Arial Narrow" w:cs="Arial"/>
          <w:iCs/>
          <w:sz w:val="18"/>
          <w:szCs w:val="18"/>
        </w:rPr>
        <w:tab/>
        <w:t>Ordinario Laboral.</w:t>
      </w:r>
    </w:p>
    <w:p w:rsidR="003B0C5B" w:rsidRPr="00C42844" w:rsidRDefault="003B0C5B" w:rsidP="003B0C5B">
      <w:pPr>
        <w:ind w:firstLine="6"/>
        <w:jc w:val="both"/>
        <w:rPr>
          <w:rFonts w:ascii="Arial Narrow" w:hAnsi="Arial Narrow" w:cs="Arial"/>
          <w:iCs/>
          <w:sz w:val="18"/>
          <w:szCs w:val="18"/>
        </w:rPr>
      </w:pPr>
      <w:r w:rsidRPr="00C42844">
        <w:rPr>
          <w:rFonts w:ascii="Arial Narrow" w:hAnsi="Arial Narrow" w:cs="Arial"/>
          <w:iCs/>
          <w:sz w:val="18"/>
          <w:szCs w:val="18"/>
        </w:rPr>
        <w:t xml:space="preserve">Demandante:     </w:t>
      </w:r>
      <w:r w:rsidRPr="00C42844">
        <w:rPr>
          <w:rFonts w:ascii="Arial Narrow" w:hAnsi="Arial Narrow" w:cs="Arial"/>
          <w:iCs/>
          <w:sz w:val="18"/>
          <w:szCs w:val="18"/>
        </w:rPr>
        <w:tab/>
      </w:r>
      <w:r w:rsidRPr="00C42844">
        <w:rPr>
          <w:rFonts w:ascii="Arial Narrow" w:hAnsi="Arial Narrow" w:cs="Arial"/>
          <w:iCs/>
          <w:sz w:val="18"/>
          <w:szCs w:val="18"/>
        </w:rPr>
        <w:tab/>
        <w:t xml:space="preserve">María </w:t>
      </w:r>
      <w:proofErr w:type="spellStart"/>
      <w:r w:rsidRPr="00C42844">
        <w:rPr>
          <w:rFonts w:ascii="Arial Narrow" w:hAnsi="Arial Narrow" w:cs="Arial"/>
          <w:iCs/>
          <w:sz w:val="18"/>
          <w:szCs w:val="18"/>
        </w:rPr>
        <w:t>Orfelina</w:t>
      </w:r>
      <w:proofErr w:type="spellEnd"/>
      <w:r w:rsidRPr="00C42844">
        <w:rPr>
          <w:rFonts w:ascii="Arial Narrow" w:hAnsi="Arial Narrow" w:cs="Arial"/>
          <w:iCs/>
          <w:sz w:val="18"/>
          <w:szCs w:val="18"/>
        </w:rPr>
        <w:t xml:space="preserve"> Toro </w:t>
      </w:r>
      <w:proofErr w:type="spellStart"/>
      <w:r w:rsidRPr="00C42844">
        <w:rPr>
          <w:rFonts w:ascii="Arial Narrow" w:hAnsi="Arial Narrow" w:cs="Arial"/>
          <w:iCs/>
          <w:sz w:val="18"/>
          <w:szCs w:val="18"/>
        </w:rPr>
        <w:t>Amezquita</w:t>
      </w:r>
      <w:proofErr w:type="spellEnd"/>
      <w:r w:rsidRPr="00C42844">
        <w:rPr>
          <w:rFonts w:ascii="Arial Narrow" w:hAnsi="Arial Narrow" w:cs="Arial"/>
          <w:iCs/>
          <w:sz w:val="18"/>
          <w:szCs w:val="18"/>
        </w:rPr>
        <w:t xml:space="preserve">     </w:t>
      </w:r>
    </w:p>
    <w:p w:rsidR="003B0C5B" w:rsidRPr="00C42844" w:rsidRDefault="003B0C5B" w:rsidP="003B0C5B">
      <w:pPr>
        <w:ind w:firstLine="6"/>
        <w:jc w:val="both"/>
        <w:rPr>
          <w:rFonts w:ascii="Arial Narrow" w:hAnsi="Arial Narrow" w:cs="Arial"/>
          <w:bCs/>
          <w:sz w:val="18"/>
          <w:szCs w:val="18"/>
        </w:rPr>
      </w:pPr>
      <w:r w:rsidRPr="00C42844">
        <w:rPr>
          <w:rFonts w:ascii="Arial Narrow" w:hAnsi="Arial Narrow" w:cs="Arial"/>
          <w:bCs/>
          <w:sz w:val="18"/>
          <w:szCs w:val="18"/>
        </w:rPr>
        <w:t>Demandado:</w:t>
      </w:r>
      <w:r w:rsidRPr="00C42844">
        <w:rPr>
          <w:rFonts w:ascii="Arial Narrow" w:hAnsi="Arial Narrow" w:cs="Arial"/>
          <w:bCs/>
          <w:sz w:val="18"/>
          <w:szCs w:val="18"/>
        </w:rPr>
        <w:tab/>
      </w:r>
      <w:r w:rsidRPr="00C42844">
        <w:rPr>
          <w:rFonts w:ascii="Arial Narrow" w:hAnsi="Arial Narrow" w:cs="Arial"/>
          <w:bCs/>
          <w:sz w:val="18"/>
          <w:szCs w:val="18"/>
        </w:rPr>
        <w:tab/>
        <w:t xml:space="preserve">Administradora Colombiana de Pensiones </w:t>
      </w:r>
      <w:proofErr w:type="spellStart"/>
      <w:r w:rsidRPr="00C42844">
        <w:rPr>
          <w:rFonts w:ascii="Arial Narrow" w:hAnsi="Arial Narrow" w:cs="Arial"/>
          <w:bCs/>
          <w:sz w:val="18"/>
          <w:szCs w:val="18"/>
        </w:rPr>
        <w:t>Colpensiones</w:t>
      </w:r>
      <w:proofErr w:type="spellEnd"/>
    </w:p>
    <w:p w:rsidR="003B0C5B" w:rsidRPr="00C42844" w:rsidRDefault="003B0C5B" w:rsidP="003B0C5B">
      <w:pPr>
        <w:ind w:firstLine="6"/>
        <w:jc w:val="both"/>
        <w:rPr>
          <w:rFonts w:ascii="Arial Narrow" w:hAnsi="Arial Narrow" w:cs="Arial"/>
          <w:sz w:val="18"/>
          <w:szCs w:val="18"/>
        </w:rPr>
      </w:pPr>
      <w:r w:rsidRPr="00C42844">
        <w:rPr>
          <w:rFonts w:ascii="Arial Narrow" w:hAnsi="Arial Narrow" w:cs="Arial"/>
          <w:sz w:val="18"/>
          <w:szCs w:val="18"/>
        </w:rPr>
        <w:t xml:space="preserve">Juzgado de origen:     </w:t>
      </w:r>
      <w:r w:rsidRPr="00C42844">
        <w:rPr>
          <w:rFonts w:ascii="Arial Narrow" w:hAnsi="Arial Narrow" w:cs="Arial"/>
          <w:sz w:val="18"/>
          <w:szCs w:val="18"/>
        </w:rPr>
        <w:tab/>
        <w:t>Cuarto Laboral del Circuito de Pereira.</w:t>
      </w:r>
    </w:p>
    <w:p w:rsidR="003B0C5B" w:rsidRPr="00C42844" w:rsidRDefault="003B0C5B" w:rsidP="003B0C5B">
      <w:pPr>
        <w:jc w:val="both"/>
        <w:rPr>
          <w:rFonts w:ascii="Arial Narrow" w:hAnsi="Arial Narrow" w:cs="Arial"/>
          <w:iCs/>
          <w:sz w:val="18"/>
          <w:szCs w:val="18"/>
        </w:rPr>
      </w:pPr>
      <w:r w:rsidRPr="00C42844">
        <w:rPr>
          <w:rFonts w:ascii="Arial Narrow" w:hAnsi="Arial Narrow" w:cs="Arial"/>
          <w:iCs/>
          <w:sz w:val="18"/>
          <w:szCs w:val="18"/>
        </w:rPr>
        <w:t xml:space="preserve">Magistrado Ponente:     </w:t>
      </w:r>
      <w:r w:rsidRPr="00C42844">
        <w:rPr>
          <w:rFonts w:ascii="Arial Narrow" w:hAnsi="Arial Narrow" w:cs="Arial"/>
          <w:iCs/>
          <w:sz w:val="18"/>
          <w:szCs w:val="18"/>
        </w:rPr>
        <w:tab/>
        <w:t>Francisco Javier Tamayo Tabares.</w:t>
      </w:r>
    </w:p>
    <w:p w:rsidR="003B0C5B" w:rsidRPr="0010695A" w:rsidRDefault="003B0C5B" w:rsidP="003B0C5B">
      <w:pPr>
        <w:ind w:left="2127" w:hanging="2127"/>
        <w:jc w:val="both"/>
        <w:rPr>
          <w:rFonts w:ascii="Arial Narrow" w:hAnsi="Arial Narrow" w:cs="Arial"/>
          <w:bCs/>
          <w:iCs/>
          <w:sz w:val="18"/>
          <w:szCs w:val="18"/>
        </w:rPr>
      </w:pPr>
      <w:r w:rsidRPr="00C42844">
        <w:rPr>
          <w:rFonts w:ascii="Arial Narrow" w:hAnsi="Arial Narrow" w:cs="Arial"/>
          <w:bCs/>
          <w:sz w:val="18"/>
          <w:szCs w:val="18"/>
        </w:rPr>
        <w:t>Tema a tratar:</w:t>
      </w:r>
      <w:r w:rsidRPr="00206E54">
        <w:rPr>
          <w:rFonts w:ascii="Arial Narrow" w:hAnsi="Arial Narrow" w:cs="Arial"/>
          <w:b/>
          <w:bCs/>
          <w:sz w:val="18"/>
          <w:szCs w:val="18"/>
        </w:rPr>
        <w:t xml:space="preserve"> </w:t>
      </w:r>
      <w:r w:rsidRPr="00206E54">
        <w:rPr>
          <w:rFonts w:ascii="Arial Narrow" w:hAnsi="Arial Narrow" w:cs="Arial"/>
          <w:b/>
          <w:bCs/>
          <w:sz w:val="18"/>
          <w:szCs w:val="18"/>
        </w:rPr>
        <w:tab/>
      </w:r>
      <w:r w:rsidRPr="00351259">
        <w:rPr>
          <w:rFonts w:ascii="Arial Narrow" w:hAnsi="Arial Narrow"/>
          <w:b/>
          <w:sz w:val="16"/>
          <w:szCs w:val="16"/>
          <w:lang w:eastAsia="es-CO"/>
        </w:rPr>
        <w:t xml:space="preserve"> </w:t>
      </w:r>
      <w:r w:rsidRPr="00351259">
        <w:rPr>
          <w:rFonts w:ascii="Arial Narrow" w:hAnsi="Arial Narrow" w:cs="Arial"/>
          <w:b/>
          <w:bCs/>
          <w:sz w:val="18"/>
          <w:szCs w:val="18"/>
        </w:rPr>
        <w:t>Pensión de invalidez después de la edad mínima para la pensión de vejez</w:t>
      </w:r>
      <w:r w:rsidRPr="00351259">
        <w:rPr>
          <w:rFonts w:ascii="Arial Narrow" w:hAnsi="Arial Narrow" w:cs="Arial"/>
          <w:b/>
          <w:bCs/>
          <w:iCs/>
          <w:sz w:val="18"/>
          <w:szCs w:val="18"/>
          <w:lang w:val="es-ES"/>
        </w:rPr>
        <w:t>:</w:t>
      </w:r>
      <w:r w:rsidRPr="0010695A">
        <w:rPr>
          <w:rFonts w:ascii="Arial Narrow" w:hAnsi="Arial Narrow" w:cs="Arial"/>
          <w:b/>
          <w:bCs/>
          <w:iCs/>
          <w:sz w:val="18"/>
          <w:szCs w:val="18"/>
          <w:lang w:val="es-ES"/>
        </w:rPr>
        <w:t xml:space="preserve"> </w:t>
      </w:r>
      <w:r w:rsidRPr="0010695A">
        <w:rPr>
          <w:rFonts w:ascii="Arial Narrow" w:hAnsi="Arial Narrow" w:cs="Arial"/>
          <w:bCs/>
          <w:iCs/>
          <w:sz w:val="18"/>
          <w:szCs w:val="18"/>
          <w:lang w:val="es-ES"/>
        </w:rPr>
        <w:t>[Llegada la edad mínima de pensión de vejez]</w:t>
      </w:r>
      <w:r w:rsidRPr="0010695A">
        <w:rPr>
          <w:rFonts w:ascii="Arial Narrow" w:hAnsi="Arial Narrow" w:cs="Arial"/>
          <w:b/>
          <w:bCs/>
          <w:iCs/>
          <w:sz w:val="18"/>
          <w:szCs w:val="18"/>
          <w:lang w:val="es-ES"/>
        </w:rPr>
        <w:t xml:space="preserve"> </w:t>
      </w:r>
      <w:r w:rsidRPr="0010695A">
        <w:rPr>
          <w:rFonts w:ascii="Arial Narrow" w:hAnsi="Arial Narrow" w:cs="Arial"/>
          <w:bCs/>
          <w:iCs/>
          <w:sz w:val="18"/>
          <w:szCs w:val="18"/>
        </w:rPr>
        <w:t xml:space="preserve">se ubica por fuera del alcance de la </w:t>
      </w:r>
      <w:proofErr w:type="spellStart"/>
      <w:r w:rsidRPr="0010695A">
        <w:rPr>
          <w:rFonts w:ascii="Arial Narrow" w:hAnsi="Arial Narrow" w:cs="Arial"/>
          <w:bCs/>
          <w:iCs/>
          <w:sz w:val="18"/>
          <w:szCs w:val="18"/>
        </w:rPr>
        <w:t>asegurabilidad</w:t>
      </w:r>
      <w:proofErr w:type="spellEnd"/>
      <w:r w:rsidRPr="0010695A">
        <w:rPr>
          <w:rFonts w:ascii="Arial Narrow" w:hAnsi="Arial Narrow" w:cs="Arial"/>
          <w:bCs/>
          <w:iCs/>
          <w:sz w:val="18"/>
          <w:szCs w:val="18"/>
        </w:rPr>
        <w:t xml:space="preserve"> de la prestación, puesto que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 </w:t>
      </w:r>
    </w:p>
    <w:p w:rsidR="003B0C5B" w:rsidRPr="00C42844" w:rsidRDefault="003B0C5B" w:rsidP="003B0C5B">
      <w:pPr>
        <w:pStyle w:val="Sinespaciado"/>
        <w:spacing w:line="360" w:lineRule="auto"/>
      </w:pPr>
    </w:p>
    <w:p w:rsidR="003B0C5B" w:rsidRPr="00214821" w:rsidRDefault="003B0C5B" w:rsidP="003B0C5B">
      <w:pPr>
        <w:ind w:left="2127" w:hanging="1419"/>
        <w:jc w:val="both"/>
        <w:rPr>
          <w:rFonts w:ascii="Arial Narrow" w:hAnsi="Arial Narrow" w:cs="Arial"/>
          <w:sz w:val="28"/>
          <w:szCs w:val="28"/>
        </w:rPr>
      </w:pPr>
      <w:r w:rsidRPr="00214821">
        <w:rPr>
          <w:rFonts w:ascii="Arial Narrow" w:hAnsi="Arial Narrow" w:cs="Arial"/>
          <w:sz w:val="28"/>
          <w:szCs w:val="28"/>
          <w:u w:val="single"/>
        </w:rPr>
        <w:t>AUDIENCIA PÚBLICA</w:t>
      </w:r>
      <w:r w:rsidRPr="00214821">
        <w:rPr>
          <w:rFonts w:ascii="Arial Narrow" w:hAnsi="Arial Narrow" w:cs="Arial"/>
          <w:sz w:val="28"/>
          <w:szCs w:val="28"/>
        </w:rPr>
        <w:t>:</w:t>
      </w:r>
    </w:p>
    <w:p w:rsidR="003B0C5B" w:rsidRPr="00214821" w:rsidRDefault="003B0C5B" w:rsidP="003B0C5B">
      <w:pPr>
        <w:pStyle w:val="Sinespaciado"/>
      </w:pPr>
    </w:p>
    <w:p w:rsidR="003B0C5B" w:rsidRPr="00214821" w:rsidRDefault="003B0C5B" w:rsidP="003B0C5B">
      <w:pPr>
        <w:spacing w:line="360" w:lineRule="auto"/>
        <w:ind w:firstLine="851"/>
        <w:jc w:val="both"/>
        <w:rPr>
          <w:rFonts w:ascii="Arial Narrow" w:hAnsi="Arial Narrow" w:cs="Arial"/>
          <w:bCs/>
          <w:i/>
          <w:sz w:val="28"/>
          <w:szCs w:val="28"/>
        </w:rPr>
      </w:pPr>
      <w:r w:rsidRPr="00214821">
        <w:rPr>
          <w:rFonts w:ascii="Arial Narrow" w:eastAsia="Calibri" w:hAnsi="Arial Narrow" w:cs="Arial"/>
          <w:sz w:val="28"/>
          <w:szCs w:val="28"/>
          <w:lang w:val="es-CO" w:eastAsia="en-US"/>
        </w:rPr>
        <w:t xml:space="preserve">En Pereira, hoy </w:t>
      </w:r>
      <w:r w:rsidR="006F61CD">
        <w:rPr>
          <w:rFonts w:ascii="Arial Narrow" w:eastAsia="Calibri" w:hAnsi="Arial Narrow" w:cs="Arial"/>
          <w:sz w:val="28"/>
          <w:szCs w:val="28"/>
          <w:lang w:val="es-CO" w:eastAsia="en-US"/>
        </w:rPr>
        <w:t>diecisiete (17) de noviembre d</w:t>
      </w:r>
      <w:r w:rsidRPr="00214821">
        <w:rPr>
          <w:rFonts w:ascii="Arial Narrow" w:eastAsia="Calibri" w:hAnsi="Arial Narrow" w:cs="Arial"/>
          <w:sz w:val="28"/>
          <w:szCs w:val="28"/>
          <w:lang w:val="es-CO" w:eastAsia="en-US"/>
        </w:rPr>
        <w:t xml:space="preserve">e dos mil dieciséis (2016), siendo las </w:t>
      </w:r>
      <w:r>
        <w:rPr>
          <w:rFonts w:ascii="Arial Narrow" w:eastAsia="Calibri" w:hAnsi="Arial Narrow" w:cs="Arial"/>
          <w:sz w:val="28"/>
          <w:szCs w:val="28"/>
          <w:lang w:val="es-CO" w:eastAsia="en-US"/>
        </w:rPr>
        <w:t xml:space="preserve"> </w:t>
      </w:r>
      <w:r w:rsidR="006F61CD">
        <w:rPr>
          <w:rFonts w:ascii="Arial Narrow" w:eastAsia="Calibri" w:hAnsi="Arial Narrow" w:cs="Arial"/>
          <w:sz w:val="28"/>
          <w:szCs w:val="28"/>
          <w:lang w:val="es-CO" w:eastAsia="en-US"/>
        </w:rPr>
        <w:t xml:space="preserve">diez y treinta de la mañana </w:t>
      </w:r>
      <w:r w:rsidRPr="00214821">
        <w:rPr>
          <w:rFonts w:ascii="Arial Narrow" w:eastAsia="Calibri" w:hAnsi="Arial Narrow" w:cs="Arial"/>
          <w:sz w:val="28"/>
          <w:szCs w:val="28"/>
          <w:lang w:val="es-CO" w:eastAsia="en-US"/>
        </w:rPr>
        <w:t>(</w:t>
      </w:r>
      <w:r w:rsidR="006F61CD">
        <w:rPr>
          <w:rFonts w:ascii="Arial Narrow" w:eastAsia="Calibri" w:hAnsi="Arial Narrow" w:cs="Arial"/>
          <w:sz w:val="28"/>
          <w:szCs w:val="28"/>
          <w:lang w:val="es-CO" w:eastAsia="en-US"/>
        </w:rPr>
        <w:t>10:30 a.m.</w:t>
      </w:r>
      <w:r w:rsidRPr="00214821">
        <w:rPr>
          <w:rFonts w:ascii="Arial Narrow" w:eastAsia="Calibri" w:hAnsi="Arial Narrow" w:cs="Arial"/>
          <w:sz w:val="28"/>
          <w:szCs w:val="28"/>
          <w:lang w:val="es-CO" w:eastAsia="en-US"/>
        </w:rPr>
        <w:t>) r</w:t>
      </w:r>
      <w:proofErr w:type="spellStart"/>
      <w:r w:rsidRPr="00214821">
        <w:rPr>
          <w:rFonts w:ascii="Arial Narrow" w:hAnsi="Arial Narrow" w:cs="Tahoma"/>
          <w:bCs/>
          <w:color w:val="000000"/>
          <w:sz w:val="28"/>
          <w:szCs w:val="28"/>
          <w:lang w:eastAsia="es-CO"/>
        </w:rPr>
        <w:t>eunidos</w:t>
      </w:r>
      <w:proofErr w:type="spellEnd"/>
      <w:r w:rsidRPr="00214821">
        <w:rPr>
          <w:rFonts w:ascii="Arial Narrow" w:hAnsi="Arial Narrow" w:cs="Tahoma"/>
          <w:bCs/>
          <w:color w:val="000000"/>
          <w:sz w:val="28"/>
          <w:szCs w:val="28"/>
          <w:lang w:eastAsia="es-CO"/>
        </w:rPr>
        <w:t xml:space="preserve"> en la Sala de Audiencia el magistrado y las magistradas de la Sala Laboral del Tribunal Superior de Pereira, el ponente declara abierto el acto, que tiene por objeto resolver el recurso de apelación interpuesto por la parte demandante contra </w:t>
      </w:r>
      <w:r w:rsidRPr="00214821">
        <w:rPr>
          <w:rFonts w:ascii="Arial Narrow" w:hAnsi="Arial Narrow" w:cs="Arial"/>
          <w:sz w:val="28"/>
          <w:szCs w:val="28"/>
        </w:rPr>
        <w:t xml:space="preserve">la sentencia proferida el 11 de junio de 2015 por el Juzgado Cuarto Laboral del Circuito de Pereira, dentro del proceso ordinario promovido por </w:t>
      </w:r>
      <w:r w:rsidRPr="00214821">
        <w:rPr>
          <w:rFonts w:ascii="Arial Narrow" w:hAnsi="Arial Narrow" w:cs="Arial"/>
          <w:i/>
          <w:iCs/>
          <w:sz w:val="28"/>
          <w:szCs w:val="28"/>
        </w:rPr>
        <w:t xml:space="preserve">María </w:t>
      </w:r>
      <w:proofErr w:type="spellStart"/>
      <w:r w:rsidRPr="00214821">
        <w:rPr>
          <w:rFonts w:ascii="Arial Narrow" w:hAnsi="Arial Narrow" w:cs="Arial"/>
          <w:i/>
          <w:iCs/>
          <w:sz w:val="28"/>
          <w:szCs w:val="28"/>
        </w:rPr>
        <w:t>Orfelina</w:t>
      </w:r>
      <w:proofErr w:type="spellEnd"/>
      <w:r w:rsidRPr="00214821">
        <w:rPr>
          <w:rFonts w:ascii="Arial Narrow" w:hAnsi="Arial Narrow" w:cs="Arial"/>
          <w:i/>
          <w:iCs/>
          <w:sz w:val="28"/>
          <w:szCs w:val="28"/>
        </w:rPr>
        <w:t xml:space="preserve"> Toro </w:t>
      </w:r>
      <w:proofErr w:type="spellStart"/>
      <w:r w:rsidRPr="00214821">
        <w:rPr>
          <w:rFonts w:ascii="Arial Narrow" w:hAnsi="Arial Narrow" w:cs="Arial"/>
          <w:i/>
          <w:iCs/>
          <w:sz w:val="28"/>
          <w:szCs w:val="28"/>
        </w:rPr>
        <w:t>Amezquita</w:t>
      </w:r>
      <w:proofErr w:type="spellEnd"/>
      <w:r w:rsidRPr="00214821">
        <w:rPr>
          <w:rFonts w:ascii="Arial Narrow" w:hAnsi="Arial Narrow" w:cs="Arial"/>
          <w:i/>
          <w:iCs/>
          <w:sz w:val="28"/>
          <w:szCs w:val="28"/>
        </w:rPr>
        <w:t xml:space="preserve"> </w:t>
      </w:r>
      <w:r w:rsidRPr="00214821">
        <w:rPr>
          <w:rFonts w:ascii="Arial Narrow" w:hAnsi="Arial Narrow" w:cs="Arial"/>
          <w:sz w:val="28"/>
          <w:szCs w:val="28"/>
        </w:rPr>
        <w:t xml:space="preserve">contra la </w:t>
      </w:r>
      <w:r w:rsidRPr="00214821">
        <w:rPr>
          <w:rFonts w:ascii="Arial Narrow" w:hAnsi="Arial Narrow" w:cs="Arial"/>
          <w:bCs/>
          <w:i/>
          <w:sz w:val="28"/>
          <w:szCs w:val="28"/>
        </w:rPr>
        <w:t xml:space="preserve">Administradora Colombiana de Pensiones </w:t>
      </w:r>
      <w:proofErr w:type="spellStart"/>
      <w:r w:rsidRPr="00214821">
        <w:rPr>
          <w:rFonts w:ascii="Arial Narrow" w:hAnsi="Arial Narrow" w:cs="Arial"/>
          <w:bCs/>
          <w:i/>
          <w:sz w:val="28"/>
          <w:szCs w:val="28"/>
        </w:rPr>
        <w:t>Colpensiones</w:t>
      </w:r>
      <w:proofErr w:type="spellEnd"/>
      <w:r w:rsidRPr="00214821">
        <w:rPr>
          <w:rFonts w:ascii="Arial Narrow" w:hAnsi="Arial Narrow" w:cs="Arial"/>
          <w:bCs/>
          <w:i/>
          <w:sz w:val="28"/>
          <w:szCs w:val="28"/>
        </w:rPr>
        <w:t>.</w:t>
      </w:r>
    </w:p>
    <w:p w:rsidR="003B0C5B" w:rsidRPr="000D618D" w:rsidRDefault="003B0C5B" w:rsidP="003B0C5B">
      <w:pPr>
        <w:pStyle w:val="Sinespaciado"/>
      </w:pPr>
    </w:p>
    <w:p w:rsidR="003B0C5B" w:rsidRPr="00214821" w:rsidRDefault="003B0C5B" w:rsidP="003B0C5B">
      <w:pPr>
        <w:shd w:val="clear" w:color="auto" w:fill="FFFFFF"/>
        <w:spacing w:line="276" w:lineRule="auto"/>
        <w:ind w:firstLine="708"/>
        <w:jc w:val="both"/>
        <w:rPr>
          <w:rFonts w:ascii="Arial Narrow" w:hAnsi="Arial Narrow" w:cs="Tahoma"/>
          <w:bCs/>
          <w:color w:val="000000"/>
          <w:sz w:val="28"/>
          <w:szCs w:val="28"/>
          <w:lang w:eastAsia="es-CO"/>
        </w:rPr>
      </w:pPr>
      <w:r w:rsidRPr="00214821">
        <w:rPr>
          <w:rFonts w:ascii="Arial Narrow" w:hAnsi="Arial Narrow" w:cs="Tahoma"/>
          <w:bCs/>
          <w:color w:val="000000"/>
          <w:sz w:val="28"/>
          <w:szCs w:val="28"/>
          <w:lang w:eastAsia="es-CO"/>
        </w:rPr>
        <w:t>IDENTIFICACIÓN DE LOS PRESENTES:</w:t>
      </w:r>
    </w:p>
    <w:p w:rsidR="003B0C5B" w:rsidRPr="00214821" w:rsidRDefault="003B0C5B" w:rsidP="003B0C5B">
      <w:pPr>
        <w:pStyle w:val="Sinespaciado"/>
        <w:spacing w:line="276" w:lineRule="auto"/>
        <w:rPr>
          <w:lang w:eastAsia="es-CO"/>
        </w:rPr>
      </w:pPr>
    </w:p>
    <w:p w:rsidR="003B0C5B" w:rsidRPr="00214821" w:rsidRDefault="003B0C5B" w:rsidP="003B0C5B">
      <w:pPr>
        <w:pStyle w:val="Prrafodelista"/>
        <w:numPr>
          <w:ilvl w:val="0"/>
          <w:numId w:val="2"/>
        </w:numPr>
        <w:spacing w:line="276" w:lineRule="auto"/>
        <w:rPr>
          <w:rFonts w:ascii="Arial Narrow" w:hAnsi="Arial Narrow" w:cs="Tahoma"/>
          <w:i/>
          <w:sz w:val="28"/>
          <w:szCs w:val="28"/>
        </w:rPr>
      </w:pPr>
      <w:r w:rsidRPr="00214821">
        <w:rPr>
          <w:rFonts w:ascii="Arial Narrow" w:hAnsi="Arial Narrow" w:cs="Tahoma"/>
          <w:i/>
          <w:sz w:val="28"/>
          <w:szCs w:val="28"/>
        </w:rPr>
        <w:t>INTRODUCCIÓN</w:t>
      </w:r>
    </w:p>
    <w:p w:rsidR="003B0C5B" w:rsidRPr="00206E54" w:rsidRDefault="003B0C5B" w:rsidP="003B0C5B">
      <w:pPr>
        <w:pStyle w:val="Sinespaciado"/>
      </w:pPr>
    </w:p>
    <w:p w:rsidR="003B0C5B" w:rsidRDefault="003B0C5B" w:rsidP="003B0C5B">
      <w:pPr>
        <w:spacing w:line="360" w:lineRule="auto"/>
        <w:ind w:firstLine="900"/>
        <w:jc w:val="both"/>
        <w:rPr>
          <w:rFonts w:ascii="Arial Narrow" w:hAnsi="Arial Narrow" w:cs="Tahoma"/>
          <w:sz w:val="28"/>
          <w:szCs w:val="28"/>
        </w:rPr>
      </w:pPr>
      <w:r w:rsidRPr="00173AAD">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Pr>
          <w:rFonts w:ascii="Arial Narrow" w:hAnsi="Arial Narrow" w:cs="Tahoma"/>
          <w:sz w:val="28"/>
          <w:szCs w:val="28"/>
        </w:rPr>
        <w:t xml:space="preserve"> la demandante </w:t>
      </w:r>
      <w:r w:rsidRPr="00214821">
        <w:rPr>
          <w:rFonts w:ascii="Arial Narrow" w:hAnsi="Arial Narrow" w:cs="Arial"/>
          <w:i/>
          <w:iCs/>
          <w:sz w:val="28"/>
          <w:szCs w:val="28"/>
        </w:rPr>
        <w:t xml:space="preserve">María </w:t>
      </w:r>
      <w:proofErr w:type="spellStart"/>
      <w:r w:rsidRPr="00214821">
        <w:rPr>
          <w:rFonts w:ascii="Arial Narrow" w:hAnsi="Arial Narrow" w:cs="Arial"/>
          <w:i/>
          <w:iCs/>
          <w:sz w:val="28"/>
          <w:szCs w:val="28"/>
        </w:rPr>
        <w:t>Orfelina</w:t>
      </w:r>
      <w:proofErr w:type="spellEnd"/>
      <w:r w:rsidRPr="00214821">
        <w:rPr>
          <w:rFonts w:ascii="Arial Narrow" w:hAnsi="Arial Narrow" w:cs="Arial"/>
          <w:i/>
          <w:iCs/>
          <w:sz w:val="28"/>
          <w:szCs w:val="28"/>
        </w:rPr>
        <w:t xml:space="preserve"> Toro </w:t>
      </w:r>
      <w:proofErr w:type="spellStart"/>
      <w:r w:rsidRPr="00214821">
        <w:rPr>
          <w:rFonts w:ascii="Arial Narrow" w:hAnsi="Arial Narrow" w:cs="Arial"/>
          <w:i/>
          <w:iCs/>
          <w:sz w:val="28"/>
          <w:szCs w:val="28"/>
        </w:rPr>
        <w:t>Amezquita</w:t>
      </w:r>
      <w:proofErr w:type="spellEnd"/>
      <w:r>
        <w:rPr>
          <w:rFonts w:ascii="Arial Narrow" w:hAnsi="Arial Narrow" w:cs="Arial"/>
          <w:b/>
          <w:i/>
          <w:iCs/>
          <w:sz w:val="28"/>
          <w:szCs w:val="28"/>
        </w:rPr>
        <w:t xml:space="preserve"> </w:t>
      </w:r>
      <w:r w:rsidRPr="00173AAD">
        <w:rPr>
          <w:rFonts w:ascii="Arial Narrow" w:hAnsi="Arial Narrow" w:cs="Tahoma"/>
          <w:sz w:val="28"/>
          <w:szCs w:val="28"/>
        </w:rPr>
        <w:t>pretende que en aplicación del principio de favorabilidad y la condición más beneficiosa, se le re</w:t>
      </w:r>
      <w:r>
        <w:rPr>
          <w:rFonts w:ascii="Arial Narrow" w:hAnsi="Arial Narrow" w:cs="Tahoma"/>
          <w:sz w:val="28"/>
          <w:szCs w:val="28"/>
        </w:rPr>
        <w:t>conozca la pensión de invalidez</w:t>
      </w:r>
      <w:r w:rsidRPr="00173AAD">
        <w:rPr>
          <w:rFonts w:ascii="Arial Narrow" w:hAnsi="Arial Narrow" w:cs="Tahoma"/>
          <w:sz w:val="28"/>
          <w:szCs w:val="28"/>
        </w:rPr>
        <w:t xml:space="preserve"> a partir del </w:t>
      </w:r>
      <w:r>
        <w:rPr>
          <w:rFonts w:ascii="Arial Narrow" w:hAnsi="Arial Narrow" w:cs="Tahoma"/>
          <w:sz w:val="28"/>
          <w:szCs w:val="28"/>
        </w:rPr>
        <w:t xml:space="preserve">29 de marzo de 2011, </w:t>
      </w:r>
      <w:r w:rsidRPr="00173AAD">
        <w:rPr>
          <w:rFonts w:ascii="Arial Narrow" w:hAnsi="Arial Narrow" w:cs="Tahoma"/>
          <w:sz w:val="28"/>
          <w:szCs w:val="28"/>
        </w:rPr>
        <w:t xml:space="preserve">junto con los intereses moratorios y las costas </w:t>
      </w:r>
      <w:r>
        <w:rPr>
          <w:rFonts w:ascii="Arial Narrow" w:hAnsi="Arial Narrow" w:cs="Tahoma"/>
          <w:sz w:val="28"/>
          <w:szCs w:val="28"/>
        </w:rPr>
        <w:t>del proceso</w:t>
      </w:r>
      <w:r w:rsidRPr="00173AAD">
        <w:rPr>
          <w:rFonts w:ascii="Arial Narrow" w:hAnsi="Arial Narrow" w:cs="Tahoma"/>
          <w:sz w:val="28"/>
          <w:szCs w:val="28"/>
        </w:rPr>
        <w:t>.</w:t>
      </w:r>
      <w:r>
        <w:rPr>
          <w:rFonts w:ascii="Arial Narrow" w:hAnsi="Arial Narrow" w:cs="Tahoma"/>
          <w:sz w:val="28"/>
          <w:szCs w:val="28"/>
        </w:rPr>
        <w:t xml:space="preserve"> </w:t>
      </w:r>
    </w:p>
    <w:p w:rsidR="003B0C5B" w:rsidRPr="000D618D" w:rsidRDefault="003B0C5B" w:rsidP="003B0C5B">
      <w:pPr>
        <w:pStyle w:val="Sinespaciado"/>
      </w:pPr>
    </w:p>
    <w:p w:rsidR="003B0C5B" w:rsidRDefault="003B0C5B" w:rsidP="003B0C5B">
      <w:pPr>
        <w:spacing w:line="360" w:lineRule="auto"/>
        <w:ind w:firstLine="900"/>
        <w:jc w:val="both"/>
        <w:rPr>
          <w:rFonts w:ascii="Arial Narrow" w:hAnsi="Arial Narrow" w:cs="Tahoma"/>
          <w:sz w:val="28"/>
          <w:szCs w:val="28"/>
        </w:rPr>
      </w:pPr>
      <w:r>
        <w:rPr>
          <w:rFonts w:ascii="Arial Narrow" w:hAnsi="Arial Narrow" w:cs="Tahoma"/>
          <w:sz w:val="28"/>
          <w:szCs w:val="28"/>
        </w:rPr>
        <w:t xml:space="preserve">Se fundamentan los pedimentos en los siguientes hechos: que la actora fue valorada por el Departamento de Medicina Laboral del Instituto de Seguros Sociales de </w:t>
      </w:r>
      <w:r>
        <w:rPr>
          <w:rFonts w:ascii="Arial Narrow" w:hAnsi="Arial Narrow" w:cs="Tahoma"/>
          <w:sz w:val="28"/>
          <w:szCs w:val="28"/>
        </w:rPr>
        <w:lastRenderedPageBreak/>
        <w:t xml:space="preserve">la Seccional Risaralda, y se le dictaminó una pérdida de capacidad laboral del 51.70 %, estructurada el 29 de marzo de 2011, de origen común; que durante toda su vida laboral prestó servicios en el sector privado, estando afiliada para las contingencias de invalidez, vejez y muerte al </w:t>
      </w:r>
      <w:proofErr w:type="spellStart"/>
      <w:r>
        <w:rPr>
          <w:rFonts w:ascii="Arial Narrow" w:hAnsi="Arial Narrow" w:cs="Tahoma"/>
          <w:sz w:val="28"/>
          <w:szCs w:val="28"/>
        </w:rPr>
        <w:t>ISS</w:t>
      </w:r>
      <w:proofErr w:type="spellEnd"/>
      <w:r>
        <w:rPr>
          <w:rFonts w:ascii="Arial Narrow" w:hAnsi="Arial Narrow" w:cs="Tahoma"/>
          <w:sz w:val="28"/>
          <w:szCs w:val="28"/>
        </w:rPr>
        <w:t xml:space="preserve"> hoy </w:t>
      </w:r>
      <w:proofErr w:type="spellStart"/>
      <w:r>
        <w:rPr>
          <w:rFonts w:ascii="Arial Narrow" w:hAnsi="Arial Narrow" w:cs="Tahoma"/>
          <w:sz w:val="28"/>
          <w:szCs w:val="28"/>
        </w:rPr>
        <w:t>Colpensiones</w:t>
      </w:r>
      <w:proofErr w:type="spellEnd"/>
      <w:r>
        <w:rPr>
          <w:rFonts w:ascii="Arial Narrow" w:hAnsi="Arial Narrow" w:cs="Tahoma"/>
          <w:sz w:val="28"/>
          <w:szCs w:val="28"/>
        </w:rPr>
        <w:t>; que cotizó un total de 470.41 semanas desde el 3 de septiembre de 1973 hasta el 31 de julio de 2003; que el 7 de mayo de 2013 solicitó el reconocimiento y pago de la pensión de invalidez y que mediante resolución GNR 122866 de ese mismo año le fue negada; que el 3 de abril de 2014 solicitó nuevamente el reconocimiento de la prestación con base en el Acuerdo 049 de 1990, empero, que la entidad no ha dado respuesta.</w:t>
      </w:r>
    </w:p>
    <w:p w:rsidR="003B0C5B" w:rsidRPr="00DE3638" w:rsidRDefault="003B0C5B" w:rsidP="003B0C5B">
      <w:pPr>
        <w:pStyle w:val="Sinespaciado"/>
      </w:pPr>
    </w:p>
    <w:p w:rsidR="003B0C5B" w:rsidRPr="00CE6CB1" w:rsidRDefault="003B0C5B" w:rsidP="003B0C5B">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Pr="00C05C52">
        <w:rPr>
          <w:rFonts w:ascii="Arial Narrow" w:hAnsi="Arial Narrow" w:cs="Tahoma"/>
          <w:bCs/>
          <w:i/>
          <w:sz w:val="28"/>
          <w:szCs w:val="28"/>
        </w:rPr>
        <w:t xml:space="preserve">Administradora Colombiana de Pensiones </w:t>
      </w:r>
      <w:proofErr w:type="spellStart"/>
      <w:r w:rsidRPr="00C05C52">
        <w:rPr>
          <w:rFonts w:ascii="Arial Narrow" w:hAnsi="Arial Narrow" w:cs="Tahoma"/>
          <w:bCs/>
          <w:i/>
          <w:sz w:val="28"/>
          <w:szCs w:val="28"/>
        </w:rPr>
        <w:t>Colpensiones</w:t>
      </w:r>
      <w:proofErr w:type="spellEnd"/>
      <w:r>
        <w:rPr>
          <w:rFonts w:ascii="Arial Narrow" w:hAnsi="Arial Narrow" w:cs="Tahoma"/>
          <w:b/>
          <w:bCs/>
          <w:i/>
          <w:sz w:val="28"/>
          <w:szCs w:val="28"/>
        </w:rPr>
        <w:t xml:space="preserve">, </w:t>
      </w:r>
      <w:r>
        <w:rPr>
          <w:rFonts w:ascii="Arial Narrow" w:hAnsi="Arial Narrow" w:cs="Tahoma"/>
          <w:bCs/>
          <w:sz w:val="28"/>
          <w:szCs w:val="28"/>
        </w:rPr>
        <w:t xml:space="preserve">se opuso a las pretensiones, aduciendo que la actora no cumple con los presupuestos legales para ser beneficiaria de la pensión que reclama. En su defensa formuló las excepciones de “Inexistencia de la obligación” y “Prescripción”. </w:t>
      </w:r>
    </w:p>
    <w:p w:rsidR="003B0C5B" w:rsidRPr="00DE3638" w:rsidRDefault="003B0C5B" w:rsidP="003B0C5B">
      <w:pPr>
        <w:pStyle w:val="Sinespaciado"/>
      </w:pPr>
    </w:p>
    <w:p w:rsidR="003B0C5B" w:rsidRDefault="003B0C5B" w:rsidP="003B0C5B">
      <w:pPr>
        <w:shd w:val="clear" w:color="auto" w:fill="FFFFFF"/>
        <w:spacing w:line="360" w:lineRule="auto"/>
        <w:ind w:firstLine="851"/>
        <w:jc w:val="both"/>
        <w:rPr>
          <w:rFonts w:ascii="Arial Narrow" w:hAnsi="Arial Narrow" w:cs="Tahoma"/>
          <w:color w:val="000000"/>
          <w:sz w:val="28"/>
          <w:szCs w:val="28"/>
          <w:lang w:eastAsia="es-CO"/>
        </w:rPr>
      </w:pPr>
      <w:r w:rsidRPr="00173AAD">
        <w:rPr>
          <w:rFonts w:ascii="Arial Narrow" w:hAnsi="Arial Narrow" w:cs="Tahoma"/>
          <w:color w:val="000000"/>
          <w:sz w:val="28"/>
          <w:szCs w:val="28"/>
          <w:lang w:eastAsia="es-CO"/>
        </w:rPr>
        <w:t xml:space="preserve">El Juzgado </w:t>
      </w:r>
      <w:r>
        <w:rPr>
          <w:rFonts w:ascii="Arial Narrow" w:hAnsi="Arial Narrow" w:cs="Tahoma"/>
          <w:color w:val="000000"/>
          <w:sz w:val="28"/>
          <w:szCs w:val="28"/>
          <w:lang w:eastAsia="es-CO"/>
        </w:rPr>
        <w:t xml:space="preserve">de conocimiento dictó sentencia por medio de la cual negó las pretensiones de la demanda y condenó en costas a la parte vencida en juicio fijando agencias en cuantía de 1SMLMV. </w:t>
      </w:r>
    </w:p>
    <w:p w:rsidR="003B0C5B" w:rsidRPr="00DE3638" w:rsidRDefault="003B0C5B" w:rsidP="003B0C5B">
      <w:pPr>
        <w:pStyle w:val="Sinespaciado"/>
      </w:pPr>
    </w:p>
    <w:p w:rsidR="003B0C5B" w:rsidRDefault="003B0C5B" w:rsidP="003B0C5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arribar a tal conclusión, sostuvo que la señora María </w:t>
      </w:r>
      <w:proofErr w:type="spellStart"/>
      <w:r>
        <w:rPr>
          <w:rFonts w:ascii="Arial Narrow" w:hAnsi="Arial Narrow" w:cs="Tahoma"/>
          <w:color w:val="000000"/>
          <w:sz w:val="28"/>
          <w:szCs w:val="28"/>
          <w:lang w:eastAsia="es-CO"/>
        </w:rPr>
        <w:t>Orfelina</w:t>
      </w:r>
      <w:proofErr w:type="spellEnd"/>
      <w:r>
        <w:rPr>
          <w:rFonts w:ascii="Arial Narrow" w:hAnsi="Arial Narrow" w:cs="Tahoma"/>
          <w:color w:val="000000"/>
          <w:sz w:val="28"/>
          <w:szCs w:val="28"/>
          <w:lang w:eastAsia="es-CO"/>
        </w:rPr>
        <w:t xml:space="preserve"> Toro </w:t>
      </w:r>
      <w:proofErr w:type="spellStart"/>
      <w:r>
        <w:rPr>
          <w:rFonts w:ascii="Arial Narrow" w:hAnsi="Arial Narrow" w:cs="Tahoma"/>
          <w:color w:val="000000"/>
          <w:sz w:val="28"/>
          <w:szCs w:val="28"/>
          <w:lang w:eastAsia="es-CO"/>
        </w:rPr>
        <w:t>Amezquita</w:t>
      </w:r>
      <w:proofErr w:type="spellEnd"/>
      <w:r>
        <w:rPr>
          <w:rFonts w:ascii="Arial Narrow" w:hAnsi="Arial Narrow" w:cs="Tahoma"/>
          <w:color w:val="000000"/>
          <w:sz w:val="28"/>
          <w:szCs w:val="28"/>
          <w:lang w:eastAsia="es-CO"/>
        </w:rPr>
        <w:t xml:space="preserve"> no cumple con la densidad de semanas exigidas por la Ley 860 del 2003, ni del artículo 39 de la Ley 100 de 1993 en su versión original, aplicable por virtud del principio de la condición más beneficiosa, y que </w:t>
      </w:r>
      <w:r w:rsidRPr="00B60D00">
        <w:rPr>
          <w:rFonts w:ascii="Arial Narrow" w:hAnsi="Arial Narrow" w:cs="Tahoma"/>
          <w:sz w:val="28"/>
          <w:szCs w:val="28"/>
          <w:lang w:eastAsia="es-CO"/>
        </w:rPr>
        <w:t>no era procedente acudir a los postulados del Acuerdo 049 de 1990,</w:t>
      </w:r>
      <w:r>
        <w:rPr>
          <w:rFonts w:ascii="Arial Narrow" w:hAnsi="Arial Narrow" w:cs="Tahoma"/>
          <w:sz w:val="28"/>
          <w:szCs w:val="28"/>
          <w:lang w:eastAsia="es-CO"/>
        </w:rPr>
        <w:t xml:space="preserve"> </w:t>
      </w:r>
      <w:r>
        <w:rPr>
          <w:rFonts w:ascii="Arial Narrow" w:hAnsi="Arial Narrow" w:cs="Tahoma"/>
          <w:color w:val="000000"/>
          <w:sz w:val="28"/>
          <w:szCs w:val="28"/>
          <w:lang w:eastAsia="es-CO"/>
        </w:rPr>
        <w:t xml:space="preserve">porque el estado incapacitante se estructuró en vigencia de la Ley 860 de 2003, para lo cual trajo a colación el precedente del órgano de cierre de esta especialidad laboral </w:t>
      </w:r>
      <w:r w:rsidRPr="00B60D00">
        <w:rPr>
          <w:rFonts w:ascii="Arial Narrow" w:hAnsi="Arial Narrow" w:cs="Tahoma"/>
          <w:sz w:val="28"/>
          <w:szCs w:val="28"/>
          <w:lang w:eastAsia="es-CO"/>
        </w:rPr>
        <w:t>y citó algunos de sus apartes</w:t>
      </w:r>
      <w:r>
        <w:rPr>
          <w:rFonts w:ascii="Arial Narrow" w:hAnsi="Arial Narrow" w:cs="Tahoma"/>
          <w:color w:val="000000"/>
          <w:sz w:val="28"/>
          <w:szCs w:val="28"/>
          <w:lang w:eastAsia="es-CO"/>
        </w:rPr>
        <w:t xml:space="preserve">. De otra parte, concluyó que tampoco era de recibo reconocer la prestación en virtud de una interpretación favorable, pues en el caso de la actora, la invalidez se obtuvo como consecuencia del desgaste natural del cuerpo en razón de la edad, más que por la pérdida de capacidad para laborar. </w:t>
      </w:r>
    </w:p>
    <w:p w:rsidR="003B0C5B" w:rsidRPr="00CE48A3" w:rsidRDefault="003B0C5B" w:rsidP="003B0C5B">
      <w:pPr>
        <w:pStyle w:val="Sinespaciado"/>
      </w:pPr>
    </w:p>
    <w:p w:rsidR="003B0C5B" w:rsidRDefault="003B0C5B" w:rsidP="003B0C5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Contra la anterior decisión se alzó la parte demandante quien sostuvo que según el dictamen, la causa de invalidez de la actora es una </w:t>
      </w:r>
      <w:proofErr w:type="spellStart"/>
      <w:r>
        <w:rPr>
          <w:rFonts w:ascii="Arial Narrow" w:hAnsi="Arial Narrow" w:cs="Tahoma"/>
          <w:color w:val="000000"/>
          <w:sz w:val="28"/>
          <w:szCs w:val="28"/>
          <w:lang w:eastAsia="es-CO"/>
        </w:rPr>
        <w:t>coxoartrosis</w:t>
      </w:r>
      <w:proofErr w:type="spellEnd"/>
      <w:r>
        <w:rPr>
          <w:rFonts w:ascii="Arial Narrow" w:hAnsi="Arial Narrow" w:cs="Tahoma"/>
          <w:color w:val="000000"/>
          <w:sz w:val="28"/>
          <w:szCs w:val="28"/>
          <w:lang w:eastAsia="es-CO"/>
        </w:rPr>
        <w:t xml:space="preserve"> congénita, lo que indica que perdió su capacidad para laboral desde muy temprana edad o desde su </w:t>
      </w:r>
      <w:r>
        <w:rPr>
          <w:rFonts w:ascii="Arial Narrow" w:hAnsi="Arial Narrow" w:cs="Tahoma"/>
          <w:color w:val="000000"/>
          <w:sz w:val="28"/>
          <w:szCs w:val="28"/>
          <w:lang w:eastAsia="es-CO"/>
        </w:rPr>
        <w:lastRenderedPageBreak/>
        <w:t xml:space="preserve">nacimiento, y no precisamente por el paso natural de los años como lo alude la a-quo. Indica que la Corte Constitucional ha reiterado que el principio de la condición más beneficiosa está llamado a operar en aquellos casos en que se identifique una sucesión de normas, por lo que es viable la aplicación del Acuerdo 049 de 1990 por ser la norma más favorable. También hizo alusión al análisis técnico financiero que realizó </w:t>
      </w:r>
      <w:proofErr w:type="spellStart"/>
      <w:r>
        <w:rPr>
          <w:rFonts w:ascii="Arial Narrow" w:hAnsi="Arial Narrow" w:cs="Tahoma"/>
          <w:color w:val="000000"/>
          <w:sz w:val="28"/>
          <w:szCs w:val="28"/>
          <w:lang w:eastAsia="es-CO"/>
        </w:rPr>
        <w:t>Asofondos</w:t>
      </w:r>
      <w:proofErr w:type="spellEnd"/>
      <w:r>
        <w:rPr>
          <w:rFonts w:ascii="Arial Narrow" w:hAnsi="Arial Narrow" w:cs="Tahoma"/>
          <w:color w:val="000000"/>
          <w:sz w:val="28"/>
          <w:szCs w:val="28"/>
          <w:lang w:eastAsia="es-CO"/>
        </w:rPr>
        <w:t xml:space="preserve"> en sentencia C 556 de 2009, para concluir que con una densidad cercana a las 400 semanas de aportes se podría sufragar la pensión a un afiliado, por espacio de 20 años aproximadamente.</w:t>
      </w:r>
    </w:p>
    <w:p w:rsidR="003B0C5B" w:rsidRPr="0061062F" w:rsidRDefault="003B0C5B" w:rsidP="003B0C5B">
      <w:pPr>
        <w:pStyle w:val="Sinespaciado"/>
      </w:pPr>
    </w:p>
    <w:p w:rsidR="003B0C5B" w:rsidRPr="00810285" w:rsidRDefault="003B0C5B" w:rsidP="003B0C5B">
      <w:pPr>
        <w:shd w:val="clear" w:color="auto" w:fill="FFFFFF"/>
        <w:tabs>
          <w:tab w:val="left" w:pos="5197"/>
        </w:tabs>
        <w:spacing w:line="360" w:lineRule="auto"/>
        <w:ind w:firstLine="851"/>
        <w:jc w:val="both"/>
        <w:rPr>
          <w:rFonts w:ascii="Arial Narrow" w:hAnsi="Arial Narrow" w:cs="Tahoma"/>
          <w:i/>
          <w:sz w:val="28"/>
          <w:szCs w:val="28"/>
        </w:rPr>
      </w:pPr>
      <w:r w:rsidRPr="00810285">
        <w:rPr>
          <w:rFonts w:ascii="Arial Narrow" w:hAnsi="Arial Narrow" w:cs="Tahoma"/>
          <w:i/>
          <w:sz w:val="28"/>
          <w:szCs w:val="28"/>
        </w:rPr>
        <w:t>Del problema jurídico.</w:t>
      </w:r>
    </w:p>
    <w:p w:rsidR="003B0C5B" w:rsidRPr="009A1628" w:rsidRDefault="003B0C5B" w:rsidP="009A1628">
      <w:pPr>
        <w:pStyle w:val="Sinespaciado"/>
      </w:pPr>
    </w:p>
    <w:p w:rsidR="003B0C5B" w:rsidRPr="009A1628" w:rsidRDefault="003B0C5B" w:rsidP="009A1628">
      <w:pPr>
        <w:tabs>
          <w:tab w:val="left" w:pos="0"/>
          <w:tab w:val="left" w:pos="8647"/>
        </w:tabs>
        <w:suppressAutoHyphens/>
        <w:ind w:firstLine="851"/>
        <w:jc w:val="both"/>
        <w:rPr>
          <w:rFonts w:ascii="Arial Narrow" w:hAnsi="Arial Narrow" w:cs="Tahoma"/>
          <w:i/>
          <w:sz w:val="26"/>
          <w:szCs w:val="26"/>
        </w:rPr>
      </w:pPr>
      <w:r w:rsidRPr="009A1628">
        <w:rPr>
          <w:rFonts w:ascii="Arial Narrow" w:hAnsi="Arial Narrow" w:cs="Tahoma"/>
          <w:i/>
          <w:sz w:val="26"/>
          <w:szCs w:val="26"/>
        </w:rPr>
        <w:t>¿En el sub-lite, es de recibo la aplicación del principio de la condición más beneficiosa?</w:t>
      </w:r>
    </w:p>
    <w:p w:rsidR="003B0C5B" w:rsidRPr="009A1628" w:rsidRDefault="003B0C5B" w:rsidP="009A1628">
      <w:pPr>
        <w:pStyle w:val="Sinespaciado"/>
        <w:rPr>
          <w:sz w:val="26"/>
          <w:szCs w:val="26"/>
        </w:rPr>
      </w:pPr>
    </w:p>
    <w:p w:rsidR="003B0C5B" w:rsidRPr="009A1628" w:rsidRDefault="003B0C5B" w:rsidP="009A1628">
      <w:pPr>
        <w:tabs>
          <w:tab w:val="left" w:pos="0"/>
          <w:tab w:val="left" w:pos="8647"/>
        </w:tabs>
        <w:suppressAutoHyphens/>
        <w:ind w:firstLine="900"/>
        <w:jc w:val="both"/>
        <w:rPr>
          <w:rFonts w:ascii="Arial Narrow" w:hAnsi="Arial Narrow" w:cs="Tahoma"/>
          <w:i/>
          <w:iCs/>
          <w:sz w:val="26"/>
          <w:szCs w:val="26"/>
        </w:rPr>
      </w:pPr>
      <w:r w:rsidRPr="009A1628">
        <w:rPr>
          <w:rFonts w:ascii="Arial Narrow" w:hAnsi="Arial Narrow" w:cs="Tahoma"/>
          <w:i/>
          <w:iCs/>
          <w:sz w:val="26"/>
          <w:szCs w:val="26"/>
        </w:rPr>
        <w:t xml:space="preserve">¿Tiene derecho la demandante al reconocimiento y pago de la pensión de invalidez que reclama? </w:t>
      </w:r>
    </w:p>
    <w:p w:rsidR="003B0C5B" w:rsidRDefault="003B0C5B" w:rsidP="009A1628">
      <w:pPr>
        <w:pStyle w:val="Sinespaciado"/>
        <w:spacing w:line="360" w:lineRule="auto"/>
        <w:rPr>
          <w:sz w:val="26"/>
          <w:szCs w:val="26"/>
        </w:rPr>
      </w:pPr>
    </w:p>
    <w:p w:rsidR="009A1628" w:rsidRDefault="009A1628" w:rsidP="009A1628">
      <w:pPr>
        <w:pStyle w:val="Sinespaciado"/>
        <w:spacing w:line="360" w:lineRule="auto"/>
        <w:ind w:firstLine="708"/>
        <w:rPr>
          <w:rFonts w:ascii="Arial Narrow" w:hAnsi="Arial Narrow"/>
          <w:i/>
          <w:sz w:val="28"/>
          <w:szCs w:val="28"/>
        </w:rPr>
      </w:pPr>
      <w:r w:rsidRPr="009A1628">
        <w:rPr>
          <w:rFonts w:ascii="Arial Narrow" w:hAnsi="Arial Narrow"/>
          <w:i/>
          <w:sz w:val="28"/>
          <w:szCs w:val="28"/>
        </w:rPr>
        <w:t xml:space="preserve">Alegatos de conclusión </w:t>
      </w:r>
    </w:p>
    <w:p w:rsidR="009A1628" w:rsidRPr="009A1628" w:rsidRDefault="009A1628" w:rsidP="009A1628">
      <w:pPr>
        <w:pStyle w:val="Sinespaciado"/>
      </w:pPr>
    </w:p>
    <w:p w:rsidR="003B0C5B" w:rsidRPr="007B493A" w:rsidRDefault="003B0C5B" w:rsidP="003B0C5B">
      <w:pPr>
        <w:spacing w:line="360" w:lineRule="auto"/>
        <w:ind w:firstLine="851"/>
        <w:jc w:val="both"/>
        <w:rPr>
          <w:rFonts w:ascii="Arial Narrow" w:hAnsi="Arial Narrow" w:cs="Tahoma"/>
          <w:sz w:val="28"/>
          <w:szCs w:val="28"/>
        </w:rPr>
      </w:pPr>
      <w:r w:rsidRPr="007B493A">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(art. 66 A CPLSS.).</w:t>
      </w:r>
      <w:r>
        <w:rPr>
          <w:rFonts w:ascii="Arial Narrow" w:hAnsi="Arial Narrow" w:cs="Tahoma"/>
          <w:sz w:val="28"/>
          <w:szCs w:val="28"/>
        </w:rPr>
        <w:t xml:space="preserve"> </w:t>
      </w:r>
      <w:r w:rsidRPr="007B493A">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3B0C5B" w:rsidRPr="007B493A" w:rsidRDefault="003B0C5B" w:rsidP="003B0C5B">
      <w:pPr>
        <w:spacing w:line="360" w:lineRule="auto"/>
        <w:ind w:firstLine="851"/>
        <w:jc w:val="both"/>
        <w:rPr>
          <w:rFonts w:ascii="Arial Narrow" w:hAnsi="Arial Narrow" w:cs="Tahoma"/>
          <w:sz w:val="28"/>
          <w:szCs w:val="28"/>
        </w:rPr>
      </w:pPr>
    </w:p>
    <w:p w:rsidR="003B0C5B" w:rsidRPr="00810285" w:rsidRDefault="003B0C5B" w:rsidP="003B0C5B">
      <w:pPr>
        <w:pStyle w:val="Prrafodelista"/>
        <w:numPr>
          <w:ilvl w:val="0"/>
          <w:numId w:val="2"/>
        </w:numPr>
        <w:spacing w:line="360" w:lineRule="auto"/>
        <w:jc w:val="both"/>
        <w:rPr>
          <w:rFonts w:ascii="Arial Narrow" w:hAnsi="Arial Narrow" w:cs="Tahoma"/>
          <w:sz w:val="28"/>
          <w:szCs w:val="28"/>
        </w:rPr>
      </w:pPr>
      <w:r w:rsidRPr="00810285">
        <w:rPr>
          <w:rFonts w:ascii="Arial Narrow" w:hAnsi="Arial Narrow" w:cs="Tahoma"/>
          <w:sz w:val="28"/>
          <w:szCs w:val="28"/>
        </w:rPr>
        <w:t>CONSIDERACIONES:</w:t>
      </w:r>
    </w:p>
    <w:p w:rsidR="003B0C5B" w:rsidRPr="009A1628" w:rsidRDefault="003B0C5B" w:rsidP="009A1628">
      <w:pPr>
        <w:pStyle w:val="Sinespaciado"/>
      </w:pPr>
    </w:p>
    <w:p w:rsidR="003B0C5B" w:rsidRPr="00310236" w:rsidRDefault="003B0C5B" w:rsidP="003B0C5B">
      <w:pPr>
        <w:pStyle w:val="Textoindependiente32"/>
        <w:ind w:firstLine="708"/>
        <w:rPr>
          <w:rFonts w:ascii="Arial Narrow" w:hAnsi="Arial Narrow" w:cs="Tahoma"/>
          <w:sz w:val="28"/>
          <w:szCs w:val="28"/>
        </w:rPr>
      </w:pPr>
      <w:r>
        <w:rPr>
          <w:rFonts w:ascii="Arial Narrow" w:hAnsi="Arial Narrow"/>
          <w:sz w:val="28"/>
          <w:szCs w:val="28"/>
        </w:rPr>
        <w:t xml:space="preserve">En los infolios no abriga duda los siguientes supuestos fácticos: (i) que </w:t>
      </w:r>
      <w:r>
        <w:rPr>
          <w:rFonts w:ascii="Arial Narrow" w:hAnsi="Arial Narrow" w:cs="Tahoma"/>
          <w:sz w:val="28"/>
          <w:szCs w:val="28"/>
        </w:rPr>
        <w:t>el natalicio de la demandante se dio el 6 de agosto de 1940 (fl.15);</w:t>
      </w:r>
      <w:r w:rsidRPr="00310236">
        <w:rPr>
          <w:rFonts w:ascii="Arial Narrow" w:hAnsi="Arial Narrow" w:cs="Tahoma"/>
          <w:sz w:val="28"/>
          <w:szCs w:val="28"/>
        </w:rPr>
        <w:t xml:space="preserve"> (</w:t>
      </w:r>
      <w:r>
        <w:rPr>
          <w:rFonts w:ascii="Arial Narrow" w:hAnsi="Arial Narrow" w:cs="Tahoma"/>
          <w:sz w:val="28"/>
          <w:szCs w:val="28"/>
        </w:rPr>
        <w:t>i</w:t>
      </w:r>
      <w:r w:rsidRPr="00310236">
        <w:rPr>
          <w:rFonts w:ascii="Arial Narrow" w:hAnsi="Arial Narrow" w:cs="Tahoma"/>
          <w:sz w:val="28"/>
          <w:szCs w:val="28"/>
        </w:rPr>
        <w:t xml:space="preserve">i) </w:t>
      </w:r>
      <w:r>
        <w:rPr>
          <w:rFonts w:ascii="Arial Narrow" w:hAnsi="Arial Narrow" w:cs="Tahoma"/>
          <w:sz w:val="28"/>
          <w:szCs w:val="28"/>
        </w:rPr>
        <w:t>que presenta una pérdida de capacidad la</w:t>
      </w:r>
      <w:r w:rsidRPr="00310236">
        <w:rPr>
          <w:rFonts w:ascii="Arial Narrow" w:hAnsi="Arial Narrow" w:cs="Tahoma"/>
          <w:sz w:val="28"/>
          <w:szCs w:val="28"/>
        </w:rPr>
        <w:t xml:space="preserve">boral del </w:t>
      </w:r>
      <w:r>
        <w:rPr>
          <w:rFonts w:ascii="Arial Narrow" w:hAnsi="Arial Narrow" w:cs="Tahoma"/>
          <w:sz w:val="28"/>
          <w:szCs w:val="28"/>
        </w:rPr>
        <w:t>51.70% d</w:t>
      </w:r>
      <w:r w:rsidRPr="00310236">
        <w:rPr>
          <w:rFonts w:ascii="Arial Narrow" w:hAnsi="Arial Narrow" w:cs="Tahoma"/>
          <w:sz w:val="28"/>
          <w:szCs w:val="28"/>
        </w:rPr>
        <w:t xml:space="preserve">e origen común, con fecha de estructuración del </w:t>
      </w:r>
      <w:r>
        <w:rPr>
          <w:rFonts w:ascii="Arial Narrow" w:hAnsi="Arial Narrow" w:cs="Tahoma"/>
          <w:sz w:val="28"/>
          <w:szCs w:val="28"/>
        </w:rPr>
        <w:t>29 de marzo de 2011,</w:t>
      </w:r>
      <w:r w:rsidRPr="00310236">
        <w:rPr>
          <w:rFonts w:ascii="Arial Narrow" w:hAnsi="Arial Narrow" w:cs="Tahoma"/>
          <w:sz w:val="28"/>
          <w:szCs w:val="28"/>
        </w:rPr>
        <w:t xml:space="preserve"> </w:t>
      </w:r>
      <w:r>
        <w:rPr>
          <w:rFonts w:ascii="Arial Narrow" w:hAnsi="Arial Narrow" w:cs="Tahoma"/>
          <w:sz w:val="28"/>
          <w:szCs w:val="28"/>
        </w:rPr>
        <w:t xml:space="preserve">es decir, a sus 71 años de edad, según </w:t>
      </w:r>
      <w:r w:rsidRPr="00310236">
        <w:rPr>
          <w:rFonts w:ascii="Arial Narrow" w:hAnsi="Arial Narrow" w:cs="Tahoma"/>
          <w:sz w:val="28"/>
          <w:szCs w:val="28"/>
        </w:rPr>
        <w:t>colige del dictamen emitido p</w:t>
      </w:r>
      <w:r>
        <w:rPr>
          <w:rFonts w:ascii="Arial Narrow" w:hAnsi="Arial Narrow" w:cs="Tahoma"/>
          <w:sz w:val="28"/>
          <w:szCs w:val="28"/>
        </w:rPr>
        <w:t>or la Comisión Médico Laboral del Seguro Social que se encuentra en firme (fl.16)</w:t>
      </w:r>
      <w:r w:rsidRPr="00310236">
        <w:rPr>
          <w:rFonts w:ascii="Arial Narrow" w:hAnsi="Arial Narrow" w:cs="Tahoma"/>
          <w:sz w:val="28"/>
          <w:szCs w:val="28"/>
        </w:rPr>
        <w:t>; y (ii</w:t>
      </w:r>
      <w:r>
        <w:rPr>
          <w:rFonts w:ascii="Arial Narrow" w:hAnsi="Arial Narrow" w:cs="Tahoma"/>
          <w:sz w:val="28"/>
          <w:szCs w:val="28"/>
        </w:rPr>
        <w:t>i</w:t>
      </w:r>
      <w:r w:rsidRPr="00310236">
        <w:rPr>
          <w:rFonts w:ascii="Arial Narrow" w:hAnsi="Arial Narrow" w:cs="Tahoma"/>
          <w:sz w:val="28"/>
          <w:szCs w:val="28"/>
        </w:rPr>
        <w:t xml:space="preserve">) </w:t>
      </w:r>
      <w:r>
        <w:rPr>
          <w:rFonts w:ascii="Arial Narrow" w:hAnsi="Arial Narrow" w:cs="Tahoma"/>
          <w:sz w:val="28"/>
          <w:szCs w:val="28"/>
        </w:rPr>
        <w:t xml:space="preserve">que </w:t>
      </w:r>
      <w:r w:rsidRPr="00310236">
        <w:rPr>
          <w:rFonts w:ascii="Arial Narrow" w:hAnsi="Arial Narrow" w:cs="Tahoma"/>
          <w:sz w:val="28"/>
          <w:szCs w:val="28"/>
        </w:rPr>
        <w:t>sufrag</w:t>
      </w:r>
      <w:r w:rsidRPr="00310236">
        <w:rPr>
          <w:rFonts w:ascii="Arial Narrow" w:hAnsi="Arial Narrow" w:cs="Arial"/>
          <w:sz w:val="28"/>
          <w:szCs w:val="28"/>
        </w:rPr>
        <w:t xml:space="preserve">ó un total de </w:t>
      </w:r>
      <w:r>
        <w:rPr>
          <w:rFonts w:ascii="Arial Narrow" w:hAnsi="Arial Narrow" w:cs="Arial"/>
          <w:sz w:val="28"/>
          <w:szCs w:val="28"/>
        </w:rPr>
        <w:t xml:space="preserve">470.43 semanas al sistema de seguridad social </w:t>
      </w:r>
      <w:r w:rsidRPr="00310236">
        <w:rPr>
          <w:rFonts w:ascii="Arial Narrow" w:hAnsi="Arial Narrow" w:cs="Arial"/>
          <w:sz w:val="28"/>
          <w:szCs w:val="28"/>
        </w:rPr>
        <w:t xml:space="preserve">desde el </w:t>
      </w:r>
      <w:r>
        <w:rPr>
          <w:rFonts w:ascii="Arial Narrow" w:hAnsi="Arial Narrow" w:cs="Arial"/>
          <w:sz w:val="28"/>
          <w:szCs w:val="28"/>
        </w:rPr>
        <w:t xml:space="preserve">03 de septiembre de 1973 y el 31 de julio de 2003, de las cuales 370.47 </w:t>
      </w:r>
      <w:r w:rsidRPr="00310236">
        <w:rPr>
          <w:rFonts w:ascii="Arial Narrow" w:hAnsi="Arial Narrow" w:cs="Arial"/>
          <w:sz w:val="28"/>
          <w:szCs w:val="28"/>
        </w:rPr>
        <w:t>lo fueron en vi</w:t>
      </w:r>
      <w:r>
        <w:rPr>
          <w:rFonts w:ascii="Arial Narrow" w:hAnsi="Arial Narrow" w:cs="Arial"/>
          <w:sz w:val="28"/>
          <w:szCs w:val="28"/>
        </w:rPr>
        <w:t>gencia del Acuerdo 049 de 1990 (fl.56</w:t>
      </w:r>
      <w:r w:rsidRPr="00310236">
        <w:rPr>
          <w:rFonts w:ascii="Arial Narrow" w:hAnsi="Arial Narrow" w:cs="Arial"/>
          <w:sz w:val="28"/>
          <w:szCs w:val="28"/>
        </w:rPr>
        <w:t>.).</w:t>
      </w:r>
    </w:p>
    <w:p w:rsidR="003B0C5B" w:rsidRDefault="003B0C5B" w:rsidP="003B0C5B">
      <w:pPr>
        <w:pStyle w:val="Sinespaciado"/>
      </w:pPr>
    </w:p>
    <w:p w:rsidR="003B0C5B" w:rsidRDefault="003B0C5B" w:rsidP="003B0C5B">
      <w:pPr>
        <w:pStyle w:val="Textoindependiente32"/>
        <w:ind w:firstLine="708"/>
        <w:rPr>
          <w:rFonts w:ascii="Arial Narrow" w:hAnsi="Arial Narrow"/>
          <w:sz w:val="28"/>
          <w:szCs w:val="28"/>
        </w:rPr>
      </w:pPr>
      <w:r w:rsidRPr="006A4EB4">
        <w:rPr>
          <w:rFonts w:ascii="Arial Narrow" w:hAnsi="Arial Narrow"/>
          <w:sz w:val="28"/>
          <w:szCs w:val="28"/>
        </w:rPr>
        <w:t xml:space="preserve">Así las cosas, </w:t>
      </w:r>
      <w:r>
        <w:rPr>
          <w:rFonts w:ascii="Arial Narrow" w:hAnsi="Arial Narrow"/>
          <w:sz w:val="28"/>
          <w:szCs w:val="28"/>
        </w:rPr>
        <w:t xml:space="preserve">la asegurada al 1º de abril de 1994 había aglutinado más de 300 semanas de aportes sufragadas al sistema pensional, las que en vigencia del Acuerdo 049 de 1990 hubieran sido suficientes para alcanzar el derecho a la pensión de invalidez, como quiera que bajo la égida de la Ley 860 de 2003 no había alcanzado 50 semanas de aportes en los tres años anteriores a la fecha de estructuración de la invalidez y tampoco en vigencia de la Ley 100 original, pues su última cotización data del 31 de julio de 2003, según el reporte de semanas cotizadas que obra a fl.65 y ss. </w:t>
      </w:r>
    </w:p>
    <w:p w:rsidR="003B0C5B" w:rsidRPr="00B56395" w:rsidRDefault="003B0C5B" w:rsidP="003B0C5B">
      <w:pPr>
        <w:pStyle w:val="Sinespaciado"/>
      </w:pPr>
    </w:p>
    <w:p w:rsidR="003B0C5B" w:rsidRPr="00F9688E" w:rsidRDefault="003B0C5B" w:rsidP="003B0C5B">
      <w:pPr>
        <w:pStyle w:val="Textoindependiente32"/>
        <w:ind w:firstLine="708"/>
        <w:rPr>
          <w:rFonts w:ascii="Arial Narrow" w:hAnsi="Arial Narrow"/>
          <w:sz w:val="28"/>
          <w:szCs w:val="28"/>
        </w:rPr>
      </w:pPr>
      <w:r w:rsidRPr="00F9688E">
        <w:rPr>
          <w:rFonts w:ascii="Arial Narrow" w:hAnsi="Arial Narrow"/>
          <w:sz w:val="28"/>
          <w:szCs w:val="28"/>
        </w:rPr>
        <w:t xml:space="preserve">Por </w:t>
      </w:r>
      <w:r>
        <w:rPr>
          <w:rFonts w:ascii="Arial Narrow" w:hAnsi="Arial Narrow"/>
          <w:sz w:val="28"/>
          <w:szCs w:val="28"/>
        </w:rPr>
        <w:t>tal razón,</w:t>
      </w:r>
      <w:r w:rsidRPr="00F9688E">
        <w:rPr>
          <w:rFonts w:ascii="Arial Narrow" w:hAnsi="Arial Narrow"/>
          <w:sz w:val="28"/>
          <w:szCs w:val="28"/>
        </w:rPr>
        <w:t xml:space="preserve"> podría abrirse paso al estudio de la aplicación del principio de la condición más beneficiosa, o cualesquiera otro (expectativa legítima, proporcionalidad, favorabilidad, igualdad etc.), que justificara la súplica </w:t>
      </w:r>
      <w:r>
        <w:rPr>
          <w:rFonts w:ascii="Arial Narrow" w:hAnsi="Arial Narrow"/>
          <w:sz w:val="28"/>
          <w:szCs w:val="28"/>
        </w:rPr>
        <w:t xml:space="preserve">de la actora </w:t>
      </w:r>
      <w:r w:rsidRPr="00F9688E">
        <w:rPr>
          <w:rFonts w:ascii="Arial Narrow" w:hAnsi="Arial Narrow"/>
          <w:sz w:val="28"/>
          <w:szCs w:val="28"/>
        </w:rPr>
        <w:t>de s</w:t>
      </w:r>
      <w:r>
        <w:rPr>
          <w:rFonts w:ascii="Arial Narrow" w:hAnsi="Arial Narrow"/>
          <w:sz w:val="28"/>
          <w:szCs w:val="28"/>
        </w:rPr>
        <w:t>altar de la ley 860 de 2003 al A</w:t>
      </w:r>
      <w:r w:rsidRPr="00F9688E">
        <w:rPr>
          <w:rFonts w:ascii="Arial Narrow" w:hAnsi="Arial Narrow"/>
          <w:sz w:val="28"/>
          <w:szCs w:val="28"/>
        </w:rPr>
        <w:t>cuerdo 049 de 1990, en orden a acceder al pedimento pensional, sino fuera porque dada las condiciones como se acreditó el estado invalidante en un 5</w:t>
      </w:r>
      <w:r>
        <w:rPr>
          <w:rFonts w:ascii="Arial Narrow" w:hAnsi="Arial Narrow"/>
          <w:sz w:val="28"/>
          <w:szCs w:val="28"/>
        </w:rPr>
        <w:t>1.70</w:t>
      </w:r>
      <w:r w:rsidRPr="00F9688E">
        <w:rPr>
          <w:rFonts w:ascii="Arial Narrow" w:hAnsi="Arial Narrow"/>
          <w:sz w:val="28"/>
          <w:szCs w:val="28"/>
        </w:rPr>
        <w:t>%, este no satisface para la Sala, el otro requisito para consolidar el derecho deprecado, pese a que la merma laboral supera el 50%.</w:t>
      </w:r>
    </w:p>
    <w:p w:rsidR="003B0C5B" w:rsidRPr="009E4D61" w:rsidRDefault="003B0C5B" w:rsidP="009E4D61">
      <w:pPr>
        <w:pStyle w:val="Sinespaciado"/>
      </w:pPr>
    </w:p>
    <w:p w:rsidR="007C728A" w:rsidRDefault="003B0C5B" w:rsidP="00BB77C8">
      <w:pPr>
        <w:pStyle w:val="Textoindependiente32"/>
        <w:ind w:firstLine="708"/>
        <w:rPr>
          <w:rFonts w:ascii="Arial Narrow" w:hAnsi="Arial Narrow"/>
          <w:sz w:val="28"/>
          <w:szCs w:val="28"/>
        </w:rPr>
      </w:pPr>
      <w:r>
        <w:rPr>
          <w:rFonts w:ascii="Arial Narrow" w:hAnsi="Arial Narrow"/>
          <w:sz w:val="28"/>
          <w:szCs w:val="28"/>
        </w:rPr>
        <w:t xml:space="preserve">Ello, </w:t>
      </w:r>
      <w:r w:rsidR="00943307">
        <w:rPr>
          <w:rFonts w:ascii="Arial Narrow" w:hAnsi="Arial Narrow"/>
          <w:sz w:val="28"/>
          <w:szCs w:val="28"/>
        </w:rPr>
        <w:t>por cuanto</w:t>
      </w:r>
      <w:r w:rsidR="00C82B6D">
        <w:rPr>
          <w:rFonts w:ascii="Arial Narrow" w:hAnsi="Arial Narrow"/>
          <w:sz w:val="28"/>
          <w:szCs w:val="28"/>
        </w:rPr>
        <w:t xml:space="preserve"> </w:t>
      </w:r>
      <w:r w:rsidR="00BB77C8">
        <w:rPr>
          <w:rFonts w:ascii="Arial Narrow" w:hAnsi="Arial Narrow"/>
          <w:sz w:val="28"/>
          <w:szCs w:val="28"/>
        </w:rPr>
        <w:t>el A</w:t>
      </w:r>
      <w:r>
        <w:rPr>
          <w:rFonts w:ascii="Arial Narrow" w:hAnsi="Arial Narrow"/>
          <w:sz w:val="28"/>
          <w:szCs w:val="28"/>
        </w:rPr>
        <w:t>cuerdo 049 d</w:t>
      </w:r>
      <w:r w:rsidR="00C66EE7">
        <w:rPr>
          <w:rFonts w:ascii="Arial Narrow" w:hAnsi="Arial Narrow"/>
          <w:sz w:val="28"/>
          <w:szCs w:val="28"/>
        </w:rPr>
        <w:t xml:space="preserve">e1990, aplicable en virtud </w:t>
      </w:r>
      <w:r>
        <w:rPr>
          <w:rFonts w:ascii="Arial Narrow" w:hAnsi="Arial Narrow"/>
          <w:sz w:val="28"/>
          <w:szCs w:val="28"/>
        </w:rPr>
        <w:t xml:space="preserve">de los comentados principios, </w:t>
      </w:r>
      <w:r w:rsidR="005C3CB6">
        <w:rPr>
          <w:rFonts w:ascii="Arial Narrow" w:hAnsi="Arial Narrow"/>
          <w:sz w:val="28"/>
          <w:szCs w:val="28"/>
        </w:rPr>
        <w:t xml:space="preserve">el cual </w:t>
      </w:r>
      <w:r w:rsidR="00BB77C8">
        <w:rPr>
          <w:rFonts w:ascii="Arial Narrow" w:hAnsi="Arial Narrow"/>
          <w:sz w:val="28"/>
          <w:szCs w:val="28"/>
        </w:rPr>
        <w:t xml:space="preserve">debe acogido en su integridad por fuerza del principio de </w:t>
      </w:r>
      <w:proofErr w:type="spellStart"/>
      <w:r w:rsidR="00BB77C8">
        <w:rPr>
          <w:rFonts w:ascii="Arial Narrow" w:hAnsi="Arial Narrow"/>
          <w:sz w:val="28"/>
          <w:szCs w:val="28"/>
        </w:rPr>
        <w:t>inescendibilidad</w:t>
      </w:r>
      <w:proofErr w:type="spellEnd"/>
      <w:r w:rsidR="00BB77C8">
        <w:rPr>
          <w:rFonts w:ascii="Arial Narrow" w:hAnsi="Arial Narrow"/>
          <w:sz w:val="28"/>
          <w:szCs w:val="28"/>
        </w:rPr>
        <w:t xml:space="preserve"> o </w:t>
      </w:r>
      <w:proofErr w:type="spellStart"/>
      <w:r w:rsidR="00BB77C8">
        <w:rPr>
          <w:rFonts w:ascii="Arial Narrow" w:hAnsi="Arial Narrow"/>
          <w:sz w:val="28"/>
          <w:szCs w:val="28"/>
        </w:rPr>
        <w:t>conglobamiento</w:t>
      </w:r>
      <w:proofErr w:type="spellEnd"/>
      <w:r w:rsidR="00BB77C8">
        <w:rPr>
          <w:rFonts w:ascii="Arial Narrow" w:hAnsi="Arial Narrow"/>
          <w:sz w:val="28"/>
          <w:szCs w:val="28"/>
        </w:rPr>
        <w:t>, establece en su art</w:t>
      </w:r>
      <w:r w:rsidR="007C728A">
        <w:rPr>
          <w:rFonts w:ascii="Arial Narrow" w:hAnsi="Arial Narrow"/>
          <w:sz w:val="28"/>
          <w:szCs w:val="28"/>
        </w:rPr>
        <w:t xml:space="preserve">ículo 9º que, “al asegurado que sin tener derecho a la pensión de vejez, se invalide después de alcanzar las edades establecidas para adquirir el derecho a esa pensión (60 </w:t>
      </w:r>
      <w:r w:rsidR="00AC1F04">
        <w:rPr>
          <w:rFonts w:ascii="Arial Narrow" w:hAnsi="Arial Narrow"/>
          <w:sz w:val="28"/>
          <w:szCs w:val="28"/>
        </w:rPr>
        <w:t xml:space="preserve">años si es varón </w:t>
      </w:r>
      <w:r w:rsidR="007C728A">
        <w:rPr>
          <w:rFonts w:ascii="Arial Narrow" w:hAnsi="Arial Narrow"/>
          <w:sz w:val="28"/>
          <w:szCs w:val="28"/>
        </w:rPr>
        <w:t xml:space="preserve">o 57 </w:t>
      </w:r>
      <w:r w:rsidR="00AC1F04">
        <w:rPr>
          <w:rFonts w:ascii="Arial Narrow" w:hAnsi="Arial Narrow"/>
          <w:sz w:val="28"/>
          <w:szCs w:val="28"/>
        </w:rPr>
        <w:t xml:space="preserve">en el caso de </w:t>
      </w:r>
      <w:r w:rsidR="007C728A">
        <w:rPr>
          <w:rFonts w:ascii="Arial Narrow" w:hAnsi="Arial Narrow"/>
          <w:sz w:val="28"/>
          <w:szCs w:val="28"/>
        </w:rPr>
        <w:t>las mujeres), tendrá derecho a que se le otorgue la indemnización sustitutiva de la pensión</w:t>
      </w:r>
      <w:r w:rsidR="009E4D61">
        <w:rPr>
          <w:rFonts w:ascii="Arial Narrow" w:hAnsi="Arial Narrow"/>
          <w:sz w:val="28"/>
          <w:szCs w:val="28"/>
        </w:rPr>
        <w:t>”</w:t>
      </w:r>
      <w:r w:rsidR="00AC1F04">
        <w:rPr>
          <w:rFonts w:ascii="Arial Narrow" w:hAnsi="Arial Narrow"/>
          <w:sz w:val="28"/>
          <w:szCs w:val="28"/>
        </w:rPr>
        <w:t xml:space="preserve">. </w:t>
      </w:r>
    </w:p>
    <w:p w:rsidR="007C728A" w:rsidRPr="00845D61" w:rsidRDefault="007C728A" w:rsidP="00845D61">
      <w:pPr>
        <w:pStyle w:val="Sinespaciado"/>
      </w:pPr>
    </w:p>
    <w:p w:rsidR="00AC1F04" w:rsidRDefault="00845D61" w:rsidP="00AC1F04">
      <w:pPr>
        <w:pStyle w:val="Textoindependiente32"/>
        <w:ind w:firstLine="708"/>
        <w:rPr>
          <w:rFonts w:ascii="Arial Narrow" w:hAnsi="Arial Narrow"/>
          <w:sz w:val="28"/>
          <w:szCs w:val="28"/>
        </w:rPr>
      </w:pPr>
      <w:r>
        <w:rPr>
          <w:rFonts w:ascii="Arial Narrow" w:hAnsi="Arial Narrow"/>
          <w:sz w:val="28"/>
          <w:szCs w:val="28"/>
        </w:rPr>
        <w:t>En ese orden</w:t>
      </w:r>
      <w:r w:rsidR="00AC1F04">
        <w:rPr>
          <w:rFonts w:ascii="Arial Narrow" w:hAnsi="Arial Narrow"/>
          <w:sz w:val="28"/>
          <w:szCs w:val="28"/>
        </w:rPr>
        <w:t xml:space="preserve">, para los casos en que </w:t>
      </w:r>
      <w:r w:rsidR="00AC1F04" w:rsidRPr="00F9688E">
        <w:rPr>
          <w:rFonts w:ascii="Arial Narrow" w:hAnsi="Arial Narrow"/>
          <w:sz w:val="28"/>
          <w:szCs w:val="28"/>
        </w:rPr>
        <w:t xml:space="preserve">la contingencia que </w:t>
      </w:r>
      <w:r w:rsidR="005C3CB6">
        <w:rPr>
          <w:rFonts w:ascii="Arial Narrow" w:hAnsi="Arial Narrow"/>
          <w:sz w:val="28"/>
          <w:szCs w:val="28"/>
        </w:rPr>
        <w:t xml:space="preserve">determina la fecha </w:t>
      </w:r>
      <w:r w:rsidR="00AC1F04">
        <w:rPr>
          <w:rFonts w:ascii="Arial Narrow" w:hAnsi="Arial Narrow"/>
          <w:sz w:val="28"/>
          <w:szCs w:val="28"/>
        </w:rPr>
        <w:t xml:space="preserve">de estructuración no acaece </w:t>
      </w:r>
      <w:r w:rsidR="00AC1F04" w:rsidRPr="00F9688E">
        <w:rPr>
          <w:rFonts w:ascii="Arial Narrow" w:hAnsi="Arial Narrow"/>
          <w:sz w:val="28"/>
          <w:szCs w:val="28"/>
        </w:rPr>
        <w:t>con antelación al cumplimiento de la edad mínima para recibir la pensión de vejez, no ha</w:t>
      </w:r>
      <w:r w:rsidR="00AC1F04">
        <w:rPr>
          <w:rFonts w:ascii="Arial Narrow" w:hAnsi="Arial Narrow"/>
          <w:sz w:val="28"/>
          <w:szCs w:val="28"/>
        </w:rPr>
        <w:t>bría lugar a que con los aportes de IVM, se garantice</w:t>
      </w:r>
      <w:r w:rsidR="00AC1F04" w:rsidRPr="00F9688E">
        <w:rPr>
          <w:rFonts w:ascii="Arial Narrow" w:hAnsi="Arial Narrow"/>
          <w:sz w:val="28"/>
          <w:szCs w:val="28"/>
        </w:rPr>
        <w:t xml:space="preserve"> el reconocimiento de la pensión</w:t>
      </w:r>
      <w:r w:rsidR="00AC1F04">
        <w:rPr>
          <w:rFonts w:ascii="Arial Narrow" w:hAnsi="Arial Narrow"/>
          <w:sz w:val="28"/>
          <w:szCs w:val="28"/>
        </w:rPr>
        <w:t xml:space="preserve"> de invalidez</w:t>
      </w:r>
      <w:r w:rsidR="00AC1F04" w:rsidRPr="00F9688E">
        <w:rPr>
          <w:rFonts w:ascii="Arial Narrow" w:hAnsi="Arial Narrow"/>
          <w:sz w:val="28"/>
          <w:szCs w:val="28"/>
        </w:rPr>
        <w:t xml:space="preserve">, </w:t>
      </w:r>
      <w:r w:rsidR="00AC1F04">
        <w:rPr>
          <w:rFonts w:ascii="Arial Narrow" w:hAnsi="Arial Narrow"/>
          <w:sz w:val="28"/>
          <w:szCs w:val="28"/>
        </w:rPr>
        <w:t xml:space="preserve">por cuanto </w:t>
      </w:r>
      <w:r w:rsidR="00AC1F04" w:rsidRPr="00F9688E">
        <w:rPr>
          <w:rFonts w:ascii="Arial Narrow" w:hAnsi="Arial Narrow"/>
          <w:sz w:val="28"/>
          <w:szCs w:val="28"/>
        </w:rPr>
        <w:t>en este evento, la fecha de estructuración se sal</w:t>
      </w:r>
      <w:r w:rsidR="00AC1F04">
        <w:rPr>
          <w:rFonts w:ascii="Arial Narrow" w:hAnsi="Arial Narrow"/>
          <w:sz w:val="28"/>
          <w:szCs w:val="28"/>
        </w:rPr>
        <w:t>e</w:t>
      </w:r>
      <w:r w:rsidR="00AC1F04" w:rsidRPr="00F9688E">
        <w:rPr>
          <w:rFonts w:ascii="Arial Narrow" w:hAnsi="Arial Narrow"/>
          <w:sz w:val="28"/>
          <w:szCs w:val="28"/>
        </w:rPr>
        <w:t xml:space="preserve"> de tal marco de referencia, esto es, del propio de la cobertura de la prestación</w:t>
      </w:r>
      <w:r w:rsidR="00AC1F04">
        <w:rPr>
          <w:rFonts w:ascii="Arial Narrow" w:hAnsi="Arial Narrow"/>
          <w:sz w:val="28"/>
          <w:szCs w:val="28"/>
        </w:rPr>
        <w:t>, soportado con el deber de cotizar, que como ya se expuso, no existía para el 201</w:t>
      </w:r>
      <w:r w:rsidR="009E4D61">
        <w:rPr>
          <w:rFonts w:ascii="Arial Narrow" w:hAnsi="Arial Narrow"/>
          <w:sz w:val="28"/>
          <w:szCs w:val="28"/>
        </w:rPr>
        <w:t>1</w:t>
      </w:r>
      <w:r w:rsidR="00AC1F04">
        <w:rPr>
          <w:rFonts w:ascii="Arial Narrow" w:hAnsi="Arial Narrow"/>
          <w:sz w:val="28"/>
          <w:szCs w:val="28"/>
        </w:rPr>
        <w:t xml:space="preserve"> cuand</w:t>
      </w:r>
      <w:r w:rsidR="009E4D61">
        <w:rPr>
          <w:rFonts w:ascii="Arial Narrow" w:hAnsi="Arial Narrow"/>
          <w:sz w:val="28"/>
          <w:szCs w:val="28"/>
        </w:rPr>
        <w:t xml:space="preserve">o se estructuró la invalidez de la actora. </w:t>
      </w:r>
    </w:p>
    <w:p w:rsidR="005C3CB6" w:rsidRPr="002778CC" w:rsidRDefault="005C3CB6" w:rsidP="002778CC">
      <w:pPr>
        <w:pStyle w:val="Sinespaciado"/>
      </w:pPr>
    </w:p>
    <w:p w:rsidR="00943307" w:rsidRDefault="003956F7" w:rsidP="002778CC">
      <w:pPr>
        <w:pStyle w:val="Textoindependiente32"/>
        <w:ind w:firstLine="708"/>
        <w:rPr>
          <w:rFonts w:ascii="Arial Narrow" w:hAnsi="Arial Narrow"/>
          <w:sz w:val="28"/>
          <w:szCs w:val="28"/>
        </w:rPr>
      </w:pPr>
      <w:r>
        <w:rPr>
          <w:rFonts w:ascii="Arial Narrow" w:hAnsi="Arial Narrow"/>
          <w:sz w:val="28"/>
          <w:szCs w:val="28"/>
        </w:rPr>
        <w:lastRenderedPageBreak/>
        <w:t xml:space="preserve">Así las cosas, se precisa que en estos casos es indiferente si la </w:t>
      </w:r>
      <w:r w:rsidR="005A5516">
        <w:rPr>
          <w:rFonts w:ascii="Arial Narrow" w:hAnsi="Arial Narrow"/>
          <w:sz w:val="28"/>
          <w:szCs w:val="28"/>
        </w:rPr>
        <w:t xml:space="preserve">persona ha perdido su capacidad para laborar por el deterioro o decrepitud natural del cuerpo en razón de la edad, o si por el contrario, lo </w:t>
      </w:r>
      <w:r w:rsidR="002778CC">
        <w:rPr>
          <w:rFonts w:ascii="Arial Narrow" w:hAnsi="Arial Narrow"/>
          <w:sz w:val="28"/>
          <w:szCs w:val="28"/>
        </w:rPr>
        <w:t xml:space="preserve">ha sido en razón de una patología </w:t>
      </w:r>
      <w:r w:rsidR="005A5516">
        <w:rPr>
          <w:rFonts w:ascii="Arial Narrow" w:hAnsi="Arial Narrow"/>
          <w:sz w:val="28"/>
          <w:szCs w:val="28"/>
        </w:rPr>
        <w:t xml:space="preserve">congénita, como lo alega la parte recurrente, pues como quedó visto, el Acuerdo 049 de 1990, </w:t>
      </w:r>
      <w:r w:rsidR="009E4D61" w:rsidRPr="00F9688E">
        <w:rPr>
          <w:rFonts w:ascii="Arial Narrow" w:hAnsi="Arial Narrow"/>
          <w:sz w:val="28"/>
          <w:szCs w:val="28"/>
        </w:rPr>
        <w:t xml:space="preserve">cuya aplicación se clama en este asunto, por aplicación de la condición más beneficiosa, </w:t>
      </w:r>
      <w:r w:rsidR="002778CC">
        <w:rPr>
          <w:rFonts w:ascii="Arial Narrow" w:hAnsi="Arial Narrow"/>
          <w:sz w:val="28"/>
          <w:szCs w:val="28"/>
        </w:rPr>
        <w:t xml:space="preserve">no hace ningún tipo de distinción </w:t>
      </w:r>
      <w:r w:rsidR="007125C9">
        <w:rPr>
          <w:rFonts w:ascii="Arial Narrow" w:hAnsi="Arial Narrow"/>
          <w:sz w:val="28"/>
          <w:szCs w:val="28"/>
        </w:rPr>
        <w:t xml:space="preserve">frente al tema, empero, sí </w:t>
      </w:r>
      <w:r w:rsidR="009E4D61">
        <w:rPr>
          <w:rFonts w:ascii="Arial Narrow" w:hAnsi="Arial Narrow"/>
          <w:sz w:val="28"/>
          <w:szCs w:val="28"/>
        </w:rPr>
        <w:t xml:space="preserve">contempla básicamente la hipótesis que acá se ofrece, esto es, que </w:t>
      </w:r>
      <w:r w:rsidR="007125C9">
        <w:rPr>
          <w:rFonts w:ascii="Arial Narrow" w:hAnsi="Arial Narrow"/>
          <w:sz w:val="28"/>
          <w:szCs w:val="28"/>
        </w:rPr>
        <w:t xml:space="preserve">el </w:t>
      </w:r>
      <w:r w:rsidR="009E4D61">
        <w:rPr>
          <w:rFonts w:ascii="Arial Narrow" w:hAnsi="Arial Narrow"/>
          <w:sz w:val="28"/>
          <w:szCs w:val="28"/>
        </w:rPr>
        <w:t>asegurado que sin tener derecho a la pensión de vejez, se invalide después de alcanzar las edades que se señalan en dicho reglamento para adquirir el derecho a dicha pensión de vejez, le asiste el derecho a reclamar, otra modalidad de indemnización sustitutiva, dado que la primera como ya se adujo, lo reglamenta el encabezado de dicha normativa, para “[e]</w:t>
      </w:r>
      <w:r w:rsidR="009E4D61" w:rsidRPr="00161256">
        <w:rPr>
          <w:rFonts w:ascii="Arial Narrow" w:hAnsi="Arial Narrow"/>
          <w:sz w:val="28"/>
          <w:szCs w:val="28"/>
        </w:rPr>
        <w:t>l asegurado que al  momento  de invalidarse  no  tuviere  el número de  semanas  exigidas  en  el literal b) del artículo 6 del presente acuerdo</w:t>
      </w:r>
      <w:r w:rsidR="009E4D61">
        <w:rPr>
          <w:rFonts w:ascii="Arial Narrow" w:hAnsi="Arial Narrow"/>
          <w:sz w:val="28"/>
          <w:szCs w:val="28"/>
        </w:rPr>
        <w:t>…”.</w:t>
      </w:r>
    </w:p>
    <w:p w:rsidR="00F23360" w:rsidRPr="009A1628" w:rsidRDefault="00F23360" w:rsidP="009A1628">
      <w:pPr>
        <w:pStyle w:val="Sinespaciado"/>
      </w:pPr>
    </w:p>
    <w:p w:rsidR="00F23360" w:rsidRDefault="00F23360" w:rsidP="00F23360">
      <w:pPr>
        <w:pStyle w:val="Textoindependiente32"/>
        <w:ind w:firstLine="708"/>
        <w:rPr>
          <w:rFonts w:ascii="Arial Narrow" w:hAnsi="Arial Narrow"/>
          <w:sz w:val="28"/>
          <w:szCs w:val="28"/>
        </w:rPr>
      </w:pPr>
      <w:r>
        <w:rPr>
          <w:rFonts w:ascii="Arial Narrow" w:hAnsi="Arial Narrow"/>
          <w:sz w:val="28"/>
          <w:szCs w:val="28"/>
        </w:rPr>
        <w:t xml:space="preserve">De allí entonces que la pretensión de la parte actora no ostenta vocación de ventura, pues como se avista, para la calenda de estructura de su estado de invalidez, se encontraba fuera del ámbito de cobertura del sistema pensional para esta contingencia, por lo que ni siquiera acudiendo al principio de la condición más beneficiosa, es posible que se aplique tal gracia pensional. </w:t>
      </w:r>
    </w:p>
    <w:p w:rsidR="007125C9" w:rsidRPr="009A1628" w:rsidRDefault="007125C9" w:rsidP="009A1628">
      <w:pPr>
        <w:pStyle w:val="Sinespaciado"/>
      </w:pPr>
    </w:p>
    <w:p w:rsidR="003C284C" w:rsidRDefault="00DA4C90" w:rsidP="003C284C">
      <w:pPr>
        <w:pStyle w:val="Textoindependiente32"/>
        <w:ind w:firstLine="708"/>
        <w:rPr>
          <w:rFonts w:ascii="Arial Narrow" w:hAnsi="Arial Narrow"/>
          <w:sz w:val="28"/>
          <w:szCs w:val="28"/>
        </w:rPr>
      </w:pPr>
      <w:r>
        <w:rPr>
          <w:rFonts w:ascii="Arial Narrow" w:hAnsi="Arial Narrow"/>
          <w:sz w:val="28"/>
          <w:szCs w:val="28"/>
        </w:rPr>
        <w:t xml:space="preserve">Ahora, </w:t>
      </w:r>
      <w:r w:rsidR="007125C9">
        <w:rPr>
          <w:rFonts w:ascii="Arial Narrow" w:hAnsi="Arial Narrow"/>
          <w:sz w:val="28"/>
          <w:szCs w:val="28"/>
        </w:rPr>
        <w:t xml:space="preserve">si en gracia de discusión se </w:t>
      </w:r>
      <w:r w:rsidR="00845D61">
        <w:rPr>
          <w:rFonts w:ascii="Arial Narrow" w:hAnsi="Arial Narrow"/>
          <w:sz w:val="28"/>
          <w:szCs w:val="28"/>
        </w:rPr>
        <w:t xml:space="preserve">analizara </w:t>
      </w:r>
      <w:r w:rsidR="007125C9">
        <w:rPr>
          <w:rFonts w:ascii="Arial Narrow" w:hAnsi="Arial Narrow"/>
          <w:sz w:val="28"/>
          <w:szCs w:val="28"/>
        </w:rPr>
        <w:t xml:space="preserve">la tesis del recurrente, </w:t>
      </w:r>
      <w:r w:rsidR="00845D61">
        <w:rPr>
          <w:rFonts w:ascii="Arial Narrow" w:hAnsi="Arial Narrow"/>
          <w:sz w:val="28"/>
          <w:szCs w:val="28"/>
        </w:rPr>
        <w:t xml:space="preserve">consistente en que </w:t>
      </w:r>
      <w:r w:rsidR="007125C9">
        <w:rPr>
          <w:rFonts w:ascii="Arial Narrow" w:hAnsi="Arial Narrow"/>
          <w:sz w:val="28"/>
          <w:szCs w:val="28"/>
        </w:rPr>
        <w:t xml:space="preserve">no fueron las consecuencias normales de la vejez las que propiciaron la estructuración de la invalidez de la actora, sino </w:t>
      </w:r>
      <w:r w:rsidR="003C284C">
        <w:rPr>
          <w:rFonts w:ascii="Arial Narrow" w:hAnsi="Arial Narrow"/>
          <w:sz w:val="28"/>
          <w:szCs w:val="28"/>
        </w:rPr>
        <w:t xml:space="preserve">su </w:t>
      </w:r>
      <w:r w:rsidR="00845D61">
        <w:rPr>
          <w:rFonts w:ascii="Arial Narrow" w:hAnsi="Arial Narrow"/>
          <w:sz w:val="28"/>
          <w:szCs w:val="28"/>
        </w:rPr>
        <w:t xml:space="preserve">patología </w:t>
      </w:r>
      <w:r w:rsidR="007125C9">
        <w:rPr>
          <w:rFonts w:ascii="Arial Narrow" w:hAnsi="Arial Narrow"/>
          <w:sz w:val="28"/>
          <w:szCs w:val="28"/>
        </w:rPr>
        <w:t>cong</w:t>
      </w:r>
      <w:r w:rsidR="003C284C">
        <w:rPr>
          <w:rFonts w:ascii="Arial Narrow" w:hAnsi="Arial Narrow"/>
          <w:sz w:val="28"/>
          <w:szCs w:val="28"/>
        </w:rPr>
        <w:t xml:space="preserve">énita, habrá que precisar que </w:t>
      </w:r>
      <w:r w:rsidR="00393F54">
        <w:rPr>
          <w:rFonts w:ascii="Arial Narrow" w:hAnsi="Arial Narrow"/>
          <w:sz w:val="28"/>
          <w:szCs w:val="28"/>
        </w:rPr>
        <w:t xml:space="preserve">aunque </w:t>
      </w:r>
      <w:r w:rsidR="003C284C">
        <w:rPr>
          <w:rFonts w:ascii="Arial Narrow" w:hAnsi="Arial Narrow"/>
          <w:sz w:val="28"/>
          <w:szCs w:val="28"/>
        </w:rPr>
        <w:t xml:space="preserve">la displasia o luxación de cadera apareció en la demandante en una edad muy temprana, o bien desde su nacimiento, conforme se avizora del dictamen de calificación, </w:t>
      </w:r>
      <w:r w:rsidR="009A1628">
        <w:rPr>
          <w:rFonts w:ascii="Arial Narrow" w:hAnsi="Arial Narrow"/>
          <w:sz w:val="28"/>
          <w:szCs w:val="28"/>
        </w:rPr>
        <w:t xml:space="preserve">esa lesión </w:t>
      </w:r>
      <w:r w:rsidR="003C284C">
        <w:rPr>
          <w:rFonts w:ascii="Arial Narrow" w:hAnsi="Arial Narrow"/>
          <w:sz w:val="28"/>
          <w:szCs w:val="28"/>
        </w:rPr>
        <w:t xml:space="preserve">no fue la que le otorgó el grado de invalidez superior al 50%, </w:t>
      </w:r>
      <w:r w:rsidR="00393F54">
        <w:rPr>
          <w:rFonts w:ascii="Arial Narrow" w:hAnsi="Arial Narrow"/>
          <w:sz w:val="28"/>
          <w:szCs w:val="28"/>
        </w:rPr>
        <w:t xml:space="preserve">a pesar de </w:t>
      </w:r>
      <w:r w:rsidR="003C284C">
        <w:rPr>
          <w:rFonts w:ascii="Arial Narrow" w:hAnsi="Arial Narrow"/>
          <w:sz w:val="28"/>
          <w:szCs w:val="28"/>
        </w:rPr>
        <w:t xml:space="preserve">haber sido la </w:t>
      </w:r>
      <w:r w:rsidR="00593493">
        <w:rPr>
          <w:rFonts w:ascii="Arial Narrow" w:hAnsi="Arial Narrow"/>
          <w:sz w:val="28"/>
          <w:szCs w:val="28"/>
        </w:rPr>
        <w:t xml:space="preserve">causa que desarrolló </w:t>
      </w:r>
      <w:r w:rsidR="003C284C">
        <w:rPr>
          <w:rFonts w:ascii="Arial Narrow" w:hAnsi="Arial Narrow"/>
          <w:sz w:val="28"/>
          <w:szCs w:val="28"/>
        </w:rPr>
        <w:t>la cox</w:t>
      </w:r>
      <w:r w:rsidR="00447EF6">
        <w:rPr>
          <w:rFonts w:ascii="Arial Narrow" w:hAnsi="Arial Narrow"/>
          <w:sz w:val="28"/>
          <w:szCs w:val="28"/>
        </w:rPr>
        <w:t xml:space="preserve">artrosis, pues fueron 4 los diagnósticos que motivaron la calificación de la pérdida de capacidad laboral en proporción igual al 51.70 %, (i) secuela de fractura de fémur derecho, (ii) reflujo gastroesofágico, (iii) artrosis de rodilla izquierda y, (iv) coxartrosis congénita de cadera. </w:t>
      </w:r>
    </w:p>
    <w:p w:rsidR="00447EF6" w:rsidRDefault="00447EF6" w:rsidP="00447EF6">
      <w:pPr>
        <w:pStyle w:val="Sinespaciado"/>
      </w:pPr>
    </w:p>
    <w:p w:rsidR="00D85174" w:rsidRDefault="00447EF6" w:rsidP="00447EF6">
      <w:pPr>
        <w:pStyle w:val="Textoindependiente32"/>
        <w:ind w:firstLine="708"/>
        <w:rPr>
          <w:rFonts w:ascii="Arial Narrow" w:hAnsi="Arial Narrow"/>
          <w:sz w:val="28"/>
          <w:szCs w:val="28"/>
        </w:rPr>
      </w:pPr>
      <w:r>
        <w:rPr>
          <w:rFonts w:ascii="Arial Narrow" w:hAnsi="Arial Narrow"/>
          <w:sz w:val="28"/>
          <w:szCs w:val="28"/>
        </w:rPr>
        <w:lastRenderedPageBreak/>
        <w:t xml:space="preserve">De ahí que se infiera que la artrosis de cadera, </w:t>
      </w:r>
      <w:r w:rsidR="009A1628">
        <w:rPr>
          <w:rFonts w:ascii="Arial Narrow" w:hAnsi="Arial Narrow"/>
          <w:sz w:val="28"/>
          <w:szCs w:val="28"/>
        </w:rPr>
        <w:t xml:space="preserve">por </w:t>
      </w:r>
      <w:r>
        <w:rPr>
          <w:rFonts w:ascii="Arial Narrow" w:hAnsi="Arial Narrow"/>
          <w:sz w:val="28"/>
          <w:szCs w:val="28"/>
        </w:rPr>
        <w:t>si sola</w:t>
      </w:r>
      <w:r w:rsidR="00D85174">
        <w:rPr>
          <w:rFonts w:ascii="Arial Narrow" w:hAnsi="Arial Narrow"/>
          <w:sz w:val="28"/>
          <w:szCs w:val="28"/>
        </w:rPr>
        <w:t xml:space="preserve">, no era suficiente para encumbrar </w:t>
      </w:r>
      <w:r>
        <w:rPr>
          <w:rFonts w:ascii="Arial Narrow" w:hAnsi="Arial Narrow"/>
          <w:sz w:val="28"/>
          <w:szCs w:val="28"/>
        </w:rPr>
        <w:t xml:space="preserve">la </w:t>
      </w:r>
      <w:r w:rsidR="00D85174">
        <w:rPr>
          <w:rFonts w:ascii="Arial Narrow" w:hAnsi="Arial Narrow"/>
          <w:sz w:val="28"/>
          <w:szCs w:val="28"/>
        </w:rPr>
        <w:t xml:space="preserve">pérdida de capacidad laboral igual o superior al 50 %, </w:t>
      </w:r>
      <w:r w:rsidR="009A1628">
        <w:rPr>
          <w:rFonts w:ascii="Arial Narrow" w:hAnsi="Arial Narrow"/>
          <w:sz w:val="28"/>
          <w:szCs w:val="28"/>
        </w:rPr>
        <w:t xml:space="preserve">siendo necesaria la integración con </w:t>
      </w:r>
      <w:r w:rsidR="00D85174">
        <w:rPr>
          <w:rFonts w:ascii="Arial Narrow" w:hAnsi="Arial Narrow"/>
          <w:sz w:val="28"/>
          <w:szCs w:val="28"/>
        </w:rPr>
        <w:t xml:space="preserve">las demás patologías. </w:t>
      </w:r>
    </w:p>
    <w:p w:rsidR="00943307" w:rsidRDefault="00943307" w:rsidP="004E0E00">
      <w:pPr>
        <w:pStyle w:val="Sinespaciado"/>
      </w:pPr>
    </w:p>
    <w:p w:rsidR="004E0E00" w:rsidRDefault="004E0E00" w:rsidP="004E0E00">
      <w:pPr>
        <w:pStyle w:val="Textoindependiente32"/>
        <w:ind w:firstLine="708"/>
        <w:rPr>
          <w:rFonts w:ascii="Arial Narrow" w:hAnsi="Arial Narrow"/>
          <w:sz w:val="28"/>
          <w:szCs w:val="28"/>
        </w:rPr>
      </w:pPr>
      <w:r>
        <w:rPr>
          <w:rFonts w:ascii="Arial Narrow" w:hAnsi="Arial Narrow"/>
          <w:sz w:val="28"/>
          <w:szCs w:val="28"/>
        </w:rPr>
        <w:t>De otra parte, observa la Sala que la calificación no desconoció el hecho de que la pérdida de capacidad laboral en los casos de enfermedades crónicas, degenerativas o congénitas, es gradual y paulatina, y no se da a partir del momento en que aparece el primer síntoma o se diagnostica la enfermedad como tantas veces lo ha increpado la jurisprudencia. Por lo que la Sala entiende que en razón de ello, la Comisión Medica Laboral del Seguro Social fijó la fecha de estructuración para el 29 de marzo de 2011, calenda en la que consideró que las consecuencias definitivas de la enfermedad se formalizaron y era imposible su tratamiento. Aunado a ello, la parte actora en ninguno de los pedimentos de esta acción judicial se encargó de combatir la fecha de estructuración dictaminada, ni mucho menos, los porcentajes asignados a cada una de las patologías.</w:t>
      </w:r>
    </w:p>
    <w:p w:rsidR="003B0C5B" w:rsidRDefault="003B0C5B" w:rsidP="004E0E00">
      <w:pPr>
        <w:pStyle w:val="Sinespaciado"/>
      </w:pPr>
    </w:p>
    <w:p w:rsidR="00F23360" w:rsidRDefault="00845D61" w:rsidP="00F23360">
      <w:pPr>
        <w:pStyle w:val="Sinespaciado"/>
        <w:ind w:firstLine="708"/>
        <w:rPr>
          <w:rFonts w:ascii="Arial Narrow" w:hAnsi="Arial Narrow" w:cs="Arial"/>
          <w:sz w:val="28"/>
          <w:szCs w:val="28"/>
          <w:lang w:val="es-ES"/>
        </w:rPr>
      </w:pPr>
      <w:r w:rsidRPr="00F23360">
        <w:rPr>
          <w:rFonts w:ascii="Arial Narrow" w:hAnsi="Arial Narrow"/>
          <w:sz w:val="28"/>
          <w:szCs w:val="28"/>
        </w:rPr>
        <w:t xml:space="preserve">De manera que, </w:t>
      </w:r>
      <w:r w:rsidR="003B0C5B">
        <w:rPr>
          <w:rFonts w:ascii="Arial Narrow" w:hAnsi="Arial Narrow" w:cs="Arial"/>
          <w:sz w:val="28"/>
          <w:szCs w:val="28"/>
          <w:lang w:val="es-ES"/>
        </w:rPr>
        <w:t xml:space="preserve">se confirmará por razones distintas la sentencia apelada. </w:t>
      </w:r>
    </w:p>
    <w:p w:rsidR="00F23360" w:rsidRDefault="00F23360" w:rsidP="00F23360">
      <w:pPr>
        <w:pStyle w:val="Sinespaciado"/>
        <w:ind w:firstLine="708"/>
        <w:rPr>
          <w:rFonts w:ascii="Arial Narrow" w:hAnsi="Arial Narrow" w:cs="Arial"/>
          <w:sz w:val="28"/>
          <w:szCs w:val="28"/>
          <w:lang w:val="es-ES"/>
        </w:rPr>
      </w:pPr>
    </w:p>
    <w:p w:rsidR="003B0C5B" w:rsidRPr="00F23360" w:rsidRDefault="003B0C5B" w:rsidP="00F23360">
      <w:pPr>
        <w:pStyle w:val="Sinespaciado"/>
        <w:ind w:firstLine="708"/>
        <w:rPr>
          <w:rFonts w:ascii="Arial Narrow" w:hAnsi="Arial Narrow"/>
          <w:sz w:val="28"/>
          <w:szCs w:val="28"/>
        </w:rPr>
      </w:pPr>
      <w:r>
        <w:rPr>
          <w:rFonts w:ascii="Arial Narrow" w:hAnsi="Arial Narrow"/>
          <w:sz w:val="28"/>
          <w:szCs w:val="28"/>
        </w:rPr>
        <w:t>Costas en esta instancia a cargo del recurrente.</w:t>
      </w:r>
      <w:r w:rsidRPr="00AA1865">
        <w:rPr>
          <w:rFonts w:ascii="Arial Narrow" w:hAnsi="Arial Narrow"/>
          <w:sz w:val="28"/>
          <w:szCs w:val="28"/>
        </w:rPr>
        <w:t xml:space="preserve"> </w:t>
      </w:r>
    </w:p>
    <w:p w:rsidR="003B0C5B" w:rsidRPr="000D618D" w:rsidRDefault="003B0C5B" w:rsidP="003B0C5B">
      <w:pPr>
        <w:pStyle w:val="Sinespaciado"/>
        <w:spacing w:line="276" w:lineRule="auto"/>
      </w:pPr>
    </w:p>
    <w:p w:rsidR="003B0C5B" w:rsidRPr="00310236" w:rsidRDefault="003B0C5B" w:rsidP="003B0C5B">
      <w:pPr>
        <w:pStyle w:val="Prrafodelista1"/>
        <w:spacing w:after="0" w:line="360" w:lineRule="auto"/>
        <w:ind w:left="0" w:firstLine="900"/>
        <w:jc w:val="both"/>
        <w:rPr>
          <w:rFonts w:ascii="Arial Narrow" w:hAnsi="Arial Narrow"/>
          <w:sz w:val="28"/>
          <w:szCs w:val="28"/>
        </w:rPr>
      </w:pPr>
      <w:r w:rsidRPr="00AA1865">
        <w:rPr>
          <w:rFonts w:ascii="Arial Narrow" w:hAnsi="Arial Narrow"/>
          <w:sz w:val="28"/>
          <w:szCs w:val="28"/>
        </w:rPr>
        <w:t>En mérito de lo expuesto, el Tribunal Superior</w:t>
      </w:r>
      <w:r w:rsidRPr="00310236">
        <w:rPr>
          <w:rFonts w:ascii="Arial Narrow" w:hAnsi="Arial Narrow"/>
          <w:sz w:val="28"/>
          <w:szCs w:val="28"/>
        </w:rPr>
        <w:t xml:space="preserve"> del Distrito Judicial de Pereira - Risaralda, Sala Laboral, administrando justicia en nombre de la República y por autoridad de la ley,</w:t>
      </w:r>
    </w:p>
    <w:p w:rsidR="003B0C5B" w:rsidRPr="009A1628" w:rsidRDefault="003B0C5B" w:rsidP="003B0C5B">
      <w:pPr>
        <w:spacing w:line="360" w:lineRule="auto"/>
        <w:jc w:val="center"/>
        <w:rPr>
          <w:rFonts w:ascii="Arial Narrow" w:hAnsi="Arial Narrow" w:cs="Arial"/>
          <w:i/>
          <w:sz w:val="29"/>
          <w:szCs w:val="29"/>
        </w:rPr>
      </w:pPr>
      <w:r w:rsidRPr="009A1628">
        <w:rPr>
          <w:rFonts w:ascii="Arial Narrow" w:hAnsi="Arial Narrow" w:cs="Arial"/>
          <w:i/>
          <w:sz w:val="29"/>
          <w:szCs w:val="29"/>
        </w:rPr>
        <w:t>FALLA</w:t>
      </w:r>
    </w:p>
    <w:p w:rsidR="003B0C5B" w:rsidRPr="009A1628" w:rsidRDefault="003B0C5B" w:rsidP="003B0C5B">
      <w:pPr>
        <w:pStyle w:val="Sinespaciado"/>
        <w:rPr>
          <w:color w:val="FF0000"/>
        </w:rPr>
      </w:pPr>
    </w:p>
    <w:p w:rsidR="003B0C5B" w:rsidRPr="009A1628" w:rsidRDefault="003B0C5B" w:rsidP="003B0C5B">
      <w:pPr>
        <w:numPr>
          <w:ilvl w:val="0"/>
          <w:numId w:val="1"/>
        </w:numPr>
        <w:spacing w:line="360" w:lineRule="auto"/>
        <w:ind w:left="0" w:firstLine="426"/>
        <w:jc w:val="both"/>
        <w:rPr>
          <w:lang w:val="es-ES"/>
        </w:rPr>
      </w:pPr>
      <w:r w:rsidRPr="009A1628">
        <w:rPr>
          <w:rFonts w:ascii="Arial Narrow" w:hAnsi="Arial Narrow" w:cs="Arial"/>
          <w:spacing w:val="-2"/>
          <w:sz w:val="28"/>
          <w:szCs w:val="28"/>
        </w:rPr>
        <w:t>Confirma por razones distintas</w:t>
      </w:r>
      <w:r w:rsidRPr="009A1628">
        <w:rPr>
          <w:rFonts w:ascii="Arial Narrow" w:hAnsi="Arial Narrow" w:cs="Arial"/>
          <w:i/>
          <w:spacing w:val="-2"/>
          <w:sz w:val="28"/>
          <w:szCs w:val="28"/>
        </w:rPr>
        <w:t xml:space="preserve"> </w:t>
      </w:r>
      <w:r w:rsidRPr="009A1628">
        <w:rPr>
          <w:rFonts w:ascii="Arial Narrow" w:hAnsi="Arial Narrow" w:cs="Arial"/>
          <w:spacing w:val="-2"/>
          <w:sz w:val="28"/>
          <w:szCs w:val="28"/>
        </w:rPr>
        <w:t>la sentencia del 1</w:t>
      </w:r>
      <w:r w:rsidR="009A1628" w:rsidRPr="009A1628">
        <w:rPr>
          <w:rFonts w:ascii="Arial Narrow" w:hAnsi="Arial Narrow" w:cs="Arial"/>
          <w:spacing w:val="-2"/>
          <w:sz w:val="28"/>
          <w:szCs w:val="28"/>
        </w:rPr>
        <w:t>1 de junio de 2</w:t>
      </w:r>
      <w:r w:rsidRPr="009A1628">
        <w:rPr>
          <w:rFonts w:ascii="Arial Narrow" w:hAnsi="Arial Narrow" w:cs="Arial"/>
          <w:spacing w:val="-2"/>
          <w:sz w:val="28"/>
          <w:szCs w:val="28"/>
        </w:rPr>
        <w:t xml:space="preserve">015, proferida por el Juzgado </w:t>
      </w:r>
      <w:r w:rsidR="009A1628" w:rsidRPr="009A1628">
        <w:rPr>
          <w:rFonts w:ascii="Arial Narrow" w:hAnsi="Arial Narrow" w:cs="Arial"/>
          <w:spacing w:val="-2"/>
          <w:sz w:val="28"/>
          <w:szCs w:val="28"/>
        </w:rPr>
        <w:t xml:space="preserve">Cuarto </w:t>
      </w:r>
      <w:r w:rsidRPr="009A1628">
        <w:rPr>
          <w:rFonts w:ascii="Arial Narrow" w:hAnsi="Arial Narrow" w:cs="Arial"/>
          <w:spacing w:val="-2"/>
          <w:sz w:val="28"/>
          <w:szCs w:val="28"/>
        </w:rPr>
        <w:t>Laboral del Circuito de Pereira, dentro del proceso de la referencia.</w:t>
      </w:r>
    </w:p>
    <w:p w:rsidR="003B0C5B" w:rsidRPr="009A1628" w:rsidRDefault="003B0C5B" w:rsidP="003B0C5B">
      <w:pPr>
        <w:pStyle w:val="Sinespaciado"/>
        <w:rPr>
          <w:lang w:val="es-ES"/>
        </w:rPr>
      </w:pPr>
    </w:p>
    <w:p w:rsidR="003B0C5B" w:rsidRPr="009A1628" w:rsidRDefault="003B0C5B" w:rsidP="003B0C5B">
      <w:pPr>
        <w:numPr>
          <w:ilvl w:val="0"/>
          <w:numId w:val="1"/>
        </w:numPr>
        <w:spacing w:line="360" w:lineRule="auto"/>
        <w:ind w:left="0" w:firstLine="426"/>
        <w:jc w:val="both"/>
        <w:rPr>
          <w:lang w:val="es-ES"/>
        </w:rPr>
      </w:pPr>
      <w:r w:rsidRPr="009A1628">
        <w:rPr>
          <w:rFonts w:ascii="Arial Narrow" w:hAnsi="Arial Narrow"/>
          <w:sz w:val="28"/>
          <w:szCs w:val="28"/>
        </w:rPr>
        <w:t xml:space="preserve">Costas en esta instancia a cargo del recurrente. </w:t>
      </w:r>
    </w:p>
    <w:p w:rsidR="003B0C5B" w:rsidRPr="009A1628" w:rsidRDefault="003B0C5B" w:rsidP="003B0C5B">
      <w:pPr>
        <w:pStyle w:val="Prrafodelista"/>
        <w:spacing w:line="276" w:lineRule="auto"/>
        <w:rPr>
          <w:rFonts w:ascii="Arial Narrow" w:hAnsi="Arial Narrow"/>
          <w:sz w:val="28"/>
          <w:szCs w:val="28"/>
          <w:lang w:val="es-ES"/>
        </w:rPr>
      </w:pPr>
    </w:p>
    <w:p w:rsidR="003B0C5B" w:rsidRPr="009A1628" w:rsidRDefault="003B0C5B" w:rsidP="003B0C5B">
      <w:pPr>
        <w:spacing w:line="360" w:lineRule="auto"/>
        <w:jc w:val="both"/>
        <w:rPr>
          <w:rFonts w:ascii="Arial Narrow" w:hAnsi="Arial Narrow"/>
          <w:sz w:val="28"/>
          <w:szCs w:val="28"/>
          <w:lang w:val="es-ES"/>
        </w:rPr>
      </w:pPr>
      <w:r w:rsidRPr="009A1628">
        <w:rPr>
          <w:rFonts w:ascii="Arial Narrow" w:hAnsi="Arial Narrow"/>
          <w:sz w:val="28"/>
          <w:szCs w:val="28"/>
          <w:lang w:val="es-ES"/>
        </w:rPr>
        <w:t xml:space="preserve">NOTIFIQUESE, CÚMPLASE Y DEVUÉLVASE. </w:t>
      </w:r>
    </w:p>
    <w:p w:rsidR="003B0C5B" w:rsidRPr="009A1628" w:rsidRDefault="003B0C5B" w:rsidP="003B0C5B">
      <w:pPr>
        <w:pStyle w:val="Sinespaciado"/>
        <w:spacing w:line="276" w:lineRule="auto"/>
        <w:rPr>
          <w:lang w:val="es-CO"/>
        </w:rPr>
      </w:pPr>
    </w:p>
    <w:p w:rsidR="003B0C5B" w:rsidRPr="009A1628" w:rsidRDefault="003B0C5B" w:rsidP="003B0C5B">
      <w:pPr>
        <w:spacing w:line="360" w:lineRule="auto"/>
        <w:ind w:firstLine="900"/>
        <w:jc w:val="both"/>
        <w:rPr>
          <w:rFonts w:ascii="Arial Narrow" w:hAnsi="Arial Narrow" w:cs="Microsoft Sans Serif"/>
          <w:bCs/>
          <w:iCs/>
          <w:sz w:val="28"/>
          <w:szCs w:val="28"/>
          <w:lang w:val="es-ES"/>
        </w:rPr>
      </w:pPr>
      <w:r w:rsidRPr="009A1628">
        <w:rPr>
          <w:rFonts w:ascii="Arial Narrow" w:hAnsi="Arial Narrow" w:cs="Microsoft Sans Serif"/>
          <w:bCs/>
          <w:iCs/>
          <w:sz w:val="28"/>
          <w:szCs w:val="28"/>
          <w:lang w:val="es-ES"/>
        </w:rPr>
        <w:t>La anterior decisión queda notificada en estrados.</w:t>
      </w:r>
    </w:p>
    <w:p w:rsidR="003B0C5B" w:rsidRPr="009A1628" w:rsidRDefault="003B0C5B" w:rsidP="003B0C5B">
      <w:pPr>
        <w:pStyle w:val="Sinespaciado"/>
        <w:spacing w:line="360" w:lineRule="auto"/>
        <w:rPr>
          <w:sz w:val="28"/>
          <w:szCs w:val="28"/>
        </w:rPr>
      </w:pPr>
    </w:p>
    <w:p w:rsidR="003B0C5B" w:rsidRDefault="003B0C5B" w:rsidP="003B0C5B">
      <w:pPr>
        <w:pStyle w:val="Sinespaciado"/>
        <w:spacing w:line="360" w:lineRule="auto"/>
        <w:rPr>
          <w:sz w:val="28"/>
          <w:szCs w:val="28"/>
        </w:rPr>
      </w:pPr>
    </w:p>
    <w:p w:rsidR="009A1628" w:rsidRPr="009A1628" w:rsidRDefault="009A1628" w:rsidP="003B0C5B">
      <w:pPr>
        <w:pStyle w:val="Sinespaciado"/>
        <w:spacing w:line="360" w:lineRule="auto"/>
        <w:rPr>
          <w:sz w:val="28"/>
          <w:szCs w:val="28"/>
        </w:rPr>
      </w:pPr>
    </w:p>
    <w:p w:rsidR="003B0C5B" w:rsidRPr="009A1628" w:rsidRDefault="003B0C5B" w:rsidP="003B0C5B">
      <w:pPr>
        <w:pStyle w:val="Sinespaciado"/>
        <w:jc w:val="center"/>
        <w:rPr>
          <w:rFonts w:ascii="Arial Narrow" w:hAnsi="Arial Narrow"/>
          <w:sz w:val="28"/>
          <w:szCs w:val="28"/>
          <w:lang w:val="es-ES"/>
        </w:rPr>
      </w:pPr>
      <w:r w:rsidRPr="009A1628">
        <w:rPr>
          <w:rFonts w:ascii="Arial Narrow" w:hAnsi="Arial Narrow"/>
          <w:sz w:val="28"/>
          <w:szCs w:val="28"/>
          <w:lang w:val="es-ES"/>
        </w:rPr>
        <w:lastRenderedPageBreak/>
        <w:t>FRANCISCO JAVIER TAMAYO TABARES</w:t>
      </w:r>
    </w:p>
    <w:p w:rsidR="003B0C5B" w:rsidRPr="009A1628" w:rsidRDefault="003B0C5B" w:rsidP="003B0C5B">
      <w:pPr>
        <w:pStyle w:val="Sinespaciado"/>
        <w:jc w:val="center"/>
        <w:rPr>
          <w:rFonts w:ascii="Arial Narrow" w:hAnsi="Arial Narrow"/>
          <w:sz w:val="28"/>
          <w:szCs w:val="28"/>
          <w:lang w:val="es-ES"/>
        </w:rPr>
      </w:pPr>
      <w:r w:rsidRPr="009A1628">
        <w:rPr>
          <w:rFonts w:ascii="Arial Narrow" w:hAnsi="Arial Narrow"/>
          <w:sz w:val="28"/>
          <w:szCs w:val="28"/>
          <w:lang w:val="es-ES"/>
        </w:rPr>
        <w:t>Magistrado Ponente</w:t>
      </w:r>
    </w:p>
    <w:p w:rsidR="003B0C5B" w:rsidRPr="009A1628" w:rsidRDefault="003B0C5B" w:rsidP="003B0C5B">
      <w:pPr>
        <w:spacing w:line="360" w:lineRule="auto"/>
        <w:ind w:firstLine="900"/>
        <w:jc w:val="center"/>
        <w:rPr>
          <w:rFonts w:ascii="Arial Narrow" w:hAnsi="Arial Narrow" w:cs="Microsoft Sans Serif"/>
          <w:sz w:val="28"/>
          <w:szCs w:val="28"/>
          <w:lang w:val="es-ES"/>
        </w:rPr>
      </w:pPr>
    </w:p>
    <w:p w:rsidR="003B0C5B" w:rsidRPr="009A1628" w:rsidRDefault="003B0C5B" w:rsidP="003B0C5B">
      <w:pPr>
        <w:pStyle w:val="Sinespaciado"/>
      </w:pPr>
    </w:p>
    <w:p w:rsidR="003B0C5B" w:rsidRPr="009A1628" w:rsidRDefault="003B0C5B" w:rsidP="003B0C5B">
      <w:pPr>
        <w:pStyle w:val="Sinespaciado"/>
      </w:pPr>
    </w:p>
    <w:p w:rsidR="003B0C5B" w:rsidRPr="009A1628" w:rsidRDefault="003B0C5B" w:rsidP="003B0C5B">
      <w:pPr>
        <w:spacing w:line="360" w:lineRule="auto"/>
        <w:jc w:val="both"/>
        <w:rPr>
          <w:rFonts w:ascii="Arial Narrow" w:hAnsi="Arial Narrow" w:cs="Microsoft Sans Serif"/>
          <w:bCs/>
          <w:iCs/>
          <w:sz w:val="28"/>
          <w:szCs w:val="28"/>
          <w:lang w:val="es-ES"/>
        </w:rPr>
      </w:pPr>
    </w:p>
    <w:p w:rsidR="003B0C5B" w:rsidRPr="009A1628" w:rsidRDefault="003B0C5B" w:rsidP="003B0C5B">
      <w:pPr>
        <w:jc w:val="both"/>
        <w:rPr>
          <w:rFonts w:ascii="Arial Narrow" w:hAnsi="Arial Narrow" w:cs="Microsoft Sans Serif"/>
          <w:sz w:val="28"/>
          <w:szCs w:val="28"/>
          <w:lang w:val="es-ES"/>
        </w:rPr>
      </w:pPr>
      <w:r w:rsidRPr="009A1628">
        <w:rPr>
          <w:rFonts w:ascii="Arial Narrow" w:hAnsi="Arial Narrow" w:cs="Microsoft Sans Serif"/>
          <w:bCs/>
          <w:iCs/>
          <w:sz w:val="28"/>
          <w:szCs w:val="28"/>
          <w:lang w:val="es-ES"/>
        </w:rPr>
        <w:t xml:space="preserve">ANA LUCÍA CAICEDO CALDERÓN                 </w:t>
      </w:r>
      <w:r w:rsidR="009A1628" w:rsidRPr="009A1628">
        <w:rPr>
          <w:rFonts w:ascii="Arial Narrow" w:hAnsi="Arial Narrow" w:cs="Microsoft Sans Serif"/>
          <w:bCs/>
          <w:iCs/>
          <w:sz w:val="28"/>
          <w:szCs w:val="28"/>
          <w:lang w:val="es-ES"/>
        </w:rPr>
        <w:t xml:space="preserve">OLGA LUCIA HOYOS SEPULVEDA </w:t>
      </w:r>
    </w:p>
    <w:p w:rsidR="003B0C5B" w:rsidRPr="009A1628" w:rsidRDefault="003B0C5B" w:rsidP="003B0C5B">
      <w:pPr>
        <w:jc w:val="both"/>
        <w:rPr>
          <w:rFonts w:ascii="Arial Narrow" w:hAnsi="Arial Narrow" w:cs="Microsoft Sans Serif"/>
          <w:sz w:val="28"/>
          <w:szCs w:val="28"/>
          <w:lang w:val="es-ES"/>
        </w:rPr>
      </w:pPr>
      <w:r w:rsidRPr="009A1628">
        <w:rPr>
          <w:rFonts w:ascii="Arial Narrow" w:hAnsi="Arial Narrow" w:cs="Microsoft Sans Serif"/>
          <w:sz w:val="28"/>
          <w:szCs w:val="28"/>
          <w:lang w:val="es-ES"/>
        </w:rPr>
        <w:t xml:space="preserve">                   Magistrada                                                              </w:t>
      </w:r>
      <w:proofErr w:type="spellStart"/>
      <w:r w:rsidRPr="009A1628">
        <w:rPr>
          <w:rFonts w:ascii="Arial Narrow" w:hAnsi="Arial Narrow" w:cs="Microsoft Sans Serif"/>
          <w:sz w:val="28"/>
          <w:szCs w:val="28"/>
          <w:lang w:val="es-ES"/>
        </w:rPr>
        <w:t>Magistrad</w:t>
      </w:r>
      <w:r w:rsidR="009A1628" w:rsidRPr="009A1628">
        <w:rPr>
          <w:rFonts w:ascii="Arial Narrow" w:hAnsi="Arial Narrow" w:cs="Microsoft Sans Serif"/>
          <w:sz w:val="28"/>
          <w:szCs w:val="28"/>
          <w:lang w:val="es-ES"/>
        </w:rPr>
        <w:t>a</w:t>
      </w:r>
      <w:proofErr w:type="spellEnd"/>
      <w:r w:rsidRPr="009A1628">
        <w:rPr>
          <w:rFonts w:ascii="Arial Narrow" w:hAnsi="Arial Narrow" w:cs="Microsoft Sans Serif"/>
          <w:sz w:val="28"/>
          <w:szCs w:val="28"/>
          <w:lang w:val="es-ES"/>
        </w:rPr>
        <w:t xml:space="preserve">  </w:t>
      </w:r>
      <w:r w:rsidRPr="009A1628">
        <w:rPr>
          <w:rFonts w:ascii="Arial Narrow" w:hAnsi="Arial Narrow" w:cs="Microsoft Sans Serif"/>
          <w:sz w:val="28"/>
          <w:szCs w:val="28"/>
          <w:lang w:val="es-ES"/>
        </w:rPr>
        <w:tab/>
      </w:r>
      <w:r w:rsidRPr="009A1628">
        <w:rPr>
          <w:rFonts w:ascii="Arial Narrow" w:hAnsi="Arial Narrow" w:cs="Microsoft Sans Serif"/>
          <w:sz w:val="28"/>
          <w:szCs w:val="28"/>
          <w:lang w:val="es-ES"/>
        </w:rPr>
        <w:tab/>
        <w:t xml:space="preserve">                </w:t>
      </w:r>
    </w:p>
    <w:p w:rsidR="00C35CA1" w:rsidRPr="009A1628" w:rsidRDefault="003B0C5B" w:rsidP="009A1628">
      <w:pPr>
        <w:jc w:val="both"/>
        <w:rPr>
          <w:rFonts w:ascii="Arial Narrow" w:hAnsi="Arial Narrow" w:cs="Microsoft Sans Serif"/>
          <w:sz w:val="28"/>
          <w:szCs w:val="28"/>
          <w:lang w:val="es-ES"/>
        </w:rPr>
      </w:pPr>
      <w:r w:rsidRPr="009A1628">
        <w:rPr>
          <w:rFonts w:ascii="Arial Narrow" w:hAnsi="Arial Narrow" w:cs="Microsoft Sans Serif"/>
          <w:bCs/>
          <w:iCs/>
          <w:sz w:val="28"/>
          <w:szCs w:val="28"/>
          <w:lang w:val="es-ES"/>
        </w:rPr>
        <w:tab/>
      </w:r>
      <w:r w:rsidRPr="009A1628">
        <w:rPr>
          <w:rFonts w:ascii="Arial Narrow" w:hAnsi="Arial Narrow" w:cs="Microsoft Sans Serif"/>
          <w:bCs/>
          <w:iCs/>
          <w:sz w:val="28"/>
          <w:szCs w:val="28"/>
          <w:lang w:val="es-ES"/>
        </w:rPr>
        <w:tab/>
      </w:r>
      <w:r w:rsidRPr="009A1628">
        <w:rPr>
          <w:rFonts w:ascii="Arial Narrow" w:hAnsi="Arial Narrow" w:cs="Microsoft Sans Serif"/>
          <w:bCs/>
          <w:iCs/>
          <w:sz w:val="28"/>
          <w:szCs w:val="28"/>
          <w:lang w:val="es-ES"/>
        </w:rPr>
        <w:tab/>
      </w:r>
      <w:r w:rsidRPr="009A1628">
        <w:rPr>
          <w:rFonts w:ascii="Arial Narrow" w:hAnsi="Arial Narrow" w:cs="Microsoft Sans Serif"/>
          <w:bCs/>
          <w:iCs/>
          <w:sz w:val="28"/>
          <w:szCs w:val="28"/>
          <w:lang w:val="es-ES"/>
        </w:rPr>
        <w:tab/>
      </w:r>
      <w:r w:rsidRPr="009A1628">
        <w:rPr>
          <w:rFonts w:ascii="Arial Narrow" w:hAnsi="Arial Narrow" w:cs="Microsoft Sans Serif"/>
          <w:bCs/>
          <w:iCs/>
          <w:sz w:val="28"/>
          <w:szCs w:val="28"/>
          <w:lang w:val="es-ES"/>
        </w:rPr>
        <w:tab/>
      </w:r>
      <w:r w:rsidRPr="009A1628">
        <w:rPr>
          <w:rFonts w:ascii="Arial Narrow" w:hAnsi="Arial Narrow" w:cs="Microsoft Sans Serif"/>
          <w:bCs/>
          <w:iCs/>
          <w:sz w:val="28"/>
          <w:szCs w:val="28"/>
          <w:lang w:val="es-ES"/>
        </w:rPr>
        <w:tab/>
      </w:r>
    </w:p>
    <w:sectPr w:rsidR="00C35CA1" w:rsidRPr="009A1628" w:rsidSect="007140F7">
      <w:headerReference w:type="default" r:id="rId7"/>
      <w:footerReference w:type="even" r:id="rId8"/>
      <w:footerReference w:type="default" r:id="rId9"/>
      <w:pgSz w:w="12242" w:h="18722" w:code="120"/>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CE" w:rsidRDefault="00271BCE" w:rsidP="003B0C5B">
      <w:r>
        <w:separator/>
      </w:r>
    </w:p>
  </w:endnote>
  <w:endnote w:type="continuationSeparator" w:id="0">
    <w:p w:rsidR="00271BCE" w:rsidRDefault="00271BCE" w:rsidP="003B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6E0237"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271BC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6E0237"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1AE9">
      <w:rPr>
        <w:rStyle w:val="Nmerodepgina"/>
        <w:noProof/>
      </w:rPr>
      <w:t>7</w:t>
    </w:r>
    <w:r>
      <w:rPr>
        <w:rStyle w:val="Nmerodepgina"/>
      </w:rPr>
      <w:fldChar w:fldCharType="end"/>
    </w:r>
  </w:p>
  <w:p w:rsidR="009B4A56" w:rsidRDefault="00271BC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CE" w:rsidRDefault="00271BCE" w:rsidP="003B0C5B">
      <w:r>
        <w:separator/>
      </w:r>
    </w:p>
  </w:footnote>
  <w:footnote w:type="continuationSeparator" w:id="0">
    <w:p w:rsidR="00271BCE" w:rsidRDefault="00271BCE" w:rsidP="003B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04" w:rsidRPr="006E3330" w:rsidRDefault="006E0237" w:rsidP="00A15930">
    <w:pPr>
      <w:jc w:val="both"/>
      <w:rPr>
        <w:rFonts w:ascii="Arial Narrow" w:hAnsi="Arial Narrow" w:cs="Arial"/>
        <w:bCs/>
        <w:sz w:val="18"/>
        <w:szCs w:val="18"/>
      </w:rPr>
    </w:pPr>
    <w:r w:rsidRPr="006E3330">
      <w:rPr>
        <w:rFonts w:ascii="Arial Narrow" w:hAnsi="Arial Narrow" w:cs="Arial"/>
        <w:bCs/>
        <w:sz w:val="18"/>
        <w:szCs w:val="18"/>
      </w:rPr>
      <w:t>Radicación No: 66001-31-05-00</w:t>
    </w:r>
    <w:r>
      <w:rPr>
        <w:rFonts w:ascii="Arial Narrow" w:hAnsi="Arial Narrow" w:cs="Arial"/>
        <w:bCs/>
        <w:sz w:val="18"/>
        <w:szCs w:val="18"/>
      </w:rPr>
      <w:t>4-2014-00597-01</w:t>
    </w:r>
  </w:p>
  <w:p w:rsidR="009B4A56" w:rsidRPr="006E3330" w:rsidRDefault="006E0237" w:rsidP="00775604">
    <w:pPr>
      <w:jc w:val="both"/>
      <w:rPr>
        <w:rFonts w:ascii="Arial Narrow" w:hAnsi="Arial Narrow"/>
        <w:sz w:val="18"/>
        <w:szCs w:val="18"/>
      </w:rPr>
    </w:pPr>
    <w:r>
      <w:rPr>
        <w:rFonts w:ascii="Arial Narrow" w:hAnsi="Arial Narrow" w:cs="Arial"/>
        <w:bCs/>
        <w:sz w:val="18"/>
        <w:szCs w:val="18"/>
      </w:rPr>
      <w:t xml:space="preserve">María </w:t>
    </w:r>
    <w:proofErr w:type="spellStart"/>
    <w:r>
      <w:rPr>
        <w:rFonts w:ascii="Arial Narrow" w:hAnsi="Arial Narrow" w:cs="Arial"/>
        <w:bCs/>
        <w:sz w:val="18"/>
        <w:szCs w:val="18"/>
      </w:rPr>
      <w:t>Orfelina</w:t>
    </w:r>
    <w:proofErr w:type="spellEnd"/>
    <w:r>
      <w:rPr>
        <w:rFonts w:ascii="Arial Narrow" w:hAnsi="Arial Narrow" w:cs="Arial"/>
        <w:bCs/>
        <w:sz w:val="18"/>
        <w:szCs w:val="18"/>
      </w:rPr>
      <w:t xml:space="preserve"> Toro </w:t>
    </w:r>
    <w:proofErr w:type="spellStart"/>
    <w:r>
      <w:rPr>
        <w:rFonts w:ascii="Arial Narrow" w:hAnsi="Arial Narrow" w:cs="Arial"/>
        <w:bCs/>
        <w:sz w:val="18"/>
        <w:szCs w:val="18"/>
      </w:rPr>
      <w:t>Amezquita</w:t>
    </w:r>
    <w:proofErr w:type="spellEnd"/>
    <w:r>
      <w:rPr>
        <w:rFonts w:ascii="Arial Narrow" w:hAnsi="Arial Narrow" w:cs="Arial"/>
        <w:bCs/>
        <w:sz w:val="18"/>
        <w:szCs w:val="18"/>
      </w:rPr>
      <w:t xml:space="preserve"> v</w:t>
    </w:r>
    <w:r w:rsidRPr="006E3330">
      <w:rPr>
        <w:rFonts w:ascii="Arial Narrow" w:hAnsi="Arial Narrow" w:cs="Arial"/>
        <w:bCs/>
        <w:sz w:val="18"/>
        <w:szCs w:val="18"/>
      </w:rPr>
      <w:t xml:space="preserve">s </w:t>
    </w:r>
    <w:proofErr w:type="spellStart"/>
    <w:r>
      <w:rPr>
        <w:rFonts w:ascii="Arial Narrow" w:hAnsi="Arial Narrow" w:cs="Arial"/>
        <w:bCs/>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1128738"/>
    <w:lvl w:ilvl="0" w:tplc="E76E1C70">
      <w:start w:val="1"/>
      <w:numFmt w:val="decimal"/>
      <w:lvlText w:val="%1."/>
      <w:lvlJc w:val="left"/>
      <w:pPr>
        <w:ind w:left="1637"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C07EF2"/>
    <w:multiLevelType w:val="multilevel"/>
    <w:tmpl w:val="60BC9910"/>
    <w:lvl w:ilvl="0">
      <w:start w:val="1"/>
      <w:numFmt w:val="upperRoman"/>
      <w:lvlText w:val="%1."/>
      <w:lvlJc w:val="left"/>
      <w:pPr>
        <w:ind w:left="1571" w:hanging="720"/>
      </w:pPr>
      <w:rPr>
        <w:rFonts w:hint="default"/>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5B"/>
    <w:rsid w:val="001014A1"/>
    <w:rsid w:val="001E77A2"/>
    <w:rsid w:val="00271BCE"/>
    <w:rsid w:val="002778CC"/>
    <w:rsid w:val="002A4079"/>
    <w:rsid w:val="002F6E3B"/>
    <w:rsid w:val="00351259"/>
    <w:rsid w:val="00393B91"/>
    <w:rsid w:val="00393F54"/>
    <w:rsid w:val="003956F7"/>
    <w:rsid w:val="003B0C5B"/>
    <w:rsid w:val="003C284C"/>
    <w:rsid w:val="003D0FE7"/>
    <w:rsid w:val="00447EF6"/>
    <w:rsid w:val="004E0E00"/>
    <w:rsid w:val="00593493"/>
    <w:rsid w:val="005A5516"/>
    <w:rsid w:val="005C3CB6"/>
    <w:rsid w:val="006E0237"/>
    <w:rsid w:val="006F61CD"/>
    <w:rsid w:val="007125C9"/>
    <w:rsid w:val="007C728A"/>
    <w:rsid w:val="007D08AB"/>
    <w:rsid w:val="00845D61"/>
    <w:rsid w:val="00881AE9"/>
    <w:rsid w:val="00943307"/>
    <w:rsid w:val="009A1628"/>
    <w:rsid w:val="009E4D61"/>
    <w:rsid w:val="00AC1F04"/>
    <w:rsid w:val="00B13D88"/>
    <w:rsid w:val="00BB77C8"/>
    <w:rsid w:val="00BE7032"/>
    <w:rsid w:val="00C35CA1"/>
    <w:rsid w:val="00C66EE7"/>
    <w:rsid w:val="00C82B6D"/>
    <w:rsid w:val="00D57A62"/>
    <w:rsid w:val="00D85174"/>
    <w:rsid w:val="00DA4C90"/>
    <w:rsid w:val="00F23360"/>
    <w:rsid w:val="00FC0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83BD-DFA0-4C95-85E8-ED9EC5C5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5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B0C5B"/>
    <w:pPr>
      <w:tabs>
        <w:tab w:val="center" w:pos="4252"/>
        <w:tab w:val="right" w:pos="8504"/>
      </w:tabs>
    </w:pPr>
  </w:style>
  <w:style w:type="character" w:customStyle="1" w:styleId="PiedepginaCar">
    <w:name w:val="Pie de página Car"/>
    <w:basedOn w:val="Fuentedeprrafopredeter"/>
    <w:link w:val="Piedepgina"/>
    <w:rsid w:val="003B0C5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B0C5B"/>
  </w:style>
  <w:style w:type="paragraph" w:customStyle="1" w:styleId="Prrafodelista1">
    <w:name w:val="Párrafo de lista1"/>
    <w:basedOn w:val="Normal"/>
    <w:rsid w:val="003B0C5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B0C5B"/>
    <w:pPr>
      <w:ind w:left="708"/>
    </w:pPr>
  </w:style>
  <w:style w:type="paragraph" w:customStyle="1" w:styleId="Textoindependiente32">
    <w:name w:val="Texto independiente 32"/>
    <w:basedOn w:val="Normal"/>
    <w:rsid w:val="003B0C5B"/>
    <w:pPr>
      <w:spacing w:line="360" w:lineRule="auto"/>
      <w:jc w:val="both"/>
    </w:pPr>
    <w:rPr>
      <w:rFonts w:ascii="Arial" w:hAnsi="Arial"/>
    </w:rPr>
  </w:style>
  <w:style w:type="paragraph" w:styleId="Sinespaciado">
    <w:name w:val="No Spacing"/>
    <w:link w:val="SinespaciadoCar"/>
    <w:uiPriority w:val="1"/>
    <w:qFormat/>
    <w:rsid w:val="003B0C5B"/>
    <w:pPr>
      <w:spacing w:after="0" w:line="240" w:lineRule="auto"/>
    </w:pPr>
    <w:rPr>
      <w:rFonts w:ascii="Times New Roman" w:eastAsia="Times New Roman" w:hAnsi="Times New Roman" w:cs="Times New Roman"/>
      <w:sz w:val="24"/>
      <w:szCs w:val="20"/>
      <w:lang w:val="es-ES_tradnl" w:eastAsia="es-ES"/>
    </w:rPr>
  </w:style>
  <w:style w:type="paragraph" w:customStyle="1" w:styleId="Textodebloque1">
    <w:name w:val="Texto de bloque1"/>
    <w:basedOn w:val="Normal"/>
    <w:rsid w:val="003B0C5B"/>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Textonotapie">
    <w:name w:val="footnote text"/>
    <w:basedOn w:val="Normal"/>
    <w:link w:val="TextonotapieCar"/>
    <w:uiPriority w:val="99"/>
    <w:semiHidden/>
    <w:unhideWhenUsed/>
    <w:rsid w:val="003B0C5B"/>
    <w:rPr>
      <w:sz w:val="20"/>
    </w:rPr>
  </w:style>
  <w:style w:type="character" w:customStyle="1" w:styleId="TextonotapieCar">
    <w:name w:val="Texto nota pie Car"/>
    <w:basedOn w:val="Fuentedeprrafopredeter"/>
    <w:link w:val="Textonotapie"/>
    <w:uiPriority w:val="99"/>
    <w:semiHidden/>
    <w:rsid w:val="003B0C5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3B0C5B"/>
    <w:rPr>
      <w:vertAlign w:val="superscript"/>
    </w:rPr>
  </w:style>
  <w:style w:type="character" w:customStyle="1" w:styleId="SinespaciadoCar">
    <w:name w:val="Sin espaciado Car"/>
    <w:link w:val="Sinespaciado"/>
    <w:uiPriority w:val="1"/>
    <w:locked/>
    <w:rsid w:val="00881AE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2016-10-04T14:18:00Z</dcterms:created>
  <dcterms:modified xsi:type="dcterms:W3CDTF">2017-02-28T13:29:00Z</dcterms:modified>
</cp:coreProperties>
</file>