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AA20F0" w:rsidRDefault="00226D5F" w:rsidP="00D97755">
      <w:pPr>
        <w:ind w:left="1416" w:firstLine="2"/>
        <w:jc w:val="both"/>
        <w:rPr>
          <w:rFonts w:ascii="Arial" w:hAnsi="Arial" w:cs="Arial"/>
          <w:sz w:val="18"/>
          <w:szCs w:val="18"/>
        </w:rPr>
      </w:pPr>
      <w:r w:rsidRPr="00AA20F0">
        <w:rPr>
          <w:rFonts w:ascii="Arial" w:hAnsi="Arial" w:cs="Arial"/>
          <w:b/>
          <w:sz w:val="18"/>
          <w:szCs w:val="18"/>
        </w:rPr>
        <w:t>Providencia</w:t>
      </w:r>
      <w:r w:rsidRPr="00AA20F0">
        <w:rPr>
          <w:rFonts w:ascii="Arial" w:hAnsi="Arial" w:cs="Arial"/>
          <w:sz w:val="18"/>
          <w:szCs w:val="18"/>
        </w:rPr>
        <w:t>:</w:t>
      </w:r>
      <w:r w:rsidRPr="00AA20F0">
        <w:rPr>
          <w:rFonts w:ascii="Arial" w:hAnsi="Arial" w:cs="Arial"/>
          <w:sz w:val="18"/>
          <w:szCs w:val="18"/>
        </w:rPr>
        <w:tab/>
      </w:r>
      <w:r w:rsidR="007C5A02" w:rsidRPr="00AA20F0">
        <w:rPr>
          <w:rFonts w:ascii="Arial" w:hAnsi="Arial" w:cs="Arial"/>
          <w:sz w:val="18"/>
          <w:szCs w:val="18"/>
        </w:rPr>
        <w:tab/>
        <w:t>Sentencia de Segunda Instancia</w:t>
      </w:r>
    </w:p>
    <w:p w:rsidR="00226D5F" w:rsidRPr="00AA20F0" w:rsidRDefault="00226D5F" w:rsidP="00D97755">
      <w:pPr>
        <w:ind w:left="1416" w:firstLine="2"/>
        <w:jc w:val="both"/>
        <w:rPr>
          <w:rFonts w:ascii="Arial" w:hAnsi="Arial" w:cs="Arial"/>
          <w:bCs/>
          <w:iCs/>
          <w:sz w:val="18"/>
          <w:szCs w:val="18"/>
        </w:rPr>
      </w:pPr>
      <w:r w:rsidRPr="00AA20F0">
        <w:rPr>
          <w:rFonts w:ascii="Arial" w:hAnsi="Arial" w:cs="Arial"/>
          <w:b/>
          <w:bCs/>
          <w:sz w:val="18"/>
          <w:szCs w:val="18"/>
        </w:rPr>
        <w:t>Radicación No</w:t>
      </w:r>
      <w:r w:rsidRPr="00AA20F0">
        <w:rPr>
          <w:rFonts w:ascii="Arial" w:hAnsi="Arial" w:cs="Arial"/>
          <w:bCs/>
          <w:sz w:val="18"/>
          <w:szCs w:val="18"/>
        </w:rPr>
        <w:t>:</w:t>
      </w:r>
      <w:r w:rsidRPr="00AA20F0">
        <w:rPr>
          <w:rFonts w:ascii="Arial" w:hAnsi="Arial" w:cs="Arial"/>
          <w:b/>
          <w:bCs/>
          <w:sz w:val="18"/>
          <w:szCs w:val="18"/>
        </w:rPr>
        <w:tab/>
      </w:r>
      <w:r w:rsidRPr="00AA20F0">
        <w:rPr>
          <w:rFonts w:ascii="Arial" w:hAnsi="Arial" w:cs="Arial"/>
          <w:b/>
          <w:bCs/>
          <w:sz w:val="18"/>
          <w:szCs w:val="18"/>
        </w:rPr>
        <w:tab/>
      </w:r>
      <w:r w:rsidR="001F2DCA">
        <w:rPr>
          <w:rFonts w:ascii="Arial" w:hAnsi="Arial" w:cs="Arial"/>
          <w:bCs/>
          <w:sz w:val="18"/>
          <w:szCs w:val="18"/>
        </w:rPr>
        <w:t>66001-31-05-001</w:t>
      </w:r>
      <w:r w:rsidR="00290C0B" w:rsidRPr="00AA20F0">
        <w:rPr>
          <w:rFonts w:ascii="Arial" w:hAnsi="Arial" w:cs="Arial"/>
          <w:bCs/>
          <w:sz w:val="18"/>
          <w:szCs w:val="18"/>
        </w:rPr>
        <w:t>-2015</w:t>
      </w:r>
      <w:r w:rsidRPr="00AA20F0">
        <w:rPr>
          <w:rFonts w:ascii="Arial" w:hAnsi="Arial" w:cs="Arial"/>
          <w:bCs/>
          <w:sz w:val="18"/>
          <w:szCs w:val="18"/>
        </w:rPr>
        <w:t>-00</w:t>
      </w:r>
      <w:r w:rsidR="001F2DCA">
        <w:rPr>
          <w:rFonts w:ascii="Arial" w:hAnsi="Arial" w:cs="Arial"/>
          <w:bCs/>
          <w:sz w:val="18"/>
          <w:szCs w:val="18"/>
        </w:rPr>
        <w:t>125</w:t>
      </w:r>
      <w:r w:rsidRPr="00AA20F0">
        <w:rPr>
          <w:rFonts w:ascii="Arial" w:hAnsi="Arial" w:cs="Arial"/>
          <w:bCs/>
          <w:sz w:val="18"/>
          <w:szCs w:val="18"/>
        </w:rPr>
        <w:t>-01</w:t>
      </w:r>
    </w:p>
    <w:p w:rsidR="00226D5F" w:rsidRPr="00AA20F0" w:rsidRDefault="00226D5F" w:rsidP="00D97755">
      <w:pPr>
        <w:ind w:left="1416" w:firstLine="2"/>
        <w:jc w:val="both"/>
        <w:rPr>
          <w:rFonts w:ascii="Arial" w:hAnsi="Arial" w:cs="Arial"/>
          <w:iCs/>
          <w:sz w:val="18"/>
          <w:szCs w:val="18"/>
        </w:rPr>
      </w:pPr>
      <w:r w:rsidRPr="00AA20F0">
        <w:rPr>
          <w:rFonts w:ascii="Arial" w:hAnsi="Arial" w:cs="Arial"/>
          <w:b/>
          <w:bCs/>
          <w:iCs/>
          <w:sz w:val="18"/>
          <w:szCs w:val="18"/>
        </w:rPr>
        <w:t>Proceso</w:t>
      </w:r>
      <w:r w:rsidRPr="00AA20F0">
        <w:rPr>
          <w:rFonts w:ascii="Arial" w:hAnsi="Arial" w:cs="Arial"/>
          <w:bCs/>
          <w:iCs/>
          <w:sz w:val="18"/>
          <w:szCs w:val="18"/>
        </w:rPr>
        <w:t>:</w:t>
      </w:r>
      <w:r w:rsidRPr="00AA20F0">
        <w:rPr>
          <w:rFonts w:ascii="Arial" w:hAnsi="Arial" w:cs="Arial"/>
          <w:b/>
          <w:iCs/>
          <w:sz w:val="18"/>
          <w:szCs w:val="18"/>
        </w:rPr>
        <w:tab/>
      </w:r>
      <w:r w:rsidRPr="00AA20F0">
        <w:rPr>
          <w:rFonts w:ascii="Arial" w:hAnsi="Arial" w:cs="Arial"/>
          <w:b/>
          <w:iCs/>
          <w:sz w:val="18"/>
          <w:szCs w:val="18"/>
        </w:rPr>
        <w:tab/>
      </w:r>
      <w:r w:rsidRPr="00AA20F0">
        <w:rPr>
          <w:rFonts w:ascii="Arial" w:hAnsi="Arial" w:cs="Arial"/>
          <w:iCs/>
          <w:sz w:val="18"/>
          <w:szCs w:val="18"/>
        </w:rPr>
        <w:t>Ordinario Laboral.</w:t>
      </w:r>
    </w:p>
    <w:p w:rsidR="00226D5F" w:rsidRPr="00AA20F0" w:rsidRDefault="00226D5F" w:rsidP="00D97755">
      <w:pPr>
        <w:ind w:left="1416" w:firstLine="2"/>
        <w:jc w:val="both"/>
        <w:rPr>
          <w:rFonts w:ascii="Arial" w:hAnsi="Arial" w:cs="Arial"/>
          <w:iCs/>
          <w:sz w:val="18"/>
          <w:szCs w:val="18"/>
        </w:rPr>
      </w:pPr>
      <w:r w:rsidRPr="00AA20F0">
        <w:rPr>
          <w:rFonts w:ascii="Arial" w:hAnsi="Arial" w:cs="Arial"/>
          <w:b/>
          <w:iCs/>
          <w:sz w:val="18"/>
          <w:szCs w:val="18"/>
        </w:rPr>
        <w:t>Demandante</w:t>
      </w:r>
      <w:r w:rsidRPr="00AA20F0">
        <w:rPr>
          <w:rFonts w:ascii="Arial" w:hAnsi="Arial" w:cs="Arial"/>
          <w:iCs/>
          <w:sz w:val="18"/>
          <w:szCs w:val="18"/>
        </w:rPr>
        <w:t xml:space="preserve">:     </w:t>
      </w:r>
      <w:r w:rsidRPr="00AA20F0">
        <w:rPr>
          <w:rFonts w:ascii="Arial" w:hAnsi="Arial" w:cs="Arial"/>
          <w:iCs/>
          <w:sz w:val="18"/>
          <w:szCs w:val="18"/>
        </w:rPr>
        <w:tab/>
      </w:r>
      <w:r w:rsidRPr="00AA20F0">
        <w:rPr>
          <w:rFonts w:ascii="Arial" w:hAnsi="Arial" w:cs="Arial"/>
          <w:iCs/>
          <w:sz w:val="18"/>
          <w:szCs w:val="18"/>
        </w:rPr>
        <w:tab/>
      </w:r>
      <w:r w:rsidR="001F2DCA">
        <w:rPr>
          <w:rFonts w:ascii="Arial" w:hAnsi="Arial" w:cs="Arial"/>
          <w:iCs/>
          <w:sz w:val="18"/>
          <w:szCs w:val="18"/>
        </w:rPr>
        <w:t xml:space="preserve">Adiela López de Franco </w:t>
      </w:r>
    </w:p>
    <w:p w:rsidR="00226D5F" w:rsidRPr="00AA20F0" w:rsidRDefault="00226D5F" w:rsidP="00D97755">
      <w:pPr>
        <w:ind w:left="1416" w:firstLine="2"/>
        <w:jc w:val="both"/>
        <w:rPr>
          <w:rFonts w:ascii="Arial" w:hAnsi="Arial" w:cs="Arial"/>
          <w:bCs/>
          <w:sz w:val="18"/>
          <w:szCs w:val="18"/>
        </w:rPr>
      </w:pPr>
      <w:r w:rsidRPr="00AA20F0">
        <w:rPr>
          <w:rFonts w:ascii="Arial" w:hAnsi="Arial" w:cs="Arial"/>
          <w:b/>
          <w:bCs/>
          <w:sz w:val="18"/>
          <w:szCs w:val="18"/>
        </w:rPr>
        <w:t>Demandado:</w:t>
      </w:r>
      <w:r w:rsidRPr="00AA20F0">
        <w:rPr>
          <w:rFonts w:ascii="Arial" w:hAnsi="Arial" w:cs="Arial"/>
          <w:bCs/>
          <w:sz w:val="18"/>
          <w:szCs w:val="18"/>
        </w:rPr>
        <w:tab/>
      </w:r>
      <w:r w:rsidRPr="00AA20F0">
        <w:rPr>
          <w:rFonts w:ascii="Arial" w:hAnsi="Arial" w:cs="Arial"/>
          <w:bCs/>
          <w:sz w:val="18"/>
          <w:szCs w:val="18"/>
        </w:rPr>
        <w:tab/>
        <w:t>Colpensiones</w:t>
      </w:r>
      <w:r w:rsidR="00290C0B" w:rsidRPr="00AA20F0">
        <w:rPr>
          <w:rFonts w:ascii="Arial" w:hAnsi="Arial" w:cs="Arial"/>
          <w:bCs/>
          <w:sz w:val="18"/>
          <w:szCs w:val="18"/>
        </w:rPr>
        <w:t xml:space="preserve"> </w:t>
      </w:r>
    </w:p>
    <w:p w:rsidR="00226D5F" w:rsidRPr="00AA20F0" w:rsidRDefault="00226D5F" w:rsidP="00D97755">
      <w:pPr>
        <w:ind w:left="1416" w:firstLine="2"/>
        <w:jc w:val="both"/>
        <w:rPr>
          <w:rFonts w:ascii="Arial" w:hAnsi="Arial" w:cs="Arial"/>
          <w:sz w:val="18"/>
          <w:szCs w:val="18"/>
        </w:rPr>
      </w:pPr>
      <w:r w:rsidRPr="00AA20F0">
        <w:rPr>
          <w:rFonts w:ascii="Arial" w:hAnsi="Arial" w:cs="Arial"/>
          <w:b/>
          <w:sz w:val="18"/>
          <w:szCs w:val="18"/>
        </w:rPr>
        <w:t>Juzgado de origen</w:t>
      </w:r>
      <w:r w:rsidRPr="00AA20F0">
        <w:rPr>
          <w:rFonts w:ascii="Arial" w:hAnsi="Arial" w:cs="Arial"/>
          <w:sz w:val="18"/>
          <w:szCs w:val="18"/>
        </w:rPr>
        <w:t xml:space="preserve">:     </w:t>
      </w:r>
      <w:r w:rsidRPr="00AA20F0">
        <w:rPr>
          <w:rFonts w:ascii="Arial" w:hAnsi="Arial" w:cs="Arial"/>
          <w:sz w:val="18"/>
          <w:szCs w:val="18"/>
        </w:rPr>
        <w:tab/>
      </w:r>
      <w:r w:rsidR="001F2DCA">
        <w:rPr>
          <w:rFonts w:ascii="Arial" w:hAnsi="Arial" w:cs="Arial"/>
          <w:sz w:val="18"/>
          <w:szCs w:val="18"/>
        </w:rPr>
        <w:t xml:space="preserve">Primero </w:t>
      </w:r>
      <w:r w:rsidRPr="00AA20F0">
        <w:rPr>
          <w:rFonts w:ascii="Arial" w:hAnsi="Arial" w:cs="Arial"/>
          <w:sz w:val="18"/>
          <w:szCs w:val="18"/>
        </w:rPr>
        <w:t>Laboral del Circuito de Pereira.</w:t>
      </w:r>
    </w:p>
    <w:p w:rsidR="00226D5F" w:rsidRPr="00AA20F0" w:rsidRDefault="00226D5F" w:rsidP="00D97755">
      <w:pPr>
        <w:ind w:left="1416" w:firstLine="2"/>
        <w:jc w:val="both"/>
        <w:rPr>
          <w:rFonts w:ascii="Arial" w:hAnsi="Arial" w:cs="Arial"/>
          <w:b/>
          <w:iCs/>
          <w:sz w:val="18"/>
          <w:szCs w:val="18"/>
        </w:rPr>
      </w:pPr>
      <w:r w:rsidRPr="00AA20F0">
        <w:rPr>
          <w:rFonts w:ascii="Arial" w:hAnsi="Arial" w:cs="Arial"/>
          <w:b/>
          <w:iCs/>
          <w:sz w:val="18"/>
          <w:szCs w:val="18"/>
        </w:rPr>
        <w:t xml:space="preserve">Magistrado Ponente:     </w:t>
      </w:r>
      <w:r w:rsidRPr="00AA20F0">
        <w:rPr>
          <w:rFonts w:ascii="Arial" w:hAnsi="Arial" w:cs="Arial"/>
          <w:b/>
          <w:iCs/>
          <w:sz w:val="18"/>
          <w:szCs w:val="18"/>
        </w:rPr>
        <w:tab/>
      </w:r>
      <w:r w:rsidR="00171C56" w:rsidRPr="00AA20F0">
        <w:rPr>
          <w:rFonts w:ascii="Arial" w:hAnsi="Arial" w:cs="Arial"/>
          <w:iCs/>
          <w:sz w:val="18"/>
          <w:szCs w:val="18"/>
        </w:rPr>
        <w:t>Issa Rafael Ulloque Toscano</w:t>
      </w:r>
      <w:r w:rsidRPr="00AA20F0">
        <w:rPr>
          <w:rFonts w:ascii="Arial" w:hAnsi="Arial" w:cs="Arial"/>
          <w:iCs/>
          <w:sz w:val="18"/>
          <w:szCs w:val="18"/>
        </w:rPr>
        <w:t>.</w:t>
      </w:r>
    </w:p>
    <w:p w:rsidR="00D97755" w:rsidRDefault="00226D5F" w:rsidP="00D97755">
      <w:pPr>
        <w:tabs>
          <w:tab w:val="left" w:pos="748"/>
        </w:tabs>
        <w:ind w:left="1416" w:firstLine="2"/>
        <w:jc w:val="both"/>
        <w:rPr>
          <w:rFonts w:ascii="Arial" w:hAnsi="Arial" w:cs="Arial"/>
          <w:b/>
          <w:bCs/>
          <w:sz w:val="18"/>
          <w:szCs w:val="18"/>
        </w:rPr>
      </w:pPr>
      <w:r w:rsidRPr="000F5EEF">
        <w:rPr>
          <w:rFonts w:ascii="Arial" w:hAnsi="Arial" w:cs="Arial"/>
          <w:b/>
          <w:bCs/>
          <w:sz w:val="18"/>
          <w:szCs w:val="18"/>
        </w:rPr>
        <w:t xml:space="preserve">Tema a tratar: </w:t>
      </w:r>
      <w:r w:rsidRPr="000F5EEF">
        <w:rPr>
          <w:rFonts w:ascii="Arial" w:hAnsi="Arial" w:cs="Arial"/>
          <w:b/>
          <w:bCs/>
          <w:sz w:val="18"/>
          <w:szCs w:val="18"/>
        </w:rPr>
        <w:tab/>
      </w:r>
    </w:p>
    <w:p w:rsidR="003463BF" w:rsidRPr="00D97755" w:rsidRDefault="003463BF" w:rsidP="00D97755">
      <w:pPr>
        <w:tabs>
          <w:tab w:val="left" w:pos="748"/>
        </w:tabs>
        <w:jc w:val="both"/>
        <w:rPr>
          <w:rFonts w:ascii="Arial" w:hAnsi="Arial" w:cs="Arial"/>
          <w:sz w:val="18"/>
          <w:szCs w:val="18"/>
        </w:rPr>
      </w:pPr>
    </w:p>
    <w:p w:rsidR="003463BF" w:rsidRPr="00D97755" w:rsidRDefault="0087212A" w:rsidP="00D97755">
      <w:pPr>
        <w:tabs>
          <w:tab w:val="left" w:pos="748"/>
        </w:tabs>
        <w:ind w:left="1416" w:firstLine="2"/>
        <w:jc w:val="both"/>
        <w:rPr>
          <w:rFonts w:ascii="Arial" w:hAnsi="Arial" w:cs="Arial"/>
          <w:color w:val="000000"/>
          <w:sz w:val="18"/>
          <w:szCs w:val="18"/>
          <w:shd w:val="clear" w:color="auto" w:fill="FFFFFF"/>
          <w:lang w:val="es-ES"/>
        </w:rPr>
      </w:pPr>
      <w:r w:rsidRPr="00D97755">
        <w:rPr>
          <w:rFonts w:ascii="Arial" w:hAnsi="Arial" w:cs="Arial"/>
          <w:sz w:val="18"/>
          <w:szCs w:val="18"/>
        </w:rPr>
        <w:t>RELIQUIDACIÓN PENSIONAL</w:t>
      </w:r>
      <w:r w:rsidR="00A40B48" w:rsidRPr="00D97755">
        <w:rPr>
          <w:rFonts w:ascii="Arial" w:hAnsi="Arial" w:cs="Arial"/>
          <w:sz w:val="18"/>
          <w:szCs w:val="18"/>
        </w:rPr>
        <w:t xml:space="preserve">/ </w:t>
      </w:r>
      <w:r w:rsidR="007A069B" w:rsidRPr="00D97755">
        <w:rPr>
          <w:rFonts w:ascii="Arial" w:hAnsi="Arial" w:cs="Arial"/>
          <w:color w:val="000000"/>
          <w:sz w:val="18"/>
          <w:szCs w:val="18"/>
          <w:shd w:val="clear" w:color="auto" w:fill="FFFFFF"/>
          <w:lang w:val="es-ES"/>
        </w:rPr>
        <w:t>T</w:t>
      </w:r>
      <w:r w:rsidR="000525EC" w:rsidRPr="00D97755">
        <w:rPr>
          <w:rFonts w:ascii="Arial" w:hAnsi="Arial" w:cs="Arial"/>
          <w:color w:val="000000"/>
          <w:sz w:val="18"/>
          <w:szCs w:val="18"/>
          <w:shd w:val="clear" w:color="auto" w:fill="FFFFFF"/>
          <w:lang w:val="es-ES"/>
        </w:rPr>
        <w:t xml:space="preserve">asa de reemplazo equivalente al 90% del IBL </w:t>
      </w:r>
      <w:r w:rsidR="00862082" w:rsidRPr="00D97755">
        <w:rPr>
          <w:rFonts w:ascii="Arial" w:hAnsi="Arial" w:cs="Arial"/>
          <w:color w:val="000000"/>
          <w:sz w:val="18"/>
          <w:szCs w:val="18"/>
          <w:shd w:val="clear" w:color="auto" w:fill="FFFFFF"/>
          <w:lang w:val="es-ES"/>
        </w:rPr>
        <w:t xml:space="preserve">se establece </w:t>
      </w:r>
      <w:r w:rsidR="000525EC" w:rsidRPr="00D97755">
        <w:rPr>
          <w:rFonts w:ascii="Arial" w:hAnsi="Arial" w:cs="Arial"/>
          <w:color w:val="000000"/>
          <w:sz w:val="18"/>
          <w:szCs w:val="18"/>
          <w:shd w:val="clear" w:color="auto" w:fill="FFFFFF"/>
          <w:lang w:val="es-ES"/>
        </w:rPr>
        <w:t xml:space="preserve"> </w:t>
      </w:r>
      <w:r w:rsidR="008C6ADA" w:rsidRPr="00D97755">
        <w:rPr>
          <w:rFonts w:ascii="Arial" w:hAnsi="Arial" w:cs="Arial"/>
          <w:color w:val="000000"/>
          <w:sz w:val="18"/>
          <w:szCs w:val="18"/>
          <w:shd w:val="clear" w:color="auto" w:fill="FFFFFF"/>
          <w:lang w:val="es-ES"/>
        </w:rPr>
        <w:t>con</w:t>
      </w:r>
      <w:r w:rsidR="00D97755">
        <w:rPr>
          <w:rFonts w:ascii="Arial" w:hAnsi="Arial" w:cs="Arial"/>
          <w:color w:val="000000"/>
          <w:sz w:val="18"/>
          <w:szCs w:val="18"/>
          <w:shd w:val="clear" w:color="auto" w:fill="FFFFFF"/>
          <w:lang w:val="es-ES"/>
        </w:rPr>
        <w:t xml:space="preserve"> base en</w:t>
      </w:r>
      <w:r w:rsidR="008C244C" w:rsidRPr="00D97755">
        <w:rPr>
          <w:rFonts w:ascii="Arial" w:hAnsi="Arial" w:cs="Arial"/>
          <w:color w:val="000000"/>
          <w:sz w:val="18"/>
          <w:szCs w:val="18"/>
          <w:shd w:val="clear" w:color="auto" w:fill="FFFFFF"/>
          <w:lang w:val="es-ES"/>
        </w:rPr>
        <w:t xml:space="preserve"> las</w:t>
      </w:r>
      <w:r w:rsidR="008C6ADA" w:rsidRPr="00D97755">
        <w:rPr>
          <w:rFonts w:ascii="Arial" w:hAnsi="Arial" w:cs="Arial"/>
          <w:color w:val="000000"/>
          <w:sz w:val="18"/>
          <w:szCs w:val="18"/>
          <w:shd w:val="clear" w:color="auto" w:fill="FFFFFF"/>
          <w:lang w:val="es-ES"/>
        </w:rPr>
        <w:t xml:space="preserve"> </w:t>
      </w:r>
      <w:r w:rsidR="000525EC" w:rsidRPr="00D97755">
        <w:rPr>
          <w:rFonts w:ascii="Arial" w:hAnsi="Arial" w:cs="Arial"/>
          <w:color w:val="000000"/>
          <w:sz w:val="18"/>
          <w:szCs w:val="18"/>
          <w:shd w:val="clear" w:color="auto" w:fill="FFFFFF"/>
          <w:lang w:val="es-ES"/>
        </w:rPr>
        <w:t>100 semanas</w:t>
      </w:r>
      <w:r w:rsidR="008C6ADA" w:rsidRPr="00D97755">
        <w:rPr>
          <w:rFonts w:ascii="Arial" w:hAnsi="Arial" w:cs="Arial"/>
          <w:color w:val="000000"/>
          <w:sz w:val="18"/>
          <w:szCs w:val="18"/>
          <w:shd w:val="clear" w:color="auto" w:fill="FFFFFF"/>
          <w:lang w:val="es-ES"/>
        </w:rPr>
        <w:t xml:space="preserve"> anteriores</w:t>
      </w:r>
      <w:r w:rsidR="008C244C" w:rsidRPr="00D97755">
        <w:rPr>
          <w:rFonts w:ascii="Arial" w:hAnsi="Arial" w:cs="Arial"/>
          <w:color w:val="000000"/>
          <w:sz w:val="18"/>
          <w:szCs w:val="18"/>
          <w:shd w:val="clear" w:color="auto" w:fill="FFFFFF"/>
          <w:lang w:val="es-ES"/>
        </w:rPr>
        <w:t xml:space="preserve"> a</w:t>
      </w:r>
      <w:r w:rsidR="008C6ADA" w:rsidRPr="00D97755">
        <w:rPr>
          <w:rFonts w:ascii="Arial" w:hAnsi="Arial" w:cs="Arial"/>
          <w:color w:val="000000"/>
          <w:sz w:val="18"/>
          <w:szCs w:val="18"/>
          <w:shd w:val="clear" w:color="auto" w:fill="FFFFFF"/>
          <w:lang w:val="es-ES"/>
        </w:rPr>
        <w:t xml:space="preserve"> la última cotización</w:t>
      </w:r>
      <w:r w:rsidR="00994775" w:rsidRPr="00D97755">
        <w:rPr>
          <w:rFonts w:ascii="Arial" w:hAnsi="Arial" w:cs="Arial"/>
          <w:color w:val="000000"/>
          <w:sz w:val="18"/>
          <w:szCs w:val="18"/>
          <w:shd w:val="clear" w:color="auto" w:fill="FFFFFF"/>
          <w:lang w:val="es-ES"/>
        </w:rPr>
        <w:t>/ Ingreso base de liquidaci</w:t>
      </w:r>
      <w:r w:rsidR="00FA6640" w:rsidRPr="00D97755">
        <w:rPr>
          <w:rFonts w:ascii="Arial" w:hAnsi="Arial" w:cs="Arial"/>
          <w:color w:val="000000"/>
          <w:sz w:val="18"/>
          <w:szCs w:val="18"/>
          <w:shd w:val="clear" w:color="auto" w:fill="FFFFFF"/>
          <w:lang w:val="es-ES"/>
        </w:rPr>
        <w:t>ón</w:t>
      </w:r>
    </w:p>
    <w:p w:rsidR="00785814" w:rsidRPr="00D97755" w:rsidRDefault="00785814" w:rsidP="00D97755">
      <w:pPr>
        <w:tabs>
          <w:tab w:val="left" w:pos="748"/>
        </w:tabs>
        <w:ind w:left="1416" w:firstLine="2"/>
        <w:jc w:val="both"/>
        <w:rPr>
          <w:rFonts w:ascii="Arial" w:hAnsi="Arial" w:cs="Arial"/>
          <w:sz w:val="18"/>
          <w:szCs w:val="18"/>
        </w:rPr>
      </w:pPr>
    </w:p>
    <w:p w:rsidR="00785814" w:rsidRPr="00D97755" w:rsidRDefault="00406B1F" w:rsidP="00D97755">
      <w:pPr>
        <w:ind w:left="1416" w:firstLine="2"/>
        <w:jc w:val="both"/>
        <w:rPr>
          <w:rFonts w:ascii="Arial" w:hAnsi="Arial" w:cs="Arial"/>
          <w:color w:val="000000"/>
          <w:sz w:val="18"/>
          <w:szCs w:val="18"/>
          <w:shd w:val="clear" w:color="auto" w:fill="FFFFFF"/>
          <w:lang w:val="es-ES"/>
        </w:rPr>
      </w:pPr>
      <w:r w:rsidRPr="00D97755">
        <w:rPr>
          <w:rFonts w:ascii="Arial" w:hAnsi="Arial" w:cs="Arial"/>
          <w:color w:val="000000"/>
          <w:sz w:val="18"/>
          <w:szCs w:val="18"/>
          <w:shd w:val="clear" w:color="auto" w:fill="FFFFFF"/>
          <w:lang w:val="es-ES"/>
        </w:rPr>
        <w:t xml:space="preserve">“(…) </w:t>
      </w:r>
      <w:r w:rsidR="00785814" w:rsidRPr="00D97755">
        <w:rPr>
          <w:rFonts w:ascii="Arial" w:hAnsi="Arial" w:cs="Arial"/>
          <w:color w:val="000000"/>
          <w:sz w:val="18"/>
          <w:szCs w:val="18"/>
          <w:shd w:val="clear" w:color="auto" w:fill="FFFFFF"/>
          <w:lang w:val="es-ES"/>
        </w:rPr>
        <w:t>la Sala comparte la intelección efectuada por la Juzgadora de primer grado, toda vez que la misma se aviene a las previsiones de los artículos 13 y 20 del Decreto 758 de 1990, que en su orden señalan a partir de cuándo debe disfrutarse la pensión de vejez y cómo debe obtenerse el ingreso base de liquidación, siendo clara en este último aspecto, al establecer que debe tenerse en cuenta hasta la última cotización, de tal manera que el computo de las 100 semanas debe realizarse desde el 1° de abril de 1992 hacia atrás.</w:t>
      </w:r>
    </w:p>
    <w:p w:rsidR="00785814" w:rsidRPr="00D97755" w:rsidRDefault="00785814" w:rsidP="00D97755">
      <w:pPr>
        <w:ind w:left="1416" w:firstLine="2"/>
        <w:jc w:val="both"/>
        <w:rPr>
          <w:rFonts w:ascii="Arial" w:hAnsi="Arial" w:cs="Arial"/>
          <w:sz w:val="18"/>
          <w:szCs w:val="18"/>
        </w:rPr>
      </w:pPr>
    </w:p>
    <w:p w:rsidR="00785814" w:rsidRPr="00D97755" w:rsidRDefault="00785814" w:rsidP="00D97755">
      <w:pPr>
        <w:ind w:left="1416" w:firstLine="2"/>
        <w:jc w:val="both"/>
        <w:rPr>
          <w:rFonts w:ascii="Arial" w:hAnsi="Arial" w:cs="Arial"/>
          <w:sz w:val="18"/>
          <w:szCs w:val="18"/>
        </w:rPr>
      </w:pPr>
      <w:r w:rsidRPr="00D97755">
        <w:rPr>
          <w:rFonts w:ascii="Arial" w:hAnsi="Arial" w:cs="Arial"/>
          <w:sz w:val="18"/>
          <w:szCs w:val="18"/>
        </w:rPr>
        <w:t>“Conforme lo visto, se trata de valores ligeramente inferiores a los obtenidos en la instancia anterior, donde se determinó que el IBL era de $75.390 al que luego de aplicarle la tasa de reemplazo del 90% arrojaba como mesada pensional la suma de $67.851, valor que igualmente resulta inferior al que en su momento reconoció el Instituto de Seguros Sociales, por lo que no hay lugar a acceder al reajuste de la primera mesada pensional, porque se itera, esta es superior a la que al interior de este proceso se halló.</w:t>
      </w:r>
      <w:r w:rsidR="00FA6640" w:rsidRPr="00D97755">
        <w:rPr>
          <w:rFonts w:ascii="Arial" w:hAnsi="Arial" w:cs="Arial"/>
          <w:sz w:val="18"/>
          <w:szCs w:val="18"/>
        </w:rPr>
        <w:t>”</w:t>
      </w:r>
    </w:p>
    <w:p w:rsidR="00226D5F" w:rsidRPr="00AC486E" w:rsidRDefault="00226D5F" w:rsidP="00AA20F0">
      <w:pPr>
        <w:spacing w:line="276" w:lineRule="auto"/>
        <w:ind w:left="2127" w:hanging="2127"/>
        <w:jc w:val="both"/>
        <w:rPr>
          <w:rFonts w:ascii="Arial" w:hAnsi="Arial" w:cs="Arial"/>
          <w:bCs/>
          <w:i/>
          <w:color w:val="00B0F0"/>
          <w:sz w:val="18"/>
          <w:szCs w:val="18"/>
          <w:lang w:val="es-ES"/>
        </w:rPr>
      </w:pPr>
      <w:bookmarkStart w:id="0" w:name="_GoBack"/>
      <w:bookmarkEnd w:id="0"/>
    </w:p>
    <w:p w:rsidR="003440CA" w:rsidRDefault="003440CA" w:rsidP="00AA20F0">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AA20F0">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AA20F0">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AA20F0">
      <w:pPr>
        <w:spacing w:line="276" w:lineRule="auto"/>
        <w:ind w:left="2127" w:hanging="1276"/>
        <w:jc w:val="center"/>
        <w:rPr>
          <w:rFonts w:ascii="Arial" w:hAnsi="Arial" w:cs="Arial"/>
          <w:b/>
          <w:szCs w:val="24"/>
        </w:rPr>
      </w:pPr>
    </w:p>
    <w:p w:rsidR="003440CA" w:rsidRPr="003440CA" w:rsidRDefault="003440CA" w:rsidP="00AA20F0">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AA20F0">
      <w:pPr>
        <w:spacing w:line="276" w:lineRule="auto"/>
        <w:ind w:left="2127" w:hanging="1276"/>
        <w:jc w:val="center"/>
        <w:rPr>
          <w:rFonts w:ascii="Arial" w:hAnsi="Arial" w:cs="Arial"/>
          <w:b/>
          <w:szCs w:val="24"/>
          <w:u w:val="single"/>
        </w:rPr>
      </w:pPr>
    </w:p>
    <w:p w:rsidR="00226D5F" w:rsidRPr="00AC486E" w:rsidRDefault="00226D5F" w:rsidP="00AA20F0">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AA20F0">
      <w:pPr>
        <w:pStyle w:val="Sinespaciado"/>
        <w:spacing w:line="276" w:lineRule="auto"/>
        <w:rPr>
          <w:rFonts w:ascii="Arial" w:hAnsi="Arial" w:cs="Arial"/>
          <w:sz w:val="24"/>
          <w:szCs w:val="24"/>
        </w:rPr>
      </w:pPr>
    </w:p>
    <w:p w:rsidR="00226D5F" w:rsidRPr="003440CA" w:rsidRDefault="001F2DCA" w:rsidP="00AA20F0">
      <w:pPr>
        <w:spacing w:line="276" w:lineRule="auto"/>
        <w:ind w:firstLine="851"/>
        <w:jc w:val="both"/>
        <w:rPr>
          <w:rFonts w:ascii="Arial" w:hAnsi="Arial" w:cs="Arial"/>
          <w:bCs/>
          <w:iCs/>
          <w:szCs w:val="24"/>
        </w:rPr>
      </w:pPr>
      <w:r>
        <w:rPr>
          <w:rFonts w:ascii="Arial" w:eastAsia="Calibri" w:hAnsi="Arial" w:cs="Arial"/>
          <w:szCs w:val="24"/>
          <w:lang w:val="es-CO" w:eastAsia="en-US"/>
        </w:rPr>
        <w:t xml:space="preserve">En Pereira, a los veintinueve </w:t>
      </w:r>
      <w:r w:rsidR="00226D5F" w:rsidRPr="00AC486E">
        <w:rPr>
          <w:rFonts w:ascii="Arial" w:eastAsia="Calibri" w:hAnsi="Arial" w:cs="Arial"/>
          <w:szCs w:val="24"/>
          <w:lang w:val="es-CO" w:eastAsia="en-US"/>
        </w:rPr>
        <w:t>(</w:t>
      </w:r>
      <w:r>
        <w:rPr>
          <w:rFonts w:ascii="Arial" w:eastAsia="Calibri" w:hAnsi="Arial" w:cs="Arial"/>
          <w:szCs w:val="24"/>
          <w:lang w:val="es-CO" w:eastAsia="en-US"/>
        </w:rPr>
        <w:t>29</w:t>
      </w:r>
      <w:r w:rsidR="00226D5F" w:rsidRPr="00AC486E">
        <w:rPr>
          <w:rFonts w:ascii="Arial" w:eastAsia="Calibri" w:hAnsi="Arial" w:cs="Arial"/>
          <w:szCs w:val="24"/>
          <w:lang w:val="es-CO" w:eastAsia="en-US"/>
        </w:rPr>
        <w:t xml:space="preserve">) días del mes de </w:t>
      </w:r>
      <w:r w:rsidR="007C5A02">
        <w:rPr>
          <w:rFonts w:ascii="Arial" w:eastAsia="Calibri" w:hAnsi="Arial" w:cs="Arial"/>
          <w:szCs w:val="24"/>
          <w:lang w:val="es-CO" w:eastAsia="en-US"/>
        </w:rPr>
        <w:t xml:space="preserve">marzo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00226D5F"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226D5F" w:rsidRPr="00AC486E">
        <w:rPr>
          <w:rFonts w:ascii="Arial" w:eastAsia="Calibri" w:hAnsi="Arial" w:cs="Arial"/>
          <w:szCs w:val="24"/>
          <w:lang w:val="es-CO" w:eastAsia="en-US"/>
        </w:rPr>
        <w:t xml:space="preserve">), siendo las </w:t>
      </w:r>
      <w:r w:rsidR="001A417B">
        <w:rPr>
          <w:rFonts w:ascii="Arial" w:eastAsia="Calibri" w:hAnsi="Arial" w:cs="Arial"/>
          <w:szCs w:val="24"/>
          <w:lang w:val="es-CO" w:eastAsia="en-US"/>
        </w:rPr>
        <w:t xml:space="preserve">ocho </w:t>
      </w:r>
      <w:r>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7C5A02">
        <w:rPr>
          <w:rFonts w:ascii="Arial" w:eastAsia="Calibri" w:hAnsi="Arial" w:cs="Arial"/>
          <w:szCs w:val="24"/>
          <w:lang w:val="es-CO" w:eastAsia="en-US"/>
        </w:rPr>
        <w:t>0</w:t>
      </w:r>
      <w:r w:rsidR="001A417B">
        <w:rPr>
          <w:rFonts w:ascii="Arial" w:eastAsia="Calibri" w:hAnsi="Arial" w:cs="Arial"/>
          <w:szCs w:val="24"/>
          <w:lang w:val="es-CO" w:eastAsia="en-US"/>
        </w:rPr>
        <w:t>8</w:t>
      </w:r>
      <w:r w:rsidR="007C5A02">
        <w:rPr>
          <w:rFonts w:ascii="Arial" w:eastAsia="Calibri" w:hAnsi="Arial" w:cs="Arial"/>
          <w:szCs w:val="24"/>
          <w:lang w:val="es-CO" w:eastAsia="en-US"/>
        </w:rPr>
        <w:t>:</w:t>
      </w:r>
      <w:r>
        <w:rPr>
          <w:rFonts w:ascii="Arial" w:eastAsia="Calibri" w:hAnsi="Arial" w:cs="Arial"/>
          <w:szCs w:val="24"/>
          <w:lang w:val="es-CO" w:eastAsia="en-US"/>
        </w:rPr>
        <w:t>3</w:t>
      </w:r>
      <w:r w:rsidR="007C5A02">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8261E9">
        <w:rPr>
          <w:rFonts w:ascii="Arial" w:hAnsi="Arial" w:cs="Arial"/>
          <w:bCs/>
          <w:color w:val="000000"/>
          <w:szCs w:val="24"/>
          <w:lang w:eastAsia="es-CO"/>
        </w:rPr>
        <w:t xml:space="preserve">recurso de apelación 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Pr>
          <w:rFonts w:ascii="Arial" w:hAnsi="Arial" w:cs="Arial"/>
          <w:szCs w:val="24"/>
        </w:rPr>
        <w:t>08</w:t>
      </w:r>
      <w:r w:rsidR="001A417B">
        <w:rPr>
          <w:rFonts w:ascii="Arial" w:hAnsi="Arial" w:cs="Arial"/>
          <w:szCs w:val="24"/>
        </w:rPr>
        <w:t xml:space="preserve"> </w:t>
      </w:r>
      <w:r w:rsidR="00226D5F" w:rsidRPr="00AC486E">
        <w:rPr>
          <w:rFonts w:ascii="Arial" w:hAnsi="Arial" w:cs="Arial"/>
          <w:szCs w:val="24"/>
        </w:rPr>
        <w:t xml:space="preserve">de </w:t>
      </w:r>
      <w:r>
        <w:rPr>
          <w:rFonts w:ascii="Arial" w:hAnsi="Arial" w:cs="Arial"/>
          <w:szCs w:val="24"/>
        </w:rPr>
        <w:t xml:space="preserve">septiembre </w:t>
      </w:r>
      <w:r w:rsidR="00226D5F" w:rsidRPr="00AC486E">
        <w:rPr>
          <w:rFonts w:ascii="Arial" w:hAnsi="Arial" w:cs="Arial"/>
          <w:szCs w:val="24"/>
        </w:rPr>
        <w:t>de 201</w:t>
      </w:r>
      <w:r w:rsidR="003440CA">
        <w:rPr>
          <w:rFonts w:ascii="Arial" w:hAnsi="Arial" w:cs="Arial"/>
          <w:szCs w:val="24"/>
        </w:rPr>
        <w:t>5</w:t>
      </w:r>
      <w:r w:rsidR="00226D5F" w:rsidRPr="00AC486E">
        <w:rPr>
          <w:rFonts w:ascii="Arial" w:hAnsi="Arial" w:cs="Arial"/>
          <w:szCs w:val="24"/>
        </w:rPr>
        <w:t xml:space="preserve"> por el Juzgado </w:t>
      </w:r>
      <w:r>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1A417B">
        <w:rPr>
          <w:rFonts w:ascii="Arial" w:hAnsi="Arial" w:cs="Arial"/>
          <w:szCs w:val="24"/>
        </w:rPr>
        <w:t xml:space="preserve">la </w:t>
      </w:r>
      <w:r w:rsidR="003440CA">
        <w:rPr>
          <w:rFonts w:ascii="Arial" w:hAnsi="Arial" w:cs="Arial"/>
          <w:szCs w:val="24"/>
        </w:rPr>
        <w:t>señora</w:t>
      </w:r>
      <w:r>
        <w:rPr>
          <w:rFonts w:ascii="Arial" w:hAnsi="Arial" w:cs="Arial"/>
          <w:b/>
          <w:szCs w:val="24"/>
        </w:rPr>
        <w:t xml:space="preserve"> Adiela López de Franco </w:t>
      </w:r>
      <w:r w:rsidR="00226D5F" w:rsidRPr="003440CA">
        <w:rPr>
          <w:rFonts w:ascii="Arial" w:hAnsi="Arial" w:cs="Arial"/>
          <w:szCs w:val="24"/>
        </w:rPr>
        <w:t xml:space="preserve">contra la </w:t>
      </w:r>
      <w:r w:rsidR="00226D5F" w:rsidRPr="003440CA">
        <w:rPr>
          <w:rFonts w:ascii="Arial" w:hAnsi="Arial" w:cs="Arial"/>
          <w:b/>
          <w:szCs w:val="24"/>
        </w:rPr>
        <w:t xml:space="preserve">Administradora Colombiana de Pensiones </w:t>
      </w:r>
      <w:r w:rsidR="001A417B">
        <w:rPr>
          <w:rFonts w:ascii="Arial" w:hAnsi="Arial" w:cs="Arial"/>
          <w:b/>
          <w:szCs w:val="24"/>
        </w:rPr>
        <w:t>–</w:t>
      </w:r>
      <w:r w:rsidR="003440CA" w:rsidRPr="003440CA">
        <w:rPr>
          <w:rFonts w:ascii="Arial" w:hAnsi="Arial" w:cs="Arial"/>
          <w:b/>
          <w:bCs/>
          <w:szCs w:val="24"/>
        </w:rPr>
        <w:t>COLPENSIONES</w:t>
      </w:r>
      <w:r w:rsidR="001A417B">
        <w:rPr>
          <w:rFonts w:ascii="Arial" w:hAnsi="Arial" w:cs="Arial"/>
          <w:b/>
          <w:bCs/>
          <w:szCs w:val="24"/>
        </w:rPr>
        <w:t>-</w:t>
      </w:r>
      <w:r w:rsidR="00226D5F" w:rsidRPr="003440CA">
        <w:rPr>
          <w:rFonts w:ascii="Arial" w:hAnsi="Arial" w:cs="Arial"/>
          <w:bCs/>
          <w:iCs/>
          <w:szCs w:val="24"/>
        </w:rPr>
        <w:t>.</w:t>
      </w:r>
    </w:p>
    <w:p w:rsidR="00226D5F" w:rsidRPr="00AC486E" w:rsidRDefault="00226D5F" w:rsidP="00AA20F0">
      <w:pPr>
        <w:spacing w:line="276" w:lineRule="auto"/>
        <w:ind w:firstLine="851"/>
        <w:jc w:val="both"/>
        <w:rPr>
          <w:rFonts w:ascii="Arial" w:hAnsi="Arial" w:cs="Arial"/>
          <w:bCs/>
          <w:iCs/>
          <w:szCs w:val="24"/>
        </w:rPr>
      </w:pPr>
    </w:p>
    <w:p w:rsidR="00226D5F" w:rsidRPr="00AC486E" w:rsidRDefault="00226D5F" w:rsidP="00AA20F0">
      <w:pPr>
        <w:shd w:val="clear" w:color="auto" w:fill="FFFFFF"/>
        <w:spacing w:line="276" w:lineRule="auto"/>
        <w:jc w:val="both"/>
        <w:rPr>
          <w:rFonts w:ascii="Arial" w:hAnsi="Arial" w:cs="Arial"/>
          <w:b/>
          <w:bCs/>
          <w:i/>
          <w:color w:val="000000"/>
          <w:szCs w:val="24"/>
          <w:lang w:eastAsia="es-CO"/>
        </w:rPr>
      </w:pPr>
    </w:p>
    <w:p w:rsidR="00502691" w:rsidRPr="00502691" w:rsidRDefault="00226D5F" w:rsidP="00AA20F0">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AA20F0">
      <w:pPr>
        <w:spacing w:line="276" w:lineRule="auto"/>
        <w:ind w:firstLine="851"/>
        <w:rPr>
          <w:rFonts w:ascii="Arial" w:hAnsi="Arial" w:cs="Arial"/>
          <w:szCs w:val="24"/>
        </w:rPr>
      </w:pPr>
    </w:p>
    <w:p w:rsidR="001F2DCA" w:rsidRDefault="00502691" w:rsidP="00AA20F0">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5E0ED1" w:rsidP="00AA20F0">
      <w:pPr>
        <w:spacing w:line="276" w:lineRule="auto"/>
        <w:ind w:firstLine="851"/>
        <w:rPr>
          <w:rFonts w:ascii="Arial" w:hAnsi="Arial" w:cs="Arial"/>
          <w:szCs w:val="24"/>
        </w:rPr>
      </w:pPr>
      <w:r>
        <w:rPr>
          <w:rFonts w:ascii="Arial" w:hAnsi="Arial" w:cs="Arial"/>
          <w:szCs w:val="24"/>
        </w:rPr>
        <w:t>Demandado y su apoderado:</w:t>
      </w:r>
    </w:p>
    <w:p w:rsidR="00272C8B" w:rsidRDefault="00272C8B" w:rsidP="00AA20F0">
      <w:pPr>
        <w:spacing w:line="276" w:lineRule="auto"/>
        <w:ind w:firstLine="851"/>
        <w:rPr>
          <w:rFonts w:ascii="Arial" w:hAnsi="Arial" w:cs="Arial"/>
          <w:szCs w:val="24"/>
        </w:rPr>
      </w:pPr>
    </w:p>
    <w:p w:rsidR="00272C8B" w:rsidRPr="001A1834" w:rsidRDefault="00272C8B" w:rsidP="00AA20F0">
      <w:pPr>
        <w:spacing w:line="276" w:lineRule="auto"/>
        <w:ind w:left="709" w:firstLine="142"/>
        <w:contextualSpacing/>
        <w:jc w:val="both"/>
        <w:rPr>
          <w:rFonts w:ascii="Arial" w:hAnsi="Arial" w:cs="Arial"/>
          <w:szCs w:val="24"/>
        </w:rPr>
      </w:pPr>
    </w:p>
    <w:p w:rsidR="00272C8B" w:rsidRPr="008261E9" w:rsidRDefault="00272C8B" w:rsidP="00AA20F0">
      <w:pPr>
        <w:pStyle w:val="Prrafodelista"/>
        <w:numPr>
          <w:ilvl w:val="0"/>
          <w:numId w:val="5"/>
        </w:numPr>
        <w:spacing w:line="276" w:lineRule="auto"/>
        <w:jc w:val="both"/>
        <w:rPr>
          <w:rFonts w:ascii="Arial" w:hAnsi="Arial" w:cs="Arial"/>
          <w:b/>
          <w:sz w:val="24"/>
          <w:szCs w:val="24"/>
        </w:rPr>
      </w:pPr>
      <w:r w:rsidRPr="008261E9">
        <w:rPr>
          <w:rFonts w:ascii="Arial" w:hAnsi="Arial" w:cs="Arial"/>
          <w:b/>
          <w:sz w:val="24"/>
          <w:szCs w:val="24"/>
        </w:rPr>
        <w:t>TRASLADO A LAS PARTES</w:t>
      </w:r>
    </w:p>
    <w:p w:rsidR="00272C8B" w:rsidRPr="001A1834" w:rsidRDefault="00272C8B" w:rsidP="00AA20F0">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AA20F0">
      <w:pPr>
        <w:spacing w:line="276" w:lineRule="auto"/>
        <w:ind w:firstLine="708"/>
        <w:contextualSpacing/>
        <w:jc w:val="both"/>
        <w:rPr>
          <w:rFonts w:ascii="Arial" w:hAnsi="Arial" w:cs="Arial"/>
          <w:szCs w:val="24"/>
        </w:rPr>
      </w:pPr>
      <w:r w:rsidRPr="001A1834">
        <w:rPr>
          <w:rFonts w:ascii="Arial" w:hAnsi="Arial" w:cs="Arial"/>
          <w:szCs w:val="24"/>
        </w:rPr>
        <w:t xml:space="preserve">En este estado se corre traslado a los asistentes para que presenten sus </w:t>
      </w:r>
      <w:r w:rsidR="001F2DCA">
        <w:rPr>
          <w:rFonts w:ascii="Arial" w:hAnsi="Arial" w:cs="Arial"/>
          <w:szCs w:val="24"/>
        </w:rPr>
        <w:t>alegatos, en atención a lo previsto por el artículo 13 de la Ley 1149 de 2007.</w:t>
      </w:r>
    </w:p>
    <w:p w:rsidR="00272C8B" w:rsidRPr="00502691" w:rsidRDefault="00272C8B" w:rsidP="00AA20F0">
      <w:pPr>
        <w:spacing w:line="276" w:lineRule="auto"/>
        <w:ind w:firstLine="851"/>
        <w:rPr>
          <w:rFonts w:ascii="Arial" w:hAnsi="Arial" w:cs="Arial"/>
          <w:szCs w:val="24"/>
        </w:rPr>
      </w:pPr>
    </w:p>
    <w:p w:rsidR="00502691" w:rsidRDefault="00502691" w:rsidP="00AA20F0">
      <w:pPr>
        <w:spacing w:line="276" w:lineRule="auto"/>
        <w:ind w:firstLine="851"/>
        <w:rPr>
          <w:rFonts w:ascii="Arial" w:hAnsi="Arial" w:cs="Arial"/>
          <w:szCs w:val="24"/>
        </w:rPr>
      </w:pPr>
    </w:p>
    <w:p w:rsidR="00226D5F" w:rsidRPr="00637118" w:rsidRDefault="00272C8B" w:rsidP="00AA20F0">
      <w:pPr>
        <w:spacing w:line="276" w:lineRule="auto"/>
        <w:ind w:firstLine="851"/>
        <w:rPr>
          <w:rFonts w:ascii="Arial" w:hAnsi="Arial" w:cs="Arial"/>
          <w:b/>
          <w:szCs w:val="24"/>
        </w:rPr>
      </w:pPr>
      <w:r>
        <w:rPr>
          <w:rFonts w:ascii="Arial" w:hAnsi="Arial" w:cs="Arial"/>
          <w:b/>
          <w:szCs w:val="24"/>
        </w:rPr>
        <w:lastRenderedPageBreak/>
        <w:t>I</w:t>
      </w:r>
      <w:r w:rsidR="00637118" w:rsidRPr="00637118">
        <w:rPr>
          <w:rFonts w:ascii="Arial" w:hAnsi="Arial" w:cs="Arial"/>
          <w:b/>
          <w:szCs w:val="24"/>
        </w:rPr>
        <w:t>II. ANTECEDENTES:</w:t>
      </w:r>
    </w:p>
    <w:p w:rsidR="00226D5F" w:rsidRPr="00AC486E" w:rsidRDefault="00226D5F" w:rsidP="00AA20F0">
      <w:pPr>
        <w:pStyle w:val="Sinespaciado"/>
        <w:spacing w:line="276" w:lineRule="auto"/>
        <w:rPr>
          <w:rFonts w:ascii="Arial" w:hAnsi="Arial" w:cs="Arial"/>
          <w:sz w:val="24"/>
          <w:szCs w:val="24"/>
        </w:rPr>
      </w:pPr>
    </w:p>
    <w:p w:rsidR="00226D5F" w:rsidRDefault="00A957FB" w:rsidP="00AA20F0">
      <w:pPr>
        <w:spacing w:line="276" w:lineRule="auto"/>
        <w:ind w:firstLine="900"/>
        <w:jc w:val="both"/>
        <w:rPr>
          <w:rFonts w:ascii="Arial" w:hAnsi="Arial" w:cs="Arial"/>
          <w:szCs w:val="24"/>
        </w:rPr>
      </w:pPr>
      <w:r>
        <w:rPr>
          <w:rFonts w:ascii="Arial" w:hAnsi="Arial" w:cs="Arial"/>
          <w:szCs w:val="24"/>
        </w:rPr>
        <w:t xml:space="preserve">Pretende la señora </w:t>
      </w:r>
      <w:r w:rsidR="001A417B">
        <w:rPr>
          <w:rFonts w:ascii="Arial" w:hAnsi="Arial" w:cs="Arial"/>
          <w:szCs w:val="24"/>
        </w:rPr>
        <w:t>A</w:t>
      </w:r>
      <w:r w:rsidR="001F2DCA">
        <w:rPr>
          <w:rFonts w:ascii="Arial" w:hAnsi="Arial" w:cs="Arial"/>
          <w:szCs w:val="24"/>
        </w:rPr>
        <w:t>diela López de Nieto</w:t>
      </w:r>
      <w:r w:rsidR="00226D5F" w:rsidRPr="00AC486E">
        <w:rPr>
          <w:rFonts w:ascii="Arial" w:hAnsi="Arial" w:cs="Arial"/>
          <w:b/>
          <w:szCs w:val="24"/>
        </w:rPr>
        <w:t>,</w:t>
      </w:r>
      <w:r w:rsidR="00226D5F" w:rsidRPr="00AC486E">
        <w:rPr>
          <w:rFonts w:ascii="Arial" w:hAnsi="Arial" w:cs="Arial"/>
          <w:szCs w:val="24"/>
        </w:rPr>
        <w:t xml:space="preserve"> que </w:t>
      </w:r>
      <w:r w:rsidR="008261E9">
        <w:rPr>
          <w:rFonts w:ascii="Arial" w:hAnsi="Arial" w:cs="Arial"/>
          <w:szCs w:val="24"/>
        </w:rPr>
        <w:t xml:space="preserve">se </w:t>
      </w:r>
      <w:r w:rsidR="00FF14FA">
        <w:rPr>
          <w:rFonts w:ascii="Arial" w:hAnsi="Arial" w:cs="Arial"/>
          <w:szCs w:val="24"/>
        </w:rPr>
        <w:t xml:space="preserve">reajuste su mesada pensional con el salario base de liquidación devengado en las últimas 100 semanas de cotización, por lo que su primera mesada pensional debe ascender a la suma de $70.642.27, en consecuencia se le debe cancelar la suma de $22´101.438,33 por concepto de retroactivo pensional, junto con </w:t>
      </w:r>
      <w:r w:rsidR="00607E8E">
        <w:rPr>
          <w:rFonts w:ascii="Arial" w:hAnsi="Arial" w:cs="Arial"/>
          <w:szCs w:val="24"/>
        </w:rPr>
        <w:t>l</w:t>
      </w:r>
      <w:r w:rsidR="00FF14FA">
        <w:rPr>
          <w:rFonts w:ascii="Arial" w:hAnsi="Arial" w:cs="Arial"/>
          <w:szCs w:val="24"/>
        </w:rPr>
        <w:t>a indexación de las condenas y las costas procesales</w:t>
      </w:r>
      <w:r w:rsidR="00607E8E">
        <w:rPr>
          <w:rFonts w:ascii="Arial" w:hAnsi="Arial" w:cs="Arial"/>
          <w:szCs w:val="24"/>
        </w:rPr>
        <w:t>.</w:t>
      </w:r>
    </w:p>
    <w:p w:rsidR="00A957FB" w:rsidRPr="00AC486E" w:rsidRDefault="00A957FB" w:rsidP="00AA20F0">
      <w:pPr>
        <w:spacing w:line="276" w:lineRule="auto"/>
        <w:ind w:firstLine="900"/>
        <w:jc w:val="both"/>
        <w:rPr>
          <w:rFonts w:ascii="Arial" w:hAnsi="Arial" w:cs="Arial"/>
          <w:szCs w:val="24"/>
        </w:rPr>
      </w:pPr>
    </w:p>
    <w:p w:rsidR="0048305A" w:rsidRDefault="00A957FB" w:rsidP="00AA20F0">
      <w:pPr>
        <w:spacing w:line="276" w:lineRule="auto"/>
        <w:ind w:firstLine="708"/>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9F5FAF">
        <w:rPr>
          <w:rFonts w:ascii="Arial" w:hAnsi="Arial" w:cs="Arial"/>
          <w:szCs w:val="24"/>
        </w:rPr>
        <w:t xml:space="preserve"> mediante Resolución N° </w:t>
      </w:r>
      <w:r w:rsidR="0048305A">
        <w:rPr>
          <w:rFonts w:ascii="Arial" w:hAnsi="Arial" w:cs="Arial"/>
          <w:szCs w:val="24"/>
        </w:rPr>
        <w:t>00116 del 22 de enero de 1992 el Instituto de Seguros Sociales le reconoció pensión de vejez a partir del 30 de diciembre de 1991, teniendo en cuenta un salario base de $66.205,53 y una tasa de reemplazo del 90%, aplicando para ello el Decreto 758 de 1990</w:t>
      </w:r>
      <w:r w:rsidR="00A95442">
        <w:rPr>
          <w:rFonts w:ascii="Arial" w:hAnsi="Arial" w:cs="Arial"/>
          <w:szCs w:val="24"/>
        </w:rPr>
        <w:t>, por haber acreditado los requisitos de edad y densidad de cotizaciones en vigencia de esa normativa</w:t>
      </w:r>
      <w:r w:rsidR="0048305A">
        <w:rPr>
          <w:rFonts w:ascii="Arial" w:hAnsi="Arial" w:cs="Arial"/>
          <w:szCs w:val="24"/>
        </w:rPr>
        <w:t xml:space="preserve">; que efectuando la liquidación de la pensión con base en las últimas 100 semanas cotizadas se obtuvo como monto de la primera mesada pensional la suma de $70.642,27; que </w:t>
      </w:r>
      <w:r w:rsidR="00DE5DAF">
        <w:rPr>
          <w:rFonts w:ascii="Arial" w:hAnsi="Arial" w:cs="Arial"/>
          <w:szCs w:val="24"/>
        </w:rPr>
        <w:t>con base en lo anterior, el 26 de enero de 2015 solicitó</w:t>
      </w:r>
      <w:r w:rsidR="0048305A">
        <w:rPr>
          <w:rFonts w:ascii="Arial" w:hAnsi="Arial" w:cs="Arial"/>
          <w:szCs w:val="24"/>
        </w:rPr>
        <w:t xml:space="preserve"> a COLPENSIONES </w:t>
      </w:r>
      <w:r w:rsidR="00DE5DAF">
        <w:rPr>
          <w:rFonts w:ascii="Arial" w:hAnsi="Arial" w:cs="Arial"/>
          <w:szCs w:val="24"/>
        </w:rPr>
        <w:t>reajustara su mesada pensional en esos términos, sin recibir respuesta alguna.</w:t>
      </w:r>
    </w:p>
    <w:p w:rsidR="0048305A" w:rsidRPr="00AC486E" w:rsidRDefault="0048305A" w:rsidP="00AA20F0">
      <w:pPr>
        <w:spacing w:line="276" w:lineRule="auto"/>
        <w:ind w:firstLine="708"/>
        <w:jc w:val="both"/>
        <w:rPr>
          <w:rFonts w:ascii="Arial" w:hAnsi="Arial" w:cs="Arial"/>
          <w:szCs w:val="24"/>
        </w:rPr>
      </w:pPr>
    </w:p>
    <w:p w:rsidR="00226D5F" w:rsidRDefault="00226D5F" w:rsidP="00AA20F0">
      <w:pPr>
        <w:spacing w:line="276" w:lineRule="auto"/>
        <w:ind w:firstLine="708"/>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6D0816" w:rsidRPr="00AC486E">
        <w:rPr>
          <w:rFonts w:ascii="Arial" w:hAnsi="Arial" w:cs="Arial"/>
          <w:szCs w:val="24"/>
        </w:rPr>
        <w:t xml:space="preserve">se opuso a las pretensiones de la demanda, argumentando que </w:t>
      </w:r>
      <w:r w:rsidR="00DE438F">
        <w:rPr>
          <w:rFonts w:ascii="Arial" w:hAnsi="Arial" w:cs="Arial"/>
          <w:szCs w:val="24"/>
        </w:rPr>
        <w:t>la prestación económica de la actora estuvo bien liquidada porque se</w:t>
      </w:r>
      <w:r w:rsidR="00610BCC">
        <w:rPr>
          <w:rFonts w:ascii="Arial" w:hAnsi="Arial" w:cs="Arial"/>
          <w:szCs w:val="24"/>
        </w:rPr>
        <w:t xml:space="preserve"> atendieron las previsiones del artículo 20, parágrafo 2° del Acuerdo 049 de 1990, es decir, de acuerdo al número de semanas cotizadas por la actora, esto es, 1317 y una tasa de reemplazo del 90%, teniendo en cuenta además el promedio de los salarios devengados, en la medida que en la historia laboral solo figura el último salario devengado aunque el mismo de manera lógica no se mantuvo durante toda su vida laboral</w:t>
      </w:r>
      <w:r w:rsidR="00DE438F">
        <w:rPr>
          <w:rFonts w:ascii="Arial" w:hAnsi="Arial" w:cs="Arial"/>
          <w:szCs w:val="24"/>
        </w:rPr>
        <w:t>.</w:t>
      </w:r>
      <w:r w:rsidR="006D0816" w:rsidRPr="00AC486E">
        <w:rPr>
          <w:rFonts w:ascii="Arial" w:hAnsi="Arial" w:cs="Arial"/>
          <w:szCs w:val="24"/>
        </w:rPr>
        <w:t xml:space="preserve"> Propuso como excepciones de mérito las que denominó “</w:t>
      </w:r>
      <w:r w:rsidR="00567B33">
        <w:rPr>
          <w:rFonts w:ascii="Arial" w:hAnsi="Arial" w:cs="Arial"/>
          <w:szCs w:val="24"/>
        </w:rPr>
        <w:t>Inexistencia de la Obligación demandada</w:t>
      </w:r>
      <w:r w:rsidR="006D0816" w:rsidRPr="00AC486E">
        <w:rPr>
          <w:rFonts w:ascii="Arial" w:hAnsi="Arial" w:cs="Arial"/>
          <w:szCs w:val="24"/>
        </w:rPr>
        <w:t>”</w:t>
      </w:r>
      <w:r w:rsidR="00610BCC">
        <w:rPr>
          <w:rFonts w:ascii="Arial" w:hAnsi="Arial" w:cs="Arial"/>
          <w:szCs w:val="24"/>
        </w:rPr>
        <w:t xml:space="preserve"> </w:t>
      </w:r>
      <w:r w:rsidR="006D0816" w:rsidRPr="00AC486E">
        <w:rPr>
          <w:rFonts w:ascii="Arial" w:hAnsi="Arial" w:cs="Arial"/>
          <w:szCs w:val="24"/>
        </w:rPr>
        <w:t xml:space="preserve"> y “Prescripción”.</w:t>
      </w:r>
    </w:p>
    <w:p w:rsidR="00591F75" w:rsidRDefault="00591F75" w:rsidP="00AA20F0">
      <w:pPr>
        <w:spacing w:line="276" w:lineRule="auto"/>
        <w:ind w:firstLine="708"/>
        <w:jc w:val="both"/>
        <w:rPr>
          <w:rFonts w:ascii="Arial" w:hAnsi="Arial" w:cs="Arial"/>
          <w:szCs w:val="24"/>
        </w:rPr>
      </w:pPr>
    </w:p>
    <w:p w:rsidR="00226D5F" w:rsidRPr="009740CF" w:rsidRDefault="00272C8B" w:rsidP="00AA20F0">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AA20F0">
      <w:pPr>
        <w:pStyle w:val="Sinespaciado"/>
        <w:spacing w:line="276" w:lineRule="auto"/>
        <w:rPr>
          <w:rFonts w:ascii="Arial" w:hAnsi="Arial" w:cs="Arial"/>
          <w:sz w:val="24"/>
          <w:szCs w:val="24"/>
        </w:rPr>
      </w:pPr>
    </w:p>
    <w:p w:rsidR="00AA20F0" w:rsidRPr="00174C77" w:rsidRDefault="00226D5F" w:rsidP="00AA20F0">
      <w:pPr>
        <w:spacing w:line="276" w:lineRule="auto"/>
        <w:ind w:firstLine="708"/>
        <w:jc w:val="both"/>
        <w:rPr>
          <w:rFonts w:ascii="Arial" w:hAnsi="Arial" w:cs="Arial"/>
          <w:szCs w:val="24"/>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610BCC">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8E3322">
        <w:rPr>
          <w:rFonts w:ascii="Arial" w:hAnsi="Arial" w:cs="Arial"/>
          <w:color w:val="000000"/>
          <w:szCs w:val="24"/>
          <w:lang w:eastAsia="es-CO"/>
        </w:rPr>
        <w:t>m</w:t>
      </w:r>
      <w:r w:rsidR="00610BCC">
        <w:rPr>
          <w:rFonts w:ascii="Arial" w:hAnsi="Arial" w:cs="Arial"/>
          <w:color w:val="000000"/>
          <w:szCs w:val="24"/>
          <w:lang w:eastAsia="es-CO"/>
        </w:rPr>
        <w:t xml:space="preserve">ediante sentencia proferida el </w:t>
      </w:r>
      <w:r w:rsidR="008E3322">
        <w:rPr>
          <w:rFonts w:ascii="Arial" w:hAnsi="Arial" w:cs="Arial"/>
          <w:color w:val="000000"/>
          <w:szCs w:val="24"/>
          <w:lang w:eastAsia="es-CO"/>
        </w:rPr>
        <w:t xml:space="preserve">8 de </w:t>
      </w:r>
      <w:r w:rsidR="00610BCC">
        <w:rPr>
          <w:rFonts w:ascii="Arial" w:hAnsi="Arial" w:cs="Arial"/>
          <w:color w:val="000000"/>
          <w:szCs w:val="24"/>
          <w:lang w:eastAsia="es-CO"/>
        </w:rPr>
        <w:t xml:space="preserve">septiembre </w:t>
      </w:r>
      <w:r w:rsidR="008E3322">
        <w:rPr>
          <w:rFonts w:ascii="Arial" w:hAnsi="Arial" w:cs="Arial"/>
          <w:color w:val="000000"/>
          <w:szCs w:val="24"/>
          <w:lang w:eastAsia="es-CO"/>
        </w:rPr>
        <w:t xml:space="preserve">de 2015, </w:t>
      </w:r>
      <w:r w:rsidR="00A95442">
        <w:rPr>
          <w:rFonts w:ascii="Arial" w:hAnsi="Arial" w:cs="Arial"/>
          <w:color w:val="000000"/>
          <w:szCs w:val="24"/>
          <w:lang w:eastAsia="es-CO"/>
        </w:rPr>
        <w:t xml:space="preserve">una vez aclaró que a la demandante se le aplicó el Acuerdo 049 de 1990 por haber cumplido los requisitos bajo su égida y no por ser beneficiaria del régimen de transición previsto en el artículo 36 de la Ley 100/1993, </w:t>
      </w:r>
      <w:r w:rsidR="008E3322">
        <w:rPr>
          <w:rFonts w:ascii="Arial" w:hAnsi="Arial" w:cs="Arial"/>
          <w:color w:val="000000"/>
          <w:szCs w:val="24"/>
          <w:lang w:eastAsia="es-CO"/>
        </w:rPr>
        <w:t xml:space="preserve">denegó las pretensiones de la demanda al encontrar </w:t>
      </w:r>
      <w:r w:rsidR="008E3322" w:rsidRPr="00174C77">
        <w:rPr>
          <w:rFonts w:ascii="Arial" w:hAnsi="Arial" w:cs="Arial"/>
          <w:color w:val="000000"/>
          <w:szCs w:val="24"/>
          <w:lang w:eastAsia="es-CO"/>
        </w:rPr>
        <w:t xml:space="preserve">que </w:t>
      </w:r>
      <w:r w:rsidR="00DD04A4">
        <w:rPr>
          <w:rFonts w:ascii="Arial" w:hAnsi="Arial" w:cs="Arial"/>
          <w:szCs w:val="24"/>
        </w:rPr>
        <w:t xml:space="preserve">efectuado el cálculo correspondiente de </w:t>
      </w:r>
      <w:r w:rsidR="00322F77">
        <w:rPr>
          <w:rFonts w:ascii="Arial" w:hAnsi="Arial" w:cs="Arial"/>
          <w:szCs w:val="24"/>
        </w:rPr>
        <w:t xml:space="preserve">conformidad con </w:t>
      </w:r>
      <w:r w:rsidR="00DD04A4">
        <w:rPr>
          <w:rFonts w:ascii="Arial" w:hAnsi="Arial" w:cs="Arial"/>
          <w:szCs w:val="24"/>
        </w:rPr>
        <w:t>lo dispuesto por el artículo 20 de</w:t>
      </w:r>
      <w:r w:rsidR="00322F77">
        <w:rPr>
          <w:rFonts w:ascii="Arial" w:hAnsi="Arial" w:cs="Arial"/>
          <w:szCs w:val="24"/>
        </w:rPr>
        <w:t xml:space="preserve"> ese cuerpo normativo </w:t>
      </w:r>
      <w:r w:rsidR="00DD04A4">
        <w:rPr>
          <w:rFonts w:ascii="Arial" w:hAnsi="Arial" w:cs="Arial"/>
          <w:szCs w:val="24"/>
        </w:rPr>
        <w:t xml:space="preserve">se </w:t>
      </w:r>
      <w:r w:rsidR="00280CFA">
        <w:rPr>
          <w:rFonts w:ascii="Arial" w:hAnsi="Arial" w:cs="Arial"/>
          <w:szCs w:val="24"/>
        </w:rPr>
        <w:t xml:space="preserve">advirtió </w:t>
      </w:r>
      <w:r w:rsidR="00DD04A4">
        <w:rPr>
          <w:rFonts w:ascii="Arial" w:hAnsi="Arial" w:cs="Arial"/>
          <w:szCs w:val="24"/>
        </w:rPr>
        <w:t>que los salarios devengados por la actora ascienden a la suma de $1´741.054, arrojando como IBL la suma de $75.390 monto que al aplicarle la tasa de reemplazo del 90% genera una mesada pensional equivalente a $67.851, esto es, inferior a la que en su momento halló el Instituto de Seguros Sociales. De otro lado, aclaró que la entidad demandada erró al reconocer la prestación desde el 30 de diciembre de 1991, teniendo en cuenta que la última cotización de la actora se present</w:t>
      </w:r>
      <w:r w:rsidR="00280CFA">
        <w:rPr>
          <w:rFonts w:ascii="Arial" w:hAnsi="Arial" w:cs="Arial"/>
          <w:szCs w:val="24"/>
        </w:rPr>
        <w:t>ó el 1° de abril de 1992, por lo que al momento de efectuar el cálculo del reajuste lo hizo teniendo las cotizaciones efectuadas hasta esta calenda.</w:t>
      </w:r>
      <w:r w:rsidR="000B6105">
        <w:rPr>
          <w:rFonts w:ascii="Arial" w:hAnsi="Arial" w:cs="Arial"/>
          <w:szCs w:val="24"/>
        </w:rPr>
        <w:t xml:space="preserve"> Declaró probadas las excepciones propuestas y condenó en costas a la parte actora.</w:t>
      </w:r>
    </w:p>
    <w:p w:rsidR="00226D5F" w:rsidRPr="00174C77" w:rsidRDefault="00226D5F" w:rsidP="00AA20F0">
      <w:pPr>
        <w:pStyle w:val="Sinespaciado"/>
        <w:spacing w:line="276" w:lineRule="auto"/>
        <w:rPr>
          <w:rFonts w:ascii="Arial" w:hAnsi="Arial" w:cs="Arial"/>
          <w:sz w:val="24"/>
          <w:szCs w:val="24"/>
        </w:rPr>
      </w:pPr>
    </w:p>
    <w:p w:rsidR="002C313D" w:rsidRPr="00174C77" w:rsidRDefault="002C313D" w:rsidP="00AA20F0">
      <w:pPr>
        <w:pStyle w:val="Prrafodelista"/>
        <w:numPr>
          <w:ilvl w:val="0"/>
          <w:numId w:val="6"/>
        </w:numPr>
        <w:shd w:val="clear" w:color="auto" w:fill="FFFFFF"/>
        <w:tabs>
          <w:tab w:val="left" w:pos="5197"/>
        </w:tabs>
        <w:spacing w:line="276" w:lineRule="auto"/>
        <w:jc w:val="both"/>
        <w:rPr>
          <w:rFonts w:ascii="Arial" w:hAnsi="Arial" w:cs="Arial"/>
          <w:b/>
          <w:sz w:val="24"/>
          <w:szCs w:val="24"/>
        </w:rPr>
      </w:pPr>
      <w:r w:rsidRPr="00174C77">
        <w:rPr>
          <w:rFonts w:ascii="Arial" w:hAnsi="Arial" w:cs="Arial"/>
          <w:b/>
          <w:sz w:val="24"/>
          <w:szCs w:val="24"/>
        </w:rPr>
        <w:t>RECURSO DE APELACIÓN</w:t>
      </w:r>
    </w:p>
    <w:p w:rsidR="00262C18" w:rsidRPr="00174C77" w:rsidRDefault="00AB2427" w:rsidP="00AA20F0">
      <w:pPr>
        <w:shd w:val="clear" w:color="auto" w:fill="FFFFFF"/>
        <w:spacing w:line="276" w:lineRule="auto"/>
        <w:jc w:val="both"/>
        <w:rPr>
          <w:rFonts w:ascii="Arial" w:hAnsi="Arial" w:cs="Arial"/>
          <w:szCs w:val="24"/>
        </w:rPr>
      </w:pPr>
      <w:r w:rsidRPr="00174C77">
        <w:rPr>
          <w:rFonts w:ascii="Arial" w:hAnsi="Arial" w:cs="Arial"/>
          <w:szCs w:val="24"/>
        </w:rPr>
        <w:tab/>
      </w:r>
      <w:r w:rsidR="00287CC2" w:rsidRPr="00174C77">
        <w:rPr>
          <w:rFonts w:ascii="Arial" w:hAnsi="Arial" w:cs="Arial"/>
          <w:szCs w:val="24"/>
        </w:rPr>
        <w:t xml:space="preserve">Contra la decisión de primer </w:t>
      </w:r>
      <w:r w:rsidR="00D82869" w:rsidRPr="00174C77">
        <w:rPr>
          <w:rFonts w:ascii="Arial" w:hAnsi="Arial" w:cs="Arial"/>
          <w:szCs w:val="24"/>
        </w:rPr>
        <w:t xml:space="preserve">grado se alzó </w:t>
      </w:r>
      <w:r w:rsidR="002C313D" w:rsidRPr="00174C77">
        <w:rPr>
          <w:rFonts w:ascii="Arial" w:hAnsi="Arial" w:cs="Arial"/>
          <w:szCs w:val="24"/>
        </w:rPr>
        <w:t>l</w:t>
      </w:r>
      <w:r w:rsidR="00D82869" w:rsidRPr="00174C77">
        <w:rPr>
          <w:rFonts w:ascii="Arial" w:hAnsi="Arial" w:cs="Arial"/>
          <w:szCs w:val="24"/>
        </w:rPr>
        <w:t>a</w:t>
      </w:r>
      <w:r w:rsidR="002C313D" w:rsidRPr="00174C77">
        <w:rPr>
          <w:rFonts w:ascii="Arial" w:hAnsi="Arial" w:cs="Arial"/>
          <w:szCs w:val="24"/>
        </w:rPr>
        <w:t xml:space="preserve"> </w:t>
      </w:r>
      <w:r w:rsidR="00D82869" w:rsidRPr="00174C77">
        <w:rPr>
          <w:rFonts w:ascii="Arial" w:hAnsi="Arial" w:cs="Arial"/>
          <w:szCs w:val="24"/>
        </w:rPr>
        <w:t xml:space="preserve">vocera </w:t>
      </w:r>
      <w:r w:rsidR="002C313D" w:rsidRPr="00174C77">
        <w:rPr>
          <w:rFonts w:ascii="Arial" w:hAnsi="Arial" w:cs="Arial"/>
          <w:szCs w:val="24"/>
        </w:rPr>
        <w:t xml:space="preserve">judicial de la parte actora, </w:t>
      </w:r>
      <w:r w:rsidR="0041066C">
        <w:rPr>
          <w:rFonts w:ascii="Arial" w:hAnsi="Arial" w:cs="Arial"/>
          <w:szCs w:val="24"/>
        </w:rPr>
        <w:t>explicando en primer lugar có</w:t>
      </w:r>
      <w:r w:rsidR="00F23734">
        <w:rPr>
          <w:rFonts w:ascii="Arial" w:hAnsi="Arial" w:cs="Arial"/>
          <w:szCs w:val="24"/>
        </w:rPr>
        <w:t>mo se aplica la fórmula descrita en el artículo 20 del Decreto 758/90; acto seguido manifestó que el Juzgado no tuvo en cuenta los salarios reales con los que la demandante cotizó al ISS, toda vez que el último salario fue de $79.290 y no de $89.070 porque este salario es de periodos cotizados después del reconocimiento pensional por lo que por esa razón no pueden ser tenidos en cuenta; lo anterior, en virtud del principio de confianza legítima de los actos administrativos, es decir, debe tenerse en cuenta lo estipulado en la resolución de reconocimiento, que permite concluir que para el ISS ya había operado el retiro del sistema de la actora y que su empleador simplemente no la había desafiliado.</w:t>
      </w:r>
    </w:p>
    <w:p w:rsidR="00D82869" w:rsidRPr="00174C77" w:rsidRDefault="00D82869" w:rsidP="00AA20F0">
      <w:pPr>
        <w:shd w:val="clear" w:color="auto" w:fill="FFFFFF"/>
        <w:spacing w:line="276" w:lineRule="auto"/>
        <w:jc w:val="both"/>
        <w:rPr>
          <w:rFonts w:ascii="Arial" w:hAnsi="Arial" w:cs="Arial"/>
          <w:szCs w:val="24"/>
        </w:rPr>
      </w:pPr>
    </w:p>
    <w:p w:rsidR="0061484D" w:rsidRPr="00174C77" w:rsidRDefault="0061484D" w:rsidP="00AA20F0">
      <w:pPr>
        <w:pStyle w:val="Prrafodelista"/>
        <w:numPr>
          <w:ilvl w:val="0"/>
          <w:numId w:val="6"/>
        </w:numPr>
        <w:shd w:val="clear" w:color="auto" w:fill="FFFFFF"/>
        <w:tabs>
          <w:tab w:val="left" w:pos="5197"/>
        </w:tabs>
        <w:spacing w:line="276" w:lineRule="auto"/>
        <w:jc w:val="both"/>
        <w:rPr>
          <w:rFonts w:ascii="Arial" w:hAnsi="Arial" w:cs="Arial"/>
          <w:b/>
          <w:sz w:val="24"/>
          <w:szCs w:val="24"/>
        </w:rPr>
      </w:pPr>
      <w:r w:rsidRPr="00174C77">
        <w:rPr>
          <w:rFonts w:ascii="Arial" w:hAnsi="Arial" w:cs="Arial"/>
          <w:b/>
          <w:sz w:val="24"/>
          <w:szCs w:val="24"/>
        </w:rPr>
        <w:t>CONSIDERACIONES</w:t>
      </w:r>
    </w:p>
    <w:p w:rsidR="00FF24FA" w:rsidRPr="00174C77" w:rsidRDefault="00FF24FA" w:rsidP="00AA20F0">
      <w:pPr>
        <w:pStyle w:val="Prrafodelista"/>
        <w:shd w:val="clear" w:color="auto" w:fill="FFFFFF"/>
        <w:tabs>
          <w:tab w:val="left" w:pos="5197"/>
        </w:tabs>
        <w:spacing w:line="276" w:lineRule="auto"/>
        <w:ind w:left="1800"/>
        <w:jc w:val="both"/>
        <w:rPr>
          <w:rFonts w:ascii="Arial" w:hAnsi="Arial" w:cs="Arial"/>
          <w:b/>
          <w:sz w:val="24"/>
          <w:szCs w:val="24"/>
        </w:rPr>
      </w:pPr>
    </w:p>
    <w:p w:rsidR="00226D5F" w:rsidRPr="00174C77" w:rsidRDefault="00226D5F" w:rsidP="00AA20F0">
      <w:pPr>
        <w:shd w:val="clear" w:color="auto" w:fill="FFFFFF"/>
        <w:tabs>
          <w:tab w:val="left" w:pos="5197"/>
        </w:tabs>
        <w:spacing w:line="276" w:lineRule="auto"/>
        <w:ind w:firstLine="851"/>
        <w:jc w:val="both"/>
        <w:rPr>
          <w:rFonts w:ascii="Arial" w:hAnsi="Arial" w:cs="Arial"/>
          <w:szCs w:val="24"/>
        </w:rPr>
      </w:pPr>
      <w:r w:rsidRPr="00174C77">
        <w:rPr>
          <w:rFonts w:ascii="Arial" w:hAnsi="Arial" w:cs="Arial"/>
          <w:szCs w:val="24"/>
        </w:rPr>
        <w:t xml:space="preserve"> </w:t>
      </w:r>
      <w:r w:rsidRPr="00174C77">
        <w:rPr>
          <w:rFonts w:ascii="Arial" w:hAnsi="Arial" w:cs="Arial"/>
          <w:b/>
          <w:szCs w:val="24"/>
        </w:rPr>
        <w:t>Del problema jurídico.</w:t>
      </w:r>
    </w:p>
    <w:p w:rsidR="00226D5F" w:rsidRPr="00174C77" w:rsidRDefault="00226D5F" w:rsidP="00AA20F0">
      <w:pPr>
        <w:pStyle w:val="Sinespaciado"/>
        <w:spacing w:line="276" w:lineRule="auto"/>
        <w:rPr>
          <w:rFonts w:ascii="Arial" w:hAnsi="Arial" w:cs="Arial"/>
          <w:sz w:val="24"/>
          <w:szCs w:val="24"/>
        </w:rPr>
      </w:pPr>
    </w:p>
    <w:p w:rsidR="00226D5F" w:rsidRPr="00174C77" w:rsidRDefault="00226D5F" w:rsidP="00AA20F0">
      <w:pPr>
        <w:shd w:val="clear" w:color="auto" w:fill="FFFFFF"/>
        <w:tabs>
          <w:tab w:val="left" w:pos="5197"/>
        </w:tabs>
        <w:spacing w:line="276" w:lineRule="auto"/>
        <w:ind w:firstLine="851"/>
        <w:jc w:val="both"/>
        <w:rPr>
          <w:rFonts w:ascii="Arial" w:hAnsi="Arial" w:cs="Arial"/>
          <w:color w:val="000000"/>
          <w:szCs w:val="24"/>
          <w:lang w:eastAsia="es-CO"/>
        </w:rPr>
      </w:pPr>
      <w:r w:rsidRPr="00174C77">
        <w:rPr>
          <w:rFonts w:ascii="Arial" w:hAnsi="Arial" w:cs="Arial"/>
          <w:color w:val="000000"/>
          <w:szCs w:val="24"/>
          <w:lang w:eastAsia="es-CO"/>
        </w:rPr>
        <w:t>Visto el recuento anterior, la Sala formula el problema jurídico en los siguientes términos:</w:t>
      </w:r>
    </w:p>
    <w:p w:rsidR="006E3949" w:rsidRPr="00174C77" w:rsidRDefault="006E3949" w:rsidP="00AA20F0">
      <w:pPr>
        <w:shd w:val="clear" w:color="auto" w:fill="FFFFFF"/>
        <w:tabs>
          <w:tab w:val="left" w:pos="5197"/>
        </w:tabs>
        <w:spacing w:line="276" w:lineRule="auto"/>
        <w:ind w:firstLine="851"/>
        <w:jc w:val="both"/>
        <w:rPr>
          <w:rFonts w:ascii="Arial" w:hAnsi="Arial" w:cs="Arial"/>
          <w:color w:val="000000"/>
          <w:szCs w:val="24"/>
          <w:lang w:eastAsia="es-CO"/>
        </w:rPr>
      </w:pPr>
    </w:p>
    <w:p w:rsidR="00226D5F" w:rsidRPr="00AA20F0" w:rsidRDefault="006E3949" w:rsidP="00AA20F0">
      <w:pPr>
        <w:tabs>
          <w:tab w:val="left" w:pos="0"/>
          <w:tab w:val="left" w:pos="8647"/>
        </w:tabs>
        <w:suppressAutoHyphens/>
        <w:spacing w:line="276" w:lineRule="auto"/>
        <w:ind w:left="1134" w:right="1134" w:firstLine="900"/>
        <w:jc w:val="both"/>
        <w:rPr>
          <w:rFonts w:ascii="Arial" w:hAnsi="Arial" w:cs="Arial"/>
          <w:szCs w:val="24"/>
          <w:lang w:eastAsia="es-CO"/>
        </w:rPr>
      </w:pPr>
      <w:r w:rsidRPr="00A95442">
        <w:rPr>
          <w:rFonts w:ascii="Arial" w:hAnsi="Arial" w:cs="Arial"/>
          <w:szCs w:val="24"/>
          <w:lang w:eastAsia="es-CO"/>
        </w:rPr>
        <w:t>¿</w:t>
      </w:r>
      <w:r w:rsidR="00A95442" w:rsidRPr="00A95442">
        <w:rPr>
          <w:rFonts w:ascii="Arial" w:hAnsi="Arial" w:cs="Arial"/>
          <w:szCs w:val="24"/>
          <w:lang w:eastAsia="es-CO"/>
        </w:rPr>
        <w:t>Hay lugar a reliquidar la pensión de vejez de la demandante conforme a la fórmula prevista en el artículo 20 del Acuerdo 049 de 1990</w:t>
      </w:r>
      <w:r w:rsidRPr="00AA20F0">
        <w:rPr>
          <w:rFonts w:ascii="Arial" w:hAnsi="Arial" w:cs="Arial"/>
          <w:szCs w:val="24"/>
          <w:lang w:eastAsia="es-CO"/>
        </w:rPr>
        <w:t>?</w:t>
      </w:r>
    </w:p>
    <w:p w:rsidR="00AA20F0" w:rsidRDefault="00AA20F0" w:rsidP="00AA20F0">
      <w:pPr>
        <w:tabs>
          <w:tab w:val="left" w:pos="0"/>
          <w:tab w:val="left" w:pos="8647"/>
        </w:tabs>
        <w:suppressAutoHyphens/>
        <w:spacing w:line="276" w:lineRule="auto"/>
        <w:ind w:firstLine="900"/>
        <w:jc w:val="both"/>
        <w:rPr>
          <w:rFonts w:ascii="Arial" w:hAnsi="Arial" w:cs="Arial"/>
          <w:b/>
          <w:iCs/>
          <w:szCs w:val="24"/>
        </w:rPr>
      </w:pPr>
    </w:p>
    <w:p w:rsidR="00251CC1" w:rsidRDefault="00891A47" w:rsidP="00AA20F0">
      <w:pPr>
        <w:tabs>
          <w:tab w:val="left" w:pos="0"/>
          <w:tab w:val="left" w:pos="8647"/>
        </w:tabs>
        <w:suppressAutoHyphens/>
        <w:spacing w:line="276" w:lineRule="auto"/>
        <w:ind w:firstLine="900"/>
        <w:jc w:val="both"/>
        <w:rPr>
          <w:rFonts w:ascii="Arial" w:hAnsi="Arial" w:cs="Arial"/>
          <w:b/>
          <w:iCs/>
          <w:szCs w:val="24"/>
        </w:rPr>
      </w:pPr>
      <w:r>
        <w:rPr>
          <w:rFonts w:ascii="Arial" w:hAnsi="Arial" w:cs="Arial"/>
          <w:b/>
          <w:iCs/>
          <w:szCs w:val="24"/>
        </w:rPr>
        <w:t xml:space="preserve">De la liquidación del IBL </w:t>
      </w:r>
      <w:r w:rsidR="00322F77">
        <w:rPr>
          <w:rFonts w:ascii="Arial" w:hAnsi="Arial" w:cs="Arial"/>
          <w:b/>
          <w:iCs/>
          <w:szCs w:val="24"/>
        </w:rPr>
        <w:t>a las pensiones causadas en vigencia del Acuerdo 049 de 1990</w:t>
      </w:r>
    </w:p>
    <w:p w:rsidR="00251CC1" w:rsidRDefault="00251CC1" w:rsidP="00AA20F0">
      <w:pPr>
        <w:tabs>
          <w:tab w:val="left" w:pos="0"/>
          <w:tab w:val="left" w:pos="8647"/>
        </w:tabs>
        <w:suppressAutoHyphens/>
        <w:spacing w:line="276" w:lineRule="auto"/>
        <w:ind w:firstLine="900"/>
        <w:jc w:val="both"/>
        <w:rPr>
          <w:rFonts w:ascii="Arial" w:hAnsi="Arial" w:cs="Arial"/>
          <w:b/>
          <w:iCs/>
          <w:szCs w:val="24"/>
        </w:rPr>
      </w:pPr>
    </w:p>
    <w:p w:rsidR="00322F77" w:rsidRDefault="00D3035A" w:rsidP="00322F77">
      <w:pPr>
        <w:widowControl w:val="0"/>
        <w:autoSpaceDE w:val="0"/>
        <w:autoSpaceDN w:val="0"/>
        <w:adjustRightInd w:val="0"/>
        <w:spacing w:line="276" w:lineRule="auto"/>
        <w:ind w:firstLine="708"/>
        <w:jc w:val="both"/>
        <w:rPr>
          <w:rFonts w:ascii="Arial" w:hAnsi="Arial" w:cs="Arial"/>
          <w:szCs w:val="24"/>
        </w:rPr>
      </w:pPr>
      <w:r w:rsidRPr="00D3035A">
        <w:rPr>
          <w:rFonts w:ascii="Arial" w:hAnsi="Arial" w:cs="Arial"/>
          <w:szCs w:val="24"/>
        </w:rPr>
        <w:t xml:space="preserve">El </w:t>
      </w:r>
      <w:r w:rsidR="00322F77">
        <w:rPr>
          <w:rFonts w:ascii="Arial" w:hAnsi="Arial" w:cs="Arial"/>
          <w:szCs w:val="24"/>
        </w:rPr>
        <w:t xml:space="preserve">Decreto 758 de 1990, determina la forma en que debe obtenerse el </w:t>
      </w:r>
      <w:r w:rsidRPr="00D3035A">
        <w:rPr>
          <w:rFonts w:ascii="Arial" w:hAnsi="Arial" w:cs="Arial"/>
          <w:szCs w:val="24"/>
        </w:rPr>
        <w:t xml:space="preserve">Ingreso Base de Liquidación, </w:t>
      </w:r>
      <w:r w:rsidR="00322F77">
        <w:rPr>
          <w:rFonts w:ascii="Arial" w:hAnsi="Arial" w:cs="Arial"/>
          <w:szCs w:val="24"/>
        </w:rPr>
        <w:t>para aquellas personas que causaron el derecho en vigencia de ese cuerpo normativo, así:</w:t>
      </w:r>
    </w:p>
    <w:p w:rsidR="00322F77" w:rsidRDefault="00322F77" w:rsidP="00322F77">
      <w:pPr>
        <w:widowControl w:val="0"/>
        <w:autoSpaceDE w:val="0"/>
        <w:autoSpaceDN w:val="0"/>
        <w:adjustRightInd w:val="0"/>
        <w:spacing w:line="276" w:lineRule="auto"/>
        <w:ind w:firstLine="708"/>
        <w:jc w:val="both"/>
        <w:rPr>
          <w:rFonts w:ascii="Arial" w:hAnsi="Arial" w:cs="Arial"/>
          <w:szCs w:val="24"/>
        </w:rPr>
      </w:pPr>
    </w:p>
    <w:p w:rsidR="00322F77" w:rsidRPr="00A8443F" w:rsidRDefault="00A8443F" w:rsidP="00A8443F">
      <w:pPr>
        <w:widowControl w:val="0"/>
        <w:autoSpaceDE w:val="0"/>
        <w:autoSpaceDN w:val="0"/>
        <w:adjustRightInd w:val="0"/>
        <w:spacing w:line="276" w:lineRule="auto"/>
        <w:ind w:left="1134" w:right="1134"/>
        <w:jc w:val="both"/>
        <w:rPr>
          <w:rFonts w:ascii="Arial" w:hAnsi="Arial" w:cs="Arial"/>
          <w:sz w:val="20"/>
        </w:rPr>
      </w:pPr>
      <w:r>
        <w:rPr>
          <w:rFonts w:ascii="Arial" w:hAnsi="Arial" w:cs="Arial"/>
          <w:sz w:val="20"/>
        </w:rPr>
        <w:t>“</w:t>
      </w:r>
      <w:r w:rsidRPr="00A8443F">
        <w:rPr>
          <w:rFonts w:ascii="Arial" w:hAnsi="Arial" w:cs="Arial"/>
          <w:b/>
          <w:sz w:val="20"/>
        </w:rPr>
        <w:t>ARTÍCULO 20. PARAGRAFO 1°:</w:t>
      </w:r>
      <w:r w:rsidRPr="00A8443F">
        <w:rPr>
          <w:rFonts w:ascii="Arial" w:hAnsi="Arial" w:cs="Arial"/>
          <w:sz w:val="20"/>
        </w:rPr>
        <w:t xml:space="preserve"> El salario mensual de base se obtiene multiplicando por el factor 4,33, la centésima parte de la suma de los salarios semanales sobre los cuales cotizó el trabajador en las últimas cien (100) semanas.</w:t>
      </w:r>
    </w:p>
    <w:p w:rsidR="00A8443F" w:rsidRPr="00A8443F" w:rsidRDefault="00A8443F" w:rsidP="00A8443F">
      <w:pPr>
        <w:widowControl w:val="0"/>
        <w:autoSpaceDE w:val="0"/>
        <w:autoSpaceDN w:val="0"/>
        <w:adjustRightInd w:val="0"/>
        <w:spacing w:line="276" w:lineRule="auto"/>
        <w:ind w:left="1134" w:right="1134"/>
        <w:jc w:val="both"/>
        <w:rPr>
          <w:rFonts w:ascii="Arial" w:hAnsi="Arial" w:cs="Arial"/>
          <w:sz w:val="20"/>
        </w:rPr>
      </w:pPr>
      <w:r w:rsidRPr="00A8443F">
        <w:rPr>
          <w:rFonts w:ascii="Arial" w:hAnsi="Arial" w:cs="Arial"/>
          <w:sz w:val="20"/>
        </w:rPr>
        <w:t>El factor 4.33 resulta de dividir el número de semanas de un año por el número de meses</w:t>
      </w:r>
      <w:r>
        <w:rPr>
          <w:rFonts w:ascii="Arial" w:hAnsi="Arial" w:cs="Arial"/>
          <w:sz w:val="20"/>
        </w:rPr>
        <w:t>”</w:t>
      </w:r>
      <w:r w:rsidRPr="00A8443F">
        <w:rPr>
          <w:rFonts w:ascii="Arial" w:hAnsi="Arial" w:cs="Arial"/>
          <w:sz w:val="20"/>
        </w:rPr>
        <w:t>.</w:t>
      </w:r>
    </w:p>
    <w:p w:rsidR="00A8443F" w:rsidRDefault="00A8443F" w:rsidP="00322F77">
      <w:pPr>
        <w:widowControl w:val="0"/>
        <w:autoSpaceDE w:val="0"/>
        <w:autoSpaceDN w:val="0"/>
        <w:adjustRightInd w:val="0"/>
        <w:spacing w:line="276" w:lineRule="auto"/>
        <w:ind w:firstLine="708"/>
        <w:jc w:val="both"/>
        <w:rPr>
          <w:rFonts w:ascii="Arial" w:hAnsi="Arial" w:cs="Arial"/>
          <w:szCs w:val="24"/>
        </w:rPr>
      </w:pPr>
    </w:p>
    <w:p w:rsidR="00D33344" w:rsidRPr="00D33344" w:rsidRDefault="00501B6F" w:rsidP="00AA20F0">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ab/>
      </w:r>
      <w:r w:rsidR="00D33344" w:rsidRPr="00D33344">
        <w:rPr>
          <w:rFonts w:ascii="Arial" w:hAnsi="Arial" w:cs="Arial"/>
          <w:b/>
          <w:iCs/>
          <w:szCs w:val="24"/>
        </w:rPr>
        <w:t xml:space="preserve">Caso </w:t>
      </w:r>
      <w:r w:rsidRPr="00D33344">
        <w:rPr>
          <w:rFonts w:ascii="Arial" w:hAnsi="Arial" w:cs="Arial"/>
          <w:b/>
          <w:iCs/>
          <w:szCs w:val="24"/>
        </w:rPr>
        <w:t>concreto</w:t>
      </w:r>
      <w:r>
        <w:rPr>
          <w:rFonts w:ascii="Arial" w:hAnsi="Arial" w:cs="Arial"/>
          <w:b/>
          <w:iCs/>
          <w:szCs w:val="24"/>
        </w:rPr>
        <w:t>:</w:t>
      </w:r>
    </w:p>
    <w:p w:rsidR="00D33344" w:rsidRDefault="00D33344" w:rsidP="00AA20F0">
      <w:pPr>
        <w:tabs>
          <w:tab w:val="left" w:pos="709"/>
          <w:tab w:val="left" w:pos="8647"/>
        </w:tabs>
        <w:suppressAutoHyphens/>
        <w:spacing w:line="276" w:lineRule="auto"/>
        <w:jc w:val="both"/>
        <w:rPr>
          <w:rFonts w:ascii="Arial" w:hAnsi="Arial" w:cs="Arial"/>
          <w:iCs/>
          <w:szCs w:val="24"/>
        </w:rPr>
      </w:pPr>
    </w:p>
    <w:p w:rsidR="00D3035A" w:rsidRDefault="00D3035A" w:rsidP="00AA20F0">
      <w:pPr>
        <w:widowControl w:val="0"/>
        <w:autoSpaceDE w:val="0"/>
        <w:autoSpaceDN w:val="0"/>
        <w:adjustRightInd w:val="0"/>
        <w:spacing w:line="276" w:lineRule="auto"/>
        <w:ind w:firstLine="708"/>
        <w:jc w:val="both"/>
        <w:rPr>
          <w:rFonts w:ascii="Arial" w:hAnsi="Arial" w:cs="Arial"/>
          <w:szCs w:val="24"/>
        </w:rPr>
      </w:pPr>
      <w:r w:rsidRPr="00D3035A">
        <w:rPr>
          <w:rFonts w:ascii="Arial" w:hAnsi="Arial" w:cs="Arial"/>
          <w:szCs w:val="24"/>
        </w:rPr>
        <w:t>Es un hecho incontrovertible que</w:t>
      </w:r>
      <w:r w:rsidR="00F36839">
        <w:rPr>
          <w:rFonts w:ascii="Arial" w:hAnsi="Arial" w:cs="Arial"/>
          <w:szCs w:val="24"/>
        </w:rPr>
        <w:t xml:space="preserve"> a</w:t>
      </w:r>
      <w:r w:rsidRPr="00D3035A">
        <w:rPr>
          <w:rFonts w:ascii="Arial" w:hAnsi="Arial" w:cs="Arial"/>
          <w:szCs w:val="24"/>
        </w:rPr>
        <w:t xml:space="preserve"> la demandante, señora </w:t>
      </w:r>
      <w:r w:rsidR="00501B6F">
        <w:rPr>
          <w:rFonts w:ascii="Arial" w:hAnsi="Arial" w:cs="Arial"/>
          <w:szCs w:val="24"/>
        </w:rPr>
        <w:t xml:space="preserve">Adiela López de Franco se le reconoció la pensión de vejez con base en el Acuerdo 049 de 1990, por acreditar en vigencia del mismo la totalidad de los requisitos por </w:t>
      </w:r>
      <w:r w:rsidR="005B6A2A">
        <w:rPr>
          <w:rFonts w:ascii="Arial" w:hAnsi="Arial" w:cs="Arial"/>
          <w:szCs w:val="24"/>
        </w:rPr>
        <w:t>él dispuestos, conforme se desprende del contenido de la Resolución N° 00116 del 22 de enero de 1992 proferida por el Instituto de Seguros Sociales</w:t>
      </w:r>
      <w:r w:rsidR="000A1E19">
        <w:rPr>
          <w:rFonts w:ascii="Arial" w:hAnsi="Arial" w:cs="Arial"/>
          <w:szCs w:val="24"/>
        </w:rPr>
        <w:t xml:space="preserve"> -fl. 12-</w:t>
      </w:r>
      <w:r w:rsidR="005B6A2A">
        <w:rPr>
          <w:rFonts w:ascii="Arial" w:hAnsi="Arial" w:cs="Arial"/>
          <w:szCs w:val="24"/>
        </w:rPr>
        <w:t>.</w:t>
      </w:r>
    </w:p>
    <w:p w:rsidR="00DB774C" w:rsidRPr="00D3035A" w:rsidRDefault="00DB774C" w:rsidP="00AA20F0">
      <w:pPr>
        <w:widowControl w:val="0"/>
        <w:autoSpaceDE w:val="0"/>
        <w:autoSpaceDN w:val="0"/>
        <w:adjustRightInd w:val="0"/>
        <w:spacing w:line="276" w:lineRule="auto"/>
        <w:ind w:firstLine="708"/>
        <w:jc w:val="both"/>
        <w:rPr>
          <w:rFonts w:ascii="Arial" w:hAnsi="Arial" w:cs="Arial"/>
          <w:szCs w:val="24"/>
        </w:rPr>
      </w:pPr>
    </w:p>
    <w:p w:rsidR="00CA38DA" w:rsidRDefault="00CA38DA" w:rsidP="00AA20F0">
      <w:pPr>
        <w:spacing w:line="276" w:lineRule="auto"/>
        <w:ind w:firstLine="851"/>
        <w:jc w:val="both"/>
        <w:rPr>
          <w:rFonts w:ascii="Arial" w:hAnsi="Arial" w:cs="Arial"/>
          <w:color w:val="000000"/>
          <w:szCs w:val="24"/>
          <w:shd w:val="clear" w:color="auto" w:fill="FFFFFF"/>
          <w:lang w:val="es-ES"/>
        </w:rPr>
      </w:pPr>
      <w:r w:rsidRPr="000A1E19">
        <w:rPr>
          <w:rFonts w:ascii="Arial" w:hAnsi="Arial" w:cs="Arial"/>
          <w:color w:val="000000"/>
          <w:szCs w:val="24"/>
          <w:shd w:val="clear" w:color="auto" w:fill="FFFFFF"/>
          <w:lang w:val="es-ES"/>
        </w:rPr>
        <w:t xml:space="preserve">Por su parte, conforme a la historia laboral </w:t>
      </w:r>
      <w:r w:rsidR="005B6A2A" w:rsidRPr="000A1E19">
        <w:rPr>
          <w:rFonts w:ascii="Arial" w:hAnsi="Arial" w:cs="Arial"/>
          <w:color w:val="000000"/>
          <w:szCs w:val="24"/>
          <w:shd w:val="clear" w:color="auto" w:fill="FFFFFF"/>
          <w:lang w:val="es-ES"/>
        </w:rPr>
        <w:t xml:space="preserve">allegada al </w:t>
      </w:r>
      <w:r w:rsidRPr="000A1E19">
        <w:rPr>
          <w:rFonts w:ascii="Arial" w:hAnsi="Arial" w:cs="Arial"/>
          <w:color w:val="000000"/>
          <w:szCs w:val="24"/>
          <w:shd w:val="clear" w:color="auto" w:fill="FFFFFF"/>
          <w:lang w:val="es-ES"/>
        </w:rPr>
        <w:t>expediente –fls. 1</w:t>
      </w:r>
      <w:r w:rsidR="000A1E19" w:rsidRPr="000A1E19">
        <w:rPr>
          <w:rFonts w:ascii="Arial" w:hAnsi="Arial" w:cs="Arial"/>
          <w:color w:val="000000"/>
          <w:szCs w:val="24"/>
          <w:shd w:val="clear" w:color="auto" w:fill="FFFFFF"/>
          <w:lang w:val="es-ES"/>
        </w:rPr>
        <w:t>4, 34</w:t>
      </w:r>
      <w:r w:rsidRPr="000A1E19">
        <w:rPr>
          <w:rFonts w:ascii="Arial" w:hAnsi="Arial" w:cs="Arial"/>
          <w:color w:val="000000"/>
          <w:szCs w:val="24"/>
          <w:shd w:val="clear" w:color="auto" w:fill="FFFFFF"/>
          <w:lang w:val="es-ES"/>
        </w:rPr>
        <w:t xml:space="preserve">- se advierte que durante </w:t>
      </w:r>
      <w:r w:rsidR="005B6A2A" w:rsidRPr="000A1E19">
        <w:rPr>
          <w:rFonts w:ascii="Arial" w:hAnsi="Arial" w:cs="Arial"/>
          <w:color w:val="000000"/>
          <w:szCs w:val="24"/>
          <w:shd w:val="clear" w:color="auto" w:fill="FFFFFF"/>
          <w:lang w:val="es-ES"/>
        </w:rPr>
        <w:t xml:space="preserve">toda </w:t>
      </w:r>
      <w:r w:rsidRPr="000A1E19">
        <w:rPr>
          <w:rFonts w:ascii="Arial" w:hAnsi="Arial" w:cs="Arial"/>
          <w:color w:val="000000"/>
          <w:szCs w:val="24"/>
          <w:shd w:val="clear" w:color="auto" w:fill="FFFFFF"/>
          <w:lang w:val="es-ES"/>
        </w:rPr>
        <w:t xml:space="preserve">su vida laboral la señora </w:t>
      </w:r>
      <w:r w:rsidR="005B6A2A" w:rsidRPr="000A1E19">
        <w:rPr>
          <w:rFonts w:ascii="Arial" w:hAnsi="Arial" w:cs="Arial"/>
          <w:color w:val="000000"/>
          <w:szCs w:val="24"/>
          <w:shd w:val="clear" w:color="auto" w:fill="FFFFFF"/>
          <w:lang w:val="es-ES"/>
        </w:rPr>
        <w:t xml:space="preserve">López de Nieto </w:t>
      </w:r>
      <w:r w:rsidRPr="000A1E19">
        <w:rPr>
          <w:rFonts w:ascii="Arial" w:hAnsi="Arial" w:cs="Arial"/>
          <w:color w:val="000000"/>
          <w:szCs w:val="24"/>
          <w:shd w:val="clear" w:color="auto" w:fill="FFFFFF"/>
          <w:lang w:val="es-ES"/>
        </w:rPr>
        <w:t>cotizó un total de 13</w:t>
      </w:r>
      <w:r w:rsidR="005B6A2A" w:rsidRPr="000A1E19">
        <w:rPr>
          <w:rFonts w:ascii="Arial" w:hAnsi="Arial" w:cs="Arial"/>
          <w:color w:val="000000"/>
          <w:szCs w:val="24"/>
          <w:shd w:val="clear" w:color="auto" w:fill="FFFFFF"/>
          <w:lang w:val="es-ES"/>
        </w:rPr>
        <w:t>17</w:t>
      </w:r>
      <w:r w:rsidR="000A1E19" w:rsidRPr="000A1E19">
        <w:rPr>
          <w:rFonts w:ascii="Arial" w:hAnsi="Arial" w:cs="Arial"/>
          <w:color w:val="000000"/>
          <w:szCs w:val="24"/>
          <w:shd w:val="clear" w:color="auto" w:fill="FFFFFF"/>
          <w:lang w:val="es-ES"/>
        </w:rPr>
        <w:t>,57</w:t>
      </w:r>
      <w:r w:rsidRPr="000A1E19">
        <w:rPr>
          <w:rFonts w:ascii="Arial" w:hAnsi="Arial" w:cs="Arial"/>
          <w:color w:val="000000"/>
          <w:szCs w:val="24"/>
          <w:shd w:val="clear" w:color="auto" w:fill="FFFFFF"/>
          <w:lang w:val="es-ES"/>
        </w:rPr>
        <w:t xml:space="preserve"> semanas, por lo tanto, es proced</w:t>
      </w:r>
      <w:r w:rsidR="005B6A2A" w:rsidRPr="000A1E19">
        <w:rPr>
          <w:rFonts w:ascii="Arial" w:hAnsi="Arial" w:cs="Arial"/>
          <w:color w:val="000000"/>
          <w:szCs w:val="24"/>
          <w:shd w:val="clear" w:color="auto" w:fill="FFFFFF"/>
          <w:lang w:val="es-ES"/>
        </w:rPr>
        <w:t>ente que conforme al artículo 20</w:t>
      </w:r>
      <w:r w:rsidRPr="000A1E19">
        <w:rPr>
          <w:rFonts w:ascii="Arial" w:hAnsi="Arial" w:cs="Arial"/>
          <w:color w:val="000000"/>
          <w:szCs w:val="24"/>
          <w:shd w:val="clear" w:color="auto" w:fill="FFFFFF"/>
          <w:lang w:val="es-ES"/>
        </w:rPr>
        <w:t xml:space="preserve"> </w:t>
      </w:r>
      <w:r w:rsidR="005B6A2A" w:rsidRPr="000A1E19">
        <w:rPr>
          <w:rFonts w:ascii="Arial" w:hAnsi="Arial" w:cs="Arial"/>
          <w:color w:val="000000"/>
          <w:szCs w:val="24"/>
          <w:shd w:val="clear" w:color="auto" w:fill="FFFFFF"/>
          <w:lang w:val="es-ES"/>
        </w:rPr>
        <w:t>del Acuerdo 049 de 1990, se le aplique una tasa de reemplazo equivalente al 90% del IBL obtenido por las cotizaciones efectuadas durante las últimas 100 semanas</w:t>
      </w:r>
      <w:r w:rsidRPr="000A1E19">
        <w:rPr>
          <w:rFonts w:ascii="Arial" w:hAnsi="Arial" w:cs="Arial"/>
          <w:color w:val="000000"/>
          <w:szCs w:val="24"/>
          <w:shd w:val="clear" w:color="auto" w:fill="FFFFFF"/>
          <w:lang w:val="es-ES"/>
        </w:rPr>
        <w:t>.</w:t>
      </w:r>
    </w:p>
    <w:p w:rsidR="007329CC" w:rsidRDefault="007329CC" w:rsidP="00AA20F0">
      <w:pPr>
        <w:spacing w:line="276" w:lineRule="auto"/>
        <w:ind w:firstLine="851"/>
        <w:jc w:val="both"/>
        <w:rPr>
          <w:rFonts w:ascii="Arial" w:hAnsi="Arial" w:cs="Arial"/>
          <w:color w:val="000000"/>
          <w:szCs w:val="24"/>
          <w:shd w:val="clear" w:color="auto" w:fill="FFFFFF"/>
          <w:lang w:val="es-ES"/>
        </w:rPr>
      </w:pPr>
    </w:p>
    <w:p w:rsidR="005B6A2A" w:rsidRDefault="005B6A2A" w:rsidP="00AA20F0">
      <w:pPr>
        <w:spacing w:line="276" w:lineRule="auto"/>
        <w:ind w:firstLine="851"/>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Ahora bien, para efectos de realizar el cálculo pretendido en la demanda, se hace necesario determinar desde qué calenda debe iniciarse el cómputo de las últimas 100 semanas de cotización, teniendo en cuenta que</w:t>
      </w:r>
      <w:r w:rsidR="000A1E19">
        <w:rPr>
          <w:rFonts w:ascii="Arial" w:hAnsi="Arial" w:cs="Arial"/>
          <w:color w:val="000000"/>
          <w:szCs w:val="24"/>
          <w:shd w:val="clear" w:color="auto" w:fill="FFFFFF"/>
          <w:lang w:val="es-ES"/>
        </w:rPr>
        <w:t xml:space="preserve"> de un lado,</w:t>
      </w:r>
      <w:r>
        <w:rPr>
          <w:rFonts w:ascii="Arial" w:hAnsi="Arial" w:cs="Arial"/>
          <w:color w:val="000000"/>
          <w:szCs w:val="24"/>
          <w:shd w:val="clear" w:color="auto" w:fill="FFFFFF"/>
          <w:lang w:val="es-ES"/>
        </w:rPr>
        <w:t xml:space="preserve"> </w:t>
      </w:r>
      <w:r w:rsidR="00E82056">
        <w:rPr>
          <w:rFonts w:ascii="Arial" w:hAnsi="Arial" w:cs="Arial"/>
          <w:color w:val="000000"/>
          <w:szCs w:val="24"/>
          <w:shd w:val="clear" w:color="auto" w:fill="FFFFFF"/>
          <w:lang w:val="es-ES"/>
        </w:rPr>
        <w:t>la funcionaria de primera instancia lo hizo desde el 1° de abril de 1992 por haber sido esta la última cotización efectivamente realizada por la demandante, conforme se desprende de las historias laborales allegadas al proceso</w:t>
      </w:r>
      <w:r w:rsidR="000A1E19">
        <w:rPr>
          <w:rFonts w:ascii="Arial" w:hAnsi="Arial" w:cs="Arial"/>
          <w:color w:val="000000"/>
          <w:szCs w:val="24"/>
          <w:shd w:val="clear" w:color="auto" w:fill="FFFFFF"/>
          <w:lang w:val="es-ES"/>
        </w:rPr>
        <w:t xml:space="preserve"> y de otro, </w:t>
      </w:r>
      <w:r w:rsidR="00E82056">
        <w:rPr>
          <w:rFonts w:ascii="Arial" w:hAnsi="Arial" w:cs="Arial"/>
          <w:color w:val="000000"/>
          <w:szCs w:val="24"/>
          <w:shd w:val="clear" w:color="auto" w:fill="FFFFFF"/>
          <w:lang w:val="es-ES"/>
        </w:rPr>
        <w:t xml:space="preserve">que la parte actora insiste que debe ser desde la fecha en que se le reconoció el derecho pensional, esto es, a partir del 31 de diciembre de 1991 hacia atrás. </w:t>
      </w:r>
    </w:p>
    <w:p w:rsidR="005B6A2A" w:rsidRDefault="005B6A2A" w:rsidP="00AA20F0">
      <w:pPr>
        <w:spacing w:line="276" w:lineRule="auto"/>
        <w:ind w:firstLine="851"/>
        <w:jc w:val="both"/>
        <w:rPr>
          <w:rFonts w:ascii="Arial" w:hAnsi="Arial" w:cs="Arial"/>
          <w:color w:val="000000"/>
          <w:szCs w:val="24"/>
          <w:shd w:val="clear" w:color="auto" w:fill="FFFFFF"/>
          <w:lang w:val="es-ES"/>
        </w:rPr>
      </w:pPr>
    </w:p>
    <w:p w:rsidR="00E82056" w:rsidRDefault="00E82056" w:rsidP="00AA20F0">
      <w:pPr>
        <w:spacing w:line="276" w:lineRule="auto"/>
        <w:ind w:firstLine="851"/>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Para superar este inconveniente, la Sala</w:t>
      </w:r>
      <w:r w:rsidR="00FF7975">
        <w:rPr>
          <w:rFonts w:ascii="Arial" w:hAnsi="Arial" w:cs="Arial"/>
          <w:color w:val="000000"/>
          <w:szCs w:val="24"/>
          <w:shd w:val="clear" w:color="auto" w:fill="FFFFFF"/>
          <w:lang w:val="es-ES"/>
        </w:rPr>
        <w:t xml:space="preserve"> comparte</w:t>
      </w:r>
      <w:r w:rsidR="00314BEF">
        <w:rPr>
          <w:rFonts w:ascii="Arial" w:hAnsi="Arial" w:cs="Arial"/>
          <w:color w:val="000000"/>
          <w:szCs w:val="24"/>
          <w:shd w:val="clear" w:color="auto" w:fill="FFFFFF"/>
          <w:lang w:val="es-ES"/>
        </w:rPr>
        <w:t xml:space="preserve"> la </w:t>
      </w:r>
      <w:r>
        <w:rPr>
          <w:rFonts w:ascii="Arial" w:hAnsi="Arial" w:cs="Arial"/>
          <w:color w:val="000000"/>
          <w:szCs w:val="24"/>
          <w:shd w:val="clear" w:color="auto" w:fill="FFFFFF"/>
          <w:lang w:val="es-ES"/>
        </w:rPr>
        <w:t xml:space="preserve">intelección efectuada por la </w:t>
      </w:r>
      <w:r w:rsidR="00732554">
        <w:rPr>
          <w:rFonts w:ascii="Arial" w:hAnsi="Arial" w:cs="Arial"/>
          <w:color w:val="000000"/>
          <w:szCs w:val="24"/>
          <w:shd w:val="clear" w:color="auto" w:fill="FFFFFF"/>
          <w:lang w:val="es-ES"/>
        </w:rPr>
        <w:t>J</w:t>
      </w:r>
      <w:r w:rsidR="00FF7975">
        <w:rPr>
          <w:rFonts w:ascii="Arial" w:hAnsi="Arial" w:cs="Arial"/>
          <w:color w:val="000000"/>
          <w:szCs w:val="24"/>
          <w:shd w:val="clear" w:color="auto" w:fill="FFFFFF"/>
          <w:lang w:val="es-ES"/>
        </w:rPr>
        <w:t xml:space="preserve">uzgadora de primer grado, toda vez que la misma </w:t>
      </w:r>
      <w:r>
        <w:rPr>
          <w:rFonts w:ascii="Arial" w:hAnsi="Arial" w:cs="Arial"/>
          <w:color w:val="000000"/>
          <w:szCs w:val="24"/>
          <w:shd w:val="clear" w:color="auto" w:fill="FFFFFF"/>
          <w:lang w:val="es-ES"/>
        </w:rPr>
        <w:t>se aviene a las previsiones de los artículos 13 y 20 del Decreto 758 de 1990, que en su orden señalan a partir de cuándo debe disfrutarse la pensión de vejez y c</w:t>
      </w:r>
      <w:r w:rsidR="00732554">
        <w:rPr>
          <w:rFonts w:ascii="Arial" w:hAnsi="Arial" w:cs="Arial"/>
          <w:color w:val="000000"/>
          <w:szCs w:val="24"/>
          <w:shd w:val="clear" w:color="auto" w:fill="FFFFFF"/>
          <w:lang w:val="es-ES"/>
        </w:rPr>
        <w:t>ó</w:t>
      </w:r>
      <w:r>
        <w:rPr>
          <w:rFonts w:ascii="Arial" w:hAnsi="Arial" w:cs="Arial"/>
          <w:color w:val="000000"/>
          <w:szCs w:val="24"/>
          <w:shd w:val="clear" w:color="auto" w:fill="FFFFFF"/>
          <w:lang w:val="es-ES"/>
        </w:rPr>
        <w:t>mo debe obtenerse el ingreso base de liquidación</w:t>
      </w:r>
      <w:r w:rsidR="00FF7975">
        <w:rPr>
          <w:rFonts w:ascii="Arial" w:hAnsi="Arial" w:cs="Arial"/>
          <w:color w:val="000000"/>
          <w:szCs w:val="24"/>
          <w:shd w:val="clear" w:color="auto" w:fill="FFFFFF"/>
          <w:lang w:val="es-ES"/>
        </w:rPr>
        <w:t>, siendo clara en este último aspecto, al establecer que debe tenerse en cuenta hasta la última cotización, de tal manera que el computo de las 100 semanas debe realizarse desde el 1° de abril de 1992 hacia atrás.</w:t>
      </w:r>
    </w:p>
    <w:p w:rsidR="00194C69" w:rsidRDefault="00194C69" w:rsidP="00AA20F0">
      <w:pPr>
        <w:spacing w:line="276" w:lineRule="auto"/>
        <w:ind w:firstLine="851"/>
        <w:jc w:val="both"/>
        <w:rPr>
          <w:rFonts w:ascii="Arial" w:hAnsi="Arial" w:cs="Arial"/>
          <w:color w:val="000000"/>
          <w:szCs w:val="24"/>
          <w:shd w:val="clear" w:color="auto" w:fill="FFFFFF"/>
          <w:lang w:val="es-ES"/>
        </w:rPr>
      </w:pPr>
    </w:p>
    <w:p w:rsidR="00194C69" w:rsidRDefault="00194C69" w:rsidP="00194C69">
      <w:pPr>
        <w:spacing w:line="276" w:lineRule="auto"/>
        <w:ind w:firstLine="708"/>
        <w:jc w:val="both"/>
        <w:rPr>
          <w:rFonts w:ascii="Arial" w:hAnsi="Arial" w:cs="Arial"/>
          <w:szCs w:val="24"/>
        </w:rPr>
      </w:pPr>
      <w:r w:rsidRPr="00194C69">
        <w:rPr>
          <w:rFonts w:ascii="Arial" w:hAnsi="Arial" w:cs="Arial"/>
          <w:bCs/>
          <w:szCs w:val="24"/>
        </w:rPr>
        <w:t xml:space="preserve">Efectuadas las operaciones del caso, </w:t>
      </w:r>
      <w:r w:rsidR="00643EE5">
        <w:rPr>
          <w:rFonts w:ascii="Arial" w:hAnsi="Arial" w:cs="Arial"/>
          <w:bCs/>
          <w:szCs w:val="24"/>
        </w:rPr>
        <w:t xml:space="preserve">esto es, realizando </w:t>
      </w:r>
      <w:r w:rsidRPr="00194C69">
        <w:rPr>
          <w:rFonts w:ascii="Arial" w:hAnsi="Arial" w:cs="Arial"/>
          <w:bCs/>
          <w:szCs w:val="24"/>
        </w:rPr>
        <w:t>la sumatoria de los sala</w:t>
      </w:r>
      <w:r w:rsidR="00643EE5">
        <w:rPr>
          <w:rFonts w:ascii="Arial" w:hAnsi="Arial" w:cs="Arial"/>
          <w:bCs/>
          <w:szCs w:val="24"/>
        </w:rPr>
        <w:t>rios semanales devengados por la</w:t>
      </w:r>
      <w:r w:rsidRPr="00194C69">
        <w:rPr>
          <w:rFonts w:ascii="Arial" w:hAnsi="Arial" w:cs="Arial"/>
          <w:bCs/>
          <w:szCs w:val="24"/>
        </w:rPr>
        <w:t xml:space="preserve"> actor</w:t>
      </w:r>
      <w:r w:rsidR="00643EE5">
        <w:rPr>
          <w:rFonts w:ascii="Arial" w:hAnsi="Arial" w:cs="Arial"/>
          <w:bCs/>
          <w:szCs w:val="24"/>
        </w:rPr>
        <w:t>a</w:t>
      </w:r>
      <w:r w:rsidRPr="00194C69">
        <w:rPr>
          <w:rFonts w:ascii="Arial" w:hAnsi="Arial" w:cs="Arial"/>
          <w:bCs/>
          <w:szCs w:val="24"/>
        </w:rPr>
        <w:t xml:space="preserve"> en las últimas cien semanas de cotización</w:t>
      </w:r>
      <w:r w:rsidR="00643EE5">
        <w:rPr>
          <w:rFonts w:ascii="Arial" w:hAnsi="Arial" w:cs="Arial"/>
          <w:bCs/>
          <w:szCs w:val="24"/>
        </w:rPr>
        <w:t xml:space="preserve">, hallada </w:t>
      </w:r>
      <w:r w:rsidRPr="00194C69">
        <w:rPr>
          <w:rFonts w:ascii="Arial" w:hAnsi="Arial" w:cs="Arial"/>
          <w:bCs/>
          <w:szCs w:val="24"/>
        </w:rPr>
        <w:t xml:space="preserve">la </w:t>
      </w:r>
      <w:r w:rsidRPr="00194C69">
        <w:rPr>
          <w:rFonts w:ascii="Arial" w:hAnsi="Arial" w:cs="Arial"/>
          <w:szCs w:val="24"/>
        </w:rPr>
        <w:t>centésima de ese valor</w:t>
      </w:r>
      <w:r w:rsidR="00643EE5">
        <w:rPr>
          <w:rFonts w:ascii="Arial" w:hAnsi="Arial" w:cs="Arial"/>
          <w:szCs w:val="24"/>
        </w:rPr>
        <w:t xml:space="preserve"> y</w:t>
      </w:r>
      <w:r w:rsidRPr="00194C69">
        <w:rPr>
          <w:rFonts w:ascii="Arial" w:hAnsi="Arial" w:cs="Arial"/>
          <w:szCs w:val="24"/>
        </w:rPr>
        <w:t xml:space="preserve"> multiplicado por el factor 4.33, se obtiene lo siguiente:</w:t>
      </w:r>
    </w:p>
    <w:p w:rsidR="007E0E3B" w:rsidRDefault="007E0E3B" w:rsidP="00194C69">
      <w:pPr>
        <w:spacing w:line="276" w:lineRule="auto"/>
        <w:ind w:firstLine="708"/>
        <w:jc w:val="both"/>
        <w:rPr>
          <w:rFonts w:ascii="Arial" w:hAnsi="Arial" w:cs="Arial"/>
          <w:szCs w:val="24"/>
        </w:rPr>
      </w:pPr>
    </w:p>
    <w:tbl>
      <w:tblPr>
        <w:tblW w:w="7228" w:type="dxa"/>
        <w:tblInd w:w="795" w:type="dxa"/>
        <w:tblCellMar>
          <w:left w:w="70" w:type="dxa"/>
          <w:right w:w="70" w:type="dxa"/>
        </w:tblCellMar>
        <w:tblLook w:val="04A0" w:firstRow="1" w:lastRow="0" w:firstColumn="1" w:lastColumn="0" w:noHBand="0" w:noVBand="1"/>
      </w:tblPr>
      <w:tblGrid>
        <w:gridCol w:w="1121"/>
        <w:gridCol w:w="713"/>
        <w:gridCol w:w="697"/>
        <w:gridCol w:w="799"/>
        <w:gridCol w:w="1316"/>
        <w:gridCol w:w="146"/>
        <w:gridCol w:w="1068"/>
        <w:gridCol w:w="1368"/>
      </w:tblGrid>
      <w:tr w:rsidR="00924101" w:rsidRPr="00924101" w:rsidTr="00924101">
        <w:trPr>
          <w:trHeight w:val="600"/>
        </w:trPr>
        <w:tc>
          <w:tcPr>
            <w:tcW w:w="1121" w:type="dxa"/>
            <w:tcBorders>
              <w:top w:val="single" w:sz="8" w:space="0" w:color="auto"/>
              <w:left w:val="single" w:sz="8" w:space="0" w:color="auto"/>
              <w:bottom w:val="single" w:sz="8" w:space="0" w:color="auto"/>
              <w:right w:val="nil"/>
            </w:tcBorders>
            <w:shd w:val="clear" w:color="000000" w:fill="FFFF99"/>
            <w:vAlign w:val="center"/>
            <w:hideMark/>
          </w:tcPr>
          <w:p w:rsidR="00924101" w:rsidRPr="00924101" w:rsidRDefault="00924101" w:rsidP="00924101">
            <w:pPr>
              <w:rPr>
                <w:rFonts w:ascii="Calibri" w:hAnsi="Calibri"/>
                <w:b/>
                <w:bCs/>
                <w:i/>
                <w:iCs/>
                <w:color w:val="000000"/>
                <w:sz w:val="16"/>
                <w:szCs w:val="16"/>
                <w:lang w:val="es-ES"/>
              </w:rPr>
            </w:pPr>
            <w:r w:rsidRPr="00924101">
              <w:rPr>
                <w:rFonts w:ascii="Calibri" w:hAnsi="Calibri"/>
                <w:b/>
                <w:bCs/>
                <w:i/>
                <w:iCs/>
                <w:color w:val="000000"/>
                <w:sz w:val="16"/>
                <w:szCs w:val="16"/>
                <w:lang w:val="es-ES"/>
              </w:rPr>
              <w:t>DEMANDANTE</w:t>
            </w:r>
          </w:p>
        </w:tc>
        <w:tc>
          <w:tcPr>
            <w:tcW w:w="3525" w:type="dxa"/>
            <w:gridSpan w:val="4"/>
            <w:tcBorders>
              <w:top w:val="single" w:sz="8" w:space="0" w:color="auto"/>
              <w:left w:val="nil"/>
              <w:bottom w:val="single" w:sz="8" w:space="0" w:color="auto"/>
              <w:right w:val="single" w:sz="8" w:space="0" w:color="000000"/>
            </w:tcBorders>
            <w:shd w:val="clear" w:color="000000" w:fill="FFFF99"/>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ADIELA LOPEZ FRANCO</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b/>
                <w:bCs/>
                <w:i/>
                <w:iCs/>
                <w:color w:val="000000"/>
                <w:sz w:val="16"/>
                <w:szCs w:val="16"/>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r>
      <w:tr w:rsidR="00924101" w:rsidRPr="00924101" w:rsidTr="00924101">
        <w:trPr>
          <w:trHeight w:val="225"/>
        </w:trPr>
        <w:tc>
          <w:tcPr>
            <w:tcW w:w="3330" w:type="dxa"/>
            <w:gridSpan w:val="4"/>
            <w:tcBorders>
              <w:top w:val="single" w:sz="8" w:space="0" w:color="auto"/>
              <w:left w:val="single" w:sz="8" w:space="0" w:color="auto"/>
              <w:bottom w:val="single" w:sz="4" w:space="0" w:color="auto"/>
              <w:right w:val="nil"/>
            </w:tcBorders>
            <w:shd w:val="clear" w:color="000000" w:fill="FFFF99"/>
            <w:vAlign w:val="center"/>
            <w:hideMark/>
          </w:tcPr>
          <w:p w:rsidR="00924101" w:rsidRPr="00924101" w:rsidRDefault="00924101" w:rsidP="00924101">
            <w:pPr>
              <w:rPr>
                <w:rFonts w:ascii="Calibri" w:hAnsi="Calibri"/>
                <w:b/>
                <w:bCs/>
                <w:i/>
                <w:iCs/>
                <w:color w:val="000000"/>
                <w:sz w:val="16"/>
                <w:szCs w:val="16"/>
                <w:lang w:val="es-ES"/>
              </w:rPr>
            </w:pPr>
            <w:r w:rsidRPr="00924101">
              <w:rPr>
                <w:rFonts w:ascii="Calibri" w:hAnsi="Calibri"/>
                <w:b/>
                <w:bCs/>
                <w:i/>
                <w:iCs/>
                <w:color w:val="000000"/>
                <w:sz w:val="16"/>
                <w:szCs w:val="16"/>
                <w:lang w:val="es-ES"/>
              </w:rPr>
              <w:t>Fecha de nacimiento:</w:t>
            </w:r>
          </w:p>
        </w:tc>
        <w:tc>
          <w:tcPr>
            <w:tcW w:w="1316" w:type="dxa"/>
            <w:tcBorders>
              <w:top w:val="nil"/>
              <w:left w:val="nil"/>
              <w:bottom w:val="single" w:sz="4" w:space="0" w:color="auto"/>
              <w:right w:val="single" w:sz="8" w:space="0" w:color="auto"/>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27-feb-56</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i/>
                <w:iCs/>
                <w:color w:val="000000"/>
                <w:sz w:val="16"/>
                <w:szCs w:val="16"/>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r>
      <w:tr w:rsidR="00924101" w:rsidRPr="00924101" w:rsidTr="00924101">
        <w:trPr>
          <w:trHeight w:val="225"/>
        </w:trPr>
        <w:tc>
          <w:tcPr>
            <w:tcW w:w="3330" w:type="dxa"/>
            <w:gridSpan w:val="4"/>
            <w:tcBorders>
              <w:top w:val="single" w:sz="4" w:space="0" w:color="auto"/>
              <w:left w:val="single" w:sz="8" w:space="0" w:color="auto"/>
              <w:bottom w:val="single" w:sz="4" w:space="0" w:color="auto"/>
              <w:right w:val="nil"/>
            </w:tcBorders>
            <w:shd w:val="clear" w:color="000000" w:fill="FFFF99"/>
            <w:vAlign w:val="center"/>
            <w:hideMark/>
          </w:tcPr>
          <w:p w:rsidR="00924101" w:rsidRPr="00924101" w:rsidRDefault="00924101" w:rsidP="00924101">
            <w:pPr>
              <w:rPr>
                <w:rFonts w:ascii="Calibri" w:hAnsi="Calibri"/>
                <w:b/>
                <w:bCs/>
                <w:i/>
                <w:iCs/>
                <w:color w:val="000000"/>
                <w:sz w:val="16"/>
                <w:szCs w:val="16"/>
                <w:lang w:val="es-ES"/>
              </w:rPr>
            </w:pPr>
            <w:r w:rsidRPr="00924101">
              <w:rPr>
                <w:rFonts w:ascii="Calibri" w:hAnsi="Calibri"/>
                <w:b/>
                <w:bCs/>
                <w:i/>
                <w:iCs/>
                <w:color w:val="000000"/>
                <w:sz w:val="16"/>
                <w:szCs w:val="16"/>
                <w:lang w:val="es-ES"/>
              </w:rPr>
              <w:t>Fecha reconocimiento pensión:</w:t>
            </w:r>
          </w:p>
        </w:tc>
        <w:tc>
          <w:tcPr>
            <w:tcW w:w="1316" w:type="dxa"/>
            <w:tcBorders>
              <w:top w:val="nil"/>
              <w:left w:val="nil"/>
              <w:bottom w:val="single" w:sz="4" w:space="0" w:color="auto"/>
              <w:right w:val="single" w:sz="8" w:space="0" w:color="auto"/>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31/03/1992</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i/>
                <w:iCs/>
                <w:color w:val="000000"/>
                <w:sz w:val="16"/>
                <w:szCs w:val="16"/>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jc w:val="center"/>
              <w:rPr>
                <w:sz w:val="20"/>
                <w:lang w:val="es-ES"/>
              </w:rPr>
            </w:pPr>
          </w:p>
        </w:tc>
        <w:tc>
          <w:tcPr>
            <w:tcW w:w="13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r>
      <w:tr w:rsidR="00924101" w:rsidRPr="00924101" w:rsidTr="00924101">
        <w:trPr>
          <w:trHeight w:val="225"/>
        </w:trPr>
        <w:tc>
          <w:tcPr>
            <w:tcW w:w="3330" w:type="dxa"/>
            <w:gridSpan w:val="4"/>
            <w:tcBorders>
              <w:top w:val="single" w:sz="4" w:space="0" w:color="auto"/>
              <w:left w:val="single" w:sz="8" w:space="0" w:color="auto"/>
              <w:bottom w:val="single" w:sz="8" w:space="0" w:color="auto"/>
              <w:right w:val="nil"/>
            </w:tcBorders>
            <w:shd w:val="clear" w:color="000000" w:fill="FFFF99"/>
            <w:vAlign w:val="center"/>
            <w:hideMark/>
          </w:tcPr>
          <w:p w:rsidR="00924101" w:rsidRPr="00924101" w:rsidRDefault="00924101" w:rsidP="00924101">
            <w:pPr>
              <w:rPr>
                <w:rFonts w:ascii="Calibri" w:hAnsi="Calibri"/>
                <w:b/>
                <w:bCs/>
                <w:i/>
                <w:iCs/>
                <w:color w:val="000000"/>
                <w:sz w:val="16"/>
                <w:szCs w:val="16"/>
                <w:lang w:val="es-ES"/>
              </w:rPr>
            </w:pPr>
            <w:r w:rsidRPr="00924101">
              <w:rPr>
                <w:rFonts w:ascii="Calibri" w:hAnsi="Calibri"/>
                <w:b/>
                <w:bCs/>
                <w:i/>
                <w:iCs/>
                <w:color w:val="000000"/>
                <w:sz w:val="16"/>
                <w:szCs w:val="16"/>
                <w:lang w:val="es-ES"/>
              </w:rPr>
              <w:t>Total semanas cotizadas:</w:t>
            </w:r>
          </w:p>
        </w:tc>
        <w:tc>
          <w:tcPr>
            <w:tcW w:w="1316" w:type="dxa"/>
            <w:tcBorders>
              <w:top w:val="nil"/>
              <w:left w:val="nil"/>
              <w:bottom w:val="single" w:sz="8" w:space="0" w:color="auto"/>
              <w:right w:val="single" w:sz="8" w:space="0" w:color="auto"/>
            </w:tcBorders>
            <w:shd w:val="clear" w:color="auto" w:fill="auto"/>
            <w:noWrap/>
            <w:vAlign w:val="center"/>
            <w:hideMark/>
          </w:tcPr>
          <w:p w:rsidR="00924101" w:rsidRPr="00924101" w:rsidRDefault="00924101" w:rsidP="00924101">
            <w:pPr>
              <w:jc w:val="center"/>
              <w:rPr>
                <w:rFonts w:ascii="Calibri" w:hAnsi="Calibri"/>
                <w:color w:val="000000"/>
                <w:szCs w:val="24"/>
                <w:lang w:val="es-ES"/>
              </w:rPr>
            </w:pPr>
            <w:r w:rsidRPr="00924101">
              <w:rPr>
                <w:rFonts w:ascii="Calibri" w:hAnsi="Calibri"/>
                <w:color w:val="000000"/>
                <w:szCs w:val="24"/>
                <w:lang w:val="es-ES"/>
              </w:rPr>
              <w:t>100,00</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color w:val="000000"/>
                <w:szCs w:val="24"/>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r>
      <w:tr w:rsidR="00924101" w:rsidRPr="00924101" w:rsidTr="00924101">
        <w:trPr>
          <w:trHeight w:val="45"/>
        </w:trPr>
        <w:tc>
          <w:tcPr>
            <w:tcW w:w="1121"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713"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697"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799"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1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r>
      <w:tr w:rsidR="00924101" w:rsidRPr="00924101" w:rsidTr="00924101">
        <w:trPr>
          <w:trHeight w:val="435"/>
        </w:trPr>
        <w:tc>
          <w:tcPr>
            <w:tcW w:w="4646"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HISTORIA LABORAL DEL AFILIADO</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b/>
                <w:bCs/>
                <w:i/>
                <w:iCs/>
                <w:color w:val="000000"/>
                <w:sz w:val="16"/>
                <w:szCs w:val="16"/>
                <w:lang w:val="es-ES"/>
              </w:rPr>
            </w:pPr>
          </w:p>
        </w:tc>
        <w:tc>
          <w:tcPr>
            <w:tcW w:w="1068"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924101" w:rsidRPr="00924101" w:rsidRDefault="00924101" w:rsidP="00924101">
            <w:pPr>
              <w:jc w:val="center"/>
              <w:rPr>
                <w:rFonts w:ascii="Calibri" w:hAnsi="Calibri"/>
                <w:b/>
                <w:bCs/>
                <w:i/>
                <w:iCs/>
                <w:color w:val="000000"/>
                <w:sz w:val="20"/>
                <w:lang w:val="es-ES"/>
              </w:rPr>
            </w:pPr>
            <w:r w:rsidRPr="00924101">
              <w:rPr>
                <w:rFonts w:ascii="Calibri" w:hAnsi="Calibri"/>
                <w:b/>
                <w:bCs/>
                <w:i/>
                <w:iCs/>
                <w:color w:val="000000"/>
                <w:sz w:val="20"/>
                <w:lang w:val="es-ES"/>
              </w:rPr>
              <w:t>conversion de  dias a semanas</w:t>
            </w:r>
          </w:p>
        </w:tc>
        <w:tc>
          <w:tcPr>
            <w:tcW w:w="1368" w:type="dxa"/>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924101" w:rsidRPr="00924101" w:rsidRDefault="00924101" w:rsidP="00924101">
            <w:pPr>
              <w:jc w:val="center"/>
              <w:rPr>
                <w:rFonts w:ascii="Calibri" w:hAnsi="Calibri"/>
                <w:b/>
                <w:bCs/>
                <w:i/>
                <w:iCs/>
                <w:color w:val="000000"/>
                <w:sz w:val="20"/>
                <w:lang w:val="es-ES"/>
              </w:rPr>
            </w:pPr>
            <w:r w:rsidRPr="00924101">
              <w:rPr>
                <w:rFonts w:ascii="Calibri" w:hAnsi="Calibri"/>
                <w:b/>
                <w:bCs/>
                <w:i/>
                <w:iCs/>
                <w:color w:val="000000"/>
                <w:sz w:val="20"/>
                <w:lang w:val="es-ES"/>
              </w:rPr>
              <w:t>total IBL por semanas</w:t>
            </w:r>
          </w:p>
        </w:tc>
      </w:tr>
      <w:tr w:rsidR="00924101" w:rsidRPr="00924101" w:rsidTr="00924101">
        <w:trPr>
          <w:trHeight w:val="315"/>
        </w:trPr>
        <w:tc>
          <w:tcPr>
            <w:tcW w:w="2531"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Fechas de aporte</w:t>
            </w:r>
          </w:p>
        </w:tc>
        <w:tc>
          <w:tcPr>
            <w:tcW w:w="799"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Número de días</w:t>
            </w:r>
          </w:p>
        </w:tc>
        <w:tc>
          <w:tcPr>
            <w:tcW w:w="1316"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Ingreso Base de Cotización</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b/>
                <w:bCs/>
                <w:i/>
                <w:iCs/>
                <w:color w:val="000000"/>
                <w:sz w:val="16"/>
                <w:szCs w:val="16"/>
                <w:lang w:val="es-ES"/>
              </w:rPr>
            </w:pPr>
          </w:p>
        </w:tc>
        <w:tc>
          <w:tcPr>
            <w:tcW w:w="1068" w:type="dxa"/>
            <w:vMerge/>
            <w:tcBorders>
              <w:top w:val="single" w:sz="4" w:space="0" w:color="auto"/>
              <w:left w:val="single" w:sz="4" w:space="0" w:color="808000"/>
              <w:bottom w:val="single" w:sz="8" w:space="0" w:color="000000"/>
              <w:right w:val="single" w:sz="4" w:space="0" w:color="auto"/>
            </w:tcBorders>
            <w:vAlign w:val="center"/>
            <w:hideMark/>
          </w:tcPr>
          <w:p w:rsidR="00924101" w:rsidRPr="00924101" w:rsidRDefault="00924101" w:rsidP="00924101">
            <w:pPr>
              <w:rPr>
                <w:rFonts w:ascii="Calibri" w:hAnsi="Calibri"/>
                <w:b/>
                <w:bCs/>
                <w:i/>
                <w:iCs/>
                <w:color w:val="000000"/>
                <w:sz w:val="20"/>
                <w:lang w:val="es-ES"/>
              </w:rPr>
            </w:pPr>
          </w:p>
        </w:tc>
        <w:tc>
          <w:tcPr>
            <w:tcW w:w="1368" w:type="dxa"/>
            <w:vMerge/>
            <w:tcBorders>
              <w:top w:val="single" w:sz="4" w:space="0" w:color="auto"/>
              <w:left w:val="single" w:sz="4" w:space="0" w:color="808000"/>
              <w:bottom w:val="single" w:sz="8" w:space="0" w:color="000000"/>
              <w:right w:val="single" w:sz="4" w:space="0" w:color="auto"/>
            </w:tcBorders>
            <w:vAlign w:val="center"/>
            <w:hideMark/>
          </w:tcPr>
          <w:p w:rsidR="00924101" w:rsidRPr="00924101" w:rsidRDefault="00924101" w:rsidP="00924101">
            <w:pPr>
              <w:rPr>
                <w:rFonts w:ascii="Calibri" w:hAnsi="Calibri"/>
                <w:b/>
                <w:bCs/>
                <w:i/>
                <w:iCs/>
                <w:color w:val="000000"/>
                <w:sz w:val="20"/>
                <w:lang w:val="es-ES"/>
              </w:rPr>
            </w:pPr>
          </w:p>
        </w:tc>
      </w:tr>
      <w:tr w:rsidR="00924101" w:rsidRPr="00924101" w:rsidTr="00924101">
        <w:trPr>
          <w:trHeight w:val="720"/>
        </w:trPr>
        <w:tc>
          <w:tcPr>
            <w:tcW w:w="1121" w:type="dxa"/>
            <w:tcBorders>
              <w:top w:val="nil"/>
              <w:left w:val="single" w:sz="8" w:space="0" w:color="auto"/>
              <w:bottom w:val="single" w:sz="8" w:space="0" w:color="auto"/>
              <w:right w:val="single" w:sz="4" w:space="0" w:color="808000"/>
            </w:tcBorders>
            <w:shd w:val="clear" w:color="000000" w:fill="FFFF99"/>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Empleador</w:t>
            </w:r>
          </w:p>
        </w:tc>
        <w:tc>
          <w:tcPr>
            <w:tcW w:w="713" w:type="dxa"/>
            <w:tcBorders>
              <w:top w:val="nil"/>
              <w:left w:val="nil"/>
              <w:bottom w:val="single" w:sz="8" w:space="0" w:color="auto"/>
              <w:right w:val="single" w:sz="4" w:space="0" w:color="808000"/>
            </w:tcBorders>
            <w:shd w:val="clear" w:color="000000" w:fill="FFFF99"/>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Desde</w:t>
            </w:r>
          </w:p>
        </w:tc>
        <w:tc>
          <w:tcPr>
            <w:tcW w:w="697" w:type="dxa"/>
            <w:tcBorders>
              <w:top w:val="nil"/>
              <w:left w:val="nil"/>
              <w:bottom w:val="single" w:sz="8" w:space="0" w:color="auto"/>
              <w:right w:val="single" w:sz="4" w:space="0" w:color="808000"/>
            </w:tcBorders>
            <w:shd w:val="clear" w:color="000000" w:fill="FFFF99"/>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Hasta</w:t>
            </w:r>
          </w:p>
        </w:tc>
        <w:tc>
          <w:tcPr>
            <w:tcW w:w="799" w:type="dxa"/>
            <w:vMerge/>
            <w:tcBorders>
              <w:top w:val="nil"/>
              <w:left w:val="single" w:sz="4" w:space="0" w:color="808000"/>
              <w:bottom w:val="single" w:sz="8" w:space="0" w:color="000000"/>
              <w:right w:val="single" w:sz="4" w:space="0" w:color="808000"/>
            </w:tcBorders>
            <w:vAlign w:val="center"/>
            <w:hideMark/>
          </w:tcPr>
          <w:p w:rsidR="00924101" w:rsidRPr="00924101" w:rsidRDefault="00924101" w:rsidP="00924101">
            <w:pPr>
              <w:rPr>
                <w:rFonts w:ascii="Calibri" w:hAnsi="Calibri"/>
                <w:b/>
                <w:bCs/>
                <w:i/>
                <w:iCs/>
                <w:color w:val="000000"/>
                <w:sz w:val="16"/>
                <w:szCs w:val="16"/>
                <w:lang w:val="es-ES"/>
              </w:rPr>
            </w:pPr>
          </w:p>
        </w:tc>
        <w:tc>
          <w:tcPr>
            <w:tcW w:w="1316" w:type="dxa"/>
            <w:vMerge/>
            <w:tcBorders>
              <w:top w:val="nil"/>
              <w:left w:val="single" w:sz="4" w:space="0" w:color="808000"/>
              <w:bottom w:val="single" w:sz="8" w:space="0" w:color="000000"/>
              <w:right w:val="single" w:sz="8" w:space="0" w:color="auto"/>
            </w:tcBorders>
            <w:vAlign w:val="center"/>
            <w:hideMark/>
          </w:tcPr>
          <w:p w:rsidR="00924101" w:rsidRPr="00924101" w:rsidRDefault="00924101" w:rsidP="00924101">
            <w:pPr>
              <w:rPr>
                <w:rFonts w:ascii="Calibri" w:hAnsi="Calibri"/>
                <w:b/>
                <w:bCs/>
                <w:i/>
                <w:iCs/>
                <w:color w:val="000000"/>
                <w:sz w:val="16"/>
                <w:szCs w:val="16"/>
                <w:lang w:val="es-ES"/>
              </w:rPr>
            </w:pPr>
          </w:p>
        </w:tc>
        <w:tc>
          <w:tcPr>
            <w:tcW w:w="146"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b/>
                <w:bCs/>
                <w:i/>
                <w:iCs/>
                <w:color w:val="000000"/>
                <w:sz w:val="16"/>
                <w:szCs w:val="16"/>
                <w:lang w:val="es-ES"/>
              </w:rPr>
            </w:pPr>
          </w:p>
        </w:tc>
        <w:tc>
          <w:tcPr>
            <w:tcW w:w="1068" w:type="dxa"/>
            <w:vMerge/>
            <w:tcBorders>
              <w:top w:val="single" w:sz="4" w:space="0" w:color="auto"/>
              <w:left w:val="single" w:sz="4" w:space="0" w:color="808000"/>
              <w:bottom w:val="single" w:sz="8" w:space="0" w:color="000000"/>
              <w:right w:val="single" w:sz="4" w:space="0" w:color="auto"/>
            </w:tcBorders>
            <w:vAlign w:val="center"/>
            <w:hideMark/>
          </w:tcPr>
          <w:p w:rsidR="00924101" w:rsidRPr="00924101" w:rsidRDefault="00924101" w:rsidP="00924101">
            <w:pPr>
              <w:rPr>
                <w:rFonts w:ascii="Calibri" w:hAnsi="Calibri"/>
                <w:b/>
                <w:bCs/>
                <w:i/>
                <w:iCs/>
                <w:color w:val="000000"/>
                <w:sz w:val="20"/>
                <w:lang w:val="es-ES"/>
              </w:rPr>
            </w:pPr>
          </w:p>
        </w:tc>
        <w:tc>
          <w:tcPr>
            <w:tcW w:w="1368" w:type="dxa"/>
            <w:vMerge/>
            <w:tcBorders>
              <w:top w:val="single" w:sz="4" w:space="0" w:color="auto"/>
              <w:left w:val="single" w:sz="4" w:space="0" w:color="808000"/>
              <w:bottom w:val="single" w:sz="8" w:space="0" w:color="000000"/>
              <w:right w:val="single" w:sz="4" w:space="0" w:color="auto"/>
            </w:tcBorders>
            <w:vAlign w:val="center"/>
            <w:hideMark/>
          </w:tcPr>
          <w:p w:rsidR="00924101" w:rsidRPr="00924101" w:rsidRDefault="00924101" w:rsidP="00924101">
            <w:pPr>
              <w:rPr>
                <w:rFonts w:ascii="Calibri" w:hAnsi="Calibri"/>
                <w:b/>
                <w:bCs/>
                <w:i/>
                <w:iCs/>
                <w:color w:val="000000"/>
                <w:sz w:val="20"/>
                <w:lang w:val="es-ES"/>
              </w:rPr>
            </w:pPr>
          </w:p>
        </w:tc>
      </w:tr>
      <w:tr w:rsidR="00924101" w:rsidRPr="00924101" w:rsidTr="00924101">
        <w:trPr>
          <w:trHeight w:val="315"/>
        </w:trPr>
        <w:tc>
          <w:tcPr>
            <w:tcW w:w="1121"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w:t>
            </w:r>
          </w:p>
        </w:tc>
        <w:tc>
          <w:tcPr>
            <w:tcW w:w="713"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03-may-90</w:t>
            </w:r>
          </w:p>
        </w:tc>
        <w:tc>
          <w:tcPr>
            <w:tcW w:w="697"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24101" w:rsidRPr="00924101" w:rsidRDefault="00924101" w:rsidP="00924101">
            <w:pPr>
              <w:jc w:val="right"/>
              <w:rPr>
                <w:rFonts w:ascii="Calibri" w:hAnsi="Calibri"/>
                <w:i/>
                <w:iCs/>
                <w:color w:val="000000"/>
                <w:sz w:val="16"/>
                <w:szCs w:val="16"/>
                <w:lang w:val="es-ES"/>
              </w:rPr>
            </w:pPr>
            <w:r w:rsidRPr="00924101">
              <w:rPr>
                <w:rFonts w:ascii="Calibri" w:hAnsi="Calibri"/>
                <w:i/>
                <w:iCs/>
                <w:color w:val="000000"/>
                <w:sz w:val="16"/>
                <w:szCs w:val="16"/>
                <w:lang w:val="es-ES"/>
              </w:rPr>
              <w:t>31-dic-90</w:t>
            </w:r>
          </w:p>
        </w:tc>
        <w:tc>
          <w:tcPr>
            <w:tcW w:w="79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243</w:t>
            </w:r>
          </w:p>
        </w:tc>
        <w:tc>
          <w:tcPr>
            <w:tcW w:w="1316"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54.630,00 </w:t>
            </w:r>
          </w:p>
        </w:tc>
        <w:tc>
          <w:tcPr>
            <w:tcW w:w="146" w:type="dxa"/>
            <w:tcBorders>
              <w:top w:val="single" w:sz="4" w:space="0" w:color="808000"/>
              <w:left w:val="nil"/>
              <w:bottom w:val="nil"/>
              <w:right w:val="nil"/>
            </w:tcBorders>
            <w:shd w:val="clear" w:color="auto" w:fill="auto"/>
            <w:noWrap/>
            <w:vAlign w:val="bottom"/>
            <w:hideMark/>
          </w:tcPr>
          <w:p w:rsidR="00924101" w:rsidRPr="00924101" w:rsidRDefault="00924101" w:rsidP="00924101">
            <w:pPr>
              <w:rPr>
                <w:rFonts w:ascii="Calibri" w:hAnsi="Calibri"/>
                <w:i/>
                <w:iCs/>
                <w:color w:val="000000"/>
                <w:sz w:val="16"/>
                <w:szCs w:val="16"/>
                <w:lang w:val="es-ES"/>
              </w:rPr>
            </w:pPr>
          </w:p>
        </w:tc>
        <w:tc>
          <w:tcPr>
            <w:tcW w:w="1068" w:type="dxa"/>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34,71 </w:t>
            </w:r>
          </w:p>
        </w:tc>
        <w:tc>
          <w:tcPr>
            <w:tcW w:w="136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442.503,00 </w:t>
            </w:r>
          </w:p>
        </w:tc>
      </w:tr>
      <w:tr w:rsidR="00924101" w:rsidRPr="00924101" w:rsidTr="00924101">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w:t>
            </w:r>
          </w:p>
        </w:tc>
        <w:tc>
          <w:tcPr>
            <w:tcW w:w="713"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01-ene-91</w:t>
            </w:r>
          </w:p>
        </w:tc>
        <w:tc>
          <w:tcPr>
            <w:tcW w:w="697"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right"/>
              <w:rPr>
                <w:rFonts w:ascii="Calibri" w:hAnsi="Calibri"/>
                <w:i/>
                <w:iCs/>
                <w:color w:val="000000"/>
                <w:sz w:val="16"/>
                <w:szCs w:val="16"/>
                <w:lang w:val="es-ES"/>
              </w:rPr>
            </w:pPr>
            <w:r w:rsidRPr="00924101">
              <w:rPr>
                <w:rFonts w:ascii="Calibri" w:hAnsi="Calibri"/>
                <w:i/>
                <w:iCs/>
                <w:color w:val="000000"/>
                <w:sz w:val="16"/>
                <w:szCs w:val="16"/>
                <w:lang w:val="es-ES"/>
              </w:rPr>
              <w:t>31-mar-91</w:t>
            </w:r>
          </w:p>
        </w:tc>
        <w:tc>
          <w:tcPr>
            <w:tcW w:w="799"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90</w:t>
            </w:r>
          </w:p>
        </w:tc>
        <w:tc>
          <w:tcPr>
            <w:tcW w:w="1316" w:type="dxa"/>
            <w:tcBorders>
              <w:top w:val="nil"/>
              <w:left w:val="nil"/>
              <w:bottom w:val="single" w:sz="4" w:space="0" w:color="808000"/>
              <w:right w:val="single" w:sz="8"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54.630,00 </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rFonts w:ascii="Calibri" w:hAnsi="Calibri"/>
                <w:i/>
                <w:iCs/>
                <w:color w:val="000000"/>
                <w:sz w:val="16"/>
                <w:szCs w:val="16"/>
                <w:lang w:val="es-ES"/>
              </w:rPr>
            </w:pPr>
          </w:p>
        </w:tc>
        <w:tc>
          <w:tcPr>
            <w:tcW w:w="1068" w:type="dxa"/>
            <w:tcBorders>
              <w:top w:val="nil"/>
              <w:left w:val="single" w:sz="4" w:space="0" w:color="808000"/>
              <w:bottom w:val="single" w:sz="4" w:space="0" w:color="808000"/>
              <w:right w:val="single" w:sz="4"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12,86 </w:t>
            </w:r>
          </w:p>
        </w:tc>
        <w:tc>
          <w:tcPr>
            <w:tcW w:w="136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163.890,00 </w:t>
            </w:r>
          </w:p>
        </w:tc>
      </w:tr>
      <w:tr w:rsidR="00924101" w:rsidRPr="00924101" w:rsidTr="00924101">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w:t>
            </w:r>
          </w:p>
        </w:tc>
        <w:tc>
          <w:tcPr>
            <w:tcW w:w="713"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01-abr-91</w:t>
            </w:r>
          </w:p>
        </w:tc>
        <w:tc>
          <w:tcPr>
            <w:tcW w:w="697"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right"/>
              <w:rPr>
                <w:rFonts w:ascii="Calibri" w:hAnsi="Calibri"/>
                <w:i/>
                <w:iCs/>
                <w:color w:val="000000"/>
                <w:sz w:val="16"/>
                <w:szCs w:val="16"/>
                <w:lang w:val="es-ES"/>
              </w:rPr>
            </w:pPr>
            <w:r w:rsidRPr="00924101">
              <w:rPr>
                <w:rFonts w:ascii="Calibri" w:hAnsi="Calibri"/>
                <w:i/>
                <w:iCs/>
                <w:color w:val="000000"/>
                <w:sz w:val="16"/>
                <w:szCs w:val="16"/>
                <w:lang w:val="es-ES"/>
              </w:rPr>
              <w:t>30-jun-91</w:t>
            </w:r>
          </w:p>
        </w:tc>
        <w:tc>
          <w:tcPr>
            <w:tcW w:w="799"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91</w:t>
            </w:r>
          </w:p>
        </w:tc>
        <w:tc>
          <w:tcPr>
            <w:tcW w:w="1316" w:type="dxa"/>
            <w:tcBorders>
              <w:top w:val="nil"/>
              <w:left w:val="nil"/>
              <w:bottom w:val="single" w:sz="4" w:space="0" w:color="808000"/>
              <w:right w:val="single" w:sz="8"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79.290,00 </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rFonts w:ascii="Calibri" w:hAnsi="Calibri"/>
                <w:i/>
                <w:iCs/>
                <w:color w:val="000000"/>
                <w:sz w:val="16"/>
                <w:szCs w:val="16"/>
                <w:lang w:val="es-ES"/>
              </w:rPr>
            </w:pPr>
          </w:p>
        </w:tc>
        <w:tc>
          <w:tcPr>
            <w:tcW w:w="1068" w:type="dxa"/>
            <w:tcBorders>
              <w:top w:val="nil"/>
              <w:left w:val="single" w:sz="4" w:space="0" w:color="808000"/>
              <w:bottom w:val="single" w:sz="4" w:space="0" w:color="808000"/>
              <w:right w:val="single" w:sz="4"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13,00 </w:t>
            </w:r>
          </w:p>
        </w:tc>
        <w:tc>
          <w:tcPr>
            <w:tcW w:w="136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240.513,00 </w:t>
            </w:r>
          </w:p>
        </w:tc>
      </w:tr>
      <w:tr w:rsidR="00924101" w:rsidRPr="00924101" w:rsidTr="00924101">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w:t>
            </w:r>
          </w:p>
        </w:tc>
        <w:tc>
          <w:tcPr>
            <w:tcW w:w="713"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01-jul-91</w:t>
            </w:r>
          </w:p>
        </w:tc>
        <w:tc>
          <w:tcPr>
            <w:tcW w:w="697"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right"/>
              <w:rPr>
                <w:rFonts w:ascii="Calibri" w:hAnsi="Calibri"/>
                <w:i/>
                <w:iCs/>
                <w:color w:val="000000"/>
                <w:sz w:val="16"/>
                <w:szCs w:val="16"/>
                <w:lang w:val="es-ES"/>
              </w:rPr>
            </w:pPr>
            <w:r w:rsidRPr="00924101">
              <w:rPr>
                <w:rFonts w:ascii="Calibri" w:hAnsi="Calibri"/>
                <w:i/>
                <w:iCs/>
                <w:color w:val="000000"/>
                <w:sz w:val="16"/>
                <w:szCs w:val="16"/>
                <w:lang w:val="es-ES"/>
              </w:rPr>
              <w:t>30-sep-91</w:t>
            </w:r>
          </w:p>
        </w:tc>
        <w:tc>
          <w:tcPr>
            <w:tcW w:w="799"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92</w:t>
            </w:r>
          </w:p>
        </w:tc>
        <w:tc>
          <w:tcPr>
            <w:tcW w:w="1316" w:type="dxa"/>
            <w:tcBorders>
              <w:top w:val="nil"/>
              <w:left w:val="nil"/>
              <w:bottom w:val="single" w:sz="4" w:space="0" w:color="808000"/>
              <w:right w:val="single" w:sz="8"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123.210,00 </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rFonts w:ascii="Calibri" w:hAnsi="Calibri"/>
                <w:i/>
                <w:iCs/>
                <w:color w:val="000000"/>
                <w:sz w:val="16"/>
                <w:szCs w:val="16"/>
                <w:lang w:val="es-ES"/>
              </w:rPr>
            </w:pPr>
          </w:p>
        </w:tc>
        <w:tc>
          <w:tcPr>
            <w:tcW w:w="1068" w:type="dxa"/>
            <w:tcBorders>
              <w:top w:val="nil"/>
              <w:left w:val="single" w:sz="4" w:space="0" w:color="808000"/>
              <w:bottom w:val="single" w:sz="4" w:space="0" w:color="808000"/>
              <w:right w:val="single" w:sz="4"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13,14 </w:t>
            </w:r>
          </w:p>
        </w:tc>
        <w:tc>
          <w:tcPr>
            <w:tcW w:w="136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377.844,00 </w:t>
            </w:r>
          </w:p>
        </w:tc>
      </w:tr>
      <w:tr w:rsidR="00924101" w:rsidRPr="00924101" w:rsidTr="00924101">
        <w:trPr>
          <w:trHeight w:val="315"/>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w:t>
            </w:r>
          </w:p>
        </w:tc>
        <w:tc>
          <w:tcPr>
            <w:tcW w:w="713"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01-oct-91</w:t>
            </w:r>
          </w:p>
        </w:tc>
        <w:tc>
          <w:tcPr>
            <w:tcW w:w="697"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right"/>
              <w:rPr>
                <w:rFonts w:ascii="Calibri" w:hAnsi="Calibri"/>
                <w:i/>
                <w:iCs/>
                <w:color w:val="000000"/>
                <w:sz w:val="16"/>
                <w:szCs w:val="16"/>
                <w:lang w:val="es-ES"/>
              </w:rPr>
            </w:pPr>
            <w:r w:rsidRPr="00924101">
              <w:rPr>
                <w:rFonts w:ascii="Calibri" w:hAnsi="Calibri"/>
                <w:i/>
                <w:iCs/>
                <w:color w:val="000000"/>
                <w:sz w:val="16"/>
                <w:szCs w:val="16"/>
                <w:lang w:val="es-ES"/>
              </w:rPr>
              <w:t>31-dic-91</w:t>
            </w:r>
          </w:p>
        </w:tc>
        <w:tc>
          <w:tcPr>
            <w:tcW w:w="799"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92</w:t>
            </w:r>
          </w:p>
        </w:tc>
        <w:tc>
          <w:tcPr>
            <w:tcW w:w="1316" w:type="dxa"/>
            <w:tcBorders>
              <w:top w:val="nil"/>
              <w:left w:val="nil"/>
              <w:bottom w:val="single" w:sz="4" w:space="0" w:color="808000"/>
              <w:right w:val="single" w:sz="8"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79.290,00 </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rFonts w:ascii="Calibri" w:hAnsi="Calibri"/>
                <w:i/>
                <w:iCs/>
                <w:color w:val="000000"/>
                <w:sz w:val="16"/>
                <w:szCs w:val="16"/>
                <w:lang w:val="es-ES"/>
              </w:rPr>
            </w:pPr>
          </w:p>
        </w:tc>
        <w:tc>
          <w:tcPr>
            <w:tcW w:w="1068" w:type="dxa"/>
            <w:tcBorders>
              <w:top w:val="nil"/>
              <w:left w:val="single" w:sz="4" w:space="0" w:color="808000"/>
              <w:bottom w:val="single" w:sz="4" w:space="0" w:color="808000"/>
              <w:right w:val="single" w:sz="4"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13,14 </w:t>
            </w:r>
          </w:p>
        </w:tc>
        <w:tc>
          <w:tcPr>
            <w:tcW w:w="136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243.156,00 </w:t>
            </w:r>
          </w:p>
        </w:tc>
      </w:tr>
      <w:tr w:rsidR="00924101" w:rsidRPr="00924101" w:rsidTr="00924101">
        <w:trPr>
          <w:trHeight w:val="300"/>
        </w:trPr>
        <w:tc>
          <w:tcPr>
            <w:tcW w:w="1121" w:type="dxa"/>
            <w:tcBorders>
              <w:top w:val="nil"/>
              <w:left w:val="single" w:sz="8" w:space="0" w:color="auto"/>
              <w:bottom w:val="single" w:sz="4" w:space="0" w:color="808000"/>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w:t>
            </w:r>
          </w:p>
        </w:tc>
        <w:tc>
          <w:tcPr>
            <w:tcW w:w="713"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01-ene-92</w:t>
            </w:r>
          </w:p>
        </w:tc>
        <w:tc>
          <w:tcPr>
            <w:tcW w:w="697"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right"/>
              <w:rPr>
                <w:rFonts w:ascii="Calibri" w:hAnsi="Calibri"/>
                <w:i/>
                <w:iCs/>
                <w:color w:val="000000"/>
                <w:sz w:val="16"/>
                <w:szCs w:val="16"/>
                <w:lang w:val="es-ES"/>
              </w:rPr>
            </w:pPr>
            <w:r w:rsidRPr="00924101">
              <w:rPr>
                <w:rFonts w:ascii="Calibri" w:hAnsi="Calibri"/>
                <w:i/>
                <w:iCs/>
                <w:color w:val="000000"/>
                <w:sz w:val="16"/>
                <w:szCs w:val="16"/>
                <w:lang w:val="es-ES"/>
              </w:rPr>
              <w:t>01-abr-92</w:t>
            </w:r>
          </w:p>
        </w:tc>
        <w:tc>
          <w:tcPr>
            <w:tcW w:w="799" w:type="dxa"/>
            <w:tcBorders>
              <w:top w:val="nil"/>
              <w:left w:val="nil"/>
              <w:bottom w:val="single" w:sz="4" w:space="0" w:color="808000"/>
              <w:right w:val="single" w:sz="4" w:space="0" w:color="808000"/>
            </w:tcBorders>
            <w:shd w:val="clear" w:color="auto" w:fill="auto"/>
            <w:noWrap/>
            <w:vAlign w:val="center"/>
            <w:hideMark/>
          </w:tcPr>
          <w:p w:rsidR="00924101" w:rsidRPr="00924101" w:rsidRDefault="00924101" w:rsidP="00924101">
            <w:pPr>
              <w:jc w:val="center"/>
              <w:rPr>
                <w:rFonts w:ascii="Calibri" w:hAnsi="Calibri"/>
                <w:i/>
                <w:iCs/>
                <w:color w:val="000000"/>
                <w:sz w:val="16"/>
                <w:szCs w:val="16"/>
                <w:lang w:val="es-ES"/>
              </w:rPr>
            </w:pPr>
            <w:r w:rsidRPr="00924101">
              <w:rPr>
                <w:rFonts w:ascii="Calibri" w:hAnsi="Calibri"/>
                <w:i/>
                <w:iCs/>
                <w:color w:val="000000"/>
                <w:sz w:val="16"/>
                <w:szCs w:val="16"/>
                <w:lang w:val="es-ES"/>
              </w:rPr>
              <w:t>92</w:t>
            </w:r>
          </w:p>
        </w:tc>
        <w:tc>
          <w:tcPr>
            <w:tcW w:w="1316" w:type="dxa"/>
            <w:tcBorders>
              <w:top w:val="nil"/>
              <w:left w:val="nil"/>
              <w:bottom w:val="single" w:sz="4" w:space="0" w:color="808000"/>
              <w:right w:val="single" w:sz="8"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89.070,00 </w:t>
            </w: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rFonts w:ascii="Calibri" w:hAnsi="Calibri"/>
                <w:i/>
                <w:iCs/>
                <w:color w:val="000000"/>
                <w:sz w:val="16"/>
                <w:szCs w:val="16"/>
                <w:lang w:val="es-ES"/>
              </w:rPr>
            </w:pPr>
          </w:p>
        </w:tc>
        <w:tc>
          <w:tcPr>
            <w:tcW w:w="1068" w:type="dxa"/>
            <w:tcBorders>
              <w:top w:val="nil"/>
              <w:left w:val="single" w:sz="4" w:space="0" w:color="808000"/>
              <w:bottom w:val="single" w:sz="4" w:space="0" w:color="808000"/>
              <w:right w:val="single" w:sz="4" w:space="0" w:color="auto"/>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13,14 </w:t>
            </w:r>
          </w:p>
        </w:tc>
        <w:tc>
          <w:tcPr>
            <w:tcW w:w="1368" w:type="dxa"/>
            <w:tcBorders>
              <w:top w:val="single" w:sz="4" w:space="0" w:color="808000"/>
              <w:left w:val="single" w:sz="4" w:space="0" w:color="808000"/>
              <w:bottom w:val="nil"/>
              <w:right w:val="single" w:sz="4" w:space="0" w:color="808000"/>
            </w:tcBorders>
            <w:shd w:val="clear" w:color="auto" w:fill="auto"/>
            <w:noWrap/>
            <w:vAlign w:val="center"/>
            <w:hideMark/>
          </w:tcPr>
          <w:p w:rsidR="00924101" w:rsidRPr="00924101" w:rsidRDefault="00924101" w:rsidP="00924101">
            <w:pPr>
              <w:rPr>
                <w:rFonts w:ascii="Calibri" w:hAnsi="Calibri"/>
                <w:i/>
                <w:iCs/>
                <w:color w:val="000000"/>
                <w:sz w:val="16"/>
                <w:szCs w:val="16"/>
                <w:lang w:val="es-ES"/>
              </w:rPr>
            </w:pPr>
            <w:r w:rsidRPr="00924101">
              <w:rPr>
                <w:rFonts w:ascii="Calibri" w:hAnsi="Calibri"/>
                <w:i/>
                <w:iCs/>
                <w:color w:val="000000"/>
                <w:sz w:val="16"/>
                <w:szCs w:val="16"/>
                <w:lang w:val="es-ES"/>
              </w:rPr>
              <w:t xml:space="preserve">              273.148,00 </w:t>
            </w:r>
          </w:p>
        </w:tc>
      </w:tr>
      <w:tr w:rsidR="00924101" w:rsidRPr="00924101" w:rsidTr="00924101">
        <w:trPr>
          <w:trHeight w:val="315"/>
        </w:trPr>
        <w:tc>
          <w:tcPr>
            <w:tcW w:w="1121" w:type="dxa"/>
            <w:tcBorders>
              <w:top w:val="nil"/>
              <w:left w:val="nil"/>
              <w:bottom w:val="nil"/>
              <w:right w:val="nil"/>
            </w:tcBorders>
            <w:shd w:val="clear" w:color="auto" w:fill="auto"/>
            <w:noWrap/>
            <w:vAlign w:val="bottom"/>
            <w:hideMark/>
          </w:tcPr>
          <w:p w:rsidR="00924101" w:rsidRPr="00924101" w:rsidRDefault="00924101" w:rsidP="00924101">
            <w:pPr>
              <w:rPr>
                <w:rFonts w:ascii="Calibri" w:hAnsi="Calibri"/>
                <w:i/>
                <w:iCs/>
                <w:color w:val="000000"/>
                <w:sz w:val="16"/>
                <w:szCs w:val="16"/>
                <w:lang w:val="es-ES"/>
              </w:rPr>
            </w:pPr>
          </w:p>
        </w:tc>
        <w:tc>
          <w:tcPr>
            <w:tcW w:w="713"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697"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799"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1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r>
      <w:tr w:rsidR="00924101" w:rsidRPr="00924101" w:rsidTr="00924101">
        <w:trPr>
          <w:trHeight w:val="315"/>
        </w:trPr>
        <w:tc>
          <w:tcPr>
            <w:tcW w:w="2531"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TOTAL DIAS</w:t>
            </w:r>
          </w:p>
        </w:tc>
        <w:tc>
          <w:tcPr>
            <w:tcW w:w="799" w:type="dxa"/>
            <w:tcBorders>
              <w:top w:val="single" w:sz="4" w:space="0" w:color="333300"/>
              <w:left w:val="nil"/>
              <w:bottom w:val="single" w:sz="4" w:space="0" w:color="333300"/>
              <w:right w:val="single" w:sz="4" w:space="0" w:color="333300"/>
            </w:tcBorders>
            <w:shd w:val="clear" w:color="000000" w:fill="FFFF99"/>
            <w:noWrap/>
            <w:vAlign w:val="center"/>
            <w:hideMark/>
          </w:tcPr>
          <w:p w:rsidR="00924101" w:rsidRPr="00924101" w:rsidRDefault="00924101" w:rsidP="00924101">
            <w:pPr>
              <w:jc w:val="center"/>
              <w:rPr>
                <w:rFonts w:ascii="Calibri" w:hAnsi="Calibri"/>
                <w:color w:val="000000"/>
                <w:szCs w:val="24"/>
                <w:lang w:val="es-ES"/>
              </w:rPr>
            </w:pPr>
            <w:r w:rsidRPr="00924101">
              <w:rPr>
                <w:rFonts w:ascii="Calibri" w:hAnsi="Calibri"/>
                <w:color w:val="000000"/>
                <w:szCs w:val="24"/>
                <w:lang w:val="es-ES"/>
              </w:rPr>
              <w:t>700</w:t>
            </w:r>
          </w:p>
        </w:tc>
        <w:tc>
          <w:tcPr>
            <w:tcW w:w="1316"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color w:val="000000"/>
                <w:szCs w:val="24"/>
                <w:lang w:val="es-ES"/>
              </w:rPr>
            </w:pP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068" w:type="dxa"/>
            <w:tcBorders>
              <w:top w:val="single" w:sz="4" w:space="0" w:color="333300"/>
              <w:left w:val="single" w:sz="4" w:space="0" w:color="333300"/>
              <w:bottom w:val="single" w:sz="4" w:space="0" w:color="333300"/>
              <w:right w:val="single" w:sz="4" w:space="0" w:color="333300"/>
            </w:tcBorders>
            <w:shd w:val="clear" w:color="000000" w:fill="FFFF99"/>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 xml:space="preserve">              100,00 </w:t>
            </w:r>
          </w:p>
        </w:tc>
        <w:tc>
          <w:tcPr>
            <w:tcW w:w="1368" w:type="dxa"/>
            <w:tcBorders>
              <w:top w:val="single" w:sz="4" w:space="0" w:color="333300"/>
              <w:left w:val="single" w:sz="4" w:space="0" w:color="333300"/>
              <w:bottom w:val="single" w:sz="4" w:space="0" w:color="333300"/>
              <w:right w:val="single" w:sz="4" w:space="0" w:color="333300"/>
            </w:tcBorders>
            <w:shd w:val="clear" w:color="000000" w:fill="FFFF99"/>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 xml:space="preserve">                 1.741.054 </w:t>
            </w:r>
          </w:p>
        </w:tc>
      </w:tr>
      <w:tr w:rsidR="00924101" w:rsidRPr="00924101" w:rsidTr="00924101">
        <w:trPr>
          <w:trHeight w:val="315"/>
        </w:trPr>
        <w:tc>
          <w:tcPr>
            <w:tcW w:w="1121"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b/>
                <w:bCs/>
                <w:i/>
                <w:iCs/>
                <w:color w:val="000000"/>
                <w:sz w:val="16"/>
                <w:szCs w:val="16"/>
                <w:lang w:val="es-ES"/>
              </w:rPr>
            </w:pPr>
          </w:p>
        </w:tc>
        <w:tc>
          <w:tcPr>
            <w:tcW w:w="713"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697"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799"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1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68" w:type="dxa"/>
            <w:tcBorders>
              <w:top w:val="nil"/>
              <w:left w:val="single" w:sz="4" w:space="0" w:color="333300"/>
              <w:bottom w:val="single" w:sz="4" w:space="0" w:color="333300"/>
              <w:right w:val="single" w:sz="4" w:space="0" w:color="333300"/>
            </w:tcBorders>
            <w:shd w:val="clear" w:color="000000" w:fill="FFFF99"/>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 xml:space="preserve">                        17.411 </w:t>
            </w:r>
          </w:p>
        </w:tc>
      </w:tr>
      <w:tr w:rsidR="00924101" w:rsidRPr="00924101" w:rsidTr="00924101">
        <w:trPr>
          <w:trHeight w:val="315"/>
        </w:trPr>
        <w:tc>
          <w:tcPr>
            <w:tcW w:w="1121"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b/>
                <w:bCs/>
                <w:i/>
                <w:iCs/>
                <w:color w:val="000000"/>
                <w:sz w:val="16"/>
                <w:szCs w:val="16"/>
                <w:lang w:val="es-ES"/>
              </w:rPr>
            </w:pPr>
          </w:p>
        </w:tc>
        <w:tc>
          <w:tcPr>
            <w:tcW w:w="713"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697"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799"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1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68" w:type="dxa"/>
            <w:tcBorders>
              <w:top w:val="nil"/>
              <w:left w:val="single" w:sz="4" w:space="0" w:color="333300"/>
              <w:bottom w:val="single" w:sz="4" w:space="0" w:color="333300"/>
              <w:right w:val="single" w:sz="4" w:space="0" w:color="333300"/>
            </w:tcBorders>
            <w:shd w:val="clear" w:color="000000" w:fill="FFFF99"/>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 xml:space="preserve">                        75.388 </w:t>
            </w:r>
          </w:p>
        </w:tc>
      </w:tr>
      <w:tr w:rsidR="00924101" w:rsidRPr="00924101" w:rsidTr="00924101">
        <w:trPr>
          <w:trHeight w:val="315"/>
        </w:trPr>
        <w:tc>
          <w:tcPr>
            <w:tcW w:w="1121" w:type="dxa"/>
            <w:tcBorders>
              <w:top w:val="nil"/>
              <w:left w:val="nil"/>
              <w:bottom w:val="nil"/>
              <w:right w:val="nil"/>
            </w:tcBorders>
            <w:shd w:val="clear" w:color="auto" w:fill="auto"/>
            <w:noWrap/>
            <w:vAlign w:val="bottom"/>
            <w:hideMark/>
          </w:tcPr>
          <w:p w:rsidR="00924101" w:rsidRPr="00924101" w:rsidRDefault="00924101" w:rsidP="00924101">
            <w:pPr>
              <w:jc w:val="center"/>
              <w:rPr>
                <w:rFonts w:ascii="Calibri" w:hAnsi="Calibri"/>
                <w:b/>
                <w:bCs/>
                <w:i/>
                <w:iCs/>
                <w:color w:val="000000"/>
                <w:sz w:val="16"/>
                <w:szCs w:val="16"/>
                <w:lang w:val="es-ES"/>
              </w:rPr>
            </w:pPr>
          </w:p>
        </w:tc>
        <w:tc>
          <w:tcPr>
            <w:tcW w:w="713"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697"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799"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1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46"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068" w:type="dxa"/>
            <w:tcBorders>
              <w:top w:val="nil"/>
              <w:left w:val="nil"/>
              <w:bottom w:val="nil"/>
              <w:right w:val="nil"/>
            </w:tcBorders>
            <w:shd w:val="clear" w:color="auto" w:fill="auto"/>
            <w:noWrap/>
            <w:vAlign w:val="bottom"/>
            <w:hideMark/>
          </w:tcPr>
          <w:p w:rsidR="00924101" w:rsidRPr="00924101" w:rsidRDefault="00924101" w:rsidP="00924101">
            <w:pPr>
              <w:rPr>
                <w:sz w:val="20"/>
                <w:lang w:val="es-ES"/>
              </w:rPr>
            </w:pPr>
          </w:p>
        </w:tc>
        <w:tc>
          <w:tcPr>
            <w:tcW w:w="1368" w:type="dxa"/>
            <w:tcBorders>
              <w:top w:val="nil"/>
              <w:left w:val="single" w:sz="4" w:space="0" w:color="333300"/>
              <w:bottom w:val="single" w:sz="4" w:space="0" w:color="333300"/>
              <w:right w:val="single" w:sz="4" w:space="0" w:color="333300"/>
            </w:tcBorders>
            <w:shd w:val="clear" w:color="000000" w:fill="FFFF99"/>
            <w:noWrap/>
            <w:vAlign w:val="center"/>
            <w:hideMark/>
          </w:tcPr>
          <w:p w:rsidR="00924101" w:rsidRPr="00924101" w:rsidRDefault="00924101" w:rsidP="00924101">
            <w:pPr>
              <w:jc w:val="center"/>
              <w:rPr>
                <w:rFonts w:ascii="Calibri" w:hAnsi="Calibri"/>
                <w:b/>
                <w:bCs/>
                <w:i/>
                <w:iCs/>
                <w:color w:val="000000"/>
                <w:sz w:val="16"/>
                <w:szCs w:val="16"/>
                <w:lang w:val="es-ES"/>
              </w:rPr>
            </w:pPr>
            <w:r w:rsidRPr="00924101">
              <w:rPr>
                <w:rFonts w:ascii="Calibri" w:hAnsi="Calibri"/>
                <w:b/>
                <w:bCs/>
                <w:i/>
                <w:iCs/>
                <w:color w:val="000000"/>
                <w:sz w:val="16"/>
                <w:szCs w:val="16"/>
                <w:lang w:val="es-ES"/>
              </w:rPr>
              <w:t xml:space="preserve">                        67.849 </w:t>
            </w:r>
          </w:p>
        </w:tc>
      </w:tr>
    </w:tbl>
    <w:p w:rsidR="00924101" w:rsidRDefault="00924101" w:rsidP="00643EE5">
      <w:pPr>
        <w:spacing w:line="276" w:lineRule="auto"/>
        <w:ind w:firstLine="708"/>
        <w:jc w:val="both"/>
        <w:rPr>
          <w:rFonts w:ascii="Arial" w:hAnsi="Arial" w:cs="Arial"/>
          <w:szCs w:val="24"/>
        </w:rPr>
      </w:pPr>
    </w:p>
    <w:p w:rsidR="00643EE5" w:rsidRPr="00643EE5" w:rsidRDefault="00643EE5" w:rsidP="00643EE5">
      <w:pPr>
        <w:spacing w:line="276" w:lineRule="auto"/>
        <w:ind w:firstLine="708"/>
        <w:jc w:val="both"/>
        <w:rPr>
          <w:rFonts w:ascii="Arial" w:hAnsi="Arial" w:cs="Arial"/>
          <w:szCs w:val="24"/>
        </w:rPr>
      </w:pPr>
      <w:r w:rsidRPr="00643EE5">
        <w:rPr>
          <w:rFonts w:ascii="Arial" w:hAnsi="Arial" w:cs="Arial"/>
          <w:szCs w:val="24"/>
        </w:rPr>
        <w:t xml:space="preserve">Conforme lo visto, se trata de </w:t>
      </w:r>
      <w:r w:rsidR="00924101">
        <w:rPr>
          <w:rFonts w:ascii="Arial" w:hAnsi="Arial" w:cs="Arial"/>
          <w:szCs w:val="24"/>
        </w:rPr>
        <w:t xml:space="preserve">valores ligeramente inferiores </w:t>
      </w:r>
      <w:r w:rsidRPr="00643EE5">
        <w:rPr>
          <w:rFonts w:ascii="Arial" w:hAnsi="Arial" w:cs="Arial"/>
          <w:szCs w:val="24"/>
        </w:rPr>
        <w:t xml:space="preserve">a los obtenidos </w:t>
      </w:r>
      <w:r w:rsidR="00160406">
        <w:rPr>
          <w:rFonts w:ascii="Arial" w:hAnsi="Arial" w:cs="Arial"/>
          <w:szCs w:val="24"/>
        </w:rPr>
        <w:t>en la instancia anterior, donde se determinó que el IBL era de $75.390 al que luego de aplicarle la tasa de reemplazo del 90% arrojaba como mesada pensional la suma de $67.851</w:t>
      </w:r>
      <w:r w:rsidR="00924101">
        <w:rPr>
          <w:rFonts w:ascii="Arial" w:hAnsi="Arial" w:cs="Arial"/>
          <w:szCs w:val="24"/>
        </w:rPr>
        <w:t xml:space="preserve">, valor que igualmente resulta inferior al que en su momento reconoció el </w:t>
      </w:r>
      <w:r w:rsidR="00160406">
        <w:rPr>
          <w:rFonts w:ascii="Arial" w:hAnsi="Arial" w:cs="Arial"/>
          <w:szCs w:val="24"/>
        </w:rPr>
        <w:t xml:space="preserve">Instituto de Seguros Sociales, </w:t>
      </w:r>
      <w:r w:rsidR="00924101">
        <w:rPr>
          <w:rFonts w:ascii="Arial" w:hAnsi="Arial" w:cs="Arial"/>
          <w:szCs w:val="24"/>
        </w:rPr>
        <w:t>por lo que no hay lugar a acceder al reajuste de la primera mesada pensional, porque se itera, esta es superior a la que al interior de este proceso se halló</w:t>
      </w:r>
      <w:r w:rsidRPr="00643EE5">
        <w:rPr>
          <w:rFonts w:ascii="Arial" w:hAnsi="Arial" w:cs="Arial"/>
          <w:szCs w:val="24"/>
        </w:rPr>
        <w:t>.</w:t>
      </w:r>
    </w:p>
    <w:p w:rsidR="00643EE5" w:rsidRDefault="00643EE5" w:rsidP="00194C69">
      <w:pPr>
        <w:spacing w:line="360" w:lineRule="auto"/>
        <w:ind w:firstLine="708"/>
        <w:jc w:val="both"/>
        <w:rPr>
          <w:rFonts w:ascii="Arial" w:hAnsi="Arial" w:cs="Arial"/>
          <w:szCs w:val="24"/>
        </w:rPr>
      </w:pPr>
    </w:p>
    <w:p w:rsidR="00A32B05" w:rsidRPr="00A32B05" w:rsidRDefault="00A32B05" w:rsidP="00AA20F0">
      <w:pPr>
        <w:spacing w:line="276" w:lineRule="auto"/>
        <w:ind w:firstLine="851"/>
        <w:jc w:val="both"/>
        <w:rPr>
          <w:rFonts w:ascii="Arial" w:hAnsi="Arial" w:cs="Arial"/>
          <w:color w:val="000000"/>
          <w:szCs w:val="24"/>
          <w:shd w:val="clear" w:color="auto" w:fill="FFFFFF"/>
          <w:lang w:val="es-ES"/>
        </w:rPr>
      </w:pPr>
      <w:r w:rsidRPr="00A32B05">
        <w:rPr>
          <w:rFonts w:ascii="Arial" w:hAnsi="Arial" w:cs="Arial"/>
          <w:color w:val="000000"/>
          <w:szCs w:val="24"/>
          <w:shd w:val="clear" w:color="auto" w:fill="FFFFFF"/>
          <w:lang w:val="es-ES"/>
        </w:rPr>
        <w:t xml:space="preserve">Así las cosas, se </w:t>
      </w:r>
      <w:r w:rsidR="00924101">
        <w:rPr>
          <w:rFonts w:ascii="Arial" w:hAnsi="Arial" w:cs="Arial"/>
          <w:color w:val="000000"/>
          <w:szCs w:val="24"/>
          <w:shd w:val="clear" w:color="auto" w:fill="FFFFFF"/>
          <w:lang w:val="es-ES"/>
        </w:rPr>
        <w:t xml:space="preserve">confirmará en su totalidad </w:t>
      </w:r>
      <w:r w:rsidR="00D922EF">
        <w:rPr>
          <w:rFonts w:ascii="Arial" w:hAnsi="Arial" w:cs="Arial"/>
          <w:color w:val="000000"/>
          <w:szCs w:val="24"/>
          <w:shd w:val="clear" w:color="auto" w:fill="FFFFFF"/>
          <w:lang w:val="es-ES"/>
        </w:rPr>
        <w:t>la decisión objeto de censura.</w:t>
      </w:r>
    </w:p>
    <w:p w:rsidR="00A32B05" w:rsidRDefault="00A32B05" w:rsidP="00AA20F0">
      <w:pPr>
        <w:spacing w:line="276" w:lineRule="auto"/>
        <w:ind w:firstLine="708"/>
        <w:jc w:val="both"/>
        <w:rPr>
          <w:rFonts w:ascii="Arial" w:hAnsi="Arial" w:cs="Arial"/>
          <w:szCs w:val="24"/>
        </w:rPr>
      </w:pPr>
    </w:p>
    <w:p w:rsidR="00EF2074" w:rsidRPr="00D578CB" w:rsidRDefault="00924101" w:rsidP="00AA20F0">
      <w:pPr>
        <w:spacing w:line="276" w:lineRule="auto"/>
        <w:ind w:firstLine="708"/>
        <w:jc w:val="both"/>
        <w:rPr>
          <w:rFonts w:ascii="Arial" w:hAnsi="Arial" w:cs="Arial"/>
          <w:szCs w:val="24"/>
        </w:rPr>
      </w:pPr>
      <w:r>
        <w:rPr>
          <w:rFonts w:ascii="Arial" w:hAnsi="Arial" w:cs="Arial"/>
          <w:szCs w:val="24"/>
        </w:rPr>
        <w:t xml:space="preserve">Costas </w:t>
      </w:r>
      <w:r w:rsidR="00565E83" w:rsidRPr="00D578CB">
        <w:rPr>
          <w:rFonts w:ascii="Arial" w:hAnsi="Arial" w:cs="Arial"/>
          <w:szCs w:val="24"/>
        </w:rPr>
        <w:t xml:space="preserve">en </w:t>
      </w:r>
      <w:r w:rsidR="00D33344">
        <w:rPr>
          <w:rFonts w:ascii="Arial" w:hAnsi="Arial" w:cs="Arial"/>
          <w:szCs w:val="24"/>
        </w:rPr>
        <w:t xml:space="preserve">esta instancia </w:t>
      </w:r>
      <w:r>
        <w:rPr>
          <w:rFonts w:ascii="Arial" w:hAnsi="Arial" w:cs="Arial"/>
          <w:szCs w:val="24"/>
        </w:rPr>
        <w:t>a cargo de la parte recurrente.</w:t>
      </w:r>
    </w:p>
    <w:p w:rsidR="00134C86" w:rsidRPr="00D578CB" w:rsidRDefault="00134C86" w:rsidP="00AA20F0">
      <w:pPr>
        <w:pStyle w:val="Sinespaciado"/>
        <w:spacing w:line="276" w:lineRule="auto"/>
        <w:rPr>
          <w:rFonts w:ascii="Arial" w:hAnsi="Arial" w:cs="Arial"/>
          <w:sz w:val="24"/>
          <w:szCs w:val="24"/>
        </w:rPr>
      </w:pPr>
    </w:p>
    <w:p w:rsidR="00226D5F" w:rsidRPr="00D578CB" w:rsidRDefault="00226D5F" w:rsidP="00AA20F0">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AA20F0">
      <w:pPr>
        <w:pStyle w:val="Prrafodelista2"/>
        <w:spacing w:after="0"/>
        <w:ind w:left="0" w:firstLine="708"/>
        <w:jc w:val="both"/>
        <w:rPr>
          <w:rFonts w:ascii="Arial" w:hAnsi="Arial" w:cs="Arial"/>
          <w:sz w:val="24"/>
          <w:szCs w:val="24"/>
        </w:rPr>
      </w:pPr>
    </w:p>
    <w:p w:rsidR="00226D5F" w:rsidRPr="00D578CB" w:rsidRDefault="00D578CB" w:rsidP="00AA20F0">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AA20F0">
      <w:pPr>
        <w:pStyle w:val="Sinespaciado"/>
        <w:spacing w:line="276" w:lineRule="auto"/>
        <w:rPr>
          <w:rFonts w:ascii="Arial" w:hAnsi="Arial" w:cs="Arial"/>
          <w:sz w:val="24"/>
          <w:szCs w:val="24"/>
        </w:rPr>
      </w:pPr>
    </w:p>
    <w:p w:rsidR="00AF6420" w:rsidRDefault="00572BE9" w:rsidP="00AF6420">
      <w:pPr>
        <w:spacing w:line="276" w:lineRule="auto"/>
        <w:ind w:firstLine="708"/>
        <w:jc w:val="both"/>
        <w:rPr>
          <w:rFonts w:ascii="Arial" w:hAnsi="Arial" w:cs="Arial"/>
          <w:bCs/>
          <w:iCs/>
          <w:szCs w:val="24"/>
        </w:rPr>
      </w:pPr>
      <w:r w:rsidRPr="00D578CB">
        <w:rPr>
          <w:rFonts w:ascii="Arial" w:hAnsi="Arial" w:cs="Arial"/>
          <w:b/>
          <w:spacing w:val="-2"/>
          <w:szCs w:val="24"/>
        </w:rPr>
        <w:t xml:space="preserve">PRIMERO: </w:t>
      </w:r>
      <w:r w:rsidR="00924101">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D922EF">
        <w:rPr>
          <w:rFonts w:ascii="Arial" w:hAnsi="Arial" w:cs="Arial"/>
          <w:szCs w:val="24"/>
        </w:rPr>
        <w:t xml:space="preserve">8 </w:t>
      </w:r>
      <w:r w:rsidR="00134C86" w:rsidRPr="00D578CB">
        <w:rPr>
          <w:rFonts w:ascii="Arial" w:hAnsi="Arial" w:cs="Arial"/>
          <w:szCs w:val="24"/>
        </w:rPr>
        <w:t xml:space="preserve">de </w:t>
      </w:r>
      <w:r w:rsidR="00D922EF">
        <w:rPr>
          <w:rFonts w:ascii="Arial" w:hAnsi="Arial" w:cs="Arial"/>
          <w:szCs w:val="24"/>
        </w:rPr>
        <w:t xml:space="preserve">septiembre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D922EF">
        <w:rPr>
          <w:rFonts w:ascii="Arial" w:hAnsi="Arial" w:cs="Arial"/>
          <w:szCs w:val="24"/>
        </w:rPr>
        <w:t xml:space="preserve">Primero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la señora </w:t>
      </w:r>
      <w:r w:rsidR="00B713F9">
        <w:rPr>
          <w:rFonts w:ascii="Arial" w:hAnsi="Arial" w:cs="Arial"/>
          <w:b/>
          <w:iCs/>
          <w:szCs w:val="24"/>
        </w:rPr>
        <w:t>A</w:t>
      </w:r>
      <w:r w:rsidR="00D922EF">
        <w:rPr>
          <w:rFonts w:ascii="Arial" w:hAnsi="Arial" w:cs="Arial"/>
          <w:b/>
          <w:iCs/>
          <w:szCs w:val="24"/>
        </w:rPr>
        <w:t xml:space="preserve">DIELA LÓPEZ DE FRANCO </w:t>
      </w:r>
      <w:r w:rsidR="00134C86" w:rsidRPr="00D578CB">
        <w:rPr>
          <w:rFonts w:ascii="Arial" w:hAnsi="Arial" w:cs="Arial"/>
          <w:szCs w:val="24"/>
        </w:rPr>
        <w:t xml:space="preserve">contra la </w:t>
      </w:r>
      <w:r w:rsidR="00134C86" w:rsidRPr="00D578CB">
        <w:rPr>
          <w:rFonts w:ascii="Arial" w:hAnsi="Arial" w:cs="Arial"/>
          <w:b/>
          <w:szCs w:val="24"/>
        </w:rPr>
        <w:t>Administradora Colombiana de Pensiones</w:t>
      </w:r>
      <w:r w:rsidR="00134C86" w:rsidRPr="00D578CB">
        <w:rPr>
          <w:rFonts w:ascii="Arial" w:hAnsi="Arial" w:cs="Arial"/>
          <w:szCs w:val="24"/>
        </w:rPr>
        <w:t xml:space="preserve"> </w:t>
      </w:r>
      <w:r w:rsidR="00D922EF">
        <w:rPr>
          <w:rFonts w:ascii="Arial" w:hAnsi="Arial" w:cs="Arial"/>
          <w:szCs w:val="24"/>
        </w:rPr>
        <w:t>–</w:t>
      </w:r>
      <w:r w:rsidRPr="00D578CB">
        <w:rPr>
          <w:rFonts w:ascii="Arial" w:hAnsi="Arial" w:cs="Arial"/>
          <w:b/>
          <w:bCs/>
          <w:szCs w:val="24"/>
        </w:rPr>
        <w:t>COLPENSIONES</w:t>
      </w:r>
      <w:r w:rsidR="00D922EF">
        <w:rPr>
          <w:rFonts w:ascii="Arial" w:hAnsi="Arial" w:cs="Arial"/>
          <w:b/>
          <w:bCs/>
          <w:szCs w:val="24"/>
        </w:rPr>
        <w:t>-</w:t>
      </w:r>
      <w:r w:rsidR="00D33344">
        <w:rPr>
          <w:rFonts w:ascii="Arial" w:hAnsi="Arial" w:cs="Arial"/>
          <w:bCs/>
          <w:iCs/>
          <w:szCs w:val="24"/>
        </w:rPr>
        <w:t>, conforme a lo expuesto en la parte motiva de esta decisión.</w:t>
      </w:r>
      <w:r w:rsidR="00134C86" w:rsidRPr="00D578CB">
        <w:rPr>
          <w:rFonts w:ascii="Arial" w:hAnsi="Arial" w:cs="Arial"/>
          <w:bCs/>
          <w:iCs/>
          <w:szCs w:val="24"/>
        </w:rPr>
        <w:t xml:space="preserve"> </w:t>
      </w:r>
    </w:p>
    <w:p w:rsidR="00AF6420" w:rsidRDefault="00AF6420" w:rsidP="00AF6420">
      <w:pPr>
        <w:spacing w:line="276" w:lineRule="auto"/>
        <w:ind w:firstLine="708"/>
        <w:jc w:val="both"/>
        <w:rPr>
          <w:rFonts w:ascii="Arial" w:hAnsi="Arial" w:cs="Arial"/>
          <w:bCs/>
          <w:iCs/>
          <w:szCs w:val="24"/>
        </w:rPr>
      </w:pPr>
    </w:p>
    <w:p w:rsidR="00080FA7" w:rsidRPr="00D578CB" w:rsidRDefault="00AF6420" w:rsidP="00AF6420">
      <w:pPr>
        <w:spacing w:line="276" w:lineRule="auto"/>
        <w:ind w:firstLine="708"/>
        <w:jc w:val="both"/>
        <w:rPr>
          <w:rFonts w:ascii="Arial" w:hAnsi="Arial" w:cs="Arial"/>
          <w:szCs w:val="24"/>
        </w:rPr>
      </w:pPr>
      <w:r>
        <w:rPr>
          <w:rFonts w:ascii="Arial" w:hAnsi="Arial" w:cs="Arial"/>
          <w:b/>
          <w:szCs w:val="24"/>
        </w:rPr>
        <w:t xml:space="preserve">SEGUNDO. CONDENAR </w:t>
      </w:r>
      <w:r>
        <w:rPr>
          <w:rFonts w:ascii="Arial" w:hAnsi="Arial" w:cs="Arial"/>
          <w:szCs w:val="24"/>
        </w:rPr>
        <w:t>en co</w:t>
      </w:r>
      <w:r w:rsidR="00080FA7" w:rsidRPr="00D578CB">
        <w:rPr>
          <w:rFonts w:ascii="Arial" w:hAnsi="Arial" w:cs="Arial"/>
          <w:szCs w:val="24"/>
        </w:rPr>
        <w:t xml:space="preserve">stas en </w:t>
      </w:r>
      <w:r w:rsidR="00080FA7">
        <w:rPr>
          <w:rFonts w:ascii="Arial" w:hAnsi="Arial" w:cs="Arial"/>
          <w:szCs w:val="24"/>
        </w:rPr>
        <w:t xml:space="preserve">esta instancia </w:t>
      </w:r>
      <w:r>
        <w:rPr>
          <w:rFonts w:ascii="Arial" w:hAnsi="Arial" w:cs="Arial"/>
          <w:szCs w:val="24"/>
        </w:rPr>
        <w:t xml:space="preserve">a la parte recurrente </w:t>
      </w:r>
      <w:r w:rsidR="00080FA7">
        <w:rPr>
          <w:rFonts w:ascii="Arial" w:hAnsi="Arial" w:cs="Arial"/>
          <w:szCs w:val="24"/>
        </w:rPr>
        <w:t>en un 100%.</w:t>
      </w:r>
    </w:p>
    <w:p w:rsidR="00080FA7" w:rsidRDefault="00080FA7" w:rsidP="005E44D8">
      <w:pPr>
        <w:autoSpaceDE w:val="0"/>
        <w:autoSpaceDN w:val="0"/>
        <w:adjustRightInd w:val="0"/>
        <w:spacing w:line="276" w:lineRule="auto"/>
        <w:ind w:firstLine="708"/>
        <w:jc w:val="both"/>
        <w:rPr>
          <w:rFonts w:ascii="Arial" w:hAnsi="Arial" w:cs="Arial"/>
          <w:szCs w:val="24"/>
        </w:rPr>
      </w:pPr>
    </w:p>
    <w:p w:rsidR="00134C86" w:rsidRPr="00D578CB" w:rsidRDefault="00134C86" w:rsidP="00AA20F0">
      <w:pPr>
        <w:pStyle w:val="Sinespaciado"/>
        <w:spacing w:line="276" w:lineRule="auto"/>
        <w:rPr>
          <w:rFonts w:ascii="Arial" w:hAnsi="Arial" w:cs="Arial"/>
          <w:sz w:val="24"/>
          <w:szCs w:val="24"/>
          <w:lang w:val="es-CO"/>
        </w:rPr>
      </w:pPr>
    </w:p>
    <w:p w:rsidR="00134C86" w:rsidRPr="00F919EA" w:rsidRDefault="00134C86" w:rsidP="00AA20F0">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134C86" w:rsidRPr="00D578CB" w:rsidRDefault="00134C86" w:rsidP="00AA20F0">
      <w:pPr>
        <w:pStyle w:val="Sinespaciado"/>
        <w:spacing w:line="276" w:lineRule="auto"/>
        <w:rPr>
          <w:rFonts w:ascii="Arial" w:hAnsi="Arial" w:cs="Arial"/>
          <w:sz w:val="24"/>
          <w:szCs w:val="24"/>
          <w:lang w:val="es-ES"/>
        </w:rPr>
      </w:pPr>
    </w:p>
    <w:p w:rsidR="00134C86" w:rsidRPr="00D578CB" w:rsidRDefault="00134C86" w:rsidP="00AA20F0">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AA20F0">
      <w:pPr>
        <w:pStyle w:val="Sinespaciado"/>
        <w:spacing w:line="276" w:lineRule="auto"/>
        <w:rPr>
          <w:rFonts w:ascii="Arial" w:hAnsi="Arial" w:cs="Arial"/>
          <w:sz w:val="24"/>
          <w:szCs w:val="24"/>
          <w:lang w:val="es-ES"/>
        </w:rPr>
      </w:pPr>
    </w:p>
    <w:p w:rsidR="00134C86" w:rsidRPr="00D578CB" w:rsidRDefault="00134C86" w:rsidP="00AA20F0">
      <w:pPr>
        <w:pStyle w:val="Sinespaciado"/>
        <w:spacing w:line="276" w:lineRule="auto"/>
        <w:rPr>
          <w:rFonts w:ascii="Arial" w:hAnsi="Arial" w:cs="Arial"/>
          <w:sz w:val="24"/>
          <w:szCs w:val="24"/>
        </w:rPr>
      </w:pPr>
    </w:p>
    <w:p w:rsidR="00134C86" w:rsidRPr="00D578CB" w:rsidRDefault="00134C86" w:rsidP="00AA20F0">
      <w:pPr>
        <w:pStyle w:val="Sinespaciado"/>
        <w:spacing w:line="276" w:lineRule="auto"/>
        <w:rPr>
          <w:rFonts w:ascii="Arial" w:hAnsi="Arial" w:cs="Arial"/>
          <w:sz w:val="24"/>
          <w:szCs w:val="24"/>
        </w:rPr>
      </w:pPr>
    </w:p>
    <w:p w:rsidR="00134C86" w:rsidRPr="00D578CB" w:rsidRDefault="00134C86" w:rsidP="00AA20F0">
      <w:pPr>
        <w:pStyle w:val="Sinespaciado"/>
        <w:spacing w:line="276" w:lineRule="auto"/>
        <w:jc w:val="center"/>
        <w:rPr>
          <w:rFonts w:ascii="Arial" w:hAnsi="Arial" w:cs="Arial"/>
          <w:sz w:val="24"/>
          <w:szCs w:val="24"/>
          <w:lang w:val="es-ES"/>
        </w:rPr>
      </w:pPr>
    </w:p>
    <w:p w:rsidR="00134C86" w:rsidRPr="00D578CB" w:rsidRDefault="001B03FA" w:rsidP="00AA20F0">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AA20F0">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AA20F0">
      <w:pPr>
        <w:spacing w:line="276" w:lineRule="auto"/>
        <w:ind w:firstLine="900"/>
        <w:jc w:val="center"/>
        <w:rPr>
          <w:rFonts w:ascii="Arial" w:hAnsi="Arial" w:cs="Arial"/>
          <w:b/>
          <w:szCs w:val="24"/>
          <w:lang w:val="es-ES"/>
        </w:rPr>
      </w:pPr>
    </w:p>
    <w:p w:rsidR="00134C86" w:rsidRPr="0045273B" w:rsidRDefault="00134C86" w:rsidP="00AA20F0">
      <w:pPr>
        <w:pStyle w:val="Sinespaciado"/>
        <w:spacing w:line="276" w:lineRule="auto"/>
        <w:rPr>
          <w:rFonts w:ascii="Arial" w:hAnsi="Arial" w:cs="Arial"/>
          <w:sz w:val="23"/>
          <w:szCs w:val="23"/>
          <w:lang w:val="es-ES"/>
        </w:rPr>
      </w:pPr>
    </w:p>
    <w:p w:rsidR="00134C86" w:rsidRPr="0045273B" w:rsidRDefault="00134C86" w:rsidP="00AA20F0">
      <w:pPr>
        <w:pStyle w:val="Sinespaciado"/>
        <w:spacing w:line="276" w:lineRule="auto"/>
        <w:rPr>
          <w:rFonts w:ascii="Arial" w:hAnsi="Arial" w:cs="Arial"/>
          <w:sz w:val="23"/>
          <w:szCs w:val="23"/>
          <w:lang w:val="es-ES"/>
        </w:rPr>
      </w:pPr>
    </w:p>
    <w:p w:rsidR="001E0313" w:rsidRPr="0045273B" w:rsidRDefault="001E0313" w:rsidP="00AA20F0">
      <w:pPr>
        <w:spacing w:line="276" w:lineRule="auto"/>
        <w:jc w:val="both"/>
        <w:rPr>
          <w:rFonts w:ascii="Arial" w:hAnsi="Arial" w:cs="Arial"/>
          <w:b/>
          <w:bCs/>
          <w:iCs/>
          <w:sz w:val="23"/>
          <w:szCs w:val="23"/>
          <w:lang w:val="es-ES"/>
        </w:rPr>
      </w:pPr>
    </w:p>
    <w:p w:rsidR="00134C86" w:rsidRPr="0045273B" w:rsidRDefault="00134C86" w:rsidP="00AA20F0">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AA20F0">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134C86" w:rsidRPr="0045273B" w:rsidRDefault="00134C86" w:rsidP="00AA20F0">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E44D8">
        <w:rPr>
          <w:rFonts w:ascii="Arial" w:hAnsi="Arial" w:cs="Arial"/>
          <w:bCs/>
          <w:iCs/>
          <w:sz w:val="23"/>
          <w:szCs w:val="23"/>
          <w:lang w:val="es-ES"/>
        </w:rPr>
        <w:t xml:space="preserve">    </w:t>
      </w:r>
    </w:p>
    <w:p w:rsidR="00134C86" w:rsidRDefault="00134C86" w:rsidP="00AA20F0">
      <w:pPr>
        <w:spacing w:line="276" w:lineRule="auto"/>
        <w:ind w:firstLine="900"/>
        <w:jc w:val="both"/>
        <w:rPr>
          <w:rFonts w:ascii="Arial" w:hAnsi="Arial" w:cs="Arial"/>
          <w:bCs/>
          <w:iCs/>
          <w:szCs w:val="24"/>
          <w:lang w:val="es-ES"/>
        </w:rPr>
      </w:pPr>
    </w:p>
    <w:p w:rsidR="00134C86" w:rsidRPr="00AC486E" w:rsidRDefault="00134C86" w:rsidP="00AA20F0">
      <w:pPr>
        <w:spacing w:line="276" w:lineRule="auto"/>
        <w:ind w:firstLine="900"/>
        <w:jc w:val="both"/>
        <w:rPr>
          <w:rFonts w:ascii="Arial" w:hAnsi="Arial" w:cs="Arial"/>
          <w:bCs/>
          <w:iCs/>
          <w:szCs w:val="24"/>
          <w:lang w:val="es-ES"/>
        </w:rPr>
      </w:pPr>
    </w:p>
    <w:p w:rsidR="00134C86" w:rsidRPr="00AC486E" w:rsidRDefault="0045273B" w:rsidP="00AA20F0">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134C86" w:rsidRPr="00AC486E" w:rsidRDefault="00D578CB" w:rsidP="00AA20F0">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AA20F0">
      <w:pPr>
        <w:spacing w:line="276" w:lineRule="auto"/>
        <w:jc w:val="both"/>
        <w:rPr>
          <w:rFonts w:ascii="Arial" w:hAnsi="Arial" w:cs="Arial"/>
          <w:szCs w:val="24"/>
        </w:rPr>
      </w:pPr>
    </w:p>
    <w:sectPr w:rsidR="00226D5F" w:rsidRPr="00AC486E"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56" w:rsidRDefault="00E97856" w:rsidP="00226D5F">
      <w:r>
        <w:separator/>
      </w:r>
    </w:p>
  </w:endnote>
  <w:endnote w:type="continuationSeparator" w:id="0">
    <w:p w:rsidR="00E97856" w:rsidRDefault="00E9785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E97856"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7856">
      <w:rPr>
        <w:rStyle w:val="Nmerodepgina"/>
        <w:noProof/>
      </w:rPr>
      <w:t>1</w:t>
    </w:r>
    <w:r>
      <w:rPr>
        <w:rStyle w:val="Nmerodepgina"/>
      </w:rPr>
      <w:fldChar w:fldCharType="end"/>
    </w:r>
  </w:p>
  <w:p w:rsidR="009B4A56" w:rsidRDefault="00E97856"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56" w:rsidRDefault="00E97856" w:rsidP="00226D5F">
      <w:r>
        <w:separator/>
      </w:r>
    </w:p>
  </w:footnote>
  <w:footnote w:type="continuationSeparator" w:id="0">
    <w:p w:rsidR="00E97856" w:rsidRDefault="00E97856" w:rsidP="0022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808"/>
    <w:rsid w:val="00007B72"/>
    <w:rsid w:val="00030373"/>
    <w:rsid w:val="00040E9A"/>
    <w:rsid w:val="000429E7"/>
    <w:rsid w:val="000525EC"/>
    <w:rsid w:val="00080FA7"/>
    <w:rsid w:val="00082D09"/>
    <w:rsid w:val="000A1E19"/>
    <w:rsid w:val="000A397D"/>
    <w:rsid w:val="000B6105"/>
    <w:rsid w:val="000C08B1"/>
    <w:rsid w:val="000C0A51"/>
    <w:rsid w:val="000E5C6B"/>
    <w:rsid w:val="000E70EB"/>
    <w:rsid w:val="000E7F42"/>
    <w:rsid w:val="000F08C1"/>
    <w:rsid w:val="000F5775"/>
    <w:rsid w:val="000F5EEF"/>
    <w:rsid w:val="00101DEB"/>
    <w:rsid w:val="00106350"/>
    <w:rsid w:val="00122A57"/>
    <w:rsid w:val="00127390"/>
    <w:rsid w:val="00132136"/>
    <w:rsid w:val="00134C86"/>
    <w:rsid w:val="00146784"/>
    <w:rsid w:val="00160406"/>
    <w:rsid w:val="001606DD"/>
    <w:rsid w:val="001667FB"/>
    <w:rsid w:val="00171C56"/>
    <w:rsid w:val="00172834"/>
    <w:rsid w:val="00174C77"/>
    <w:rsid w:val="00183477"/>
    <w:rsid w:val="00184B1F"/>
    <w:rsid w:val="00194C69"/>
    <w:rsid w:val="001A417B"/>
    <w:rsid w:val="001A4D21"/>
    <w:rsid w:val="001B03FA"/>
    <w:rsid w:val="001C4D7F"/>
    <w:rsid w:val="001E0313"/>
    <w:rsid w:val="001E3462"/>
    <w:rsid w:val="001E54BD"/>
    <w:rsid w:val="001E667F"/>
    <w:rsid w:val="001F2DCA"/>
    <w:rsid w:val="00226D5F"/>
    <w:rsid w:val="00231C21"/>
    <w:rsid w:val="002320EB"/>
    <w:rsid w:val="00242152"/>
    <w:rsid w:val="00247BBE"/>
    <w:rsid w:val="00251CC1"/>
    <w:rsid w:val="00262C18"/>
    <w:rsid w:val="00272C8B"/>
    <w:rsid w:val="00280CFA"/>
    <w:rsid w:val="00287CC2"/>
    <w:rsid w:val="00290C0B"/>
    <w:rsid w:val="00297F4E"/>
    <w:rsid w:val="002A02BA"/>
    <w:rsid w:val="002A0A06"/>
    <w:rsid w:val="002A1785"/>
    <w:rsid w:val="002A7088"/>
    <w:rsid w:val="002C313D"/>
    <w:rsid w:val="002D6807"/>
    <w:rsid w:val="002E10FC"/>
    <w:rsid w:val="002E4F47"/>
    <w:rsid w:val="00314BEF"/>
    <w:rsid w:val="00322F77"/>
    <w:rsid w:val="00324AD2"/>
    <w:rsid w:val="003440CA"/>
    <w:rsid w:val="003450C2"/>
    <w:rsid w:val="003463BF"/>
    <w:rsid w:val="003463CD"/>
    <w:rsid w:val="003465C4"/>
    <w:rsid w:val="00356A35"/>
    <w:rsid w:val="003879A1"/>
    <w:rsid w:val="003922FA"/>
    <w:rsid w:val="003B4EA7"/>
    <w:rsid w:val="003E5143"/>
    <w:rsid w:val="00406B1F"/>
    <w:rsid w:val="0041066C"/>
    <w:rsid w:val="004348AB"/>
    <w:rsid w:val="00450598"/>
    <w:rsid w:val="00450903"/>
    <w:rsid w:val="004519EB"/>
    <w:rsid w:val="0045273B"/>
    <w:rsid w:val="00460CB9"/>
    <w:rsid w:val="0046737F"/>
    <w:rsid w:val="0048305A"/>
    <w:rsid w:val="004A2468"/>
    <w:rsid w:val="004B6BFC"/>
    <w:rsid w:val="004D018B"/>
    <w:rsid w:val="004D01C5"/>
    <w:rsid w:val="004E3B33"/>
    <w:rsid w:val="004E4CC6"/>
    <w:rsid w:val="004F0CAD"/>
    <w:rsid w:val="00501034"/>
    <w:rsid w:val="00501B6F"/>
    <w:rsid w:val="00502691"/>
    <w:rsid w:val="00515BDC"/>
    <w:rsid w:val="00520EE6"/>
    <w:rsid w:val="0053562A"/>
    <w:rsid w:val="0055465D"/>
    <w:rsid w:val="00563496"/>
    <w:rsid w:val="0056486F"/>
    <w:rsid w:val="00565E83"/>
    <w:rsid w:val="00567B33"/>
    <w:rsid w:val="00567C97"/>
    <w:rsid w:val="00572BE9"/>
    <w:rsid w:val="00586CB3"/>
    <w:rsid w:val="00591F75"/>
    <w:rsid w:val="005B6A2A"/>
    <w:rsid w:val="005C285D"/>
    <w:rsid w:val="005E0ED1"/>
    <w:rsid w:val="005E44D8"/>
    <w:rsid w:val="005E4D9E"/>
    <w:rsid w:val="005E7DA5"/>
    <w:rsid w:val="005F5E82"/>
    <w:rsid w:val="00607E8E"/>
    <w:rsid w:val="00610BCC"/>
    <w:rsid w:val="006135E9"/>
    <w:rsid w:val="0061484D"/>
    <w:rsid w:val="00625CC2"/>
    <w:rsid w:val="00637118"/>
    <w:rsid w:val="0064158C"/>
    <w:rsid w:val="00643EE5"/>
    <w:rsid w:val="006516CA"/>
    <w:rsid w:val="00655E83"/>
    <w:rsid w:val="00675E25"/>
    <w:rsid w:val="0068109B"/>
    <w:rsid w:val="006A0D48"/>
    <w:rsid w:val="006D0816"/>
    <w:rsid w:val="006E11A2"/>
    <w:rsid w:val="006E244D"/>
    <w:rsid w:val="006E2F01"/>
    <w:rsid w:val="006E3949"/>
    <w:rsid w:val="006F0D6B"/>
    <w:rsid w:val="006F2FF3"/>
    <w:rsid w:val="006F3D12"/>
    <w:rsid w:val="006F68BC"/>
    <w:rsid w:val="00712CFC"/>
    <w:rsid w:val="00713558"/>
    <w:rsid w:val="00716474"/>
    <w:rsid w:val="007252F0"/>
    <w:rsid w:val="007258A6"/>
    <w:rsid w:val="007308D1"/>
    <w:rsid w:val="00732554"/>
    <w:rsid w:val="007329CC"/>
    <w:rsid w:val="007465BA"/>
    <w:rsid w:val="007632AA"/>
    <w:rsid w:val="00764C9B"/>
    <w:rsid w:val="00774397"/>
    <w:rsid w:val="00777D9C"/>
    <w:rsid w:val="00785814"/>
    <w:rsid w:val="00795237"/>
    <w:rsid w:val="007A069B"/>
    <w:rsid w:val="007A2D40"/>
    <w:rsid w:val="007B1977"/>
    <w:rsid w:val="007B5499"/>
    <w:rsid w:val="007C5A02"/>
    <w:rsid w:val="007D40B8"/>
    <w:rsid w:val="007E0E3B"/>
    <w:rsid w:val="007E3F4A"/>
    <w:rsid w:val="007E5F18"/>
    <w:rsid w:val="00810397"/>
    <w:rsid w:val="008261E9"/>
    <w:rsid w:val="0083061B"/>
    <w:rsid w:val="0083155E"/>
    <w:rsid w:val="008467D4"/>
    <w:rsid w:val="00862082"/>
    <w:rsid w:val="00862EBC"/>
    <w:rsid w:val="0087212A"/>
    <w:rsid w:val="008751D8"/>
    <w:rsid w:val="008778BA"/>
    <w:rsid w:val="00891A47"/>
    <w:rsid w:val="00895036"/>
    <w:rsid w:val="008A04F6"/>
    <w:rsid w:val="008A1294"/>
    <w:rsid w:val="008C0AAF"/>
    <w:rsid w:val="008C244C"/>
    <w:rsid w:val="008C4FC0"/>
    <w:rsid w:val="008C6ADA"/>
    <w:rsid w:val="008D0040"/>
    <w:rsid w:val="008D27EF"/>
    <w:rsid w:val="008E3322"/>
    <w:rsid w:val="008F003B"/>
    <w:rsid w:val="00907A5F"/>
    <w:rsid w:val="00915EE3"/>
    <w:rsid w:val="00924101"/>
    <w:rsid w:val="0095639C"/>
    <w:rsid w:val="00966F23"/>
    <w:rsid w:val="009740CF"/>
    <w:rsid w:val="009849BE"/>
    <w:rsid w:val="00994775"/>
    <w:rsid w:val="00995393"/>
    <w:rsid w:val="009D1438"/>
    <w:rsid w:val="009E5A8E"/>
    <w:rsid w:val="009F1835"/>
    <w:rsid w:val="009F5FAF"/>
    <w:rsid w:val="009F7E64"/>
    <w:rsid w:val="00A23CFA"/>
    <w:rsid w:val="00A25265"/>
    <w:rsid w:val="00A27137"/>
    <w:rsid w:val="00A32B05"/>
    <w:rsid w:val="00A40B48"/>
    <w:rsid w:val="00A5024C"/>
    <w:rsid w:val="00A5772F"/>
    <w:rsid w:val="00A8443F"/>
    <w:rsid w:val="00A86F54"/>
    <w:rsid w:val="00A928D2"/>
    <w:rsid w:val="00A93DCA"/>
    <w:rsid w:val="00A95442"/>
    <w:rsid w:val="00A957FB"/>
    <w:rsid w:val="00AA20F0"/>
    <w:rsid w:val="00AB2427"/>
    <w:rsid w:val="00AB6563"/>
    <w:rsid w:val="00AC486E"/>
    <w:rsid w:val="00AE744D"/>
    <w:rsid w:val="00AF6420"/>
    <w:rsid w:val="00B0466B"/>
    <w:rsid w:val="00B22E56"/>
    <w:rsid w:val="00B240C2"/>
    <w:rsid w:val="00B24384"/>
    <w:rsid w:val="00B31D24"/>
    <w:rsid w:val="00B56E76"/>
    <w:rsid w:val="00B6265D"/>
    <w:rsid w:val="00B63804"/>
    <w:rsid w:val="00B67118"/>
    <w:rsid w:val="00B713F9"/>
    <w:rsid w:val="00B9600C"/>
    <w:rsid w:val="00BA0C20"/>
    <w:rsid w:val="00BC31C8"/>
    <w:rsid w:val="00BD0539"/>
    <w:rsid w:val="00BE0373"/>
    <w:rsid w:val="00C044B5"/>
    <w:rsid w:val="00C1062A"/>
    <w:rsid w:val="00C1568F"/>
    <w:rsid w:val="00C1591F"/>
    <w:rsid w:val="00C645B6"/>
    <w:rsid w:val="00C81FE6"/>
    <w:rsid w:val="00C91182"/>
    <w:rsid w:val="00CA38DA"/>
    <w:rsid w:val="00CA60FB"/>
    <w:rsid w:val="00CD15A3"/>
    <w:rsid w:val="00CD3AE9"/>
    <w:rsid w:val="00CF576A"/>
    <w:rsid w:val="00D3035A"/>
    <w:rsid w:val="00D320B2"/>
    <w:rsid w:val="00D33344"/>
    <w:rsid w:val="00D578CB"/>
    <w:rsid w:val="00D747E2"/>
    <w:rsid w:val="00D82869"/>
    <w:rsid w:val="00D922EF"/>
    <w:rsid w:val="00D97755"/>
    <w:rsid w:val="00DA3E57"/>
    <w:rsid w:val="00DA4B0A"/>
    <w:rsid w:val="00DB774C"/>
    <w:rsid w:val="00DD04A4"/>
    <w:rsid w:val="00DE438F"/>
    <w:rsid w:val="00DE5DAF"/>
    <w:rsid w:val="00DF30A5"/>
    <w:rsid w:val="00E062F9"/>
    <w:rsid w:val="00E27B52"/>
    <w:rsid w:val="00E368B2"/>
    <w:rsid w:val="00E665CA"/>
    <w:rsid w:val="00E70A48"/>
    <w:rsid w:val="00E82056"/>
    <w:rsid w:val="00E82931"/>
    <w:rsid w:val="00E933A3"/>
    <w:rsid w:val="00E97856"/>
    <w:rsid w:val="00EA4765"/>
    <w:rsid w:val="00EA6082"/>
    <w:rsid w:val="00EA73E7"/>
    <w:rsid w:val="00EB7ADF"/>
    <w:rsid w:val="00EC3C6F"/>
    <w:rsid w:val="00EE0712"/>
    <w:rsid w:val="00EE4EF7"/>
    <w:rsid w:val="00EF2074"/>
    <w:rsid w:val="00EF6B50"/>
    <w:rsid w:val="00F017BF"/>
    <w:rsid w:val="00F11410"/>
    <w:rsid w:val="00F20AB9"/>
    <w:rsid w:val="00F23734"/>
    <w:rsid w:val="00F349D4"/>
    <w:rsid w:val="00F36839"/>
    <w:rsid w:val="00F500A7"/>
    <w:rsid w:val="00F65645"/>
    <w:rsid w:val="00F7229A"/>
    <w:rsid w:val="00F919EA"/>
    <w:rsid w:val="00F9550A"/>
    <w:rsid w:val="00FA6640"/>
    <w:rsid w:val="00FA6675"/>
    <w:rsid w:val="00FE059A"/>
    <w:rsid w:val="00FE52E6"/>
    <w:rsid w:val="00FF14FA"/>
    <w:rsid w:val="00FF24FA"/>
    <w:rsid w:val="00FF79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FontStyle16">
    <w:name w:val="Font Style16"/>
    <w:rsid w:val="00AE744D"/>
    <w:rPr>
      <w:rFonts w:ascii="Arial" w:hAnsi="Arial" w:cs="Arial"/>
      <w:color w:val="000000"/>
      <w:spacing w:val="20"/>
      <w:sz w:val="18"/>
      <w:szCs w:val="18"/>
    </w:rPr>
  </w:style>
  <w:style w:type="character" w:customStyle="1" w:styleId="FontStyle15">
    <w:name w:val="Font Style15"/>
    <w:rsid w:val="00AE744D"/>
    <w:rPr>
      <w:rFonts w:ascii="Arial" w:hAnsi="Arial" w:cs="Arial"/>
      <w:i/>
      <w:iCs/>
      <w:color w:val="000000"/>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299">
      <w:bodyDiv w:val="1"/>
      <w:marLeft w:val="0"/>
      <w:marRight w:val="0"/>
      <w:marTop w:val="0"/>
      <w:marBottom w:val="0"/>
      <w:divBdr>
        <w:top w:val="none" w:sz="0" w:space="0" w:color="auto"/>
        <w:left w:val="none" w:sz="0" w:space="0" w:color="auto"/>
        <w:bottom w:val="none" w:sz="0" w:space="0" w:color="auto"/>
        <w:right w:val="none" w:sz="0" w:space="0" w:color="auto"/>
      </w:divBdr>
    </w:div>
    <w:div w:id="244537730">
      <w:bodyDiv w:val="1"/>
      <w:marLeft w:val="0"/>
      <w:marRight w:val="0"/>
      <w:marTop w:val="0"/>
      <w:marBottom w:val="0"/>
      <w:divBdr>
        <w:top w:val="none" w:sz="0" w:space="0" w:color="auto"/>
        <w:left w:val="none" w:sz="0" w:space="0" w:color="auto"/>
        <w:bottom w:val="none" w:sz="0" w:space="0" w:color="auto"/>
        <w:right w:val="none" w:sz="0" w:space="0" w:color="auto"/>
      </w:divBdr>
    </w:div>
    <w:div w:id="434441568">
      <w:bodyDiv w:val="1"/>
      <w:marLeft w:val="0"/>
      <w:marRight w:val="0"/>
      <w:marTop w:val="0"/>
      <w:marBottom w:val="0"/>
      <w:divBdr>
        <w:top w:val="none" w:sz="0" w:space="0" w:color="auto"/>
        <w:left w:val="none" w:sz="0" w:space="0" w:color="auto"/>
        <w:bottom w:val="none" w:sz="0" w:space="0" w:color="auto"/>
        <w:right w:val="none" w:sz="0" w:space="0" w:color="auto"/>
      </w:divBdr>
    </w:div>
    <w:div w:id="784495300">
      <w:bodyDiv w:val="1"/>
      <w:marLeft w:val="0"/>
      <w:marRight w:val="0"/>
      <w:marTop w:val="0"/>
      <w:marBottom w:val="0"/>
      <w:divBdr>
        <w:top w:val="none" w:sz="0" w:space="0" w:color="auto"/>
        <w:left w:val="none" w:sz="0" w:space="0" w:color="auto"/>
        <w:bottom w:val="none" w:sz="0" w:space="0" w:color="auto"/>
        <w:right w:val="none" w:sz="0" w:space="0" w:color="auto"/>
      </w:divBdr>
    </w:div>
    <w:div w:id="977952546">
      <w:bodyDiv w:val="1"/>
      <w:marLeft w:val="0"/>
      <w:marRight w:val="0"/>
      <w:marTop w:val="0"/>
      <w:marBottom w:val="0"/>
      <w:divBdr>
        <w:top w:val="none" w:sz="0" w:space="0" w:color="auto"/>
        <w:left w:val="none" w:sz="0" w:space="0" w:color="auto"/>
        <w:bottom w:val="none" w:sz="0" w:space="0" w:color="auto"/>
        <w:right w:val="none" w:sz="0" w:space="0" w:color="auto"/>
      </w:divBdr>
    </w:div>
    <w:div w:id="1236889578">
      <w:bodyDiv w:val="1"/>
      <w:marLeft w:val="0"/>
      <w:marRight w:val="0"/>
      <w:marTop w:val="0"/>
      <w:marBottom w:val="0"/>
      <w:divBdr>
        <w:top w:val="none" w:sz="0" w:space="0" w:color="auto"/>
        <w:left w:val="none" w:sz="0" w:space="0" w:color="auto"/>
        <w:bottom w:val="none" w:sz="0" w:space="0" w:color="auto"/>
        <w:right w:val="none" w:sz="0" w:space="0" w:color="auto"/>
      </w:divBdr>
    </w:div>
    <w:div w:id="159497432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938949735">
      <w:bodyDiv w:val="1"/>
      <w:marLeft w:val="0"/>
      <w:marRight w:val="0"/>
      <w:marTop w:val="0"/>
      <w:marBottom w:val="0"/>
      <w:divBdr>
        <w:top w:val="none" w:sz="0" w:space="0" w:color="auto"/>
        <w:left w:val="none" w:sz="0" w:space="0" w:color="auto"/>
        <w:bottom w:val="none" w:sz="0" w:space="0" w:color="auto"/>
        <w:right w:val="none" w:sz="0" w:space="0" w:color="auto"/>
      </w:divBdr>
    </w:div>
    <w:div w:id="20211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676E-31A7-47DE-B6F6-7828081B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1910</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35</cp:revision>
  <cp:lastPrinted>2016-02-24T13:46:00Z</cp:lastPrinted>
  <dcterms:created xsi:type="dcterms:W3CDTF">2016-03-09T15:13:00Z</dcterms:created>
  <dcterms:modified xsi:type="dcterms:W3CDTF">2016-07-21T14:50:00Z</dcterms:modified>
</cp:coreProperties>
</file>