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aconcuadrcula"/>
        <w:tblW w:w="0" w:type="auto"/>
        <w:tblLook w:val="04A0" w:firstRow="1" w:lastRow="0" w:firstColumn="1" w:lastColumn="0" w:noHBand="0" w:noVBand="1"/>
      </w:tblPr>
      <w:tblGrid>
        <w:gridCol w:w="9964"/>
      </w:tblGrid>
      <w:tr w:rsidR="00871F9F" w:rsidTr="00871F9F">
        <w:tc>
          <w:tcPr>
            <w:tcW w:w="9964" w:type="dxa"/>
          </w:tcPr>
          <w:p w:rsidR="00871F9F" w:rsidRPr="00871F9F" w:rsidRDefault="00871F9F" w:rsidP="00871F9F">
            <w:pPr>
              <w:jc w:val="both"/>
              <w:rPr>
                <w:rFonts w:ascii="Arial Narrow" w:hAnsi="Arial Narrow" w:cs="Tahoma"/>
                <w:sz w:val="16"/>
                <w:szCs w:val="16"/>
              </w:rPr>
            </w:pPr>
            <w:r w:rsidRPr="00871F9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tc>
      </w:tr>
    </w:tbl>
    <w:p w:rsidR="00871F9F" w:rsidRDefault="00871F9F" w:rsidP="00871F9F">
      <w:pPr>
        <w:jc w:val="both"/>
        <w:rPr>
          <w:rFonts w:ascii="Tahoma" w:hAnsi="Tahoma" w:cs="Tahoma"/>
          <w:sz w:val="16"/>
          <w:szCs w:val="16"/>
        </w:rPr>
      </w:pPr>
    </w:p>
    <w:p w:rsidR="009C50D0" w:rsidRPr="003D36AB" w:rsidRDefault="009C50D0" w:rsidP="009C50D0">
      <w:pPr>
        <w:pStyle w:val="Puesto"/>
        <w:spacing w:line="240" w:lineRule="auto"/>
        <w:jc w:val="both"/>
        <w:rPr>
          <w:rFonts w:ascii="Tahoma" w:hAnsi="Tahoma" w:cs="Tahoma"/>
          <w:b w:val="0"/>
          <w:sz w:val="18"/>
          <w:szCs w:val="18"/>
        </w:rPr>
      </w:pP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Pr="003D36AB">
        <w:rPr>
          <w:rFonts w:ascii="Tahoma" w:hAnsi="Tahoma" w:cs="Tahoma"/>
          <w:b w:val="0"/>
          <w:bCs/>
          <w:sz w:val="18"/>
          <w:szCs w:val="18"/>
        </w:rPr>
        <w:t xml:space="preserve">Sentencia del </w:t>
      </w:r>
      <w:r w:rsidR="00A54215">
        <w:rPr>
          <w:rFonts w:ascii="Tahoma" w:hAnsi="Tahoma" w:cs="Tahoma"/>
          <w:b w:val="0"/>
          <w:bCs/>
          <w:sz w:val="18"/>
          <w:szCs w:val="18"/>
        </w:rPr>
        <w:t>5</w:t>
      </w:r>
      <w:r w:rsidR="002F5C10">
        <w:rPr>
          <w:rFonts w:ascii="Tahoma" w:hAnsi="Tahoma" w:cs="Tahoma"/>
          <w:b w:val="0"/>
          <w:bCs/>
          <w:sz w:val="18"/>
          <w:szCs w:val="18"/>
        </w:rPr>
        <w:t xml:space="preserve"> de febrero</w:t>
      </w:r>
      <w:r w:rsidRPr="003D36AB">
        <w:rPr>
          <w:rFonts w:ascii="Tahoma" w:hAnsi="Tahoma" w:cs="Tahoma"/>
          <w:b w:val="0"/>
          <w:bCs/>
          <w:sz w:val="18"/>
          <w:szCs w:val="18"/>
        </w:rPr>
        <w:t xml:space="preserve"> de 201</w:t>
      </w:r>
      <w:r w:rsidR="002F5C10">
        <w:rPr>
          <w:rFonts w:ascii="Tahoma" w:hAnsi="Tahoma" w:cs="Tahoma"/>
          <w:b w:val="0"/>
          <w:bCs/>
          <w:sz w:val="18"/>
          <w:szCs w:val="18"/>
        </w:rPr>
        <w:t>6</w:t>
      </w:r>
      <w:r w:rsidRPr="003D36AB">
        <w:rPr>
          <w:rFonts w:ascii="Tahoma" w:hAnsi="Tahoma" w:cs="Tahoma"/>
          <w:b w:val="0"/>
          <w:bCs/>
          <w:sz w:val="18"/>
          <w:szCs w:val="18"/>
        </w:rPr>
        <w:t xml:space="preserve">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2F5C10">
        <w:rPr>
          <w:rFonts w:ascii="Tahoma" w:hAnsi="Tahoma" w:cs="Tahoma"/>
          <w:b w:val="0"/>
          <w:sz w:val="18"/>
          <w:szCs w:val="18"/>
        </w:rPr>
        <w:tab/>
      </w:r>
      <w:r w:rsidR="002F5C10">
        <w:rPr>
          <w:rFonts w:ascii="Tahoma" w:hAnsi="Tahoma" w:cs="Tahoma"/>
          <w:b w:val="0"/>
          <w:sz w:val="18"/>
          <w:szCs w:val="18"/>
        </w:rPr>
        <w:tab/>
        <w:t>66001-31-05-004</w:t>
      </w:r>
      <w:r w:rsidRPr="003D36AB">
        <w:rPr>
          <w:rFonts w:ascii="Tahoma" w:hAnsi="Tahoma" w:cs="Tahoma"/>
          <w:b w:val="0"/>
          <w:sz w:val="18"/>
          <w:szCs w:val="18"/>
        </w:rPr>
        <w:t>-2014-00</w:t>
      </w:r>
      <w:r w:rsidR="002F5C10">
        <w:rPr>
          <w:rFonts w:ascii="Tahoma" w:hAnsi="Tahoma" w:cs="Tahoma"/>
          <w:b w:val="0"/>
          <w:sz w:val="18"/>
          <w:szCs w:val="18"/>
        </w:rPr>
        <w:t>167</w:t>
      </w:r>
      <w:r w:rsidRPr="003D36AB">
        <w:rPr>
          <w:rFonts w:ascii="Tahoma" w:hAnsi="Tahoma" w:cs="Tahoma"/>
          <w:b w:val="0"/>
          <w:sz w:val="18"/>
          <w:szCs w:val="18"/>
        </w:rPr>
        <w:t>-01</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2F5C10">
        <w:rPr>
          <w:rFonts w:ascii="Tahoma" w:hAnsi="Tahoma" w:cs="Tahoma"/>
          <w:b w:val="0"/>
          <w:sz w:val="18"/>
          <w:szCs w:val="18"/>
        </w:rPr>
        <w:t xml:space="preserve">José Fernando Cardona Velásquez </w:t>
      </w:r>
      <w:r w:rsidR="0049366E" w:rsidRPr="003D36AB">
        <w:rPr>
          <w:rFonts w:ascii="Tahoma" w:hAnsi="Tahoma" w:cs="Tahoma"/>
          <w:b w:val="0"/>
          <w:sz w:val="18"/>
          <w:szCs w:val="18"/>
        </w:rPr>
        <w:t xml:space="preserve"> </w:t>
      </w:r>
    </w:p>
    <w:p w:rsidR="009C50D0" w:rsidRPr="003D36AB" w:rsidRDefault="009C50D0" w:rsidP="009C50D0">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Pr="003D36AB">
        <w:rPr>
          <w:rFonts w:ascii="Tahoma" w:hAnsi="Tahoma" w:cs="Tahoma"/>
          <w:b w:val="0"/>
          <w:sz w:val="18"/>
          <w:szCs w:val="18"/>
        </w:rPr>
        <w:tab/>
      </w:r>
      <w:r w:rsidRPr="003D36AB">
        <w:rPr>
          <w:rFonts w:ascii="Tahoma" w:hAnsi="Tahoma" w:cs="Tahoma"/>
          <w:b w:val="0"/>
          <w:sz w:val="18"/>
          <w:szCs w:val="18"/>
        </w:rPr>
        <w:tab/>
      </w:r>
      <w:proofErr w:type="spellStart"/>
      <w:r w:rsidRPr="003D36AB">
        <w:rPr>
          <w:rFonts w:ascii="Tahoma" w:hAnsi="Tahoma" w:cs="Tahoma"/>
          <w:b w:val="0"/>
          <w:sz w:val="18"/>
          <w:szCs w:val="18"/>
        </w:rPr>
        <w:t>Colpensiones</w:t>
      </w:r>
      <w:proofErr w:type="spellEnd"/>
      <w:r w:rsidRPr="003D36AB">
        <w:rPr>
          <w:rFonts w:ascii="Tahoma" w:hAnsi="Tahoma" w:cs="Tahoma"/>
          <w:b w:val="0"/>
          <w:sz w:val="18"/>
          <w:szCs w:val="18"/>
        </w:rPr>
        <w:t xml:space="preserve">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002F5C10">
        <w:rPr>
          <w:rFonts w:ascii="Tahoma" w:hAnsi="Tahoma" w:cs="Tahoma"/>
          <w:b w:val="0"/>
          <w:sz w:val="18"/>
          <w:szCs w:val="18"/>
        </w:rPr>
        <w:t xml:space="preserve"> </w:t>
      </w:r>
      <w:r w:rsidR="002F5C10">
        <w:rPr>
          <w:rFonts w:ascii="Tahoma" w:hAnsi="Tahoma" w:cs="Tahoma"/>
          <w:b w:val="0"/>
          <w:sz w:val="18"/>
          <w:szCs w:val="18"/>
        </w:rPr>
        <w:tab/>
        <w:t>Cuarto</w:t>
      </w:r>
      <w:r w:rsidRPr="003D36AB">
        <w:rPr>
          <w:rFonts w:ascii="Tahoma" w:hAnsi="Tahoma" w:cs="Tahoma"/>
          <w:b w:val="0"/>
          <w:sz w:val="18"/>
          <w:szCs w:val="18"/>
        </w:rPr>
        <w:t xml:space="preserve"> Laboral del Circuito de Pereira</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rsidR="009C50D0" w:rsidRPr="008D0070" w:rsidRDefault="009C50D0" w:rsidP="008D0070">
      <w:pPr>
        <w:pStyle w:val="Puest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rsidR="002814F0" w:rsidRPr="008D0070" w:rsidRDefault="00B309A4" w:rsidP="008D0070">
      <w:pPr>
        <w:pStyle w:val="Puesto"/>
        <w:spacing w:line="240" w:lineRule="auto"/>
        <w:ind w:left="1985"/>
        <w:jc w:val="both"/>
        <w:rPr>
          <w:rFonts w:ascii="Tahoma" w:hAnsi="Tahoma" w:cs="Tahoma"/>
          <w:b w:val="0"/>
          <w:sz w:val="18"/>
          <w:szCs w:val="18"/>
        </w:rPr>
      </w:pPr>
      <w:r w:rsidRPr="008D0070">
        <w:rPr>
          <w:rFonts w:ascii="Tahoma" w:hAnsi="Tahoma" w:cs="Tahoma"/>
          <w:b w:val="0"/>
          <w:sz w:val="18"/>
          <w:szCs w:val="18"/>
        </w:rPr>
        <w:t>PRINCIPIO DE LA CONDICIÓN MÁS BENEFICIOSA</w:t>
      </w:r>
      <w:r w:rsidR="00A3745E" w:rsidRPr="008D0070">
        <w:rPr>
          <w:rFonts w:ascii="Tahoma" w:hAnsi="Tahoma" w:cs="Tahoma"/>
          <w:b w:val="0"/>
          <w:sz w:val="18"/>
          <w:szCs w:val="18"/>
        </w:rPr>
        <w:t xml:space="preserve">/ </w:t>
      </w:r>
      <w:r w:rsidR="00005829" w:rsidRPr="008D0070">
        <w:rPr>
          <w:rFonts w:ascii="Tahoma" w:hAnsi="Tahoma" w:cs="Tahoma"/>
          <w:b w:val="0"/>
          <w:sz w:val="18"/>
          <w:szCs w:val="18"/>
        </w:rPr>
        <w:t xml:space="preserve">Cumplimiento de requisitos en </w:t>
      </w:r>
      <w:r w:rsidR="00A3745E" w:rsidRPr="008D0070">
        <w:rPr>
          <w:rFonts w:ascii="Tahoma" w:hAnsi="Tahoma" w:cs="Tahoma"/>
          <w:b w:val="0"/>
          <w:sz w:val="18"/>
          <w:szCs w:val="18"/>
        </w:rPr>
        <w:t>regímenes</w:t>
      </w:r>
      <w:r w:rsidR="00005829" w:rsidRPr="008D0070">
        <w:rPr>
          <w:rFonts w:ascii="Tahoma" w:hAnsi="Tahoma" w:cs="Tahoma"/>
          <w:b w:val="0"/>
          <w:sz w:val="18"/>
          <w:szCs w:val="18"/>
        </w:rPr>
        <w:t xml:space="preserve"> pensionales</w:t>
      </w:r>
      <w:r w:rsidR="00A3745E" w:rsidRPr="008D0070">
        <w:rPr>
          <w:rFonts w:ascii="Tahoma" w:hAnsi="Tahoma" w:cs="Tahoma"/>
          <w:b w:val="0"/>
          <w:sz w:val="18"/>
          <w:szCs w:val="18"/>
        </w:rPr>
        <w:t xml:space="preserve"> anteriores</w:t>
      </w:r>
    </w:p>
    <w:p w:rsidR="00B309A4" w:rsidRPr="008D0070" w:rsidRDefault="00B309A4" w:rsidP="008D0070">
      <w:pPr>
        <w:pStyle w:val="Puesto"/>
        <w:spacing w:line="240" w:lineRule="auto"/>
        <w:ind w:left="1985"/>
        <w:jc w:val="both"/>
        <w:rPr>
          <w:rFonts w:ascii="Tahoma" w:hAnsi="Tahoma" w:cs="Tahoma"/>
          <w:sz w:val="18"/>
          <w:szCs w:val="18"/>
          <w:u w:val="single"/>
        </w:rPr>
      </w:pPr>
    </w:p>
    <w:p w:rsidR="00B309A4" w:rsidRPr="008D0070" w:rsidRDefault="00B309A4" w:rsidP="008D0070">
      <w:pPr>
        <w:pStyle w:val="Puesto"/>
        <w:spacing w:line="240" w:lineRule="auto"/>
        <w:ind w:left="1985"/>
        <w:jc w:val="both"/>
        <w:rPr>
          <w:rFonts w:ascii="Tahoma" w:hAnsi="Tahoma" w:cs="Tahoma"/>
          <w:sz w:val="18"/>
          <w:szCs w:val="18"/>
        </w:rPr>
      </w:pPr>
      <w:r w:rsidRPr="008D0070">
        <w:rPr>
          <w:rFonts w:ascii="Tahoma" w:hAnsi="Tahoma" w:cs="Tahoma"/>
          <w:b w:val="0"/>
          <w:sz w:val="18"/>
          <w:szCs w:val="18"/>
        </w:rPr>
        <w:t>“</w:t>
      </w:r>
      <w:r w:rsidRPr="008D0070">
        <w:rPr>
          <w:rFonts w:ascii="Tahoma" w:hAnsi="Tahoma" w:cs="Tahoma"/>
          <w:b w:val="0"/>
          <w:sz w:val="18"/>
          <w:szCs w:val="18"/>
        </w:rPr>
        <w:t xml:space="preserve">Si bien se ha decantado suficientemente que la normatividad aplicable a la pensión de invalidez es la legislación vigente al momento del fallecimiento del afiliado, esta Sala retomó la posición según la cual, por excepción, es posible acudir a la legislación anterior con el fin de determinar la concesión o no de la gracia pensional, en aplicación del </w:t>
      </w:r>
      <w:r w:rsidR="00A3745E" w:rsidRPr="008D0070">
        <w:rPr>
          <w:rFonts w:ascii="Tahoma" w:hAnsi="Tahoma" w:cs="Tahoma"/>
          <w:b w:val="0"/>
          <w:i/>
          <w:sz w:val="18"/>
          <w:szCs w:val="18"/>
        </w:rPr>
        <w:t>`</w:t>
      </w:r>
      <w:r w:rsidRPr="008D0070">
        <w:rPr>
          <w:rFonts w:ascii="Tahoma" w:hAnsi="Tahoma" w:cs="Tahoma"/>
          <w:b w:val="0"/>
          <w:i/>
          <w:sz w:val="18"/>
          <w:szCs w:val="18"/>
        </w:rPr>
        <w:t>Principio de la condición más beneficiosa</w:t>
      </w:r>
      <w:r w:rsidR="00A3745E" w:rsidRPr="008D0070">
        <w:rPr>
          <w:rFonts w:ascii="Tahoma" w:hAnsi="Tahoma" w:cs="Tahoma"/>
          <w:b w:val="0"/>
          <w:sz w:val="18"/>
          <w:szCs w:val="18"/>
        </w:rPr>
        <w:t>´</w:t>
      </w:r>
      <w:r w:rsidRPr="008D0070">
        <w:rPr>
          <w:rFonts w:ascii="Tahoma" w:hAnsi="Tahoma" w:cs="Tahoma"/>
          <w:b w:val="0"/>
          <w:sz w:val="18"/>
          <w:szCs w:val="18"/>
        </w:rPr>
        <w:t>.</w:t>
      </w:r>
      <w:r w:rsidRPr="008D0070">
        <w:rPr>
          <w:rFonts w:ascii="Tahoma" w:hAnsi="Tahoma" w:cs="Tahoma"/>
          <w:b w:val="0"/>
          <w:sz w:val="18"/>
          <w:szCs w:val="18"/>
        </w:rPr>
        <w:t>”</w:t>
      </w:r>
    </w:p>
    <w:p w:rsidR="00B309A4" w:rsidRPr="008D0070" w:rsidRDefault="00B309A4" w:rsidP="008D0070">
      <w:pPr>
        <w:pStyle w:val="Puesto"/>
        <w:spacing w:line="240" w:lineRule="auto"/>
        <w:ind w:left="1985"/>
        <w:jc w:val="both"/>
        <w:rPr>
          <w:rFonts w:ascii="Tahoma" w:hAnsi="Tahoma" w:cs="Tahoma"/>
          <w:b w:val="0"/>
          <w:bCs/>
          <w:sz w:val="18"/>
          <w:szCs w:val="18"/>
        </w:rPr>
      </w:pPr>
    </w:p>
    <w:p w:rsidR="00EA0496" w:rsidRDefault="008D0070" w:rsidP="00202E9D">
      <w:pPr>
        <w:autoSpaceDE w:val="0"/>
        <w:autoSpaceDN w:val="0"/>
        <w:adjustRightInd w:val="0"/>
        <w:ind w:left="1985"/>
        <w:jc w:val="both"/>
        <w:rPr>
          <w:rFonts w:ascii="Tahoma" w:hAnsi="Tahoma" w:cs="Tahoma"/>
          <w:sz w:val="18"/>
          <w:szCs w:val="18"/>
        </w:rPr>
      </w:pPr>
      <w:r>
        <w:rPr>
          <w:rFonts w:ascii="Tahoma" w:hAnsi="Tahoma" w:cs="Tahoma"/>
          <w:sz w:val="18"/>
          <w:szCs w:val="18"/>
        </w:rPr>
        <w:t>“</w:t>
      </w:r>
      <w:r w:rsidR="00EA0496" w:rsidRPr="008D0070">
        <w:rPr>
          <w:rFonts w:ascii="Tahoma" w:hAnsi="Tahoma" w:cs="Tahoma"/>
          <w:sz w:val="18"/>
          <w:szCs w:val="18"/>
        </w:rPr>
        <w:t xml:space="preserve">Basta el análisis que expuesto precedentemente para apartarse del criterio que tuvo la A-quo para no aplicar el Acuerdo 049 de 1990, pues como se vio, la </w:t>
      </w:r>
      <w:r w:rsidR="00EA0496" w:rsidRPr="008D0070">
        <w:rPr>
          <w:rFonts w:ascii="Tahoma" w:hAnsi="Tahoma" w:cs="Tahoma"/>
          <w:i/>
          <w:sz w:val="18"/>
          <w:szCs w:val="18"/>
        </w:rPr>
        <w:t xml:space="preserve">ratio </w:t>
      </w:r>
      <w:proofErr w:type="spellStart"/>
      <w:r w:rsidR="00EA0496" w:rsidRPr="008D0070">
        <w:rPr>
          <w:rFonts w:ascii="Tahoma" w:hAnsi="Tahoma" w:cs="Tahoma"/>
          <w:i/>
          <w:sz w:val="18"/>
          <w:szCs w:val="18"/>
        </w:rPr>
        <w:t>decidendi</w:t>
      </w:r>
      <w:proofErr w:type="spellEnd"/>
      <w:r w:rsidR="00EA0496" w:rsidRPr="008D0070">
        <w:rPr>
          <w:rFonts w:ascii="Tahoma" w:hAnsi="Tahoma" w:cs="Tahoma"/>
          <w:sz w:val="18"/>
          <w:szCs w:val="18"/>
        </w:rPr>
        <w:t xml:space="preserve"> de la tesis de la mayoría de esta Sala se fundamenta en que el principio de la condición más beneficiosa no sólo se aplica por un cambio normativo sino también por un tránsito de sistema en materia de seguridad social en pensiones de invalidez y sobrevivientes, como sucedió con la sucesión que se dio del sistema establecido en el Acuerdo 049 de 1990 al adoptado por la Ley 100 de 1993.</w:t>
      </w:r>
      <w:r w:rsidR="00202E9D">
        <w:rPr>
          <w:rFonts w:ascii="Tahoma" w:hAnsi="Tahoma" w:cs="Tahoma"/>
          <w:sz w:val="18"/>
          <w:szCs w:val="18"/>
        </w:rPr>
        <w:t>”</w:t>
      </w:r>
    </w:p>
    <w:p w:rsidR="00202E9D" w:rsidRPr="008D0070" w:rsidRDefault="00202E9D" w:rsidP="00202E9D">
      <w:pPr>
        <w:autoSpaceDE w:val="0"/>
        <w:autoSpaceDN w:val="0"/>
        <w:adjustRightInd w:val="0"/>
        <w:ind w:left="1985"/>
        <w:jc w:val="both"/>
        <w:rPr>
          <w:rFonts w:ascii="Tahoma" w:hAnsi="Tahoma" w:cs="Tahoma"/>
          <w:sz w:val="18"/>
          <w:szCs w:val="18"/>
        </w:rPr>
      </w:pPr>
    </w:p>
    <w:p w:rsidR="00EA0496" w:rsidRPr="008D0070" w:rsidRDefault="00202E9D" w:rsidP="008D0070">
      <w:pPr>
        <w:autoSpaceDE w:val="0"/>
        <w:autoSpaceDN w:val="0"/>
        <w:adjustRightInd w:val="0"/>
        <w:ind w:left="1985"/>
        <w:jc w:val="both"/>
        <w:rPr>
          <w:rFonts w:ascii="Tahoma" w:hAnsi="Tahoma" w:cs="Tahoma"/>
          <w:sz w:val="18"/>
          <w:szCs w:val="18"/>
        </w:rPr>
      </w:pPr>
      <w:r>
        <w:rPr>
          <w:rFonts w:ascii="Tahoma" w:hAnsi="Tahoma" w:cs="Tahoma"/>
          <w:sz w:val="18"/>
          <w:szCs w:val="18"/>
        </w:rPr>
        <w:t>“</w:t>
      </w:r>
      <w:r w:rsidR="00EA0496" w:rsidRPr="008D0070">
        <w:rPr>
          <w:rFonts w:ascii="Tahoma" w:hAnsi="Tahoma" w:cs="Tahoma"/>
          <w:sz w:val="18"/>
          <w:szCs w:val="18"/>
        </w:rPr>
        <w:t>Así las cosas, teniendo en cuenta que el demandante cumplió con los requisitos exigidos en el anterior sistema de seguridad social, como son: el de contar con una pérdida de capacidad laboral superior al 50% -58.52%- y tener más de 300 semanas cotizadas con ante</w:t>
      </w:r>
      <w:r w:rsidR="004611DE">
        <w:rPr>
          <w:rFonts w:ascii="Tahoma" w:hAnsi="Tahoma" w:cs="Tahoma"/>
          <w:sz w:val="18"/>
          <w:szCs w:val="18"/>
        </w:rPr>
        <w:t>rioridad al 1º de abril de 1994</w:t>
      </w:r>
      <w:r w:rsidR="00EA0496" w:rsidRPr="008D0070">
        <w:rPr>
          <w:rFonts w:ascii="Tahoma" w:hAnsi="Tahoma" w:cs="Tahoma"/>
          <w:sz w:val="18"/>
          <w:szCs w:val="18"/>
        </w:rPr>
        <w:t xml:space="preserve"> </w:t>
      </w:r>
      <w:r w:rsidR="004611DE">
        <w:rPr>
          <w:rFonts w:ascii="Tahoma" w:hAnsi="Tahoma" w:cs="Tahoma"/>
          <w:sz w:val="18"/>
          <w:szCs w:val="18"/>
        </w:rPr>
        <w:t xml:space="preserve">(…) </w:t>
      </w:r>
      <w:r w:rsidR="00EA0496" w:rsidRPr="008D0070">
        <w:rPr>
          <w:rFonts w:ascii="Tahoma" w:hAnsi="Tahoma" w:cs="Tahoma"/>
          <w:sz w:val="18"/>
          <w:szCs w:val="18"/>
        </w:rPr>
        <w:t>considera esta Sala que, acudiendo al principio de la condición más beneficiosa, el cotizante tiene acreditado el derecho a la pensión de invalidez, conforme a las voces del artículo 6º del Acuerdo 049 de 1990 aprobado por el Decreto 758 de la misma calenda.</w:t>
      </w:r>
      <w:r w:rsidR="00AA2A72" w:rsidRPr="008D0070">
        <w:rPr>
          <w:rFonts w:ascii="Tahoma" w:hAnsi="Tahoma" w:cs="Tahoma"/>
          <w:sz w:val="18"/>
          <w:szCs w:val="18"/>
        </w:rPr>
        <w:t>”</w:t>
      </w:r>
    </w:p>
    <w:p w:rsidR="00AA2A72" w:rsidRPr="004611DE" w:rsidRDefault="00AA2A72" w:rsidP="008D0070">
      <w:pPr>
        <w:autoSpaceDE w:val="0"/>
        <w:autoSpaceDN w:val="0"/>
        <w:adjustRightInd w:val="0"/>
        <w:ind w:left="1985"/>
        <w:jc w:val="both"/>
        <w:rPr>
          <w:rFonts w:ascii="Tahoma" w:hAnsi="Tahoma" w:cs="Tahoma"/>
          <w:sz w:val="17"/>
          <w:szCs w:val="17"/>
        </w:rPr>
      </w:pPr>
    </w:p>
    <w:p w:rsidR="00AA2A72" w:rsidRPr="004611DE" w:rsidRDefault="00AA2A72" w:rsidP="008D0070">
      <w:pPr>
        <w:ind w:left="1985"/>
        <w:jc w:val="both"/>
        <w:rPr>
          <w:rFonts w:ascii="Tahoma" w:hAnsi="Tahoma" w:cs="Tahoma"/>
          <w:spacing w:val="-2"/>
          <w:sz w:val="17"/>
          <w:szCs w:val="17"/>
        </w:rPr>
      </w:pPr>
      <w:r w:rsidRPr="004611DE">
        <w:rPr>
          <w:rFonts w:ascii="Tahoma" w:hAnsi="Tahoma" w:cs="Tahoma"/>
          <w:spacing w:val="-2"/>
          <w:sz w:val="17"/>
          <w:szCs w:val="17"/>
        </w:rPr>
        <w:t>Citas: Corte Constitucional, sentencia</w:t>
      </w:r>
      <w:r w:rsidR="00A56321" w:rsidRPr="004611DE">
        <w:rPr>
          <w:rFonts w:ascii="Tahoma" w:hAnsi="Tahoma" w:cs="Tahoma"/>
          <w:spacing w:val="-2"/>
          <w:sz w:val="17"/>
          <w:szCs w:val="17"/>
        </w:rPr>
        <w:t xml:space="preserve"> </w:t>
      </w:r>
      <w:r w:rsidRPr="004611DE">
        <w:rPr>
          <w:rFonts w:ascii="Tahoma" w:hAnsi="Tahoma" w:cs="Tahoma"/>
          <w:spacing w:val="-2"/>
          <w:sz w:val="17"/>
          <w:szCs w:val="17"/>
        </w:rPr>
        <w:t>T-566 de 2014:</w:t>
      </w:r>
      <w:r w:rsidRPr="004611DE">
        <w:rPr>
          <w:rFonts w:ascii="Tahoma" w:hAnsi="Tahoma" w:cs="Tahoma"/>
          <w:sz w:val="17"/>
          <w:szCs w:val="17"/>
        </w:rPr>
        <w:t xml:space="preserve"> T-</w:t>
      </w:r>
      <w:smartTag w:uri="urn:schemas-microsoft-com:office:smarttags" w:element="metricconverter">
        <w:smartTagPr>
          <w:attr w:name="ProductID" w:val="062 A"/>
        </w:smartTagPr>
        <w:r w:rsidRPr="004611DE">
          <w:rPr>
            <w:rFonts w:ascii="Tahoma" w:hAnsi="Tahoma" w:cs="Tahoma"/>
            <w:sz w:val="17"/>
            <w:szCs w:val="17"/>
          </w:rPr>
          <w:t>062</w:t>
        </w:r>
      </w:smartTag>
      <w:r w:rsidRPr="004611DE">
        <w:rPr>
          <w:rFonts w:ascii="Tahoma" w:hAnsi="Tahoma" w:cs="Tahoma"/>
          <w:sz w:val="17"/>
          <w:szCs w:val="17"/>
        </w:rPr>
        <w:t xml:space="preserve"> A del 4 de febrero de 2011</w:t>
      </w:r>
    </w:p>
    <w:p w:rsidR="00AA2A72" w:rsidRDefault="00AA2A72" w:rsidP="008D0070">
      <w:pPr>
        <w:autoSpaceDE w:val="0"/>
        <w:autoSpaceDN w:val="0"/>
        <w:adjustRightInd w:val="0"/>
        <w:ind w:left="1985"/>
        <w:jc w:val="both"/>
        <w:rPr>
          <w:rFonts w:ascii="Tahoma" w:hAnsi="Tahoma" w:cs="Tahoma"/>
        </w:rPr>
      </w:pPr>
    </w:p>
    <w:p w:rsidR="009C50D0" w:rsidRPr="003D36AB" w:rsidRDefault="009C50D0" w:rsidP="00871F9F">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871F9F">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SALA LABORAL</w:t>
      </w:r>
    </w:p>
    <w:p w:rsidR="009C50D0" w:rsidRPr="003D36AB" w:rsidRDefault="009C50D0" w:rsidP="00871F9F">
      <w:pPr>
        <w:spacing w:line="276" w:lineRule="auto"/>
        <w:jc w:val="center"/>
        <w:rPr>
          <w:rFonts w:ascii="Tahoma" w:hAnsi="Tahoma" w:cs="Tahoma"/>
          <w:bCs/>
        </w:rPr>
      </w:pPr>
    </w:p>
    <w:p w:rsidR="009C50D0" w:rsidRPr="003D36AB" w:rsidRDefault="009C50D0" w:rsidP="00871F9F">
      <w:pPr>
        <w:spacing w:line="276" w:lineRule="auto"/>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rsidR="009C50D0" w:rsidRPr="003D36AB" w:rsidRDefault="009C50D0" w:rsidP="00871F9F">
      <w:pPr>
        <w:spacing w:line="276" w:lineRule="auto"/>
        <w:jc w:val="center"/>
        <w:rPr>
          <w:rFonts w:ascii="Tahoma" w:hAnsi="Tahoma" w:cs="Tahoma"/>
          <w:b/>
        </w:rPr>
      </w:pPr>
    </w:p>
    <w:p w:rsidR="009C50D0" w:rsidRPr="003D36AB" w:rsidRDefault="009C50D0" w:rsidP="00871F9F">
      <w:pPr>
        <w:spacing w:line="276" w:lineRule="auto"/>
        <w:jc w:val="center"/>
        <w:rPr>
          <w:rFonts w:ascii="Tahoma" w:hAnsi="Tahoma" w:cs="Tahoma"/>
          <w:b/>
        </w:rPr>
      </w:pPr>
      <w:r w:rsidRPr="003D36AB">
        <w:rPr>
          <w:rFonts w:ascii="Tahoma" w:hAnsi="Tahoma" w:cs="Tahoma"/>
          <w:b/>
        </w:rPr>
        <w:t>Acta No. ____</w:t>
      </w:r>
    </w:p>
    <w:p w:rsidR="009C50D0" w:rsidRPr="003D36AB" w:rsidRDefault="009C50D0" w:rsidP="00871F9F">
      <w:pPr>
        <w:spacing w:line="276" w:lineRule="auto"/>
        <w:jc w:val="center"/>
        <w:rPr>
          <w:rFonts w:ascii="Tahoma" w:hAnsi="Tahoma" w:cs="Tahoma"/>
          <w:b/>
        </w:rPr>
      </w:pPr>
      <w:r w:rsidRPr="003D36AB">
        <w:rPr>
          <w:rFonts w:ascii="Tahoma" w:hAnsi="Tahoma" w:cs="Tahoma"/>
          <w:b/>
        </w:rPr>
        <w:t>(</w:t>
      </w:r>
      <w:r w:rsidR="002F5C10">
        <w:rPr>
          <w:rFonts w:ascii="Tahoma" w:hAnsi="Tahoma" w:cs="Tahoma"/>
          <w:b/>
        </w:rPr>
        <w:t xml:space="preserve">Febrero </w:t>
      </w:r>
      <w:r w:rsidR="000954F5">
        <w:rPr>
          <w:rFonts w:ascii="Tahoma" w:hAnsi="Tahoma" w:cs="Tahoma"/>
          <w:b/>
        </w:rPr>
        <w:t>5</w:t>
      </w:r>
      <w:r w:rsidRPr="003D36AB">
        <w:rPr>
          <w:rFonts w:ascii="Tahoma" w:hAnsi="Tahoma" w:cs="Tahoma"/>
          <w:b/>
        </w:rPr>
        <w:t xml:space="preserve"> de 201</w:t>
      </w:r>
      <w:r w:rsidR="000954F5">
        <w:rPr>
          <w:rFonts w:ascii="Tahoma" w:hAnsi="Tahoma" w:cs="Tahoma"/>
          <w:b/>
        </w:rPr>
        <w:t>6</w:t>
      </w:r>
      <w:r w:rsidRPr="003D36AB">
        <w:rPr>
          <w:rFonts w:ascii="Tahoma" w:hAnsi="Tahoma" w:cs="Tahoma"/>
          <w:b/>
        </w:rPr>
        <w:t>)</w:t>
      </w:r>
    </w:p>
    <w:p w:rsidR="009C50D0" w:rsidRPr="003D36AB" w:rsidRDefault="009C50D0" w:rsidP="00871F9F">
      <w:pPr>
        <w:spacing w:line="276" w:lineRule="auto"/>
        <w:jc w:val="both"/>
        <w:rPr>
          <w:rFonts w:ascii="Tahoma" w:hAnsi="Tahoma" w:cs="Tahoma"/>
        </w:rPr>
      </w:pPr>
    </w:p>
    <w:p w:rsidR="009C50D0" w:rsidRPr="003D36AB" w:rsidRDefault="009C50D0" w:rsidP="00871F9F">
      <w:pPr>
        <w:pStyle w:val="Ttulo5"/>
        <w:spacing w:line="276" w:lineRule="auto"/>
        <w:ind w:firstLine="0"/>
        <w:jc w:val="center"/>
        <w:rPr>
          <w:rFonts w:ascii="Tahoma" w:hAnsi="Tahoma" w:cs="Tahoma"/>
        </w:rPr>
      </w:pPr>
      <w:r w:rsidRPr="003D36AB">
        <w:rPr>
          <w:rFonts w:ascii="Tahoma" w:hAnsi="Tahoma" w:cs="Tahoma"/>
        </w:rPr>
        <w:t>Sistema oral - Audiencia de juzgamiento</w:t>
      </w:r>
    </w:p>
    <w:p w:rsidR="009C50D0" w:rsidRPr="003D36AB" w:rsidRDefault="009C50D0" w:rsidP="00871F9F">
      <w:pPr>
        <w:spacing w:line="276" w:lineRule="auto"/>
        <w:jc w:val="both"/>
        <w:rPr>
          <w:rFonts w:ascii="Tahoma" w:hAnsi="Tahoma" w:cs="Tahoma"/>
          <w:lang w:val="es-ES_tradnl"/>
        </w:rPr>
      </w:pPr>
      <w:r w:rsidRPr="003D36AB">
        <w:rPr>
          <w:rFonts w:ascii="Tahoma" w:hAnsi="Tahoma" w:cs="Tahoma"/>
          <w:b/>
        </w:rPr>
        <w:tab/>
      </w:r>
    </w:p>
    <w:p w:rsidR="009C50D0" w:rsidRPr="003D36AB" w:rsidRDefault="00D4443D" w:rsidP="00871F9F">
      <w:pPr>
        <w:spacing w:line="276" w:lineRule="auto"/>
        <w:ind w:firstLine="708"/>
        <w:jc w:val="both"/>
        <w:rPr>
          <w:rFonts w:ascii="Tahoma" w:hAnsi="Tahoma" w:cs="Tahoma"/>
          <w:lang w:val="es-ES_tradnl"/>
        </w:rPr>
      </w:pPr>
      <w:r>
        <w:rPr>
          <w:rFonts w:ascii="Tahoma" w:hAnsi="Tahoma" w:cs="Tahoma"/>
          <w:lang w:val="es-ES_tradnl"/>
        </w:rPr>
        <w:t xml:space="preserve">Buenos días, siendo las </w:t>
      </w:r>
      <w:r w:rsidRPr="000954F5">
        <w:rPr>
          <w:rFonts w:ascii="Tahoma" w:hAnsi="Tahoma" w:cs="Tahoma"/>
          <w:lang w:val="es-ES_tradnl"/>
        </w:rPr>
        <w:t>10</w:t>
      </w:r>
      <w:r w:rsidR="009C50D0" w:rsidRPr="000954F5">
        <w:rPr>
          <w:rFonts w:ascii="Tahoma" w:hAnsi="Tahoma" w:cs="Tahoma"/>
          <w:lang w:val="es-ES_tradnl"/>
        </w:rPr>
        <w:t>:</w:t>
      </w:r>
      <w:r w:rsidR="000954F5" w:rsidRPr="000954F5">
        <w:rPr>
          <w:rFonts w:ascii="Tahoma" w:hAnsi="Tahoma" w:cs="Tahoma"/>
          <w:lang w:val="es-ES_tradnl"/>
        </w:rPr>
        <w:t>20</w:t>
      </w:r>
      <w:r w:rsidR="009C50D0" w:rsidRPr="000954F5">
        <w:rPr>
          <w:rFonts w:ascii="Tahoma" w:hAnsi="Tahoma" w:cs="Tahoma"/>
          <w:lang w:val="es-ES_tradnl"/>
        </w:rPr>
        <w:t xml:space="preserve"> a.m.</w:t>
      </w:r>
      <w:r w:rsidR="009C50D0" w:rsidRPr="003D36AB">
        <w:rPr>
          <w:rFonts w:ascii="Tahoma" w:hAnsi="Tahoma" w:cs="Tahoma"/>
          <w:lang w:val="es-ES_tradnl"/>
        </w:rPr>
        <w:t xml:space="preserve"> de hoy, viernes </w:t>
      </w:r>
      <w:r w:rsidR="000954F5">
        <w:rPr>
          <w:rFonts w:ascii="Tahoma" w:hAnsi="Tahoma" w:cs="Tahoma"/>
          <w:lang w:val="es-ES_tradnl"/>
        </w:rPr>
        <w:t>5</w:t>
      </w:r>
      <w:r w:rsidR="002F5C10">
        <w:rPr>
          <w:rFonts w:ascii="Tahoma" w:hAnsi="Tahoma" w:cs="Tahoma"/>
          <w:lang w:val="es-ES_tradnl"/>
        </w:rPr>
        <w:t xml:space="preserve"> de febrero</w:t>
      </w:r>
      <w:r w:rsidR="009C50D0" w:rsidRPr="003D36AB">
        <w:rPr>
          <w:rFonts w:ascii="Tahoma" w:hAnsi="Tahoma" w:cs="Tahoma"/>
          <w:lang w:val="es-ES_tradnl"/>
        </w:rPr>
        <w:t xml:space="preserve"> de 201</w:t>
      </w:r>
      <w:r w:rsidR="000954F5">
        <w:rPr>
          <w:rFonts w:ascii="Tahoma" w:hAnsi="Tahoma" w:cs="Tahoma"/>
          <w:lang w:val="es-ES_tradnl"/>
        </w:rPr>
        <w:t>6</w:t>
      </w:r>
      <w:r w:rsidR="009C50D0" w:rsidRPr="003D36AB">
        <w:rPr>
          <w:rFonts w:ascii="Tahoma" w:hAnsi="Tahoma" w:cs="Tahoma"/>
          <w:lang w:val="es-ES_tradnl"/>
        </w:rPr>
        <w:t xml:space="preserve">, la Sala de Decisión Laboral del Tribunal Superior de Pereira se constituye en audiencia pública de juzgamiento en el proceso ordinario laboral instaurado por </w:t>
      </w:r>
      <w:r w:rsidR="002F5C10">
        <w:rPr>
          <w:rFonts w:ascii="Tahoma" w:hAnsi="Tahoma" w:cs="Tahoma"/>
          <w:b/>
          <w:lang w:val="es-ES_tradnl"/>
        </w:rPr>
        <w:t>José Fernando Cardona Velásquez</w:t>
      </w:r>
      <w:r w:rsidR="009C50D0" w:rsidRPr="003D36AB">
        <w:rPr>
          <w:rFonts w:ascii="Tahoma" w:hAnsi="Tahoma" w:cs="Tahoma"/>
          <w:b/>
          <w:lang w:val="es-ES_tradnl"/>
        </w:rPr>
        <w:t xml:space="preserve"> </w:t>
      </w:r>
      <w:r w:rsidR="009C50D0" w:rsidRPr="003D36AB">
        <w:rPr>
          <w:rFonts w:ascii="Tahoma" w:hAnsi="Tahoma" w:cs="Tahoma"/>
          <w:lang w:val="es-ES_tradnl"/>
        </w:rPr>
        <w:t xml:space="preserve">en contra de la </w:t>
      </w:r>
      <w:r w:rsidR="009C50D0" w:rsidRPr="003D36AB">
        <w:rPr>
          <w:rFonts w:ascii="Tahoma" w:hAnsi="Tahoma" w:cs="Tahoma"/>
          <w:b/>
          <w:lang w:val="es-ES_tradnl"/>
        </w:rPr>
        <w:t>Administradora Colombiana de Pensiones “</w:t>
      </w:r>
      <w:proofErr w:type="spellStart"/>
      <w:r w:rsidR="009C50D0" w:rsidRPr="003D36AB">
        <w:rPr>
          <w:rFonts w:ascii="Tahoma" w:hAnsi="Tahoma" w:cs="Tahoma"/>
          <w:b/>
          <w:lang w:val="es-ES_tradnl"/>
        </w:rPr>
        <w:t>Colpensiones</w:t>
      </w:r>
      <w:proofErr w:type="spellEnd"/>
      <w:r w:rsidR="009C50D0" w:rsidRPr="003D36AB">
        <w:rPr>
          <w:rFonts w:ascii="Tahoma" w:hAnsi="Tahoma" w:cs="Tahoma"/>
          <w:b/>
          <w:lang w:val="es-ES_tradnl"/>
        </w:rPr>
        <w:t>”</w:t>
      </w:r>
      <w:r w:rsidR="009C50D0" w:rsidRPr="003D36AB">
        <w:rPr>
          <w:rFonts w:ascii="Tahoma" w:hAnsi="Tahoma" w:cs="Tahoma"/>
          <w:lang w:val="es-ES_tradnl"/>
        </w:rPr>
        <w:t>.</w:t>
      </w:r>
    </w:p>
    <w:p w:rsidR="009C50D0" w:rsidRPr="003D36AB" w:rsidRDefault="009C50D0" w:rsidP="00871F9F">
      <w:pPr>
        <w:spacing w:line="276" w:lineRule="auto"/>
        <w:ind w:firstLine="1122"/>
        <w:jc w:val="both"/>
        <w:rPr>
          <w:rFonts w:ascii="Tahoma" w:hAnsi="Tahoma" w:cs="Tahoma"/>
          <w:lang w:val="es-ES_tradnl"/>
        </w:rPr>
      </w:pPr>
    </w:p>
    <w:p w:rsidR="009C50D0" w:rsidRPr="003D36AB" w:rsidRDefault="009C50D0" w:rsidP="00871F9F">
      <w:pPr>
        <w:spacing w:line="276" w:lineRule="auto"/>
        <w:ind w:firstLine="708"/>
        <w:jc w:val="both"/>
        <w:rPr>
          <w:rFonts w:ascii="Tahoma" w:hAnsi="Tahoma" w:cs="Tahoma"/>
          <w:lang w:val="es-ES_tradnl"/>
        </w:rPr>
      </w:pPr>
      <w:r w:rsidRPr="003D36AB">
        <w:rPr>
          <w:rFonts w:ascii="Tahoma" w:hAnsi="Tahoma" w:cs="Tahoma"/>
          <w:lang w:val="es-ES_tradnl"/>
        </w:rPr>
        <w:t>Para el efecto, se verifica la asistencia de las partes a la presente diligencia: Por la parte demandante… Por la demandada…</w:t>
      </w:r>
    </w:p>
    <w:p w:rsidR="009C50D0" w:rsidRPr="003D36AB" w:rsidRDefault="009C50D0" w:rsidP="00871F9F">
      <w:pPr>
        <w:spacing w:line="276" w:lineRule="auto"/>
        <w:ind w:firstLine="1122"/>
        <w:jc w:val="both"/>
        <w:rPr>
          <w:rFonts w:ascii="Tahoma" w:hAnsi="Tahoma" w:cs="Tahoma"/>
          <w:lang w:val="es-ES_tradnl"/>
        </w:rPr>
      </w:pPr>
    </w:p>
    <w:p w:rsidR="009C50D0" w:rsidRPr="003D36AB" w:rsidRDefault="009C50D0" w:rsidP="00871F9F">
      <w:pPr>
        <w:widowControl w:val="0"/>
        <w:autoSpaceDE w:val="0"/>
        <w:autoSpaceDN w:val="0"/>
        <w:adjustRightInd w:val="0"/>
        <w:spacing w:line="276" w:lineRule="auto"/>
        <w:jc w:val="center"/>
        <w:rPr>
          <w:rFonts w:ascii="Tahoma" w:hAnsi="Tahoma" w:cs="Tahoma"/>
          <w:b/>
        </w:rPr>
      </w:pPr>
      <w:r w:rsidRPr="003D36AB">
        <w:rPr>
          <w:rFonts w:ascii="Tahoma" w:hAnsi="Tahoma" w:cs="Tahoma"/>
          <w:b/>
        </w:rPr>
        <w:t>Alegatos de conclusión</w:t>
      </w:r>
    </w:p>
    <w:p w:rsidR="009C50D0" w:rsidRPr="003D36AB" w:rsidRDefault="009C50D0" w:rsidP="00871F9F">
      <w:pPr>
        <w:widowControl w:val="0"/>
        <w:autoSpaceDE w:val="0"/>
        <w:autoSpaceDN w:val="0"/>
        <w:adjustRightInd w:val="0"/>
        <w:spacing w:line="276" w:lineRule="auto"/>
        <w:jc w:val="both"/>
        <w:rPr>
          <w:rFonts w:ascii="Tahoma" w:hAnsi="Tahoma" w:cs="Tahoma"/>
        </w:rPr>
      </w:pPr>
    </w:p>
    <w:p w:rsidR="009C50D0" w:rsidRPr="003D36AB" w:rsidRDefault="009C50D0" w:rsidP="00871F9F">
      <w:pPr>
        <w:spacing w:line="276" w:lineRule="auto"/>
        <w:ind w:firstLine="708"/>
        <w:jc w:val="both"/>
        <w:rPr>
          <w:rFonts w:ascii="Tahoma" w:hAnsi="Tahoma" w:cs="Tahoma"/>
          <w:lang w:val="es-ES_tradnl"/>
        </w:rPr>
      </w:pPr>
      <w:r w:rsidRPr="003D36AB">
        <w:rPr>
          <w:rFonts w:ascii="Tahoma" w:hAnsi="Tahoma" w:cs="Tahoma"/>
          <w:lang w:val="es-ES_tradnl"/>
        </w:rPr>
        <w:t xml:space="preserve">De conformidad con el artículo 82 del </w:t>
      </w:r>
      <w:proofErr w:type="spellStart"/>
      <w:r w:rsidRPr="003D36AB">
        <w:rPr>
          <w:rFonts w:ascii="Tahoma" w:hAnsi="Tahoma" w:cs="Tahoma"/>
          <w:lang w:val="es-ES_tradnl"/>
        </w:rPr>
        <w:t>C.P.T</w:t>
      </w:r>
      <w:proofErr w:type="spellEnd"/>
      <w:r w:rsidRPr="003D36AB">
        <w:rPr>
          <w:rFonts w:ascii="Tahoma" w:hAnsi="Tahoma" w:cs="Tahoma"/>
          <w:lang w:val="es-ES_tradnl"/>
        </w:rPr>
        <w:t xml:space="preserve"> y de la s.s., modificado por el artículo 13 de la Ley 1149 de 2007, se concede el uso de la palabra a las partes para que presenten sus alegatos de conclusión. Por la parte demandante… Por la parte demandada…</w:t>
      </w:r>
    </w:p>
    <w:p w:rsidR="009C50D0" w:rsidRPr="003D36AB" w:rsidRDefault="009C50D0" w:rsidP="00871F9F">
      <w:pPr>
        <w:spacing w:line="276" w:lineRule="auto"/>
        <w:ind w:firstLine="708"/>
        <w:jc w:val="both"/>
        <w:rPr>
          <w:rFonts w:ascii="Tahoma" w:hAnsi="Tahoma" w:cs="Tahoma"/>
          <w:lang w:val="es-ES_tradnl"/>
        </w:rPr>
      </w:pPr>
    </w:p>
    <w:p w:rsidR="009C50D0" w:rsidRPr="003D36AB" w:rsidRDefault="009C50D0" w:rsidP="00871F9F">
      <w:pPr>
        <w:widowControl w:val="0"/>
        <w:autoSpaceDE w:val="0"/>
        <w:autoSpaceDN w:val="0"/>
        <w:adjustRightInd w:val="0"/>
        <w:spacing w:line="276" w:lineRule="auto"/>
        <w:jc w:val="center"/>
        <w:rPr>
          <w:rFonts w:ascii="Tahoma" w:hAnsi="Tahoma" w:cs="Tahoma"/>
          <w:b/>
        </w:rPr>
      </w:pPr>
      <w:r w:rsidRPr="003D36AB">
        <w:rPr>
          <w:rFonts w:ascii="Tahoma" w:hAnsi="Tahoma" w:cs="Tahoma"/>
          <w:b/>
        </w:rPr>
        <w:t>SENTENCIA</w:t>
      </w:r>
    </w:p>
    <w:p w:rsidR="009C50D0" w:rsidRPr="003D36AB" w:rsidRDefault="009C50D0" w:rsidP="00871F9F">
      <w:pPr>
        <w:widowControl w:val="0"/>
        <w:autoSpaceDE w:val="0"/>
        <w:autoSpaceDN w:val="0"/>
        <w:adjustRightInd w:val="0"/>
        <w:spacing w:line="276" w:lineRule="auto"/>
        <w:jc w:val="center"/>
        <w:rPr>
          <w:rFonts w:ascii="Tahoma" w:hAnsi="Tahoma" w:cs="Tahoma"/>
          <w:b/>
        </w:rPr>
      </w:pPr>
    </w:p>
    <w:p w:rsidR="009C50D0" w:rsidRPr="003D36AB" w:rsidRDefault="009C50D0" w:rsidP="00871F9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lastRenderedPageBreak/>
        <w:t xml:space="preserve">Como quiera que los fundamentos de los argumentos expuestos en las alegaciones se tuvieron en cuenta en la discusión del proyecto, procede la Sala a resolver </w:t>
      </w:r>
      <w:r w:rsidR="002F5C10">
        <w:rPr>
          <w:rFonts w:ascii="Tahoma" w:hAnsi="Tahoma" w:cs="Tahoma"/>
        </w:rPr>
        <w:t>l</w:t>
      </w:r>
      <w:r w:rsidR="000954F5">
        <w:rPr>
          <w:rFonts w:ascii="Tahoma" w:hAnsi="Tahoma" w:cs="Tahoma"/>
        </w:rPr>
        <w:t xml:space="preserve">a </w:t>
      </w:r>
      <w:r w:rsidR="002F5C10">
        <w:rPr>
          <w:rFonts w:ascii="Tahoma" w:hAnsi="Tahoma" w:cs="Tahoma"/>
        </w:rPr>
        <w:t>apelación propuesta por la parte demandante contra</w:t>
      </w:r>
      <w:r w:rsidRPr="003D36AB">
        <w:rPr>
          <w:rFonts w:ascii="Tahoma" w:hAnsi="Tahoma" w:cs="Tahoma"/>
        </w:rPr>
        <w:t xml:space="preserve"> la sentenci</w:t>
      </w:r>
      <w:r w:rsidR="002F5C10">
        <w:rPr>
          <w:rFonts w:ascii="Tahoma" w:hAnsi="Tahoma" w:cs="Tahoma"/>
        </w:rPr>
        <w:t>a emitida por el Juzgado Cuarto</w:t>
      </w:r>
      <w:r w:rsidRPr="003D36AB">
        <w:rPr>
          <w:rFonts w:ascii="Tahoma" w:hAnsi="Tahoma" w:cs="Tahoma"/>
        </w:rPr>
        <w:t xml:space="preserve"> Labo</w:t>
      </w:r>
      <w:r w:rsidR="002F5C10">
        <w:rPr>
          <w:rFonts w:ascii="Tahoma" w:hAnsi="Tahoma" w:cs="Tahoma"/>
        </w:rPr>
        <w:t>ral del Circuito de Pereira el 24 de noviembre de 2014</w:t>
      </w:r>
      <w:r w:rsidRPr="003D36AB">
        <w:rPr>
          <w:rFonts w:ascii="Tahoma" w:hAnsi="Tahoma" w:cs="Tahoma"/>
        </w:rPr>
        <w:t xml:space="preserve">, dentro del proceso ordinario laboral reseñado con anterioridad. </w:t>
      </w:r>
    </w:p>
    <w:p w:rsidR="0049366E" w:rsidRDefault="0049366E" w:rsidP="00871F9F">
      <w:pPr>
        <w:widowControl w:val="0"/>
        <w:autoSpaceDE w:val="0"/>
        <w:autoSpaceDN w:val="0"/>
        <w:adjustRightInd w:val="0"/>
        <w:spacing w:line="276" w:lineRule="auto"/>
        <w:ind w:firstLine="708"/>
        <w:jc w:val="both"/>
        <w:rPr>
          <w:rFonts w:ascii="Tahoma" w:hAnsi="Tahoma" w:cs="Tahoma"/>
        </w:rPr>
      </w:pPr>
    </w:p>
    <w:p w:rsidR="001C0A43" w:rsidRDefault="001C0A43" w:rsidP="00871F9F">
      <w:pPr>
        <w:widowControl w:val="0"/>
        <w:autoSpaceDE w:val="0"/>
        <w:autoSpaceDN w:val="0"/>
        <w:adjustRightInd w:val="0"/>
        <w:spacing w:line="276" w:lineRule="auto"/>
        <w:ind w:firstLine="708"/>
        <w:jc w:val="both"/>
        <w:rPr>
          <w:rFonts w:ascii="Tahoma" w:hAnsi="Tahoma" w:cs="Tahoma"/>
        </w:rPr>
      </w:pPr>
    </w:p>
    <w:p w:rsidR="001C0A43" w:rsidRPr="003D36AB" w:rsidRDefault="001C0A43" w:rsidP="00871F9F">
      <w:pPr>
        <w:widowControl w:val="0"/>
        <w:autoSpaceDE w:val="0"/>
        <w:autoSpaceDN w:val="0"/>
        <w:adjustRightInd w:val="0"/>
        <w:spacing w:line="276" w:lineRule="auto"/>
        <w:ind w:firstLine="708"/>
        <w:jc w:val="both"/>
        <w:rPr>
          <w:rFonts w:ascii="Tahoma" w:hAnsi="Tahoma" w:cs="Tahoma"/>
        </w:rPr>
      </w:pPr>
    </w:p>
    <w:p w:rsidR="009C50D0" w:rsidRPr="003D36AB" w:rsidRDefault="009C50D0" w:rsidP="00871F9F">
      <w:pPr>
        <w:widowControl w:val="0"/>
        <w:autoSpaceDE w:val="0"/>
        <w:autoSpaceDN w:val="0"/>
        <w:adjustRightInd w:val="0"/>
        <w:spacing w:line="276" w:lineRule="auto"/>
        <w:jc w:val="center"/>
        <w:rPr>
          <w:rFonts w:ascii="Tahoma" w:hAnsi="Tahoma" w:cs="Tahoma"/>
          <w:b/>
          <w:bCs/>
        </w:rPr>
      </w:pPr>
      <w:r w:rsidRPr="003D36AB">
        <w:rPr>
          <w:rFonts w:ascii="Tahoma" w:hAnsi="Tahoma" w:cs="Tahoma"/>
          <w:b/>
          <w:bCs/>
        </w:rPr>
        <w:t>Problema jurídico por resolver</w:t>
      </w:r>
    </w:p>
    <w:p w:rsidR="009C50D0" w:rsidRPr="003D36AB" w:rsidRDefault="009C50D0" w:rsidP="00871F9F">
      <w:pPr>
        <w:widowControl w:val="0"/>
        <w:tabs>
          <w:tab w:val="left" w:pos="748"/>
        </w:tabs>
        <w:autoSpaceDE w:val="0"/>
        <w:autoSpaceDN w:val="0"/>
        <w:adjustRightInd w:val="0"/>
        <w:spacing w:line="276" w:lineRule="auto"/>
        <w:ind w:left="748"/>
        <w:jc w:val="center"/>
        <w:rPr>
          <w:rFonts w:ascii="Tahoma" w:hAnsi="Tahoma" w:cs="Tahoma"/>
          <w:b/>
          <w:bCs/>
        </w:rPr>
      </w:pPr>
    </w:p>
    <w:p w:rsidR="009C50D0" w:rsidRPr="003D36AB" w:rsidRDefault="009C50D0" w:rsidP="00871F9F">
      <w:pPr>
        <w:tabs>
          <w:tab w:val="left" w:pos="567"/>
        </w:tabs>
        <w:spacing w:line="276" w:lineRule="auto"/>
        <w:jc w:val="both"/>
        <w:rPr>
          <w:rFonts w:ascii="Tahoma" w:hAnsi="Tahoma" w:cs="Tahoma"/>
        </w:rPr>
      </w:pPr>
      <w:r w:rsidRPr="003D36AB">
        <w:rPr>
          <w:rFonts w:ascii="Tahoma" w:hAnsi="Tahoma" w:cs="Tahoma"/>
        </w:rPr>
        <w:tab/>
      </w:r>
      <w:r w:rsidRPr="003D36AB">
        <w:rPr>
          <w:rFonts w:ascii="Tahoma" w:hAnsi="Tahoma" w:cs="Tahoma"/>
        </w:rPr>
        <w:tab/>
      </w:r>
      <w:r w:rsidRPr="00A47EAC">
        <w:rPr>
          <w:rFonts w:ascii="Tahoma" w:hAnsi="Tahoma" w:cs="Tahoma"/>
          <w:color w:val="000000" w:themeColor="text1"/>
        </w:rPr>
        <w:t>De acuerdo a lo expuesto en la sentencia de primera instancia le corresponde a la Sala determinar</w:t>
      </w:r>
      <w:r w:rsidR="001C0A43" w:rsidRPr="00A47EAC">
        <w:rPr>
          <w:rFonts w:ascii="Tahoma" w:hAnsi="Tahoma" w:cs="Tahoma"/>
          <w:color w:val="000000" w:themeColor="text1"/>
        </w:rPr>
        <w:t xml:space="preserve"> </w:t>
      </w:r>
      <w:r w:rsidRPr="00A47EAC">
        <w:rPr>
          <w:rFonts w:ascii="Tahoma" w:hAnsi="Tahoma" w:cs="Tahoma"/>
          <w:color w:val="000000" w:themeColor="text1"/>
        </w:rPr>
        <w:t>si es procedente reconocer la pensión de invalidez al demandante</w:t>
      </w:r>
      <w:r w:rsidR="005516DF" w:rsidRPr="00A47EAC">
        <w:rPr>
          <w:rFonts w:ascii="Tahoma" w:hAnsi="Tahoma" w:cs="Tahoma"/>
          <w:color w:val="000000" w:themeColor="text1"/>
        </w:rPr>
        <w:t xml:space="preserve"> en aplicación d</w:t>
      </w:r>
      <w:r w:rsidR="00D13712" w:rsidRPr="00A47EAC">
        <w:rPr>
          <w:rFonts w:ascii="Tahoma" w:hAnsi="Tahoma" w:cs="Tahoma"/>
          <w:color w:val="000000" w:themeColor="text1"/>
        </w:rPr>
        <w:t xml:space="preserve">el principio jurisprudencial de </w:t>
      </w:r>
      <w:r w:rsidR="000361D9" w:rsidRPr="00A47EAC">
        <w:rPr>
          <w:rFonts w:ascii="Tahoma" w:hAnsi="Tahoma" w:cs="Tahoma"/>
          <w:color w:val="000000" w:themeColor="text1"/>
        </w:rPr>
        <w:t xml:space="preserve">la </w:t>
      </w:r>
      <w:r w:rsidR="00D13712" w:rsidRPr="00A47EAC">
        <w:rPr>
          <w:rFonts w:ascii="Tahoma" w:hAnsi="Tahoma" w:cs="Tahoma"/>
          <w:color w:val="000000" w:themeColor="text1"/>
        </w:rPr>
        <w:t xml:space="preserve">condición más </w:t>
      </w:r>
      <w:r w:rsidR="001C0A43" w:rsidRPr="00A47EAC">
        <w:rPr>
          <w:rFonts w:ascii="Tahoma" w:hAnsi="Tahoma" w:cs="Tahoma"/>
          <w:color w:val="000000" w:themeColor="text1"/>
        </w:rPr>
        <w:t>beneficiosa</w:t>
      </w:r>
      <w:r w:rsidRPr="00A47EAC">
        <w:rPr>
          <w:rFonts w:ascii="Tahoma" w:hAnsi="Tahoma" w:cs="Tahoma"/>
          <w:color w:val="000000" w:themeColor="text1"/>
        </w:rPr>
        <w:t>.</w:t>
      </w:r>
    </w:p>
    <w:p w:rsidR="009C50D0" w:rsidRPr="003D36AB" w:rsidRDefault="002F5C10" w:rsidP="002F5C10">
      <w:pPr>
        <w:tabs>
          <w:tab w:val="left" w:pos="2070"/>
        </w:tabs>
        <w:spacing w:line="276" w:lineRule="auto"/>
        <w:jc w:val="both"/>
        <w:rPr>
          <w:rFonts w:ascii="Tahoma" w:hAnsi="Tahoma" w:cs="Tahoma"/>
        </w:rPr>
      </w:pPr>
      <w:r>
        <w:rPr>
          <w:rFonts w:ascii="Tahoma" w:hAnsi="Tahoma" w:cs="Tahoma"/>
        </w:rPr>
        <w:tab/>
      </w:r>
    </w:p>
    <w:p w:rsidR="009C50D0" w:rsidRPr="003D36AB" w:rsidRDefault="009C50D0" w:rsidP="00871F9F">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demanda y su contestación</w:t>
      </w:r>
    </w:p>
    <w:p w:rsidR="009C50D0" w:rsidRPr="003D36AB" w:rsidRDefault="009C50D0" w:rsidP="00871F9F">
      <w:pPr>
        <w:widowControl w:val="0"/>
        <w:autoSpaceDE w:val="0"/>
        <w:autoSpaceDN w:val="0"/>
        <w:adjustRightInd w:val="0"/>
        <w:spacing w:line="276" w:lineRule="auto"/>
        <w:jc w:val="both"/>
        <w:rPr>
          <w:rFonts w:ascii="Tahoma" w:hAnsi="Tahoma" w:cs="Tahoma"/>
        </w:rPr>
      </w:pPr>
    </w:p>
    <w:p w:rsidR="006B7A7F" w:rsidRDefault="009C50D0" w:rsidP="00871F9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El citado demandante solicita que se declare que </w:t>
      </w:r>
      <w:r w:rsidR="006B7A7F">
        <w:rPr>
          <w:rFonts w:ascii="Tahoma" w:hAnsi="Tahoma" w:cs="Tahoma"/>
        </w:rPr>
        <w:t>es beneficiario del principio de la condición más beneficiosa y</w:t>
      </w:r>
      <w:r w:rsidR="000954F5">
        <w:rPr>
          <w:rFonts w:ascii="Tahoma" w:hAnsi="Tahoma" w:cs="Tahoma"/>
        </w:rPr>
        <w:t>,</w:t>
      </w:r>
      <w:r w:rsidR="006B7A7F">
        <w:rPr>
          <w:rFonts w:ascii="Tahoma" w:hAnsi="Tahoma" w:cs="Tahoma"/>
        </w:rPr>
        <w:t xml:space="preserve"> en consecuencia</w:t>
      </w:r>
      <w:r w:rsidR="00260158">
        <w:rPr>
          <w:rFonts w:ascii="Tahoma" w:hAnsi="Tahoma" w:cs="Tahoma"/>
        </w:rPr>
        <w:t>,</w:t>
      </w:r>
      <w:r w:rsidR="006B7A7F">
        <w:rPr>
          <w:rFonts w:ascii="Tahoma" w:hAnsi="Tahoma" w:cs="Tahoma"/>
        </w:rPr>
        <w:t xml:space="preserve"> se condene a </w:t>
      </w:r>
      <w:proofErr w:type="spellStart"/>
      <w:r w:rsidR="006B7A7F">
        <w:rPr>
          <w:rFonts w:ascii="Tahoma" w:hAnsi="Tahoma" w:cs="Tahoma"/>
        </w:rPr>
        <w:t>Colpensiones</w:t>
      </w:r>
      <w:proofErr w:type="spellEnd"/>
      <w:r w:rsidR="006B7A7F">
        <w:rPr>
          <w:rFonts w:ascii="Tahoma" w:hAnsi="Tahoma" w:cs="Tahoma"/>
        </w:rPr>
        <w:t xml:space="preserve"> al </w:t>
      </w:r>
      <w:r w:rsidR="00260158">
        <w:rPr>
          <w:rFonts w:ascii="Tahoma" w:hAnsi="Tahoma" w:cs="Tahoma"/>
        </w:rPr>
        <w:t xml:space="preserve">reconocimiento y </w:t>
      </w:r>
      <w:r w:rsidR="006B7A7F">
        <w:rPr>
          <w:rFonts w:ascii="Tahoma" w:hAnsi="Tahoma" w:cs="Tahoma"/>
        </w:rPr>
        <w:t>pago de la pensión de invalidez</w:t>
      </w:r>
      <w:r w:rsidR="00260158">
        <w:rPr>
          <w:rFonts w:ascii="Tahoma" w:hAnsi="Tahoma" w:cs="Tahoma"/>
        </w:rPr>
        <w:t>, retroactivamente,</w:t>
      </w:r>
      <w:r w:rsidR="006B7A7F">
        <w:rPr>
          <w:rFonts w:ascii="Tahoma" w:hAnsi="Tahoma" w:cs="Tahoma"/>
        </w:rPr>
        <w:t xml:space="preserve"> desde el 3 de diciembre de 2008; </w:t>
      </w:r>
      <w:r w:rsidR="00260158">
        <w:rPr>
          <w:rFonts w:ascii="Tahoma" w:hAnsi="Tahoma" w:cs="Tahoma"/>
        </w:rPr>
        <w:t xml:space="preserve">con </w:t>
      </w:r>
      <w:r w:rsidR="006B7A7F">
        <w:rPr>
          <w:rFonts w:ascii="Tahoma" w:hAnsi="Tahoma" w:cs="Tahoma"/>
        </w:rPr>
        <w:t>los intereses de mora y las costas procesales.</w:t>
      </w:r>
    </w:p>
    <w:p w:rsidR="006B7A7F" w:rsidRDefault="006B7A7F" w:rsidP="00EE4137">
      <w:pPr>
        <w:widowControl w:val="0"/>
        <w:autoSpaceDE w:val="0"/>
        <w:autoSpaceDN w:val="0"/>
        <w:adjustRightInd w:val="0"/>
        <w:ind w:firstLine="708"/>
        <w:jc w:val="both"/>
        <w:rPr>
          <w:rFonts w:ascii="Tahoma" w:hAnsi="Tahoma" w:cs="Tahoma"/>
        </w:rPr>
      </w:pPr>
    </w:p>
    <w:p w:rsidR="006B7A7F" w:rsidRDefault="006B7A7F" w:rsidP="00871F9F">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Subsidiariamente pide que se declare que tiene derecho a la pensión de invalidez desde el 18 de abril de 2012, fecha en que se realizó el dictamen y, en consecuencia, se condene a </w:t>
      </w:r>
      <w:proofErr w:type="spellStart"/>
      <w:r>
        <w:rPr>
          <w:rFonts w:ascii="Tahoma" w:hAnsi="Tahoma" w:cs="Tahoma"/>
        </w:rPr>
        <w:t>Colpensiones</w:t>
      </w:r>
      <w:proofErr w:type="spellEnd"/>
      <w:r>
        <w:rPr>
          <w:rFonts w:ascii="Tahoma" w:hAnsi="Tahoma" w:cs="Tahoma"/>
        </w:rPr>
        <w:t xml:space="preserve"> el pago de </w:t>
      </w:r>
      <w:r w:rsidR="00260158">
        <w:rPr>
          <w:rFonts w:ascii="Tahoma" w:hAnsi="Tahoma" w:cs="Tahoma"/>
        </w:rPr>
        <w:t xml:space="preserve">la </w:t>
      </w:r>
      <w:r>
        <w:rPr>
          <w:rFonts w:ascii="Tahoma" w:hAnsi="Tahoma" w:cs="Tahoma"/>
        </w:rPr>
        <w:t>prestación</w:t>
      </w:r>
      <w:r w:rsidR="00260158">
        <w:rPr>
          <w:rFonts w:ascii="Tahoma" w:hAnsi="Tahoma" w:cs="Tahoma"/>
        </w:rPr>
        <w:t xml:space="preserve"> desde esa calenda; con</w:t>
      </w:r>
      <w:r w:rsidR="002D77FF">
        <w:rPr>
          <w:rFonts w:ascii="Tahoma" w:hAnsi="Tahoma" w:cs="Tahoma"/>
        </w:rPr>
        <w:t xml:space="preserve"> los intereses moratorios y las costas procesales.</w:t>
      </w:r>
    </w:p>
    <w:p w:rsidR="006B7A7F" w:rsidRDefault="006B7A7F" w:rsidP="00EE4137">
      <w:pPr>
        <w:widowControl w:val="0"/>
        <w:autoSpaceDE w:val="0"/>
        <w:autoSpaceDN w:val="0"/>
        <w:adjustRightInd w:val="0"/>
        <w:ind w:firstLine="708"/>
        <w:jc w:val="both"/>
        <w:rPr>
          <w:rFonts w:ascii="Tahoma" w:hAnsi="Tahoma" w:cs="Tahoma"/>
        </w:rPr>
      </w:pPr>
    </w:p>
    <w:p w:rsidR="00A94AFB" w:rsidRPr="003D36AB" w:rsidRDefault="009C50D0" w:rsidP="00871F9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Para fundar dichas pretensiones manifiesta que</w:t>
      </w:r>
      <w:r w:rsidR="00A94AFB" w:rsidRPr="003D36AB">
        <w:rPr>
          <w:rFonts w:ascii="Tahoma" w:hAnsi="Tahoma" w:cs="Tahoma"/>
        </w:rPr>
        <w:t xml:space="preserve"> </w:t>
      </w:r>
      <w:r w:rsidR="002D77FF">
        <w:rPr>
          <w:rFonts w:ascii="Tahoma" w:hAnsi="Tahoma" w:cs="Tahoma"/>
        </w:rPr>
        <w:t>el 18 de abril de 2012 fue calificado por la Junta Regional de Calificación de Invalidez</w:t>
      </w:r>
      <w:r w:rsidR="00F16A02">
        <w:rPr>
          <w:rFonts w:ascii="Tahoma" w:hAnsi="Tahoma" w:cs="Tahoma"/>
        </w:rPr>
        <w:t xml:space="preserve"> con </w:t>
      </w:r>
      <w:r w:rsidR="002D77FF">
        <w:rPr>
          <w:rFonts w:ascii="Tahoma" w:hAnsi="Tahoma" w:cs="Tahoma"/>
        </w:rPr>
        <w:t xml:space="preserve">una pérdida de capacidad laboral </w:t>
      </w:r>
      <w:r w:rsidR="00260158">
        <w:rPr>
          <w:rFonts w:ascii="Tahoma" w:hAnsi="Tahoma" w:cs="Tahoma"/>
        </w:rPr>
        <w:t xml:space="preserve">del </w:t>
      </w:r>
      <w:r w:rsidR="002D77FF">
        <w:rPr>
          <w:rFonts w:ascii="Tahoma" w:hAnsi="Tahoma" w:cs="Tahoma"/>
        </w:rPr>
        <w:t>58,52%</w:t>
      </w:r>
      <w:r w:rsidR="00260158">
        <w:rPr>
          <w:rFonts w:ascii="Tahoma" w:hAnsi="Tahoma" w:cs="Tahoma"/>
        </w:rPr>
        <w:t>,</w:t>
      </w:r>
      <w:r w:rsidR="002D77FF">
        <w:rPr>
          <w:rFonts w:ascii="Tahoma" w:hAnsi="Tahoma" w:cs="Tahoma"/>
        </w:rPr>
        <w:t xml:space="preserve"> </w:t>
      </w:r>
      <w:r w:rsidR="00260158">
        <w:rPr>
          <w:rFonts w:ascii="Tahoma" w:hAnsi="Tahoma" w:cs="Tahoma"/>
        </w:rPr>
        <w:t xml:space="preserve">de origen común, </w:t>
      </w:r>
      <w:proofErr w:type="gramStart"/>
      <w:r w:rsidR="00260158">
        <w:rPr>
          <w:rFonts w:ascii="Tahoma" w:hAnsi="Tahoma" w:cs="Tahoma"/>
        </w:rPr>
        <w:t>estructurada</w:t>
      </w:r>
      <w:proofErr w:type="gramEnd"/>
      <w:r w:rsidR="002D77FF">
        <w:rPr>
          <w:rFonts w:ascii="Tahoma" w:hAnsi="Tahoma" w:cs="Tahoma"/>
        </w:rPr>
        <w:t xml:space="preserve"> el 3 de diciembre de 2008</w:t>
      </w:r>
      <w:r w:rsidR="00756EB5">
        <w:rPr>
          <w:rFonts w:ascii="Tahoma" w:hAnsi="Tahoma" w:cs="Tahoma"/>
        </w:rPr>
        <w:t>.</w:t>
      </w:r>
      <w:r w:rsidR="002D77FF">
        <w:rPr>
          <w:rFonts w:ascii="Tahoma" w:hAnsi="Tahoma" w:cs="Tahoma"/>
        </w:rPr>
        <w:t xml:space="preserve"> </w:t>
      </w:r>
      <w:r w:rsidR="00756EB5">
        <w:rPr>
          <w:rFonts w:ascii="Tahoma" w:hAnsi="Tahoma" w:cs="Tahoma"/>
        </w:rPr>
        <w:t xml:space="preserve">Agrega </w:t>
      </w:r>
      <w:r w:rsidR="00F16A02">
        <w:rPr>
          <w:rFonts w:ascii="Tahoma" w:hAnsi="Tahoma" w:cs="Tahoma"/>
        </w:rPr>
        <w:t>q</w:t>
      </w:r>
      <w:r w:rsidR="002D77FF">
        <w:rPr>
          <w:rFonts w:ascii="Tahoma" w:hAnsi="Tahoma" w:cs="Tahoma"/>
        </w:rPr>
        <w:t>ue el 17 de enero de 2013 solicit</w:t>
      </w:r>
      <w:r w:rsidR="00F16A02">
        <w:rPr>
          <w:rFonts w:ascii="Tahoma" w:hAnsi="Tahoma" w:cs="Tahoma"/>
        </w:rPr>
        <w:t xml:space="preserve">ó el </w:t>
      </w:r>
      <w:r w:rsidR="002D77FF">
        <w:rPr>
          <w:rFonts w:ascii="Tahoma" w:hAnsi="Tahoma" w:cs="Tahoma"/>
        </w:rPr>
        <w:t xml:space="preserve">reconocimiento de la pensión de invalidez ante </w:t>
      </w:r>
      <w:proofErr w:type="spellStart"/>
      <w:r w:rsidR="002D77FF">
        <w:rPr>
          <w:rFonts w:ascii="Tahoma" w:hAnsi="Tahoma" w:cs="Tahoma"/>
        </w:rPr>
        <w:t>Colpensiones</w:t>
      </w:r>
      <w:proofErr w:type="spellEnd"/>
      <w:r w:rsidR="00F16A02">
        <w:rPr>
          <w:rFonts w:ascii="Tahoma" w:hAnsi="Tahoma" w:cs="Tahoma"/>
        </w:rPr>
        <w:t xml:space="preserve">, misma que fue negada </w:t>
      </w:r>
      <w:r w:rsidR="002D77FF">
        <w:rPr>
          <w:rFonts w:ascii="Tahoma" w:hAnsi="Tahoma" w:cs="Tahoma"/>
        </w:rPr>
        <w:t xml:space="preserve">mediante la </w:t>
      </w:r>
      <w:r w:rsidR="00A579E0">
        <w:rPr>
          <w:rFonts w:ascii="Tahoma" w:hAnsi="Tahoma" w:cs="Tahoma"/>
        </w:rPr>
        <w:t xml:space="preserve">Resolución </w:t>
      </w:r>
      <w:proofErr w:type="spellStart"/>
      <w:r w:rsidR="002D77FF">
        <w:rPr>
          <w:rFonts w:ascii="Tahoma" w:hAnsi="Tahoma" w:cs="Tahoma"/>
        </w:rPr>
        <w:t>VPB</w:t>
      </w:r>
      <w:proofErr w:type="spellEnd"/>
      <w:r w:rsidR="002D77FF">
        <w:rPr>
          <w:rFonts w:ascii="Tahoma" w:hAnsi="Tahoma" w:cs="Tahoma"/>
        </w:rPr>
        <w:t xml:space="preserve"> del 24 de julio de 2013</w:t>
      </w:r>
      <w:r w:rsidR="00A579E0">
        <w:rPr>
          <w:rFonts w:ascii="Tahoma" w:hAnsi="Tahoma" w:cs="Tahoma"/>
        </w:rPr>
        <w:t>,</w:t>
      </w:r>
      <w:r w:rsidR="002D77FF">
        <w:rPr>
          <w:rFonts w:ascii="Tahoma" w:hAnsi="Tahoma" w:cs="Tahoma"/>
        </w:rPr>
        <w:t xml:space="preserve"> </w:t>
      </w:r>
      <w:r w:rsidR="00756EB5">
        <w:rPr>
          <w:rFonts w:ascii="Tahoma" w:hAnsi="Tahoma" w:cs="Tahoma"/>
        </w:rPr>
        <w:t xml:space="preserve">con el argumento de que </w:t>
      </w:r>
      <w:r w:rsidR="002D77FF">
        <w:rPr>
          <w:rFonts w:ascii="Tahoma" w:hAnsi="Tahoma" w:cs="Tahoma"/>
        </w:rPr>
        <w:t>no acreditó aportes en los últimos 3 años inmediatamente anteriores a la fecha de estructuración.</w:t>
      </w:r>
    </w:p>
    <w:p w:rsidR="00A94AFB" w:rsidRPr="003D36AB" w:rsidRDefault="00A94AFB" w:rsidP="00EE4137">
      <w:pPr>
        <w:widowControl w:val="0"/>
        <w:autoSpaceDE w:val="0"/>
        <w:autoSpaceDN w:val="0"/>
        <w:adjustRightInd w:val="0"/>
        <w:ind w:firstLine="708"/>
        <w:jc w:val="both"/>
        <w:rPr>
          <w:rFonts w:ascii="Tahoma" w:hAnsi="Tahoma" w:cs="Tahoma"/>
        </w:rPr>
      </w:pPr>
    </w:p>
    <w:p w:rsidR="00152550" w:rsidRDefault="00756EB5" w:rsidP="00871F9F">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Refiere </w:t>
      </w:r>
      <w:r w:rsidR="00A94AFB" w:rsidRPr="003D36AB">
        <w:rPr>
          <w:rFonts w:ascii="Tahoma" w:hAnsi="Tahoma" w:cs="Tahoma"/>
        </w:rPr>
        <w:t>q</w:t>
      </w:r>
      <w:r w:rsidR="009C50D0" w:rsidRPr="003D36AB">
        <w:rPr>
          <w:rFonts w:ascii="Tahoma" w:hAnsi="Tahoma" w:cs="Tahoma"/>
        </w:rPr>
        <w:t xml:space="preserve">ue </w:t>
      </w:r>
      <w:r w:rsidR="002D77FF">
        <w:rPr>
          <w:rFonts w:ascii="Tahoma" w:hAnsi="Tahoma" w:cs="Tahoma"/>
        </w:rPr>
        <w:t>fue diagnosticado con secuelas de accidente de tránsito grave con fracturas de miembros inferiores</w:t>
      </w:r>
      <w:r>
        <w:rPr>
          <w:rFonts w:ascii="Tahoma" w:hAnsi="Tahoma" w:cs="Tahoma"/>
        </w:rPr>
        <w:t>; que</w:t>
      </w:r>
      <w:r w:rsidR="00DF1267">
        <w:rPr>
          <w:rFonts w:ascii="Tahoma" w:hAnsi="Tahoma" w:cs="Tahoma"/>
        </w:rPr>
        <w:t xml:space="preserve"> posteriormente presentó </w:t>
      </w:r>
      <w:proofErr w:type="spellStart"/>
      <w:r w:rsidR="00DF1267">
        <w:rPr>
          <w:rFonts w:ascii="Tahoma" w:hAnsi="Tahoma" w:cs="Tahoma"/>
        </w:rPr>
        <w:t>tromboembolismo</w:t>
      </w:r>
      <w:proofErr w:type="spellEnd"/>
      <w:r w:rsidR="00DF1267">
        <w:rPr>
          <w:rFonts w:ascii="Tahoma" w:hAnsi="Tahoma" w:cs="Tahoma"/>
        </w:rPr>
        <w:t xml:space="preserve"> e infarto cardiaco, por lo cual le realizaron tratamientos que dejaron secuelas funcionales en miembros inferiores y limitación de origen cardiaco, </w:t>
      </w:r>
      <w:r w:rsidR="00A579E0">
        <w:rPr>
          <w:rFonts w:ascii="Tahoma" w:hAnsi="Tahoma" w:cs="Tahoma"/>
        </w:rPr>
        <w:t>situación que se ha</w:t>
      </w:r>
      <w:r w:rsidR="00DF1267">
        <w:rPr>
          <w:rFonts w:ascii="Tahoma" w:hAnsi="Tahoma" w:cs="Tahoma"/>
        </w:rPr>
        <w:t xml:space="preserve"> venido agravando en los últimos años generando restricciones en su vida diaria</w:t>
      </w:r>
      <w:r w:rsidR="00152550">
        <w:rPr>
          <w:rFonts w:ascii="Tahoma" w:hAnsi="Tahoma" w:cs="Tahoma"/>
        </w:rPr>
        <w:t>.</w:t>
      </w:r>
      <w:r w:rsidR="00DF1267">
        <w:rPr>
          <w:rFonts w:ascii="Tahoma" w:hAnsi="Tahoma" w:cs="Tahoma"/>
        </w:rPr>
        <w:t xml:space="preserve"> </w:t>
      </w:r>
    </w:p>
    <w:p w:rsidR="00152550" w:rsidRDefault="00152550" w:rsidP="00EE4137">
      <w:pPr>
        <w:widowControl w:val="0"/>
        <w:autoSpaceDE w:val="0"/>
        <w:autoSpaceDN w:val="0"/>
        <w:adjustRightInd w:val="0"/>
        <w:ind w:firstLine="708"/>
        <w:jc w:val="both"/>
        <w:rPr>
          <w:rFonts w:ascii="Tahoma" w:hAnsi="Tahoma" w:cs="Tahoma"/>
        </w:rPr>
      </w:pPr>
    </w:p>
    <w:p w:rsidR="002672D0" w:rsidRDefault="00152550" w:rsidP="00871F9F">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Por último señala </w:t>
      </w:r>
      <w:r w:rsidR="00DF1267">
        <w:rPr>
          <w:rFonts w:ascii="Tahoma" w:hAnsi="Tahoma" w:cs="Tahoma"/>
        </w:rPr>
        <w:t xml:space="preserve">que </w:t>
      </w:r>
      <w:r>
        <w:rPr>
          <w:rFonts w:ascii="Tahoma" w:hAnsi="Tahoma" w:cs="Tahoma"/>
        </w:rPr>
        <w:t>la aludida calificación no fue apelada</w:t>
      </w:r>
      <w:r w:rsidR="00DF1267">
        <w:rPr>
          <w:rFonts w:ascii="Tahoma" w:hAnsi="Tahoma" w:cs="Tahoma"/>
        </w:rPr>
        <w:t>; que tenía cotizad</w:t>
      </w:r>
      <w:r>
        <w:rPr>
          <w:rFonts w:ascii="Tahoma" w:hAnsi="Tahoma" w:cs="Tahoma"/>
        </w:rPr>
        <w:t>as</w:t>
      </w:r>
      <w:r w:rsidR="00DF1267">
        <w:rPr>
          <w:rFonts w:ascii="Tahoma" w:hAnsi="Tahoma" w:cs="Tahoma"/>
        </w:rPr>
        <w:t xml:space="preserve"> 318,03 semanas antes del 1</w:t>
      </w:r>
      <w:r>
        <w:rPr>
          <w:rFonts w:ascii="Tahoma" w:hAnsi="Tahoma" w:cs="Tahoma"/>
        </w:rPr>
        <w:t xml:space="preserve">º </w:t>
      </w:r>
      <w:r w:rsidR="00DF1267">
        <w:rPr>
          <w:rFonts w:ascii="Tahoma" w:hAnsi="Tahoma" w:cs="Tahoma"/>
        </w:rPr>
        <w:t>de abril de 1994 y que continúo laborando de forma independiente ya que tenía que llevar sustento para su familia, tal como aparece registrado en su historia laboral, siendo su última cotización el 31 de diciembre de 2012.</w:t>
      </w:r>
    </w:p>
    <w:p w:rsidR="009C50D0" w:rsidRPr="003D36AB" w:rsidRDefault="009C50D0" w:rsidP="00EE4137">
      <w:pPr>
        <w:widowControl w:val="0"/>
        <w:autoSpaceDE w:val="0"/>
        <w:autoSpaceDN w:val="0"/>
        <w:adjustRightInd w:val="0"/>
        <w:ind w:firstLine="708"/>
        <w:jc w:val="both"/>
        <w:rPr>
          <w:rFonts w:ascii="Tahoma" w:hAnsi="Tahoma" w:cs="Tahoma"/>
        </w:rPr>
      </w:pPr>
    </w:p>
    <w:p w:rsidR="00EE2156" w:rsidRDefault="009C50D0" w:rsidP="00871F9F">
      <w:pPr>
        <w:widowControl w:val="0"/>
        <w:autoSpaceDE w:val="0"/>
        <w:autoSpaceDN w:val="0"/>
        <w:adjustRightInd w:val="0"/>
        <w:spacing w:line="276" w:lineRule="auto"/>
        <w:ind w:firstLine="708"/>
        <w:jc w:val="both"/>
        <w:rPr>
          <w:rFonts w:ascii="Tahoma" w:hAnsi="Tahoma" w:cs="Tahoma"/>
        </w:rPr>
      </w:pPr>
      <w:proofErr w:type="spellStart"/>
      <w:r w:rsidRPr="003D36AB">
        <w:rPr>
          <w:rFonts w:ascii="Tahoma" w:hAnsi="Tahoma" w:cs="Tahoma"/>
        </w:rPr>
        <w:t>Colpensiones</w:t>
      </w:r>
      <w:proofErr w:type="spellEnd"/>
      <w:r w:rsidRPr="003D36AB">
        <w:rPr>
          <w:rFonts w:ascii="Tahoma" w:hAnsi="Tahoma" w:cs="Tahoma"/>
        </w:rPr>
        <w:t xml:space="preserve"> </w:t>
      </w:r>
      <w:r w:rsidR="00DF1267">
        <w:rPr>
          <w:rFonts w:ascii="Tahoma" w:hAnsi="Tahoma" w:cs="Tahoma"/>
        </w:rPr>
        <w:t>no contest</w:t>
      </w:r>
      <w:r w:rsidR="00A47EAC">
        <w:rPr>
          <w:rFonts w:ascii="Tahoma" w:hAnsi="Tahoma" w:cs="Tahoma"/>
        </w:rPr>
        <w:t>ó</w:t>
      </w:r>
      <w:r w:rsidR="00DF1267">
        <w:rPr>
          <w:rFonts w:ascii="Tahoma" w:hAnsi="Tahoma" w:cs="Tahoma"/>
        </w:rPr>
        <w:t xml:space="preserve"> la demanda dentro del término otorgado para el efecto.</w:t>
      </w:r>
      <w:r w:rsidR="00EE2156">
        <w:rPr>
          <w:rFonts w:ascii="Tahoma" w:hAnsi="Tahoma" w:cs="Tahoma"/>
        </w:rPr>
        <w:t xml:space="preserve"> </w:t>
      </w:r>
    </w:p>
    <w:p w:rsidR="009C50D0" w:rsidRPr="003D36AB" w:rsidRDefault="009C50D0" w:rsidP="00871F9F">
      <w:pPr>
        <w:widowControl w:val="0"/>
        <w:autoSpaceDE w:val="0"/>
        <w:autoSpaceDN w:val="0"/>
        <w:adjustRightInd w:val="0"/>
        <w:spacing w:line="276" w:lineRule="auto"/>
        <w:ind w:firstLine="708"/>
        <w:jc w:val="both"/>
        <w:rPr>
          <w:rFonts w:ascii="Tahoma" w:hAnsi="Tahoma" w:cs="Tahoma"/>
        </w:rPr>
      </w:pPr>
    </w:p>
    <w:p w:rsidR="009C50D0" w:rsidRPr="003D36AB" w:rsidRDefault="009C50D0" w:rsidP="00871F9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sentencia de primera instancia</w:t>
      </w:r>
    </w:p>
    <w:p w:rsidR="009C50D0" w:rsidRDefault="009C50D0" w:rsidP="00871F9F">
      <w:pPr>
        <w:tabs>
          <w:tab w:val="left" w:pos="748"/>
        </w:tabs>
        <w:spacing w:line="276" w:lineRule="auto"/>
        <w:ind w:firstLine="1122"/>
        <w:jc w:val="both"/>
        <w:rPr>
          <w:rFonts w:ascii="Tahoma" w:hAnsi="Tahoma" w:cs="Tahoma"/>
        </w:rPr>
      </w:pPr>
    </w:p>
    <w:p w:rsidR="00041EC9" w:rsidRDefault="00276CCA" w:rsidP="00276CCA">
      <w:pPr>
        <w:tabs>
          <w:tab w:val="left" w:pos="748"/>
        </w:tabs>
        <w:spacing w:line="276" w:lineRule="auto"/>
        <w:ind w:firstLine="709"/>
        <w:jc w:val="both"/>
        <w:rPr>
          <w:rFonts w:ascii="Tahoma" w:hAnsi="Tahoma" w:cs="Tahoma"/>
        </w:rPr>
      </w:pPr>
      <w:r>
        <w:rPr>
          <w:rFonts w:ascii="Tahoma" w:hAnsi="Tahoma" w:cs="Tahoma"/>
        </w:rPr>
        <w:t xml:space="preserve">La Jueza de conocimiento </w:t>
      </w:r>
      <w:r w:rsidR="00021B2B">
        <w:rPr>
          <w:rFonts w:ascii="Tahoma" w:hAnsi="Tahoma" w:cs="Tahoma"/>
        </w:rPr>
        <w:t>negó las pretensiones del señor José Fernando Cardona Velásquez, a quien condenó al pago de las costas procesales a favor de la accionada.</w:t>
      </w:r>
    </w:p>
    <w:p w:rsidR="00041EC9" w:rsidRDefault="00041EC9" w:rsidP="00276CCA">
      <w:pPr>
        <w:tabs>
          <w:tab w:val="left" w:pos="748"/>
        </w:tabs>
        <w:spacing w:line="276" w:lineRule="auto"/>
        <w:ind w:firstLine="709"/>
        <w:jc w:val="both"/>
        <w:rPr>
          <w:rFonts w:ascii="Tahoma" w:hAnsi="Tahoma" w:cs="Tahoma"/>
        </w:rPr>
      </w:pPr>
    </w:p>
    <w:p w:rsidR="00041EC9" w:rsidRDefault="00021B2B" w:rsidP="00276CCA">
      <w:pPr>
        <w:tabs>
          <w:tab w:val="left" w:pos="748"/>
        </w:tabs>
        <w:spacing w:line="276" w:lineRule="auto"/>
        <w:ind w:firstLine="709"/>
        <w:jc w:val="both"/>
        <w:rPr>
          <w:rFonts w:ascii="Tahoma" w:hAnsi="Tahoma" w:cs="Tahoma"/>
        </w:rPr>
      </w:pPr>
      <w:r>
        <w:rPr>
          <w:rFonts w:ascii="Tahoma" w:hAnsi="Tahoma" w:cs="Tahoma"/>
        </w:rPr>
        <w:t xml:space="preserve">Para llegar a tal determinación la A-quo consideró, en síntesis, que el demandante no cumplía los requisitos establecidos jurisprudencialmente por la Sala de Casación Laboral de la Corte Suprema de Justicia para acceder a la pensión de invalidez en aplicación del principio de la condición más beneficiosa, pues </w:t>
      </w:r>
      <w:r w:rsidR="00A579E0">
        <w:rPr>
          <w:rFonts w:ascii="Tahoma" w:hAnsi="Tahoma" w:cs="Tahoma"/>
        </w:rPr>
        <w:t xml:space="preserve">carecía de 26 semanas cotizadas en los tres años anteriores a la </w:t>
      </w:r>
      <w:r w:rsidR="001B0081">
        <w:rPr>
          <w:rFonts w:ascii="Tahoma" w:hAnsi="Tahoma" w:cs="Tahoma"/>
        </w:rPr>
        <w:t>estructuración de la invalidez. Así mismo, refirió que no era posible acudir al contenido del Acuerdo 049 de 1990</w:t>
      </w:r>
      <w:r w:rsidR="008F610D">
        <w:rPr>
          <w:rFonts w:ascii="Tahoma" w:hAnsi="Tahoma" w:cs="Tahoma"/>
        </w:rPr>
        <w:t xml:space="preserve"> porque según el mencionado </w:t>
      </w:r>
      <w:r w:rsidR="001B0081">
        <w:rPr>
          <w:rFonts w:ascii="Tahoma" w:hAnsi="Tahoma" w:cs="Tahoma"/>
        </w:rPr>
        <w:t xml:space="preserve">órgano </w:t>
      </w:r>
      <w:r w:rsidR="008F610D">
        <w:rPr>
          <w:rFonts w:ascii="Tahoma" w:hAnsi="Tahoma" w:cs="Tahoma"/>
        </w:rPr>
        <w:t>no es dable buscar indefinidamente la norma que mejor se adapte a los intereses del demandante</w:t>
      </w:r>
      <w:r w:rsidR="00A579E0">
        <w:rPr>
          <w:rFonts w:ascii="Tahoma" w:hAnsi="Tahoma" w:cs="Tahoma"/>
        </w:rPr>
        <w:t xml:space="preserve">, como quiera </w:t>
      </w:r>
      <w:r w:rsidR="008F610D">
        <w:rPr>
          <w:rFonts w:ascii="Tahoma" w:hAnsi="Tahoma" w:cs="Tahoma"/>
        </w:rPr>
        <w:t xml:space="preserve">que </w:t>
      </w:r>
      <w:r w:rsidR="00A579E0">
        <w:rPr>
          <w:rFonts w:ascii="Tahoma" w:hAnsi="Tahoma" w:cs="Tahoma"/>
        </w:rPr>
        <w:t xml:space="preserve">con </w:t>
      </w:r>
      <w:r w:rsidR="008F610D">
        <w:rPr>
          <w:rFonts w:ascii="Tahoma" w:hAnsi="Tahoma" w:cs="Tahoma"/>
        </w:rPr>
        <w:t xml:space="preserve">ello </w:t>
      </w:r>
      <w:r w:rsidR="00A579E0">
        <w:rPr>
          <w:rFonts w:ascii="Tahoma" w:hAnsi="Tahoma" w:cs="Tahoma"/>
        </w:rPr>
        <w:t xml:space="preserve">se </w:t>
      </w:r>
      <w:r w:rsidR="008F610D">
        <w:rPr>
          <w:rFonts w:ascii="Tahoma" w:hAnsi="Tahoma" w:cs="Tahoma"/>
        </w:rPr>
        <w:t>afectaría la sostenibilidad del sistema.</w:t>
      </w:r>
    </w:p>
    <w:p w:rsidR="008F610D" w:rsidRDefault="008F610D" w:rsidP="00276CCA">
      <w:pPr>
        <w:tabs>
          <w:tab w:val="left" w:pos="748"/>
        </w:tabs>
        <w:spacing w:line="276" w:lineRule="auto"/>
        <w:ind w:firstLine="709"/>
        <w:jc w:val="both"/>
        <w:rPr>
          <w:rFonts w:ascii="Tahoma" w:hAnsi="Tahoma" w:cs="Tahoma"/>
        </w:rPr>
      </w:pPr>
    </w:p>
    <w:p w:rsidR="00A579E0" w:rsidRDefault="008F610D" w:rsidP="00276CCA">
      <w:pPr>
        <w:tabs>
          <w:tab w:val="left" w:pos="748"/>
        </w:tabs>
        <w:spacing w:line="276" w:lineRule="auto"/>
        <w:ind w:firstLine="709"/>
        <w:jc w:val="both"/>
        <w:rPr>
          <w:rFonts w:ascii="Tahoma" w:hAnsi="Tahoma" w:cs="Tahoma"/>
        </w:rPr>
      </w:pPr>
      <w:r>
        <w:rPr>
          <w:rFonts w:ascii="Tahoma" w:hAnsi="Tahoma" w:cs="Tahoma"/>
        </w:rPr>
        <w:t xml:space="preserve">Por otra parte, frente a la pretensión subsidiaria </w:t>
      </w:r>
      <w:r w:rsidR="00AD21D5">
        <w:rPr>
          <w:rFonts w:ascii="Tahoma" w:hAnsi="Tahoma" w:cs="Tahoma"/>
        </w:rPr>
        <w:t xml:space="preserve">manifestó que la </w:t>
      </w:r>
      <w:r w:rsidR="00A579E0">
        <w:rPr>
          <w:rFonts w:ascii="Tahoma" w:hAnsi="Tahoma" w:cs="Tahoma"/>
        </w:rPr>
        <w:t xml:space="preserve">Ley </w:t>
      </w:r>
      <w:r w:rsidR="00AD21D5">
        <w:rPr>
          <w:rFonts w:ascii="Tahoma" w:hAnsi="Tahoma" w:cs="Tahoma"/>
        </w:rPr>
        <w:t>860 de 2003 exige 50 semanas cotizadas en los tres años anteriores a la estructuración de la invalidez</w:t>
      </w:r>
      <w:r w:rsidR="00A579E0">
        <w:rPr>
          <w:rFonts w:ascii="Tahoma" w:hAnsi="Tahoma" w:cs="Tahoma"/>
        </w:rPr>
        <w:t>,</w:t>
      </w:r>
      <w:r w:rsidR="00AD21D5">
        <w:rPr>
          <w:rFonts w:ascii="Tahoma" w:hAnsi="Tahoma" w:cs="Tahoma"/>
        </w:rPr>
        <w:t xml:space="preserve"> y que si bien el señor Cardona reinició sus cotizaciones y lo hizo hasta el año 2012</w:t>
      </w:r>
      <w:r w:rsidR="00A579E0">
        <w:rPr>
          <w:rFonts w:ascii="Tahoma" w:hAnsi="Tahoma" w:cs="Tahoma"/>
        </w:rPr>
        <w:t>,</w:t>
      </w:r>
      <w:r w:rsidR="00A34991">
        <w:rPr>
          <w:rFonts w:ascii="Tahoma" w:hAnsi="Tahoma" w:cs="Tahoma"/>
        </w:rPr>
        <w:t xml:space="preserve"> no e</w:t>
      </w:r>
      <w:r w:rsidR="00A579E0">
        <w:rPr>
          <w:rFonts w:ascii="Tahoma" w:hAnsi="Tahoma" w:cs="Tahoma"/>
        </w:rPr>
        <w:t>ra</w:t>
      </w:r>
      <w:r w:rsidR="00A34991">
        <w:rPr>
          <w:rFonts w:ascii="Tahoma" w:hAnsi="Tahoma" w:cs="Tahoma"/>
        </w:rPr>
        <w:t xml:space="preserve"> posible tener</w:t>
      </w:r>
      <w:r w:rsidR="00A579E0">
        <w:rPr>
          <w:rFonts w:ascii="Tahoma" w:hAnsi="Tahoma" w:cs="Tahoma"/>
        </w:rPr>
        <w:t xml:space="preserve">las </w:t>
      </w:r>
      <w:r w:rsidR="00A34991">
        <w:rPr>
          <w:rFonts w:ascii="Tahoma" w:hAnsi="Tahoma" w:cs="Tahoma"/>
        </w:rPr>
        <w:t>en cuenta las semanas porque la norma establece la fecha a partir de la cual se contabilizan esas semanas</w:t>
      </w:r>
      <w:r w:rsidR="00A579E0">
        <w:rPr>
          <w:rFonts w:ascii="Tahoma" w:hAnsi="Tahoma" w:cs="Tahoma"/>
        </w:rPr>
        <w:t>. Agregó que si se cuestionaba la fecha de estructuración así debió hacerlo el actor en el proceso, ya que resulta extraño que siendo inválido a partir del 2008 haya seguido cotizando hasta el 2012, pero ese tema no le corresponde analizarlo al despacho por cuanto no se atacó el dictamen como tal a efectos de haber realizado el trámite correspondiente.</w:t>
      </w:r>
    </w:p>
    <w:p w:rsidR="001B0081" w:rsidRDefault="001B0081" w:rsidP="00276CCA">
      <w:pPr>
        <w:tabs>
          <w:tab w:val="left" w:pos="748"/>
        </w:tabs>
        <w:spacing w:line="276" w:lineRule="auto"/>
        <w:ind w:firstLine="709"/>
        <w:jc w:val="both"/>
        <w:rPr>
          <w:rFonts w:ascii="Tahoma" w:hAnsi="Tahoma" w:cs="Tahoma"/>
        </w:rPr>
      </w:pPr>
    </w:p>
    <w:p w:rsidR="009C50D0" w:rsidRPr="003D36AB" w:rsidRDefault="003224D5" w:rsidP="00871F9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p>
    <w:p w:rsidR="009C50D0" w:rsidRPr="003D36AB" w:rsidRDefault="009C50D0" w:rsidP="00871F9F">
      <w:pPr>
        <w:widowControl w:val="0"/>
        <w:autoSpaceDE w:val="0"/>
        <w:autoSpaceDN w:val="0"/>
        <w:adjustRightInd w:val="0"/>
        <w:spacing w:line="276" w:lineRule="auto"/>
        <w:ind w:firstLine="1122"/>
        <w:jc w:val="both"/>
        <w:rPr>
          <w:rFonts w:ascii="Tahoma" w:hAnsi="Tahoma" w:cs="Tahoma"/>
        </w:rPr>
      </w:pPr>
    </w:p>
    <w:p w:rsidR="00DD5FCA" w:rsidRDefault="00AD21D5" w:rsidP="00AD21D5">
      <w:pPr>
        <w:spacing w:line="276" w:lineRule="auto"/>
        <w:jc w:val="both"/>
        <w:rPr>
          <w:rFonts w:ascii="Tahoma" w:hAnsi="Tahoma" w:cs="Tahoma"/>
        </w:rPr>
      </w:pPr>
      <w:r>
        <w:rPr>
          <w:rFonts w:ascii="Tahoma" w:hAnsi="Tahoma" w:cs="Tahoma"/>
        </w:rPr>
        <w:tab/>
      </w:r>
      <w:r w:rsidR="003224D5">
        <w:rPr>
          <w:rFonts w:ascii="Tahoma" w:hAnsi="Tahoma" w:cs="Tahoma"/>
        </w:rPr>
        <w:t xml:space="preserve">La apoderada de la parte demandante interpone recurso </w:t>
      </w:r>
      <w:r w:rsidR="00A579E0">
        <w:rPr>
          <w:rFonts w:ascii="Tahoma" w:hAnsi="Tahoma" w:cs="Tahoma"/>
        </w:rPr>
        <w:t>de apelació</w:t>
      </w:r>
      <w:r w:rsidR="00DD5FCA">
        <w:rPr>
          <w:rFonts w:ascii="Tahoma" w:hAnsi="Tahoma" w:cs="Tahoma"/>
        </w:rPr>
        <w:t xml:space="preserve">n alegando, respecto de la aplicación del principio de la condición más beneficiosa, que siendo Colombia un Estado Social de derecho no es entendible por qué la situación de su cliente se hace más gravosa violando los artículo 11 y 53 de la Constitución Política, sin evidenciar que se trata de una persona con pérdida de capacidad mayor al 58%, considerada invalida. </w:t>
      </w:r>
    </w:p>
    <w:p w:rsidR="00AD21D5" w:rsidRDefault="00AD21D5" w:rsidP="00AD21D5">
      <w:pPr>
        <w:spacing w:line="276" w:lineRule="auto"/>
        <w:jc w:val="both"/>
        <w:rPr>
          <w:rFonts w:ascii="Tahoma" w:hAnsi="Tahoma" w:cs="Tahoma"/>
        </w:rPr>
      </w:pPr>
    </w:p>
    <w:p w:rsidR="00DD5FCA" w:rsidRDefault="00AD21D5" w:rsidP="00A37482">
      <w:pPr>
        <w:spacing w:line="276" w:lineRule="auto"/>
        <w:jc w:val="both"/>
        <w:rPr>
          <w:rFonts w:ascii="Tahoma" w:hAnsi="Tahoma" w:cs="Tahoma"/>
        </w:rPr>
      </w:pPr>
      <w:r>
        <w:rPr>
          <w:rFonts w:ascii="Tahoma" w:hAnsi="Tahoma" w:cs="Tahoma"/>
        </w:rPr>
        <w:tab/>
      </w:r>
      <w:r w:rsidR="003224D5">
        <w:rPr>
          <w:rFonts w:ascii="Tahoma" w:hAnsi="Tahoma" w:cs="Tahoma"/>
        </w:rPr>
        <w:t xml:space="preserve">En cuanto a la pretensión subsidiaria, </w:t>
      </w:r>
      <w:r w:rsidR="00DD5FCA">
        <w:rPr>
          <w:rFonts w:ascii="Tahoma" w:hAnsi="Tahoma" w:cs="Tahoma"/>
        </w:rPr>
        <w:t xml:space="preserve">advirtió que </w:t>
      </w:r>
      <w:r w:rsidR="003224D5">
        <w:rPr>
          <w:rFonts w:ascii="Tahoma" w:hAnsi="Tahoma" w:cs="Tahoma"/>
        </w:rPr>
        <w:t xml:space="preserve">de acuerdo con el reporte de semanas cotizadas en </w:t>
      </w:r>
      <w:r w:rsidR="003224D5" w:rsidRPr="00BE2FCF">
        <w:rPr>
          <w:rFonts w:ascii="Tahoma" w:hAnsi="Tahoma" w:cs="Tahoma"/>
        </w:rPr>
        <w:t xml:space="preserve">pensiones emitido por </w:t>
      </w:r>
      <w:proofErr w:type="spellStart"/>
      <w:r w:rsidR="003224D5" w:rsidRPr="00BE2FCF">
        <w:rPr>
          <w:rFonts w:ascii="Tahoma" w:hAnsi="Tahoma" w:cs="Tahoma"/>
        </w:rPr>
        <w:t>Colpensiones</w:t>
      </w:r>
      <w:proofErr w:type="spellEnd"/>
      <w:r w:rsidR="00DD5FCA" w:rsidRPr="00BE2FCF">
        <w:rPr>
          <w:rFonts w:ascii="Tahoma" w:hAnsi="Tahoma" w:cs="Tahoma"/>
        </w:rPr>
        <w:t>,</w:t>
      </w:r>
      <w:r w:rsidR="003224D5" w:rsidRPr="00BE2FCF">
        <w:rPr>
          <w:rFonts w:ascii="Tahoma" w:hAnsi="Tahoma" w:cs="Tahoma"/>
        </w:rPr>
        <w:t xml:space="preserve"> se encuentra que en </w:t>
      </w:r>
      <w:r w:rsidR="00DD5FCA" w:rsidRPr="00BE2FCF">
        <w:rPr>
          <w:rFonts w:ascii="Tahoma" w:hAnsi="Tahoma" w:cs="Tahoma"/>
        </w:rPr>
        <w:t xml:space="preserve">los </w:t>
      </w:r>
      <w:r w:rsidR="003224D5" w:rsidRPr="00BE2FCF">
        <w:rPr>
          <w:rFonts w:ascii="Tahoma" w:hAnsi="Tahoma" w:cs="Tahoma"/>
        </w:rPr>
        <w:t xml:space="preserve">3 años inmediatamente anteriores a la fecha del dictamen el demandante cotizó 72.88 </w:t>
      </w:r>
      <w:r w:rsidR="00DD5FCA" w:rsidRPr="00BE2FCF">
        <w:rPr>
          <w:rFonts w:ascii="Tahoma" w:hAnsi="Tahoma" w:cs="Tahoma"/>
        </w:rPr>
        <w:t xml:space="preserve">semanas cuando las exigidas son </w:t>
      </w:r>
      <w:r w:rsidR="00DD5FCA">
        <w:rPr>
          <w:rFonts w:ascii="Tahoma" w:hAnsi="Tahoma" w:cs="Tahoma"/>
        </w:rPr>
        <w:t>50, y que s</w:t>
      </w:r>
      <w:r w:rsidR="003224D5">
        <w:rPr>
          <w:rFonts w:ascii="Tahoma" w:hAnsi="Tahoma" w:cs="Tahoma"/>
        </w:rPr>
        <w:t xml:space="preserve">i bien es cierto </w:t>
      </w:r>
      <w:r w:rsidR="00DD5FCA">
        <w:rPr>
          <w:rFonts w:ascii="Tahoma" w:hAnsi="Tahoma" w:cs="Tahoma"/>
        </w:rPr>
        <w:t>é</w:t>
      </w:r>
      <w:r w:rsidR="003224D5">
        <w:rPr>
          <w:rFonts w:ascii="Tahoma" w:hAnsi="Tahoma" w:cs="Tahoma"/>
        </w:rPr>
        <w:t>l siguió cotizando</w:t>
      </w:r>
      <w:r w:rsidR="00DD5FCA">
        <w:rPr>
          <w:rFonts w:ascii="Tahoma" w:hAnsi="Tahoma" w:cs="Tahoma"/>
        </w:rPr>
        <w:t xml:space="preserve"> con posterioridad a la estructuración de la invalidez</w:t>
      </w:r>
      <w:r w:rsidR="003224D5">
        <w:rPr>
          <w:rFonts w:ascii="Tahoma" w:hAnsi="Tahoma" w:cs="Tahoma"/>
        </w:rPr>
        <w:t>, a la luz de lo expuesto por la Corte Const</w:t>
      </w:r>
      <w:r w:rsidR="00BE2FCF">
        <w:rPr>
          <w:rFonts w:ascii="Tahoma" w:hAnsi="Tahoma" w:cs="Tahoma"/>
        </w:rPr>
        <w:t xml:space="preserve">itucional en la sentencia </w:t>
      </w:r>
      <w:r w:rsidR="00E174DD">
        <w:rPr>
          <w:rFonts w:ascii="Tahoma" w:hAnsi="Tahoma" w:cs="Tahoma"/>
        </w:rPr>
        <w:t xml:space="preserve"> T</w:t>
      </w:r>
      <w:r w:rsidR="00BE2FCF">
        <w:rPr>
          <w:rFonts w:ascii="Tahoma" w:hAnsi="Tahoma" w:cs="Tahoma"/>
        </w:rPr>
        <w:t>-</w:t>
      </w:r>
      <w:proofErr w:type="spellStart"/>
      <w:r w:rsidR="00E174DD">
        <w:rPr>
          <w:rFonts w:ascii="Tahoma" w:hAnsi="Tahoma" w:cs="Tahoma"/>
        </w:rPr>
        <w:t>699</w:t>
      </w:r>
      <w:r w:rsidR="00BE2FCF">
        <w:rPr>
          <w:rFonts w:ascii="Tahoma" w:hAnsi="Tahoma" w:cs="Tahoma"/>
        </w:rPr>
        <w:t>A</w:t>
      </w:r>
      <w:proofErr w:type="spellEnd"/>
      <w:r w:rsidR="00BE2FCF">
        <w:rPr>
          <w:rFonts w:ascii="Tahoma" w:hAnsi="Tahoma" w:cs="Tahoma"/>
        </w:rPr>
        <w:t xml:space="preserve"> de </w:t>
      </w:r>
      <w:r w:rsidR="00E174DD">
        <w:rPr>
          <w:rFonts w:ascii="Tahoma" w:hAnsi="Tahoma" w:cs="Tahoma"/>
        </w:rPr>
        <w:t>2007</w:t>
      </w:r>
      <w:r w:rsidR="00DD5FCA">
        <w:rPr>
          <w:rFonts w:ascii="Tahoma" w:hAnsi="Tahoma" w:cs="Tahoma"/>
        </w:rPr>
        <w:t xml:space="preserve">, debía tenerse en cuenta que </w:t>
      </w:r>
      <w:r w:rsidR="003224D5">
        <w:rPr>
          <w:rFonts w:ascii="Tahoma" w:hAnsi="Tahoma" w:cs="Tahoma"/>
        </w:rPr>
        <w:t xml:space="preserve">el demandante tenía una enfermedad progresiva y degenerativa y </w:t>
      </w:r>
      <w:r w:rsidR="00DD5FCA">
        <w:rPr>
          <w:rFonts w:ascii="Tahoma" w:hAnsi="Tahoma" w:cs="Tahoma"/>
        </w:rPr>
        <w:t xml:space="preserve">continuó </w:t>
      </w:r>
      <w:r w:rsidR="003224D5">
        <w:rPr>
          <w:rFonts w:ascii="Tahoma" w:hAnsi="Tahoma" w:cs="Tahoma"/>
        </w:rPr>
        <w:t>cotizando después de la fecha de invalidez</w:t>
      </w:r>
      <w:r w:rsidR="00DD5FCA">
        <w:rPr>
          <w:rFonts w:ascii="Tahoma" w:hAnsi="Tahoma" w:cs="Tahoma"/>
        </w:rPr>
        <w:t>.</w:t>
      </w:r>
    </w:p>
    <w:p w:rsidR="00DD5FCA" w:rsidRDefault="00DD5FCA" w:rsidP="00A37482">
      <w:pPr>
        <w:spacing w:line="276" w:lineRule="auto"/>
        <w:jc w:val="both"/>
        <w:rPr>
          <w:rFonts w:ascii="Tahoma" w:hAnsi="Tahoma" w:cs="Tahoma"/>
        </w:rPr>
      </w:pPr>
    </w:p>
    <w:p w:rsidR="0068405C" w:rsidRDefault="00DD5FCA" w:rsidP="00A37482">
      <w:pPr>
        <w:spacing w:line="276" w:lineRule="auto"/>
        <w:jc w:val="both"/>
        <w:rPr>
          <w:rFonts w:ascii="Tahoma" w:hAnsi="Tahoma" w:cs="Tahoma"/>
        </w:rPr>
      </w:pPr>
      <w:r>
        <w:rPr>
          <w:rFonts w:ascii="Tahoma" w:hAnsi="Tahoma" w:cs="Tahoma"/>
        </w:rPr>
        <w:tab/>
        <w:t xml:space="preserve">Agregó que en el reporte de semanas cotizadas emitido por </w:t>
      </w:r>
      <w:proofErr w:type="spellStart"/>
      <w:r>
        <w:rPr>
          <w:rFonts w:ascii="Tahoma" w:hAnsi="Tahoma" w:cs="Tahoma"/>
        </w:rPr>
        <w:t>Colpensiones</w:t>
      </w:r>
      <w:proofErr w:type="spellEnd"/>
      <w:r>
        <w:rPr>
          <w:rFonts w:ascii="Tahoma" w:hAnsi="Tahoma" w:cs="Tahoma"/>
        </w:rPr>
        <w:t xml:space="preserve"> </w:t>
      </w:r>
      <w:r w:rsidR="00331096">
        <w:rPr>
          <w:rFonts w:ascii="Tahoma" w:hAnsi="Tahoma" w:cs="Tahoma"/>
        </w:rPr>
        <w:t xml:space="preserve">se </w:t>
      </w:r>
      <w:r>
        <w:rPr>
          <w:rFonts w:ascii="Tahoma" w:hAnsi="Tahoma" w:cs="Tahoma"/>
        </w:rPr>
        <w:t>evidencia que el demandante cotizó para pensión hasta el 31 de diciembre de 2012, es decir, que su enfermedad le permitió seguir laborando mucho tiempo después de la estructuración de la invalidez</w:t>
      </w:r>
      <w:r w:rsidR="0068405C">
        <w:rPr>
          <w:rFonts w:ascii="Tahoma" w:hAnsi="Tahoma" w:cs="Tahoma"/>
        </w:rPr>
        <w:t>,</w:t>
      </w:r>
      <w:r>
        <w:rPr>
          <w:rFonts w:ascii="Tahoma" w:hAnsi="Tahoma" w:cs="Tahoma"/>
        </w:rPr>
        <w:t xml:space="preserve"> y que </w:t>
      </w:r>
      <w:proofErr w:type="spellStart"/>
      <w:r>
        <w:rPr>
          <w:rFonts w:ascii="Tahoma" w:hAnsi="Tahoma" w:cs="Tahoma"/>
        </w:rPr>
        <w:t>Colpensiones</w:t>
      </w:r>
      <w:proofErr w:type="spellEnd"/>
      <w:r>
        <w:rPr>
          <w:rFonts w:ascii="Tahoma" w:hAnsi="Tahoma" w:cs="Tahoma"/>
        </w:rPr>
        <w:t xml:space="preserve"> le continúo recibiendo los aportes hasta dicha fecha, pero </w:t>
      </w:r>
      <w:r w:rsidR="0068405C">
        <w:rPr>
          <w:rFonts w:ascii="Tahoma" w:hAnsi="Tahoma" w:cs="Tahoma"/>
        </w:rPr>
        <w:t xml:space="preserve">no los </w:t>
      </w:r>
      <w:r>
        <w:rPr>
          <w:rFonts w:ascii="Tahoma" w:hAnsi="Tahoma" w:cs="Tahoma"/>
        </w:rPr>
        <w:t xml:space="preserve">tuvo en cuenta al momento de </w:t>
      </w:r>
      <w:r w:rsidR="00331096">
        <w:rPr>
          <w:rFonts w:ascii="Tahoma" w:hAnsi="Tahoma" w:cs="Tahoma"/>
        </w:rPr>
        <w:t xml:space="preserve">negar </w:t>
      </w:r>
      <w:r>
        <w:rPr>
          <w:rFonts w:ascii="Tahoma" w:hAnsi="Tahoma" w:cs="Tahoma"/>
        </w:rPr>
        <w:t>la pensión de invalidez</w:t>
      </w:r>
      <w:r w:rsidR="00331096">
        <w:rPr>
          <w:rFonts w:ascii="Tahoma" w:hAnsi="Tahoma" w:cs="Tahoma"/>
        </w:rPr>
        <w:t xml:space="preserve">. Y señala que </w:t>
      </w:r>
      <w:r>
        <w:rPr>
          <w:rFonts w:ascii="Tahoma" w:hAnsi="Tahoma" w:cs="Tahoma"/>
        </w:rPr>
        <w:t xml:space="preserve">la </w:t>
      </w:r>
      <w:r w:rsidR="0068405C">
        <w:rPr>
          <w:rFonts w:ascii="Tahoma" w:hAnsi="Tahoma" w:cs="Tahoma"/>
        </w:rPr>
        <w:t xml:space="preserve">Corte Constitucional </w:t>
      </w:r>
      <w:r w:rsidR="00331096">
        <w:rPr>
          <w:rFonts w:ascii="Tahoma" w:hAnsi="Tahoma" w:cs="Tahoma"/>
        </w:rPr>
        <w:t xml:space="preserve">ha analizado casos </w:t>
      </w:r>
      <w:r>
        <w:rPr>
          <w:rFonts w:ascii="Tahoma" w:hAnsi="Tahoma" w:cs="Tahoma"/>
        </w:rPr>
        <w:t>de invalidez causada por enfermedad congénita</w:t>
      </w:r>
      <w:r w:rsidR="00331096">
        <w:rPr>
          <w:rFonts w:ascii="Tahoma" w:hAnsi="Tahoma" w:cs="Tahoma"/>
        </w:rPr>
        <w:t>,</w:t>
      </w:r>
      <w:r>
        <w:rPr>
          <w:rFonts w:ascii="Tahoma" w:hAnsi="Tahoma" w:cs="Tahoma"/>
        </w:rPr>
        <w:t xml:space="preserve"> crónica o degenerativa </w:t>
      </w:r>
      <w:r w:rsidR="00331096">
        <w:rPr>
          <w:rFonts w:ascii="Tahoma" w:hAnsi="Tahoma" w:cs="Tahoma"/>
        </w:rPr>
        <w:t xml:space="preserve">en los que </w:t>
      </w:r>
      <w:r>
        <w:rPr>
          <w:rFonts w:ascii="Tahoma" w:hAnsi="Tahoma" w:cs="Tahoma"/>
        </w:rPr>
        <w:t xml:space="preserve">los fondos de pensiones ponen como fecha de estructuración de invalidez </w:t>
      </w:r>
      <w:r w:rsidR="00331096">
        <w:rPr>
          <w:rFonts w:ascii="Tahoma" w:hAnsi="Tahoma" w:cs="Tahoma"/>
        </w:rPr>
        <w:t>aquel</w:t>
      </w:r>
      <w:r>
        <w:rPr>
          <w:rFonts w:ascii="Tahoma" w:hAnsi="Tahoma" w:cs="Tahoma"/>
        </w:rPr>
        <w:t xml:space="preserve">la en que al paciente le apareció el primer síntoma y no </w:t>
      </w:r>
      <w:r w:rsidR="00331096">
        <w:rPr>
          <w:rFonts w:ascii="Tahoma" w:hAnsi="Tahoma" w:cs="Tahoma"/>
        </w:rPr>
        <w:t xml:space="preserve">en la que </w:t>
      </w:r>
      <w:r>
        <w:rPr>
          <w:rFonts w:ascii="Tahoma" w:hAnsi="Tahoma" w:cs="Tahoma"/>
        </w:rPr>
        <w:t>por su estado de salud ya no pudo volver a trabajar</w:t>
      </w:r>
      <w:r w:rsidR="0068405C">
        <w:rPr>
          <w:rFonts w:ascii="Tahoma" w:hAnsi="Tahoma" w:cs="Tahoma"/>
        </w:rPr>
        <w:t xml:space="preserve">, </w:t>
      </w:r>
      <w:r w:rsidR="00331096">
        <w:rPr>
          <w:rFonts w:ascii="Tahoma" w:hAnsi="Tahoma" w:cs="Tahoma"/>
        </w:rPr>
        <w:t xml:space="preserve">precisando dicho órgano </w:t>
      </w:r>
      <w:r w:rsidR="0068405C">
        <w:rPr>
          <w:rFonts w:ascii="Tahoma" w:hAnsi="Tahoma" w:cs="Tahoma"/>
        </w:rPr>
        <w:t>que al no contabilizar</w:t>
      </w:r>
      <w:r w:rsidR="00331096">
        <w:rPr>
          <w:rFonts w:ascii="Tahoma" w:hAnsi="Tahoma" w:cs="Tahoma"/>
        </w:rPr>
        <w:t>se</w:t>
      </w:r>
      <w:r w:rsidR="0068405C">
        <w:rPr>
          <w:rFonts w:ascii="Tahoma" w:hAnsi="Tahoma" w:cs="Tahoma"/>
        </w:rPr>
        <w:t xml:space="preserve"> </w:t>
      </w:r>
      <w:r w:rsidR="00331096">
        <w:rPr>
          <w:rFonts w:ascii="Tahoma" w:hAnsi="Tahoma" w:cs="Tahoma"/>
        </w:rPr>
        <w:t>las</w:t>
      </w:r>
      <w:r w:rsidR="0068405C">
        <w:rPr>
          <w:rFonts w:ascii="Tahoma" w:hAnsi="Tahoma" w:cs="Tahoma"/>
        </w:rPr>
        <w:t xml:space="preserve"> semanas que el accionante cotizó con posterioridad a la fecha de estructuración</w:t>
      </w:r>
      <w:r w:rsidR="00331096">
        <w:rPr>
          <w:rFonts w:ascii="Tahoma" w:hAnsi="Tahoma" w:cs="Tahoma"/>
        </w:rPr>
        <w:t>, se</w:t>
      </w:r>
      <w:r w:rsidR="0068405C">
        <w:rPr>
          <w:rFonts w:ascii="Tahoma" w:hAnsi="Tahoma" w:cs="Tahoma"/>
        </w:rPr>
        <w:t xml:space="preserve"> vulnera</w:t>
      </w:r>
      <w:r w:rsidR="00331096">
        <w:rPr>
          <w:rFonts w:ascii="Tahoma" w:hAnsi="Tahoma" w:cs="Tahoma"/>
        </w:rPr>
        <w:t>n</w:t>
      </w:r>
      <w:r w:rsidR="0068405C">
        <w:rPr>
          <w:rFonts w:ascii="Tahoma" w:hAnsi="Tahoma" w:cs="Tahoma"/>
        </w:rPr>
        <w:t xml:space="preserve"> sus derechos fundamentales a la seguridad social y al mínimo vital.</w:t>
      </w:r>
    </w:p>
    <w:p w:rsidR="00942FBE" w:rsidRPr="003D36AB" w:rsidRDefault="00942FBE" w:rsidP="00871F9F">
      <w:pPr>
        <w:pStyle w:val="Sangradetextonormal"/>
        <w:spacing w:line="276" w:lineRule="auto"/>
        <w:ind w:firstLine="561"/>
      </w:pPr>
    </w:p>
    <w:p w:rsidR="009C50D0" w:rsidRPr="003D36AB" w:rsidRDefault="009C50D0" w:rsidP="00871F9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3D36AB">
        <w:rPr>
          <w:rFonts w:ascii="Tahoma" w:hAnsi="Tahoma" w:cs="Tahoma"/>
          <w:b/>
        </w:rPr>
        <w:t>Consideraciones</w:t>
      </w:r>
    </w:p>
    <w:p w:rsidR="009C50D0" w:rsidRPr="003D36AB" w:rsidRDefault="009C50D0" w:rsidP="00871F9F">
      <w:pPr>
        <w:tabs>
          <w:tab w:val="left" w:pos="567"/>
        </w:tabs>
        <w:spacing w:line="276" w:lineRule="auto"/>
        <w:jc w:val="both"/>
        <w:rPr>
          <w:rFonts w:ascii="Tahoma" w:hAnsi="Tahoma" w:cs="Tahoma"/>
        </w:rPr>
      </w:pPr>
      <w:r w:rsidRPr="003D36AB">
        <w:rPr>
          <w:rFonts w:ascii="Tahoma" w:hAnsi="Tahoma" w:cs="Tahoma"/>
        </w:rPr>
        <w:tab/>
      </w:r>
    </w:p>
    <w:p w:rsidR="00A37482" w:rsidRPr="007B15A9" w:rsidRDefault="00A37482" w:rsidP="00A37482">
      <w:pPr>
        <w:pStyle w:val="Prrafodelista"/>
        <w:numPr>
          <w:ilvl w:val="1"/>
          <w:numId w:val="3"/>
        </w:numPr>
        <w:tabs>
          <w:tab w:val="left" w:pos="748"/>
          <w:tab w:val="num" w:pos="1122"/>
        </w:tabs>
        <w:spacing w:line="276" w:lineRule="auto"/>
        <w:jc w:val="both"/>
        <w:rPr>
          <w:rFonts w:ascii="Tahoma" w:hAnsi="Tahoma" w:cs="Tahoma"/>
          <w:b/>
        </w:rPr>
      </w:pPr>
      <w:r w:rsidRPr="007B15A9">
        <w:rPr>
          <w:rFonts w:ascii="Tahoma" w:hAnsi="Tahoma" w:cs="Tahoma"/>
          <w:b/>
        </w:rPr>
        <w:t xml:space="preserve">Supuestos fácticos probados </w:t>
      </w:r>
    </w:p>
    <w:p w:rsidR="00A37482" w:rsidRPr="007B15A9" w:rsidRDefault="00A37482" w:rsidP="00A37482">
      <w:pPr>
        <w:tabs>
          <w:tab w:val="left" w:pos="567"/>
        </w:tabs>
        <w:spacing w:line="276" w:lineRule="auto"/>
        <w:jc w:val="both"/>
        <w:rPr>
          <w:rFonts w:ascii="Tahoma" w:hAnsi="Tahoma" w:cs="Tahoma"/>
        </w:rPr>
      </w:pPr>
    </w:p>
    <w:p w:rsidR="00AD4139" w:rsidRDefault="00A37482" w:rsidP="00A37482">
      <w:pPr>
        <w:widowControl w:val="0"/>
        <w:autoSpaceDE w:val="0"/>
        <w:autoSpaceDN w:val="0"/>
        <w:adjustRightInd w:val="0"/>
        <w:spacing w:line="276" w:lineRule="auto"/>
        <w:ind w:firstLine="708"/>
        <w:jc w:val="both"/>
        <w:rPr>
          <w:rFonts w:ascii="Tahoma" w:hAnsi="Tahoma" w:cs="Tahoma"/>
        </w:rPr>
      </w:pPr>
      <w:r w:rsidRPr="007B15A9">
        <w:rPr>
          <w:rFonts w:ascii="Tahoma" w:hAnsi="Tahoma" w:cs="Tahoma"/>
        </w:rPr>
        <w:t xml:space="preserve">No existe discusión alguna en el presente asunto respecto a los siguientes supuestos fácticos: </w:t>
      </w:r>
      <w:r w:rsidRPr="007B15A9">
        <w:rPr>
          <w:rFonts w:ascii="Tahoma" w:hAnsi="Tahoma" w:cs="Tahoma"/>
          <w:i/>
        </w:rPr>
        <w:t>i)</w:t>
      </w:r>
      <w:r w:rsidRPr="007B15A9">
        <w:rPr>
          <w:rFonts w:ascii="Tahoma" w:hAnsi="Tahoma" w:cs="Tahoma"/>
        </w:rPr>
        <w:t xml:space="preserve"> que el señor J</w:t>
      </w:r>
      <w:r w:rsidR="00AD4139">
        <w:rPr>
          <w:rFonts w:ascii="Tahoma" w:hAnsi="Tahoma" w:cs="Tahoma"/>
        </w:rPr>
        <w:t>osé Fernando Cardona Velásquez fue calificado por la Junta de Calificación de Risaralda el 12 de julio de 2012, con una pérdida de capacidad laboral del 58,52% de origen común estructurada el 3 de diciembre de 2008 (</w:t>
      </w:r>
      <w:proofErr w:type="spellStart"/>
      <w:r w:rsidR="00AD4139">
        <w:rPr>
          <w:rFonts w:ascii="Tahoma" w:hAnsi="Tahoma" w:cs="Tahoma"/>
        </w:rPr>
        <w:t>fl</w:t>
      </w:r>
      <w:proofErr w:type="spellEnd"/>
      <w:r w:rsidR="00AD4139">
        <w:rPr>
          <w:rFonts w:ascii="Tahoma" w:hAnsi="Tahoma" w:cs="Tahoma"/>
        </w:rPr>
        <w:t xml:space="preserve">. 17 y s.s.); hecho que fue además aceptado por la entidad demanda en la Resolución </w:t>
      </w:r>
      <w:proofErr w:type="spellStart"/>
      <w:r w:rsidR="00AD4139">
        <w:rPr>
          <w:rFonts w:ascii="Tahoma" w:hAnsi="Tahoma" w:cs="Tahoma"/>
        </w:rPr>
        <w:t>GNR</w:t>
      </w:r>
      <w:proofErr w:type="spellEnd"/>
      <w:r w:rsidR="00AD4139">
        <w:rPr>
          <w:rFonts w:ascii="Tahoma" w:hAnsi="Tahoma" w:cs="Tahoma"/>
        </w:rPr>
        <w:t xml:space="preserve"> 124193 del 6 de junio de 2013 (</w:t>
      </w:r>
      <w:proofErr w:type="spellStart"/>
      <w:r w:rsidR="00AD4139">
        <w:rPr>
          <w:rFonts w:ascii="Tahoma" w:hAnsi="Tahoma" w:cs="Tahoma"/>
        </w:rPr>
        <w:t>fl</w:t>
      </w:r>
      <w:proofErr w:type="spellEnd"/>
      <w:r w:rsidR="00AD4139">
        <w:rPr>
          <w:rFonts w:ascii="Tahoma" w:hAnsi="Tahoma" w:cs="Tahoma"/>
        </w:rPr>
        <w:t>. 19 y s.s.)</w:t>
      </w:r>
      <w:r w:rsidR="003C6DB2">
        <w:rPr>
          <w:rFonts w:ascii="Tahoma" w:hAnsi="Tahoma" w:cs="Tahoma"/>
        </w:rPr>
        <w:t xml:space="preserve"> y, ii) que cuenta con un total de 641,57 semanas cotizadas entre el 3 de septiembre de 1987 y el 31 de diciembre de 2012, de las cuales ninguna se efectuó en los tres años anteriores a la estructuración de la invalidez</w:t>
      </w:r>
      <w:r w:rsidR="00883E45">
        <w:rPr>
          <w:rFonts w:ascii="Tahoma" w:hAnsi="Tahoma" w:cs="Tahoma"/>
        </w:rPr>
        <w:t>, pero 314,6 se efectuaron antes del 1º de abril de 1994</w:t>
      </w:r>
      <w:r w:rsidR="003C6DB2">
        <w:rPr>
          <w:rFonts w:ascii="Tahoma" w:hAnsi="Tahoma" w:cs="Tahoma"/>
        </w:rPr>
        <w:t xml:space="preserve"> (</w:t>
      </w:r>
      <w:proofErr w:type="spellStart"/>
      <w:r w:rsidR="003C6DB2">
        <w:rPr>
          <w:rFonts w:ascii="Tahoma" w:hAnsi="Tahoma" w:cs="Tahoma"/>
        </w:rPr>
        <w:t>fl</w:t>
      </w:r>
      <w:proofErr w:type="spellEnd"/>
      <w:r w:rsidR="003C6DB2">
        <w:rPr>
          <w:rFonts w:ascii="Tahoma" w:hAnsi="Tahoma" w:cs="Tahoma"/>
        </w:rPr>
        <w:t xml:space="preserve">. 44). </w:t>
      </w:r>
    </w:p>
    <w:p w:rsidR="00AD4139" w:rsidRDefault="00AD4139" w:rsidP="00A37482">
      <w:pPr>
        <w:widowControl w:val="0"/>
        <w:autoSpaceDE w:val="0"/>
        <w:autoSpaceDN w:val="0"/>
        <w:adjustRightInd w:val="0"/>
        <w:spacing w:line="276" w:lineRule="auto"/>
        <w:ind w:firstLine="708"/>
        <w:jc w:val="both"/>
        <w:rPr>
          <w:rFonts w:ascii="Tahoma" w:hAnsi="Tahoma" w:cs="Tahoma"/>
        </w:rPr>
      </w:pPr>
    </w:p>
    <w:p w:rsidR="00A37482" w:rsidRPr="007B15A9" w:rsidRDefault="00A37482" w:rsidP="00A37482">
      <w:pPr>
        <w:widowControl w:val="0"/>
        <w:autoSpaceDE w:val="0"/>
        <w:autoSpaceDN w:val="0"/>
        <w:adjustRightInd w:val="0"/>
        <w:spacing w:line="276" w:lineRule="auto"/>
        <w:ind w:firstLine="708"/>
        <w:jc w:val="both"/>
        <w:rPr>
          <w:rFonts w:ascii="Tahoma" w:hAnsi="Tahoma" w:cs="Tahoma"/>
        </w:rPr>
      </w:pPr>
      <w:r w:rsidRPr="007B15A9">
        <w:rPr>
          <w:rFonts w:ascii="Tahoma" w:hAnsi="Tahoma" w:cs="Tahoma"/>
        </w:rPr>
        <w:t>Hasta aquí debe decirse que, en principio, la norma aplicable es la vigente para el momento de</w:t>
      </w:r>
      <w:r w:rsidR="003C6DB2">
        <w:rPr>
          <w:rFonts w:ascii="Tahoma" w:hAnsi="Tahoma" w:cs="Tahoma"/>
        </w:rPr>
        <w:t xml:space="preserve"> </w:t>
      </w:r>
      <w:r w:rsidRPr="007B15A9">
        <w:rPr>
          <w:rFonts w:ascii="Tahoma" w:hAnsi="Tahoma" w:cs="Tahoma"/>
        </w:rPr>
        <w:t>l</w:t>
      </w:r>
      <w:r w:rsidR="003C6DB2">
        <w:rPr>
          <w:rFonts w:ascii="Tahoma" w:hAnsi="Tahoma" w:cs="Tahoma"/>
        </w:rPr>
        <w:t>a</w:t>
      </w:r>
      <w:r w:rsidRPr="007B15A9">
        <w:rPr>
          <w:rFonts w:ascii="Tahoma" w:hAnsi="Tahoma" w:cs="Tahoma"/>
        </w:rPr>
        <w:t xml:space="preserve"> </w:t>
      </w:r>
      <w:r w:rsidR="003C6DB2">
        <w:rPr>
          <w:rFonts w:ascii="Tahoma" w:hAnsi="Tahoma" w:cs="Tahoma"/>
        </w:rPr>
        <w:t>estructuración de la invalidez</w:t>
      </w:r>
      <w:r w:rsidRPr="007B15A9">
        <w:rPr>
          <w:rFonts w:ascii="Tahoma" w:hAnsi="Tahoma" w:cs="Tahoma"/>
        </w:rPr>
        <w:t xml:space="preserve">, que no es otra que la Ley 100 de 1993 con las modificaciones establecidas en el artículo 12 de la Ley 797 de 2003, la cual exige, entre otros, que el afiliado haya cotizado 50 semanas en los tres años anteriores al </w:t>
      </w:r>
      <w:r w:rsidR="003C6DB2">
        <w:rPr>
          <w:rFonts w:ascii="Tahoma" w:hAnsi="Tahoma" w:cs="Tahoma"/>
        </w:rPr>
        <w:t>estado incapacitante</w:t>
      </w:r>
      <w:r w:rsidRPr="007B15A9">
        <w:rPr>
          <w:rFonts w:ascii="Tahoma" w:hAnsi="Tahoma" w:cs="Tahoma"/>
        </w:rPr>
        <w:t xml:space="preserve">, requisito que </w:t>
      </w:r>
      <w:r w:rsidR="003C6DB2">
        <w:rPr>
          <w:rFonts w:ascii="Tahoma" w:hAnsi="Tahoma" w:cs="Tahoma"/>
        </w:rPr>
        <w:t xml:space="preserve">el actor </w:t>
      </w:r>
      <w:r w:rsidRPr="007B15A9">
        <w:rPr>
          <w:rFonts w:ascii="Tahoma" w:hAnsi="Tahoma" w:cs="Tahoma"/>
        </w:rPr>
        <w:t>no cumpl</w:t>
      </w:r>
      <w:r w:rsidR="003C6DB2">
        <w:rPr>
          <w:rFonts w:ascii="Tahoma" w:hAnsi="Tahoma" w:cs="Tahoma"/>
        </w:rPr>
        <w:t>e</w:t>
      </w:r>
      <w:r w:rsidRPr="007B15A9">
        <w:rPr>
          <w:rFonts w:ascii="Tahoma" w:hAnsi="Tahoma" w:cs="Tahoma"/>
        </w:rPr>
        <w:t xml:space="preserve"> según quedó demostrado y aceptado, reclamándose entonces que la pensión se reconozca en aplicación del Acuerdo 049 de 1990, en virtud del principio de la condición más beneficiosa.</w:t>
      </w:r>
    </w:p>
    <w:p w:rsidR="00A37482" w:rsidRPr="007B15A9" w:rsidRDefault="00A37482" w:rsidP="00A37482">
      <w:pPr>
        <w:widowControl w:val="0"/>
        <w:autoSpaceDE w:val="0"/>
        <w:autoSpaceDN w:val="0"/>
        <w:adjustRightInd w:val="0"/>
        <w:spacing w:line="276" w:lineRule="auto"/>
        <w:ind w:firstLine="708"/>
        <w:jc w:val="both"/>
        <w:rPr>
          <w:rFonts w:ascii="Tahoma" w:hAnsi="Tahoma" w:cs="Tahoma"/>
        </w:rPr>
      </w:pPr>
    </w:p>
    <w:p w:rsidR="00A37482" w:rsidRDefault="00A37482" w:rsidP="00A37482">
      <w:pPr>
        <w:pStyle w:val="Prrafodelista"/>
        <w:numPr>
          <w:ilvl w:val="1"/>
          <w:numId w:val="3"/>
        </w:numPr>
        <w:tabs>
          <w:tab w:val="left" w:pos="993"/>
        </w:tabs>
        <w:spacing w:line="276" w:lineRule="auto"/>
        <w:jc w:val="both"/>
        <w:rPr>
          <w:rFonts w:ascii="Tahoma" w:hAnsi="Tahoma" w:cs="Tahoma"/>
          <w:b/>
        </w:rPr>
      </w:pPr>
      <w:r w:rsidRPr="007B15A9">
        <w:rPr>
          <w:rFonts w:ascii="Tahoma" w:hAnsi="Tahoma" w:cs="Tahoma"/>
          <w:b/>
        </w:rPr>
        <w:t>Del principio de la condición más beneficiosa</w:t>
      </w:r>
    </w:p>
    <w:p w:rsidR="00A37482" w:rsidRPr="007B15A9" w:rsidRDefault="00A37482" w:rsidP="00A37482">
      <w:pPr>
        <w:tabs>
          <w:tab w:val="left" w:pos="567"/>
        </w:tabs>
        <w:spacing w:line="276" w:lineRule="auto"/>
        <w:jc w:val="both"/>
        <w:rPr>
          <w:rFonts w:ascii="Tahoma" w:hAnsi="Tahoma" w:cs="Tahoma"/>
        </w:rPr>
      </w:pPr>
    </w:p>
    <w:p w:rsidR="00632E6A" w:rsidRPr="00CC40FD" w:rsidRDefault="00632E6A" w:rsidP="00632E6A">
      <w:pPr>
        <w:pStyle w:val="Puesto"/>
        <w:spacing w:line="276" w:lineRule="auto"/>
        <w:ind w:firstLine="708"/>
        <w:jc w:val="both"/>
        <w:rPr>
          <w:rFonts w:ascii="Tahoma" w:hAnsi="Tahoma" w:cs="Tahoma"/>
        </w:rPr>
      </w:pPr>
      <w:r w:rsidRPr="00CC40FD">
        <w:rPr>
          <w:rFonts w:ascii="Tahoma" w:hAnsi="Tahoma" w:cs="Tahoma"/>
          <w:b w:val="0"/>
        </w:rPr>
        <w:t xml:space="preserve">Si bien se ha decantado suficientemente que la normatividad aplicable a la pensión de </w:t>
      </w:r>
      <w:r>
        <w:rPr>
          <w:rFonts w:ascii="Tahoma" w:hAnsi="Tahoma" w:cs="Tahoma"/>
          <w:b w:val="0"/>
        </w:rPr>
        <w:t xml:space="preserve">invalidez </w:t>
      </w:r>
      <w:r w:rsidRPr="00CC40FD">
        <w:rPr>
          <w:rFonts w:ascii="Tahoma" w:hAnsi="Tahoma" w:cs="Tahoma"/>
          <w:b w:val="0"/>
        </w:rPr>
        <w:t xml:space="preserve">es la legislación vigente al momento del fallecimiento del afiliado, esta Sala retomó la posición según la cual, por excepción, es posible acudir a la legislación anterior con el fin de determinar la concesión o no de la gracia pensional, en aplicación del </w:t>
      </w:r>
      <w:r w:rsidRPr="00CC40FD">
        <w:rPr>
          <w:rFonts w:ascii="Tahoma" w:hAnsi="Tahoma" w:cs="Tahoma"/>
          <w:b w:val="0"/>
          <w:i/>
        </w:rPr>
        <w:t>“Principio de la condición más beneficiosa</w:t>
      </w:r>
      <w:r w:rsidRPr="00CC40FD">
        <w:rPr>
          <w:rFonts w:ascii="Tahoma" w:hAnsi="Tahoma" w:cs="Tahoma"/>
          <w:b w:val="0"/>
        </w:rPr>
        <w:t>”.</w:t>
      </w:r>
    </w:p>
    <w:p w:rsidR="00632E6A" w:rsidRPr="007B15A9" w:rsidRDefault="00632E6A" w:rsidP="00632E6A">
      <w:pPr>
        <w:spacing w:line="276" w:lineRule="auto"/>
        <w:jc w:val="both"/>
        <w:rPr>
          <w:rFonts w:ascii="Tahoma" w:hAnsi="Tahoma" w:cs="Tahoma"/>
        </w:rPr>
      </w:pPr>
    </w:p>
    <w:p w:rsidR="00632E6A" w:rsidRDefault="00632E6A" w:rsidP="00632E6A">
      <w:pPr>
        <w:spacing w:line="276" w:lineRule="auto"/>
        <w:ind w:firstLine="708"/>
        <w:jc w:val="both"/>
        <w:rPr>
          <w:rFonts w:ascii="Tahoma" w:hAnsi="Tahoma" w:cs="Tahoma"/>
          <w:spacing w:val="-2"/>
        </w:rPr>
      </w:pPr>
      <w:r w:rsidRPr="007B15A9">
        <w:rPr>
          <w:rFonts w:ascii="Tahoma" w:hAnsi="Tahoma" w:cs="Tahoma"/>
          <w:spacing w:val="-2"/>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7B15A9">
          <w:rPr>
            <w:rFonts w:ascii="Tahoma" w:hAnsi="Tahoma" w:cs="Tahoma"/>
            <w:spacing w:val="-2"/>
          </w:rPr>
          <w:t>1990 a</w:t>
        </w:r>
      </w:smartTag>
      <w:r w:rsidRPr="007B15A9">
        <w:rPr>
          <w:rFonts w:ascii="Tahoma" w:hAnsi="Tahoma" w:cs="Tahoma"/>
          <w:spacing w:val="-2"/>
        </w:rPr>
        <w:t xml:space="preserve">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rsidR="00632E6A" w:rsidRDefault="00632E6A" w:rsidP="00632E6A">
      <w:pPr>
        <w:spacing w:line="276" w:lineRule="auto"/>
        <w:ind w:firstLine="708"/>
        <w:jc w:val="both"/>
        <w:rPr>
          <w:rFonts w:ascii="Tahoma" w:hAnsi="Tahoma" w:cs="Tahoma"/>
          <w:spacing w:val="-2"/>
        </w:rPr>
      </w:pPr>
    </w:p>
    <w:p w:rsidR="00632E6A" w:rsidRDefault="00632E6A" w:rsidP="00632E6A">
      <w:pPr>
        <w:spacing w:line="276" w:lineRule="auto"/>
        <w:ind w:firstLine="708"/>
        <w:jc w:val="both"/>
        <w:rPr>
          <w:rFonts w:ascii="Tahoma" w:hAnsi="Tahoma" w:cs="Tahoma"/>
          <w:spacing w:val="-2"/>
        </w:rPr>
      </w:pPr>
      <w:r>
        <w:rPr>
          <w:rFonts w:ascii="Tahoma" w:hAnsi="Tahoma" w:cs="Tahoma"/>
          <w:spacing w:val="-2"/>
        </w:rPr>
        <w:t xml:space="preserve">Resulta relevante manifestar que dicha Corporación acepta el principio de la condición más beneficiosa pero sólo para aplicar </w:t>
      </w:r>
      <w:proofErr w:type="spellStart"/>
      <w:r>
        <w:rPr>
          <w:rFonts w:ascii="Tahoma" w:hAnsi="Tahoma" w:cs="Tahoma"/>
          <w:spacing w:val="-2"/>
        </w:rPr>
        <w:t>ultractivamente</w:t>
      </w:r>
      <w:proofErr w:type="spellEnd"/>
      <w:r>
        <w:rPr>
          <w:rFonts w:ascii="Tahoma" w:hAnsi="Tahoma" w:cs="Tahoma"/>
          <w:spacing w:val="-2"/>
        </w:rPr>
        <w:t xml:space="preserve"> la norma inmediatamente anterior. Ello quiere decir, por ejemplo, que la Corte Suprema de Justicia no acepta la aplicación del Acuerdo 049 de 1990 si la muerte o la estructuración de la invalidez, según el caso, ocurre en vigencia de la Ley 797 u 860 de 2003, porque según su tesis está de por medio le Ley 100 en su versión original. 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rsidR="00632E6A" w:rsidRDefault="00632E6A" w:rsidP="00632E6A">
      <w:pPr>
        <w:spacing w:line="276" w:lineRule="auto"/>
        <w:ind w:firstLine="708"/>
        <w:jc w:val="both"/>
        <w:rPr>
          <w:rFonts w:ascii="Tahoma" w:hAnsi="Tahoma" w:cs="Tahoma"/>
          <w:spacing w:val="-2"/>
        </w:rPr>
      </w:pPr>
    </w:p>
    <w:p w:rsidR="00632E6A" w:rsidRPr="00F353FD" w:rsidRDefault="00632E6A" w:rsidP="00632E6A">
      <w:pPr>
        <w:overflowPunct w:val="0"/>
        <w:autoSpaceDE w:val="0"/>
        <w:autoSpaceDN w:val="0"/>
        <w:adjustRightInd w:val="0"/>
        <w:ind w:left="708"/>
        <w:jc w:val="both"/>
        <w:textAlignment w:val="baseline"/>
        <w:rPr>
          <w:rFonts w:ascii="Arial Narrow" w:eastAsia="MS Mincho" w:hAnsi="Arial Narrow"/>
          <w:i/>
          <w:lang w:val="es-CO"/>
        </w:rPr>
      </w:pPr>
      <w:r w:rsidRPr="00F353FD">
        <w:rPr>
          <w:rFonts w:ascii="Arial Narrow" w:eastAsia="MS Mincho" w:hAnsi="Arial Narrow"/>
          <w:i/>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632E6A" w:rsidRPr="00F353FD" w:rsidRDefault="00632E6A" w:rsidP="00632E6A">
      <w:pPr>
        <w:overflowPunct w:val="0"/>
        <w:autoSpaceDE w:val="0"/>
        <w:autoSpaceDN w:val="0"/>
        <w:adjustRightInd w:val="0"/>
        <w:ind w:left="708"/>
        <w:jc w:val="both"/>
        <w:textAlignment w:val="baseline"/>
        <w:rPr>
          <w:rFonts w:ascii="Arial Narrow" w:eastAsia="MS Mincho" w:hAnsi="Arial Narrow"/>
          <w:i/>
          <w:lang w:val="es-CO"/>
        </w:rPr>
      </w:pPr>
    </w:p>
    <w:p w:rsidR="00632E6A" w:rsidRPr="00240433" w:rsidRDefault="00632E6A" w:rsidP="00632E6A">
      <w:pPr>
        <w:ind w:left="709"/>
        <w:jc w:val="both"/>
        <w:rPr>
          <w:rFonts w:ascii="Arial Narrow" w:eastAsia="MS Mincho" w:hAnsi="Arial Narrow"/>
          <w:i/>
          <w:lang w:val="es-CO"/>
        </w:rPr>
      </w:pPr>
      <w:r w:rsidRPr="00F353FD">
        <w:rPr>
          <w:rFonts w:ascii="Arial Narrow" w:eastAsia="MS Mincho" w:hAnsi="Arial Narrow"/>
          <w:i/>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w:t>
      </w:r>
      <w:r>
        <w:rPr>
          <w:rFonts w:ascii="Arial Narrow" w:eastAsia="MS Mincho" w:hAnsi="Arial Narrow"/>
          <w:i/>
          <w:lang w:val="es-CO"/>
        </w:rPr>
        <w:t xml:space="preserve"> (…)”</w:t>
      </w:r>
    </w:p>
    <w:p w:rsidR="00632E6A" w:rsidRDefault="00632E6A" w:rsidP="00632E6A">
      <w:pPr>
        <w:spacing w:line="276" w:lineRule="auto"/>
        <w:jc w:val="both"/>
        <w:rPr>
          <w:rFonts w:ascii="Tahoma" w:hAnsi="Tahoma" w:cs="Tahoma"/>
          <w:spacing w:val="-2"/>
        </w:rPr>
      </w:pPr>
    </w:p>
    <w:p w:rsidR="00632E6A" w:rsidRDefault="00632E6A" w:rsidP="00632E6A">
      <w:pPr>
        <w:spacing w:line="276" w:lineRule="auto"/>
        <w:jc w:val="both"/>
        <w:rPr>
          <w:rFonts w:ascii="Tahoma" w:hAnsi="Tahoma" w:cs="Tahoma"/>
          <w:spacing w:val="-2"/>
        </w:rPr>
      </w:pPr>
      <w:r>
        <w:rPr>
          <w:rFonts w:ascii="Tahoma" w:hAnsi="Tahoma" w:cs="Tahoma"/>
          <w:spacing w:val="-2"/>
        </w:rPr>
        <w:tab/>
        <w:t>Más adelante expresó:</w:t>
      </w:r>
    </w:p>
    <w:p w:rsidR="00632E6A" w:rsidRDefault="00632E6A" w:rsidP="00632E6A">
      <w:pPr>
        <w:spacing w:line="276" w:lineRule="auto"/>
        <w:jc w:val="both"/>
        <w:rPr>
          <w:rFonts w:ascii="Tahoma" w:hAnsi="Tahoma" w:cs="Tahoma"/>
          <w:spacing w:val="-2"/>
        </w:rPr>
      </w:pPr>
    </w:p>
    <w:p w:rsidR="00632E6A" w:rsidRPr="00F353FD" w:rsidRDefault="00632E6A" w:rsidP="00632E6A">
      <w:pPr>
        <w:shd w:val="clear" w:color="auto" w:fill="FFFFFF"/>
        <w:tabs>
          <w:tab w:val="left" w:pos="8789"/>
        </w:tabs>
        <w:ind w:left="708" w:right="51"/>
        <w:jc w:val="both"/>
        <w:rPr>
          <w:rFonts w:ascii="Arial Narrow" w:hAnsi="Arial Narrow"/>
          <w:i/>
          <w:iCs/>
          <w:color w:val="000000"/>
        </w:rPr>
      </w:pPr>
      <w:r>
        <w:rPr>
          <w:rFonts w:ascii="Arial Narrow" w:hAnsi="Arial Narrow"/>
          <w:i/>
          <w:iCs/>
          <w:color w:val="000000"/>
        </w:rPr>
        <w:t>“</w:t>
      </w:r>
      <w:r w:rsidRPr="00F353FD">
        <w:rPr>
          <w:rFonts w:ascii="Arial Narrow" w:hAnsi="Arial Narrow"/>
          <w:i/>
          <w:iCs/>
          <w:color w:val="000000"/>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F353FD">
        <w:rPr>
          <w:rFonts w:ascii="Arial Narrow" w:hAnsi="Arial Narrow"/>
          <w:i/>
          <w:iCs/>
          <w:color w:val="000000"/>
        </w:rPr>
        <w:t>aún</w:t>
      </w:r>
      <w:proofErr w:type="spellEnd"/>
      <w:r w:rsidRPr="00F353FD">
        <w:rPr>
          <w:rFonts w:ascii="Arial Narrow" w:hAnsi="Arial Narrow"/>
          <w:i/>
          <w:iCs/>
          <w:color w:val="000000"/>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632E6A" w:rsidRDefault="00632E6A" w:rsidP="00632E6A">
      <w:pPr>
        <w:spacing w:line="276" w:lineRule="auto"/>
        <w:jc w:val="both"/>
        <w:rPr>
          <w:rFonts w:ascii="Tahoma" w:hAnsi="Tahoma" w:cs="Tahoma"/>
          <w:spacing w:val="-2"/>
        </w:rPr>
      </w:pPr>
    </w:p>
    <w:p w:rsidR="00632E6A" w:rsidRDefault="00632E6A" w:rsidP="00632E6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Precisamente, </w:t>
      </w:r>
      <w:r w:rsidRPr="007B15A9">
        <w:rPr>
          <w:rFonts w:ascii="Tahoma" w:hAnsi="Tahoma" w:cs="Tahoma"/>
        </w:rPr>
        <w:t xml:space="preserve">por </w:t>
      </w:r>
      <w:r>
        <w:rPr>
          <w:rFonts w:ascii="Tahoma" w:hAnsi="Tahoma" w:cs="Tahoma"/>
        </w:rPr>
        <w:t xml:space="preserve">lo anterior </w:t>
      </w:r>
      <w:r w:rsidRPr="007B15A9">
        <w:rPr>
          <w:rFonts w:ascii="Tahoma" w:hAnsi="Tahoma" w:cs="Tahoma"/>
        </w:rPr>
        <w:t>la Corte Co</w:t>
      </w:r>
      <w:r>
        <w:rPr>
          <w:rFonts w:ascii="Tahoma" w:hAnsi="Tahoma" w:cs="Tahoma"/>
        </w:rPr>
        <w:t>nstitucional en sede de tutela</w:t>
      </w:r>
      <w:r w:rsidRPr="007B15A9">
        <w:rPr>
          <w:rFonts w:ascii="Tahoma" w:hAnsi="Tahoma" w:cs="Tahoma"/>
        </w:rPr>
        <w:t xml:space="preserve"> </w:t>
      </w:r>
      <w:r>
        <w:rPr>
          <w:rFonts w:ascii="Tahoma" w:hAnsi="Tahoma" w:cs="Tahoma"/>
        </w:rPr>
        <w:t xml:space="preserve">ha ordenado </w:t>
      </w:r>
      <w:r w:rsidRPr="007B15A9">
        <w:rPr>
          <w:rFonts w:ascii="Tahoma" w:hAnsi="Tahoma" w:cs="Tahoma"/>
        </w:rPr>
        <w:t>la aplicación del Acuerdo 049 de 1990 en casos en los cuales la muerte o invalidez se dieron en vigencia de las Leyes 797 u 860 de 2003</w:t>
      </w:r>
      <w:r>
        <w:rPr>
          <w:rFonts w:ascii="Tahoma" w:hAnsi="Tahoma" w:cs="Tahoma"/>
        </w:rPr>
        <w:t xml:space="preserve">, aduciendo que cuando una disposición </w:t>
      </w:r>
      <w:r w:rsidRPr="00E9336B">
        <w:rPr>
          <w:rFonts w:ascii="Tahoma" w:hAnsi="Tahoma" w:cs="Tahoma"/>
        </w:rPr>
        <w:t xml:space="preserve">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E9336B">
        <w:rPr>
          <w:rFonts w:ascii="Tahoma" w:hAnsi="Tahoma" w:cs="Tahoma"/>
        </w:rPr>
        <w:t>inaplicando</w:t>
      </w:r>
      <w:proofErr w:type="spellEnd"/>
      <w:r w:rsidRPr="00E9336B">
        <w:rPr>
          <w:rFonts w:ascii="Tahoma" w:hAnsi="Tahoma" w:cs="Tahoma"/>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E9336B">
          <w:rPr>
            <w:rFonts w:ascii="Tahoma" w:hAnsi="Tahoma" w:cs="Tahoma"/>
          </w:rPr>
          <w:t>062</w:t>
        </w:r>
      </w:smartTag>
      <w:r w:rsidRPr="00E9336B">
        <w:rPr>
          <w:rFonts w:ascii="Tahoma" w:hAnsi="Tahoma" w:cs="Tahoma"/>
        </w:rPr>
        <w:t xml:space="preserve"> A del 4 de febrero de 2011, en la que reprodujo lo dicho en las sentencias T-383 de 2009 y T-628 de 2007.</w:t>
      </w:r>
    </w:p>
    <w:p w:rsidR="00632E6A" w:rsidRDefault="00632E6A" w:rsidP="00632E6A">
      <w:pPr>
        <w:widowControl w:val="0"/>
        <w:autoSpaceDE w:val="0"/>
        <w:autoSpaceDN w:val="0"/>
        <w:adjustRightInd w:val="0"/>
        <w:spacing w:line="276" w:lineRule="auto"/>
        <w:ind w:firstLine="708"/>
        <w:jc w:val="both"/>
        <w:rPr>
          <w:rFonts w:ascii="Tahoma" w:hAnsi="Tahoma" w:cs="Tahoma"/>
        </w:rPr>
      </w:pPr>
    </w:p>
    <w:p w:rsidR="00632E6A" w:rsidRDefault="00632E6A" w:rsidP="00632E6A">
      <w:pPr>
        <w:autoSpaceDE w:val="0"/>
        <w:autoSpaceDN w:val="0"/>
        <w:adjustRightInd w:val="0"/>
        <w:spacing w:line="276" w:lineRule="auto"/>
        <w:ind w:firstLine="708"/>
        <w:jc w:val="both"/>
        <w:rPr>
          <w:rFonts w:ascii="Tahoma" w:hAnsi="Tahoma" w:cs="Tahoma"/>
        </w:rPr>
      </w:pPr>
      <w:r>
        <w:rPr>
          <w:rFonts w:ascii="Tahoma" w:hAnsi="Tahoma" w:cs="Tahoma"/>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25 semanas en ese mismo periodo conforme al parágrafo 2º del artículo 1º de la Ley 860 de 2003), en el cual concluyó la Corte lo siguiente: </w:t>
      </w:r>
      <w:r w:rsidRPr="00D97761">
        <w:rPr>
          <w:rFonts w:ascii="Tahoma" w:hAnsi="Tahoma" w:cs="Tahoma"/>
          <w:i/>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D97761">
        <w:rPr>
          <w:rFonts w:ascii="Tahoma" w:hAnsi="Tahoma" w:cs="Tahoma"/>
        </w:rPr>
        <w:t>.</w:t>
      </w:r>
    </w:p>
    <w:p w:rsidR="00632E6A" w:rsidRPr="007B15A9" w:rsidRDefault="00632E6A" w:rsidP="00632E6A">
      <w:pPr>
        <w:spacing w:line="276" w:lineRule="auto"/>
        <w:jc w:val="both"/>
        <w:rPr>
          <w:rFonts w:ascii="Tahoma" w:hAnsi="Tahoma" w:cs="Tahoma"/>
          <w:spacing w:val="-2"/>
        </w:rPr>
      </w:pPr>
    </w:p>
    <w:p w:rsidR="00632E6A" w:rsidRDefault="00632E6A" w:rsidP="00632E6A">
      <w:pPr>
        <w:spacing w:line="276" w:lineRule="auto"/>
        <w:ind w:firstLine="708"/>
        <w:jc w:val="both"/>
        <w:rPr>
          <w:rFonts w:ascii="Tahoma" w:hAnsi="Tahoma" w:cs="Tahoma"/>
          <w:spacing w:val="-2"/>
        </w:rPr>
      </w:pPr>
      <w:r w:rsidRPr="00883E45">
        <w:rPr>
          <w:rFonts w:ascii="Tahoma" w:hAnsi="Tahoma" w:cs="Tahoma"/>
          <w:spacing w:val="-2"/>
        </w:rPr>
        <w:t xml:space="preserve">Esta Corporación </w:t>
      </w:r>
      <w:r>
        <w:rPr>
          <w:rFonts w:ascii="Tahoma" w:hAnsi="Tahoma" w:cs="Tahoma"/>
          <w:spacing w:val="-2"/>
        </w:rPr>
        <w:t xml:space="preserve">por la mayoría de sus integrantes, en consonancia con la Corte Constitucional, </w:t>
      </w:r>
      <w:r w:rsidRPr="00883E45">
        <w:rPr>
          <w:rFonts w:ascii="Tahoma" w:hAnsi="Tahoma" w:cs="Tahoma"/>
          <w:spacing w:val="-2"/>
        </w:rPr>
        <w:t>aplic</w:t>
      </w:r>
      <w:r>
        <w:rPr>
          <w:rFonts w:ascii="Tahoma" w:hAnsi="Tahoma" w:cs="Tahoma"/>
          <w:spacing w:val="-2"/>
        </w:rPr>
        <w:t>a</w:t>
      </w:r>
      <w:r w:rsidRPr="00883E45">
        <w:rPr>
          <w:rFonts w:ascii="Tahoma" w:hAnsi="Tahoma" w:cs="Tahoma"/>
          <w:spacing w:val="-2"/>
        </w:rPr>
        <w:t xml:space="preserve"> el principio de la condición más beneficiosa no solo para los casos de tránsito de una ley a otra sino cuando se produ</w:t>
      </w:r>
      <w:r>
        <w:rPr>
          <w:rFonts w:ascii="Tahoma" w:hAnsi="Tahoma" w:cs="Tahoma"/>
          <w:spacing w:val="-2"/>
        </w:rPr>
        <w:t>jo</w:t>
      </w:r>
      <w:r w:rsidRPr="00883E45">
        <w:rPr>
          <w:rFonts w:ascii="Tahoma" w:hAnsi="Tahoma" w:cs="Tahoma"/>
          <w:spacing w:val="-2"/>
        </w:rPr>
        <w:t xml:space="preserve"> el cambio de un sistema a otro</w:t>
      </w:r>
      <w:r>
        <w:rPr>
          <w:rFonts w:ascii="Tahoma" w:hAnsi="Tahoma" w:cs="Tahoma"/>
          <w:spacing w:val="-2"/>
        </w:rPr>
        <w:t>,</w:t>
      </w:r>
      <w:r w:rsidRPr="00883E45">
        <w:rPr>
          <w:rFonts w:ascii="Tahoma" w:hAnsi="Tahoma" w:cs="Tahoma"/>
          <w:spacing w:val="-2"/>
        </w:rPr>
        <w:t xml:space="preserve"> como ocurrió con la entrada en vigencia de la Ley 100 de 1993</w:t>
      </w:r>
      <w:r>
        <w:rPr>
          <w:rFonts w:ascii="Tahoma" w:hAnsi="Tahoma" w:cs="Tahoma"/>
          <w:spacing w:val="-2"/>
        </w:rPr>
        <w:t>,</w:t>
      </w:r>
      <w:r w:rsidRPr="00883E45">
        <w:rPr>
          <w:rFonts w:ascii="Tahoma" w:hAnsi="Tahoma" w:cs="Tahoma"/>
          <w:spacing w:val="-2"/>
        </w:rPr>
        <w:t xml:space="preserve"> que cambió las bases axiológicas y filosóficas e incluso las prestaciones y las entidades responsables de la seguridad social en pensiones que traía el Acuerdo 049 de 1.990, pero que no obstante ello el legislador se abstuvo de </w:t>
      </w:r>
      <w:proofErr w:type="spellStart"/>
      <w:r w:rsidRPr="00883E45">
        <w:rPr>
          <w:rFonts w:ascii="Tahoma" w:hAnsi="Tahoma" w:cs="Tahoma"/>
          <w:spacing w:val="-2"/>
        </w:rPr>
        <w:t>preveer</w:t>
      </w:r>
      <w:proofErr w:type="spellEnd"/>
      <w:r w:rsidRPr="00883E45">
        <w:rPr>
          <w:rFonts w:ascii="Tahoma" w:hAnsi="Tahoma" w:cs="Tahoma"/>
          <w:spacing w:val="-2"/>
        </w:rPr>
        <w:t xml:space="preserve"> un régimen de transición en materia de pensión de sobrevivientes y pensión de invalidez como sí lo hizo para las pensiones de vejez, tesis que se acogió en consideración a que la falta de un régimen </w:t>
      </w:r>
      <w:r w:rsidRPr="007B15A9">
        <w:rPr>
          <w:rFonts w:ascii="Tahoma" w:hAnsi="Tahoma" w:cs="Tahoma"/>
          <w:spacing w:val="-2"/>
        </w:rPr>
        <w:t>de transición afectó gravemente y sin una suficiente justificación  los derechos pre-adquiridos y las legítimas expectativas que traían los afiliados del viejo sistema, bajo cuyos postulados ya habían causado el derecho al momento de entrar en vigencia el nuevo sistema.</w:t>
      </w:r>
    </w:p>
    <w:p w:rsidR="00632E6A" w:rsidRPr="007B15A9" w:rsidRDefault="00632E6A" w:rsidP="00632E6A">
      <w:pPr>
        <w:spacing w:line="276" w:lineRule="auto"/>
        <w:ind w:firstLine="708"/>
        <w:jc w:val="both"/>
        <w:rPr>
          <w:rFonts w:ascii="Tahoma" w:hAnsi="Tahoma" w:cs="Tahoma"/>
          <w:spacing w:val="-2"/>
        </w:rPr>
      </w:pPr>
    </w:p>
    <w:p w:rsidR="00632E6A" w:rsidRPr="007B15A9" w:rsidRDefault="00632E6A" w:rsidP="00632E6A">
      <w:pPr>
        <w:widowControl w:val="0"/>
        <w:autoSpaceDE w:val="0"/>
        <w:autoSpaceDN w:val="0"/>
        <w:adjustRightInd w:val="0"/>
        <w:spacing w:line="276" w:lineRule="auto"/>
        <w:ind w:firstLine="708"/>
        <w:jc w:val="both"/>
        <w:rPr>
          <w:rFonts w:ascii="Tahoma" w:hAnsi="Tahoma" w:cs="Tahoma"/>
          <w:i/>
        </w:rPr>
      </w:pPr>
      <w:r w:rsidRPr="007B15A9">
        <w:rPr>
          <w:rFonts w:ascii="Tahoma" w:hAnsi="Tahoma" w:cs="Tahoma"/>
          <w:spacing w:val="-2"/>
        </w:rPr>
        <w:t xml:space="preserve">La ratio </w:t>
      </w:r>
      <w:proofErr w:type="spellStart"/>
      <w:r w:rsidRPr="007B15A9">
        <w:rPr>
          <w:rFonts w:ascii="Tahoma" w:hAnsi="Tahoma" w:cs="Tahoma"/>
          <w:spacing w:val="-2"/>
        </w:rPr>
        <w:t>decidendi</w:t>
      </w:r>
      <w:proofErr w:type="spellEnd"/>
      <w:r w:rsidRPr="007B15A9">
        <w:rPr>
          <w:rFonts w:ascii="Tahoma" w:hAnsi="Tahoma" w:cs="Tahoma"/>
          <w:spacing w:val="-2"/>
        </w:rPr>
        <w:t xml:space="preserve"> de esa tesis</w:t>
      </w:r>
      <w:r>
        <w:rPr>
          <w:rFonts w:ascii="Tahoma" w:hAnsi="Tahoma" w:cs="Tahoma"/>
          <w:spacing w:val="-2"/>
        </w:rPr>
        <w:t xml:space="preserve">, que </w:t>
      </w:r>
      <w:r w:rsidRPr="007B15A9">
        <w:rPr>
          <w:rFonts w:ascii="Tahoma" w:hAnsi="Tahoma" w:cs="Tahoma"/>
          <w:spacing w:val="-2"/>
        </w:rPr>
        <w:t>va mucho más allá de las consideraciones de la Corte Suprema de Justicia</w:t>
      </w:r>
      <w:r>
        <w:rPr>
          <w:rFonts w:ascii="Tahoma" w:hAnsi="Tahoma" w:cs="Tahoma"/>
          <w:spacing w:val="-2"/>
        </w:rPr>
        <w:t xml:space="preserve"> y en cambio se acompasa a las de la Corte Constitucional</w:t>
      </w:r>
      <w:r w:rsidRPr="007B15A9">
        <w:rPr>
          <w:rFonts w:ascii="Tahoma" w:hAnsi="Tahoma" w:cs="Tahoma"/>
          <w:spacing w:val="-2"/>
        </w:rPr>
        <w:t xml:space="preserve"> sobre el punto, argumentó que </w:t>
      </w:r>
      <w:r w:rsidRPr="00F63468">
        <w:rPr>
          <w:rFonts w:ascii="Tahoma" w:hAnsi="Tahoma" w:cs="Tahoma"/>
          <w:i/>
          <w:spacing w:val="-2"/>
        </w:rPr>
        <w:t>“</w:t>
      </w:r>
      <w:r w:rsidRPr="007B15A9">
        <w:rPr>
          <w:rFonts w:ascii="Tahoma" w:hAnsi="Tahoma" w:cs="Tahoma"/>
          <w:i/>
        </w:rPr>
        <w:t>el principio de la condición más beneficiosa frente a las prestaciones económicas de invalidez y sobrevivencia, continúa siendo aplicable en aquellos casos en los que en vigencia del Acuerdo 049 de 1990, se cotizaron más de 300 semanas en toda la vida laboral o 150 semanas en los 6 años anteriores al 1º de abril de 1994 y 150 en las 6 anualidades que prosiguieron a dicha fecha</w:t>
      </w:r>
      <w:r w:rsidRPr="007B15A9">
        <w:rPr>
          <w:rStyle w:val="Refdenotaalpie"/>
          <w:rFonts w:ascii="Tahoma" w:hAnsi="Tahoma" w:cs="Tahoma"/>
        </w:rPr>
        <w:footnoteReference w:id="1"/>
      </w:r>
      <w:r w:rsidRPr="007B15A9">
        <w:rPr>
          <w:rFonts w:ascii="Tahoma" w:hAnsi="Tahoma" w:cs="Tahoma"/>
          <w:i/>
        </w:rPr>
        <w:t xml:space="preserve"> y el hecho incapacitante o el deceso, se presentó en vigencia del </w:t>
      </w:r>
      <w:r w:rsidRPr="007B15A9">
        <w:rPr>
          <w:rFonts w:ascii="Tahoma" w:hAnsi="Tahoma" w:cs="Tahoma"/>
          <w:b/>
          <w:i/>
        </w:rPr>
        <w:t xml:space="preserve">sistema pensional </w:t>
      </w:r>
      <w:r w:rsidRPr="007B15A9">
        <w:rPr>
          <w:rFonts w:ascii="Tahoma" w:hAnsi="Tahoma" w:cs="Tahoma"/>
          <w:i/>
        </w:rPr>
        <w:t xml:space="preserve">contenido en la Ley 100 de 1993, porque en todo caso, las exigencias actuales son inferiores a las establecidas en aquel Acuerdo y resultaría altamente lesivo conceder prestaciones a quienes hayan aportado 26 </w:t>
      </w:r>
      <w:proofErr w:type="spellStart"/>
      <w:r w:rsidRPr="007B15A9">
        <w:rPr>
          <w:rFonts w:ascii="Tahoma" w:hAnsi="Tahoma" w:cs="Tahoma"/>
          <w:i/>
        </w:rPr>
        <w:t>ó</w:t>
      </w:r>
      <w:proofErr w:type="spellEnd"/>
      <w:r w:rsidRPr="007B15A9">
        <w:rPr>
          <w:rFonts w:ascii="Tahoma" w:hAnsi="Tahoma" w:cs="Tahoma"/>
          <w:i/>
        </w:rPr>
        <w:t xml:space="preserve"> 50 semanas en un período determinado y no a quienes hicieron cotizaciones al sistema pensional en cuantía superior a las 300 semanas”.</w:t>
      </w:r>
    </w:p>
    <w:p w:rsidR="00632E6A" w:rsidRPr="007B15A9" w:rsidRDefault="00632E6A" w:rsidP="00632E6A">
      <w:pPr>
        <w:widowControl w:val="0"/>
        <w:autoSpaceDE w:val="0"/>
        <w:autoSpaceDN w:val="0"/>
        <w:adjustRightInd w:val="0"/>
        <w:spacing w:line="276" w:lineRule="auto"/>
        <w:ind w:firstLine="1122"/>
        <w:jc w:val="both"/>
        <w:rPr>
          <w:rFonts w:ascii="Tahoma" w:hAnsi="Tahoma" w:cs="Tahoma"/>
        </w:rPr>
      </w:pPr>
    </w:p>
    <w:p w:rsidR="00632E6A" w:rsidRPr="007B15A9" w:rsidRDefault="00632E6A" w:rsidP="00632E6A">
      <w:pPr>
        <w:widowControl w:val="0"/>
        <w:autoSpaceDE w:val="0"/>
        <w:autoSpaceDN w:val="0"/>
        <w:adjustRightInd w:val="0"/>
        <w:spacing w:line="276" w:lineRule="auto"/>
        <w:ind w:firstLine="708"/>
        <w:jc w:val="both"/>
        <w:rPr>
          <w:rFonts w:ascii="Tahoma" w:hAnsi="Tahoma" w:cs="Tahoma"/>
        </w:rPr>
      </w:pPr>
      <w:r w:rsidRPr="007B15A9">
        <w:rPr>
          <w:rFonts w:ascii="Tahoma" w:hAnsi="Tahoma" w:cs="Tahoma"/>
        </w:rPr>
        <w:t xml:space="preserve">Ahora, la tesis de que la aplicación del principio de la condición más beneficiosa afecta la financiación del actual sistema de seguridad social en pensiones, resulta insuficiente e ilógica si se tiene en cuenta que el afiliado cotizó un número de semanas muchísimo mayor al exigido actualmente, de modo que resulta contradictorio afirmar que una persona que cotiza 26 semanas o 50 aporta más recursos al sistema que aquel que cotizó 300 en toda su vida laboral o 150 en los 6 años anteriores a la ley 100 de 1993 más 150 en los 6 años anteriores a la ocurrencia del óbito o la invalidez, por cuenta de una fórmula financiera que si bien difiere de la aplicada en el sistema anterior, de todas maneras jamás puede desconocer que en el antiguo régimen también se reguló la forma de financiar la pensión de sobrevivientes y la pensión de invalidez. </w:t>
      </w:r>
    </w:p>
    <w:p w:rsidR="009C50D0" w:rsidRPr="003D36AB" w:rsidRDefault="009C50D0" w:rsidP="00AD4139">
      <w:pPr>
        <w:pStyle w:val="Textoindependiente"/>
        <w:spacing w:after="0" w:line="276" w:lineRule="auto"/>
        <w:ind w:right="51"/>
        <w:jc w:val="both"/>
        <w:rPr>
          <w:rFonts w:ascii="Tahoma" w:hAnsi="Tahoma" w:cs="Tahoma"/>
          <w:b/>
        </w:rPr>
      </w:pPr>
    </w:p>
    <w:p w:rsidR="0033794D" w:rsidRPr="00883E45" w:rsidRDefault="00353576" w:rsidP="00AD4139">
      <w:pPr>
        <w:tabs>
          <w:tab w:val="left" w:pos="748"/>
        </w:tabs>
        <w:spacing w:line="276" w:lineRule="auto"/>
        <w:jc w:val="both"/>
        <w:rPr>
          <w:rFonts w:ascii="Tahoma" w:hAnsi="Tahoma" w:cs="Tahoma"/>
          <w:b/>
        </w:rPr>
      </w:pPr>
      <w:r>
        <w:rPr>
          <w:rFonts w:ascii="Tahoma" w:hAnsi="Tahoma" w:cs="Tahoma"/>
        </w:rPr>
        <w:tab/>
      </w:r>
      <w:r w:rsidR="00883E45" w:rsidRPr="00883E45">
        <w:rPr>
          <w:rFonts w:ascii="Tahoma" w:hAnsi="Tahoma" w:cs="Tahoma"/>
          <w:b/>
        </w:rPr>
        <w:t>4.3 Caso concreto</w:t>
      </w:r>
    </w:p>
    <w:p w:rsidR="00AD4139" w:rsidRDefault="00AD4139" w:rsidP="00AD4139">
      <w:pPr>
        <w:tabs>
          <w:tab w:val="left" w:pos="748"/>
        </w:tabs>
        <w:spacing w:line="276" w:lineRule="auto"/>
        <w:jc w:val="both"/>
        <w:rPr>
          <w:rFonts w:ascii="Tahoma" w:hAnsi="Tahoma" w:cs="Tahoma"/>
        </w:rPr>
      </w:pPr>
    </w:p>
    <w:p w:rsidR="00AD4139" w:rsidRDefault="00AF5FC0" w:rsidP="00AD4139">
      <w:pPr>
        <w:autoSpaceDE w:val="0"/>
        <w:autoSpaceDN w:val="0"/>
        <w:adjustRightInd w:val="0"/>
        <w:spacing w:line="276" w:lineRule="auto"/>
        <w:ind w:firstLine="708"/>
        <w:jc w:val="both"/>
        <w:rPr>
          <w:rFonts w:ascii="Tahoma" w:hAnsi="Tahoma" w:cs="Tahoma"/>
        </w:rPr>
      </w:pPr>
      <w:r>
        <w:rPr>
          <w:rFonts w:ascii="Tahoma" w:hAnsi="Tahoma" w:cs="Tahoma"/>
        </w:rPr>
        <w:t xml:space="preserve">Basta el análisis que expuesto precedentemente para apartarse </w:t>
      </w:r>
      <w:r w:rsidR="00AD4139" w:rsidRPr="000B70AA">
        <w:rPr>
          <w:rFonts w:ascii="Tahoma" w:hAnsi="Tahoma" w:cs="Tahoma"/>
        </w:rPr>
        <w:t xml:space="preserve">del criterio </w:t>
      </w:r>
      <w:r w:rsidR="00AD4139">
        <w:rPr>
          <w:rFonts w:ascii="Tahoma" w:hAnsi="Tahoma" w:cs="Tahoma"/>
        </w:rPr>
        <w:t xml:space="preserve">que tuvo </w:t>
      </w:r>
      <w:r w:rsidR="00AD4139" w:rsidRPr="000B70AA">
        <w:rPr>
          <w:rFonts w:ascii="Tahoma" w:hAnsi="Tahoma" w:cs="Tahoma"/>
        </w:rPr>
        <w:t xml:space="preserve">la A-quo para no aplicar el Acuerdo 049 de 1990, </w:t>
      </w:r>
      <w:r w:rsidR="00AD4139">
        <w:rPr>
          <w:rFonts w:ascii="Tahoma" w:hAnsi="Tahoma" w:cs="Tahoma"/>
        </w:rPr>
        <w:t xml:space="preserve">pues </w:t>
      </w:r>
      <w:r>
        <w:rPr>
          <w:rFonts w:ascii="Tahoma" w:hAnsi="Tahoma" w:cs="Tahoma"/>
        </w:rPr>
        <w:t xml:space="preserve">como se vio, </w:t>
      </w:r>
      <w:r w:rsidR="00AD4139">
        <w:rPr>
          <w:rFonts w:ascii="Tahoma" w:hAnsi="Tahoma" w:cs="Tahoma"/>
        </w:rPr>
        <w:t xml:space="preserve">la </w:t>
      </w:r>
      <w:r w:rsidRPr="00AF5FC0">
        <w:rPr>
          <w:rFonts w:ascii="Tahoma" w:hAnsi="Tahoma" w:cs="Tahoma"/>
          <w:i/>
        </w:rPr>
        <w:t xml:space="preserve">ratio </w:t>
      </w:r>
      <w:proofErr w:type="spellStart"/>
      <w:r w:rsidRPr="00AF5FC0">
        <w:rPr>
          <w:rFonts w:ascii="Tahoma" w:hAnsi="Tahoma" w:cs="Tahoma"/>
          <w:i/>
        </w:rPr>
        <w:t>decidendi</w:t>
      </w:r>
      <w:proofErr w:type="spellEnd"/>
      <w:r>
        <w:rPr>
          <w:rFonts w:ascii="Tahoma" w:hAnsi="Tahoma" w:cs="Tahoma"/>
        </w:rPr>
        <w:t xml:space="preserve"> de la</w:t>
      </w:r>
      <w:r w:rsidR="00AD4139">
        <w:rPr>
          <w:rFonts w:ascii="Tahoma" w:hAnsi="Tahoma" w:cs="Tahoma"/>
        </w:rPr>
        <w:t xml:space="preserve"> tesis </w:t>
      </w:r>
      <w:r>
        <w:rPr>
          <w:rFonts w:ascii="Tahoma" w:hAnsi="Tahoma" w:cs="Tahoma"/>
        </w:rPr>
        <w:t xml:space="preserve">de </w:t>
      </w:r>
      <w:r w:rsidR="00632E6A">
        <w:rPr>
          <w:rFonts w:ascii="Tahoma" w:hAnsi="Tahoma" w:cs="Tahoma"/>
        </w:rPr>
        <w:t xml:space="preserve">la mayoría de </w:t>
      </w:r>
      <w:r>
        <w:rPr>
          <w:rFonts w:ascii="Tahoma" w:hAnsi="Tahoma" w:cs="Tahoma"/>
        </w:rPr>
        <w:t>est</w:t>
      </w:r>
      <w:r w:rsidR="00632E6A">
        <w:rPr>
          <w:rFonts w:ascii="Tahoma" w:hAnsi="Tahoma" w:cs="Tahoma"/>
        </w:rPr>
        <w:t xml:space="preserve">a Sala </w:t>
      </w:r>
      <w:r w:rsidR="00AD4139">
        <w:rPr>
          <w:rFonts w:ascii="Tahoma" w:hAnsi="Tahoma" w:cs="Tahoma"/>
        </w:rPr>
        <w:t>se fundamenta en que el principio de la condición más beneficiosa no sólo se aplica por un cambio normativo sino también por un tránsito de sistema en materia de seguridad social en pensiones de invalidez y sobrevivientes, como sucedió con la sucesión que se dio del sistema establecido en el Acuerdo 049 de 1990 al adoptado por la Ley 100 de 1993.</w:t>
      </w:r>
    </w:p>
    <w:p w:rsidR="00AD4139" w:rsidRDefault="00AD4139" w:rsidP="00AD4139">
      <w:pPr>
        <w:autoSpaceDE w:val="0"/>
        <w:autoSpaceDN w:val="0"/>
        <w:adjustRightInd w:val="0"/>
        <w:spacing w:line="276" w:lineRule="auto"/>
        <w:ind w:firstLine="708"/>
        <w:jc w:val="both"/>
        <w:rPr>
          <w:rFonts w:ascii="Tahoma" w:hAnsi="Tahoma" w:cs="Tahoma"/>
        </w:rPr>
      </w:pPr>
    </w:p>
    <w:p w:rsidR="00AD4139" w:rsidRDefault="00AD4139" w:rsidP="00AD4139">
      <w:pPr>
        <w:autoSpaceDE w:val="0"/>
        <w:autoSpaceDN w:val="0"/>
        <w:adjustRightInd w:val="0"/>
        <w:spacing w:line="276" w:lineRule="auto"/>
        <w:ind w:firstLine="708"/>
        <w:jc w:val="both"/>
        <w:rPr>
          <w:rFonts w:ascii="Tahoma" w:hAnsi="Tahoma" w:cs="Tahoma"/>
        </w:rPr>
      </w:pPr>
      <w:r>
        <w:rPr>
          <w:rFonts w:ascii="Tahoma" w:hAnsi="Tahoma" w:cs="Tahoma"/>
        </w:rPr>
        <w:t xml:space="preserve">En efecto, en el sub lite </w:t>
      </w:r>
      <w:r w:rsidRPr="00B64E3B">
        <w:rPr>
          <w:rFonts w:ascii="Tahoma" w:hAnsi="Tahoma" w:cs="Tahoma"/>
        </w:rPr>
        <w:t>resulta aplicable el</w:t>
      </w:r>
      <w:r>
        <w:rPr>
          <w:rFonts w:ascii="Tahoma" w:hAnsi="Tahoma" w:cs="Tahoma"/>
        </w:rPr>
        <w:t xml:space="preserve"> </w:t>
      </w:r>
      <w:r w:rsidRPr="00B64E3B">
        <w:rPr>
          <w:rFonts w:ascii="Tahoma" w:hAnsi="Tahoma" w:cs="Tahoma"/>
        </w:rPr>
        <w:t xml:space="preserve">principio de la condición más beneficiosa </w:t>
      </w:r>
      <w:r>
        <w:rPr>
          <w:rFonts w:ascii="Tahoma" w:hAnsi="Tahoma" w:cs="Tahoma"/>
        </w:rPr>
        <w:t xml:space="preserve">y es factible </w:t>
      </w:r>
      <w:r w:rsidRPr="00B64E3B">
        <w:rPr>
          <w:rFonts w:ascii="Tahoma" w:hAnsi="Tahoma" w:cs="Tahoma"/>
        </w:rPr>
        <w:t>acudir al Acuerdo 049 de 1990,</w:t>
      </w:r>
      <w:r>
        <w:rPr>
          <w:rFonts w:ascii="Tahoma" w:hAnsi="Tahoma" w:cs="Tahoma"/>
        </w:rPr>
        <w:t xml:space="preserve"> </w:t>
      </w:r>
      <w:r w:rsidRPr="00B64E3B">
        <w:rPr>
          <w:rFonts w:ascii="Tahoma" w:hAnsi="Tahoma" w:cs="Tahoma"/>
        </w:rPr>
        <w:t>pues al 1º de abril de 1994 el asegurado contaba con las semanas exigidas en</w:t>
      </w:r>
      <w:r>
        <w:rPr>
          <w:rFonts w:ascii="Tahoma" w:hAnsi="Tahoma" w:cs="Tahoma"/>
        </w:rPr>
        <w:t xml:space="preserve"> </w:t>
      </w:r>
      <w:r w:rsidRPr="00B64E3B">
        <w:rPr>
          <w:rFonts w:ascii="Tahoma" w:hAnsi="Tahoma" w:cs="Tahoma"/>
        </w:rPr>
        <w:t xml:space="preserve">dicha norma para aplicarla, dado que sumaba </w:t>
      </w:r>
      <w:r w:rsidR="00AF5FC0">
        <w:rPr>
          <w:rFonts w:ascii="Tahoma" w:hAnsi="Tahoma" w:cs="Tahoma"/>
        </w:rPr>
        <w:t>314,6</w:t>
      </w:r>
      <w:r w:rsidRPr="00B64E3B">
        <w:rPr>
          <w:rFonts w:ascii="Tahoma" w:hAnsi="Tahoma" w:cs="Tahoma"/>
        </w:rPr>
        <w:t xml:space="preserve"> semanas, cifra que</w:t>
      </w:r>
      <w:r>
        <w:rPr>
          <w:rFonts w:ascii="Tahoma" w:hAnsi="Tahoma" w:cs="Tahoma"/>
        </w:rPr>
        <w:t xml:space="preserve"> </w:t>
      </w:r>
      <w:r w:rsidRPr="00B64E3B">
        <w:rPr>
          <w:rFonts w:ascii="Tahoma" w:hAnsi="Tahoma" w:cs="Tahoma"/>
        </w:rPr>
        <w:t>resulta muy superior a las 300 exigidas por el canon 6º de ese cuerpo legal.</w:t>
      </w:r>
    </w:p>
    <w:p w:rsidR="00AD4139" w:rsidRPr="00B64E3B" w:rsidRDefault="00AD4139" w:rsidP="00AD4139">
      <w:pPr>
        <w:autoSpaceDE w:val="0"/>
        <w:autoSpaceDN w:val="0"/>
        <w:adjustRightInd w:val="0"/>
        <w:spacing w:line="276" w:lineRule="auto"/>
        <w:jc w:val="both"/>
        <w:rPr>
          <w:rFonts w:ascii="Tahoma" w:hAnsi="Tahoma" w:cs="Tahoma"/>
        </w:rPr>
      </w:pPr>
    </w:p>
    <w:p w:rsidR="00AD4139" w:rsidRDefault="00AD4139" w:rsidP="00AD4139">
      <w:pPr>
        <w:autoSpaceDE w:val="0"/>
        <w:autoSpaceDN w:val="0"/>
        <w:adjustRightInd w:val="0"/>
        <w:spacing w:line="276" w:lineRule="auto"/>
        <w:ind w:firstLine="708"/>
        <w:jc w:val="both"/>
        <w:rPr>
          <w:rFonts w:ascii="Tahoma" w:hAnsi="Tahoma" w:cs="Tahoma"/>
        </w:rPr>
      </w:pPr>
      <w:r w:rsidRPr="00B64E3B">
        <w:rPr>
          <w:rFonts w:ascii="Tahoma" w:hAnsi="Tahoma" w:cs="Tahoma"/>
        </w:rPr>
        <w:t>Así las cosas, teniendo en cuenta que el demandante cumplió con los requisitos</w:t>
      </w:r>
      <w:r>
        <w:rPr>
          <w:rFonts w:ascii="Tahoma" w:hAnsi="Tahoma" w:cs="Tahoma"/>
        </w:rPr>
        <w:t xml:space="preserve"> </w:t>
      </w:r>
      <w:r w:rsidRPr="00B64E3B">
        <w:rPr>
          <w:rFonts w:ascii="Tahoma" w:hAnsi="Tahoma" w:cs="Tahoma"/>
        </w:rPr>
        <w:t xml:space="preserve">exigidos en el anterior sistema de seguridad social, como son: el de </w:t>
      </w:r>
      <w:r>
        <w:rPr>
          <w:rFonts w:ascii="Tahoma" w:hAnsi="Tahoma" w:cs="Tahoma"/>
        </w:rPr>
        <w:t>contar con una pérdida de capacidad laboral superior al 50% -58.</w:t>
      </w:r>
      <w:r w:rsidR="00AF5FC0">
        <w:rPr>
          <w:rFonts w:ascii="Tahoma" w:hAnsi="Tahoma" w:cs="Tahoma"/>
        </w:rPr>
        <w:t>52</w:t>
      </w:r>
      <w:r>
        <w:rPr>
          <w:rFonts w:ascii="Tahoma" w:hAnsi="Tahoma" w:cs="Tahoma"/>
        </w:rPr>
        <w:t xml:space="preserve">%- </w:t>
      </w:r>
      <w:r w:rsidRPr="00B64E3B">
        <w:rPr>
          <w:rFonts w:ascii="Tahoma" w:hAnsi="Tahoma" w:cs="Tahoma"/>
        </w:rPr>
        <w:t>y</w:t>
      </w:r>
      <w:r>
        <w:rPr>
          <w:rFonts w:ascii="Tahoma" w:hAnsi="Tahoma" w:cs="Tahoma"/>
        </w:rPr>
        <w:t xml:space="preserve"> </w:t>
      </w:r>
      <w:r w:rsidRPr="00B64E3B">
        <w:rPr>
          <w:rFonts w:ascii="Tahoma" w:hAnsi="Tahoma" w:cs="Tahoma"/>
        </w:rPr>
        <w:t xml:space="preserve">tener </w:t>
      </w:r>
      <w:r>
        <w:rPr>
          <w:rFonts w:ascii="Tahoma" w:hAnsi="Tahoma" w:cs="Tahoma"/>
        </w:rPr>
        <w:t xml:space="preserve">más de </w:t>
      </w:r>
      <w:r w:rsidRPr="00B64E3B">
        <w:rPr>
          <w:rFonts w:ascii="Tahoma" w:hAnsi="Tahoma" w:cs="Tahoma"/>
        </w:rPr>
        <w:t>300 semanas cotizadas con anterioridad al 1º de abril de 1994, tal como se</w:t>
      </w:r>
      <w:r>
        <w:rPr>
          <w:rFonts w:ascii="Tahoma" w:hAnsi="Tahoma" w:cs="Tahoma"/>
        </w:rPr>
        <w:t xml:space="preserve"> </w:t>
      </w:r>
      <w:r w:rsidRPr="00B64E3B">
        <w:rPr>
          <w:rFonts w:ascii="Tahoma" w:hAnsi="Tahoma" w:cs="Tahoma"/>
        </w:rPr>
        <w:t>relacionó anteriormente, considera esta Sala que, acudiendo al principio de la</w:t>
      </w:r>
      <w:r>
        <w:rPr>
          <w:rFonts w:ascii="Tahoma" w:hAnsi="Tahoma" w:cs="Tahoma"/>
        </w:rPr>
        <w:t xml:space="preserve"> </w:t>
      </w:r>
      <w:r w:rsidRPr="00B64E3B">
        <w:rPr>
          <w:rFonts w:ascii="Tahoma" w:hAnsi="Tahoma" w:cs="Tahoma"/>
        </w:rPr>
        <w:t>condición más beneficiosa, el cotizante tiene acreditado el derecho a la pensión de</w:t>
      </w:r>
      <w:r>
        <w:rPr>
          <w:rFonts w:ascii="Tahoma" w:hAnsi="Tahoma" w:cs="Tahoma"/>
        </w:rPr>
        <w:t xml:space="preserve"> </w:t>
      </w:r>
      <w:r w:rsidRPr="00B64E3B">
        <w:rPr>
          <w:rFonts w:ascii="Tahoma" w:hAnsi="Tahoma" w:cs="Tahoma"/>
        </w:rPr>
        <w:t>invalidez, conforme a las voces del artículo 6º del Acuerdo 049 de 1990 aprobado</w:t>
      </w:r>
      <w:r>
        <w:rPr>
          <w:rFonts w:ascii="Tahoma" w:hAnsi="Tahoma" w:cs="Tahoma"/>
        </w:rPr>
        <w:t xml:space="preserve"> </w:t>
      </w:r>
      <w:r w:rsidRPr="00B64E3B">
        <w:rPr>
          <w:rFonts w:ascii="Tahoma" w:hAnsi="Tahoma" w:cs="Tahoma"/>
        </w:rPr>
        <w:t>por el Decreto 758 de la misma calenda.</w:t>
      </w:r>
    </w:p>
    <w:p w:rsidR="00AD4139" w:rsidRPr="00B64E3B" w:rsidRDefault="00AD4139" w:rsidP="00AD4139">
      <w:pPr>
        <w:autoSpaceDE w:val="0"/>
        <w:autoSpaceDN w:val="0"/>
        <w:adjustRightInd w:val="0"/>
        <w:spacing w:line="276" w:lineRule="auto"/>
        <w:jc w:val="both"/>
        <w:rPr>
          <w:rFonts w:ascii="Tahoma" w:hAnsi="Tahoma" w:cs="Tahoma"/>
        </w:rPr>
      </w:pPr>
    </w:p>
    <w:p w:rsidR="00AD4139" w:rsidRDefault="00AD4139" w:rsidP="00AD4139">
      <w:pPr>
        <w:autoSpaceDE w:val="0"/>
        <w:autoSpaceDN w:val="0"/>
        <w:adjustRightInd w:val="0"/>
        <w:spacing w:line="276" w:lineRule="auto"/>
        <w:ind w:firstLine="708"/>
        <w:jc w:val="both"/>
        <w:rPr>
          <w:rFonts w:ascii="Tahoma" w:hAnsi="Tahoma" w:cs="Tahoma"/>
        </w:rPr>
      </w:pPr>
      <w:r w:rsidRPr="00B64E3B">
        <w:rPr>
          <w:rFonts w:ascii="Tahoma" w:hAnsi="Tahoma" w:cs="Tahoma"/>
        </w:rPr>
        <w:t xml:space="preserve">Corolario de todo lo hasta aquí discurrido, </w:t>
      </w:r>
      <w:r>
        <w:rPr>
          <w:rFonts w:ascii="Tahoma" w:hAnsi="Tahoma" w:cs="Tahoma"/>
        </w:rPr>
        <w:t xml:space="preserve">se </w:t>
      </w:r>
      <w:r w:rsidRPr="00B64E3B">
        <w:rPr>
          <w:rFonts w:ascii="Tahoma" w:hAnsi="Tahoma" w:cs="Tahoma"/>
        </w:rPr>
        <w:t>revocará la</w:t>
      </w:r>
      <w:r>
        <w:rPr>
          <w:rFonts w:ascii="Tahoma" w:hAnsi="Tahoma" w:cs="Tahoma"/>
        </w:rPr>
        <w:t xml:space="preserve"> </w:t>
      </w:r>
      <w:r w:rsidRPr="00B64E3B">
        <w:rPr>
          <w:rFonts w:ascii="Tahoma" w:hAnsi="Tahoma" w:cs="Tahoma"/>
        </w:rPr>
        <w:t>decisión de primer grado y en su lugar condenará a</w:t>
      </w:r>
      <w:r>
        <w:rPr>
          <w:rFonts w:ascii="Tahoma" w:hAnsi="Tahoma" w:cs="Tahoma"/>
        </w:rPr>
        <w:t xml:space="preserve"> </w:t>
      </w:r>
      <w:proofErr w:type="spellStart"/>
      <w:r>
        <w:rPr>
          <w:rFonts w:ascii="Tahoma" w:hAnsi="Tahoma" w:cs="Tahoma"/>
        </w:rPr>
        <w:t>Colpensiones</w:t>
      </w:r>
      <w:proofErr w:type="spellEnd"/>
      <w:r w:rsidR="00AF5FC0">
        <w:rPr>
          <w:rFonts w:ascii="Tahoma" w:hAnsi="Tahoma" w:cs="Tahoma"/>
        </w:rPr>
        <w:t xml:space="preserve"> </w:t>
      </w:r>
      <w:r w:rsidRPr="00B64E3B">
        <w:rPr>
          <w:rFonts w:ascii="Tahoma" w:hAnsi="Tahoma" w:cs="Tahoma"/>
        </w:rPr>
        <w:t>que reconozca y</w:t>
      </w:r>
      <w:r>
        <w:rPr>
          <w:rFonts w:ascii="Tahoma" w:hAnsi="Tahoma" w:cs="Tahoma"/>
        </w:rPr>
        <w:t xml:space="preserve"> </w:t>
      </w:r>
      <w:r w:rsidRPr="00B64E3B">
        <w:rPr>
          <w:rFonts w:ascii="Tahoma" w:hAnsi="Tahoma" w:cs="Tahoma"/>
        </w:rPr>
        <w:t xml:space="preserve">pague </w:t>
      </w:r>
      <w:r>
        <w:rPr>
          <w:rFonts w:ascii="Tahoma" w:hAnsi="Tahoma" w:cs="Tahoma"/>
        </w:rPr>
        <w:t xml:space="preserve">de manera retroactiva </w:t>
      </w:r>
      <w:r w:rsidRPr="00B64E3B">
        <w:rPr>
          <w:rFonts w:ascii="Tahoma" w:hAnsi="Tahoma" w:cs="Tahoma"/>
        </w:rPr>
        <w:t xml:space="preserve">la pensión de invalidez deprecada por el gestor del litigio, a partir del </w:t>
      </w:r>
      <w:r w:rsidR="00AF5FC0">
        <w:rPr>
          <w:rFonts w:ascii="Tahoma" w:hAnsi="Tahoma" w:cs="Tahoma"/>
        </w:rPr>
        <w:t>3 de diciembre</w:t>
      </w:r>
      <w:r>
        <w:rPr>
          <w:rFonts w:ascii="Tahoma" w:hAnsi="Tahoma" w:cs="Tahoma"/>
        </w:rPr>
        <w:t xml:space="preserve"> </w:t>
      </w:r>
      <w:r w:rsidRPr="00B64E3B">
        <w:rPr>
          <w:rFonts w:ascii="Tahoma" w:hAnsi="Tahoma" w:cs="Tahoma"/>
        </w:rPr>
        <w:t>de 2008, fecha de estructuración de la invalidez</w:t>
      </w:r>
      <w:r w:rsidR="00E37078">
        <w:rPr>
          <w:rFonts w:ascii="Tahoma" w:hAnsi="Tahoma" w:cs="Tahoma"/>
        </w:rPr>
        <w:t>, en cuantía de un salario mínimo y con dos mesadas adicionales. El</w:t>
      </w:r>
      <w:r w:rsidR="00C8178E">
        <w:rPr>
          <w:rFonts w:ascii="Tahoma" w:hAnsi="Tahoma" w:cs="Tahoma"/>
        </w:rPr>
        <w:t xml:space="preserve"> retroactivo causado entre </w:t>
      </w:r>
      <w:r w:rsidR="00E37078">
        <w:rPr>
          <w:rFonts w:ascii="Tahoma" w:hAnsi="Tahoma" w:cs="Tahoma"/>
        </w:rPr>
        <w:t>dicha calenda y el 31 de enero de los cursantes asciende a</w:t>
      </w:r>
      <w:r w:rsidR="00C8178E">
        <w:rPr>
          <w:rFonts w:ascii="Tahoma" w:hAnsi="Tahoma" w:cs="Tahoma"/>
        </w:rPr>
        <w:t xml:space="preserve"> $</w:t>
      </w:r>
      <w:r w:rsidR="00C8178E" w:rsidRPr="00F962EC">
        <w:rPr>
          <w:rFonts w:ascii="Tahoma" w:hAnsi="Tahoma" w:cs="Tahoma"/>
        </w:rPr>
        <w:t>58.015.345</w:t>
      </w:r>
      <w:r w:rsidR="008709DA">
        <w:rPr>
          <w:rFonts w:ascii="Tahoma" w:hAnsi="Tahoma" w:cs="Tahoma"/>
        </w:rPr>
        <w:t>, tal como se observa en la liquidación que se pone de presente a los asistentes y que hará parte integral del acta que se levante con ocasión de la presente diligencia.</w:t>
      </w:r>
    </w:p>
    <w:p w:rsidR="00AD4139" w:rsidRPr="00B64E3B" w:rsidRDefault="00AD4139" w:rsidP="00AD4139">
      <w:pPr>
        <w:autoSpaceDE w:val="0"/>
        <w:autoSpaceDN w:val="0"/>
        <w:adjustRightInd w:val="0"/>
        <w:spacing w:line="276" w:lineRule="auto"/>
        <w:jc w:val="both"/>
        <w:rPr>
          <w:rFonts w:ascii="Tahoma" w:hAnsi="Tahoma" w:cs="Tahoma"/>
        </w:rPr>
      </w:pPr>
    </w:p>
    <w:p w:rsidR="00AD4139" w:rsidRDefault="00AF5FC0" w:rsidP="00AD4139">
      <w:pPr>
        <w:autoSpaceDE w:val="0"/>
        <w:autoSpaceDN w:val="0"/>
        <w:adjustRightInd w:val="0"/>
        <w:spacing w:line="276" w:lineRule="auto"/>
        <w:ind w:firstLine="708"/>
        <w:jc w:val="both"/>
        <w:rPr>
          <w:rFonts w:ascii="Tahoma" w:hAnsi="Tahoma" w:cs="Tahoma"/>
        </w:rPr>
      </w:pPr>
      <w:r>
        <w:rPr>
          <w:rFonts w:ascii="Tahoma" w:hAnsi="Tahoma" w:cs="Tahoma"/>
        </w:rPr>
        <w:t xml:space="preserve">No hay lugar a estudiar excepción alguna en razón a que </w:t>
      </w:r>
      <w:proofErr w:type="spellStart"/>
      <w:r>
        <w:rPr>
          <w:rFonts w:ascii="Tahoma" w:hAnsi="Tahoma" w:cs="Tahoma"/>
        </w:rPr>
        <w:t>Colpensiones</w:t>
      </w:r>
      <w:proofErr w:type="spellEnd"/>
      <w:r>
        <w:rPr>
          <w:rFonts w:ascii="Tahoma" w:hAnsi="Tahoma" w:cs="Tahoma"/>
        </w:rPr>
        <w:t xml:space="preserve"> no contestó la demanda.</w:t>
      </w:r>
    </w:p>
    <w:p w:rsidR="00AD4139" w:rsidRPr="00B64E3B" w:rsidRDefault="00AD4139" w:rsidP="00AD4139">
      <w:pPr>
        <w:autoSpaceDE w:val="0"/>
        <w:autoSpaceDN w:val="0"/>
        <w:adjustRightInd w:val="0"/>
        <w:spacing w:line="276" w:lineRule="auto"/>
        <w:jc w:val="both"/>
        <w:rPr>
          <w:rFonts w:ascii="Tahoma" w:hAnsi="Tahoma" w:cs="Tahoma"/>
        </w:rPr>
      </w:pPr>
    </w:p>
    <w:p w:rsidR="00E37078" w:rsidRDefault="00AD4139" w:rsidP="00AD4139">
      <w:pPr>
        <w:autoSpaceDE w:val="0"/>
        <w:autoSpaceDN w:val="0"/>
        <w:adjustRightInd w:val="0"/>
        <w:spacing w:line="276" w:lineRule="auto"/>
        <w:ind w:firstLine="708"/>
        <w:jc w:val="both"/>
        <w:rPr>
          <w:rFonts w:ascii="Tahoma" w:hAnsi="Tahoma" w:cs="Tahoma"/>
        </w:rPr>
      </w:pPr>
      <w:r w:rsidRPr="00B64E3B">
        <w:rPr>
          <w:rFonts w:ascii="Tahoma" w:hAnsi="Tahoma" w:cs="Tahoma"/>
        </w:rPr>
        <w:t xml:space="preserve">Respecto a los intereses moratorios de que trata el artículo 141 de </w:t>
      </w:r>
      <w:smartTag w:uri="urn:schemas-microsoft-com:office:smarttags" w:element="PersonName">
        <w:smartTagPr>
          <w:attr w:name="ProductID" w:val="la Ley"/>
        </w:smartTagPr>
        <w:r w:rsidRPr="00B64E3B">
          <w:rPr>
            <w:rFonts w:ascii="Tahoma" w:hAnsi="Tahoma" w:cs="Tahoma"/>
          </w:rPr>
          <w:t>la Ley</w:t>
        </w:r>
      </w:smartTag>
      <w:r w:rsidRPr="00B64E3B">
        <w:rPr>
          <w:rFonts w:ascii="Tahoma" w:hAnsi="Tahoma" w:cs="Tahoma"/>
        </w:rPr>
        <w:t xml:space="preserve"> 100 de</w:t>
      </w:r>
      <w:r>
        <w:rPr>
          <w:rFonts w:ascii="Tahoma" w:hAnsi="Tahoma" w:cs="Tahoma"/>
        </w:rPr>
        <w:t xml:space="preserve"> </w:t>
      </w:r>
      <w:r w:rsidRPr="00B64E3B">
        <w:rPr>
          <w:rFonts w:ascii="Tahoma" w:hAnsi="Tahoma" w:cs="Tahoma"/>
        </w:rPr>
        <w:t xml:space="preserve">1993, </w:t>
      </w:r>
      <w:r w:rsidR="00E37078">
        <w:rPr>
          <w:rFonts w:ascii="Tahoma" w:hAnsi="Tahoma" w:cs="Tahoma"/>
        </w:rPr>
        <w:t xml:space="preserve">por concederse la prestación en virtud de una interpretación </w:t>
      </w:r>
      <w:r w:rsidR="00F962EC">
        <w:rPr>
          <w:rFonts w:ascii="Tahoma" w:hAnsi="Tahoma" w:cs="Tahoma"/>
        </w:rPr>
        <w:t>constitucional</w:t>
      </w:r>
      <w:r w:rsidR="00E37078">
        <w:rPr>
          <w:rFonts w:ascii="Tahoma" w:hAnsi="Tahoma" w:cs="Tahoma"/>
        </w:rPr>
        <w:t xml:space="preserve"> </w:t>
      </w:r>
      <w:r w:rsidR="00F962EC">
        <w:rPr>
          <w:rFonts w:ascii="Tahoma" w:hAnsi="Tahoma" w:cs="Tahoma"/>
        </w:rPr>
        <w:t>favorable, los mismos empezaran a correr una vez quede ejecutoriada la presente providencia.</w:t>
      </w:r>
    </w:p>
    <w:p w:rsidR="00E37078" w:rsidRDefault="00E37078" w:rsidP="00AD4139">
      <w:pPr>
        <w:autoSpaceDE w:val="0"/>
        <w:autoSpaceDN w:val="0"/>
        <w:adjustRightInd w:val="0"/>
        <w:spacing w:line="276" w:lineRule="auto"/>
        <w:ind w:firstLine="708"/>
        <w:jc w:val="both"/>
        <w:rPr>
          <w:rFonts w:ascii="Tahoma" w:hAnsi="Tahoma" w:cs="Tahoma"/>
        </w:rPr>
      </w:pPr>
    </w:p>
    <w:p w:rsidR="009C50D0" w:rsidRPr="003D36AB" w:rsidRDefault="009C50D0" w:rsidP="00871F9F">
      <w:pPr>
        <w:pStyle w:val="Textoindependiente"/>
        <w:spacing w:after="0" w:line="276" w:lineRule="auto"/>
        <w:ind w:right="51" w:firstLine="708"/>
        <w:jc w:val="both"/>
        <w:rPr>
          <w:rFonts w:ascii="Tahoma" w:hAnsi="Tahoma" w:cs="Tahoma"/>
        </w:rPr>
      </w:pPr>
      <w:r w:rsidRPr="003D36AB">
        <w:rPr>
          <w:rFonts w:ascii="Tahoma" w:hAnsi="Tahoma" w:cs="Tahoma"/>
        </w:rPr>
        <w:t xml:space="preserve">La condena en costas en </w:t>
      </w:r>
      <w:r w:rsidR="00F962EC">
        <w:rPr>
          <w:rFonts w:ascii="Tahoma" w:hAnsi="Tahoma" w:cs="Tahoma"/>
        </w:rPr>
        <w:t>ambas instancias correrá a cargo de la entidad demandada en un 100%</w:t>
      </w:r>
      <w:r w:rsidRPr="003D36AB">
        <w:rPr>
          <w:rFonts w:ascii="Tahoma" w:hAnsi="Tahoma" w:cs="Tahoma"/>
        </w:rPr>
        <w:t xml:space="preserve">. </w:t>
      </w:r>
    </w:p>
    <w:p w:rsidR="00F621B8" w:rsidRPr="003D36AB" w:rsidRDefault="00F621B8" w:rsidP="00871F9F">
      <w:pPr>
        <w:pStyle w:val="Textoindependiente"/>
        <w:spacing w:after="0" w:line="276" w:lineRule="auto"/>
        <w:ind w:right="51" w:firstLine="708"/>
        <w:jc w:val="both"/>
        <w:rPr>
          <w:rFonts w:ascii="Tahoma" w:hAnsi="Tahoma" w:cs="Tahoma"/>
        </w:rPr>
      </w:pPr>
    </w:p>
    <w:p w:rsidR="009C50D0" w:rsidRPr="003D36AB" w:rsidRDefault="009C50D0" w:rsidP="00F962EC">
      <w:pPr>
        <w:pStyle w:val="Sangradetextonormal"/>
        <w:spacing w:line="276" w:lineRule="auto"/>
      </w:pPr>
      <w:r w:rsidRPr="003D36AB">
        <w:t xml:space="preserve">En mérito de lo expuesto, el </w:t>
      </w:r>
      <w:r w:rsidRPr="003D36AB">
        <w:rPr>
          <w:b/>
        </w:rPr>
        <w:t>Tribunal Superior del Distrito Judicial de Pereira (Risaralda)</w:t>
      </w:r>
      <w:r w:rsidRPr="003D36AB">
        <w:t xml:space="preserve">, </w:t>
      </w:r>
      <w:r w:rsidRPr="003D36AB">
        <w:rPr>
          <w:b/>
        </w:rPr>
        <w:t>Sala Laboral</w:t>
      </w:r>
      <w:r w:rsidRPr="003D36AB">
        <w:t>, administrando justicia en nombre de la República y por autoridad de la Ley,</w:t>
      </w:r>
    </w:p>
    <w:p w:rsidR="009C50D0" w:rsidRPr="003D36AB" w:rsidRDefault="009C50D0" w:rsidP="00F962EC">
      <w:pPr>
        <w:pStyle w:val="Sangradetextonormal"/>
        <w:spacing w:line="276" w:lineRule="auto"/>
      </w:pPr>
    </w:p>
    <w:p w:rsidR="009C50D0" w:rsidRPr="003D36AB" w:rsidRDefault="009C50D0" w:rsidP="00F962EC">
      <w:pPr>
        <w:widowControl w:val="0"/>
        <w:autoSpaceDE w:val="0"/>
        <w:autoSpaceDN w:val="0"/>
        <w:adjustRightInd w:val="0"/>
        <w:spacing w:line="276" w:lineRule="auto"/>
        <w:jc w:val="center"/>
        <w:rPr>
          <w:rFonts w:ascii="Tahoma" w:hAnsi="Tahoma" w:cs="Tahoma"/>
          <w:b/>
        </w:rPr>
      </w:pPr>
      <w:r w:rsidRPr="003D36AB">
        <w:rPr>
          <w:rFonts w:ascii="Tahoma" w:hAnsi="Tahoma" w:cs="Tahoma"/>
          <w:b/>
        </w:rPr>
        <w:t>RESUELVE:</w:t>
      </w:r>
    </w:p>
    <w:p w:rsidR="009C50D0" w:rsidRPr="003D36AB" w:rsidRDefault="009C50D0" w:rsidP="00F962EC">
      <w:pPr>
        <w:widowControl w:val="0"/>
        <w:autoSpaceDE w:val="0"/>
        <w:autoSpaceDN w:val="0"/>
        <w:adjustRightInd w:val="0"/>
        <w:spacing w:line="276" w:lineRule="auto"/>
        <w:jc w:val="both"/>
        <w:rPr>
          <w:rFonts w:ascii="Tahoma" w:hAnsi="Tahoma" w:cs="Tahoma"/>
        </w:rPr>
      </w:pPr>
    </w:p>
    <w:p w:rsidR="00F962EC" w:rsidRPr="00AA0A34" w:rsidRDefault="00F962EC" w:rsidP="00F962EC">
      <w:pPr>
        <w:spacing w:line="276" w:lineRule="auto"/>
        <w:ind w:firstLine="709"/>
        <w:jc w:val="both"/>
        <w:rPr>
          <w:rFonts w:ascii="Tahoma" w:hAnsi="Tahoma" w:cs="Tahoma"/>
        </w:rPr>
      </w:pPr>
      <w:r w:rsidRPr="00AA0A34">
        <w:rPr>
          <w:rFonts w:ascii="Tahoma" w:hAnsi="Tahoma" w:cs="Tahoma"/>
          <w:b/>
          <w:u w:val="single"/>
        </w:rPr>
        <w:t>Primero</w:t>
      </w:r>
      <w:r w:rsidRPr="00AA0A34">
        <w:rPr>
          <w:rFonts w:ascii="Tahoma" w:hAnsi="Tahoma" w:cs="Tahoma"/>
        </w:rPr>
        <w:t xml:space="preserve">.- </w:t>
      </w:r>
      <w:r w:rsidRPr="00AA0A34">
        <w:rPr>
          <w:rFonts w:ascii="Tahoma" w:hAnsi="Tahoma" w:cs="Tahoma"/>
          <w:b/>
        </w:rPr>
        <w:t xml:space="preserve">Revocar </w:t>
      </w:r>
      <w:r w:rsidRPr="00AA0A34">
        <w:rPr>
          <w:rFonts w:ascii="Tahoma" w:hAnsi="Tahoma" w:cs="Tahoma"/>
        </w:rPr>
        <w:t xml:space="preserve">la sentencia proferida el </w:t>
      </w:r>
      <w:r w:rsidR="00592F7F">
        <w:rPr>
          <w:rFonts w:ascii="Tahoma" w:hAnsi="Tahoma" w:cs="Tahoma"/>
        </w:rPr>
        <w:t>24</w:t>
      </w:r>
      <w:r w:rsidRPr="00AA0A34">
        <w:rPr>
          <w:rFonts w:ascii="Tahoma" w:hAnsi="Tahoma" w:cs="Tahoma"/>
        </w:rPr>
        <w:t xml:space="preserve"> de </w:t>
      </w:r>
      <w:r w:rsidR="00592F7F">
        <w:rPr>
          <w:rFonts w:ascii="Tahoma" w:hAnsi="Tahoma" w:cs="Tahoma"/>
        </w:rPr>
        <w:t xml:space="preserve">noviembre de </w:t>
      </w:r>
      <w:r w:rsidRPr="00AA0A34">
        <w:rPr>
          <w:rFonts w:ascii="Tahoma" w:hAnsi="Tahoma" w:cs="Tahoma"/>
        </w:rPr>
        <w:t xml:space="preserve">2014 por el Juzgado Cuarto Laboral del Circuito de Pereira, dentro del proceso ordinario laboral promovido por </w:t>
      </w:r>
      <w:r w:rsidR="00C8178E">
        <w:rPr>
          <w:rFonts w:ascii="Tahoma" w:hAnsi="Tahoma" w:cs="Tahoma"/>
          <w:b/>
        </w:rPr>
        <w:t xml:space="preserve">José Fernando Cardona Velásquez </w:t>
      </w:r>
      <w:r w:rsidRPr="00AA0A34">
        <w:rPr>
          <w:rFonts w:ascii="Tahoma" w:hAnsi="Tahoma" w:cs="Tahoma"/>
        </w:rPr>
        <w:t xml:space="preserve">contra la </w:t>
      </w:r>
      <w:r w:rsidR="00C8178E" w:rsidRPr="00AA0A34">
        <w:rPr>
          <w:rFonts w:ascii="Tahoma" w:hAnsi="Tahoma" w:cs="Tahoma"/>
          <w:b/>
        </w:rPr>
        <w:t>Administradora Colombiana de Pensiones</w:t>
      </w:r>
      <w:r w:rsidR="00C8178E">
        <w:rPr>
          <w:rFonts w:ascii="Tahoma" w:hAnsi="Tahoma" w:cs="Tahoma"/>
          <w:b/>
        </w:rPr>
        <w:t xml:space="preserve"> – </w:t>
      </w:r>
      <w:proofErr w:type="spellStart"/>
      <w:r w:rsidR="00C8178E">
        <w:rPr>
          <w:rFonts w:ascii="Tahoma" w:hAnsi="Tahoma" w:cs="Tahoma"/>
          <w:b/>
        </w:rPr>
        <w:t>Colpensiones</w:t>
      </w:r>
      <w:proofErr w:type="spellEnd"/>
      <w:r w:rsidR="00C8178E">
        <w:rPr>
          <w:rFonts w:ascii="Tahoma" w:hAnsi="Tahoma" w:cs="Tahoma"/>
          <w:b/>
        </w:rPr>
        <w:t>-</w:t>
      </w:r>
      <w:r w:rsidRPr="00AA0A34">
        <w:rPr>
          <w:rFonts w:ascii="Tahoma" w:hAnsi="Tahoma" w:cs="Tahoma"/>
        </w:rPr>
        <w:t xml:space="preserve"> y</w:t>
      </w:r>
      <w:r w:rsidR="00C8178E">
        <w:rPr>
          <w:rFonts w:ascii="Tahoma" w:hAnsi="Tahoma" w:cs="Tahoma"/>
        </w:rPr>
        <w:t>,</w:t>
      </w:r>
      <w:r w:rsidRPr="00AA0A34">
        <w:rPr>
          <w:rFonts w:ascii="Tahoma" w:hAnsi="Tahoma" w:cs="Tahoma"/>
        </w:rPr>
        <w:t xml:space="preserve"> en consecuencia</w:t>
      </w:r>
    </w:p>
    <w:p w:rsidR="00F962EC" w:rsidRPr="00AA0A34" w:rsidRDefault="00F962EC" w:rsidP="00F962EC">
      <w:pPr>
        <w:spacing w:line="276" w:lineRule="auto"/>
        <w:ind w:firstLine="709"/>
        <w:jc w:val="both"/>
        <w:rPr>
          <w:rFonts w:ascii="Tahoma" w:hAnsi="Tahoma" w:cs="Tahoma"/>
        </w:rPr>
      </w:pPr>
    </w:p>
    <w:p w:rsidR="00F962EC" w:rsidRPr="00AA0A34" w:rsidRDefault="00F962EC" w:rsidP="00F962EC">
      <w:pPr>
        <w:spacing w:line="276" w:lineRule="auto"/>
        <w:ind w:firstLine="709"/>
        <w:jc w:val="both"/>
        <w:rPr>
          <w:rFonts w:ascii="Tahoma" w:hAnsi="Tahoma" w:cs="Tahoma"/>
        </w:rPr>
      </w:pPr>
      <w:r w:rsidRPr="00AA0A34">
        <w:rPr>
          <w:rFonts w:ascii="Tahoma" w:hAnsi="Tahoma" w:cs="Tahoma"/>
          <w:b/>
          <w:u w:val="single"/>
        </w:rPr>
        <w:t>Segundo</w:t>
      </w:r>
      <w:r w:rsidRPr="00AA0A34">
        <w:rPr>
          <w:rFonts w:ascii="Tahoma" w:hAnsi="Tahoma" w:cs="Tahoma"/>
        </w:rPr>
        <w:t xml:space="preserve">.- </w:t>
      </w:r>
      <w:r w:rsidRPr="00AA0A34">
        <w:rPr>
          <w:rFonts w:ascii="Tahoma" w:hAnsi="Tahoma" w:cs="Tahoma"/>
          <w:b/>
        </w:rPr>
        <w:t>Declarar</w:t>
      </w:r>
      <w:r w:rsidRPr="00AA0A34">
        <w:rPr>
          <w:rFonts w:ascii="Tahoma" w:hAnsi="Tahoma" w:cs="Tahoma"/>
        </w:rPr>
        <w:t xml:space="preserve"> que </w:t>
      </w:r>
      <w:r w:rsidR="00C8178E">
        <w:rPr>
          <w:rFonts w:ascii="Tahoma" w:hAnsi="Tahoma" w:cs="Tahoma"/>
          <w:b/>
        </w:rPr>
        <w:t>José Fernando Cardona Velásquez</w:t>
      </w:r>
      <w:r w:rsidRPr="00AA0A34">
        <w:rPr>
          <w:rFonts w:ascii="Tahoma" w:hAnsi="Tahoma" w:cs="Tahoma"/>
        </w:rPr>
        <w:t xml:space="preserve"> tiene derecho a la pensión de </w:t>
      </w:r>
      <w:r w:rsidR="00C8178E">
        <w:rPr>
          <w:rFonts w:ascii="Tahoma" w:hAnsi="Tahoma" w:cs="Tahoma"/>
        </w:rPr>
        <w:t xml:space="preserve">invalidez a partir del 3 de diciembre de 2008, </w:t>
      </w:r>
      <w:r w:rsidR="008709DA">
        <w:rPr>
          <w:rFonts w:ascii="Tahoma" w:hAnsi="Tahoma" w:cs="Tahoma"/>
        </w:rPr>
        <w:t xml:space="preserve">fecha de estructuración de su estado incapacitante, </w:t>
      </w:r>
      <w:r>
        <w:rPr>
          <w:rFonts w:ascii="Tahoma" w:hAnsi="Tahoma" w:cs="Tahoma"/>
        </w:rPr>
        <w:t xml:space="preserve">en cuantía de un salario mínimo mensual </w:t>
      </w:r>
      <w:r w:rsidR="00C8178E">
        <w:rPr>
          <w:rFonts w:ascii="Tahoma" w:hAnsi="Tahoma" w:cs="Tahoma"/>
        </w:rPr>
        <w:t>y con dos mesadas adicionales.</w:t>
      </w:r>
    </w:p>
    <w:p w:rsidR="00F962EC" w:rsidRPr="00AA0A34" w:rsidRDefault="00F962EC" w:rsidP="00F962EC">
      <w:pPr>
        <w:spacing w:line="276" w:lineRule="auto"/>
        <w:jc w:val="both"/>
        <w:rPr>
          <w:rFonts w:ascii="Tahoma" w:hAnsi="Tahoma" w:cs="Tahoma"/>
        </w:rPr>
      </w:pPr>
    </w:p>
    <w:p w:rsidR="00F962EC" w:rsidRPr="00AA0A34" w:rsidRDefault="00F962EC" w:rsidP="00F962EC">
      <w:pPr>
        <w:spacing w:line="276" w:lineRule="auto"/>
        <w:ind w:firstLine="709"/>
        <w:jc w:val="both"/>
        <w:rPr>
          <w:rFonts w:ascii="Tahoma" w:hAnsi="Tahoma" w:cs="Tahoma"/>
        </w:rPr>
      </w:pPr>
      <w:r w:rsidRPr="00AA0A34">
        <w:rPr>
          <w:rFonts w:ascii="Tahoma" w:hAnsi="Tahoma" w:cs="Tahoma"/>
          <w:b/>
          <w:u w:val="single"/>
        </w:rPr>
        <w:t>Tercero</w:t>
      </w:r>
      <w:r w:rsidRPr="00AA0A34">
        <w:rPr>
          <w:rFonts w:ascii="Tahoma" w:hAnsi="Tahoma" w:cs="Tahoma"/>
          <w:b/>
        </w:rPr>
        <w:t xml:space="preserve">.- </w:t>
      </w:r>
      <w:r w:rsidR="00C8178E" w:rsidRPr="00AA0A34">
        <w:rPr>
          <w:rFonts w:ascii="Tahoma" w:hAnsi="Tahoma" w:cs="Tahoma"/>
          <w:b/>
        </w:rPr>
        <w:t>Condenar</w:t>
      </w:r>
      <w:r w:rsidR="00C8178E" w:rsidRPr="00AA0A34">
        <w:rPr>
          <w:rFonts w:ascii="Tahoma" w:hAnsi="Tahoma" w:cs="Tahoma"/>
        </w:rPr>
        <w:t xml:space="preserve"> a la Administradora Colombiana de Pensiones </w:t>
      </w:r>
      <w:r w:rsidR="00C8178E">
        <w:rPr>
          <w:rFonts w:ascii="Tahoma" w:hAnsi="Tahoma" w:cs="Tahoma"/>
        </w:rPr>
        <w:t>“</w:t>
      </w:r>
      <w:proofErr w:type="spellStart"/>
      <w:r w:rsidR="00C8178E">
        <w:rPr>
          <w:rFonts w:ascii="Tahoma" w:hAnsi="Tahoma" w:cs="Tahoma"/>
        </w:rPr>
        <w:t>Colpensiones</w:t>
      </w:r>
      <w:proofErr w:type="spellEnd"/>
      <w:r w:rsidR="00C8178E">
        <w:rPr>
          <w:rFonts w:ascii="Tahoma" w:hAnsi="Tahoma" w:cs="Tahoma"/>
        </w:rPr>
        <w:t xml:space="preserve">” </w:t>
      </w:r>
      <w:r w:rsidR="00C8178E" w:rsidRPr="00AA0A34">
        <w:rPr>
          <w:rFonts w:ascii="Tahoma" w:hAnsi="Tahoma" w:cs="Tahoma"/>
        </w:rPr>
        <w:t>a que le</w:t>
      </w:r>
      <w:r w:rsidR="008709DA">
        <w:rPr>
          <w:rFonts w:ascii="Tahoma" w:hAnsi="Tahoma" w:cs="Tahoma"/>
        </w:rPr>
        <w:t xml:space="preserve"> reconozca y pague la pensión de invalidez </w:t>
      </w:r>
      <w:r w:rsidR="00C8178E" w:rsidRPr="00AA0A34">
        <w:rPr>
          <w:rFonts w:ascii="Tahoma" w:hAnsi="Tahoma" w:cs="Tahoma"/>
        </w:rPr>
        <w:t>a</w:t>
      </w:r>
      <w:r w:rsidR="008709DA">
        <w:rPr>
          <w:rFonts w:ascii="Tahoma" w:hAnsi="Tahoma" w:cs="Tahoma"/>
        </w:rPr>
        <w:t>l</w:t>
      </w:r>
      <w:r w:rsidR="00C8178E" w:rsidRPr="00AA0A34">
        <w:rPr>
          <w:rFonts w:ascii="Tahoma" w:hAnsi="Tahoma" w:cs="Tahoma"/>
        </w:rPr>
        <w:t xml:space="preserve"> señor </w:t>
      </w:r>
      <w:r w:rsidR="008709DA">
        <w:rPr>
          <w:rFonts w:ascii="Tahoma" w:hAnsi="Tahoma" w:cs="Tahoma"/>
          <w:b/>
        </w:rPr>
        <w:t>José Fernando Cardona Velásquez</w:t>
      </w:r>
      <w:r w:rsidR="00C8178E" w:rsidRPr="00AA0A34">
        <w:rPr>
          <w:rFonts w:ascii="Tahoma" w:hAnsi="Tahoma" w:cs="Tahoma"/>
        </w:rPr>
        <w:t xml:space="preserve">, a partir del </w:t>
      </w:r>
      <w:r w:rsidR="008709DA">
        <w:rPr>
          <w:rFonts w:ascii="Tahoma" w:hAnsi="Tahoma" w:cs="Tahoma"/>
        </w:rPr>
        <w:t>3 de diciembre de 2008</w:t>
      </w:r>
      <w:r w:rsidR="00C8178E" w:rsidRPr="00AA0A34">
        <w:rPr>
          <w:rFonts w:ascii="Tahoma" w:hAnsi="Tahoma" w:cs="Tahoma"/>
        </w:rPr>
        <w:t xml:space="preserve">, retroactivamente, en cuantía del salario mínimo legal mensual y por catorce mesadas anuales; monto que al </w:t>
      </w:r>
      <w:r w:rsidR="008709DA">
        <w:rPr>
          <w:rFonts w:ascii="Tahoma" w:hAnsi="Tahoma" w:cs="Tahoma"/>
        </w:rPr>
        <w:t xml:space="preserve">31 de enero de 2015 </w:t>
      </w:r>
      <w:r w:rsidR="00C8178E">
        <w:rPr>
          <w:rFonts w:ascii="Tahoma" w:hAnsi="Tahoma" w:cs="Tahoma"/>
        </w:rPr>
        <w:t xml:space="preserve"> asciende a </w:t>
      </w:r>
      <w:r w:rsidR="008709DA">
        <w:rPr>
          <w:rFonts w:ascii="Tahoma" w:hAnsi="Tahoma" w:cs="Tahoma"/>
        </w:rPr>
        <w:t>$</w:t>
      </w:r>
      <w:r w:rsidR="008709DA" w:rsidRPr="00F962EC">
        <w:rPr>
          <w:rFonts w:ascii="Tahoma" w:hAnsi="Tahoma" w:cs="Tahoma"/>
        </w:rPr>
        <w:t>58.015.345</w:t>
      </w:r>
      <w:r w:rsidR="008709DA" w:rsidRPr="00C8178E">
        <w:rPr>
          <w:rFonts w:ascii="Tahoma" w:hAnsi="Tahoma" w:cs="Tahoma"/>
        </w:rPr>
        <w:t>.</w:t>
      </w:r>
    </w:p>
    <w:p w:rsidR="00F962EC" w:rsidRPr="00AA0A34" w:rsidRDefault="00F962EC" w:rsidP="00F962EC">
      <w:pPr>
        <w:spacing w:line="276" w:lineRule="auto"/>
        <w:ind w:firstLine="709"/>
        <w:jc w:val="both"/>
        <w:rPr>
          <w:rFonts w:ascii="Tahoma" w:hAnsi="Tahoma" w:cs="Tahoma"/>
          <w:b/>
        </w:rPr>
      </w:pPr>
    </w:p>
    <w:p w:rsidR="00F962EC" w:rsidRPr="00AA0A34" w:rsidRDefault="00F962EC" w:rsidP="00F962EC">
      <w:pPr>
        <w:spacing w:line="276" w:lineRule="auto"/>
        <w:ind w:firstLine="708"/>
        <w:jc w:val="both"/>
        <w:rPr>
          <w:rFonts w:ascii="Tahoma" w:hAnsi="Tahoma" w:cs="Tahoma"/>
        </w:rPr>
      </w:pPr>
      <w:r w:rsidRPr="00AA0A34">
        <w:rPr>
          <w:rFonts w:ascii="Tahoma" w:hAnsi="Tahoma" w:cs="Tahoma"/>
          <w:b/>
          <w:u w:val="single"/>
        </w:rPr>
        <w:t>Cuarto</w:t>
      </w:r>
      <w:r w:rsidRPr="00AA0A34">
        <w:rPr>
          <w:rFonts w:ascii="Tahoma" w:hAnsi="Tahoma" w:cs="Tahoma"/>
          <w:b/>
        </w:rPr>
        <w:t xml:space="preserve">.- </w:t>
      </w:r>
      <w:r w:rsidR="001239AD">
        <w:rPr>
          <w:rFonts w:ascii="Tahoma" w:hAnsi="Tahoma" w:cs="Tahoma"/>
          <w:b/>
        </w:rPr>
        <w:t xml:space="preserve">Condenar </w:t>
      </w:r>
      <w:r w:rsidR="001239AD" w:rsidRPr="00AA0A34">
        <w:rPr>
          <w:rFonts w:ascii="Tahoma" w:hAnsi="Tahoma" w:cs="Tahoma"/>
        </w:rPr>
        <w:t xml:space="preserve">a la Administradora Colombiana de Pensiones </w:t>
      </w:r>
      <w:r w:rsidR="001239AD">
        <w:rPr>
          <w:rFonts w:ascii="Tahoma" w:hAnsi="Tahoma" w:cs="Tahoma"/>
        </w:rPr>
        <w:t>“</w:t>
      </w:r>
      <w:proofErr w:type="spellStart"/>
      <w:r w:rsidR="001239AD">
        <w:rPr>
          <w:rFonts w:ascii="Tahoma" w:hAnsi="Tahoma" w:cs="Tahoma"/>
        </w:rPr>
        <w:t>Colpensiones</w:t>
      </w:r>
      <w:proofErr w:type="spellEnd"/>
      <w:r w:rsidR="001239AD">
        <w:rPr>
          <w:rFonts w:ascii="Tahoma" w:hAnsi="Tahoma" w:cs="Tahoma"/>
        </w:rPr>
        <w:t>”, al pago de los intereses moratorios de que trata el artículo 141 de la Ley 100 de 1993</w:t>
      </w:r>
    </w:p>
    <w:p w:rsidR="00F962EC" w:rsidRPr="00AA0A34" w:rsidRDefault="00F962EC" w:rsidP="00F962EC">
      <w:pPr>
        <w:spacing w:line="276" w:lineRule="auto"/>
        <w:ind w:firstLine="709"/>
        <w:jc w:val="both"/>
        <w:rPr>
          <w:rFonts w:ascii="Tahoma" w:hAnsi="Tahoma" w:cs="Tahoma"/>
        </w:rPr>
      </w:pPr>
    </w:p>
    <w:p w:rsidR="00F962EC" w:rsidRPr="00AA0A34" w:rsidRDefault="00F962EC" w:rsidP="00F962EC">
      <w:pPr>
        <w:spacing w:line="276" w:lineRule="auto"/>
        <w:ind w:firstLine="709"/>
        <w:jc w:val="both"/>
        <w:rPr>
          <w:rFonts w:ascii="Tahoma" w:hAnsi="Tahoma" w:cs="Tahoma"/>
        </w:rPr>
      </w:pPr>
      <w:r w:rsidRPr="00AA0A34">
        <w:rPr>
          <w:rFonts w:ascii="Tahoma" w:hAnsi="Tahoma" w:cs="Tahoma"/>
          <w:b/>
          <w:u w:val="single"/>
        </w:rPr>
        <w:t>Quinto</w:t>
      </w:r>
      <w:r w:rsidRPr="00AA0A34">
        <w:rPr>
          <w:rFonts w:ascii="Tahoma" w:hAnsi="Tahoma" w:cs="Tahoma"/>
          <w:b/>
        </w:rPr>
        <w:t xml:space="preserve">.- </w:t>
      </w:r>
      <w:r w:rsidRPr="00AA0A34">
        <w:rPr>
          <w:rFonts w:ascii="Tahoma" w:hAnsi="Tahoma" w:cs="Tahoma"/>
        </w:rPr>
        <w:t xml:space="preserve">Las costas en </w:t>
      </w:r>
      <w:r w:rsidR="00DD5FCA">
        <w:rPr>
          <w:rFonts w:ascii="Tahoma" w:hAnsi="Tahoma" w:cs="Tahoma"/>
        </w:rPr>
        <w:t xml:space="preserve">primera y segunda </w:t>
      </w:r>
      <w:r w:rsidRPr="00AA0A34">
        <w:rPr>
          <w:rFonts w:ascii="Tahoma" w:hAnsi="Tahoma" w:cs="Tahoma"/>
        </w:rPr>
        <w:t>instancia correrán a cargo de la entidad demandada en un 100%</w:t>
      </w:r>
      <w:r w:rsidR="00632E6A">
        <w:rPr>
          <w:rFonts w:ascii="Tahoma" w:hAnsi="Tahoma" w:cs="Tahoma"/>
        </w:rPr>
        <w:t xml:space="preserve">, las cuales se liquidarán por el juzgado de origen según lo previsto en el artículo </w:t>
      </w:r>
      <w:r w:rsidR="00966BAD">
        <w:rPr>
          <w:rFonts w:ascii="Tahoma" w:hAnsi="Tahoma" w:cs="Tahoma"/>
        </w:rPr>
        <w:t xml:space="preserve">366 del Código General del Proceso. </w:t>
      </w:r>
      <w:r w:rsidRPr="00AA0A34">
        <w:rPr>
          <w:rFonts w:ascii="Tahoma" w:hAnsi="Tahoma" w:cs="Tahoma"/>
        </w:rPr>
        <w:t xml:space="preserve"> </w:t>
      </w:r>
    </w:p>
    <w:p w:rsidR="009C50D0" w:rsidRPr="003D36AB" w:rsidRDefault="009C50D0" w:rsidP="00871F9F">
      <w:pPr>
        <w:spacing w:line="276" w:lineRule="auto"/>
        <w:ind w:firstLine="709"/>
        <w:jc w:val="both"/>
        <w:rPr>
          <w:rFonts w:ascii="Tahoma" w:hAnsi="Tahoma" w:cs="Tahoma"/>
        </w:rPr>
      </w:pPr>
    </w:p>
    <w:p w:rsidR="009C50D0" w:rsidRPr="003D36AB" w:rsidRDefault="009C50D0" w:rsidP="00871F9F">
      <w:pPr>
        <w:widowControl w:val="0"/>
        <w:autoSpaceDE w:val="0"/>
        <w:autoSpaceDN w:val="0"/>
        <w:adjustRightInd w:val="0"/>
        <w:spacing w:line="276" w:lineRule="auto"/>
        <w:jc w:val="both"/>
        <w:rPr>
          <w:rFonts w:ascii="Tahoma" w:hAnsi="Tahoma" w:cs="Tahoma"/>
          <w:b/>
          <w:bCs/>
        </w:rPr>
      </w:pPr>
      <w:r w:rsidRPr="003D36AB">
        <w:rPr>
          <w:rFonts w:ascii="Tahoma" w:hAnsi="Tahoma" w:cs="Tahoma"/>
        </w:rPr>
        <w:tab/>
      </w:r>
      <w:r w:rsidRPr="003D36AB">
        <w:rPr>
          <w:rFonts w:ascii="Tahoma" w:hAnsi="Tahoma" w:cs="Tahoma"/>
          <w:b/>
          <w:bCs/>
        </w:rPr>
        <w:t>Notificación surtida en estrados.</w:t>
      </w:r>
    </w:p>
    <w:p w:rsidR="009C50D0" w:rsidRPr="003D36AB" w:rsidRDefault="009C50D0" w:rsidP="00871F9F">
      <w:pPr>
        <w:widowControl w:val="0"/>
        <w:autoSpaceDE w:val="0"/>
        <w:autoSpaceDN w:val="0"/>
        <w:adjustRightInd w:val="0"/>
        <w:spacing w:line="276" w:lineRule="auto"/>
        <w:jc w:val="both"/>
        <w:rPr>
          <w:rFonts w:ascii="Tahoma" w:hAnsi="Tahoma" w:cs="Tahoma"/>
          <w:b/>
          <w:bCs/>
        </w:rPr>
      </w:pPr>
    </w:p>
    <w:p w:rsidR="009C50D0" w:rsidRPr="003D36AB" w:rsidRDefault="009C50D0" w:rsidP="00871F9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b/>
        </w:rPr>
        <w:t>Cúmplase</w:t>
      </w:r>
      <w:r w:rsidRPr="003D36AB">
        <w:rPr>
          <w:rFonts w:ascii="Tahoma" w:hAnsi="Tahoma" w:cs="Tahoma"/>
        </w:rPr>
        <w:t xml:space="preserve"> y </w:t>
      </w:r>
      <w:r w:rsidRPr="003D36AB">
        <w:rPr>
          <w:rFonts w:ascii="Tahoma" w:hAnsi="Tahoma" w:cs="Tahoma"/>
          <w:b/>
        </w:rPr>
        <w:t>devuélvase</w:t>
      </w:r>
      <w:r w:rsidRPr="003D36AB">
        <w:rPr>
          <w:rFonts w:ascii="Tahoma" w:hAnsi="Tahoma" w:cs="Tahoma"/>
        </w:rPr>
        <w:t xml:space="preserve"> el expediente al Juzgado de origen.</w:t>
      </w:r>
    </w:p>
    <w:p w:rsidR="009C50D0" w:rsidRPr="003D36AB" w:rsidRDefault="009C50D0" w:rsidP="00871F9F">
      <w:pPr>
        <w:widowControl w:val="0"/>
        <w:autoSpaceDE w:val="0"/>
        <w:autoSpaceDN w:val="0"/>
        <w:adjustRightInd w:val="0"/>
        <w:spacing w:line="276" w:lineRule="auto"/>
        <w:jc w:val="both"/>
        <w:rPr>
          <w:rFonts w:ascii="Tahoma" w:hAnsi="Tahoma" w:cs="Tahoma"/>
        </w:rPr>
      </w:pPr>
    </w:p>
    <w:p w:rsidR="009C50D0" w:rsidRPr="003D36AB" w:rsidRDefault="009C50D0" w:rsidP="00871F9F">
      <w:pPr>
        <w:widowControl w:val="0"/>
        <w:autoSpaceDE w:val="0"/>
        <w:autoSpaceDN w:val="0"/>
        <w:adjustRightInd w:val="0"/>
        <w:spacing w:line="276" w:lineRule="auto"/>
        <w:jc w:val="both"/>
        <w:rPr>
          <w:rFonts w:ascii="Tahoma" w:hAnsi="Tahoma" w:cs="Tahoma"/>
        </w:rPr>
      </w:pPr>
      <w:r w:rsidRPr="003D36AB">
        <w:rPr>
          <w:rFonts w:ascii="Tahoma" w:hAnsi="Tahoma" w:cs="Tahoma"/>
        </w:rPr>
        <w:tab/>
        <w:t xml:space="preserve">No siendo otro el objeto de la presente diligencia, se termina siendo las </w:t>
      </w:r>
      <w:r w:rsidRPr="003D36AB">
        <w:rPr>
          <w:rFonts w:ascii="Tahoma" w:hAnsi="Tahoma" w:cs="Tahoma"/>
          <w:u w:val="single"/>
        </w:rPr>
        <w:t xml:space="preserve">_____ </w:t>
      </w:r>
      <w:r w:rsidRPr="003D36AB">
        <w:rPr>
          <w:rFonts w:ascii="Tahoma" w:hAnsi="Tahoma" w:cs="Tahoma"/>
        </w:rPr>
        <w:t>de la mañana, se levanta el acta y firman las personas que en la misma intervinieron.</w:t>
      </w:r>
    </w:p>
    <w:p w:rsidR="005516DF" w:rsidRDefault="005516DF" w:rsidP="00871F9F">
      <w:pPr>
        <w:spacing w:line="276" w:lineRule="auto"/>
        <w:ind w:firstLine="708"/>
        <w:jc w:val="both"/>
        <w:rPr>
          <w:rFonts w:ascii="Tahoma" w:hAnsi="Tahoma" w:cs="Tahoma"/>
        </w:rPr>
      </w:pPr>
    </w:p>
    <w:p w:rsidR="009C50D0" w:rsidRPr="003D36AB" w:rsidRDefault="009C50D0" w:rsidP="00871F9F">
      <w:pPr>
        <w:spacing w:line="276" w:lineRule="auto"/>
        <w:ind w:firstLine="708"/>
        <w:jc w:val="both"/>
        <w:rPr>
          <w:rFonts w:ascii="Tahoma" w:hAnsi="Tahoma" w:cs="Tahoma"/>
        </w:rPr>
      </w:pPr>
      <w:r w:rsidRPr="003D36AB">
        <w:rPr>
          <w:rFonts w:ascii="Tahoma" w:hAnsi="Tahoma" w:cs="Tahoma"/>
        </w:rPr>
        <w:t>La Magistrada,</w:t>
      </w:r>
    </w:p>
    <w:p w:rsidR="009C50D0" w:rsidRPr="003D36AB" w:rsidRDefault="009C50D0" w:rsidP="00871F9F">
      <w:pPr>
        <w:spacing w:line="276" w:lineRule="auto"/>
      </w:pPr>
    </w:p>
    <w:p w:rsidR="009C50D0" w:rsidRPr="003D36AB" w:rsidRDefault="009C50D0" w:rsidP="00871F9F">
      <w:pPr>
        <w:spacing w:line="276" w:lineRule="auto"/>
      </w:pPr>
    </w:p>
    <w:p w:rsidR="009C50D0" w:rsidRPr="003D36AB" w:rsidRDefault="009C50D0" w:rsidP="00871F9F">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rsidR="009C50D0" w:rsidRPr="003D36AB" w:rsidRDefault="009C50D0" w:rsidP="00871F9F">
      <w:pPr>
        <w:spacing w:line="276" w:lineRule="auto"/>
        <w:ind w:firstLine="708"/>
        <w:jc w:val="both"/>
        <w:rPr>
          <w:rFonts w:ascii="Tahoma" w:hAnsi="Tahoma" w:cs="Tahoma"/>
        </w:rPr>
      </w:pPr>
    </w:p>
    <w:p w:rsidR="009C50D0" w:rsidRPr="003D36AB" w:rsidRDefault="009C50D0" w:rsidP="00871F9F">
      <w:pPr>
        <w:spacing w:line="276" w:lineRule="auto"/>
        <w:ind w:firstLine="708"/>
        <w:jc w:val="both"/>
        <w:rPr>
          <w:rFonts w:ascii="Tahoma" w:hAnsi="Tahoma" w:cs="Tahoma"/>
        </w:rPr>
      </w:pPr>
      <w:r w:rsidRPr="003D36AB">
        <w:rPr>
          <w:rFonts w:ascii="Tahoma" w:hAnsi="Tahoma" w:cs="Tahoma"/>
        </w:rPr>
        <w:t>Los Magistrados,</w:t>
      </w:r>
    </w:p>
    <w:p w:rsidR="009C50D0" w:rsidRPr="003D36AB" w:rsidRDefault="009C50D0" w:rsidP="00871F9F">
      <w:pPr>
        <w:spacing w:line="276" w:lineRule="auto"/>
        <w:rPr>
          <w:rFonts w:ascii="Tahoma" w:hAnsi="Tahoma" w:cs="Tahoma"/>
          <w:b/>
        </w:rPr>
      </w:pPr>
    </w:p>
    <w:p w:rsidR="009C50D0" w:rsidRDefault="009C50D0" w:rsidP="00871F9F">
      <w:pPr>
        <w:spacing w:line="276" w:lineRule="auto"/>
        <w:rPr>
          <w:rFonts w:ascii="Tahoma" w:hAnsi="Tahoma" w:cs="Tahoma"/>
          <w:b/>
        </w:rPr>
      </w:pPr>
    </w:p>
    <w:p w:rsidR="00632E6A" w:rsidRPr="003D36AB" w:rsidRDefault="00632E6A" w:rsidP="00871F9F">
      <w:pPr>
        <w:spacing w:line="276" w:lineRule="auto"/>
        <w:rPr>
          <w:rFonts w:ascii="Tahoma" w:hAnsi="Tahoma" w:cs="Tahoma"/>
          <w:b/>
        </w:rPr>
      </w:pPr>
    </w:p>
    <w:p w:rsidR="009C50D0" w:rsidRPr="003D36AB" w:rsidRDefault="009C50D0" w:rsidP="00871F9F">
      <w:pPr>
        <w:spacing w:line="276" w:lineRule="auto"/>
        <w:jc w:val="both"/>
        <w:rPr>
          <w:rFonts w:ascii="Tahoma" w:hAnsi="Tahoma" w:cs="Tahoma"/>
          <w:b/>
        </w:rPr>
      </w:pPr>
      <w:r w:rsidRPr="003D36AB">
        <w:rPr>
          <w:rFonts w:ascii="Tahoma" w:hAnsi="Tahoma" w:cs="Tahoma"/>
          <w:b/>
        </w:rPr>
        <w:t>JULIO CÉSAR SALAZAR MUÑOZ</w:t>
      </w:r>
      <w:r w:rsidRPr="003D36AB">
        <w:rPr>
          <w:rFonts w:ascii="Tahoma" w:hAnsi="Tahoma" w:cs="Tahoma"/>
          <w:b/>
        </w:rPr>
        <w:tab/>
        <w:t xml:space="preserve">       FRANCISCO JAVIER TAMAYO TABARES</w:t>
      </w:r>
    </w:p>
    <w:p w:rsidR="009C50D0" w:rsidRDefault="009C50D0" w:rsidP="00871F9F">
      <w:pPr>
        <w:spacing w:line="276" w:lineRule="auto"/>
        <w:rPr>
          <w:rFonts w:ascii="Tahoma" w:hAnsi="Tahoma" w:cs="Tahoma"/>
          <w:b/>
        </w:rPr>
      </w:pPr>
    </w:p>
    <w:p w:rsidR="008E5C17" w:rsidRPr="003D36AB" w:rsidRDefault="008E5C17" w:rsidP="00871F9F">
      <w:pPr>
        <w:spacing w:line="276" w:lineRule="auto"/>
        <w:rPr>
          <w:rFonts w:ascii="Tahoma" w:hAnsi="Tahoma" w:cs="Tahoma"/>
          <w:b/>
        </w:rPr>
      </w:pPr>
    </w:p>
    <w:p w:rsidR="009C50D0" w:rsidRPr="003D36AB" w:rsidRDefault="009C50D0" w:rsidP="00871F9F">
      <w:pPr>
        <w:spacing w:line="276" w:lineRule="auto"/>
        <w:rPr>
          <w:rFonts w:ascii="Tahoma" w:hAnsi="Tahoma" w:cs="Tahoma"/>
          <w:b/>
        </w:rPr>
      </w:pPr>
    </w:p>
    <w:p w:rsidR="009C50D0" w:rsidRPr="003D36AB" w:rsidRDefault="00F962EC" w:rsidP="00871F9F">
      <w:pPr>
        <w:spacing w:line="276" w:lineRule="auto"/>
        <w:jc w:val="center"/>
        <w:rPr>
          <w:rFonts w:ascii="Tahoma" w:hAnsi="Tahoma" w:cs="Tahoma"/>
          <w:b/>
        </w:rPr>
      </w:pPr>
      <w:proofErr w:type="spellStart"/>
      <w:r>
        <w:rPr>
          <w:rFonts w:ascii="Tahoma" w:hAnsi="Tahoma" w:cs="Tahoma"/>
          <w:b/>
        </w:rPr>
        <w:t>JELYNE</w:t>
      </w:r>
      <w:proofErr w:type="spellEnd"/>
      <w:r>
        <w:rPr>
          <w:rFonts w:ascii="Tahoma" w:hAnsi="Tahoma" w:cs="Tahoma"/>
          <w:b/>
        </w:rPr>
        <w:t xml:space="preserve"> MONSALVE OSPINA</w:t>
      </w:r>
    </w:p>
    <w:p w:rsidR="009C50D0" w:rsidRPr="003D36AB" w:rsidRDefault="009C50D0" w:rsidP="00871F9F">
      <w:pPr>
        <w:spacing w:line="276" w:lineRule="auto"/>
        <w:jc w:val="center"/>
        <w:rPr>
          <w:rFonts w:ascii="Tahoma" w:hAnsi="Tahoma" w:cs="Tahoma"/>
        </w:rPr>
      </w:pPr>
      <w:r w:rsidRPr="003D36AB">
        <w:rPr>
          <w:rFonts w:ascii="Tahoma" w:hAnsi="Tahoma" w:cs="Tahoma"/>
        </w:rPr>
        <w:t>Secretari</w:t>
      </w:r>
      <w:r w:rsidR="00F962EC">
        <w:rPr>
          <w:rFonts w:ascii="Tahoma" w:hAnsi="Tahoma" w:cs="Tahoma"/>
        </w:rPr>
        <w:t>a</w:t>
      </w:r>
      <w:r w:rsidRPr="003D36AB">
        <w:rPr>
          <w:rFonts w:ascii="Tahoma" w:hAnsi="Tahoma" w:cs="Tahoma"/>
        </w:rPr>
        <w:t xml:space="preserve"> Ad-Hoc</w:t>
      </w:r>
    </w:p>
    <w:p w:rsidR="008E5C17" w:rsidRDefault="008E5C17" w:rsidP="00871F9F">
      <w:pPr>
        <w:spacing w:line="276" w:lineRule="auto"/>
        <w:jc w:val="center"/>
        <w:rPr>
          <w:rFonts w:ascii="Tahoma" w:hAnsi="Tahoma" w:cs="Tahoma"/>
        </w:rPr>
      </w:pPr>
    </w:p>
    <w:p w:rsidR="00632E6A" w:rsidRDefault="00632E6A" w:rsidP="00871F9F">
      <w:pPr>
        <w:spacing w:line="276" w:lineRule="auto"/>
        <w:jc w:val="center"/>
        <w:rPr>
          <w:rFonts w:ascii="Tahoma" w:hAnsi="Tahoma" w:cs="Tahoma"/>
        </w:rPr>
      </w:pPr>
    </w:p>
    <w:p w:rsidR="004611DE" w:rsidRDefault="004611DE" w:rsidP="00871F9F">
      <w:pPr>
        <w:spacing w:line="276" w:lineRule="auto"/>
        <w:jc w:val="center"/>
        <w:rPr>
          <w:rFonts w:ascii="Tahoma" w:hAnsi="Tahoma" w:cs="Tahoma"/>
        </w:rPr>
      </w:pPr>
    </w:p>
    <w:p w:rsidR="004611DE" w:rsidRDefault="004611DE" w:rsidP="00871F9F">
      <w:pPr>
        <w:spacing w:line="276" w:lineRule="auto"/>
        <w:jc w:val="center"/>
        <w:rPr>
          <w:rFonts w:ascii="Tahoma" w:hAnsi="Tahoma" w:cs="Tahoma"/>
        </w:rPr>
      </w:pPr>
    </w:p>
    <w:p w:rsidR="004611DE" w:rsidRDefault="004611DE" w:rsidP="00871F9F">
      <w:pPr>
        <w:spacing w:line="276" w:lineRule="auto"/>
        <w:jc w:val="center"/>
        <w:rPr>
          <w:rFonts w:ascii="Tahoma" w:hAnsi="Tahoma" w:cs="Tahoma"/>
        </w:rPr>
      </w:pPr>
    </w:p>
    <w:p w:rsidR="004611DE" w:rsidRDefault="004611DE" w:rsidP="00871F9F">
      <w:pPr>
        <w:spacing w:line="276" w:lineRule="auto"/>
        <w:jc w:val="center"/>
        <w:rPr>
          <w:rFonts w:ascii="Tahoma" w:hAnsi="Tahoma" w:cs="Tahoma"/>
        </w:rPr>
      </w:pPr>
    </w:p>
    <w:p w:rsidR="004611DE" w:rsidRDefault="004611DE" w:rsidP="00871F9F">
      <w:pPr>
        <w:spacing w:line="276" w:lineRule="auto"/>
        <w:jc w:val="center"/>
        <w:rPr>
          <w:rFonts w:ascii="Tahoma" w:hAnsi="Tahoma" w:cs="Tahoma"/>
        </w:rPr>
      </w:pPr>
    </w:p>
    <w:p w:rsidR="004611DE" w:rsidRDefault="004611DE" w:rsidP="00871F9F">
      <w:pPr>
        <w:spacing w:line="276" w:lineRule="auto"/>
        <w:jc w:val="center"/>
        <w:rPr>
          <w:rFonts w:ascii="Tahoma" w:hAnsi="Tahoma" w:cs="Tahoma"/>
        </w:rPr>
      </w:pPr>
    </w:p>
    <w:p w:rsidR="004611DE" w:rsidRDefault="004611DE" w:rsidP="00871F9F">
      <w:pPr>
        <w:spacing w:line="276" w:lineRule="auto"/>
        <w:jc w:val="center"/>
        <w:rPr>
          <w:rFonts w:ascii="Tahoma" w:hAnsi="Tahoma" w:cs="Tahoma"/>
        </w:rPr>
      </w:pPr>
    </w:p>
    <w:p w:rsidR="004611DE" w:rsidRDefault="004611DE" w:rsidP="00871F9F">
      <w:pPr>
        <w:spacing w:line="276" w:lineRule="auto"/>
        <w:jc w:val="center"/>
        <w:rPr>
          <w:rFonts w:ascii="Tahoma" w:hAnsi="Tahoma" w:cs="Tahoma"/>
        </w:rPr>
      </w:pPr>
      <w:bookmarkStart w:id="0" w:name="_GoBack"/>
      <w:bookmarkEnd w:id="0"/>
    </w:p>
    <w:p w:rsidR="008E5C17" w:rsidRPr="008E5C17" w:rsidRDefault="008E5C17" w:rsidP="00871F9F">
      <w:pPr>
        <w:spacing w:line="276" w:lineRule="auto"/>
        <w:jc w:val="center"/>
        <w:rPr>
          <w:rFonts w:ascii="Tahoma" w:hAnsi="Tahoma" w:cs="Tahoma"/>
          <w:b/>
        </w:rPr>
      </w:pPr>
      <w:r w:rsidRPr="008E5C17">
        <w:rPr>
          <w:rFonts w:ascii="Tahoma" w:hAnsi="Tahoma" w:cs="Tahoma"/>
          <w:b/>
        </w:rPr>
        <w:t>Retroactivo a reconocer</w:t>
      </w:r>
    </w:p>
    <w:p w:rsidR="009C50D0" w:rsidRPr="003D36AB" w:rsidRDefault="009C50D0" w:rsidP="00871F9F">
      <w:pPr>
        <w:spacing w:line="276" w:lineRule="auto"/>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973"/>
        <w:gridCol w:w="973"/>
        <w:gridCol w:w="762"/>
        <w:gridCol w:w="2092"/>
        <w:gridCol w:w="1626"/>
      </w:tblGrid>
      <w:tr w:rsidR="00F962EC" w:rsidRPr="00F962EC" w:rsidTr="00F962EC">
        <w:trPr>
          <w:trHeight w:val="465"/>
          <w:jc w:val="center"/>
        </w:trPr>
        <w:tc>
          <w:tcPr>
            <w:tcW w:w="0" w:type="auto"/>
            <w:shd w:val="clear" w:color="auto" w:fill="auto"/>
            <w:vAlign w:val="center"/>
            <w:hideMark/>
          </w:tcPr>
          <w:p w:rsidR="00F962EC" w:rsidRPr="00F962EC" w:rsidRDefault="00F962EC" w:rsidP="00F962EC">
            <w:pPr>
              <w:jc w:val="center"/>
              <w:rPr>
                <w:rFonts w:ascii="Calibri" w:hAnsi="Calibri"/>
                <w:b/>
                <w:bCs/>
                <w:color w:val="000000"/>
                <w:sz w:val="16"/>
                <w:szCs w:val="16"/>
              </w:rPr>
            </w:pPr>
            <w:r w:rsidRPr="00F962EC">
              <w:rPr>
                <w:rFonts w:ascii="Calibri" w:hAnsi="Calibri"/>
                <w:b/>
                <w:bCs/>
                <w:color w:val="000000"/>
                <w:sz w:val="16"/>
                <w:szCs w:val="16"/>
              </w:rPr>
              <w:t>Año</w:t>
            </w:r>
          </w:p>
        </w:tc>
        <w:tc>
          <w:tcPr>
            <w:tcW w:w="0" w:type="auto"/>
            <w:shd w:val="clear" w:color="auto" w:fill="auto"/>
            <w:vAlign w:val="center"/>
            <w:hideMark/>
          </w:tcPr>
          <w:p w:rsidR="00F962EC" w:rsidRPr="00F962EC" w:rsidRDefault="00F962EC" w:rsidP="00F962EC">
            <w:pPr>
              <w:jc w:val="center"/>
              <w:rPr>
                <w:rFonts w:ascii="Calibri" w:hAnsi="Calibri"/>
                <w:b/>
                <w:bCs/>
                <w:color w:val="000000"/>
                <w:sz w:val="16"/>
                <w:szCs w:val="16"/>
              </w:rPr>
            </w:pPr>
            <w:r w:rsidRPr="00F962EC">
              <w:rPr>
                <w:rFonts w:ascii="Calibri" w:hAnsi="Calibri"/>
                <w:b/>
                <w:bCs/>
                <w:color w:val="000000"/>
                <w:sz w:val="16"/>
                <w:szCs w:val="16"/>
              </w:rPr>
              <w:t>Desde</w:t>
            </w:r>
          </w:p>
        </w:tc>
        <w:tc>
          <w:tcPr>
            <w:tcW w:w="0" w:type="auto"/>
            <w:shd w:val="clear" w:color="auto" w:fill="auto"/>
            <w:vAlign w:val="center"/>
            <w:hideMark/>
          </w:tcPr>
          <w:p w:rsidR="00F962EC" w:rsidRPr="00F962EC" w:rsidRDefault="00F962EC" w:rsidP="00F962EC">
            <w:pPr>
              <w:jc w:val="center"/>
              <w:rPr>
                <w:rFonts w:ascii="Calibri" w:hAnsi="Calibri"/>
                <w:b/>
                <w:bCs/>
                <w:color w:val="000000"/>
                <w:sz w:val="16"/>
                <w:szCs w:val="16"/>
              </w:rPr>
            </w:pPr>
            <w:r w:rsidRPr="00F962EC">
              <w:rPr>
                <w:rFonts w:ascii="Calibri" w:hAnsi="Calibri"/>
                <w:b/>
                <w:bCs/>
                <w:color w:val="000000"/>
                <w:sz w:val="16"/>
                <w:szCs w:val="16"/>
              </w:rPr>
              <w:t>Hasta</w:t>
            </w:r>
          </w:p>
        </w:tc>
        <w:tc>
          <w:tcPr>
            <w:tcW w:w="0" w:type="auto"/>
            <w:shd w:val="clear" w:color="auto" w:fill="auto"/>
            <w:vAlign w:val="center"/>
            <w:hideMark/>
          </w:tcPr>
          <w:p w:rsidR="00F962EC" w:rsidRPr="00F962EC" w:rsidRDefault="00F962EC" w:rsidP="00F962EC">
            <w:pPr>
              <w:jc w:val="center"/>
              <w:rPr>
                <w:rFonts w:ascii="Calibri" w:hAnsi="Calibri"/>
                <w:b/>
                <w:bCs/>
                <w:color w:val="000000"/>
                <w:sz w:val="16"/>
                <w:szCs w:val="16"/>
              </w:rPr>
            </w:pPr>
            <w:r w:rsidRPr="00F962EC">
              <w:rPr>
                <w:rFonts w:ascii="Calibri" w:hAnsi="Calibri"/>
                <w:b/>
                <w:bCs/>
                <w:color w:val="000000"/>
                <w:sz w:val="16"/>
                <w:szCs w:val="16"/>
              </w:rPr>
              <w:t>Causadas</w:t>
            </w:r>
          </w:p>
        </w:tc>
        <w:tc>
          <w:tcPr>
            <w:tcW w:w="0" w:type="auto"/>
            <w:shd w:val="clear" w:color="auto" w:fill="auto"/>
            <w:vAlign w:val="center"/>
            <w:hideMark/>
          </w:tcPr>
          <w:p w:rsidR="00F962EC" w:rsidRPr="00F962EC" w:rsidRDefault="00F962EC" w:rsidP="00F962EC">
            <w:pPr>
              <w:jc w:val="center"/>
              <w:rPr>
                <w:rFonts w:ascii="Calibri" w:hAnsi="Calibri"/>
                <w:b/>
                <w:bCs/>
                <w:color w:val="000000"/>
                <w:sz w:val="16"/>
                <w:szCs w:val="16"/>
              </w:rPr>
            </w:pPr>
            <w:r w:rsidRPr="00F962EC">
              <w:rPr>
                <w:rFonts w:ascii="Calibri" w:hAnsi="Calibri"/>
                <w:b/>
                <w:bCs/>
                <w:color w:val="000000"/>
                <w:sz w:val="16"/>
                <w:szCs w:val="16"/>
              </w:rPr>
              <w:t xml:space="preserve">Mesada </w:t>
            </w:r>
            <w:proofErr w:type="spellStart"/>
            <w:r w:rsidRPr="00F962EC">
              <w:rPr>
                <w:rFonts w:ascii="Calibri" w:hAnsi="Calibri"/>
                <w:b/>
                <w:bCs/>
                <w:color w:val="000000"/>
                <w:sz w:val="16"/>
                <w:szCs w:val="16"/>
              </w:rPr>
              <w:t>reliquidada</w:t>
            </w:r>
            <w:proofErr w:type="spellEnd"/>
          </w:p>
        </w:tc>
        <w:tc>
          <w:tcPr>
            <w:tcW w:w="0" w:type="auto"/>
            <w:shd w:val="clear" w:color="auto" w:fill="auto"/>
            <w:vAlign w:val="center"/>
            <w:hideMark/>
          </w:tcPr>
          <w:p w:rsidR="00F962EC" w:rsidRPr="00F962EC" w:rsidRDefault="00F962EC" w:rsidP="00F962EC">
            <w:pPr>
              <w:jc w:val="center"/>
              <w:rPr>
                <w:rFonts w:ascii="Calibri" w:hAnsi="Calibri"/>
                <w:b/>
                <w:bCs/>
                <w:color w:val="000000"/>
                <w:sz w:val="16"/>
                <w:szCs w:val="16"/>
              </w:rPr>
            </w:pPr>
            <w:r w:rsidRPr="00F962EC">
              <w:rPr>
                <w:rFonts w:ascii="Calibri" w:hAnsi="Calibri"/>
                <w:b/>
                <w:bCs/>
                <w:color w:val="000000"/>
                <w:sz w:val="16"/>
                <w:szCs w:val="16"/>
              </w:rPr>
              <w:t xml:space="preserve"> Diferencias a cancelar </w:t>
            </w:r>
          </w:p>
        </w:tc>
      </w:tr>
      <w:tr w:rsidR="00F962EC" w:rsidRPr="00F962EC" w:rsidTr="00F962EC">
        <w:trPr>
          <w:trHeight w:val="270"/>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2008</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03-dic-08</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31-dic-08</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0,93</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461.500,00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429.195,00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2009</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01-ene-09</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31-dic-09</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14,00</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596.900,00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8.356.600,00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2010</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01-ene-10</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31-dic-10</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14,00</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515.000,00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7.210.000,00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2011</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01-ene-11</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31-dic-11</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14,00</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535.600,00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7.498.400,00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2012</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01-ene-12</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31-dic-12</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14,00</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566.700,00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7.933.800,00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2013</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01-ene-13</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31-dic-13</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14,00</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589.500,00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8.253.000,00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2014</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01-ene-14</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31-dic-14</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14,00</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616.000,00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8.624.000,00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2015</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01-ene-15</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31-dic-15</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14,00</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644.350,00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9.020.900,00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2016</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01-ene-16</w:t>
            </w:r>
          </w:p>
        </w:tc>
        <w:tc>
          <w:tcPr>
            <w:tcW w:w="0" w:type="auto"/>
            <w:shd w:val="clear" w:color="auto" w:fill="auto"/>
            <w:noWrap/>
            <w:vAlign w:val="center"/>
            <w:hideMark/>
          </w:tcPr>
          <w:p w:rsidR="00F962EC" w:rsidRPr="00F962EC" w:rsidRDefault="00F962EC" w:rsidP="00F962EC">
            <w:pPr>
              <w:jc w:val="right"/>
              <w:rPr>
                <w:rFonts w:ascii="Calibri" w:hAnsi="Calibri"/>
                <w:color w:val="000000"/>
                <w:sz w:val="20"/>
                <w:szCs w:val="20"/>
              </w:rPr>
            </w:pPr>
            <w:r w:rsidRPr="00F962EC">
              <w:rPr>
                <w:rFonts w:ascii="Calibri" w:hAnsi="Calibri"/>
                <w:color w:val="000000"/>
                <w:sz w:val="20"/>
                <w:szCs w:val="20"/>
              </w:rPr>
              <w:t>31-ene-16</w:t>
            </w:r>
          </w:p>
        </w:tc>
        <w:tc>
          <w:tcPr>
            <w:tcW w:w="0" w:type="auto"/>
            <w:shd w:val="clear" w:color="auto" w:fill="auto"/>
            <w:noWrap/>
            <w:vAlign w:val="bottom"/>
            <w:hideMark/>
          </w:tcPr>
          <w:p w:rsidR="00F962EC" w:rsidRPr="00F962EC" w:rsidRDefault="00F962EC" w:rsidP="00F962EC">
            <w:pPr>
              <w:jc w:val="center"/>
              <w:rPr>
                <w:rFonts w:ascii="Calibri" w:hAnsi="Calibri"/>
                <w:sz w:val="20"/>
                <w:szCs w:val="20"/>
              </w:rPr>
            </w:pPr>
            <w:r w:rsidRPr="00F962EC">
              <w:rPr>
                <w:rFonts w:ascii="Calibri" w:hAnsi="Calibri"/>
                <w:sz w:val="20"/>
                <w:szCs w:val="20"/>
              </w:rPr>
              <w:t>1,00</w:t>
            </w:r>
          </w:p>
        </w:tc>
        <w:tc>
          <w:tcPr>
            <w:tcW w:w="0" w:type="auto"/>
            <w:shd w:val="clear" w:color="auto" w:fill="auto"/>
            <w:vAlign w:val="bottom"/>
            <w:hideMark/>
          </w:tcPr>
          <w:p w:rsidR="00F962EC" w:rsidRPr="00F962EC" w:rsidRDefault="00F962EC" w:rsidP="00F962EC">
            <w:pPr>
              <w:rPr>
                <w:rFonts w:ascii="Calibri" w:hAnsi="Calibri"/>
                <w:sz w:val="20"/>
                <w:szCs w:val="20"/>
              </w:rPr>
            </w:pPr>
            <w:r w:rsidRPr="00F962EC">
              <w:rPr>
                <w:rFonts w:ascii="Calibri" w:hAnsi="Calibri"/>
                <w:sz w:val="20"/>
                <w:szCs w:val="20"/>
              </w:rPr>
              <w:t xml:space="preserve">                   689.450,00 </w:t>
            </w:r>
          </w:p>
        </w:tc>
        <w:tc>
          <w:tcPr>
            <w:tcW w:w="0" w:type="auto"/>
            <w:shd w:val="clear" w:color="auto" w:fill="auto"/>
            <w:noWrap/>
            <w:vAlign w:val="center"/>
            <w:hideMark/>
          </w:tcPr>
          <w:p w:rsidR="00F962EC" w:rsidRPr="00F962EC" w:rsidRDefault="00F962EC" w:rsidP="00F962EC">
            <w:pPr>
              <w:rPr>
                <w:rFonts w:ascii="Calibri" w:hAnsi="Calibri"/>
                <w:color w:val="000000"/>
                <w:sz w:val="20"/>
                <w:szCs w:val="20"/>
              </w:rPr>
            </w:pPr>
            <w:r w:rsidRPr="00F962EC">
              <w:rPr>
                <w:rFonts w:ascii="Calibri" w:hAnsi="Calibri"/>
                <w:color w:val="000000"/>
                <w:sz w:val="20"/>
                <w:szCs w:val="20"/>
              </w:rPr>
              <w:t xml:space="preserve">          689.450,00 </w:t>
            </w:r>
          </w:p>
        </w:tc>
      </w:tr>
      <w:tr w:rsidR="00F962EC" w:rsidRPr="00F962EC" w:rsidTr="00F962EC">
        <w:trPr>
          <w:trHeight w:val="255"/>
          <w:jc w:val="center"/>
        </w:trPr>
        <w:tc>
          <w:tcPr>
            <w:tcW w:w="0" w:type="auto"/>
            <w:shd w:val="clear" w:color="auto" w:fill="auto"/>
            <w:noWrap/>
            <w:vAlign w:val="bottom"/>
            <w:hideMark/>
          </w:tcPr>
          <w:p w:rsidR="00F962EC" w:rsidRPr="00F962EC" w:rsidRDefault="00F962EC" w:rsidP="00F962EC">
            <w:pPr>
              <w:rPr>
                <w:rFonts w:ascii="Calibri" w:hAnsi="Calibri"/>
                <w:color w:val="000000"/>
                <w:sz w:val="20"/>
                <w:szCs w:val="20"/>
              </w:rPr>
            </w:pPr>
          </w:p>
        </w:tc>
        <w:tc>
          <w:tcPr>
            <w:tcW w:w="0" w:type="auto"/>
            <w:shd w:val="clear" w:color="auto" w:fill="auto"/>
            <w:noWrap/>
            <w:vAlign w:val="bottom"/>
            <w:hideMark/>
          </w:tcPr>
          <w:p w:rsidR="00F962EC" w:rsidRPr="00F962EC" w:rsidRDefault="00F962EC" w:rsidP="00F962EC">
            <w:pPr>
              <w:rPr>
                <w:sz w:val="20"/>
                <w:szCs w:val="20"/>
              </w:rPr>
            </w:pPr>
          </w:p>
        </w:tc>
        <w:tc>
          <w:tcPr>
            <w:tcW w:w="0" w:type="auto"/>
            <w:shd w:val="clear" w:color="auto" w:fill="auto"/>
            <w:noWrap/>
            <w:vAlign w:val="bottom"/>
            <w:hideMark/>
          </w:tcPr>
          <w:p w:rsidR="00F962EC" w:rsidRPr="00F962EC" w:rsidRDefault="00F962EC" w:rsidP="00F962EC">
            <w:pPr>
              <w:rPr>
                <w:sz w:val="20"/>
                <w:szCs w:val="20"/>
              </w:rPr>
            </w:pPr>
          </w:p>
        </w:tc>
        <w:tc>
          <w:tcPr>
            <w:tcW w:w="0" w:type="auto"/>
            <w:shd w:val="clear" w:color="auto" w:fill="auto"/>
            <w:noWrap/>
            <w:vAlign w:val="bottom"/>
            <w:hideMark/>
          </w:tcPr>
          <w:p w:rsidR="00F962EC" w:rsidRPr="00F962EC" w:rsidRDefault="00F962EC" w:rsidP="00F962EC">
            <w:pPr>
              <w:rPr>
                <w:sz w:val="20"/>
                <w:szCs w:val="20"/>
              </w:rPr>
            </w:pPr>
          </w:p>
        </w:tc>
        <w:tc>
          <w:tcPr>
            <w:tcW w:w="0" w:type="auto"/>
            <w:shd w:val="clear" w:color="auto" w:fill="auto"/>
            <w:noWrap/>
            <w:vAlign w:val="center"/>
            <w:hideMark/>
          </w:tcPr>
          <w:p w:rsidR="00F962EC" w:rsidRPr="00F962EC" w:rsidRDefault="00F962EC" w:rsidP="00F962EC">
            <w:pPr>
              <w:jc w:val="center"/>
              <w:rPr>
                <w:rFonts w:ascii="Calibri" w:hAnsi="Calibri"/>
                <w:b/>
                <w:bCs/>
                <w:sz w:val="20"/>
                <w:szCs w:val="20"/>
              </w:rPr>
            </w:pPr>
            <w:r w:rsidRPr="00F962EC">
              <w:rPr>
                <w:rFonts w:ascii="Calibri" w:hAnsi="Calibri"/>
                <w:b/>
                <w:bCs/>
                <w:sz w:val="20"/>
                <w:szCs w:val="20"/>
              </w:rPr>
              <w:t>Valores a cancelar ===&gt;</w:t>
            </w:r>
          </w:p>
        </w:tc>
        <w:tc>
          <w:tcPr>
            <w:tcW w:w="0" w:type="auto"/>
            <w:shd w:val="clear" w:color="auto" w:fill="auto"/>
            <w:noWrap/>
            <w:vAlign w:val="center"/>
            <w:hideMark/>
          </w:tcPr>
          <w:p w:rsidR="00F962EC" w:rsidRPr="00F962EC" w:rsidRDefault="00F962EC" w:rsidP="00F962EC">
            <w:pPr>
              <w:rPr>
                <w:rFonts w:ascii="Calibri" w:hAnsi="Calibri"/>
                <w:b/>
                <w:bCs/>
                <w:color w:val="000000"/>
                <w:sz w:val="20"/>
                <w:szCs w:val="20"/>
              </w:rPr>
            </w:pPr>
            <w:r w:rsidRPr="00F962EC">
              <w:rPr>
                <w:rFonts w:ascii="Calibri" w:hAnsi="Calibri"/>
                <w:b/>
                <w:bCs/>
                <w:color w:val="000000"/>
                <w:sz w:val="20"/>
                <w:szCs w:val="20"/>
              </w:rPr>
              <w:t xml:space="preserve">    58.015.345,00 </w:t>
            </w:r>
          </w:p>
        </w:tc>
      </w:tr>
    </w:tbl>
    <w:p w:rsidR="009C50D0" w:rsidRPr="003D36AB" w:rsidRDefault="009C50D0" w:rsidP="00871F9F">
      <w:pPr>
        <w:spacing w:line="276" w:lineRule="auto"/>
      </w:pPr>
    </w:p>
    <w:p w:rsidR="009C50D0" w:rsidRPr="003D36AB" w:rsidRDefault="009C50D0" w:rsidP="00871F9F">
      <w:pPr>
        <w:spacing w:line="276" w:lineRule="auto"/>
      </w:pPr>
    </w:p>
    <w:p w:rsidR="009C50D0" w:rsidRPr="003D36AB" w:rsidRDefault="009C50D0" w:rsidP="00871F9F">
      <w:pPr>
        <w:pStyle w:val="Ttulo3"/>
        <w:spacing w:before="0" w:after="0" w:line="276" w:lineRule="auto"/>
        <w:jc w:val="center"/>
        <w:rPr>
          <w:rFonts w:ascii="Tahoma" w:hAnsi="Tahoma" w:cs="Tahoma"/>
          <w:bCs w:val="0"/>
          <w:sz w:val="24"/>
          <w:szCs w:val="24"/>
        </w:rPr>
      </w:pPr>
    </w:p>
    <w:p w:rsidR="009C50D0" w:rsidRPr="003D36AB" w:rsidRDefault="009C50D0" w:rsidP="00871F9F">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rsidR="005516DF" w:rsidRDefault="009C50D0" w:rsidP="00871F9F">
      <w:pPr>
        <w:spacing w:line="276" w:lineRule="auto"/>
        <w:jc w:val="center"/>
        <w:rPr>
          <w:rFonts w:ascii="Tahoma" w:hAnsi="Tahoma" w:cs="Tahoma"/>
        </w:rPr>
      </w:pPr>
      <w:r w:rsidRPr="003D36AB">
        <w:rPr>
          <w:rFonts w:ascii="Tahoma" w:hAnsi="Tahoma" w:cs="Tahoma"/>
        </w:rPr>
        <w:t xml:space="preserve">Magistrada </w:t>
      </w:r>
    </w:p>
    <w:sectPr w:rsidR="005516DF" w:rsidSect="003D36AB">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C2" w:rsidRDefault="00B471C2" w:rsidP="0049366E">
      <w:r>
        <w:separator/>
      </w:r>
    </w:p>
  </w:endnote>
  <w:endnote w:type="continuationSeparator" w:id="0">
    <w:p w:rsidR="00B471C2" w:rsidRDefault="00B471C2"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C2" w:rsidRDefault="00B471C2" w:rsidP="0049366E">
      <w:r>
        <w:separator/>
      </w:r>
    </w:p>
  </w:footnote>
  <w:footnote w:type="continuationSeparator" w:id="0">
    <w:p w:rsidR="00B471C2" w:rsidRDefault="00B471C2" w:rsidP="0049366E">
      <w:r>
        <w:continuationSeparator/>
      </w:r>
    </w:p>
  </w:footnote>
  <w:footnote w:id="1">
    <w:p w:rsidR="00632E6A" w:rsidRDefault="00632E6A" w:rsidP="00632E6A">
      <w:pPr>
        <w:pStyle w:val="Textonotapie"/>
        <w:jc w:val="both"/>
        <w:rPr>
          <w:rFonts w:ascii="Arial" w:hAnsi="Arial" w:cs="Arial"/>
        </w:rPr>
      </w:pPr>
      <w:r>
        <w:rPr>
          <w:rStyle w:val="Refdenotaalpie"/>
        </w:rPr>
        <w:footnoteRef/>
      </w:r>
      <w:r>
        <w:rPr>
          <w:i/>
        </w:rPr>
        <w:t xml:space="preserve"> </w:t>
      </w:r>
      <w:r>
        <w:rPr>
          <w:sz w:val="16"/>
          <w:szCs w:val="16"/>
        </w:rPr>
        <w:t>Al</w:t>
      </w:r>
      <w:r>
        <w:rPr>
          <w:i/>
          <w:sz w:val="16"/>
          <w:szCs w:val="16"/>
        </w:rPr>
        <w:t xml:space="preserve"> </w:t>
      </w:r>
      <w:r>
        <w:rPr>
          <w:sz w:val="16"/>
          <w:szCs w:val="16"/>
        </w:rPr>
        <w:t>respecto véase la sentencia del 4 de diciembre de 2006, Radicado No. 28893.</w:t>
      </w:r>
    </w:p>
    <w:p w:rsidR="00632E6A" w:rsidRDefault="00632E6A" w:rsidP="00632E6A">
      <w:pPr>
        <w:pStyle w:val="Textonotapie"/>
        <w:jc w:val="both"/>
        <w:rPr>
          <w:rFonts w:ascii="Arial" w:hAnsi="Arial"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78" w:rsidRDefault="00E3707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7078" w:rsidRDefault="00E370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78" w:rsidRDefault="00E3707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11DE">
      <w:rPr>
        <w:rStyle w:val="Nmerodepgina"/>
        <w:noProof/>
      </w:rPr>
      <w:t>9</w:t>
    </w:r>
    <w:r>
      <w:rPr>
        <w:rStyle w:val="Nmerodepgina"/>
      </w:rPr>
      <w:fldChar w:fldCharType="end"/>
    </w:r>
  </w:p>
  <w:p w:rsidR="00E37078" w:rsidRPr="0003464F" w:rsidRDefault="00E37078"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4</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167</w:t>
    </w:r>
    <w:r w:rsidRPr="0003464F">
      <w:rPr>
        <w:rFonts w:ascii="Tahoma" w:hAnsi="Tahoma" w:cs="Tahoma"/>
        <w:b w:val="0"/>
        <w:sz w:val="14"/>
        <w:szCs w:val="14"/>
      </w:rPr>
      <w:t>-01</w:t>
    </w:r>
  </w:p>
  <w:p w:rsidR="00E37078" w:rsidRPr="0003464F" w:rsidRDefault="00E37078"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José Fernando Cardona Velásquez</w:t>
    </w:r>
  </w:p>
  <w:p w:rsidR="00E37078" w:rsidRPr="0003464F" w:rsidRDefault="00E37078" w:rsidP="000E7A43">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proofErr w:type="spellStart"/>
    <w:r>
      <w:rPr>
        <w:rFonts w:ascii="Tahoma" w:hAnsi="Tahoma" w:cs="Tahoma"/>
        <w:b w:val="0"/>
        <w:sz w:val="14"/>
        <w:szCs w:val="14"/>
      </w:rPr>
      <w:t>Colpensiones</w:t>
    </w:r>
    <w:proofErr w:type="spellEnd"/>
  </w:p>
  <w:p w:rsidR="00E37078" w:rsidRDefault="00E370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05829"/>
    <w:rsid w:val="00014D75"/>
    <w:rsid w:val="00021B2B"/>
    <w:rsid w:val="00027A2E"/>
    <w:rsid w:val="000361D9"/>
    <w:rsid w:val="00041EC9"/>
    <w:rsid w:val="00066356"/>
    <w:rsid w:val="000954F5"/>
    <w:rsid w:val="000A21E0"/>
    <w:rsid w:val="000E053A"/>
    <w:rsid w:val="000E7A43"/>
    <w:rsid w:val="00102075"/>
    <w:rsid w:val="0012270F"/>
    <w:rsid w:val="001239AD"/>
    <w:rsid w:val="001471CE"/>
    <w:rsid w:val="00152550"/>
    <w:rsid w:val="001B0081"/>
    <w:rsid w:val="001C0A43"/>
    <w:rsid w:val="00202E9D"/>
    <w:rsid w:val="002250D2"/>
    <w:rsid w:val="002331FA"/>
    <w:rsid w:val="0024005A"/>
    <w:rsid w:val="00260158"/>
    <w:rsid w:val="002672D0"/>
    <w:rsid w:val="00276CCA"/>
    <w:rsid w:val="002814F0"/>
    <w:rsid w:val="002B5F75"/>
    <w:rsid w:val="002D77FF"/>
    <w:rsid w:val="002F5C10"/>
    <w:rsid w:val="0031308F"/>
    <w:rsid w:val="003209DA"/>
    <w:rsid w:val="003224D5"/>
    <w:rsid w:val="00331096"/>
    <w:rsid w:val="0033794D"/>
    <w:rsid w:val="00346434"/>
    <w:rsid w:val="00353576"/>
    <w:rsid w:val="00366005"/>
    <w:rsid w:val="00385895"/>
    <w:rsid w:val="0038649A"/>
    <w:rsid w:val="003C6DB2"/>
    <w:rsid w:val="003D36AB"/>
    <w:rsid w:val="003E1DC5"/>
    <w:rsid w:val="00433B83"/>
    <w:rsid w:val="004611DE"/>
    <w:rsid w:val="0049366E"/>
    <w:rsid w:val="004C25C1"/>
    <w:rsid w:val="004F4A95"/>
    <w:rsid w:val="005169A3"/>
    <w:rsid w:val="005516DF"/>
    <w:rsid w:val="0055566D"/>
    <w:rsid w:val="00592BC7"/>
    <w:rsid w:val="00592F7F"/>
    <w:rsid w:val="005A5102"/>
    <w:rsid w:val="0060747A"/>
    <w:rsid w:val="00632E6A"/>
    <w:rsid w:val="0068405C"/>
    <w:rsid w:val="006B7A7F"/>
    <w:rsid w:val="006F6EA9"/>
    <w:rsid w:val="00730CC0"/>
    <w:rsid w:val="0073519D"/>
    <w:rsid w:val="00756EB5"/>
    <w:rsid w:val="00784784"/>
    <w:rsid w:val="007C31A4"/>
    <w:rsid w:val="007C69E5"/>
    <w:rsid w:val="007E09BD"/>
    <w:rsid w:val="008709DA"/>
    <w:rsid w:val="00871F9F"/>
    <w:rsid w:val="00883E45"/>
    <w:rsid w:val="008D0070"/>
    <w:rsid w:val="008D1F91"/>
    <w:rsid w:val="008E5C17"/>
    <w:rsid w:val="008F610D"/>
    <w:rsid w:val="00904CDE"/>
    <w:rsid w:val="0090685E"/>
    <w:rsid w:val="009310AB"/>
    <w:rsid w:val="00942FBE"/>
    <w:rsid w:val="00946546"/>
    <w:rsid w:val="00966BAD"/>
    <w:rsid w:val="009C50D0"/>
    <w:rsid w:val="00A1738B"/>
    <w:rsid w:val="00A273E7"/>
    <w:rsid w:val="00A34991"/>
    <w:rsid w:val="00A3745E"/>
    <w:rsid w:val="00A37482"/>
    <w:rsid w:val="00A47EAC"/>
    <w:rsid w:val="00A54215"/>
    <w:rsid w:val="00A56321"/>
    <w:rsid w:val="00A579E0"/>
    <w:rsid w:val="00A67C1E"/>
    <w:rsid w:val="00A75E07"/>
    <w:rsid w:val="00A8372D"/>
    <w:rsid w:val="00A93A7D"/>
    <w:rsid w:val="00A94AFB"/>
    <w:rsid w:val="00AA2A72"/>
    <w:rsid w:val="00AD21D5"/>
    <w:rsid w:val="00AD4139"/>
    <w:rsid w:val="00AE7578"/>
    <w:rsid w:val="00AF5FC0"/>
    <w:rsid w:val="00B23076"/>
    <w:rsid w:val="00B309A4"/>
    <w:rsid w:val="00B471C2"/>
    <w:rsid w:val="00BE2FCF"/>
    <w:rsid w:val="00C8178E"/>
    <w:rsid w:val="00C9672E"/>
    <w:rsid w:val="00CF745D"/>
    <w:rsid w:val="00D13712"/>
    <w:rsid w:val="00D23615"/>
    <w:rsid w:val="00D34BBC"/>
    <w:rsid w:val="00D4443D"/>
    <w:rsid w:val="00D9634D"/>
    <w:rsid w:val="00DD5FCA"/>
    <w:rsid w:val="00DF1267"/>
    <w:rsid w:val="00E174DD"/>
    <w:rsid w:val="00E37078"/>
    <w:rsid w:val="00E97227"/>
    <w:rsid w:val="00EA0496"/>
    <w:rsid w:val="00EB06C4"/>
    <w:rsid w:val="00ED1748"/>
    <w:rsid w:val="00EE2156"/>
    <w:rsid w:val="00EE4137"/>
    <w:rsid w:val="00EE4613"/>
    <w:rsid w:val="00EF64D6"/>
    <w:rsid w:val="00EF674C"/>
    <w:rsid w:val="00F001B6"/>
    <w:rsid w:val="00F16A02"/>
    <w:rsid w:val="00F353FD"/>
    <w:rsid w:val="00F5790A"/>
    <w:rsid w:val="00F621B8"/>
    <w:rsid w:val="00F65A91"/>
    <w:rsid w:val="00F962EC"/>
    <w:rsid w:val="00FB1D01"/>
    <w:rsid w:val="00FB5F93"/>
    <w:rsid w:val="00FC004D"/>
    <w:rsid w:val="00FE2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919B14-91EF-4D74-B1CB-BCC3D3A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ED2C-9968-4460-A3AD-C0B2B2AD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9</Pages>
  <Words>3915</Words>
  <Characters>21534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16</cp:revision>
  <cp:lastPrinted>2016-01-29T18:14:00Z</cp:lastPrinted>
  <dcterms:created xsi:type="dcterms:W3CDTF">2015-11-25T20:20:00Z</dcterms:created>
  <dcterms:modified xsi:type="dcterms:W3CDTF">2016-06-01T16:12:00Z</dcterms:modified>
</cp:coreProperties>
</file>