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0425E" w:rsidRPr="002B7B53" w:rsidRDefault="00A0425E" w:rsidP="00A0425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2B7B53">
          <w:rPr>
            <w:rFonts w:ascii="Arial Narrow" w:hAnsi="Arial Narrow" w:cs="Tahoma"/>
            <w:b w:val="0"/>
            <w:sz w:val="18"/>
            <w:szCs w:val="18"/>
          </w:rPr>
          <w:t>la Secretaría</w:t>
        </w:r>
      </w:smartTag>
      <w:r w:rsidRPr="002B7B53">
        <w:rPr>
          <w:rFonts w:ascii="Arial Narrow" w:hAnsi="Arial Narrow" w:cs="Tahoma"/>
          <w:b w:val="0"/>
          <w:sz w:val="18"/>
          <w:szCs w:val="18"/>
        </w:rPr>
        <w:t xml:space="preserve"> de esta Corporación. </w:t>
      </w:r>
    </w:p>
    <w:p w:rsidR="00A0425E" w:rsidRPr="002B7B53" w:rsidRDefault="00A0425E" w:rsidP="00A0425E">
      <w:pPr>
        <w:pStyle w:val="Puesto"/>
        <w:spacing w:line="240" w:lineRule="auto"/>
        <w:jc w:val="both"/>
        <w:rPr>
          <w:rFonts w:ascii="Tahoma" w:hAnsi="Tahoma" w:cs="Tahoma"/>
          <w:b w:val="0"/>
          <w:sz w:val="18"/>
          <w:szCs w:val="18"/>
        </w:rPr>
      </w:pP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00626C5D">
        <w:rPr>
          <w:rFonts w:ascii="Tahoma" w:hAnsi="Tahoma" w:cs="Tahoma"/>
          <w:b w:val="0"/>
          <w:sz w:val="18"/>
          <w:szCs w:val="18"/>
        </w:rPr>
        <w:t xml:space="preserve">              </w:t>
      </w:r>
      <w:r w:rsidRPr="000B1A2B">
        <w:rPr>
          <w:rFonts w:ascii="Tahoma" w:hAnsi="Tahoma" w:cs="Tahoma"/>
          <w:b w:val="0"/>
          <w:bCs/>
          <w:sz w:val="18"/>
          <w:szCs w:val="18"/>
        </w:rPr>
        <w:t>Sentencia</w:t>
      </w:r>
      <w:r w:rsidR="007A7DB7" w:rsidRPr="000B1A2B">
        <w:rPr>
          <w:rFonts w:ascii="Tahoma" w:hAnsi="Tahoma" w:cs="Tahoma"/>
          <w:b w:val="0"/>
          <w:bCs/>
          <w:sz w:val="18"/>
          <w:szCs w:val="18"/>
        </w:rPr>
        <w:t xml:space="preserve"> del </w:t>
      </w:r>
      <w:r w:rsidR="000B1A2B" w:rsidRPr="000B1A2B">
        <w:rPr>
          <w:rFonts w:ascii="Tahoma" w:hAnsi="Tahoma" w:cs="Tahoma"/>
          <w:b w:val="0"/>
          <w:bCs/>
          <w:sz w:val="18"/>
          <w:szCs w:val="18"/>
        </w:rPr>
        <w:t>26</w:t>
      </w:r>
      <w:r w:rsidR="007A7DB7" w:rsidRPr="000B1A2B">
        <w:rPr>
          <w:rFonts w:ascii="Tahoma" w:hAnsi="Tahoma" w:cs="Tahoma"/>
          <w:b w:val="0"/>
          <w:bCs/>
          <w:sz w:val="18"/>
          <w:szCs w:val="18"/>
        </w:rPr>
        <w:t xml:space="preserve"> de febrero</w:t>
      </w:r>
      <w:r w:rsidRPr="000B1A2B">
        <w:rPr>
          <w:rFonts w:ascii="Tahoma" w:hAnsi="Tahoma" w:cs="Tahoma"/>
          <w:b w:val="0"/>
          <w:bCs/>
          <w:sz w:val="18"/>
          <w:szCs w:val="18"/>
        </w:rPr>
        <w:t xml:space="preserve"> de 201</w:t>
      </w:r>
      <w:r w:rsidR="005A4428" w:rsidRPr="000B1A2B">
        <w:rPr>
          <w:rFonts w:ascii="Tahoma" w:hAnsi="Tahoma" w:cs="Tahoma"/>
          <w:b w:val="0"/>
          <w:bCs/>
          <w:sz w:val="18"/>
          <w:szCs w:val="18"/>
        </w:rPr>
        <w:t>6</w:t>
      </w:r>
      <w:r w:rsidRPr="002B7B53">
        <w:rPr>
          <w:rFonts w:ascii="Tahoma" w:hAnsi="Tahoma" w:cs="Tahoma"/>
          <w:b w:val="0"/>
          <w:bCs/>
          <w:sz w:val="18"/>
          <w:szCs w:val="18"/>
        </w:rPr>
        <w:t xml:space="preserve">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00626C5D">
        <w:rPr>
          <w:rFonts w:ascii="Tahoma" w:hAnsi="Tahoma" w:cs="Tahoma"/>
          <w:b w:val="0"/>
          <w:sz w:val="18"/>
          <w:szCs w:val="18"/>
        </w:rPr>
        <w:tab/>
      </w:r>
      <w:r w:rsidR="00626C5D" w:rsidRPr="00F1041D">
        <w:rPr>
          <w:rFonts w:ascii="Tahoma" w:hAnsi="Tahoma" w:cs="Tahoma"/>
          <w:b w:val="0"/>
          <w:spacing w:val="-2"/>
          <w:sz w:val="18"/>
          <w:szCs w:val="18"/>
        </w:rPr>
        <w:t xml:space="preserve">         </w:t>
      </w:r>
      <w:r w:rsidR="00822190">
        <w:rPr>
          <w:rFonts w:ascii="Tahoma" w:hAnsi="Tahoma" w:cs="Tahoma"/>
          <w:b w:val="0"/>
          <w:sz w:val="18"/>
          <w:szCs w:val="18"/>
        </w:rPr>
        <w:t>66001-31-05-005</w:t>
      </w:r>
      <w:r w:rsidR="007A7DB7">
        <w:rPr>
          <w:rFonts w:ascii="Tahoma" w:hAnsi="Tahoma" w:cs="Tahoma"/>
          <w:b w:val="0"/>
          <w:sz w:val="18"/>
          <w:szCs w:val="18"/>
        </w:rPr>
        <w:t>-201</w:t>
      </w:r>
      <w:r w:rsidR="00822190">
        <w:rPr>
          <w:rFonts w:ascii="Tahoma" w:hAnsi="Tahoma" w:cs="Tahoma"/>
          <w:b w:val="0"/>
          <w:sz w:val="18"/>
          <w:szCs w:val="18"/>
        </w:rPr>
        <w:t>4</w:t>
      </w:r>
      <w:r w:rsidR="007A7DB7">
        <w:rPr>
          <w:rFonts w:ascii="Tahoma" w:hAnsi="Tahoma" w:cs="Tahoma"/>
          <w:b w:val="0"/>
          <w:sz w:val="18"/>
          <w:szCs w:val="18"/>
        </w:rPr>
        <w:t>-</w:t>
      </w:r>
      <w:r w:rsidR="005A4428" w:rsidRPr="005A4428">
        <w:rPr>
          <w:rFonts w:ascii="Tahoma" w:hAnsi="Tahoma" w:cs="Tahoma"/>
          <w:b w:val="0"/>
          <w:sz w:val="18"/>
          <w:szCs w:val="18"/>
        </w:rPr>
        <w:t>0</w:t>
      </w:r>
      <w:r w:rsidR="00822190">
        <w:rPr>
          <w:rFonts w:ascii="Tahoma" w:hAnsi="Tahoma" w:cs="Tahoma"/>
          <w:b w:val="0"/>
          <w:sz w:val="18"/>
          <w:szCs w:val="18"/>
        </w:rPr>
        <w:t>0358</w:t>
      </w:r>
      <w:r w:rsidR="005A4428" w:rsidRPr="005A4428">
        <w:rPr>
          <w:rFonts w:ascii="Tahoma" w:hAnsi="Tahoma" w:cs="Tahoma"/>
          <w:b w:val="0"/>
          <w:sz w:val="18"/>
          <w:szCs w:val="18"/>
        </w:rPr>
        <w:t>-01</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00626C5D">
        <w:rPr>
          <w:rFonts w:ascii="Tahoma" w:hAnsi="Tahoma" w:cs="Tahoma"/>
          <w:b w:val="0"/>
          <w:sz w:val="18"/>
          <w:szCs w:val="18"/>
        </w:rPr>
        <w:t xml:space="preserve">                    </w:t>
      </w:r>
      <w:r w:rsidRPr="002B7B53">
        <w:rPr>
          <w:rFonts w:ascii="Tahoma" w:hAnsi="Tahoma" w:cs="Tahoma"/>
          <w:b w:val="0"/>
          <w:sz w:val="18"/>
          <w:szCs w:val="18"/>
        </w:rPr>
        <w:t xml:space="preserve">Ordinario laboral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626C5D" w:rsidRPr="00F1041D">
        <w:rPr>
          <w:rFonts w:ascii="Tahoma" w:hAnsi="Tahoma" w:cs="Tahoma"/>
          <w:b w:val="0"/>
          <w:spacing w:val="-2"/>
          <w:sz w:val="18"/>
          <w:szCs w:val="18"/>
        </w:rPr>
        <w:t xml:space="preserve">             </w:t>
      </w:r>
      <w:r w:rsidR="00A019B6">
        <w:rPr>
          <w:rFonts w:ascii="Tahoma" w:hAnsi="Tahoma" w:cs="Tahoma"/>
          <w:b w:val="0"/>
          <w:sz w:val="18"/>
          <w:szCs w:val="18"/>
        </w:rPr>
        <w:t xml:space="preserve">Jorge Iván </w:t>
      </w:r>
      <w:r w:rsidR="002235AD">
        <w:rPr>
          <w:rFonts w:ascii="Tahoma" w:hAnsi="Tahoma" w:cs="Tahoma"/>
          <w:b w:val="0"/>
          <w:sz w:val="18"/>
          <w:szCs w:val="18"/>
        </w:rPr>
        <w:t xml:space="preserve">Sepúlveda </w:t>
      </w:r>
      <w:r w:rsidR="006F6981">
        <w:rPr>
          <w:rFonts w:ascii="Tahoma" w:hAnsi="Tahoma" w:cs="Tahoma"/>
          <w:b w:val="0"/>
          <w:sz w:val="18"/>
          <w:szCs w:val="18"/>
        </w:rPr>
        <w:t>Bolívar</w:t>
      </w:r>
    </w:p>
    <w:p w:rsidR="00A0425E" w:rsidRPr="002B7B53" w:rsidRDefault="00A0425E" w:rsidP="00A0425E">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626C5D">
        <w:rPr>
          <w:rFonts w:ascii="Tahoma" w:hAnsi="Tahoma" w:cs="Tahoma"/>
          <w:b w:val="0"/>
          <w:sz w:val="18"/>
          <w:szCs w:val="18"/>
        </w:rPr>
        <w:t xml:space="preserve">              </w:t>
      </w:r>
      <w:r w:rsidRPr="002B7B53">
        <w:rPr>
          <w:rFonts w:ascii="Tahoma" w:hAnsi="Tahoma" w:cs="Tahoma"/>
          <w:b w:val="0"/>
          <w:sz w:val="18"/>
          <w:szCs w:val="18"/>
        </w:rPr>
        <w:t xml:space="preserve">Colpensiones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00626C5D">
        <w:rPr>
          <w:rFonts w:ascii="Tahoma" w:hAnsi="Tahoma" w:cs="Tahoma"/>
          <w:b w:val="0"/>
          <w:sz w:val="18"/>
          <w:szCs w:val="18"/>
        </w:rPr>
        <w:t xml:space="preserve">    </w:t>
      </w:r>
      <w:r w:rsidR="00A019B6">
        <w:rPr>
          <w:rFonts w:ascii="Tahoma" w:hAnsi="Tahoma" w:cs="Tahoma"/>
          <w:b w:val="0"/>
          <w:sz w:val="18"/>
          <w:szCs w:val="18"/>
        </w:rPr>
        <w:t>Quinto</w:t>
      </w:r>
      <w:r w:rsidRPr="002B7B53">
        <w:rPr>
          <w:rFonts w:ascii="Tahoma" w:hAnsi="Tahoma" w:cs="Tahoma"/>
          <w:b w:val="0"/>
          <w:sz w:val="18"/>
          <w:szCs w:val="18"/>
        </w:rPr>
        <w:t xml:space="preserve"> Laboral del Circuito de Pereira</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 xml:space="preserve">Magistrada </w:t>
      </w:r>
      <w:r w:rsidRPr="00F1041D">
        <w:rPr>
          <w:rFonts w:ascii="Tahoma" w:hAnsi="Tahoma" w:cs="Tahoma"/>
          <w:spacing w:val="2"/>
          <w:sz w:val="18"/>
          <w:szCs w:val="18"/>
        </w:rPr>
        <w:t>ponente:</w:t>
      </w:r>
      <w:r w:rsidR="00626C5D" w:rsidRPr="00F1041D">
        <w:rPr>
          <w:rFonts w:ascii="Tahoma" w:hAnsi="Tahoma" w:cs="Tahoma"/>
          <w:b w:val="0"/>
          <w:spacing w:val="2"/>
          <w:sz w:val="18"/>
          <w:szCs w:val="18"/>
        </w:rPr>
        <w:t xml:space="preserve"> </w:t>
      </w:r>
      <w:r w:rsidRPr="002B7B53">
        <w:rPr>
          <w:rFonts w:ascii="Tahoma" w:hAnsi="Tahoma" w:cs="Tahoma"/>
          <w:b w:val="0"/>
          <w:sz w:val="18"/>
          <w:szCs w:val="18"/>
        </w:rPr>
        <w:t>Dra. Ana Lucía Caicedo Calderón</w:t>
      </w:r>
    </w:p>
    <w:p w:rsidR="00A0425E" w:rsidRPr="002B7B53" w:rsidRDefault="00A0425E" w:rsidP="00A0425E">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103B70" w:rsidRPr="00626C5D" w:rsidRDefault="00D03506" w:rsidP="00E62FAF">
      <w:pPr>
        <w:pStyle w:val="Puesto"/>
        <w:spacing w:line="240" w:lineRule="auto"/>
        <w:ind w:left="1985"/>
        <w:jc w:val="both"/>
        <w:rPr>
          <w:rFonts w:ascii="Tahoma" w:hAnsi="Tahoma" w:cs="Tahoma"/>
          <w:bCs/>
          <w:sz w:val="18"/>
          <w:szCs w:val="18"/>
          <w:u w:val="single"/>
        </w:rPr>
      </w:pPr>
      <w:r w:rsidRPr="00626C5D">
        <w:rPr>
          <w:rFonts w:ascii="Tahoma" w:hAnsi="Tahoma" w:cs="Tahoma"/>
          <w:b w:val="0"/>
          <w:bCs/>
          <w:sz w:val="18"/>
          <w:szCs w:val="18"/>
        </w:rPr>
        <w:t>VIGENCIA DEL RÉGIMEN DE TRANSICIÓN/</w:t>
      </w:r>
      <w:r w:rsidR="000F287C" w:rsidRPr="00626C5D">
        <w:rPr>
          <w:rFonts w:ascii="Tahoma" w:hAnsi="Tahoma" w:cs="Tahoma"/>
          <w:b w:val="0"/>
          <w:bCs/>
          <w:sz w:val="18"/>
          <w:szCs w:val="18"/>
        </w:rPr>
        <w:t xml:space="preserve"> Requisitos para obtener la pensión</w:t>
      </w:r>
      <w:bookmarkStart w:id="0" w:name="_GoBack"/>
      <w:bookmarkEnd w:id="0"/>
      <w:r w:rsidR="000F287C" w:rsidRPr="00626C5D">
        <w:rPr>
          <w:rFonts w:ascii="Tahoma" w:hAnsi="Tahoma" w:cs="Tahoma"/>
          <w:b w:val="0"/>
          <w:bCs/>
          <w:sz w:val="18"/>
          <w:szCs w:val="18"/>
        </w:rPr>
        <w:t xml:space="preserve"> en ese régimen</w:t>
      </w:r>
      <w:r w:rsidR="00626C5D" w:rsidRPr="00626C5D">
        <w:rPr>
          <w:rFonts w:ascii="Tahoma" w:hAnsi="Tahoma" w:cs="Tahoma"/>
          <w:b w:val="0"/>
          <w:bCs/>
          <w:sz w:val="18"/>
          <w:szCs w:val="18"/>
        </w:rPr>
        <w:t xml:space="preserve"> a</w:t>
      </w:r>
      <w:r w:rsidR="00547B28" w:rsidRPr="00626C5D">
        <w:rPr>
          <w:rFonts w:ascii="Tahoma" w:hAnsi="Tahoma" w:cs="Tahoma"/>
          <w:b w:val="0"/>
          <w:bCs/>
          <w:sz w:val="18"/>
          <w:szCs w:val="18"/>
        </w:rPr>
        <w:t>l 31 de julio de 2010 o</w:t>
      </w:r>
      <w:r w:rsidRPr="00626C5D">
        <w:rPr>
          <w:rFonts w:ascii="Tahoma" w:hAnsi="Tahoma" w:cs="Tahoma"/>
          <w:b w:val="0"/>
          <w:bCs/>
          <w:sz w:val="18"/>
          <w:szCs w:val="18"/>
        </w:rPr>
        <w:t xml:space="preserve"> </w:t>
      </w:r>
      <w:r w:rsidR="00547B28" w:rsidRPr="00626C5D">
        <w:rPr>
          <w:rFonts w:ascii="Tahoma" w:hAnsi="Tahoma" w:cs="Tahoma"/>
          <w:b w:val="0"/>
          <w:bCs/>
          <w:sz w:val="18"/>
          <w:szCs w:val="18"/>
        </w:rPr>
        <w:t>p</w:t>
      </w:r>
      <w:r w:rsidR="008F2BEF" w:rsidRPr="00626C5D">
        <w:rPr>
          <w:rFonts w:ascii="Tahoma" w:hAnsi="Tahoma" w:cs="Tahoma"/>
          <w:b w:val="0"/>
          <w:bCs/>
          <w:sz w:val="18"/>
          <w:szCs w:val="18"/>
        </w:rPr>
        <w:t>ara extender</w:t>
      </w:r>
      <w:r w:rsidR="00547B28" w:rsidRPr="00626C5D">
        <w:rPr>
          <w:rFonts w:ascii="Tahoma" w:hAnsi="Tahoma" w:cs="Tahoma"/>
          <w:b w:val="0"/>
          <w:bCs/>
          <w:sz w:val="18"/>
          <w:szCs w:val="18"/>
        </w:rPr>
        <w:t xml:space="preserve"> sus beneficios</w:t>
      </w:r>
      <w:r w:rsidR="008D42E7" w:rsidRPr="00626C5D">
        <w:rPr>
          <w:rFonts w:ascii="Tahoma" w:hAnsi="Tahoma" w:cs="Tahoma"/>
          <w:b w:val="0"/>
          <w:bCs/>
          <w:sz w:val="18"/>
          <w:szCs w:val="18"/>
        </w:rPr>
        <w:t xml:space="preserve"> hasta el año 2014</w:t>
      </w:r>
      <w:r w:rsidRPr="00626C5D">
        <w:rPr>
          <w:rFonts w:ascii="Tahoma" w:hAnsi="Tahoma" w:cs="Tahoma"/>
          <w:b w:val="0"/>
          <w:bCs/>
          <w:sz w:val="18"/>
          <w:szCs w:val="18"/>
        </w:rPr>
        <w:t xml:space="preserve"> </w:t>
      </w:r>
    </w:p>
    <w:p w:rsidR="00D22CD5" w:rsidRPr="00626C5D" w:rsidRDefault="00D22CD5" w:rsidP="00E62FAF">
      <w:pPr>
        <w:pStyle w:val="Puesto"/>
        <w:spacing w:line="240" w:lineRule="auto"/>
        <w:ind w:left="1985"/>
        <w:jc w:val="both"/>
        <w:rPr>
          <w:rFonts w:ascii="Tahoma" w:hAnsi="Tahoma" w:cs="Tahoma"/>
          <w:b w:val="0"/>
          <w:sz w:val="18"/>
          <w:szCs w:val="18"/>
        </w:rPr>
      </w:pPr>
      <w:r w:rsidRPr="00626C5D">
        <w:rPr>
          <w:sz w:val="18"/>
          <w:szCs w:val="18"/>
        </w:rPr>
        <w:t xml:space="preserve">                         </w:t>
      </w:r>
    </w:p>
    <w:p w:rsidR="00D22CD5" w:rsidRPr="00E62FAF" w:rsidRDefault="008D42E7" w:rsidP="00E62FAF">
      <w:pPr>
        <w:ind w:left="1985"/>
        <w:jc w:val="both"/>
        <w:rPr>
          <w:rFonts w:ascii="Tahoma" w:hAnsi="Tahoma" w:cs="Tahoma"/>
          <w:bCs/>
          <w:color w:val="000000"/>
          <w:sz w:val="18"/>
          <w:szCs w:val="18"/>
        </w:rPr>
      </w:pPr>
      <w:r w:rsidRPr="00E62FAF">
        <w:rPr>
          <w:rFonts w:ascii="Tahoma" w:hAnsi="Tahoma" w:cs="Tahoma"/>
          <w:bCs/>
          <w:color w:val="000000"/>
          <w:sz w:val="18"/>
          <w:szCs w:val="18"/>
        </w:rPr>
        <w:t>“(…)</w:t>
      </w:r>
      <w:r w:rsidR="00D22CD5" w:rsidRPr="00E62FAF">
        <w:rPr>
          <w:rFonts w:ascii="Tahoma" w:hAnsi="Tahoma" w:cs="Tahoma"/>
          <w:bCs/>
          <w:color w:val="000000"/>
          <w:sz w:val="18"/>
          <w:szCs w:val="18"/>
        </w:rPr>
        <w:t xml:space="preserve"> es posible para esta Sala concluir que el señor Jorge Iván Sepúlveda Bolívar en toda su historia laboral cotizó un total de 869,72 semanas, de las cuales 628,01 tienen un reporte anterior al 29 de julio de 2005</w:t>
      </w:r>
      <w:r w:rsidR="00DC2CD7" w:rsidRPr="00E62FAF">
        <w:rPr>
          <w:rFonts w:ascii="Tahoma" w:hAnsi="Tahoma" w:cs="Tahoma"/>
          <w:bCs/>
          <w:color w:val="000000"/>
          <w:sz w:val="18"/>
          <w:szCs w:val="18"/>
        </w:rPr>
        <w:t xml:space="preserve"> (…) </w:t>
      </w:r>
      <w:r w:rsidR="00D22CD5" w:rsidRPr="00E62FAF">
        <w:rPr>
          <w:rFonts w:ascii="Tahoma" w:hAnsi="Tahoma" w:cs="Tahoma"/>
          <w:bCs/>
          <w:color w:val="000000"/>
          <w:sz w:val="18"/>
          <w:szCs w:val="18"/>
        </w:rPr>
        <w:t>por lo tanto, es evidente, que el promotor del litigio no cumple con la exigencia objetiva del Acto Legislativo 01 de 2005, necesaria para conservar el régimen de transición establecido en el artículo 36 de la Ley 100 de 1993, y así hacer factible la aplicación de las disposiciones del Acuerdo 049 de 1990</w:t>
      </w:r>
      <w:r w:rsidR="00DC2CD7" w:rsidRPr="00E62FAF">
        <w:rPr>
          <w:rFonts w:ascii="Tahoma" w:hAnsi="Tahoma" w:cs="Tahoma"/>
          <w:bCs/>
          <w:color w:val="000000"/>
          <w:sz w:val="18"/>
          <w:szCs w:val="18"/>
        </w:rPr>
        <w:t xml:space="preserve"> (…)</w:t>
      </w:r>
    </w:p>
    <w:p w:rsidR="00D22CD5" w:rsidRPr="00E62FAF" w:rsidRDefault="00D22CD5" w:rsidP="00E62FAF">
      <w:pPr>
        <w:pStyle w:val="Sinespaciado"/>
        <w:ind w:left="1985"/>
        <w:jc w:val="both"/>
        <w:rPr>
          <w:sz w:val="18"/>
          <w:szCs w:val="18"/>
        </w:rPr>
      </w:pPr>
    </w:p>
    <w:p w:rsidR="00D22CD5" w:rsidRPr="00E62FAF" w:rsidRDefault="00456FBD" w:rsidP="00E62FAF">
      <w:pPr>
        <w:pStyle w:val="Textoindependiente"/>
        <w:spacing w:after="0"/>
        <w:ind w:left="1985" w:right="51"/>
        <w:jc w:val="both"/>
        <w:rPr>
          <w:rFonts w:ascii="Tahoma" w:hAnsi="Tahoma" w:cs="Tahoma"/>
          <w:bCs/>
          <w:color w:val="000000"/>
          <w:sz w:val="18"/>
          <w:szCs w:val="18"/>
        </w:rPr>
      </w:pPr>
      <w:r w:rsidRPr="00E62FAF">
        <w:rPr>
          <w:rFonts w:ascii="Tahoma" w:hAnsi="Tahoma" w:cs="Tahoma"/>
          <w:bCs/>
          <w:color w:val="000000"/>
          <w:sz w:val="18"/>
          <w:szCs w:val="18"/>
        </w:rPr>
        <w:t xml:space="preserve">(…) </w:t>
      </w:r>
      <w:r w:rsidR="00D22CD5" w:rsidRPr="00E62FAF">
        <w:rPr>
          <w:rFonts w:ascii="Tahoma" w:hAnsi="Tahoma" w:cs="Tahoma"/>
          <w:bCs/>
          <w:color w:val="000000"/>
          <w:sz w:val="18"/>
          <w:szCs w:val="18"/>
        </w:rPr>
        <w:t>el Acto Legislativo 01 de 2005 dejó incólume el beneficio del régimen de transición hasta el 31 de julio de 2010, para las personas que para dicha calenda hubieran cumplidos los requisitos exigidos por la normatividad aplicable en virtud de la transición normativa, razón por la cual, la Sala procedió a comprobar si el señor Sepúlveda Bolívar en los últimos 20 años al cumplimiento de sus 60 años, esto es entre el 1º de julio de 1988 y el 1º de julio de 2008, acredita las 500 semanas exigidas en el artículo 12 del acuerdo 049 de 1990, toda vez que, se itera, carece de 1000 en toda su historia laboral. De esta manera, al analizar el reporte de semanas referido se observa que el actor una vez hecha la novedad de retiro de Muebles Día Ltda. en diciembre de 1998, estuvo inactivo hasta el 1º de agosto de 2008, por lo que en sus últimos 20 años al cumplimiento de la edad tan solo acredita 476,29 semanas cotizadas.</w:t>
      </w:r>
      <w:r w:rsidR="0005218E">
        <w:rPr>
          <w:rFonts w:ascii="Tahoma" w:hAnsi="Tahoma" w:cs="Tahoma"/>
          <w:bCs/>
          <w:color w:val="000000"/>
          <w:sz w:val="18"/>
          <w:szCs w:val="18"/>
        </w:rPr>
        <w:t>”</w:t>
      </w:r>
    </w:p>
    <w:p w:rsidR="00D22CD5" w:rsidRPr="00E62FAF" w:rsidRDefault="00D22CD5" w:rsidP="00E62FAF">
      <w:pPr>
        <w:pStyle w:val="Puesto"/>
        <w:spacing w:line="240" w:lineRule="auto"/>
        <w:ind w:left="1985"/>
        <w:jc w:val="both"/>
        <w:rPr>
          <w:rFonts w:ascii="Tahoma" w:hAnsi="Tahoma" w:cs="Tahoma"/>
          <w:b w:val="0"/>
          <w:bCs/>
          <w:sz w:val="18"/>
          <w:szCs w:val="18"/>
        </w:rPr>
      </w:pPr>
    </w:p>
    <w:p w:rsidR="00A0425E" w:rsidRPr="00DF64E3" w:rsidRDefault="00A0425E" w:rsidP="00710BE8">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A0425E" w:rsidRPr="00DF64E3" w:rsidRDefault="00A0425E" w:rsidP="00710BE8">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rsidR="00A0425E" w:rsidRPr="002B7B53" w:rsidRDefault="00A0425E" w:rsidP="00954036">
      <w:pPr>
        <w:pStyle w:val="Sinespaciado"/>
      </w:pPr>
    </w:p>
    <w:p w:rsidR="00A0425E" w:rsidRPr="002B7B53" w:rsidRDefault="00A0425E" w:rsidP="00710BE8">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A0425E" w:rsidRPr="002B7B53" w:rsidRDefault="00A0425E" w:rsidP="00954036">
      <w:pPr>
        <w:pStyle w:val="Sinespaciado"/>
      </w:pPr>
    </w:p>
    <w:p w:rsidR="00A0425E" w:rsidRPr="002B7B53" w:rsidRDefault="00A0425E" w:rsidP="001F29F7">
      <w:pPr>
        <w:jc w:val="center"/>
        <w:rPr>
          <w:rFonts w:ascii="Tahoma" w:hAnsi="Tahoma" w:cs="Tahoma"/>
          <w:b/>
        </w:rPr>
      </w:pPr>
      <w:r w:rsidRPr="002B7B53">
        <w:rPr>
          <w:rFonts w:ascii="Tahoma" w:hAnsi="Tahoma" w:cs="Tahoma"/>
          <w:b/>
        </w:rPr>
        <w:t>Acta No. ____</w:t>
      </w:r>
    </w:p>
    <w:p w:rsidR="00A0425E" w:rsidRPr="002B7B53" w:rsidRDefault="00A0425E" w:rsidP="001F29F7">
      <w:pPr>
        <w:jc w:val="center"/>
        <w:rPr>
          <w:rFonts w:ascii="Tahoma" w:hAnsi="Tahoma" w:cs="Tahoma"/>
          <w:b/>
        </w:rPr>
      </w:pPr>
      <w:r w:rsidRPr="000B1A2B">
        <w:rPr>
          <w:rFonts w:ascii="Tahoma" w:hAnsi="Tahoma" w:cs="Tahoma"/>
          <w:b/>
        </w:rPr>
        <w:t>(</w:t>
      </w:r>
      <w:r w:rsidR="007A7DB7" w:rsidRPr="000B1A2B">
        <w:rPr>
          <w:rFonts w:ascii="Tahoma" w:hAnsi="Tahoma" w:cs="Tahoma"/>
          <w:b/>
        </w:rPr>
        <w:t xml:space="preserve">Febrero </w:t>
      </w:r>
      <w:r w:rsidR="000B1A2B" w:rsidRPr="000B1A2B">
        <w:rPr>
          <w:rFonts w:ascii="Tahoma" w:hAnsi="Tahoma" w:cs="Tahoma"/>
          <w:b/>
        </w:rPr>
        <w:t>26</w:t>
      </w:r>
      <w:r w:rsidR="007A7DB7" w:rsidRPr="000B1A2B">
        <w:rPr>
          <w:rFonts w:ascii="Tahoma" w:hAnsi="Tahoma" w:cs="Tahoma"/>
          <w:b/>
        </w:rPr>
        <w:t xml:space="preserve"> </w:t>
      </w:r>
      <w:r w:rsidRPr="000B1A2B">
        <w:rPr>
          <w:rFonts w:ascii="Tahoma" w:hAnsi="Tahoma" w:cs="Tahoma"/>
          <w:b/>
        </w:rPr>
        <w:t>de 201</w:t>
      </w:r>
      <w:r w:rsidR="005A4428" w:rsidRPr="000B1A2B">
        <w:rPr>
          <w:rFonts w:ascii="Tahoma" w:hAnsi="Tahoma" w:cs="Tahoma"/>
          <w:b/>
        </w:rPr>
        <w:t>6</w:t>
      </w:r>
      <w:r w:rsidRPr="000B1A2B">
        <w:rPr>
          <w:rFonts w:ascii="Tahoma" w:hAnsi="Tahoma" w:cs="Tahoma"/>
          <w:b/>
        </w:rPr>
        <w:t>)</w:t>
      </w:r>
    </w:p>
    <w:p w:rsidR="00A0425E" w:rsidRPr="00AB2670" w:rsidRDefault="00A0425E" w:rsidP="001F29F7">
      <w:pPr>
        <w:pStyle w:val="Sinespaciado"/>
      </w:pPr>
    </w:p>
    <w:p w:rsidR="00A0425E" w:rsidRPr="002B7B53" w:rsidRDefault="00A0425E" w:rsidP="001F29F7">
      <w:pPr>
        <w:pStyle w:val="Ttulo5"/>
        <w:spacing w:line="240" w:lineRule="auto"/>
        <w:ind w:firstLine="0"/>
        <w:jc w:val="center"/>
        <w:rPr>
          <w:rFonts w:ascii="Tahoma" w:hAnsi="Tahoma" w:cs="Tahoma"/>
        </w:rPr>
      </w:pPr>
      <w:r w:rsidRPr="002B7B53">
        <w:rPr>
          <w:rFonts w:ascii="Tahoma" w:hAnsi="Tahoma" w:cs="Tahoma"/>
        </w:rPr>
        <w:t>Sistema oral - Audiencia de juzgamiento</w:t>
      </w:r>
    </w:p>
    <w:p w:rsidR="00A0425E" w:rsidRPr="00AB2670" w:rsidRDefault="00A0425E" w:rsidP="00AB2670">
      <w:pPr>
        <w:pStyle w:val="Sinespaciado"/>
      </w:pPr>
      <w:r w:rsidRPr="002B7B53">
        <w:tab/>
      </w:r>
    </w:p>
    <w:p w:rsidR="00A0425E" w:rsidRPr="002B7B53" w:rsidRDefault="007A7DB7" w:rsidP="00710BE8">
      <w:pPr>
        <w:spacing w:line="276" w:lineRule="auto"/>
        <w:ind w:firstLine="708"/>
        <w:jc w:val="both"/>
        <w:rPr>
          <w:rFonts w:ascii="Tahoma" w:hAnsi="Tahoma" w:cs="Tahoma"/>
          <w:lang w:val="es-ES_tradnl"/>
        </w:rPr>
      </w:pPr>
      <w:r>
        <w:rPr>
          <w:rFonts w:ascii="Tahoma" w:hAnsi="Tahoma" w:cs="Tahoma"/>
          <w:lang w:val="es-ES_tradnl"/>
        </w:rPr>
        <w:t xml:space="preserve">Buenos días, </w:t>
      </w:r>
      <w:r w:rsidRPr="000B1A2B">
        <w:rPr>
          <w:rFonts w:ascii="Tahoma" w:hAnsi="Tahoma" w:cs="Tahoma"/>
          <w:lang w:val="es-ES_tradnl"/>
        </w:rPr>
        <w:t xml:space="preserve">siendo las </w:t>
      </w:r>
      <w:r w:rsidR="000B1A2B">
        <w:rPr>
          <w:rFonts w:ascii="Tahoma" w:hAnsi="Tahoma" w:cs="Tahoma"/>
          <w:lang w:val="es-ES_tradnl"/>
        </w:rPr>
        <w:t>7</w:t>
      </w:r>
      <w:r w:rsidRPr="000B1A2B">
        <w:rPr>
          <w:rFonts w:ascii="Tahoma" w:hAnsi="Tahoma" w:cs="Tahoma"/>
          <w:lang w:val="es-ES_tradnl"/>
        </w:rPr>
        <w:t>:</w:t>
      </w:r>
      <w:r w:rsidR="000B1A2B">
        <w:rPr>
          <w:rFonts w:ascii="Tahoma" w:hAnsi="Tahoma" w:cs="Tahoma"/>
          <w:lang w:val="es-ES_tradnl"/>
        </w:rPr>
        <w:t>30</w:t>
      </w:r>
      <w:r w:rsidR="00A0425E" w:rsidRPr="000B1A2B">
        <w:rPr>
          <w:rFonts w:ascii="Tahoma" w:hAnsi="Tahoma" w:cs="Tahoma"/>
          <w:lang w:val="es-ES_tradnl"/>
        </w:rPr>
        <w:t xml:space="preserve"> a.m. de hoy, </w:t>
      </w:r>
      <w:r w:rsidRPr="000B1A2B">
        <w:rPr>
          <w:rFonts w:ascii="Tahoma" w:hAnsi="Tahoma" w:cs="Tahoma"/>
          <w:lang w:val="es-ES_tradnl"/>
        </w:rPr>
        <w:t xml:space="preserve">viernes </w:t>
      </w:r>
      <w:r w:rsidR="000B1A2B">
        <w:rPr>
          <w:rFonts w:ascii="Tahoma" w:hAnsi="Tahoma" w:cs="Tahoma"/>
          <w:lang w:val="es-ES_tradnl"/>
        </w:rPr>
        <w:t>26</w:t>
      </w:r>
      <w:r w:rsidRPr="000B1A2B">
        <w:rPr>
          <w:rFonts w:ascii="Tahoma" w:hAnsi="Tahoma" w:cs="Tahoma"/>
          <w:lang w:val="es-ES_tradnl"/>
        </w:rPr>
        <w:t xml:space="preserve"> de febrero</w:t>
      </w:r>
      <w:r w:rsidR="00A0425E" w:rsidRPr="000B1A2B">
        <w:rPr>
          <w:rFonts w:ascii="Tahoma" w:hAnsi="Tahoma" w:cs="Tahoma"/>
          <w:lang w:val="es-ES_tradnl"/>
        </w:rPr>
        <w:t xml:space="preserve"> de 201</w:t>
      </w:r>
      <w:r w:rsidR="005A4428" w:rsidRPr="000B1A2B">
        <w:rPr>
          <w:rFonts w:ascii="Tahoma" w:hAnsi="Tahoma" w:cs="Tahoma"/>
          <w:lang w:val="es-ES_tradnl"/>
        </w:rPr>
        <w:t>6</w:t>
      </w:r>
      <w:r w:rsidR="00A0425E" w:rsidRPr="002B7B53">
        <w:rPr>
          <w:rFonts w:ascii="Tahoma" w:hAnsi="Tahoma" w:cs="Tahoma"/>
          <w:lang w:val="es-ES_tradnl"/>
        </w:rPr>
        <w:t xml:space="preserve">, la Sala de Decisión Laboral del Tribunal Superior de Pereira se constituye en audiencia pública de juzgamiento en el proceso ordinario laboral instaurado por </w:t>
      </w:r>
      <w:r w:rsidR="00822190">
        <w:rPr>
          <w:rFonts w:ascii="Tahoma" w:hAnsi="Tahoma" w:cs="Tahoma"/>
          <w:lang w:val="es-ES_tradnl"/>
        </w:rPr>
        <w:t>Jorge Iván Sepúlveda</w:t>
      </w:r>
      <w:r w:rsidR="002235AD">
        <w:rPr>
          <w:rFonts w:ascii="Tahoma" w:hAnsi="Tahoma" w:cs="Tahoma"/>
          <w:lang w:val="es-ES_tradnl"/>
        </w:rPr>
        <w:t xml:space="preserve"> </w:t>
      </w:r>
      <w:r w:rsidR="00936642">
        <w:rPr>
          <w:rFonts w:ascii="Tahoma" w:hAnsi="Tahoma" w:cs="Tahoma"/>
          <w:lang w:val="es-ES_tradnl"/>
        </w:rPr>
        <w:t>Bolívar</w:t>
      </w:r>
      <w:r w:rsidR="00A0425E">
        <w:rPr>
          <w:rFonts w:ascii="Tahoma" w:hAnsi="Tahoma" w:cs="Tahoma"/>
          <w:b/>
          <w:lang w:val="es-ES_tradnl"/>
        </w:rPr>
        <w:t xml:space="preserve"> </w:t>
      </w:r>
      <w:r w:rsidR="00A0425E" w:rsidRPr="009C29D3">
        <w:rPr>
          <w:rFonts w:ascii="Tahoma" w:hAnsi="Tahoma" w:cs="Tahoma"/>
          <w:lang w:val="es-ES_tradnl"/>
        </w:rPr>
        <w:t>en</w:t>
      </w:r>
      <w:r w:rsidR="00A0425E" w:rsidRPr="002B7B53">
        <w:rPr>
          <w:rFonts w:ascii="Tahoma" w:hAnsi="Tahoma" w:cs="Tahoma"/>
          <w:lang w:val="es-ES_tradnl"/>
        </w:rPr>
        <w:t xml:space="preserve"> contra de la </w:t>
      </w:r>
      <w:r w:rsidR="00A0425E" w:rsidRPr="002B7B53">
        <w:rPr>
          <w:rFonts w:ascii="Tahoma" w:hAnsi="Tahoma" w:cs="Tahoma"/>
          <w:b/>
          <w:lang w:val="es-ES_tradnl"/>
        </w:rPr>
        <w:t>Administradora Colombiana de Pensiones “Colpensiones”</w:t>
      </w:r>
      <w:r w:rsidR="00A0425E" w:rsidRPr="002B7B53">
        <w:rPr>
          <w:rFonts w:ascii="Tahoma" w:hAnsi="Tahoma" w:cs="Tahoma"/>
          <w:lang w:val="es-ES_tradnl"/>
        </w:rPr>
        <w:t>.</w:t>
      </w:r>
    </w:p>
    <w:p w:rsidR="00A0425E" w:rsidRPr="005A4428" w:rsidRDefault="00A0425E" w:rsidP="005A4428">
      <w:pPr>
        <w:pStyle w:val="Sinespaciado"/>
      </w:pPr>
    </w:p>
    <w:p w:rsidR="00A0425E" w:rsidRDefault="00A0425E" w:rsidP="00710BE8">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Pr>
          <w:rFonts w:ascii="Tahoma" w:hAnsi="Tahoma" w:cs="Tahoma"/>
          <w:lang w:val="es-ES_tradnl"/>
        </w:rPr>
        <w:t xml:space="preserve"> </w:t>
      </w:r>
      <w:r w:rsidRPr="002B7B53">
        <w:rPr>
          <w:rFonts w:ascii="Tahoma" w:hAnsi="Tahoma" w:cs="Tahoma"/>
          <w:lang w:val="es-ES_tradnl"/>
        </w:rPr>
        <w:t>Por la parte demandante… Por la demandada…</w:t>
      </w:r>
    </w:p>
    <w:p w:rsidR="00A0425E" w:rsidRPr="002B7B53" w:rsidRDefault="00A0425E" w:rsidP="00822190">
      <w:pPr>
        <w:pStyle w:val="Sinespaciado"/>
        <w:rPr>
          <w:lang w:val="es-ES_tradnl"/>
        </w:rPr>
      </w:pPr>
    </w:p>
    <w:p w:rsidR="00A0425E" w:rsidRPr="002B7B53" w:rsidRDefault="00A0425E" w:rsidP="00710BE8">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A0425E" w:rsidRPr="00822190" w:rsidRDefault="00A0425E" w:rsidP="00822190">
      <w:pPr>
        <w:pStyle w:val="Sinespaciado"/>
      </w:pPr>
    </w:p>
    <w:p w:rsidR="00A0425E" w:rsidRDefault="00A0425E" w:rsidP="00710BE8">
      <w:pPr>
        <w:spacing w:line="276" w:lineRule="auto"/>
        <w:ind w:firstLine="708"/>
        <w:jc w:val="both"/>
        <w:rPr>
          <w:rFonts w:ascii="Tahoma" w:hAnsi="Tahoma" w:cs="Tahoma"/>
          <w:lang w:val="es-ES_tradnl"/>
        </w:rPr>
      </w:pPr>
      <w:r w:rsidRPr="002B7B53">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0425E" w:rsidRPr="00822190" w:rsidRDefault="00A0425E" w:rsidP="00822190">
      <w:pPr>
        <w:pStyle w:val="Sinespaciado"/>
      </w:pPr>
    </w:p>
    <w:p w:rsidR="00A0425E" w:rsidRDefault="00A0425E" w:rsidP="00710BE8">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A0425E" w:rsidRPr="002B7B53" w:rsidRDefault="00A0425E" w:rsidP="005A4428">
      <w:pPr>
        <w:pStyle w:val="Sinespaciado"/>
      </w:pPr>
    </w:p>
    <w:p w:rsidR="00A0425E" w:rsidRDefault="00A0425E" w:rsidP="00710BE8">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fundamentos de los argumentos expuestos en las alegaciones se tuvieron en cuenta en la discusión del proyecto, procede la Sala a resolver </w:t>
      </w:r>
      <w:r>
        <w:rPr>
          <w:rFonts w:ascii="Tahoma" w:hAnsi="Tahoma" w:cs="Tahoma"/>
        </w:rPr>
        <w:t xml:space="preserve">el grado jurisdiccional de consulta de la sentencia </w:t>
      </w:r>
      <w:r w:rsidRPr="002B7B53">
        <w:rPr>
          <w:rFonts w:ascii="Tahoma" w:hAnsi="Tahoma" w:cs="Tahoma"/>
        </w:rPr>
        <w:t xml:space="preserve">emitida por el </w:t>
      </w:r>
      <w:r w:rsidR="008E781A">
        <w:rPr>
          <w:rFonts w:ascii="Tahoma" w:hAnsi="Tahoma" w:cs="Tahoma"/>
        </w:rPr>
        <w:t xml:space="preserve">Juzgado </w:t>
      </w:r>
      <w:r w:rsidR="00DD6547">
        <w:rPr>
          <w:rFonts w:ascii="Tahoma" w:hAnsi="Tahoma" w:cs="Tahoma"/>
        </w:rPr>
        <w:t>Quinto</w:t>
      </w:r>
      <w:r w:rsidR="000E6A6F" w:rsidRPr="000E6A6F">
        <w:rPr>
          <w:rFonts w:ascii="Tahoma" w:hAnsi="Tahoma" w:cs="Tahoma"/>
        </w:rPr>
        <w:t xml:space="preserve"> del Cir</w:t>
      </w:r>
      <w:r w:rsidR="007A7DB7">
        <w:rPr>
          <w:rFonts w:ascii="Tahoma" w:hAnsi="Tahoma" w:cs="Tahoma"/>
        </w:rPr>
        <w:t xml:space="preserve">cuito de Pereira el </w:t>
      </w:r>
      <w:r w:rsidR="00DD6547">
        <w:rPr>
          <w:rFonts w:ascii="Tahoma" w:hAnsi="Tahoma" w:cs="Tahoma"/>
        </w:rPr>
        <w:t xml:space="preserve">3 </w:t>
      </w:r>
      <w:r w:rsidR="000E6A6F" w:rsidRPr="000E6A6F">
        <w:rPr>
          <w:rFonts w:ascii="Tahoma" w:hAnsi="Tahoma" w:cs="Tahoma"/>
        </w:rPr>
        <w:t xml:space="preserve">de </w:t>
      </w:r>
      <w:r w:rsidR="00DD6547">
        <w:rPr>
          <w:rFonts w:ascii="Tahoma" w:hAnsi="Tahoma" w:cs="Tahoma"/>
        </w:rPr>
        <w:t>febrero</w:t>
      </w:r>
      <w:r w:rsidR="000E6A6F" w:rsidRPr="000E6A6F">
        <w:rPr>
          <w:rFonts w:ascii="Tahoma" w:hAnsi="Tahoma" w:cs="Tahoma"/>
        </w:rPr>
        <w:t xml:space="preserve"> de 2015</w:t>
      </w:r>
      <w:r w:rsidR="000E6A6F">
        <w:rPr>
          <w:rFonts w:ascii="Tahoma" w:hAnsi="Tahoma" w:cs="Tahoma"/>
        </w:rPr>
        <w:t>, que fuera desfavorable a los intereses del demandante.</w:t>
      </w:r>
    </w:p>
    <w:p w:rsidR="005A4428" w:rsidRDefault="005A4428" w:rsidP="005A4428">
      <w:pPr>
        <w:pStyle w:val="Sinespaciado"/>
      </w:pPr>
    </w:p>
    <w:p w:rsidR="00A0425E" w:rsidRDefault="00A0425E" w:rsidP="00710BE8">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A0425E" w:rsidRPr="0064245A" w:rsidRDefault="00A0425E" w:rsidP="0064245A">
      <w:pPr>
        <w:pStyle w:val="Sinespaciado"/>
      </w:pPr>
    </w:p>
    <w:p w:rsidR="00954036" w:rsidRDefault="00A0425E" w:rsidP="00A019B6">
      <w:pPr>
        <w:pStyle w:val="Textoindependiente"/>
        <w:spacing w:after="0" w:line="276" w:lineRule="auto"/>
        <w:ind w:right="51" w:firstLine="708"/>
        <w:jc w:val="both"/>
        <w:rPr>
          <w:rFonts w:ascii="Tahoma" w:hAnsi="Tahoma" w:cs="Tahoma"/>
        </w:rPr>
      </w:pPr>
      <w:r w:rsidRPr="00863CCE">
        <w:rPr>
          <w:rFonts w:ascii="Tahoma" w:hAnsi="Tahoma" w:cs="Tahoma"/>
        </w:rPr>
        <w:t>De acuerdo a l</w:t>
      </w:r>
      <w:r>
        <w:rPr>
          <w:rFonts w:ascii="Tahoma" w:hAnsi="Tahoma" w:cs="Tahoma"/>
        </w:rPr>
        <w:t xml:space="preserve">o expuesto en la </w:t>
      </w:r>
      <w:r w:rsidRPr="00863CCE">
        <w:rPr>
          <w:rFonts w:ascii="Tahoma" w:hAnsi="Tahoma" w:cs="Tahoma"/>
        </w:rPr>
        <w:t>sentencia de primera instancia</w:t>
      </w:r>
      <w:r>
        <w:rPr>
          <w:rFonts w:ascii="Tahoma" w:hAnsi="Tahoma" w:cs="Tahoma"/>
        </w:rPr>
        <w:t xml:space="preserve">, </w:t>
      </w:r>
      <w:r w:rsidR="00A019B6" w:rsidRPr="00A019B6">
        <w:rPr>
          <w:rFonts w:ascii="Tahoma" w:hAnsi="Tahoma" w:cs="Tahoma"/>
        </w:rPr>
        <w:t xml:space="preserve">le corresponde a la Sala determinar si </w:t>
      </w:r>
      <w:r w:rsidR="005B65D1">
        <w:rPr>
          <w:rFonts w:ascii="Tahoma" w:hAnsi="Tahoma" w:cs="Tahoma"/>
        </w:rPr>
        <w:t xml:space="preserve">el señor Jorge Iván Sepúlveda </w:t>
      </w:r>
      <w:r w:rsidR="00A019B6" w:rsidRPr="00A019B6">
        <w:rPr>
          <w:rFonts w:ascii="Tahoma" w:hAnsi="Tahoma" w:cs="Tahoma"/>
        </w:rPr>
        <w:t xml:space="preserve">conservó los beneficios del régimen de transición </w:t>
      </w:r>
      <w:r w:rsidR="005B65D1">
        <w:rPr>
          <w:rFonts w:ascii="Tahoma" w:hAnsi="Tahoma" w:cs="Tahoma"/>
        </w:rPr>
        <w:t xml:space="preserve">establecido en el artículo 36 de la Ley 100 de 1993 </w:t>
      </w:r>
      <w:r w:rsidR="00A019B6">
        <w:rPr>
          <w:rFonts w:ascii="Tahoma" w:hAnsi="Tahoma" w:cs="Tahoma"/>
        </w:rPr>
        <w:t xml:space="preserve">y, en caso afirmativo, si cumple los requisitos del </w:t>
      </w:r>
      <w:r w:rsidR="005B65D1">
        <w:rPr>
          <w:rFonts w:ascii="Tahoma" w:hAnsi="Tahoma" w:cs="Tahoma"/>
        </w:rPr>
        <w:t xml:space="preserve">Acuerdo </w:t>
      </w:r>
      <w:r w:rsidR="00A019B6">
        <w:rPr>
          <w:rFonts w:ascii="Tahoma" w:hAnsi="Tahoma" w:cs="Tahoma"/>
        </w:rPr>
        <w:t>049 de 1990</w:t>
      </w:r>
      <w:r w:rsidR="005B65D1" w:rsidRPr="005B65D1">
        <w:rPr>
          <w:rFonts w:ascii="Tahoma" w:hAnsi="Tahoma" w:cs="Tahoma"/>
        </w:rPr>
        <w:t xml:space="preserve"> </w:t>
      </w:r>
      <w:r w:rsidR="005B65D1" w:rsidRPr="00A019B6">
        <w:rPr>
          <w:rFonts w:ascii="Tahoma" w:hAnsi="Tahoma" w:cs="Tahoma"/>
        </w:rPr>
        <w:t xml:space="preserve">para el reconocimiento de la pensión de </w:t>
      </w:r>
      <w:r w:rsidR="005B65D1">
        <w:rPr>
          <w:rFonts w:ascii="Tahoma" w:hAnsi="Tahoma" w:cs="Tahoma"/>
        </w:rPr>
        <w:t>vejez</w:t>
      </w:r>
      <w:r w:rsidR="00A019B6">
        <w:rPr>
          <w:rFonts w:ascii="Tahoma" w:hAnsi="Tahoma" w:cs="Tahoma"/>
        </w:rPr>
        <w:t>.</w:t>
      </w:r>
    </w:p>
    <w:p w:rsidR="00A019B6" w:rsidRDefault="00A019B6" w:rsidP="00A019B6">
      <w:pPr>
        <w:pStyle w:val="Textoindependiente"/>
        <w:spacing w:after="0" w:line="276" w:lineRule="auto"/>
        <w:ind w:right="51" w:firstLine="708"/>
        <w:jc w:val="both"/>
      </w:pPr>
    </w:p>
    <w:p w:rsidR="00A0425E" w:rsidRPr="002B7B53" w:rsidRDefault="00A0425E" w:rsidP="00710BE8">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 y su contestación</w:t>
      </w:r>
    </w:p>
    <w:p w:rsidR="00A0425E" w:rsidRPr="002B7B53" w:rsidRDefault="00A0425E" w:rsidP="006B7160">
      <w:pPr>
        <w:pStyle w:val="Sinespaciado"/>
      </w:pPr>
    </w:p>
    <w:p w:rsidR="00A0425E" w:rsidRDefault="00117050" w:rsidP="00710BE8">
      <w:pPr>
        <w:widowControl w:val="0"/>
        <w:autoSpaceDE w:val="0"/>
        <w:autoSpaceDN w:val="0"/>
        <w:adjustRightInd w:val="0"/>
        <w:spacing w:line="276" w:lineRule="auto"/>
        <w:ind w:firstLine="708"/>
        <w:jc w:val="both"/>
        <w:rPr>
          <w:rFonts w:ascii="Tahoma" w:hAnsi="Tahoma" w:cs="Tahoma"/>
        </w:rPr>
      </w:pPr>
      <w:r w:rsidRPr="00117050">
        <w:rPr>
          <w:rFonts w:ascii="Tahoma" w:hAnsi="Tahoma" w:cs="Tahoma"/>
        </w:rPr>
        <w:t>El</w:t>
      </w:r>
      <w:r w:rsidR="0020084D">
        <w:rPr>
          <w:rFonts w:ascii="Tahoma" w:hAnsi="Tahoma" w:cs="Tahoma"/>
        </w:rPr>
        <w:t xml:space="preserve"> citado demandante solicita que se declare que es beneficiario del régimen de transición consagrado en el artículo 36 de la </w:t>
      </w:r>
      <w:r w:rsidR="00001C32">
        <w:rPr>
          <w:rFonts w:ascii="Tahoma" w:hAnsi="Tahoma" w:cs="Tahoma"/>
        </w:rPr>
        <w:t xml:space="preserve">Ley </w:t>
      </w:r>
      <w:r w:rsidR="0020084D">
        <w:rPr>
          <w:rFonts w:ascii="Tahoma" w:hAnsi="Tahoma" w:cs="Tahoma"/>
        </w:rPr>
        <w:t>100 de 1993 y, en consecuencia, se condene a Colpensiones a reconocerle y pagarle la pensión de vejez desde el 1º de julio de 2008 en</w:t>
      </w:r>
      <w:r w:rsidR="006B7160">
        <w:rPr>
          <w:rFonts w:ascii="Tahoma" w:hAnsi="Tahoma" w:cs="Tahoma"/>
        </w:rPr>
        <w:t xml:space="preserve"> cuantía de un salario mínimo</w:t>
      </w:r>
      <w:r w:rsidRPr="00117050">
        <w:rPr>
          <w:rFonts w:ascii="Tahoma" w:hAnsi="Tahoma" w:cs="Tahoma"/>
        </w:rPr>
        <w:t>, con los intereses moratorios</w:t>
      </w:r>
      <w:r w:rsidR="00F05EB3">
        <w:rPr>
          <w:rFonts w:ascii="Tahoma" w:hAnsi="Tahoma" w:cs="Tahoma"/>
        </w:rPr>
        <w:t>, las cos</w:t>
      </w:r>
      <w:r w:rsidR="00001C32">
        <w:rPr>
          <w:rFonts w:ascii="Tahoma" w:hAnsi="Tahoma" w:cs="Tahoma"/>
        </w:rPr>
        <w:t>t</w:t>
      </w:r>
      <w:r w:rsidR="00F05EB3">
        <w:rPr>
          <w:rFonts w:ascii="Tahoma" w:hAnsi="Tahoma" w:cs="Tahoma"/>
        </w:rPr>
        <w:t>as procesales</w:t>
      </w:r>
      <w:r w:rsidRPr="00117050">
        <w:rPr>
          <w:rFonts w:ascii="Tahoma" w:hAnsi="Tahoma" w:cs="Tahoma"/>
        </w:rPr>
        <w:t xml:space="preserve"> y lo que resulte probado en ejercicio de las facultades extra y ultra petita.</w:t>
      </w:r>
    </w:p>
    <w:p w:rsidR="00A0425E" w:rsidRPr="006B7160" w:rsidRDefault="00A0425E" w:rsidP="006B7160">
      <w:pPr>
        <w:pStyle w:val="Sinespaciado"/>
      </w:pPr>
    </w:p>
    <w:p w:rsidR="00A0425E" w:rsidRDefault="00A0425E"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w:t>
      </w:r>
      <w:r w:rsidR="0088734D">
        <w:rPr>
          <w:rFonts w:ascii="Tahoma" w:hAnsi="Tahoma" w:cs="Tahoma"/>
        </w:rPr>
        <w:t>has pretensiones manifiesta que</w:t>
      </w:r>
      <w:r w:rsidR="00B611F8">
        <w:rPr>
          <w:rFonts w:ascii="Tahoma" w:hAnsi="Tahoma" w:cs="Tahoma"/>
        </w:rPr>
        <w:t xml:space="preserve"> </w:t>
      </w:r>
      <w:r w:rsidR="0088734D">
        <w:rPr>
          <w:rFonts w:ascii="Tahoma" w:hAnsi="Tahoma" w:cs="Tahoma"/>
        </w:rPr>
        <w:t>nació el</w:t>
      </w:r>
      <w:r w:rsidR="002235AD">
        <w:rPr>
          <w:rFonts w:ascii="Tahoma" w:hAnsi="Tahoma" w:cs="Tahoma"/>
        </w:rPr>
        <w:t xml:space="preserve"> </w:t>
      </w:r>
      <w:r w:rsidR="0088734D">
        <w:rPr>
          <w:rFonts w:ascii="Tahoma" w:hAnsi="Tahoma" w:cs="Tahoma"/>
        </w:rPr>
        <w:t>1</w:t>
      </w:r>
      <w:r w:rsidR="002235AD">
        <w:rPr>
          <w:rFonts w:ascii="Tahoma" w:hAnsi="Tahoma" w:cs="Tahoma"/>
        </w:rPr>
        <w:t>1</w:t>
      </w:r>
      <w:r w:rsidR="0088734D">
        <w:rPr>
          <w:rFonts w:ascii="Tahoma" w:hAnsi="Tahoma" w:cs="Tahoma"/>
        </w:rPr>
        <w:t xml:space="preserve"> de </w:t>
      </w:r>
      <w:r w:rsidR="002235AD">
        <w:rPr>
          <w:rFonts w:ascii="Tahoma" w:hAnsi="Tahoma" w:cs="Tahoma"/>
        </w:rPr>
        <w:t>julio de 1948</w:t>
      </w:r>
      <w:r w:rsidR="00AE237E">
        <w:rPr>
          <w:rFonts w:ascii="Tahoma" w:hAnsi="Tahoma" w:cs="Tahoma"/>
        </w:rPr>
        <w:t>, contando con 46 años de edad para</w:t>
      </w:r>
      <w:r w:rsidR="002235AD">
        <w:rPr>
          <w:rFonts w:ascii="Tahoma" w:hAnsi="Tahoma" w:cs="Tahoma"/>
        </w:rPr>
        <w:t xml:space="preserve"> el 1º de abril de 1994</w:t>
      </w:r>
      <w:r w:rsidR="00001C32">
        <w:rPr>
          <w:rFonts w:ascii="Tahoma" w:hAnsi="Tahoma" w:cs="Tahoma"/>
        </w:rPr>
        <w:t>,</w:t>
      </w:r>
      <w:r w:rsidR="00AE237E">
        <w:rPr>
          <w:rFonts w:ascii="Tahoma" w:hAnsi="Tahoma" w:cs="Tahoma"/>
        </w:rPr>
        <w:t xml:space="preserve"> </w:t>
      </w:r>
      <w:r w:rsidR="00001C32">
        <w:rPr>
          <w:rFonts w:ascii="Tahoma" w:hAnsi="Tahoma" w:cs="Tahoma"/>
        </w:rPr>
        <w:t xml:space="preserve">y </w:t>
      </w:r>
      <w:r w:rsidR="00AE237E">
        <w:rPr>
          <w:rFonts w:ascii="Tahoma" w:hAnsi="Tahoma" w:cs="Tahoma"/>
        </w:rPr>
        <w:t>qu</w:t>
      </w:r>
      <w:r w:rsidR="00936642">
        <w:rPr>
          <w:rFonts w:ascii="Tahoma" w:hAnsi="Tahoma" w:cs="Tahoma"/>
        </w:rPr>
        <w:t xml:space="preserve">e durante toda su vida laboral </w:t>
      </w:r>
      <w:r w:rsidR="00AE237E">
        <w:rPr>
          <w:rFonts w:ascii="Tahoma" w:hAnsi="Tahoma" w:cs="Tahoma"/>
        </w:rPr>
        <w:t>estuvo afiliado al régimen de prima media administrado por Colpensiones</w:t>
      </w:r>
      <w:r w:rsidR="00936642">
        <w:rPr>
          <w:rFonts w:ascii="Tahoma" w:hAnsi="Tahoma" w:cs="Tahoma"/>
        </w:rPr>
        <w:t>, entidad</w:t>
      </w:r>
      <w:r w:rsidR="00AE237E">
        <w:rPr>
          <w:rFonts w:ascii="Tahoma" w:hAnsi="Tahoma" w:cs="Tahoma"/>
        </w:rPr>
        <w:t xml:space="preserve"> que mediante </w:t>
      </w:r>
      <w:r w:rsidR="00001C32">
        <w:rPr>
          <w:rFonts w:ascii="Tahoma" w:hAnsi="Tahoma" w:cs="Tahoma"/>
        </w:rPr>
        <w:t xml:space="preserve">Resolución </w:t>
      </w:r>
      <w:r w:rsidR="00856649">
        <w:rPr>
          <w:rFonts w:ascii="Tahoma" w:hAnsi="Tahoma" w:cs="Tahoma"/>
        </w:rPr>
        <w:t xml:space="preserve">GNR </w:t>
      </w:r>
      <w:r w:rsidR="00AE237E">
        <w:rPr>
          <w:rFonts w:ascii="Tahoma" w:hAnsi="Tahoma" w:cs="Tahoma"/>
        </w:rPr>
        <w:t>228214 del 6 de septiembre de 2013 le negó el reconocimiento de la pensión de vejez</w:t>
      </w:r>
    </w:p>
    <w:p w:rsidR="00A87CDF" w:rsidRPr="00936642" w:rsidRDefault="00A87CDF" w:rsidP="00936642">
      <w:pPr>
        <w:pStyle w:val="Sinespaciado"/>
      </w:pPr>
    </w:p>
    <w:p w:rsidR="00CD5477" w:rsidRDefault="00464B99"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Informa q</w:t>
      </w:r>
      <w:r w:rsidR="00A87CDF">
        <w:rPr>
          <w:rFonts w:ascii="Tahoma" w:hAnsi="Tahoma" w:cs="Tahoma"/>
        </w:rPr>
        <w:t xml:space="preserve">ue </w:t>
      </w:r>
      <w:r w:rsidR="00AE237E">
        <w:rPr>
          <w:rFonts w:ascii="Tahoma" w:hAnsi="Tahoma" w:cs="Tahoma"/>
        </w:rPr>
        <w:t>con antelación a la reclamación administrativa de su derecho pensional presentó solicitud de corrección y actualización de la historia laboral, aportando copia de algunos comprobantes de pago de periodos faltantes</w:t>
      </w:r>
      <w:r w:rsidR="00001C32">
        <w:rPr>
          <w:rFonts w:ascii="Tahoma" w:hAnsi="Tahoma" w:cs="Tahoma"/>
        </w:rPr>
        <w:t>; n</w:t>
      </w:r>
      <w:r w:rsidR="00AE237E">
        <w:rPr>
          <w:rFonts w:ascii="Tahoma" w:hAnsi="Tahoma" w:cs="Tahoma"/>
        </w:rPr>
        <w:t>o obstante</w:t>
      </w:r>
      <w:r w:rsidR="00001C32">
        <w:rPr>
          <w:rFonts w:ascii="Tahoma" w:hAnsi="Tahoma" w:cs="Tahoma"/>
        </w:rPr>
        <w:t>,</w:t>
      </w:r>
      <w:r w:rsidR="00AE237E">
        <w:rPr>
          <w:rFonts w:ascii="Tahoma" w:hAnsi="Tahoma" w:cs="Tahoma"/>
        </w:rPr>
        <w:t xml:space="preserve"> a la fecha de presentación de la demanda no ha</w:t>
      </w:r>
      <w:r w:rsidR="00001C32">
        <w:rPr>
          <w:rFonts w:ascii="Tahoma" w:hAnsi="Tahoma" w:cs="Tahoma"/>
        </w:rPr>
        <w:t xml:space="preserve"> obtenido respuesta </w:t>
      </w:r>
      <w:r w:rsidR="00312F25">
        <w:rPr>
          <w:rFonts w:ascii="Tahoma" w:hAnsi="Tahoma" w:cs="Tahoma"/>
        </w:rPr>
        <w:t>al respecto</w:t>
      </w:r>
      <w:r w:rsidR="00001C32">
        <w:rPr>
          <w:rFonts w:ascii="Tahoma" w:hAnsi="Tahoma" w:cs="Tahoma"/>
        </w:rPr>
        <w:t>.</w:t>
      </w:r>
    </w:p>
    <w:p w:rsidR="00B611F8" w:rsidRDefault="00B611F8" w:rsidP="0064245A">
      <w:pPr>
        <w:pStyle w:val="Sinespaciado"/>
      </w:pPr>
    </w:p>
    <w:p w:rsidR="00117050" w:rsidRDefault="00B611F8"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que </w:t>
      </w:r>
      <w:r w:rsidR="00AE237E">
        <w:rPr>
          <w:rFonts w:ascii="Tahoma" w:hAnsi="Tahoma" w:cs="Tahoma"/>
        </w:rPr>
        <w:t>la historia laboral consultada en la página de internet de Colpensiones demuestra inconsistencias</w:t>
      </w:r>
      <w:r w:rsidR="00FA1F0C">
        <w:rPr>
          <w:rFonts w:ascii="Tahoma" w:hAnsi="Tahoma" w:cs="Tahoma"/>
        </w:rPr>
        <w:t xml:space="preserve"> </w:t>
      </w:r>
      <w:r w:rsidR="00AE237E">
        <w:rPr>
          <w:rFonts w:ascii="Tahoma" w:hAnsi="Tahoma" w:cs="Tahoma"/>
        </w:rPr>
        <w:t xml:space="preserve">al no contabilizar algunos periodos efectuados </w:t>
      </w:r>
      <w:r w:rsidR="00FA1F0C">
        <w:rPr>
          <w:rFonts w:ascii="Tahoma" w:hAnsi="Tahoma" w:cs="Tahoma"/>
        </w:rPr>
        <w:t xml:space="preserve">a través </w:t>
      </w:r>
      <w:r w:rsidR="00AE237E">
        <w:rPr>
          <w:rFonts w:ascii="Tahoma" w:hAnsi="Tahoma" w:cs="Tahoma"/>
        </w:rPr>
        <w:t xml:space="preserve">de </w:t>
      </w:r>
      <w:r w:rsidR="00FA1F0C">
        <w:rPr>
          <w:rFonts w:ascii="Tahoma" w:hAnsi="Tahoma" w:cs="Tahoma"/>
        </w:rPr>
        <w:t>la</w:t>
      </w:r>
      <w:r w:rsidR="00AE237E">
        <w:rPr>
          <w:rFonts w:ascii="Tahoma" w:hAnsi="Tahoma" w:cs="Tahoma"/>
        </w:rPr>
        <w:t xml:space="preserve"> empleadora Muebles Día Ltda, hoy Muebles BL, a la cual estuvo vinculado </w:t>
      </w:r>
      <w:r w:rsidR="00936642">
        <w:rPr>
          <w:rFonts w:ascii="Tahoma" w:hAnsi="Tahoma" w:cs="Tahoma"/>
        </w:rPr>
        <w:t>por un total de 168,</w:t>
      </w:r>
      <w:r w:rsidR="00856649">
        <w:rPr>
          <w:rFonts w:ascii="Tahoma" w:hAnsi="Tahoma" w:cs="Tahoma"/>
        </w:rPr>
        <w:t>62 semanas</w:t>
      </w:r>
      <w:r w:rsidR="00312F25">
        <w:rPr>
          <w:rFonts w:ascii="Tahoma" w:hAnsi="Tahoma" w:cs="Tahoma"/>
        </w:rPr>
        <w:t>,</w:t>
      </w:r>
      <w:r w:rsidR="00856649">
        <w:rPr>
          <w:rFonts w:ascii="Tahoma" w:hAnsi="Tahoma" w:cs="Tahoma"/>
        </w:rPr>
        <w:t xml:space="preserve"> entre el 19 de febrero de 1985 y el 29 de diciembre de 1991.</w:t>
      </w:r>
      <w:r w:rsidR="00312F25">
        <w:rPr>
          <w:rFonts w:ascii="Tahoma" w:hAnsi="Tahoma" w:cs="Tahoma"/>
        </w:rPr>
        <w:t xml:space="preserve"> </w:t>
      </w:r>
      <w:r w:rsidR="00856649">
        <w:rPr>
          <w:rFonts w:ascii="Tahoma" w:hAnsi="Tahoma" w:cs="Tahoma"/>
        </w:rPr>
        <w:t>Finalmente asegura que entre el 11 de julio de 1988 y el 11 de julio de 2008, últimos 20 años al cumplimiento de sus 60 años de edad, cotizó 508.2 semanas.</w:t>
      </w:r>
    </w:p>
    <w:p w:rsidR="005A4428" w:rsidRPr="00936642" w:rsidRDefault="005A4428" w:rsidP="00936642">
      <w:pPr>
        <w:pStyle w:val="Sinespaciado"/>
      </w:pPr>
    </w:p>
    <w:p w:rsidR="00ED158D" w:rsidRDefault="00856649"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F05EB3">
        <w:rPr>
          <w:rFonts w:ascii="Tahoma" w:hAnsi="Tahoma" w:cs="Tahoma"/>
        </w:rPr>
        <w:t xml:space="preserve">aceptó los hechos de la demanda referentes a la </w:t>
      </w:r>
      <w:r w:rsidR="00312F25">
        <w:rPr>
          <w:rFonts w:ascii="Tahoma" w:hAnsi="Tahoma" w:cs="Tahoma"/>
        </w:rPr>
        <w:t xml:space="preserve">edad </w:t>
      </w:r>
      <w:r w:rsidR="00F05EB3">
        <w:rPr>
          <w:rFonts w:ascii="Tahoma" w:hAnsi="Tahoma" w:cs="Tahoma"/>
        </w:rPr>
        <w:t xml:space="preserve">del actor, </w:t>
      </w:r>
      <w:r>
        <w:rPr>
          <w:rFonts w:ascii="Tahoma" w:hAnsi="Tahoma" w:cs="Tahoma"/>
        </w:rPr>
        <w:t xml:space="preserve">la negativa de la pensión y </w:t>
      </w:r>
      <w:r w:rsidR="00F05EB3">
        <w:rPr>
          <w:rFonts w:ascii="Tahoma" w:hAnsi="Tahoma" w:cs="Tahoma"/>
        </w:rPr>
        <w:t xml:space="preserve">la solicitud de </w:t>
      </w:r>
      <w:r>
        <w:rPr>
          <w:rFonts w:ascii="Tahoma" w:hAnsi="Tahoma" w:cs="Tahoma"/>
        </w:rPr>
        <w:t>corrección de la historia laboral</w:t>
      </w:r>
      <w:r w:rsidR="00312F25">
        <w:rPr>
          <w:rFonts w:ascii="Tahoma" w:hAnsi="Tahoma" w:cs="Tahoma"/>
        </w:rPr>
        <w:t>.</w:t>
      </w:r>
      <w:r w:rsidR="00F05EB3">
        <w:rPr>
          <w:rFonts w:ascii="Tahoma" w:hAnsi="Tahoma" w:cs="Tahoma"/>
        </w:rPr>
        <w:t xml:space="preserve"> </w:t>
      </w:r>
      <w:r w:rsidR="00312F25">
        <w:rPr>
          <w:rFonts w:ascii="Tahoma" w:hAnsi="Tahoma" w:cs="Tahoma"/>
        </w:rPr>
        <w:t xml:space="preserve">Frente </w:t>
      </w:r>
      <w:r w:rsidR="00F05EB3">
        <w:rPr>
          <w:rFonts w:ascii="Tahoma" w:hAnsi="Tahoma" w:cs="Tahoma"/>
        </w:rPr>
        <w:t xml:space="preserve">a los demás manifestó que no le constaban </w:t>
      </w:r>
      <w:r>
        <w:rPr>
          <w:rFonts w:ascii="Tahoma" w:hAnsi="Tahoma" w:cs="Tahoma"/>
        </w:rPr>
        <w:t>y por tanto</w:t>
      </w:r>
      <w:r w:rsidR="00F05EB3">
        <w:rPr>
          <w:rFonts w:ascii="Tahoma" w:hAnsi="Tahoma" w:cs="Tahoma"/>
        </w:rPr>
        <w:t xml:space="preserve"> debía</w:t>
      </w:r>
      <w:r>
        <w:rPr>
          <w:rFonts w:ascii="Tahoma" w:hAnsi="Tahoma" w:cs="Tahoma"/>
        </w:rPr>
        <w:t>n</w:t>
      </w:r>
      <w:r w:rsidR="00F05EB3">
        <w:rPr>
          <w:rFonts w:ascii="Tahoma" w:hAnsi="Tahoma" w:cs="Tahoma"/>
        </w:rPr>
        <w:t xml:space="preserve"> probarse.</w:t>
      </w:r>
    </w:p>
    <w:p w:rsidR="005A4428" w:rsidRDefault="005A4428" w:rsidP="0064245A">
      <w:pPr>
        <w:pStyle w:val="Sinespaciado"/>
      </w:pPr>
    </w:p>
    <w:p w:rsidR="00A0425E" w:rsidRDefault="00ED158D" w:rsidP="00710BE8">
      <w:pPr>
        <w:widowControl w:val="0"/>
        <w:autoSpaceDE w:val="0"/>
        <w:autoSpaceDN w:val="0"/>
        <w:adjustRightInd w:val="0"/>
        <w:spacing w:line="276" w:lineRule="auto"/>
        <w:ind w:firstLine="708"/>
        <w:jc w:val="both"/>
        <w:rPr>
          <w:rFonts w:ascii="Tahoma" w:hAnsi="Tahoma" w:cs="Tahoma"/>
        </w:rPr>
      </w:pPr>
      <w:r w:rsidRPr="00946620">
        <w:rPr>
          <w:rFonts w:ascii="Tahoma" w:hAnsi="Tahoma" w:cs="Tahoma"/>
        </w:rPr>
        <w:t xml:space="preserve">Seguidamente se opuso a la totalidad de las pretensiones y propuso como excepciones de mérito las que denominó </w:t>
      </w:r>
      <w:r w:rsidR="00946620">
        <w:rPr>
          <w:rFonts w:ascii="Tahoma" w:hAnsi="Tahoma" w:cs="Tahoma"/>
        </w:rPr>
        <w:t xml:space="preserve"> </w:t>
      </w:r>
      <w:r w:rsidR="00DA77F6">
        <w:rPr>
          <w:rFonts w:ascii="Tahoma" w:hAnsi="Tahoma" w:cs="Tahoma"/>
        </w:rPr>
        <w:t>“Inexistencia de la obligación”</w:t>
      </w:r>
      <w:r w:rsidR="00946620">
        <w:rPr>
          <w:rFonts w:ascii="Tahoma" w:hAnsi="Tahoma" w:cs="Tahoma"/>
        </w:rPr>
        <w:t>, “Buena fe”</w:t>
      </w:r>
      <w:r w:rsidR="00DA77F6">
        <w:rPr>
          <w:rFonts w:ascii="Tahoma" w:hAnsi="Tahoma" w:cs="Tahoma"/>
        </w:rPr>
        <w:t>, “Improcedencia del reconocimiento de intereses moratorios”</w:t>
      </w:r>
      <w:r w:rsidR="00946620">
        <w:rPr>
          <w:rFonts w:ascii="Tahoma" w:hAnsi="Tahoma" w:cs="Tahoma"/>
        </w:rPr>
        <w:t xml:space="preserve"> y “</w:t>
      </w:r>
      <w:r w:rsidR="00DA77F6">
        <w:rPr>
          <w:rFonts w:ascii="Tahoma" w:hAnsi="Tahoma" w:cs="Tahoma"/>
        </w:rPr>
        <w:t>Prescripción</w:t>
      </w:r>
      <w:r w:rsidR="00946620">
        <w:rPr>
          <w:rFonts w:ascii="Tahoma" w:hAnsi="Tahoma" w:cs="Tahoma"/>
        </w:rPr>
        <w:t>”.</w:t>
      </w:r>
    </w:p>
    <w:p w:rsidR="00A0425E" w:rsidRDefault="00A0425E" w:rsidP="005A4428">
      <w:pPr>
        <w:pStyle w:val="Sinespaciado"/>
      </w:pPr>
    </w:p>
    <w:p w:rsidR="00A0425E" w:rsidRPr="002B7B53" w:rsidRDefault="00A0425E" w:rsidP="00710BE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A0425E" w:rsidRPr="002B7B53" w:rsidRDefault="00A0425E" w:rsidP="0064245A">
      <w:pPr>
        <w:pStyle w:val="Sinespaciado"/>
      </w:pPr>
    </w:p>
    <w:p w:rsidR="00C736A7" w:rsidRDefault="00A0425E" w:rsidP="007A7DB7">
      <w:pPr>
        <w:tabs>
          <w:tab w:val="left" w:pos="748"/>
        </w:tabs>
        <w:spacing w:line="276" w:lineRule="auto"/>
        <w:jc w:val="both"/>
        <w:rPr>
          <w:rFonts w:ascii="Tahoma" w:hAnsi="Tahoma" w:cs="Tahoma"/>
        </w:rPr>
      </w:pPr>
      <w:r w:rsidRPr="002B7B53">
        <w:rPr>
          <w:rFonts w:ascii="Tahoma" w:hAnsi="Tahoma" w:cs="Tahoma"/>
        </w:rPr>
        <w:tab/>
      </w:r>
      <w:r w:rsidR="00B53DB3" w:rsidRPr="002B7B53">
        <w:rPr>
          <w:rFonts w:ascii="Tahoma" w:hAnsi="Tahoma" w:cs="Tahoma"/>
        </w:rPr>
        <w:t>La Juez</w:t>
      </w:r>
      <w:r w:rsidR="00B53DB3">
        <w:rPr>
          <w:rFonts w:ascii="Tahoma" w:hAnsi="Tahoma" w:cs="Tahoma"/>
        </w:rPr>
        <w:t>a</w:t>
      </w:r>
      <w:r w:rsidR="00B53DB3" w:rsidRPr="002B7B53">
        <w:rPr>
          <w:rFonts w:ascii="Tahoma" w:hAnsi="Tahoma" w:cs="Tahoma"/>
        </w:rPr>
        <w:t xml:space="preserve"> de conocimiento</w:t>
      </w:r>
      <w:r w:rsidR="00822190">
        <w:rPr>
          <w:rFonts w:ascii="Tahoma" w:hAnsi="Tahoma" w:cs="Tahoma"/>
        </w:rPr>
        <w:t xml:space="preserve"> declaró probada la excepción denominada “inexistencia de la obligación” propuesta por Colpensiones y, en consecuencia, absolvió a </w:t>
      </w:r>
      <w:r w:rsidR="00312F25">
        <w:rPr>
          <w:rFonts w:ascii="Tahoma" w:hAnsi="Tahoma" w:cs="Tahoma"/>
        </w:rPr>
        <w:t xml:space="preserve">esa </w:t>
      </w:r>
      <w:r w:rsidR="00822190">
        <w:rPr>
          <w:rFonts w:ascii="Tahoma" w:hAnsi="Tahoma" w:cs="Tahoma"/>
        </w:rPr>
        <w:t xml:space="preserve">entidad de todas las pretensiones </w:t>
      </w:r>
      <w:r w:rsidR="00B53DB3">
        <w:rPr>
          <w:rFonts w:ascii="Tahoma" w:hAnsi="Tahoma" w:cs="Tahoma"/>
        </w:rPr>
        <w:t>la demanda</w:t>
      </w:r>
      <w:r w:rsidR="00312F25">
        <w:rPr>
          <w:rFonts w:ascii="Tahoma" w:hAnsi="Tahoma" w:cs="Tahoma"/>
        </w:rPr>
        <w:t>, condenando</w:t>
      </w:r>
      <w:r w:rsidR="00B53DB3">
        <w:rPr>
          <w:rFonts w:ascii="Tahoma" w:hAnsi="Tahoma" w:cs="Tahoma"/>
        </w:rPr>
        <w:t xml:space="preserve"> en costas al demandante</w:t>
      </w:r>
      <w:r w:rsidR="00C736A7">
        <w:rPr>
          <w:rFonts w:ascii="Tahoma" w:hAnsi="Tahoma" w:cs="Tahoma"/>
        </w:rPr>
        <w:t>.</w:t>
      </w:r>
    </w:p>
    <w:p w:rsidR="00C736A7" w:rsidRDefault="00C736A7" w:rsidP="00C736A7">
      <w:pPr>
        <w:pStyle w:val="Sinespaciado"/>
      </w:pPr>
    </w:p>
    <w:p w:rsidR="00936642" w:rsidRDefault="00312F25" w:rsidP="00C736A7">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 determinación la A-quo consideró</w:t>
      </w:r>
      <w:r w:rsidR="00C736A7">
        <w:rPr>
          <w:rFonts w:ascii="Tahoma" w:hAnsi="Tahoma" w:cs="Tahoma"/>
        </w:rPr>
        <w:t xml:space="preserve"> que </w:t>
      </w:r>
      <w:r>
        <w:rPr>
          <w:rFonts w:ascii="Tahoma" w:hAnsi="Tahoma" w:cs="Tahoma"/>
        </w:rPr>
        <w:t xml:space="preserve">a pesar de que </w:t>
      </w:r>
      <w:r w:rsidR="00C736A7">
        <w:rPr>
          <w:rFonts w:ascii="Tahoma" w:hAnsi="Tahoma" w:cs="Tahoma"/>
        </w:rPr>
        <w:t>el actor fue beneficiario del régimen de transición en razón de su edad</w:t>
      </w:r>
      <w:r w:rsidR="00E9484E">
        <w:rPr>
          <w:rFonts w:ascii="Tahoma" w:hAnsi="Tahoma" w:cs="Tahoma"/>
        </w:rPr>
        <w:t xml:space="preserve">, </w:t>
      </w:r>
      <w:r w:rsidR="00C736A7">
        <w:rPr>
          <w:rFonts w:ascii="Tahoma" w:hAnsi="Tahoma" w:cs="Tahoma"/>
        </w:rPr>
        <w:t xml:space="preserve">al no superar la densidad de semanas exigidas por </w:t>
      </w:r>
      <w:r w:rsidR="00936642">
        <w:rPr>
          <w:rFonts w:ascii="Tahoma" w:hAnsi="Tahoma" w:cs="Tahoma"/>
        </w:rPr>
        <w:t xml:space="preserve">el </w:t>
      </w:r>
      <w:r w:rsidR="00E9484E">
        <w:rPr>
          <w:rFonts w:ascii="Tahoma" w:hAnsi="Tahoma" w:cs="Tahoma"/>
        </w:rPr>
        <w:t xml:space="preserve">Acto Legislativo </w:t>
      </w:r>
      <w:r w:rsidR="00936642">
        <w:rPr>
          <w:rFonts w:ascii="Tahoma" w:hAnsi="Tahoma" w:cs="Tahoma"/>
        </w:rPr>
        <w:t xml:space="preserve">01 de 2005 perdió dicho beneficio, por lo que </w:t>
      </w:r>
      <w:r w:rsidR="00C736A7">
        <w:rPr>
          <w:rFonts w:ascii="Tahoma" w:hAnsi="Tahoma" w:cs="Tahoma"/>
        </w:rPr>
        <w:t xml:space="preserve">no es posible estudiar su derecho a la luz del </w:t>
      </w:r>
      <w:r w:rsidR="005229BD">
        <w:rPr>
          <w:rFonts w:ascii="Tahoma" w:hAnsi="Tahoma" w:cs="Tahoma"/>
        </w:rPr>
        <w:t xml:space="preserve">Acuerdo </w:t>
      </w:r>
      <w:r w:rsidR="00C736A7">
        <w:rPr>
          <w:rFonts w:ascii="Tahoma" w:hAnsi="Tahoma" w:cs="Tahoma"/>
        </w:rPr>
        <w:t xml:space="preserve">049 de 1990, como norma que por transición le era aplicable. </w:t>
      </w:r>
    </w:p>
    <w:p w:rsidR="00936642" w:rsidRDefault="00936642" w:rsidP="00C736A7">
      <w:pPr>
        <w:widowControl w:val="0"/>
        <w:autoSpaceDE w:val="0"/>
        <w:autoSpaceDN w:val="0"/>
        <w:adjustRightInd w:val="0"/>
        <w:spacing w:line="276" w:lineRule="auto"/>
        <w:ind w:firstLine="708"/>
        <w:jc w:val="both"/>
        <w:rPr>
          <w:rFonts w:ascii="Tahoma" w:hAnsi="Tahoma" w:cs="Tahoma"/>
        </w:rPr>
      </w:pPr>
    </w:p>
    <w:p w:rsidR="00822190" w:rsidRDefault="005229BD" w:rsidP="00C736A7">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Por otra parte, agregó </w:t>
      </w:r>
      <w:r w:rsidR="00936642">
        <w:rPr>
          <w:rFonts w:ascii="Tahoma" w:hAnsi="Tahoma" w:cs="Tahoma"/>
        </w:rPr>
        <w:t xml:space="preserve">que el total de </w:t>
      </w:r>
      <w:r w:rsidR="00C736A7">
        <w:rPr>
          <w:rFonts w:ascii="Tahoma" w:hAnsi="Tahoma" w:cs="Tahoma"/>
        </w:rPr>
        <w:t>semanas cotizadas</w:t>
      </w:r>
      <w:r w:rsidR="00936642">
        <w:rPr>
          <w:rFonts w:ascii="Tahoma" w:hAnsi="Tahoma" w:cs="Tahoma"/>
        </w:rPr>
        <w:t xml:space="preserve"> por el </w:t>
      </w:r>
      <w:r>
        <w:rPr>
          <w:rFonts w:ascii="Tahoma" w:hAnsi="Tahoma" w:cs="Tahoma"/>
        </w:rPr>
        <w:t xml:space="preserve">señor Sepúlveda </w:t>
      </w:r>
      <w:r w:rsidR="00C736A7">
        <w:rPr>
          <w:rFonts w:ascii="Tahoma" w:hAnsi="Tahoma" w:cs="Tahoma"/>
        </w:rPr>
        <w:t>en toda su historia laboral</w:t>
      </w:r>
      <w:r w:rsidR="00936642">
        <w:rPr>
          <w:rFonts w:ascii="Tahoma" w:hAnsi="Tahoma" w:cs="Tahoma"/>
        </w:rPr>
        <w:t xml:space="preserve"> no le</w:t>
      </w:r>
      <w:r w:rsidR="00C736A7">
        <w:rPr>
          <w:rFonts w:ascii="Tahoma" w:hAnsi="Tahoma" w:cs="Tahoma"/>
        </w:rPr>
        <w:t xml:space="preserve"> permiten el reconocimiento</w:t>
      </w:r>
      <w:r w:rsidR="00936642">
        <w:rPr>
          <w:rFonts w:ascii="Tahoma" w:hAnsi="Tahoma" w:cs="Tahoma"/>
        </w:rPr>
        <w:t xml:space="preserve"> de la pensión de vejez </w:t>
      </w:r>
      <w:r w:rsidR="00C736A7">
        <w:rPr>
          <w:rFonts w:ascii="Tahoma" w:hAnsi="Tahoma" w:cs="Tahoma"/>
        </w:rPr>
        <w:t>bajo ninguna otra normatividad o régimen pensional.</w:t>
      </w:r>
    </w:p>
    <w:p w:rsidR="00C97C85" w:rsidRDefault="00C97C85" w:rsidP="00C97C85">
      <w:pPr>
        <w:pStyle w:val="Sinespaciado"/>
      </w:pPr>
    </w:p>
    <w:p w:rsidR="00A0425E" w:rsidRPr="002B7B53" w:rsidRDefault="00710BE8" w:rsidP="00710B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w:t>
      </w:r>
      <w:r w:rsidR="00A0425E">
        <w:rPr>
          <w:rFonts w:ascii="Tahoma" w:hAnsi="Tahoma" w:cs="Tahoma"/>
          <w:b/>
        </w:rPr>
        <w:t>rocedencia de la consulta</w:t>
      </w:r>
    </w:p>
    <w:p w:rsidR="00A0425E" w:rsidRPr="002B7B53" w:rsidRDefault="00A0425E" w:rsidP="00C97C85">
      <w:pPr>
        <w:pStyle w:val="Sinespaciado"/>
      </w:pPr>
    </w:p>
    <w:p w:rsidR="00710BE8" w:rsidRDefault="00710BE8" w:rsidP="00710BE8">
      <w:pPr>
        <w:spacing w:line="276" w:lineRule="auto"/>
        <w:ind w:firstLine="709"/>
        <w:jc w:val="both"/>
        <w:rPr>
          <w:rFonts w:ascii="Tahoma" w:hAnsi="Tahoma" w:cs="Tahoma"/>
        </w:rPr>
      </w:pPr>
      <w:r>
        <w:rPr>
          <w:rFonts w:ascii="Tahoma" w:hAnsi="Tahoma" w:cs="Tahoma"/>
        </w:rPr>
        <w:t xml:space="preserve">Como quiera que la decisión fue adversa a los intereses del demandante </w:t>
      </w:r>
      <w:r w:rsidRPr="00451677">
        <w:rPr>
          <w:rFonts w:ascii="Tahoma" w:hAnsi="Tahoma" w:cs="Tahoma"/>
        </w:rPr>
        <w:t>y no fue apelada, se dispuso el grado jurisdiccional de consulta.</w:t>
      </w:r>
    </w:p>
    <w:p w:rsidR="00710BE8" w:rsidRPr="00863CCE" w:rsidRDefault="00710BE8" w:rsidP="00041418">
      <w:pPr>
        <w:pStyle w:val="Sinespaciado"/>
      </w:pPr>
    </w:p>
    <w:p w:rsidR="00A0425E" w:rsidRPr="002B7B53" w:rsidRDefault="00A0425E" w:rsidP="00710B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p>
    <w:p w:rsidR="00A0425E" w:rsidRDefault="00A0425E" w:rsidP="00C97C85">
      <w:pPr>
        <w:pStyle w:val="Sinespaciado"/>
      </w:pPr>
      <w:r w:rsidRPr="002B7B53">
        <w:tab/>
      </w:r>
    </w:p>
    <w:p w:rsidR="00D970E2" w:rsidRPr="00D970E2" w:rsidRDefault="00D970E2" w:rsidP="00D970E2">
      <w:pPr>
        <w:pStyle w:val="Textoindependiente"/>
        <w:numPr>
          <w:ilvl w:val="1"/>
          <w:numId w:val="1"/>
        </w:numPr>
        <w:spacing w:after="0" w:line="276" w:lineRule="auto"/>
        <w:ind w:right="51" w:hanging="371"/>
        <w:jc w:val="both"/>
        <w:rPr>
          <w:rFonts w:ascii="Tahoma" w:hAnsi="Tahoma" w:cs="Tahoma"/>
          <w:b/>
        </w:rPr>
      </w:pPr>
      <w:r w:rsidRPr="00D970E2">
        <w:rPr>
          <w:rFonts w:ascii="Tahoma" w:hAnsi="Tahoma" w:cs="Tahoma"/>
          <w:b/>
        </w:rPr>
        <w:t>Vigencia del régimen de transición</w:t>
      </w:r>
    </w:p>
    <w:p w:rsidR="00D970E2" w:rsidRDefault="00D970E2" w:rsidP="00D970E2">
      <w:pPr>
        <w:pStyle w:val="Puesto"/>
        <w:spacing w:line="240" w:lineRule="auto"/>
        <w:ind w:left="1080"/>
        <w:jc w:val="both"/>
        <w:rPr>
          <w:rFonts w:ascii="Tahoma" w:hAnsi="Tahoma" w:cs="Tahoma"/>
          <w:bCs/>
          <w:sz w:val="18"/>
          <w:szCs w:val="18"/>
        </w:rPr>
      </w:pPr>
      <w:r w:rsidRPr="00A93CC2">
        <w:rPr>
          <w:rFonts w:ascii="Tahoma" w:hAnsi="Tahoma" w:cs="Tahoma"/>
          <w:bCs/>
          <w:sz w:val="18"/>
          <w:szCs w:val="18"/>
        </w:rPr>
        <w:t xml:space="preserve"> </w:t>
      </w:r>
    </w:p>
    <w:p w:rsidR="00D970E2" w:rsidRPr="00D970E2" w:rsidRDefault="00D970E2" w:rsidP="00D970E2">
      <w:pPr>
        <w:pStyle w:val="Puesto"/>
        <w:spacing w:line="276" w:lineRule="auto"/>
        <w:ind w:firstLine="709"/>
        <w:jc w:val="both"/>
        <w:rPr>
          <w:rFonts w:ascii="Tahoma" w:hAnsi="Tahoma" w:cs="Tahoma"/>
          <w:b w:val="0"/>
        </w:rPr>
      </w:pPr>
      <w:r w:rsidRPr="00D970E2">
        <w:rPr>
          <w:rFonts w:ascii="Tahoma" w:hAnsi="Tahoma" w:cs="Tahoma"/>
          <w:b w:val="0"/>
        </w:rPr>
        <w:t>El régimen de transición consagrado en el artículo 36 de la Ley 100 de 1993, solo se reconoce hasta el 31 de julio de 2010 de conformidad con lo reglamentado por el Acto Legislativo No. 01 de 2005, sin embargo, las personas que a la entrada en vigencia de aquella reforma constitucional -29 de julio de 2005-, acrediten que tienen cotizadas 750 semanas, se les extenderá los beneficios del régimen transicional hasta el año 2014.</w:t>
      </w:r>
    </w:p>
    <w:p w:rsidR="00D970E2" w:rsidRPr="00D970E2" w:rsidRDefault="00D970E2" w:rsidP="00D970E2">
      <w:pPr>
        <w:pStyle w:val="Puesto"/>
        <w:spacing w:line="240" w:lineRule="auto"/>
        <w:ind w:firstLine="709"/>
        <w:jc w:val="both"/>
        <w:rPr>
          <w:rFonts w:ascii="Tahoma" w:hAnsi="Tahoma" w:cs="Tahoma"/>
          <w:b w:val="0"/>
        </w:rPr>
      </w:pPr>
    </w:p>
    <w:p w:rsidR="00D970E2" w:rsidRPr="00D970E2" w:rsidRDefault="00D970E2" w:rsidP="00D970E2">
      <w:pPr>
        <w:pStyle w:val="Puesto"/>
        <w:spacing w:line="276" w:lineRule="auto"/>
        <w:ind w:firstLine="709"/>
        <w:jc w:val="both"/>
        <w:rPr>
          <w:rFonts w:ascii="Tahoma" w:hAnsi="Tahoma" w:cs="Tahoma"/>
          <w:b w:val="0"/>
        </w:rPr>
      </w:pPr>
      <w:r w:rsidRPr="00D970E2">
        <w:rPr>
          <w:rFonts w:ascii="Tahoma" w:hAnsi="Tahoma" w:cs="Tahoma"/>
          <w:b w:val="0"/>
        </w:rPr>
        <w:t xml:space="preserve">Empero, debe aclararse que no es que actualmente se exija esas 750 semanas de cotización antes del 29 de julio de 2005 -cuando entró en vigencia el Acto Legislativo No. 01 de 2005-, para que a un afiliado se le reconozca la condición de beneficiario del régimen de transición, sino que se trata de una exigencia adicional para </w:t>
      </w:r>
      <w:r w:rsidR="00770482">
        <w:rPr>
          <w:rFonts w:ascii="Tahoma" w:hAnsi="Tahoma" w:cs="Tahoma"/>
          <w:b w:val="0"/>
        </w:rPr>
        <w:t xml:space="preserve">que </w:t>
      </w:r>
      <w:r w:rsidRPr="00D970E2">
        <w:rPr>
          <w:rFonts w:ascii="Tahoma" w:hAnsi="Tahoma" w:cs="Tahoma"/>
          <w:b w:val="0"/>
        </w:rPr>
        <w:t>quienes al 31 de julio de 2010 no alcanzaron a reunir los requisitos para acceder a la pensión -edad y semanas de cotización o tiempo de servicios- puedan seguir siendo beneficiarios de la transición hasta el año 2014.</w:t>
      </w:r>
    </w:p>
    <w:p w:rsidR="00D970E2" w:rsidRDefault="00D970E2" w:rsidP="00C97C85">
      <w:pPr>
        <w:pStyle w:val="Sinespaciado"/>
      </w:pPr>
    </w:p>
    <w:p w:rsidR="00A0425E" w:rsidRDefault="00A0425E" w:rsidP="00710BE8">
      <w:pPr>
        <w:pStyle w:val="Textoindependiente"/>
        <w:numPr>
          <w:ilvl w:val="1"/>
          <w:numId w:val="1"/>
        </w:numPr>
        <w:spacing w:after="0" w:line="276" w:lineRule="auto"/>
        <w:ind w:right="51" w:hanging="371"/>
        <w:jc w:val="both"/>
        <w:rPr>
          <w:rFonts w:ascii="Tahoma" w:hAnsi="Tahoma" w:cs="Tahoma"/>
          <w:b/>
        </w:rPr>
      </w:pPr>
      <w:r>
        <w:rPr>
          <w:rFonts w:ascii="Tahoma" w:hAnsi="Tahoma" w:cs="Tahoma"/>
          <w:b/>
        </w:rPr>
        <w:t>Caso concreto</w:t>
      </w:r>
    </w:p>
    <w:p w:rsidR="00A0425E" w:rsidRDefault="00A0425E" w:rsidP="008C3208">
      <w:pPr>
        <w:pStyle w:val="Sinespaciado"/>
      </w:pPr>
    </w:p>
    <w:p w:rsidR="003E6F6A" w:rsidRPr="003E6F6A" w:rsidRDefault="003E6F6A" w:rsidP="003E6F6A">
      <w:pPr>
        <w:pStyle w:val="Textoindependiente"/>
        <w:spacing w:after="0" w:line="276" w:lineRule="auto"/>
        <w:ind w:right="51" w:firstLine="708"/>
        <w:jc w:val="both"/>
        <w:rPr>
          <w:rFonts w:ascii="Tahoma" w:hAnsi="Tahoma" w:cs="Tahoma"/>
          <w:bCs/>
          <w:color w:val="000000"/>
        </w:rPr>
      </w:pPr>
      <w:r w:rsidRPr="003E6F6A">
        <w:rPr>
          <w:rFonts w:ascii="Tahoma" w:hAnsi="Tahoma" w:cs="Tahoma"/>
          <w:bCs/>
          <w:color w:val="000000"/>
        </w:rPr>
        <w:t>No se discute en el caso de marras que el demandante fue beneficiario del régimen de transición por cuanto al 1º de abril de 1994 contaba con 4</w:t>
      </w:r>
      <w:r w:rsidR="005229BD">
        <w:rPr>
          <w:rFonts w:ascii="Tahoma" w:hAnsi="Tahoma" w:cs="Tahoma"/>
          <w:bCs/>
          <w:color w:val="000000"/>
        </w:rPr>
        <w:t>6</w:t>
      </w:r>
      <w:r w:rsidRPr="003E6F6A">
        <w:rPr>
          <w:rFonts w:ascii="Tahoma" w:hAnsi="Tahoma" w:cs="Tahoma"/>
          <w:bCs/>
          <w:color w:val="000000"/>
        </w:rPr>
        <w:t xml:space="preserve"> años de edad,</w:t>
      </w:r>
      <w:r w:rsidR="005229BD" w:rsidRPr="005229BD">
        <w:rPr>
          <w:rFonts w:ascii="Tahoma" w:hAnsi="Tahoma" w:cs="Tahoma"/>
          <w:bCs/>
          <w:color w:val="000000"/>
        </w:rPr>
        <w:t xml:space="preserve"> </w:t>
      </w:r>
      <w:r w:rsidR="005229BD" w:rsidRPr="003E6F6A">
        <w:rPr>
          <w:rFonts w:ascii="Tahoma" w:hAnsi="Tahoma" w:cs="Tahoma"/>
          <w:bCs/>
          <w:color w:val="000000"/>
        </w:rPr>
        <w:t>(fls. 11)</w:t>
      </w:r>
      <w:r w:rsidR="00055055">
        <w:rPr>
          <w:rFonts w:ascii="Tahoma" w:hAnsi="Tahoma" w:cs="Tahoma"/>
          <w:bCs/>
          <w:color w:val="000000"/>
        </w:rPr>
        <w:t>; por ende, l</w:t>
      </w:r>
      <w:r w:rsidRPr="003E6F6A">
        <w:rPr>
          <w:rFonts w:ascii="Tahoma" w:hAnsi="Tahoma" w:cs="Tahoma"/>
          <w:bCs/>
          <w:color w:val="000000"/>
        </w:rPr>
        <w:t>a controversia en el sub lite radic</w:t>
      </w:r>
      <w:r w:rsidR="00055055">
        <w:rPr>
          <w:rFonts w:ascii="Tahoma" w:hAnsi="Tahoma" w:cs="Tahoma"/>
          <w:bCs/>
          <w:color w:val="000000"/>
        </w:rPr>
        <w:t>ó</w:t>
      </w:r>
      <w:r w:rsidRPr="003E6F6A">
        <w:rPr>
          <w:rFonts w:ascii="Tahoma" w:hAnsi="Tahoma" w:cs="Tahoma"/>
          <w:bCs/>
          <w:color w:val="000000"/>
        </w:rPr>
        <w:t xml:space="preserve"> en determinar si </w:t>
      </w:r>
      <w:r w:rsidR="00055055">
        <w:rPr>
          <w:rFonts w:ascii="Tahoma" w:hAnsi="Tahoma" w:cs="Tahoma"/>
          <w:bCs/>
          <w:color w:val="000000"/>
        </w:rPr>
        <w:t>él cons</w:t>
      </w:r>
      <w:r w:rsidRPr="003E6F6A">
        <w:rPr>
          <w:rFonts w:ascii="Tahoma" w:hAnsi="Tahoma" w:cs="Tahoma"/>
          <w:bCs/>
          <w:color w:val="000000"/>
        </w:rPr>
        <w:t xml:space="preserve">ervó ese beneficio, pues al haber alcanzado la edad mínima el 1º de julio de 2008 -60 años-, debía contar con 750 semanas cotizadas al 29 de julio de 2005, según lo dispuso el Acto Legislativo 01 de la misma anualidad.                         </w:t>
      </w:r>
    </w:p>
    <w:p w:rsidR="00BE37D0" w:rsidRPr="00C13B24" w:rsidRDefault="003E6F6A" w:rsidP="003E6F6A">
      <w:pPr>
        <w:pStyle w:val="Sinespaciado"/>
        <w:jc w:val="both"/>
      </w:pPr>
      <w:r w:rsidRPr="003E6F6A">
        <w:t xml:space="preserve">                         </w:t>
      </w:r>
    </w:p>
    <w:p w:rsidR="00BE37D0" w:rsidRDefault="00BE37D0" w:rsidP="003E6F6A">
      <w:pPr>
        <w:spacing w:line="276" w:lineRule="auto"/>
        <w:jc w:val="both"/>
        <w:rPr>
          <w:rFonts w:ascii="Tahoma" w:hAnsi="Tahoma" w:cs="Tahoma"/>
          <w:bCs/>
          <w:color w:val="000000"/>
        </w:rPr>
      </w:pPr>
      <w:r w:rsidRPr="00AA1644">
        <w:rPr>
          <w:rFonts w:ascii="Tahoma" w:hAnsi="Tahoma" w:cs="Tahoma"/>
          <w:bCs/>
          <w:color w:val="000000"/>
        </w:rPr>
        <w:tab/>
      </w:r>
      <w:r>
        <w:rPr>
          <w:rFonts w:ascii="Tahoma" w:hAnsi="Tahoma" w:cs="Tahoma"/>
          <w:bCs/>
          <w:color w:val="000000"/>
        </w:rPr>
        <w:t xml:space="preserve">Obrando en el expediente el reporte de semanas cotizadas junto con el reporte de pagos (fls. 41 y 42), así como </w:t>
      </w:r>
      <w:r w:rsidR="006F6981">
        <w:rPr>
          <w:rFonts w:ascii="Tahoma" w:hAnsi="Tahoma" w:cs="Tahoma"/>
          <w:bCs/>
          <w:color w:val="000000"/>
        </w:rPr>
        <w:t>la constancia de tiempos laborados por el demandante</w:t>
      </w:r>
      <w:r>
        <w:rPr>
          <w:rFonts w:ascii="Tahoma" w:hAnsi="Tahoma" w:cs="Tahoma"/>
          <w:bCs/>
          <w:color w:val="000000"/>
        </w:rPr>
        <w:t xml:space="preserve"> a</w:t>
      </w:r>
      <w:r w:rsidR="006F6981">
        <w:rPr>
          <w:rFonts w:ascii="Tahoma" w:hAnsi="Tahoma" w:cs="Tahoma"/>
          <w:bCs/>
          <w:color w:val="000000"/>
        </w:rPr>
        <w:t xml:space="preserve"> </w:t>
      </w:r>
      <w:r>
        <w:rPr>
          <w:rFonts w:ascii="Tahoma" w:hAnsi="Tahoma" w:cs="Tahoma"/>
          <w:bCs/>
          <w:color w:val="000000"/>
        </w:rPr>
        <w:t>l</w:t>
      </w:r>
      <w:r w:rsidR="006F6981">
        <w:rPr>
          <w:rFonts w:ascii="Tahoma" w:hAnsi="Tahoma" w:cs="Tahoma"/>
          <w:bCs/>
          <w:color w:val="000000"/>
        </w:rPr>
        <w:t>a sociedad Muebles Día Ltda</w:t>
      </w:r>
      <w:r w:rsidR="00D970E2">
        <w:rPr>
          <w:rFonts w:ascii="Tahoma" w:hAnsi="Tahoma" w:cs="Tahoma"/>
          <w:bCs/>
          <w:color w:val="000000"/>
        </w:rPr>
        <w:t>.</w:t>
      </w:r>
      <w:r w:rsidR="006F6981">
        <w:rPr>
          <w:rFonts w:ascii="Tahoma" w:hAnsi="Tahoma" w:cs="Tahoma"/>
          <w:bCs/>
          <w:color w:val="000000"/>
        </w:rPr>
        <w:t xml:space="preserve"> (fl</w:t>
      </w:r>
      <w:r>
        <w:rPr>
          <w:rFonts w:ascii="Tahoma" w:hAnsi="Tahoma" w:cs="Tahoma"/>
          <w:bCs/>
          <w:color w:val="000000"/>
        </w:rPr>
        <w:t>s</w:t>
      </w:r>
      <w:r w:rsidR="006F6981">
        <w:rPr>
          <w:rFonts w:ascii="Tahoma" w:hAnsi="Tahoma" w:cs="Tahoma"/>
          <w:bCs/>
          <w:color w:val="000000"/>
        </w:rPr>
        <w:t>. 15</w:t>
      </w:r>
      <w:r>
        <w:rPr>
          <w:rFonts w:ascii="Tahoma" w:hAnsi="Tahoma" w:cs="Tahoma"/>
          <w:bCs/>
          <w:color w:val="000000"/>
        </w:rPr>
        <w:t xml:space="preserve"> a </w:t>
      </w:r>
      <w:r w:rsidR="006F6981">
        <w:rPr>
          <w:rFonts w:ascii="Tahoma" w:hAnsi="Tahoma" w:cs="Tahoma"/>
          <w:bCs/>
          <w:color w:val="000000"/>
        </w:rPr>
        <w:t>18</w:t>
      </w:r>
      <w:r>
        <w:rPr>
          <w:rFonts w:ascii="Tahoma" w:hAnsi="Tahoma" w:cs="Tahoma"/>
          <w:bCs/>
          <w:color w:val="000000"/>
        </w:rPr>
        <w:t>), aportado como prueba en el libelo introductorio</w:t>
      </w:r>
      <w:r w:rsidR="00D970E2">
        <w:rPr>
          <w:rFonts w:ascii="Tahoma" w:hAnsi="Tahoma" w:cs="Tahoma"/>
          <w:bCs/>
          <w:color w:val="000000"/>
        </w:rPr>
        <w:t>,</w:t>
      </w:r>
      <w:r>
        <w:rPr>
          <w:rFonts w:ascii="Tahoma" w:hAnsi="Tahoma" w:cs="Tahoma"/>
          <w:bCs/>
          <w:color w:val="000000"/>
        </w:rPr>
        <w:t xml:space="preserve"> es posible para </w:t>
      </w:r>
      <w:r w:rsidR="00055055">
        <w:rPr>
          <w:rFonts w:ascii="Tahoma" w:hAnsi="Tahoma" w:cs="Tahoma"/>
          <w:bCs/>
          <w:color w:val="000000"/>
        </w:rPr>
        <w:t xml:space="preserve">esta </w:t>
      </w:r>
      <w:r>
        <w:rPr>
          <w:rFonts w:ascii="Tahoma" w:hAnsi="Tahoma" w:cs="Tahoma"/>
          <w:bCs/>
          <w:color w:val="000000"/>
        </w:rPr>
        <w:t xml:space="preserve">Sala </w:t>
      </w:r>
      <w:r w:rsidR="00055055">
        <w:rPr>
          <w:rFonts w:ascii="Tahoma" w:hAnsi="Tahoma" w:cs="Tahoma"/>
          <w:bCs/>
          <w:color w:val="000000"/>
        </w:rPr>
        <w:t xml:space="preserve">concluir </w:t>
      </w:r>
      <w:r>
        <w:rPr>
          <w:rFonts w:ascii="Tahoma" w:hAnsi="Tahoma" w:cs="Tahoma"/>
          <w:bCs/>
          <w:color w:val="000000"/>
        </w:rPr>
        <w:t xml:space="preserve">que </w:t>
      </w:r>
      <w:r w:rsidR="006F6981">
        <w:rPr>
          <w:rFonts w:ascii="Tahoma" w:hAnsi="Tahoma" w:cs="Tahoma"/>
          <w:bCs/>
          <w:color w:val="000000"/>
        </w:rPr>
        <w:t>el señor</w:t>
      </w:r>
      <w:r>
        <w:rPr>
          <w:rFonts w:ascii="Tahoma" w:hAnsi="Tahoma" w:cs="Tahoma"/>
          <w:bCs/>
          <w:color w:val="000000"/>
        </w:rPr>
        <w:t xml:space="preserve"> </w:t>
      </w:r>
      <w:r w:rsidR="006F6981">
        <w:rPr>
          <w:rFonts w:ascii="Tahoma" w:hAnsi="Tahoma" w:cs="Tahoma"/>
          <w:bCs/>
          <w:color w:val="000000"/>
        </w:rPr>
        <w:t>Jorge Iván Sepúlveda Bolívar</w:t>
      </w:r>
      <w:r>
        <w:rPr>
          <w:rFonts w:ascii="Tahoma" w:hAnsi="Tahoma" w:cs="Tahoma"/>
          <w:bCs/>
          <w:color w:val="000000"/>
        </w:rPr>
        <w:t xml:space="preserve"> en toda su historia laboral </w:t>
      </w:r>
      <w:r w:rsidR="00A14AFE">
        <w:rPr>
          <w:rFonts w:ascii="Tahoma" w:hAnsi="Tahoma" w:cs="Tahoma"/>
          <w:bCs/>
          <w:color w:val="000000"/>
        </w:rPr>
        <w:t>cotizó</w:t>
      </w:r>
      <w:r>
        <w:rPr>
          <w:rFonts w:ascii="Tahoma" w:hAnsi="Tahoma" w:cs="Tahoma"/>
          <w:bCs/>
          <w:color w:val="000000"/>
        </w:rPr>
        <w:t xml:space="preserve"> un total de </w:t>
      </w:r>
      <w:r w:rsidR="006F6981">
        <w:rPr>
          <w:rFonts w:ascii="Tahoma" w:hAnsi="Tahoma" w:cs="Tahoma"/>
          <w:bCs/>
          <w:color w:val="000000"/>
        </w:rPr>
        <w:t>869,72</w:t>
      </w:r>
      <w:r>
        <w:rPr>
          <w:rFonts w:ascii="Tahoma" w:hAnsi="Tahoma" w:cs="Tahoma"/>
          <w:bCs/>
          <w:color w:val="000000"/>
        </w:rPr>
        <w:t xml:space="preserve"> semanas, de las cuales </w:t>
      </w:r>
      <w:r w:rsidR="00A14AFE">
        <w:rPr>
          <w:rFonts w:ascii="Tahoma" w:hAnsi="Tahoma" w:cs="Tahoma"/>
          <w:bCs/>
          <w:color w:val="000000"/>
        </w:rPr>
        <w:t>628</w:t>
      </w:r>
      <w:r>
        <w:rPr>
          <w:rFonts w:ascii="Tahoma" w:hAnsi="Tahoma" w:cs="Tahoma"/>
          <w:bCs/>
          <w:color w:val="000000"/>
        </w:rPr>
        <w:t>,</w:t>
      </w:r>
      <w:r w:rsidR="00A14AFE">
        <w:rPr>
          <w:rFonts w:ascii="Tahoma" w:hAnsi="Tahoma" w:cs="Tahoma"/>
          <w:bCs/>
          <w:color w:val="000000"/>
        </w:rPr>
        <w:t>01</w:t>
      </w:r>
      <w:r>
        <w:rPr>
          <w:rFonts w:ascii="Tahoma" w:hAnsi="Tahoma" w:cs="Tahoma"/>
          <w:bCs/>
          <w:color w:val="000000"/>
        </w:rPr>
        <w:t xml:space="preserve"> tienen un reporte anterior al 29 de julio de 2005</w:t>
      </w:r>
      <w:r w:rsidR="00A14AFE">
        <w:rPr>
          <w:rFonts w:ascii="Tahoma" w:hAnsi="Tahoma" w:cs="Tahoma"/>
          <w:bCs/>
          <w:color w:val="000000"/>
        </w:rPr>
        <w:t>, incluyendo los periodos echados de menos por el actor al servicio de la extinta Muebles Día Ltda.</w:t>
      </w:r>
      <w:r w:rsidR="00583AAA">
        <w:rPr>
          <w:rFonts w:ascii="Tahoma" w:hAnsi="Tahoma" w:cs="Tahoma"/>
          <w:bCs/>
          <w:color w:val="000000"/>
        </w:rPr>
        <w:t xml:space="preserve"> entre el 19 de febrero de 1985 y el 29 de diciembre de 1991</w:t>
      </w:r>
      <w:r w:rsidR="00055055">
        <w:rPr>
          <w:rFonts w:ascii="Tahoma" w:hAnsi="Tahoma" w:cs="Tahoma"/>
          <w:bCs/>
          <w:color w:val="000000"/>
        </w:rPr>
        <w:t xml:space="preserve">; por lo tanto, es evidente, </w:t>
      </w:r>
      <w:r>
        <w:rPr>
          <w:rFonts w:ascii="Tahoma" w:hAnsi="Tahoma" w:cs="Tahoma"/>
          <w:bCs/>
          <w:color w:val="000000"/>
        </w:rPr>
        <w:t xml:space="preserve">que el </w:t>
      </w:r>
      <w:r w:rsidR="00055055">
        <w:rPr>
          <w:rFonts w:ascii="Tahoma" w:hAnsi="Tahoma" w:cs="Tahoma"/>
          <w:bCs/>
          <w:color w:val="000000"/>
        </w:rPr>
        <w:t xml:space="preserve">promotor del litigio </w:t>
      </w:r>
      <w:r>
        <w:rPr>
          <w:rFonts w:ascii="Tahoma" w:hAnsi="Tahoma" w:cs="Tahoma"/>
          <w:bCs/>
          <w:color w:val="000000"/>
        </w:rPr>
        <w:t>no cumple con la exigencia objetiva del Acto Legislativo 01 de 2005, necesaria</w:t>
      </w:r>
      <w:r w:rsidR="00055055">
        <w:rPr>
          <w:rFonts w:ascii="Tahoma" w:hAnsi="Tahoma" w:cs="Tahoma"/>
          <w:bCs/>
          <w:color w:val="000000"/>
        </w:rPr>
        <w:t xml:space="preserve"> para </w:t>
      </w:r>
      <w:r>
        <w:rPr>
          <w:rFonts w:ascii="Tahoma" w:hAnsi="Tahoma" w:cs="Tahoma"/>
          <w:bCs/>
          <w:color w:val="000000"/>
        </w:rPr>
        <w:t xml:space="preserve">conservar el régimen de transición establecido en el artículo 36 de la </w:t>
      </w:r>
      <w:r w:rsidR="00055055">
        <w:rPr>
          <w:rFonts w:ascii="Tahoma" w:hAnsi="Tahoma" w:cs="Tahoma"/>
          <w:bCs/>
          <w:color w:val="000000"/>
        </w:rPr>
        <w:t xml:space="preserve">Ley </w:t>
      </w:r>
      <w:r>
        <w:rPr>
          <w:rFonts w:ascii="Tahoma" w:hAnsi="Tahoma" w:cs="Tahoma"/>
          <w:bCs/>
          <w:color w:val="000000"/>
        </w:rPr>
        <w:t xml:space="preserve">100 de 1993, y así </w:t>
      </w:r>
      <w:r w:rsidR="00055055">
        <w:rPr>
          <w:rFonts w:ascii="Tahoma" w:hAnsi="Tahoma" w:cs="Tahoma"/>
          <w:bCs/>
          <w:color w:val="000000"/>
        </w:rPr>
        <w:t>hacer</w:t>
      </w:r>
      <w:r>
        <w:rPr>
          <w:rFonts w:ascii="Tahoma" w:hAnsi="Tahoma" w:cs="Tahoma"/>
          <w:bCs/>
          <w:color w:val="000000"/>
        </w:rPr>
        <w:t xml:space="preserve"> factible la aplicación de las disposiciones de</w:t>
      </w:r>
      <w:r w:rsidR="00A14AFE">
        <w:rPr>
          <w:rFonts w:ascii="Tahoma" w:hAnsi="Tahoma" w:cs="Tahoma"/>
          <w:bCs/>
          <w:color w:val="000000"/>
        </w:rPr>
        <w:t xml:space="preserve">l </w:t>
      </w:r>
      <w:r w:rsidR="00055055">
        <w:rPr>
          <w:rFonts w:ascii="Tahoma" w:hAnsi="Tahoma" w:cs="Tahoma"/>
          <w:bCs/>
          <w:color w:val="000000"/>
        </w:rPr>
        <w:t xml:space="preserve">Acuerdo </w:t>
      </w:r>
      <w:r w:rsidR="00A14AFE">
        <w:rPr>
          <w:rFonts w:ascii="Tahoma" w:hAnsi="Tahoma" w:cs="Tahoma"/>
          <w:bCs/>
          <w:color w:val="000000"/>
        </w:rPr>
        <w:t xml:space="preserve">049 de 1990, </w:t>
      </w:r>
      <w:r>
        <w:rPr>
          <w:rFonts w:ascii="Tahoma" w:hAnsi="Tahoma" w:cs="Tahoma"/>
          <w:bCs/>
          <w:color w:val="000000"/>
        </w:rPr>
        <w:t xml:space="preserve">tal como </w:t>
      </w:r>
      <w:r w:rsidR="00055055">
        <w:rPr>
          <w:rFonts w:ascii="Tahoma" w:hAnsi="Tahoma" w:cs="Tahoma"/>
          <w:bCs/>
          <w:color w:val="000000"/>
        </w:rPr>
        <w:t xml:space="preserve">se señaló en </w:t>
      </w:r>
      <w:r>
        <w:rPr>
          <w:rFonts w:ascii="Tahoma" w:hAnsi="Tahoma" w:cs="Tahoma"/>
          <w:bCs/>
          <w:color w:val="000000"/>
        </w:rPr>
        <w:t>las pretensiones de la demanda.</w:t>
      </w:r>
    </w:p>
    <w:p w:rsidR="00A14AFE" w:rsidRDefault="00A14AFE" w:rsidP="003E6F6A">
      <w:pPr>
        <w:pStyle w:val="Sinespaciado"/>
        <w:jc w:val="both"/>
      </w:pPr>
    </w:p>
    <w:p w:rsidR="00BE37D0" w:rsidRDefault="00D970E2" w:rsidP="003E6F6A">
      <w:pPr>
        <w:pStyle w:val="Textoindependiente"/>
        <w:spacing w:after="0" w:line="276" w:lineRule="auto"/>
        <w:ind w:right="51" w:firstLine="708"/>
        <w:jc w:val="both"/>
        <w:rPr>
          <w:rFonts w:ascii="Tahoma" w:hAnsi="Tahoma" w:cs="Tahoma"/>
          <w:bCs/>
          <w:color w:val="000000"/>
        </w:rPr>
      </w:pPr>
      <w:r>
        <w:rPr>
          <w:rFonts w:ascii="Tahoma" w:hAnsi="Tahoma" w:cs="Tahoma"/>
          <w:bCs/>
          <w:color w:val="000000"/>
        </w:rPr>
        <w:t xml:space="preserve">No obstante, </w:t>
      </w:r>
      <w:r w:rsidR="00BE37D0">
        <w:rPr>
          <w:rFonts w:ascii="Tahoma" w:hAnsi="Tahoma" w:cs="Tahoma"/>
          <w:bCs/>
          <w:color w:val="000000"/>
        </w:rPr>
        <w:t>el Acto Legislativo 01 de 2005</w:t>
      </w:r>
      <w:r>
        <w:rPr>
          <w:rFonts w:ascii="Tahoma" w:hAnsi="Tahoma" w:cs="Tahoma"/>
          <w:bCs/>
          <w:color w:val="000000"/>
        </w:rPr>
        <w:t xml:space="preserve"> dejó </w:t>
      </w:r>
      <w:r w:rsidR="00BE37D0">
        <w:rPr>
          <w:rFonts w:ascii="Tahoma" w:hAnsi="Tahoma" w:cs="Tahoma"/>
          <w:bCs/>
          <w:color w:val="000000"/>
        </w:rPr>
        <w:t xml:space="preserve">incólume el beneficio del régimen de transición hasta el 31 de julio de 2010, para las personas que para dicha calenda hubieran cumplidos los requisitos exigidos por la normatividad aplicable en virtud de la transición normativa, </w:t>
      </w:r>
      <w:r>
        <w:rPr>
          <w:rFonts w:ascii="Tahoma" w:hAnsi="Tahoma" w:cs="Tahoma"/>
          <w:bCs/>
          <w:color w:val="000000"/>
        </w:rPr>
        <w:t xml:space="preserve">razón por la cual, </w:t>
      </w:r>
      <w:r w:rsidR="00055055">
        <w:rPr>
          <w:rFonts w:ascii="Tahoma" w:hAnsi="Tahoma" w:cs="Tahoma"/>
          <w:bCs/>
          <w:color w:val="000000"/>
        </w:rPr>
        <w:t>la</w:t>
      </w:r>
      <w:r w:rsidR="00A14AFE">
        <w:rPr>
          <w:rFonts w:ascii="Tahoma" w:hAnsi="Tahoma" w:cs="Tahoma"/>
          <w:bCs/>
          <w:color w:val="000000"/>
        </w:rPr>
        <w:t xml:space="preserve"> Sala </w:t>
      </w:r>
      <w:r w:rsidR="00055055">
        <w:rPr>
          <w:rFonts w:ascii="Tahoma" w:hAnsi="Tahoma" w:cs="Tahoma"/>
          <w:bCs/>
          <w:color w:val="000000"/>
        </w:rPr>
        <w:t xml:space="preserve">procedió a </w:t>
      </w:r>
      <w:r w:rsidR="00F12E57">
        <w:rPr>
          <w:rFonts w:ascii="Tahoma" w:hAnsi="Tahoma" w:cs="Tahoma"/>
          <w:bCs/>
          <w:color w:val="000000"/>
        </w:rPr>
        <w:t>comproba</w:t>
      </w:r>
      <w:r w:rsidR="00055055">
        <w:rPr>
          <w:rFonts w:ascii="Tahoma" w:hAnsi="Tahoma" w:cs="Tahoma"/>
          <w:bCs/>
          <w:color w:val="000000"/>
        </w:rPr>
        <w:t xml:space="preserve">r si el señor </w:t>
      </w:r>
      <w:r w:rsidR="00F12E57">
        <w:rPr>
          <w:rFonts w:ascii="Tahoma" w:hAnsi="Tahoma" w:cs="Tahoma"/>
          <w:bCs/>
          <w:color w:val="000000"/>
        </w:rPr>
        <w:t xml:space="preserve">Sepúlveda Bolívar en los últimos 20 años al cumplimiento de sus 60 años, esto es entre el 1º de julio de 1988 y el 1º de julio de 2008, acredita </w:t>
      </w:r>
      <w:r w:rsidR="00D46F68">
        <w:rPr>
          <w:rFonts w:ascii="Tahoma" w:hAnsi="Tahoma" w:cs="Tahoma"/>
          <w:bCs/>
          <w:color w:val="000000"/>
        </w:rPr>
        <w:t xml:space="preserve">las </w:t>
      </w:r>
      <w:r w:rsidR="00F12E57">
        <w:rPr>
          <w:rFonts w:ascii="Tahoma" w:hAnsi="Tahoma" w:cs="Tahoma"/>
          <w:bCs/>
          <w:color w:val="000000"/>
        </w:rPr>
        <w:t xml:space="preserve">500 semanas </w:t>
      </w:r>
      <w:r w:rsidR="00D46F68">
        <w:rPr>
          <w:rFonts w:ascii="Tahoma" w:hAnsi="Tahoma" w:cs="Tahoma"/>
          <w:bCs/>
          <w:color w:val="000000"/>
        </w:rPr>
        <w:t>exigidas en el artículo 12 del acuerdo 049 de 1990</w:t>
      </w:r>
      <w:r w:rsidR="00F12E57">
        <w:rPr>
          <w:rFonts w:ascii="Tahoma" w:hAnsi="Tahoma" w:cs="Tahoma"/>
          <w:bCs/>
          <w:color w:val="000000"/>
        </w:rPr>
        <w:t xml:space="preserve">, </w:t>
      </w:r>
      <w:r>
        <w:rPr>
          <w:rFonts w:ascii="Tahoma" w:hAnsi="Tahoma" w:cs="Tahoma"/>
          <w:bCs/>
          <w:color w:val="000000"/>
        </w:rPr>
        <w:t xml:space="preserve">toda vez que, se itera, </w:t>
      </w:r>
      <w:r w:rsidR="00D46F68">
        <w:rPr>
          <w:rFonts w:ascii="Tahoma" w:hAnsi="Tahoma" w:cs="Tahoma"/>
          <w:bCs/>
          <w:color w:val="000000"/>
        </w:rPr>
        <w:t xml:space="preserve">carece de </w:t>
      </w:r>
      <w:r w:rsidR="00F12E57">
        <w:rPr>
          <w:rFonts w:ascii="Tahoma" w:hAnsi="Tahoma" w:cs="Tahoma"/>
          <w:bCs/>
          <w:color w:val="000000"/>
        </w:rPr>
        <w:t xml:space="preserve">1000 </w:t>
      </w:r>
      <w:r w:rsidR="0073072F">
        <w:rPr>
          <w:rFonts w:ascii="Tahoma" w:hAnsi="Tahoma" w:cs="Tahoma"/>
          <w:bCs/>
          <w:color w:val="000000"/>
        </w:rPr>
        <w:t xml:space="preserve">en toda su historia laboral. </w:t>
      </w:r>
      <w:r w:rsidR="00D46F68">
        <w:rPr>
          <w:rFonts w:ascii="Tahoma" w:hAnsi="Tahoma" w:cs="Tahoma"/>
          <w:bCs/>
          <w:color w:val="000000"/>
        </w:rPr>
        <w:t>De esta manera, al analizar e</w:t>
      </w:r>
      <w:r w:rsidR="0073072F">
        <w:rPr>
          <w:rFonts w:ascii="Tahoma" w:hAnsi="Tahoma" w:cs="Tahoma"/>
          <w:bCs/>
          <w:color w:val="000000"/>
        </w:rPr>
        <w:t>l reporte de semanas referid</w:t>
      </w:r>
      <w:r w:rsidR="00D46F68">
        <w:rPr>
          <w:rFonts w:ascii="Tahoma" w:hAnsi="Tahoma" w:cs="Tahoma"/>
          <w:bCs/>
          <w:color w:val="000000"/>
        </w:rPr>
        <w:t>o</w:t>
      </w:r>
      <w:r w:rsidR="0073072F">
        <w:rPr>
          <w:rFonts w:ascii="Tahoma" w:hAnsi="Tahoma" w:cs="Tahoma"/>
          <w:bCs/>
          <w:color w:val="000000"/>
        </w:rPr>
        <w:t xml:space="preserve"> se observa que el actor una vez hecha la novedad de retiro de </w:t>
      </w:r>
      <w:r w:rsidR="003E6F6A">
        <w:rPr>
          <w:rFonts w:ascii="Tahoma" w:hAnsi="Tahoma" w:cs="Tahoma"/>
          <w:bCs/>
          <w:color w:val="000000"/>
        </w:rPr>
        <w:t>Muebles Día Ltda</w:t>
      </w:r>
      <w:r w:rsidR="00D46F68">
        <w:rPr>
          <w:rFonts w:ascii="Tahoma" w:hAnsi="Tahoma" w:cs="Tahoma"/>
          <w:bCs/>
          <w:color w:val="000000"/>
        </w:rPr>
        <w:t>.</w:t>
      </w:r>
      <w:r w:rsidR="003E6F6A">
        <w:rPr>
          <w:rFonts w:ascii="Tahoma" w:hAnsi="Tahoma" w:cs="Tahoma"/>
          <w:bCs/>
          <w:color w:val="000000"/>
        </w:rPr>
        <w:t xml:space="preserve"> en diciembre de 1998, estuvo inactivo hasta el 1º de agosto de 2008, por lo que en sus últimos 20 años al cumplimiento de la edad tan solo acredita 476,29 semanas cotizadas.</w:t>
      </w:r>
    </w:p>
    <w:p w:rsidR="003E6F6A" w:rsidRDefault="003E6F6A" w:rsidP="00041418">
      <w:pPr>
        <w:pStyle w:val="Sinespaciado"/>
      </w:pPr>
    </w:p>
    <w:p w:rsidR="003E6F6A" w:rsidRDefault="003E6F6A" w:rsidP="003E6F6A">
      <w:pPr>
        <w:pStyle w:val="Textoindependiente"/>
        <w:spacing w:after="0" w:line="276" w:lineRule="auto"/>
        <w:ind w:right="51" w:firstLine="708"/>
        <w:jc w:val="both"/>
        <w:rPr>
          <w:rFonts w:ascii="Tahoma" w:hAnsi="Tahoma" w:cs="Tahoma"/>
          <w:bCs/>
          <w:color w:val="000000"/>
        </w:rPr>
      </w:pPr>
      <w:r>
        <w:rPr>
          <w:rFonts w:ascii="Tahoma" w:hAnsi="Tahoma" w:cs="Tahoma"/>
          <w:bCs/>
          <w:color w:val="000000"/>
        </w:rPr>
        <w:t>En consecuencia, esta Corporación avala el discernimiento de la A-quo, por lo que deviene la confirmación de la sentencia de primera instancia. No se causaron costas por conocerse el proceso en virtud del grado jurisdiccional de consulta.</w:t>
      </w:r>
    </w:p>
    <w:p w:rsidR="0073072F" w:rsidRDefault="0073072F" w:rsidP="00A14AFE">
      <w:pPr>
        <w:pStyle w:val="Textoindependiente"/>
        <w:spacing w:after="0" w:line="276" w:lineRule="auto"/>
        <w:ind w:right="51" w:firstLine="708"/>
        <w:jc w:val="both"/>
        <w:rPr>
          <w:rFonts w:ascii="Tahoma" w:hAnsi="Tahoma" w:cs="Tahoma"/>
          <w:bCs/>
          <w:color w:val="000000"/>
        </w:rPr>
      </w:pPr>
    </w:p>
    <w:p w:rsidR="00A0425E" w:rsidRDefault="00A0425E" w:rsidP="00710BE8">
      <w:pPr>
        <w:pStyle w:val="Sangradetextonormal"/>
        <w:spacing w:line="276" w:lineRule="auto"/>
      </w:pPr>
      <w:r w:rsidRPr="002B7B53">
        <w:t xml:space="preserve">En mérito de lo expuesto, el </w:t>
      </w:r>
      <w:r w:rsidRPr="002B7B53">
        <w:rPr>
          <w:b/>
        </w:rPr>
        <w:t>Tribunal Superior del Distrito Judicial de Pereira (Risaralda)</w:t>
      </w:r>
      <w:r w:rsidRPr="002B7B53">
        <w:t xml:space="preserve">, </w:t>
      </w:r>
      <w:r w:rsidRPr="002B7B53">
        <w:rPr>
          <w:b/>
        </w:rPr>
        <w:t>Sala Laboral</w:t>
      </w:r>
      <w:r w:rsidRPr="002B7B53">
        <w:t>, administrando justicia en nombre de la República y por autoridad de la Ley,</w:t>
      </w:r>
    </w:p>
    <w:p w:rsidR="00757B2F" w:rsidRDefault="00757B2F" w:rsidP="00710BE8">
      <w:pPr>
        <w:pStyle w:val="Sangradetextonormal"/>
        <w:spacing w:line="276" w:lineRule="auto"/>
      </w:pPr>
    </w:p>
    <w:p w:rsidR="00A0425E" w:rsidRPr="0060637C" w:rsidRDefault="00A0425E" w:rsidP="00710BE8">
      <w:pPr>
        <w:widowControl w:val="0"/>
        <w:autoSpaceDE w:val="0"/>
        <w:autoSpaceDN w:val="0"/>
        <w:adjustRightInd w:val="0"/>
        <w:spacing w:line="276" w:lineRule="auto"/>
        <w:jc w:val="center"/>
        <w:rPr>
          <w:rFonts w:ascii="Tahoma" w:hAnsi="Tahoma" w:cs="Tahoma"/>
          <w:b/>
        </w:rPr>
      </w:pPr>
      <w:r w:rsidRPr="0060637C">
        <w:rPr>
          <w:rFonts w:ascii="Tahoma" w:hAnsi="Tahoma" w:cs="Tahoma"/>
          <w:b/>
        </w:rPr>
        <w:t>RESUELVE:</w:t>
      </w:r>
    </w:p>
    <w:p w:rsidR="00A0425E" w:rsidRPr="0060637C" w:rsidRDefault="00A0425E" w:rsidP="00710BE8">
      <w:pPr>
        <w:widowControl w:val="0"/>
        <w:autoSpaceDE w:val="0"/>
        <w:autoSpaceDN w:val="0"/>
        <w:adjustRightInd w:val="0"/>
        <w:spacing w:line="276" w:lineRule="auto"/>
        <w:jc w:val="both"/>
        <w:rPr>
          <w:rFonts w:ascii="Tahoma" w:hAnsi="Tahoma" w:cs="Tahoma"/>
        </w:rPr>
      </w:pPr>
    </w:p>
    <w:p w:rsidR="00710BE8" w:rsidRPr="002E7779" w:rsidRDefault="00A0425E" w:rsidP="00710BE8">
      <w:pPr>
        <w:spacing w:line="276" w:lineRule="auto"/>
        <w:ind w:firstLine="708"/>
        <w:jc w:val="both"/>
        <w:rPr>
          <w:rFonts w:ascii="Tahoma" w:hAnsi="Tahoma" w:cs="Tahoma"/>
        </w:rPr>
      </w:pPr>
      <w:r w:rsidRPr="0060637C">
        <w:rPr>
          <w:rFonts w:ascii="Tahoma" w:hAnsi="Tahoma" w:cs="Tahoma"/>
          <w:b/>
          <w:u w:val="single"/>
        </w:rPr>
        <w:t>PRIMERO</w:t>
      </w:r>
      <w:r w:rsidRPr="0060637C">
        <w:rPr>
          <w:rFonts w:ascii="Tahoma" w:hAnsi="Tahoma" w:cs="Tahoma"/>
        </w:rPr>
        <w:t xml:space="preserve">.- </w:t>
      </w:r>
      <w:r w:rsidR="00710BE8" w:rsidRPr="002E7779">
        <w:rPr>
          <w:rFonts w:ascii="Tahoma" w:hAnsi="Tahoma" w:cs="Tahoma"/>
          <w:b/>
        </w:rPr>
        <w:t>CONFIRMAR</w:t>
      </w:r>
      <w:r w:rsidR="00710BE8" w:rsidRPr="002E7779">
        <w:rPr>
          <w:rFonts w:ascii="Tahoma" w:hAnsi="Tahoma" w:cs="Tahoma"/>
        </w:rPr>
        <w:t xml:space="preserve"> en todas sus partes la sentenc</w:t>
      </w:r>
      <w:r w:rsidR="00710BE8">
        <w:rPr>
          <w:rFonts w:ascii="Tahoma" w:hAnsi="Tahoma" w:cs="Tahoma"/>
        </w:rPr>
        <w:t xml:space="preserve">ia emitida por el Juzgado </w:t>
      </w:r>
      <w:r w:rsidR="00C736A7">
        <w:rPr>
          <w:rFonts w:ascii="Tahoma" w:hAnsi="Tahoma" w:cs="Tahoma"/>
        </w:rPr>
        <w:t>Quinto</w:t>
      </w:r>
      <w:r w:rsidR="00710BE8" w:rsidRPr="002E7779">
        <w:rPr>
          <w:rFonts w:ascii="Tahoma" w:hAnsi="Tahoma" w:cs="Tahoma"/>
        </w:rPr>
        <w:t xml:space="preserve"> Laboral del Circuito de Pereira el </w:t>
      </w:r>
      <w:r w:rsidR="00C736A7">
        <w:rPr>
          <w:rFonts w:ascii="Tahoma" w:hAnsi="Tahoma" w:cs="Tahoma"/>
        </w:rPr>
        <w:t>3</w:t>
      </w:r>
      <w:r w:rsidR="00710BE8" w:rsidRPr="005750A5">
        <w:rPr>
          <w:rFonts w:ascii="Tahoma" w:hAnsi="Tahoma" w:cs="Tahoma"/>
        </w:rPr>
        <w:t xml:space="preserve"> de </w:t>
      </w:r>
      <w:r w:rsidR="00C736A7">
        <w:rPr>
          <w:rFonts w:ascii="Tahoma" w:hAnsi="Tahoma" w:cs="Tahoma"/>
        </w:rPr>
        <w:t>febrero</w:t>
      </w:r>
      <w:r w:rsidR="005750A5" w:rsidRPr="005750A5">
        <w:rPr>
          <w:rFonts w:ascii="Tahoma" w:hAnsi="Tahoma" w:cs="Tahoma"/>
        </w:rPr>
        <w:t xml:space="preserve"> </w:t>
      </w:r>
      <w:r w:rsidR="00710BE8" w:rsidRPr="005750A5">
        <w:rPr>
          <w:rFonts w:ascii="Tahoma" w:hAnsi="Tahoma" w:cs="Tahoma"/>
        </w:rPr>
        <w:t>de 201</w:t>
      </w:r>
      <w:r w:rsidR="005750A5" w:rsidRPr="005750A5">
        <w:rPr>
          <w:rFonts w:ascii="Tahoma" w:hAnsi="Tahoma" w:cs="Tahoma"/>
        </w:rPr>
        <w:t>5</w:t>
      </w:r>
      <w:r w:rsidR="00710BE8" w:rsidRPr="005750A5">
        <w:rPr>
          <w:rFonts w:ascii="Tahoma" w:hAnsi="Tahoma" w:cs="Tahoma"/>
        </w:rPr>
        <w:t>.</w:t>
      </w:r>
      <w:r w:rsidR="00710BE8" w:rsidRPr="002E7779">
        <w:rPr>
          <w:rFonts w:ascii="Tahoma" w:hAnsi="Tahoma" w:cs="Tahoma"/>
        </w:rPr>
        <w:t xml:space="preserve"> </w:t>
      </w:r>
    </w:p>
    <w:p w:rsidR="004A05A8" w:rsidRPr="0060637C" w:rsidRDefault="004A05A8" w:rsidP="00710BE8">
      <w:pPr>
        <w:spacing w:line="276" w:lineRule="auto"/>
        <w:ind w:firstLine="708"/>
        <w:jc w:val="both"/>
        <w:rPr>
          <w:rFonts w:ascii="Tahoma" w:hAnsi="Tahoma" w:cs="Tahoma"/>
          <w:i/>
        </w:rPr>
      </w:pPr>
    </w:p>
    <w:p w:rsidR="006B03DA" w:rsidRPr="0060637C" w:rsidRDefault="00A0425E" w:rsidP="00710BE8">
      <w:pPr>
        <w:spacing w:line="276" w:lineRule="auto"/>
        <w:ind w:firstLine="709"/>
        <w:jc w:val="both"/>
        <w:rPr>
          <w:rFonts w:ascii="Tahoma" w:hAnsi="Tahoma" w:cs="Tahoma"/>
        </w:rPr>
      </w:pPr>
      <w:r w:rsidRPr="0060637C">
        <w:rPr>
          <w:rFonts w:ascii="Tahoma" w:hAnsi="Tahoma" w:cs="Tahoma"/>
          <w:b/>
          <w:u w:val="single"/>
        </w:rPr>
        <w:t>SEGUNDO</w:t>
      </w:r>
      <w:r w:rsidRPr="0060637C">
        <w:rPr>
          <w:rFonts w:ascii="Tahoma" w:hAnsi="Tahoma" w:cs="Tahoma"/>
        </w:rPr>
        <w:t>.-</w:t>
      </w:r>
      <w:r w:rsidR="00464B99" w:rsidRPr="0060637C">
        <w:rPr>
          <w:rFonts w:ascii="Tahoma" w:hAnsi="Tahoma" w:cs="Tahoma"/>
        </w:rPr>
        <w:t xml:space="preserve"> </w:t>
      </w:r>
      <w:r w:rsidR="00757B2F" w:rsidRPr="00757B2F">
        <w:rPr>
          <w:rFonts w:ascii="Tahoma" w:hAnsi="Tahoma" w:cs="Tahoma"/>
        </w:rPr>
        <w:t>Sin condena en costas en esta instancia.</w:t>
      </w:r>
    </w:p>
    <w:p w:rsidR="00A0425E" w:rsidRPr="0060637C" w:rsidRDefault="00A0425E" w:rsidP="00710BE8">
      <w:pPr>
        <w:spacing w:line="276" w:lineRule="auto"/>
        <w:ind w:firstLine="709"/>
        <w:jc w:val="both"/>
        <w:rPr>
          <w:rFonts w:ascii="Tahoma" w:hAnsi="Tahoma" w:cs="Tahoma"/>
        </w:rPr>
      </w:pPr>
    </w:p>
    <w:p w:rsidR="00A0425E" w:rsidRPr="0060637C" w:rsidRDefault="00A0425E" w:rsidP="00710BE8">
      <w:pPr>
        <w:widowControl w:val="0"/>
        <w:autoSpaceDE w:val="0"/>
        <w:autoSpaceDN w:val="0"/>
        <w:adjustRightInd w:val="0"/>
        <w:spacing w:line="276" w:lineRule="auto"/>
        <w:jc w:val="both"/>
        <w:rPr>
          <w:rFonts w:ascii="Tahoma" w:hAnsi="Tahoma" w:cs="Tahoma"/>
          <w:b/>
          <w:bCs/>
        </w:rPr>
      </w:pPr>
      <w:r w:rsidRPr="0060637C">
        <w:rPr>
          <w:rFonts w:ascii="Tahoma" w:hAnsi="Tahoma" w:cs="Tahoma"/>
        </w:rPr>
        <w:tab/>
      </w:r>
      <w:r w:rsidRPr="0060637C">
        <w:rPr>
          <w:rFonts w:ascii="Tahoma" w:hAnsi="Tahoma" w:cs="Tahoma"/>
          <w:b/>
          <w:bCs/>
        </w:rPr>
        <w:t>Notificación surtida en estrados.</w:t>
      </w:r>
    </w:p>
    <w:p w:rsidR="00A0425E" w:rsidRPr="0060637C" w:rsidRDefault="00A0425E" w:rsidP="00710BE8">
      <w:pPr>
        <w:widowControl w:val="0"/>
        <w:autoSpaceDE w:val="0"/>
        <w:autoSpaceDN w:val="0"/>
        <w:adjustRightInd w:val="0"/>
        <w:spacing w:line="276" w:lineRule="auto"/>
        <w:jc w:val="both"/>
        <w:rPr>
          <w:rFonts w:ascii="Tahoma" w:hAnsi="Tahoma" w:cs="Tahoma"/>
          <w:b/>
          <w:bCs/>
        </w:rPr>
      </w:pPr>
    </w:p>
    <w:p w:rsidR="00A0425E" w:rsidRPr="0060637C" w:rsidRDefault="00A0425E" w:rsidP="00710BE8">
      <w:pPr>
        <w:widowControl w:val="0"/>
        <w:autoSpaceDE w:val="0"/>
        <w:autoSpaceDN w:val="0"/>
        <w:adjustRightInd w:val="0"/>
        <w:spacing w:line="276" w:lineRule="auto"/>
        <w:ind w:firstLine="708"/>
        <w:jc w:val="both"/>
        <w:rPr>
          <w:rFonts w:ascii="Tahoma" w:hAnsi="Tahoma" w:cs="Tahoma"/>
        </w:rPr>
      </w:pPr>
      <w:r w:rsidRPr="0060637C">
        <w:rPr>
          <w:rFonts w:ascii="Tahoma" w:hAnsi="Tahoma" w:cs="Tahoma"/>
          <w:b/>
        </w:rPr>
        <w:t>Cúmplase</w:t>
      </w:r>
      <w:r w:rsidRPr="0060637C">
        <w:rPr>
          <w:rFonts w:ascii="Tahoma" w:hAnsi="Tahoma" w:cs="Tahoma"/>
        </w:rPr>
        <w:t xml:space="preserve"> y </w:t>
      </w:r>
      <w:r w:rsidRPr="0060637C">
        <w:rPr>
          <w:rFonts w:ascii="Tahoma" w:hAnsi="Tahoma" w:cs="Tahoma"/>
          <w:b/>
        </w:rPr>
        <w:t>devuélvase</w:t>
      </w:r>
      <w:r w:rsidRPr="0060637C">
        <w:rPr>
          <w:rFonts w:ascii="Tahoma" w:hAnsi="Tahoma" w:cs="Tahoma"/>
        </w:rPr>
        <w:t xml:space="preserve"> el expediente al Juzgado de origen.</w:t>
      </w:r>
    </w:p>
    <w:p w:rsidR="00A0425E" w:rsidRPr="0060637C" w:rsidRDefault="00A0425E" w:rsidP="00710BE8">
      <w:pPr>
        <w:widowControl w:val="0"/>
        <w:autoSpaceDE w:val="0"/>
        <w:autoSpaceDN w:val="0"/>
        <w:adjustRightInd w:val="0"/>
        <w:spacing w:line="276" w:lineRule="auto"/>
        <w:jc w:val="both"/>
        <w:rPr>
          <w:rFonts w:ascii="Tahoma" w:hAnsi="Tahoma" w:cs="Tahoma"/>
        </w:rPr>
      </w:pPr>
    </w:p>
    <w:p w:rsidR="00A0425E" w:rsidRPr="0060637C" w:rsidRDefault="00A0425E" w:rsidP="00710BE8">
      <w:pPr>
        <w:widowControl w:val="0"/>
        <w:autoSpaceDE w:val="0"/>
        <w:autoSpaceDN w:val="0"/>
        <w:adjustRightInd w:val="0"/>
        <w:spacing w:line="276" w:lineRule="auto"/>
        <w:jc w:val="both"/>
        <w:rPr>
          <w:rFonts w:ascii="Tahoma" w:hAnsi="Tahoma" w:cs="Tahoma"/>
        </w:rPr>
      </w:pPr>
      <w:r w:rsidRPr="0060637C">
        <w:rPr>
          <w:rFonts w:ascii="Tahoma" w:hAnsi="Tahoma" w:cs="Tahoma"/>
        </w:rPr>
        <w:tab/>
        <w:t xml:space="preserve">No siendo otro el objeto de la presente diligencia, se termina siendo las </w:t>
      </w:r>
      <w:r w:rsidRPr="0060637C">
        <w:rPr>
          <w:rFonts w:ascii="Tahoma" w:hAnsi="Tahoma" w:cs="Tahoma"/>
          <w:u w:val="single"/>
        </w:rPr>
        <w:t xml:space="preserve">_____ </w:t>
      </w:r>
      <w:r w:rsidRPr="0060637C">
        <w:rPr>
          <w:rFonts w:ascii="Tahoma" w:hAnsi="Tahoma" w:cs="Tahoma"/>
        </w:rPr>
        <w:t>de la mañana, se levanta el acta y firman las personas que en la misma intervinieron.</w:t>
      </w:r>
    </w:p>
    <w:p w:rsidR="00A0425E" w:rsidRDefault="00A0425E" w:rsidP="00AB2670">
      <w:pPr>
        <w:pStyle w:val="Sinespaciado"/>
      </w:pPr>
    </w:p>
    <w:p w:rsidR="00A0425E" w:rsidRPr="0060637C" w:rsidRDefault="00A0425E" w:rsidP="00710BE8">
      <w:pPr>
        <w:spacing w:line="276" w:lineRule="auto"/>
        <w:ind w:firstLine="708"/>
        <w:jc w:val="both"/>
        <w:rPr>
          <w:rFonts w:ascii="Tahoma" w:hAnsi="Tahoma" w:cs="Tahoma"/>
        </w:rPr>
      </w:pPr>
      <w:r w:rsidRPr="0060637C">
        <w:rPr>
          <w:rFonts w:ascii="Tahoma" w:hAnsi="Tahoma" w:cs="Tahoma"/>
        </w:rPr>
        <w:t>La Magistrada,</w:t>
      </w:r>
    </w:p>
    <w:p w:rsidR="00A0425E" w:rsidRDefault="00A0425E" w:rsidP="00710BE8">
      <w:pPr>
        <w:spacing w:line="276" w:lineRule="auto"/>
      </w:pPr>
    </w:p>
    <w:p w:rsidR="00A0425E" w:rsidRPr="002B7B53" w:rsidRDefault="00A0425E" w:rsidP="00710BE8">
      <w:pPr>
        <w:spacing w:line="276" w:lineRule="auto"/>
      </w:pPr>
    </w:p>
    <w:p w:rsidR="00A0425E" w:rsidRPr="002B7B53" w:rsidRDefault="00A0425E" w:rsidP="00710BE8">
      <w:pPr>
        <w:pStyle w:val="Ttulo3"/>
        <w:spacing w:before="0" w:after="0" w:line="276" w:lineRule="auto"/>
        <w:jc w:val="center"/>
        <w:rPr>
          <w:rFonts w:ascii="Tahoma" w:hAnsi="Tahoma" w:cs="Tahoma"/>
          <w:bCs w:val="0"/>
          <w:sz w:val="24"/>
          <w:szCs w:val="24"/>
        </w:rPr>
      </w:pPr>
      <w:r w:rsidRPr="002B7B53">
        <w:rPr>
          <w:rFonts w:ascii="Tahoma" w:hAnsi="Tahoma" w:cs="Tahoma"/>
          <w:bCs w:val="0"/>
          <w:sz w:val="24"/>
          <w:szCs w:val="24"/>
        </w:rPr>
        <w:t>ANA LUCÍA CAICEDO CALDERÓN</w:t>
      </w:r>
    </w:p>
    <w:p w:rsidR="00A0425E" w:rsidRDefault="00A0425E" w:rsidP="00AB2670">
      <w:pPr>
        <w:pStyle w:val="Sinespaciado"/>
      </w:pPr>
    </w:p>
    <w:p w:rsidR="00A0425E" w:rsidRPr="002B7B53" w:rsidRDefault="00A0425E" w:rsidP="00710BE8">
      <w:pPr>
        <w:spacing w:line="276" w:lineRule="auto"/>
        <w:ind w:firstLine="708"/>
        <w:jc w:val="both"/>
        <w:rPr>
          <w:rFonts w:ascii="Tahoma" w:hAnsi="Tahoma" w:cs="Tahoma"/>
        </w:rPr>
      </w:pPr>
      <w:r w:rsidRPr="002B7B53">
        <w:rPr>
          <w:rFonts w:ascii="Tahoma" w:hAnsi="Tahoma" w:cs="Tahoma"/>
        </w:rPr>
        <w:t>Los Magistrados,</w:t>
      </w:r>
    </w:p>
    <w:p w:rsidR="00A0425E" w:rsidRDefault="00A0425E" w:rsidP="00710BE8">
      <w:pPr>
        <w:spacing w:line="276" w:lineRule="auto"/>
        <w:rPr>
          <w:rFonts w:ascii="Tahoma" w:hAnsi="Tahoma" w:cs="Tahoma"/>
          <w:b/>
        </w:rPr>
      </w:pPr>
    </w:p>
    <w:p w:rsidR="00A0425E" w:rsidRPr="002B7B53" w:rsidRDefault="00A0425E" w:rsidP="00710BE8">
      <w:pPr>
        <w:spacing w:line="276" w:lineRule="auto"/>
        <w:rPr>
          <w:rFonts w:ascii="Tahoma" w:hAnsi="Tahoma" w:cs="Tahoma"/>
          <w:b/>
        </w:rPr>
      </w:pPr>
    </w:p>
    <w:p w:rsidR="00A0425E" w:rsidRPr="00536CC3" w:rsidRDefault="00A0425E" w:rsidP="00536CC3">
      <w:pPr>
        <w:spacing w:line="276" w:lineRule="auto"/>
        <w:jc w:val="both"/>
        <w:rPr>
          <w:rFonts w:ascii="Tahoma" w:hAnsi="Tahoma" w:cs="Tahoma"/>
          <w:b/>
        </w:rPr>
      </w:pPr>
      <w:r w:rsidRPr="002B7B53">
        <w:rPr>
          <w:rFonts w:ascii="Tahoma" w:hAnsi="Tahoma" w:cs="Tahoma"/>
          <w:b/>
        </w:rPr>
        <w:t>JULIO CÉSAR SALAZAR MUÑOZ</w:t>
      </w:r>
      <w:r w:rsidRPr="002B7B53">
        <w:rPr>
          <w:rFonts w:ascii="Tahoma" w:hAnsi="Tahoma" w:cs="Tahoma"/>
          <w:b/>
        </w:rPr>
        <w:tab/>
      </w:r>
      <w:r>
        <w:rPr>
          <w:rFonts w:ascii="Tahoma" w:hAnsi="Tahoma" w:cs="Tahoma"/>
          <w:b/>
        </w:rPr>
        <w:t xml:space="preserve">     </w:t>
      </w:r>
      <w:r w:rsidRPr="002B7B53">
        <w:rPr>
          <w:rFonts w:ascii="Tahoma" w:hAnsi="Tahoma" w:cs="Tahoma"/>
          <w:b/>
        </w:rPr>
        <w:t xml:space="preserve"> FRANCISCO JAVIER TAMAYO TABARES</w:t>
      </w:r>
    </w:p>
    <w:p w:rsidR="00A0425E" w:rsidRDefault="00A0425E" w:rsidP="00A0425E">
      <w:pPr>
        <w:rPr>
          <w:rFonts w:ascii="Tahoma" w:hAnsi="Tahoma" w:cs="Tahoma"/>
          <w:b/>
        </w:rPr>
      </w:pPr>
    </w:p>
    <w:p w:rsidR="00A0425E" w:rsidRDefault="00710BE8" w:rsidP="00A0425E">
      <w:pPr>
        <w:jc w:val="center"/>
        <w:rPr>
          <w:rFonts w:ascii="Tahoma" w:hAnsi="Tahoma" w:cs="Tahoma"/>
          <w:b/>
        </w:rPr>
      </w:pPr>
      <w:r>
        <w:rPr>
          <w:rFonts w:ascii="Tahoma" w:hAnsi="Tahoma" w:cs="Tahoma"/>
          <w:b/>
        </w:rPr>
        <w:t>JELYNE MONSALVE OSPINA</w:t>
      </w:r>
    </w:p>
    <w:p w:rsidR="00A0425E" w:rsidRDefault="00710BE8" w:rsidP="00A0425E">
      <w:pPr>
        <w:jc w:val="center"/>
        <w:rPr>
          <w:rFonts w:ascii="Tahoma" w:hAnsi="Tahoma" w:cs="Tahoma"/>
        </w:rPr>
      </w:pPr>
      <w:r>
        <w:rPr>
          <w:rFonts w:ascii="Tahoma" w:hAnsi="Tahoma" w:cs="Tahoma"/>
        </w:rPr>
        <w:t>Secretaria</w:t>
      </w:r>
      <w:r w:rsidR="00A0425E" w:rsidRPr="00821189">
        <w:rPr>
          <w:rFonts w:ascii="Tahoma" w:hAnsi="Tahoma" w:cs="Tahoma"/>
        </w:rPr>
        <w:t xml:space="preserve"> Ad-Hoc</w:t>
      </w:r>
    </w:p>
    <w:sectPr w:rsidR="00A0425E" w:rsidSect="001F29F7">
      <w:headerReference w:type="even" r:id="rId7"/>
      <w:headerReference w:type="default" r:id="rId8"/>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20" w:rsidRDefault="00260020" w:rsidP="00A0425E">
      <w:r>
        <w:separator/>
      </w:r>
    </w:p>
  </w:endnote>
  <w:endnote w:type="continuationSeparator" w:id="0">
    <w:p w:rsidR="00260020" w:rsidRDefault="00260020" w:rsidP="00A0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20" w:rsidRDefault="00260020" w:rsidP="00A0425E">
      <w:r>
        <w:separator/>
      </w:r>
    </w:p>
  </w:footnote>
  <w:footnote w:type="continuationSeparator" w:id="0">
    <w:p w:rsidR="00260020" w:rsidRDefault="00260020" w:rsidP="00A0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CC5E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E0A" w:rsidRDefault="00CC5E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CC5E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4AD8">
      <w:rPr>
        <w:rStyle w:val="Nmerodepgina"/>
        <w:noProof/>
      </w:rPr>
      <w:t>4</w:t>
    </w:r>
    <w:r>
      <w:rPr>
        <w:rStyle w:val="Nmerodepgina"/>
      </w:rPr>
      <w:fldChar w:fldCharType="end"/>
    </w:r>
  </w:p>
  <w:p w:rsidR="00CC5E0A" w:rsidRPr="0003464F" w:rsidRDefault="00CC5E0A"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Radicado No.: </w:t>
    </w:r>
    <w:r w:rsidR="00A019B6" w:rsidRPr="00A019B6">
      <w:rPr>
        <w:rFonts w:ascii="Tahoma" w:hAnsi="Tahoma" w:cs="Tahoma"/>
        <w:b w:val="0"/>
        <w:sz w:val="14"/>
        <w:szCs w:val="14"/>
      </w:rPr>
      <w:t>66001-31-05-005-2014-00358-01</w:t>
    </w:r>
  </w:p>
  <w:p w:rsidR="00CC5E0A" w:rsidRPr="0003464F" w:rsidRDefault="00CC5E0A"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A019B6">
      <w:rPr>
        <w:rFonts w:ascii="Tahoma" w:hAnsi="Tahoma" w:cs="Tahoma"/>
        <w:b w:val="0"/>
        <w:sz w:val="14"/>
        <w:szCs w:val="14"/>
      </w:rPr>
      <w:t xml:space="preserve">Jorge Iván </w:t>
    </w:r>
    <w:r w:rsidR="002235AD">
      <w:rPr>
        <w:rFonts w:ascii="Tahoma" w:hAnsi="Tahoma" w:cs="Tahoma"/>
        <w:b w:val="0"/>
        <w:sz w:val="14"/>
        <w:szCs w:val="14"/>
      </w:rPr>
      <w:t xml:space="preserve">Sepúlveda </w:t>
    </w:r>
    <w:r w:rsidR="006F6981">
      <w:rPr>
        <w:rFonts w:ascii="Tahoma" w:hAnsi="Tahoma" w:cs="Tahoma"/>
        <w:b w:val="0"/>
        <w:sz w:val="14"/>
        <w:szCs w:val="14"/>
      </w:rPr>
      <w:t>Bolívar</w:t>
    </w:r>
  </w:p>
  <w:p w:rsidR="00CC5E0A" w:rsidRPr="0003464F" w:rsidRDefault="00CC5E0A" w:rsidP="00A0425E">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CC5E0A" w:rsidRDefault="00CC5E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5E"/>
    <w:rsid w:val="00001C32"/>
    <w:rsid w:val="00041418"/>
    <w:rsid w:val="0005218E"/>
    <w:rsid w:val="00055055"/>
    <w:rsid w:val="000B1A2B"/>
    <w:rsid w:val="000E084F"/>
    <w:rsid w:val="000E6A6F"/>
    <w:rsid w:val="000F287C"/>
    <w:rsid w:val="00102075"/>
    <w:rsid w:val="00103B70"/>
    <w:rsid w:val="00117050"/>
    <w:rsid w:val="00134AD8"/>
    <w:rsid w:val="00186B5B"/>
    <w:rsid w:val="001F29F7"/>
    <w:rsid w:val="0020084D"/>
    <w:rsid w:val="00203E65"/>
    <w:rsid w:val="002235AD"/>
    <w:rsid w:val="00257771"/>
    <w:rsid w:val="00260020"/>
    <w:rsid w:val="00282594"/>
    <w:rsid w:val="00312F25"/>
    <w:rsid w:val="0031308F"/>
    <w:rsid w:val="003836A4"/>
    <w:rsid w:val="00384D2A"/>
    <w:rsid w:val="0038649A"/>
    <w:rsid w:val="00391D90"/>
    <w:rsid w:val="003A7AFE"/>
    <w:rsid w:val="003E6F6A"/>
    <w:rsid w:val="0043535E"/>
    <w:rsid w:val="00456FBD"/>
    <w:rsid w:val="00464B99"/>
    <w:rsid w:val="004A05A8"/>
    <w:rsid w:val="005229BD"/>
    <w:rsid w:val="00536CC3"/>
    <w:rsid w:val="00547B28"/>
    <w:rsid w:val="00564CF0"/>
    <w:rsid w:val="00567BC8"/>
    <w:rsid w:val="005750A5"/>
    <w:rsid w:val="00583AAA"/>
    <w:rsid w:val="005A4428"/>
    <w:rsid w:val="005B65D1"/>
    <w:rsid w:val="0060637C"/>
    <w:rsid w:val="00626C5D"/>
    <w:rsid w:val="0064245A"/>
    <w:rsid w:val="006B03DA"/>
    <w:rsid w:val="006B7160"/>
    <w:rsid w:val="006F6981"/>
    <w:rsid w:val="00710BE8"/>
    <w:rsid w:val="00721958"/>
    <w:rsid w:val="0073072F"/>
    <w:rsid w:val="00757B2F"/>
    <w:rsid w:val="00770482"/>
    <w:rsid w:val="00782633"/>
    <w:rsid w:val="007A7DB7"/>
    <w:rsid w:val="007C69E5"/>
    <w:rsid w:val="00822190"/>
    <w:rsid w:val="00822F12"/>
    <w:rsid w:val="00823122"/>
    <w:rsid w:val="00843FAA"/>
    <w:rsid w:val="00856649"/>
    <w:rsid w:val="0088734D"/>
    <w:rsid w:val="008C2E0E"/>
    <w:rsid w:val="008C3208"/>
    <w:rsid w:val="008D42E7"/>
    <w:rsid w:val="008E781A"/>
    <w:rsid w:val="008F2BEF"/>
    <w:rsid w:val="008F4C66"/>
    <w:rsid w:val="00936642"/>
    <w:rsid w:val="00946620"/>
    <w:rsid w:val="00954036"/>
    <w:rsid w:val="00A019B6"/>
    <w:rsid w:val="00A0425E"/>
    <w:rsid w:val="00A07AA4"/>
    <w:rsid w:val="00A14AFE"/>
    <w:rsid w:val="00A63BE6"/>
    <w:rsid w:val="00A87CDF"/>
    <w:rsid w:val="00AB2670"/>
    <w:rsid w:val="00AE237E"/>
    <w:rsid w:val="00AE69BA"/>
    <w:rsid w:val="00B16D77"/>
    <w:rsid w:val="00B53DB3"/>
    <w:rsid w:val="00B611F8"/>
    <w:rsid w:val="00BE37D0"/>
    <w:rsid w:val="00C037EC"/>
    <w:rsid w:val="00C736A7"/>
    <w:rsid w:val="00C97C85"/>
    <w:rsid w:val="00CA2F40"/>
    <w:rsid w:val="00CA327F"/>
    <w:rsid w:val="00CC5E0A"/>
    <w:rsid w:val="00CC661A"/>
    <w:rsid w:val="00CD5477"/>
    <w:rsid w:val="00CF54EB"/>
    <w:rsid w:val="00D03506"/>
    <w:rsid w:val="00D22CD5"/>
    <w:rsid w:val="00D46F68"/>
    <w:rsid w:val="00D9634D"/>
    <w:rsid w:val="00D970E2"/>
    <w:rsid w:val="00DA77F6"/>
    <w:rsid w:val="00DC2CD7"/>
    <w:rsid w:val="00DC6CE9"/>
    <w:rsid w:val="00DD07DE"/>
    <w:rsid w:val="00DD6547"/>
    <w:rsid w:val="00E1506D"/>
    <w:rsid w:val="00E62FAF"/>
    <w:rsid w:val="00E8243A"/>
    <w:rsid w:val="00E9484E"/>
    <w:rsid w:val="00E97227"/>
    <w:rsid w:val="00ED158D"/>
    <w:rsid w:val="00F05EB3"/>
    <w:rsid w:val="00F1041D"/>
    <w:rsid w:val="00F12E57"/>
    <w:rsid w:val="00FA1F0C"/>
    <w:rsid w:val="00FB5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86DC46D-869D-4C13-BA9F-28CF43FA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25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A0425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425E"/>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A0425E"/>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25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A0425E"/>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0425E"/>
    <w:rPr>
      <w:rFonts w:ascii="Arial" w:eastAsia="Times New Roman" w:hAnsi="Arial" w:cs="Arial"/>
      <w:b/>
      <w:bCs/>
      <w:sz w:val="24"/>
      <w:szCs w:val="24"/>
      <w:lang w:eastAsia="es-ES"/>
    </w:rPr>
  </w:style>
  <w:style w:type="paragraph" w:styleId="Puesto">
    <w:name w:val="Title"/>
    <w:basedOn w:val="Normal"/>
    <w:link w:val="PuestoCar"/>
    <w:qFormat/>
    <w:rsid w:val="00A0425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A0425E"/>
    <w:rPr>
      <w:rFonts w:ascii="Arial" w:eastAsia="Times New Roman" w:hAnsi="Arial" w:cs="Arial"/>
      <w:b/>
      <w:sz w:val="24"/>
      <w:szCs w:val="24"/>
      <w:lang w:eastAsia="es-ES"/>
    </w:rPr>
  </w:style>
  <w:style w:type="character" w:styleId="Nmerodepgina">
    <w:name w:val="page number"/>
    <w:basedOn w:val="Fuentedeprrafopredeter"/>
    <w:rsid w:val="00A0425E"/>
  </w:style>
  <w:style w:type="paragraph" w:styleId="Encabezado">
    <w:name w:val="header"/>
    <w:basedOn w:val="Normal"/>
    <w:link w:val="EncabezadoCar"/>
    <w:rsid w:val="00A0425E"/>
    <w:pPr>
      <w:tabs>
        <w:tab w:val="center" w:pos="4419"/>
        <w:tab w:val="right" w:pos="8838"/>
      </w:tabs>
    </w:pPr>
  </w:style>
  <w:style w:type="character" w:customStyle="1" w:styleId="EncabezadoCar">
    <w:name w:val="Encabezado Car"/>
    <w:basedOn w:val="Fuentedeprrafopredeter"/>
    <w:link w:val="Encabezado"/>
    <w:rsid w:val="00A0425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A0425E"/>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A0425E"/>
    <w:rPr>
      <w:rFonts w:ascii="Tahoma" w:eastAsia="Times New Roman" w:hAnsi="Tahoma" w:cs="Tahoma"/>
      <w:sz w:val="24"/>
      <w:szCs w:val="24"/>
      <w:lang w:eastAsia="es-ES"/>
    </w:rPr>
  </w:style>
  <w:style w:type="paragraph" w:styleId="Textoindependiente">
    <w:name w:val="Body Text"/>
    <w:basedOn w:val="Normal"/>
    <w:link w:val="TextoindependienteCar"/>
    <w:rsid w:val="00A0425E"/>
    <w:pPr>
      <w:spacing w:after="120"/>
    </w:pPr>
  </w:style>
  <w:style w:type="character" w:customStyle="1" w:styleId="TextoindependienteCar">
    <w:name w:val="Texto independiente Car"/>
    <w:basedOn w:val="Fuentedeprrafopredeter"/>
    <w:link w:val="Textoindependiente"/>
    <w:rsid w:val="00A042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25E"/>
    <w:pPr>
      <w:tabs>
        <w:tab w:val="center" w:pos="4252"/>
        <w:tab w:val="right" w:pos="8504"/>
      </w:tabs>
    </w:pPr>
  </w:style>
  <w:style w:type="character" w:customStyle="1" w:styleId="PiedepginaCar">
    <w:name w:val="Pie de página Car"/>
    <w:basedOn w:val="Fuentedeprrafopredeter"/>
    <w:link w:val="Piedepgina"/>
    <w:uiPriority w:val="99"/>
    <w:rsid w:val="00A0425E"/>
    <w:rPr>
      <w:rFonts w:ascii="Times New Roman" w:eastAsia="Times New Roman" w:hAnsi="Times New Roman" w:cs="Times New Roman"/>
      <w:sz w:val="24"/>
      <w:szCs w:val="24"/>
      <w:lang w:eastAsia="es-ES"/>
    </w:rPr>
  </w:style>
  <w:style w:type="paragraph" w:customStyle="1" w:styleId="xl78">
    <w:name w:val="xl78"/>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9">
    <w:name w:val="xl79"/>
    <w:basedOn w:val="Normal"/>
    <w:rsid w:val="00A0425E"/>
    <w:pPr>
      <w:pBdr>
        <w:top w:val="single" w:sz="4" w:space="0" w:color="808000"/>
        <w:left w:val="single" w:sz="4" w:space="0" w:color="808000"/>
        <w:bottom w:val="single" w:sz="4" w:space="0" w:color="808000"/>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80">
    <w:name w:val="xl80"/>
    <w:basedOn w:val="Normal"/>
    <w:rsid w:val="00A0425E"/>
    <w:pPr>
      <w:pBdr>
        <w:top w:val="single" w:sz="4" w:space="0" w:color="auto"/>
        <w:bottom w:val="single" w:sz="4"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1">
    <w:name w:val="xl81"/>
    <w:basedOn w:val="Normal"/>
    <w:rsid w:val="00A0425E"/>
    <w:pPr>
      <w:pBdr>
        <w:top w:val="single" w:sz="4" w:space="0" w:color="auto"/>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2">
    <w:name w:val="xl82"/>
    <w:basedOn w:val="Normal"/>
    <w:rsid w:val="00A0425E"/>
    <w:pPr>
      <w:spacing w:before="100" w:beforeAutospacing="1" w:after="100" w:afterAutospacing="1"/>
    </w:pPr>
    <w:rPr>
      <w:i/>
      <w:iCs/>
      <w:color w:val="000000"/>
    </w:rPr>
  </w:style>
  <w:style w:type="paragraph" w:customStyle="1" w:styleId="xl83">
    <w:name w:val="xl83"/>
    <w:basedOn w:val="Normal"/>
    <w:rsid w:val="00A0425E"/>
    <w:pPr>
      <w:spacing w:before="100" w:beforeAutospacing="1" w:after="100" w:afterAutospacing="1"/>
      <w:jc w:val="center"/>
    </w:pPr>
    <w:rPr>
      <w:i/>
      <w:iCs/>
      <w:color w:val="000000"/>
    </w:rPr>
  </w:style>
  <w:style w:type="paragraph" w:customStyle="1" w:styleId="xl84">
    <w:name w:val="xl84"/>
    <w:basedOn w:val="Normal"/>
    <w:rsid w:val="00A0425E"/>
    <w:pPr>
      <w:pBdr>
        <w:top w:val="single" w:sz="4" w:space="0" w:color="808000"/>
        <w:bottom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A0425E"/>
    <w:pPr>
      <w:spacing w:before="100" w:beforeAutospacing="1" w:after="100" w:afterAutospacing="1"/>
    </w:pPr>
    <w:rPr>
      <w:i/>
      <w:iCs/>
      <w:color w:val="000000"/>
      <w:sz w:val="16"/>
      <w:szCs w:val="16"/>
    </w:rPr>
  </w:style>
  <w:style w:type="paragraph" w:customStyle="1" w:styleId="xl86">
    <w:name w:val="xl86"/>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87">
    <w:name w:val="xl87"/>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8">
    <w:name w:val="xl88"/>
    <w:basedOn w:val="Normal"/>
    <w:rsid w:val="00A0425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9">
    <w:name w:val="xl89"/>
    <w:basedOn w:val="Normal"/>
    <w:rsid w:val="00A0425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90">
    <w:name w:val="xl90"/>
    <w:basedOn w:val="Normal"/>
    <w:rsid w:val="00A0425E"/>
    <w:pPr>
      <w:pBdr>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91">
    <w:name w:val="xl91"/>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2">
    <w:name w:val="xl92"/>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93">
    <w:name w:val="xl93"/>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4">
    <w:name w:val="xl94"/>
    <w:basedOn w:val="Normal"/>
    <w:rsid w:val="00A0425E"/>
    <w:pPr>
      <w:pBdr>
        <w:top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5">
    <w:name w:val="xl95"/>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96">
    <w:name w:val="xl96"/>
    <w:basedOn w:val="Normal"/>
    <w:rsid w:val="00A0425E"/>
    <w:pPr>
      <w:pBdr>
        <w:top w:val="single" w:sz="4" w:space="0" w:color="808000"/>
        <w:left w:val="single" w:sz="4" w:space="0" w:color="808000"/>
        <w:bottom w:val="single" w:sz="4" w:space="0" w:color="808000"/>
      </w:pBdr>
      <w:spacing w:before="100" w:beforeAutospacing="1" w:after="100" w:afterAutospacing="1"/>
      <w:textAlignment w:val="center"/>
    </w:pPr>
    <w:rPr>
      <w:i/>
      <w:iCs/>
      <w:color w:val="000000"/>
      <w:sz w:val="16"/>
      <w:szCs w:val="16"/>
    </w:rPr>
  </w:style>
  <w:style w:type="paragraph" w:customStyle="1" w:styleId="xl97">
    <w:name w:val="xl97"/>
    <w:basedOn w:val="Normal"/>
    <w:rsid w:val="00A0425E"/>
    <w:pPr>
      <w:pBdr>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99">
    <w:name w:val="xl99"/>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0">
    <w:name w:val="xl100"/>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1">
    <w:name w:val="xl101"/>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2">
    <w:name w:val="xl102"/>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3">
    <w:name w:val="xl103"/>
    <w:basedOn w:val="Normal"/>
    <w:rsid w:val="00A0425E"/>
    <w:pPr>
      <w:pBdr>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04">
    <w:name w:val="xl104"/>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5">
    <w:name w:val="xl105"/>
    <w:basedOn w:val="Normal"/>
    <w:rsid w:val="00A0425E"/>
    <w:pPr>
      <w:pBdr>
        <w:left w:val="single" w:sz="4" w:space="0" w:color="808000"/>
        <w:bottom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6">
    <w:name w:val="xl106"/>
    <w:basedOn w:val="Normal"/>
    <w:rsid w:val="00A0425E"/>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07">
    <w:name w:val="xl107"/>
    <w:basedOn w:val="Normal"/>
    <w:rsid w:val="00A0425E"/>
    <w:pPr>
      <w:pBdr>
        <w:top w:val="single" w:sz="4" w:space="0" w:color="808000"/>
        <w:left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A0425E"/>
    <w:pPr>
      <w:pBdr>
        <w:top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9">
    <w:name w:val="xl109"/>
    <w:basedOn w:val="Normal"/>
    <w:rsid w:val="00A0425E"/>
    <w:pPr>
      <w:pBdr>
        <w:top w:val="single" w:sz="4" w:space="0" w:color="auto"/>
        <w:left w:val="single" w:sz="4" w:space="0" w:color="808000"/>
        <w:bottom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A0425E"/>
    <w:pPr>
      <w:pBdr>
        <w:top w:val="single" w:sz="4" w:space="0" w:color="auto"/>
        <w:bottom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11">
    <w:name w:val="xl111"/>
    <w:basedOn w:val="Normal"/>
    <w:rsid w:val="00A0425E"/>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2">
    <w:name w:val="xl112"/>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A0425E"/>
    <w:pPr>
      <w:pBdr>
        <w:top w:val="single" w:sz="4" w:space="0" w:color="808000"/>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4">
    <w:name w:val="xl114"/>
    <w:basedOn w:val="Normal"/>
    <w:rsid w:val="00A0425E"/>
    <w:pPr>
      <w:pBdr>
        <w:top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5">
    <w:name w:val="xl115"/>
    <w:basedOn w:val="Normal"/>
    <w:rsid w:val="00A0425E"/>
    <w:pPr>
      <w:pBdr>
        <w:top w:val="single" w:sz="4" w:space="0" w:color="808000"/>
        <w:bottom w:val="single" w:sz="4" w:space="0" w:color="808000"/>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6">
    <w:name w:val="xl116"/>
    <w:basedOn w:val="Normal"/>
    <w:rsid w:val="00A0425E"/>
    <w:pPr>
      <w:pBdr>
        <w:top w:val="single" w:sz="4" w:space="0" w:color="auto"/>
        <w:left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7">
    <w:name w:val="xl117"/>
    <w:basedOn w:val="Normal"/>
    <w:rsid w:val="00A0425E"/>
    <w:pPr>
      <w:pBdr>
        <w:top w:val="single" w:sz="4"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8">
    <w:name w:val="xl118"/>
    <w:basedOn w:val="Normal"/>
    <w:rsid w:val="00A0425E"/>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19">
    <w:name w:val="xl119"/>
    <w:basedOn w:val="Normal"/>
    <w:rsid w:val="00A0425E"/>
    <w:pPr>
      <w:pBdr>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20">
    <w:name w:val="xl120"/>
    <w:basedOn w:val="Normal"/>
    <w:rsid w:val="00A0425E"/>
    <w:pPr>
      <w:pBdr>
        <w:left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21">
    <w:name w:val="xl121"/>
    <w:basedOn w:val="Normal"/>
    <w:rsid w:val="00A0425E"/>
    <w:pPr>
      <w:pBdr>
        <w:left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2">
    <w:name w:val="xl122"/>
    <w:basedOn w:val="Normal"/>
    <w:rsid w:val="00A0425E"/>
    <w:pPr>
      <w:pBdr>
        <w:top w:val="single" w:sz="4" w:space="0" w:color="808000"/>
        <w:left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3">
    <w:name w:val="xl123"/>
    <w:basedOn w:val="Normal"/>
    <w:rsid w:val="00A0425E"/>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4">
    <w:name w:val="xl124"/>
    <w:basedOn w:val="Normal"/>
    <w:rsid w:val="00A0425E"/>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5">
    <w:name w:val="xl125"/>
    <w:basedOn w:val="Normal"/>
    <w:rsid w:val="00A0425E"/>
    <w:pPr>
      <w:pBdr>
        <w:top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26">
    <w:name w:val="xl126"/>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27">
    <w:name w:val="xl127"/>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28">
    <w:name w:val="xl128"/>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29">
    <w:name w:val="xl129"/>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30">
    <w:name w:val="xl130"/>
    <w:basedOn w:val="Normal"/>
    <w:rsid w:val="00A0425E"/>
    <w:pPr>
      <w:spacing w:before="100" w:beforeAutospacing="1" w:after="100" w:afterAutospacing="1"/>
    </w:pPr>
    <w:rPr>
      <w:rFonts w:ascii="Calibri" w:hAnsi="Calibri"/>
      <w:i/>
      <w:iCs/>
      <w:color w:val="000000"/>
    </w:rPr>
  </w:style>
  <w:style w:type="paragraph" w:customStyle="1" w:styleId="xl131">
    <w:name w:val="xl131"/>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rFonts w:ascii="Calibri" w:hAnsi="Calibri"/>
      <w:b/>
      <w:bCs/>
      <w:i/>
      <w:iCs/>
      <w:color w:val="000000"/>
      <w:sz w:val="16"/>
      <w:szCs w:val="16"/>
    </w:rPr>
  </w:style>
  <w:style w:type="paragraph" w:customStyle="1" w:styleId="xl132">
    <w:name w:val="xl132"/>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33">
    <w:name w:val="xl133"/>
    <w:basedOn w:val="Normal"/>
    <w:rsid w:val="00A0425E"/>
    <w:pPr>
      <w:pBdr>
        <w:top w:val="single" w:sz="4" w:space="0" w:color="808000"/>
        <w:left w:val="single" w:sz="4" w:space="0" w:color="808000"/>
        <w:bottom w:val="single" w:sz="4" w:space="0" w:color="808000"/>
      </w:pBdr>
      <w:spacing w:before="100" w:beforeAutospacing="1" w:after="100" w:afterAutospacing="1"/>
      <w:textAlignment w:val="center"/>
    </w:pPr>
    <w:rPr>
      <w:rFonts w:ascii="Calibri" w:hAnsi="Calibri"/>
      <w:i/>
      <w:iCs/>
      <w:color w:val="000000"/>
      <w:sz w:val="16"/>
      <w:szCs w:val="16"/>
    </w:rPr>
  </w:style>
  <w:style w:type="paragraph" w:styleId="Textodeglobo">
    <w:name w:val="Balloon Text"/>
    <w:basedOn w:val="Normal"/>
    <w:link w:val="TextodegloboCar"/>
    <w:uiPriority w:val="99"/>
    <w:semiHidden/>
    <w:unhideWhenUsed/>
    <w:rsid w:val="008F4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C66"/>
    <w:rPr>
      <w:rFonts w:ascii="Segoe UI" w:eastAsia="Times New Roman" w:hAnsi="Segoe UI" w:cs="Segoe UI"/>
      <w:sz w:val="18"/>
      <w:szCs w:val="18"/>
      <w:lang w:eastAsia="es-ES"/>
    </w:rPr>
  </w:style>
  <w:style w:type="paragraph" w:styleId="Sinespaciado">
    <w:name w:val="No Spacing"/>
    <w:uiPriority w:val="1"/>
    <w:qFormat/>
    <w:rsid w:val="005A4428"/>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Mariela López de Meneses</cp:lastModifiedBy>
  <cp:revision>31</cp:revision>
  <cp:lastPrinted>2016-02-18T14:30:00Z</cp:lastPrinted>
  <dcterms:created xsi:type="dcterms:W3CDTF">2016-02-15T14:05:00Z</dcterms:created>
  <dcterms:modified xsi:type="dcterms:W3CDTF">2016-05-31T15:01:00Z</dcterms:modified>
</cp:coreProperties>
</file>