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64007B" w:rsidRDefault="009A4059" w:rsidP="00E9724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64007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64007B" w:rsidRDefault="009A4059" w:rsidP="00E9724F">
      <w:pPr>
        <w:pStyle w:val="Puesto"/>
        <w:spacing w:line="240" w:lineRule="auto"/>
        <w:jc w:val="both"/>
        <w:rPr>
          <w:rFonts w:ascii="Tahoma" w:hAnsi="Tahoma" w:cs="Tahoma"/>
          <w:b w:val="0"/>
          <w:sz w:val="18"/>
          <w:szCs w:val="18"/>
        </w:rPr>
      </w:pPr>
    </w:p>
    <w:p w14:paraId="7E4A2134" w14:textId="39F93202"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Providencia:</w:t>
      </w:r>
      <w:r w:rsidRPr="0064007B">
        <w:rPr>
          <w:rFonts w:ascii="Tahoma" w:hAnsi="Tahoma" w:cs="Tahoma"/>
          <w:b w:val="0"/>
          <w:sz w:val="18"/>
          <w:szCs w:val="18"/>
        </w:rPr>
        <w:t xml:space="preserve"> </w:t>
      </w:r>
      <w:r w:rsidRPr="0064007B">
        <w:rPr>
          <w:rFonts w:ascii="Tahoma" w:hAnsi="Tahoma" w:cs="Tahoma"/>
          <w:b w:val="0"/>
          <w:sz w:val="18"/>
          <w:szCs w:val="18"/>
        </w:rPr>
        <w:tab/>
      </w:r>
      <w:r w:rsidRPr="0064007B">
        <w:rPr>
          <w:rFonts w:ascii="Tahoma" w:hAnsi="Tahoma" w:cs="Tahoma"/>
          <w:b w:val="0"/>
          <w:sz w:val="18"/>
          <w:szCs w:val="18"/>
        </w:rPr>
        <w:tab/>
      </w:r>
      <w:r w:rsidRPr="0064007B">
        <w:rPr>
          <w:rFonts w:ascii="Tahoma" w:hAnsi="Tahoma" w:cs="Tahoma"/>
          <w:b w:val="0"/>
          <w:bCs/>
          <w:sz w:val="18"/>
          <w:szCs w:val="18"/>
        </w:rPr>
        <w:t xml:space="preserve">Sentencia del </w:t>
      </w:r>
      <w:r w:rsidR="00DC4A55">
        <w:rPr>
          <w:rFonts w:ascii="Tahoma" w:hAnsi="Tahoma" w:cs="Tahoma"/>
          <w:b w:val="0"/>
          <w:bCs/>
          <w:sz w:val="18"/>
          <w:szCs w:val="18"/>
        </w:rPr>
        <w:t>8</w:t>
      </w:r>
      <w:r w:rsidR="00BC3710" w:rsidRPr="0064007B">
        <w:rPr>
          <w:rFonts w:ascii="Tahoma" w:hAnsi="Tahoma" w:cs="Tahoma"/>
          <w:b w:val="0"/>
          <w:bCs/>
          <w:sz w:val="18"/>
          <w:szCs w:val="18"/>
        </w:rPr>
        <w:t xml:space="preserve"> de </w:t>
      </w:r>
      <w:r w:rsidR="00DC4A55">
        <w:rPr>
          <w:rFonts w:ascii="Tahoma" w:hAnsi="Tahoma" w:cs="Tahoma"/>
          <w:b w:val="0"/>
          <w:bCs/>
          <w:sz w:val="18"/>
          <w:szCs w:val="18"/>
        </w:rPr>
        <w:t>abril de 2016</w:t>
      </w:r>
      <w:r w:rsidRPr="0064007B">
        <w:rPr>
          <w:rFonts w:ascii="Tahoma" w:hAnsi="Tahoma" w:cs="Tahoma"/>
          <w:b w:val="0"/>
          <w:bCs/>
          <w:sz w:val="18"/>
          <w:szCs w:val="18"/>
        </w:rPr>
        <w:t xml:space="preserve"> </w:t>
      </w:r>
    </w:p>
    <w:p w14:paraId="7CE8CA0A" w14:textId="2E5F0504"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Radicación No.:</w:t>
      </w:r>
      <w:r w:rsidRPr="0064007B">
        <w:rPr>
          <w:rFonts w:ascii="Tahoma" w:hAnsi="Tahoma" w:cs="Tahoma"/>
          <w:b w:val="0"/>
          <w:sz w:val="18"/>
          <w:szCs w:val="18"/>
        </w:rPr>
        <w:tab/>
      </w:r>
      <w:r w:rsidRPr="0064007B">
        <w:rPr>
          <w:rFonts w:ascii="Tahoma" w:hAnsi="Tahoma" w:cs="Tahoma"/>
          <w:b w:val="0"/>
          <w:sz w:val="18"/>
          <w:szCs w:val="18"/>
        </w:rPr>
        <w:tab/>
        <w:t>66001-31-05-00</w:t>
      </w:r>
      <w:r w:rsidR="008F28D8" w:rsidRPr="0064007B">
        <w:rPr>
          <w:rFonts w:ascii="Tahoma" w:hAnsi="Tahoma" w:cs="Tahoma"/>
          <w:b w:val="0"/>
          <w:sz w:val="18"/>
          <w:szCs w:val="18"/>
        </w:rPr>
        <w:t>4</w:t>
      </w:r>
      <w:r w:rsidRPr="0064007B">
        <w:rPr>
          <w:rFonts w:ascii="Tahoma" w:hAnsi="Tahoma" w:cs="Tahoma"/>
          <w:b w:val="0"/>
          <w:sz w:val="18"/>
          <w:szCs w:val="18"/>
        </w:rPr>
        <w:t>-201</w:t>
      </w:r>
      <w:r w:rsidR="008F28D8" w:rsidRPr="0064007B">
        <w:rPr>
          <w:rFonts w:ascii="Tahoma" w:hAnsi="Tahoma" w:cs="Tahoma"/>
          <w:b w:val="0"/>
          <w:sz w:val="18"/>
          <w:szCs w:val="18"/>
        </w:rPr>
        <w:t>4</w:t>
      </w:r>
      <w:r w:rsidRPr="0064007B">
        <w:rPr>
          <w:rFonts w:ascii="Tahoma" w:hAnsi="Tahoma" w:cs="Tahoma"/>
          <w:b w:val="0"/>
          <w:sz w:val="18"/>
          <w:szCs w:val="18"/>
        </w:rPr>
        <w:t>-00</w:t>
      </w:r>
      <w:r w:rsidR="00DC4A55">
        <w:rPr>
          <w:rFonts w:ascii="Tahoma" w:hAnsi="Tahoma" w:cs="Tahoma"/>
          <w:b w:val="0"/>
          <w:sz w:val="18"/>
          <w:szCs w:val="18"/>
        </w:rPr>
        <w:t>355</w:t>
      </w:r>
      <w:r w:rsidR="005E147D" w:rsidRPr="0064007B">
        <w:rPr>
          <w:rFonts w:ascii="Tahoma" w:hAnsi="Tahoma" w:cs="Tahoma"/>
          <w:b w:val="0"/>
          <w:sz w:val="18"/>
          <w:szCs w:val="18"/>
        </w:rPr>
        <w:t>-</w:t>
      </w:r>
      <w:r w:rsidRPr="0064007B">
        <w:rPr>
          <w:rFonts w:ascii="Tahoma" w:hAnsi="Tahoma" w:cs="Tahoma"/>
          <w:b w:val="0"/>
          <w:sz w:val="18"/>
          <w:szCs w:val="18"/>
        </w:rPr>
        <w:t>01</w:t>
      </w:r>
    </w:p>
    <w:p w14:paraId="099BCF1B" w14:textId="77777777"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Proceso:</w:t>
      </w:r>
      <w:r w:rsidRPr="0064007B">
        <w:rPr>
          <w:rFonts w:ascii="Tahoma" w:hAnsi="Tahoma" w:cs="Tahoma"/>
          <w:b w:val="0"/>
          <w:sz w:val="18"/>
          <w:szCs w:val="18"/>
        </w:rPr>
        <w:tab/>
      </w:r>
      <w:r w:rsidRPr="0064007B">
        <w:rPr>
          <w:rFonts w:ascii="Tahoma" w:hAnsi="Tahoma" w:cs="Tahoma"/>
          <w:b w:val="0"/>
          <w:sz w:val="18"/>
          <w:szCs w:val="18"/>
        </w:rPr>
        <w:tab/>
        <w:t xml:space="preserve">Ordinario laboral </w:t>
      </w:r>
    </w:p>
    <w:p w14:paraId="396500D2" w14:textId="1F880E5B"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Demandante</w:t>
      </w:r>
      <w:r w:rsidR="00346A42" w:rsidRPr="0064007B">
        <w:rPr>
          <w:rFonts w:ascii="Tahoma" w:hAnsi="Tahoma" w:cs="Tahoma"/>
          <w:sz w:val="18"/>
          <w:szCs w:val="18"/>
        </w:rPr>
        <w:t>s</w:t>
      </w:r>
      <w:r w:rsidRPr="0064007B">
        <w:rPr>
          <w:rFonts w:ascii="Tahoma" w:hAnsi="Tahoma" w:cs="Tahoma"/>
          <w:sz w:val="18"/>
          <w:szCs w:val="18"/>
        </w:rPr>
        <w:t>:</w:t>
      </w:r>
      <w:r w:rsidRPr="0064007B">
        <w:rPr>
          <w:rFonts w:ascii="Tahoma" w:hAnsi="Tahoma" w:cs="Tahoma"/>
          <w:b w:val="0"/>
          <w:sz w:val="18"/>
          <w:szCs w:val="18"/>
        </w:rPr>
        <w:tab/>
      </w:r>
      <w:r w:rsidRPr="0064007B">
        <w:rPr>
          <w:rFonts w:ascii="Tahoma" w:hAnsi="Tahoma" w:cs="Tahoma"/>
          <w:b w:val="0"/>
          <w:sz w:val="18"/>
          <w:szCs w:val="18"/>
        </w:rPr>
        <w:tab/>
      </w:r>
      <w:r w:rsidR="00DC4A55">
        <w:rPr>
          <w:rFonts w:ascii="Tahoma" w:hAnsi="Tahoma" w:cs="Tahoma"/>
          <w:b w:val="0"/>
          <w:sz w:val="18"/>
          <w:szCs w:val="18"/>
        </w:rPr>
        <w:t>Martha Cecilia Sierra de Villa</w:t>
      </w:r>
      <w:r w:rsidR="00F62B16" w:rsidRPr="0064007B">
        <w:rPr>
          <w:rFonts w:ascii="Tahoma" w:hAnsi="Tahoma" w:cs="Tahoma"/>
          <w:b w:val="0"/>
          <w:sz w:val="18"/>
          <w:szCs w:val="18"/>
        </w:rPr>
        <w:t xml:space="preserve"> </w:t>
      </w:r>
    </w:p>
    <w:p w14:paraId="72DD5319" w14:textId="0357974F" w:rsidR="009A4059" w:rsidRPr="0064007B" w:rsidRDefault="009A4059" w:rsidP="00E9724F">
      <w:pPr>
        <w:pStyle w:val="Puesto"/>
        <w:spacing w:line="240" w:lineRule="auto"/>
        <w:ind w:left="708" w:hanging="708"/>
        <w:jc w:val="both"/>
        <w:rPr>
          <w:rFonts w:ascii="Tahoma" w:hAnsi="Tahoma" w:cs="Tahoma"/>
          <w:b w:val="0"/>
          <w:sz w:val="18"/>
          <w:szCs w:val="18"/>
        </w:rPr>
      </w:pPr>
      <w:r w:rsidRPr="0064007B">
        <w:rPr>
          <w:rFonts w:ascii="Tahoma" w:hAnsi="Tahoma" w:cs="Tahoma"/>
          <w:sz w:val="18"/>
          <w:szCs w:val="18"/>
        </w:rPr>
        <w:t>Demandado:</w:t>
      </w:r>
      <w:r w:rsidRPr="0064007B">
        <w:rPr>
          <w:rFonts w:ascii="Tahoma" w:hAnsi="Tahoma" w:cs="Tahoma"/>
          <w:b w:val="0"/>
          <w:sz w:val="18"/>
          <w:szCs w:val="18"/>
        </w:rPr>
        <w:tab/>
      </w:r>
      <w:r w:rsidRPr="0064007B">
        <w:rPr>
          <w:rFonts w:ascii="Tahoma" w:hAnsi="Tahoma" w:cs="Tahoma"/>
          <w:b w:val="0"/>
          <w:sz w:val="18"/>
          <w:szCs w:val="18"/>
        </w:rPr>
        <w:tab/>
        <w:t xml:space="preserve">Colpensiones </w:t>
      </w:r>
    </w:p>
    <w:p w14:paraId="2FC9EBFB" w14:textId="19FAB0E9"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Juzgado de origen:</w:t>
      </w:r>
      <w:r w:rsidRPr="0064007B">
        <w:rPr>
          <w:rFonts w:ascii="Tahoma" w:hAnsi="Tahoma" w:cs="Tahoma"/>
          <w:b w:val="0"/>
          <w:sz w:val="18"/>
          <w:szCs w:val="18"/>
        </w:rPr>
        <w:t xml:space="preserve"> </w:t>
      </w:r>
      <w:r w:rsidRPr="0064007B">
        <w:rPr>
          <w:rFonts w:ascii="Tahoma" w:hAnsi="Tahoma" w:cs="Tahoma"/>
          <w:b w:val="0"/>
          <w:sz w:val="18"/>
          <w:szCs w:val="18"/>
        </w:rPr>
        <w:tab/>
      </w:r>
      <w:r w:rsidR="008F28D8" w:rsidRPr="0064007B">
        <w:rPr>
          <w:rFonts w:ascii="Tahoma" w:hAnsi="Tahoma" w:cs="Tahoma"/>
          <w:b w:val="0"/>
          <w:sz w:val="18"/>
          <w:szCs w:val="18"/>
        </w:rPr>
        <w:t>Cuarto</w:t>
      </w:r>
      <w:r w:rsidR="005F7E61" w:rsidRPr="0064007B">
        <w:rPr>
          <w:rFonts w:ascii="Tahoma" w:hAnsi="Tahoma" w:cs="Tahoma"/>
          <w:b w:val="0"/>
          <w:sz w:val="18"/>
          <w:szCs w:val="18"/>
        </w:rPr>
        <w:t xml:space="preserve"> </w:t>
      </w:r>
      <w:r w:rsidRPr="0064007B">
        <w:rPr>
          <w:rFonts w:ascii="Tahoma" w:hAnsi="Tahoma" w:cs="Tahoma"/>
          <w:b w:val="0"/>
          <w:sz w:val="18"/>
          <w:szCs w:val="18"/>
        </w:rPr>
        <w:t>Laboral del Circuito de Pereira</w:t>
      </w:r>
    </w:p>
    <w:p w14:paraId="706EC66F" w14:textId="77777777" w:rsidR="009A4059" w:rsidRPr="0064007B" w:rsidRDefault="009A4059" w:rsidP="00E9724F">
      <w:pPr>
        <w:pStyle w:val="Puesto"/>
        <w:spacing w:line="240" w:lineRule="auto"/>
        <w:jc w:val="both"/>
        <w:rPr>
          <w:rFonts w:ascii="Tahoma" w:hAnsi="Tahoma" w:cs="Tahoma"/>
          <w:b w:val="0"/>
          <w:sz w:val="18"/>
          <w:szCs w:val="18"/>
        </w:rPr>
      </w:pPr>
      <w:r w:rsidRPr="0064007B">
        <w:rPr>
          <w:rFonts w:ascii="Tahoma" w:hAnsi="Tahoma" w:cs="Tahoma"/>
          <w:sz w:val="18"/>
          <w:szCs w:val="18"/>
        </w:rPr>
        <w:t>Magistrada ponente:</w:t>
      </w:r>
      <w:r w:rsidRPr="0064007B">
        <w:rPr>
          <w:rFonts w:ascii="Tahoma" w:hAnsi="Tahoma" w:cs="Tahoma"/>
          <w:b w:val="0"/>
          <w:sz w:val="18"/>
          <w:szCs w:val="18"/>
        </w:rPr>
        <w:tab/>
        <w:t>Dra. Ana Lucía Caicedo Calderón</w:t>
      </w:r>
    </w:p>
    <w:p w14:paraId="35205A41" w14:textId="27E11531" w:rsidR="00992A1D" w:rsidRPr="00426A27" w:rsidRDefault="009A4059" w:rsidP="00426A27">
      <w:pPr>
        <w:pStyle w:val="Puesto"/>
        <w:spacing w:line="240" w:lineRule="auto"/>
        <w:ind w:left="2805" w:hanging="2805"/>
        <w:jc w:val="both"/>
        <w:rPr>
          <w:rFonts w:ascii="Tahoma" w:hAnsi="Tahoma" w:cs="Tahoma"/>
          <w:sz w:val="18"/>
          <w:szCs w:val="18"/>
        </w:rPr>
      </w:pPr>
      <w:r w:rsidRPr="0064007B">
        <w:rPr>
          <w:rFonts w:ascii="Tahoma" w:hAnsi="Tahoma" w:cs="Tahoma"/>
          <w:sz w:val="18"/>
          <w:szCs w:val="18"/>
        </w:rPr>
        <w:t>Tema:</w:t>
      </w:r>
      <w:r w:rsidRPr="0064007B">
        <w:rPr>
          <w:rFonts w:ascii="Tahoma" w:hAnsi="Tahoma" w:cs="Tahoma"/>
          <w:sz w:val="18"/>
          <w:szCs w:val="18"/>
        </w:rPr>
        <w:tab/>
      </w:r>
    </w:p>
    <w:p w14:paraId="35335105" w14:textId="77777777" w:rsidR="00992A1D" w:rsidRDefault="00992A1D" w:rsidP="00E9724F">
      <w:pPr>
        <w:pStyle w:val="Puesto"/>
        <w:spacing w:line="240" w:lineRule="auto"/>
        <w:ind w:left="2127"/>
        <w:jc w:val="both"/>
        <w:rPr>
          <w:rFonts w:ascii="Tahoma" w:hAnsi="Tahoma" w:cs="Tahoma"/>
          <w:b w:val="0"/>
          <w:sz w:val="18"/>
          <w:szCs w:val="18"/>
        </w:rPr>
      </w:pPr>
    </w:p>
    <w:p w14:paraId="5D3438A6" w14:textId="6BAAB822" w:rsidR="00577DD0" w:rsidRPr="00426A27" w:rsidRDefault="00740D65" w:rsidP="00F24225">
      <w:pPr>
        <w:pStyle w:val="Puesto"/>
        <w:spacing w:line="240" w:lineRule="auto"/>
        <w:jc w:val="both"/>
        <w:rPr>
          <w:b w:val="0"/>
          <w:spacing w:val="-6"/>
          <w:sz w:val="18"/>
          <w:szCs w:val="18"/>
        </w:rPr>
      </w:pPr>
      <w:r w:rsidRPr="00426A27">
        <w:rPr>
          <w:b w:val="0"/>
          <w:spacing w:val="-6"/>
          <w:sz w:val="18"/>
          <w:szCs w:val="18"/>
        </w:rPr>
        <w:t>CONDICIÓN M</w:t>
      </w:r>
      <w:r w:rsidR="00EE5F1E" w:rsidRPr="00426A27">
        <w:rPr>
          <w:b w:val="0"/>
          <w:spacing w:val="-6"/>
          <w:sz w:val="18"/>
          <w:szCs w:val="18"/>
        </w:rPr>
        <w:t>ÁS BENEFICIOSA EN</w:t>
      </w:r>
      <w:r w:rsidRPr="00426A27">
        <w:rPr>
          <w:b w:val="0"/>
          <w:spacing w:val="-6"/>
          <w:sz w:val="18"/>
          <w:szCs w:val="18"/>
        </w:rPr>
        <w:t xml:space="preserve"> </w:t>
      </w:r>
      <w:r w:rsidR="00577DD0" w:rsidRPr="00426A27">
        <w:rPr>
          <w:b w:val="0"/>
          <w:spacing w:val="-6"/>
          <w:sz w:val="18"/>
          <w:szCs w:val="18"/>
        </w:rPr>
        <w:t>PENSIÓN DE SOBREVIVIENTE</w:t>
      </w:r>
      <w:r w:rsidR="00EE5F1E" w:rsidRPr="00426A27">
        <w:rPr>
          <w:b w:val="0"/>
          <w:spacing w:val="-6"/>
          <w:sz w:val="18"/>
          <w:szCs w:val="18"/>
        </w:rPr>
        <w:t>S</w:t>
      </w:r>
      <w:r w:rsidR="00577DD0" w:rsidRPr="00426A27">
        <w:rPr>
          <w:b w:val="0"/>
          <w:spacing w:val="-6"/>
          <w:sz w:val="18"/>
          <w:szCs w:val="18"/>
        </w:rPr>
        <w:t>/</w:t>
      </w:r>
      <w:r w:rsidR="002349B6" w:rsidRPr="00426A27">
        <w:rPr>
          <w:b w:val="0"/>
          <w:spacing w:val="-6"/>
          <w:sz w:val="18"/>
          <w:szCs w:val="18"/>
        </w:rPr>
        <w:t xml:space="preserve"> Causación del derecho en aplicación de </w:t>
      </w:r>
      <w:r w:rsidRPr="00426A27">
        <w:rPr>
          <w:b w:val="0"/>
          <w:spacing w:val="-6"/>
          <w:sz w:val="18"/>
          <w:szCs w:val="18"/>
        </w:rPr>
        <w:t>norma anterior a la vigente a l</w:t>
      </w:r>
      <w:r w:rsidR="000E02D0" w:rsidRPr="00426A27">
        <w:rPr>
          <w:b w:val="0"/>
          <w:spacing w:val="-6"/>
          <w:sz w:val="18"/>
          <w:szCs w:val="18"/>
        </w:rPr>
        <w:t>a fecha del deceso del causante</w:t>
      </w:r>
      <w:r w:rsidR="005D0DC7" w:rsidRPr="00426A27">
        <w:rPr>
          <w:b w:val="0"/>
          <w:spacing w:val="-6"/>
          <w:sz w:val="18"/>
          <w:szCs w:val="18"/>
        </w:rPr>
        <w:t>/ C</w:t>
      </w:r>
      <w:r w:rsidR="002349B6" w:rsidRPr="00426A27">
        <w:rPr>
          <w:b w:val="0"/>
          <w:spacing w:val="-6"/>
          <w:sz w:val="18"/>
          <w:szCs w:val="18"/>
        </w:rPr>
        <w:t xml:space="preserve">umplimiento del </w:t>
      </w:r>
      <w:r w:rsidR="007747AE" w:rsidRPr="00426A27">
        <w:rPr>
          <w:b w:val="0"/>
          <w:spacing w:val="-6"/>
          <w:sz w:val="18"/>
          <w:szCs w:val="18"/>
        </w:rPr>
        <w:t xml:space="preserve">requisito de la convivencia/ </w:t>
      </w:r>
      <w:r w:rsidR="000E02D0" w:rsidRPr="00426A27">
        <w:rPr>
          <w:b w:val="0"/>
          <w:spacing w:val="-6"/>
          <w:sz w:val="18"/>
          <w:szCs w:val="18"/>
        </w:rPr>
        <w:t>Intere</w:t>
      </w:r>
      <w:r w:rsidR="00236F5B">
        <w:rPr>
          <w:b w:val="0"/>
          <w:spacing w:val="-6"/>
          <w:sz w:val="18"/>
          <w:szCs w:val="18"/>
        </w:rPr>
        <w:t>ses moratorios en caso</w:t>
      </w:r>
      <w:r w:rsidR="000E02D0" w:rsidRPr="00426A27">
        <w:rPr>
          <w:b w:val="0"/>
          <w:spacing w:val="-6"/>
          <w:sz w:val="18"/>
          <w:szCs w:val="18"/>
        </w:rPr>
        <w:t xml:space="preserve"> de aplicación de</w:t>
      </w:r>
      <w:r w:rsidR="00236F5B">
        <w:rPr>
          <w:b w:val="0"/>
          <w:spacing w:val="-6"/>
          <w:sz w:val="18"/>
          <w:szCs w:val="18"/>
        </w:rPr>
        <w:t xml:space="preserve"> la</w:t>
      </w:r>
      <w:r w:rsidR="000E02D0" w:rsidRPr="00426A27">
        <w:rPr>
          <w:b w:val="0"/>
          <w:spacing w:val="-6"/>
          <w:sz w:val="18"/>
          <w:szCs w:val="18"/>
        </w:rPr>
        <w:t xml:space="preserve"> condición más beneficiosa</w:t>
      </w:r>
      <w:r w:rsidR="00236F5B">
        <w:rPr>
          <w:b w:val="0"/>
          <w:spacing w:val="-6"/>
          <w:sz w:val="18"/>
          <w:szCs w:val="18"/>
        </w:rPr>
        <w:t>,</w:t>
      </w:r>
      <w:r w:rsidR="000E02D0" w:rsidRPr="00426A27">
        <w:rPr>
          <w:b w:val="0"/>
          <w:spacing w:val="-6"/>
          <w:sz w:val="18"/>
          <w:szCs w:val="18"/>
        </w:rPr>
        <w:t xml:space="preserve"> se generan </w:t>
      </w:r>
      <w:r w:rsidR="00583F83" w:rsidRPr="00426A27">
        <w:rPr>
          <w:b w:val="0"/>
          <w:spacing w:val="-6"/>
          <w:sz w:val="18"/>
          <w:szCs w:val="18"/>
        </w:rPr>
        <w:t>a partir de la ejecutoria de la sentencia</w:t>
      </w:r>
      <w:r w:rsidR="00940DCD">
        <w:rPr>
          <w:b w:val="0"/>
          <w:spacing w:val="-6"/>
          <w:sz w:val="18"/>
          <w:szCs w:val="18"/>
        </w:rPr>
        <w:t>/ No</w:t>
      </w:r>
      <w:r w:rsidR="00940DCD" w:rsidRPr="00940DCD">
        <w:rPr>
          <w:b w:val="0"/>
          <w:spacing w:val="-6"/>
          <w:sz w:val="18"/>
          <w:szCs w:val="18"/>
        </w:rPr>
        <w:t xml:space="preserve"> </w:t>
      </w:r>
      <w:proofErr w:type="spellStart"/>
      <w:r w:rsidR="00940DCD" w:rsidRPr="00940DCD">
        <w:rPr>
          <w:b w:val="0"/>
          <w:spacing w:val="-6"/>
          <w:sz w:val="18"/>
          <w:szCs w:val="18"/>
        </w:rPr>
        <w:t>reformatio</w:t>
      </w:r>
      <w:proofErr w:type="spellEnd"/>
      <w:r w:rsidR="00940DCD" w:rsidRPr="00940DCD">
        <w:rPr>
          <w:b w:val="0"/>
          <w:spacing w:val="-6"/>
          <w:sz w:val="18"/>
          <w:szCs w:val="18"/>
        </w:rPr>
        <w:t xml:space="preserve"> in </w:t>
      </w:r>
      <w:proofErr w:type="spellStart"/>
      <w:r w:rsidR="00940DCD" w:rsidRPr="00940DCD">
        <w:rPr>
          <w:b w:val="0"/>
          <w:spacing w:val="-6"/>
          <w:sz w:val="18"/>
          <w:szCs w:val="18"/>
        </w:rPr>
        <w:t>pejus</w:t>
      </w:r>
      <w:proofErr w:type="spellEnd"/>
    </w:p>
    <w:p w14:paraId="0CB80BC1" w14:textId="77777777" w:rsidR="00992A1D" w:rsidRPr="00426A27" w:rsidRDefault="00992A1D" w:rsidP="00F24225">
      <w:pPr>
        <w:pStyle w:val="Puesto"/>
        <w:spacing w:line="240" w:lineRule="auto"/>
        <w:jc w:val="both"/>
        <w:rPr>
          <w:b w:val="0"/>
          <w:spacing w:val="-6"/>
          <w:sz w:val="18"/>
          <w:szCs w:val="18"/>
        </w:rPr>
      </w:pPr>
    </w:p>
    <w:p w14:paraId="3947EF59" w14:textId="24EA409D" w:rsidR="00992A1D" w:rsidRPr="00426A27" w:rsidRDefault="00F24225" w:rsidP="00F24225">
      <w:pPr>
        <w:tabs>
          <w:tab w:val="left" w:pos="748"/>
        </w:tabs>
        <w:jc w:val="both"/>
        <w:rPr>
          <w:rFonts w:ascii="Arial" w:hAnsi="Arial" w:cs="Arial"/>
          <w:spacing w:val="-6"/>
          <w:sz w:val="18"/>
          <w:szCs w:val="18"/>
        </w:rPr>
      </w:pPr>
      <w:r>
        <w:rPr>
          <w:rFonts w:ascii="Arial" w:hAnsi="Arial" w:cs="Arial"/>
          <w:spacing w:val="-6"/>
          <w:sz w:val="18"/>
          <w:szCs w:val="18"/>
        </w:rPr>
        <w:t>“</w:t>
      </w:r>
      <w:r w:rsidR="00992A1D" w:rsidRPr="00426A27">
        <w:rPr>
          <w:rFonts w:ascii="Arial" w:hAnsi="Arial" w:cs="Arial"/>
          <w:spacing w:val="-6"/>
          <w:sz w:val="18"/>
          <w:szCs w:val="18"/>
        </w:rPr>
        <w:t xml:space="preserve">Esta Colegiatura comparte la conclusión de la Jueza de primer grado respecto de la aplicación de principio de la condición más beneficiosa en el </w:t>
      </w:r>
      <w:r w:rsidR="00992A1D" w:rsidRPr="00426A27">
        <w:rPr>
          <w:rFonts w:ascii="Arial" w:hAnsi="Arial" w:cs="Arial"/>
          <w:i/>
          <w:spacing w:val="-6"/>
          <w:sz w:val="18"/>
          <w:szCs w:val="18"/>
        </w:rPr>
        <w:t>sub lite</w:t>
      </w:r>
      <w:r w:rsidR="00992A1D" w:rsidRPr="00426A27">
        <w:rPr>
          <w:rFonts w:ascii="Arial" w:hAnsi="Arial" w:cs="Arial"/>
          <w:spacing w:val="-6"/>
          <w:sz w:val="18"/>
          <w:szCs w:val="18"/>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17B5EAAC" w14:textId="77777777" w:rsidR="00992A1D" w:rsidRPr="00426A27" w:rsidRDefault="00992A1D" w:rsidP="00F24225">
      <w:pPr>
        <w:tabs>
          <w:tab w:val="left" w:pos="748"/>
        </w:tabs>
        <w:jc w:val="both"/>
        <w:rPr>
          <w:rFonts w:ascii="Arial" w:hAnsi="Arial" w:cs="Arial"/>
          <w:spacing w:val="-6"/>
          <w:sz w:val="18"/>
          <w:szCs w:val="18"/>
        </w:rPr>
      </w:pPr>
    </w:p>
    <w:p w14:paraId="38F88AF2" w14:textId="543A7129" w:rsidR="00992A1D" w:rsidRPr="00426A27" w:rsidRDefault="00992A1D" w:rsidP="00F24225">
      <w:pPr>
        <w:widowControl w:val="0"/>
        <w:autoSpaceDE w:val="0"/>
        <w:autoSpaceDN w:val="0"/>
        <w:adjustRightInd w:val="0"/>
        <w:jc w:val="both"/>
        <w:rPr>
          <w:rFonts w:ascii="Arial" w:hAnsi="Arial" w:cs="Arial"/>
          <w:spacing w:val="-6"/>
          <w:sz w:val="18"/>
          <w:szCs w:val="18"/>
        </w:rPr>
      </w:pPr>
      <w:r w:rsidRPr="00426A27">
        <w:rPr>
          <w:rFonts w:ascii="Arial" w:hAnsi="Arial" w:cs="Arial"/>
          <w:spacing w:val="-6"/>
          <w:sz w:val="18"/>
          <w:szCs w:val="18"/>
        </w:rPr>
        <w:t xml:space="preserve">Tal como lo advirtió la A-quo, la calidad de beneficiaria de la demandante fue demostrada por la promotora del litigio, tanto con la declaración de las testigos María Amparo </w:t>
      </w:r>
      <w:proofErr w:type="spellStart"/>
      <w:r w:rsidRPr="00426A27">
        <w:rPr>
          <w:rFonts w:ascii="Arial" w:hAnsi="Arial" w:cs="Arial"/>
          <w:spacing w:val="-6"/>
          <w:sz w:val="18"/>
          <w:szCs w:val="18"/>
        </w:rPr>
        <w:t>Quiceno</w:t>
      </w:r>
      <w:proofErr w:type="spellEnd"/>
      <w:r w:rsidRPr="00426A27">
        <w:rPr>
          <w:rFonts w:ascii="Arial" w:hAnsi="Arial" w:cs="Arial"/>
          <w:spacing w:val="-6"/>
          <w:sz w:val="18"/>
          <w:szCs w:val="18"/>
        </w:rPr>
        <w:t xml:space="preserve"> y María Gilma Gómez de Aguirre, quienes como amigas y vecinas de la pareja dieron fe de su convivencia desde que los conocieron, 12 y 18 años antes a la muerte del afiliado respectivamente</w:t>
      </w:r>
      <w:r w:rsidR="00564C48" w:rsidRPr="00426A27">
        <w:rPr>
          <w:rFonts w:ascii="Arial" w:hAnsi="Arial" w:cs="Arial"/>
          <w:spacing w:val="-6"/>
          <w:sz w:val="18"/>
          <w:szCs w:val="18"/>
        </w:rPr>
        <w:t xml:space="preserve"> (…)</w:t>
      </w:r>
      <w:r w:rsidR="00F24225">
        <w:rPr>
          <w:rFonts w:ascii="Arial" w:hAnsi="Arial" w:cs="Arial"/>
          <w:spacing w:val="-6"/>
          <w:sz w:val="18"/>
          <w:szCs w:val="18"/>
        </w:rPr>
        <w:t>”</w:t>
      </w:r>
    </w:p>
    <w:p w14:paraId="39D25B35" w14:textId="77777777" w:rsidR="00992A1D" w:rsidRPr="00426A27" w:rsidRDefault="00992A1D" w:rsidP="00F24225">
      <w:pPr>
        <w:jc w:val="both"/>
        <w:rPr>
          <w:rFonts w:ascii="Arial" w:hAnsi="Arial" w:cs="Arial"/>
          <w:spacing w:val="-6"/>
          <w:sz w:val="18"/>
          <w:szCs w:val="18"/>
        </w:rPr>
      </w:pPr>
    </w:p>
    <w:p w14:paraId="5601D1B3" w14:textId="5B749DAB" w:rsidR="00992A1D" w:rsidRPr="00426A27" w:rsidRDefault="005B21B7" w:rsidP="00F24225">
      <w:pPr>
        <w:widowControl w:val="0"/>
        <w:autoSpaceDE w:val="0"/>
        <w:autoSpaceDN w:val="0"/>
        <w:adjustRightInd w:val="0"/>
        <w:jc w:val="both"/>
        <w:rPr>
          <w:rFonts w:ascii="Arial" w:hAnsi="Arial" w:cs="Arial"/>
          <w:spacing w:val="-6"/>
          <w:sz w:val="18"/>
          <w:szCs w:val="18"/>
        </w:rPr>
      </w:pPr>
      <w:r w:rsidRPr="00426A27">
        <w:rPr>
          <w:rFonts w:ascii="Arial" w:hAnsi="Arial" w:cs="Arial"/>
          <w:spacing w:val="-6"/>
          <w:sz w:val="18"/>
          <w:szCs w:val="18"/>
        </w:rPr>
        <w:t>“(…)</w:t>
      </w:r>
      <w:r w:rsidR="00992A1D" w:rsidRPr="00426A27">
        <w:rPr>
          <w:rFonts w:ascii="Arial" w:hAnsi="Arial" w:cs="Arial"/>
          <w:spacing w:val="-6"/>
          <w:sz w:val="18"/>
          <w:szCs w:val="18"/>
        </w:rPr>
        <w:t xml:space="preserve"> con relación a los intereses moratorios </w:t>
      </w:r>
      <w:r w:rsidRPr="00426A27">
        <w:rPr>
          <w:rFonts w:ascii="Arial" w:hAnsi="Arial" w:cs="Arial"/>
          <w:spacing w:val="-6"/>
          <w:sz w:val="18"/>
          <w:szCs w:val="18"/>
        </w:rPr>
        <w:t xml:space="preserve">(…) </w:t>
      </w:r>
      <w:r w:rsidR="00992A1D" w:rsidRPr="00426A27">
        <w:rPr>
          <w:rFonts w:ascii="Arial" w:hAnsi="Arial" w:cs="Arial"/>
          <w:spacing w:val="-6"/>
          <w:sz w:val="18"/>
          <w:szCs w:val="18"/>
        </w:rPr>
        <w:t>si bien no hay lugar a reconocer dichos em</w:t>
      </w:r>
      <w:bookmarkStart w:id="0" w:name="_GoBack"/>
      <w:bookmarkEnd w:id="0"/>
      <w:r w:rsidR="00992A1D" w:rsidRPr="00426A27">
        <w:rPr>
          <w:rFonts w:ascii="Arial" w:hAnsi="Arial" w:cs="Arial"/>
          <w:spacing w:val="-6"/>
          <w:sz w:val="18"/>
          <w:szCs w:val="18"/>
        </w:rPr>
        <w:t>olumentos cuando la pensión se reconoce con fundamento en el principio de la condición más beneficiosa, esa negativa no es total puesto que hay lugar a reconocerlos a partir de la ejecutoria de la sentencia que reconoce la pensión de sobrevivientes; no obstante, por conocerse el asunto en virtud de la consulta no se modificará la decisión de primer grado.</w:t>
      </w:r>
      <w:r w:rsidR="004A4332" w:rsidRPr="00426A27">
        <w:rPr>
          <w:rFonts w:ascii="Arial" w:hAnsi="Arial" w:cs="Arial"/>
          <w:spacing w:val="-6"/>
          <w:sz w:val="18"/>
          <w:szCs w:val="18"/>
        </w:rPr>
        <w:t>”</w:t>
      </w:r>
      <w:r w:rsidR="00992A1D" w:rsidRPr="00426A27">
        <w:rPr>
          <w:rFonts w:ascii="Arial" w:hAnsi="Arial" w:cs="Arial"/>
          <w:spacing w:val="-6"/>
          <w:sz w:val="18"/>
          <w:szCs w:val="18"/>
        </w:rPr>
        <w:t xml:space="preserve">  </w:t>
      </w:r>
    </w:p>
    <w:p w14:paraId="404B5EC8" w14:textId="77777777" w:rsidR="00681318" w:rsidRPr="0064007B" w:rsidRDefault="00681318" w:rsidP="00E9724F">
      <w:pPr>
        <w:pStyle w:val="Puesto"/>
        <w:spacing w:line="240" w:lineRule="auto"/>
        <w:ind w:left="2805" w:hanging="2805"/>
        <w:jc w:val="both"/>
        <w:rPr>
          <w:rFonts w:ascii="Tahoma" w:hAnsi="Tahoma" w:cs="Tahoma"/>
          <w:b w:val="0"/>
          <w:sz w:val="18"/>
          <w:szCs w:val="18"/>
        </w:rPr>
      </w:pPr>
    </w:p>
    <w:p w14:paraId="54239BB4" w14:textId="77777777" w:rsidR="009A4059" w:rsidRPr="0064007B" w:rsidRDefault="009A4059" w:rsidP="00CC14F5">
      <w:pPr>
        <w:pStyle w:val="Ttulo4"/>
        <w:widowControl w:val="0"/>
        <w:tabs>
          <w:tab w:val="clear" w:pos="0"/>
        </w:tabs>
        <w:rPr>
          <w:rFonts w:ascii="Tahoma" w:hAnsi="Tahoma" w:cs="Tahoma"/>
          <w:bCs/>
          <w:szCs w:val="24"/>
          <w:lang w:eastAsia="es-MX"/>
        </w:rPr>
      </w:pPr>
      <w:r w:rsidRPr="0064007B">
        <w:rPr>
          <w:rFonts w:ascii="Tahoma" w:hAnsi="Tahoma" w:cs="Tahoma"/>
          <w:bCs/>
          <w:szCs w:val="24"/>
          <w:lang w:eastAsia="es-MX"/>
        </w:rPr>
        <w:t>TRIBUNAL SUPERIOR DEL DISTRITO JUDICIAL DE PEREIRA</w:t>
      </w:r>
    </w:p>
    <w:p w14:paraId="7519388E" w14:textId="77777777" w:rsidR="009A4059" w:rsidRPr="0064007B" w:rsidRDefault="009A4059" w:rsidP="00CC14F5">
      <w:pPr>
        <w:pStyle w:val="Ttulo4"/>
        <w:widowControl w:val="0"/>
        <w:tabs>
          <w:tab w:val="clear" w:pos="0"/>
        </w:tabs>
        <w:rPr>
          <w:rFonts w:ascii="Tahoma" w:hAnsi="Tahoma" w:cs="Tahoma"/>
          <w:bCs/>
          <w:szCs w:val="24"/>
          <w:lang w:eastAsia="es-MX"/>
        </w:rPr>
      </w:pPr>
      <w:r w:rsidRPr="0064007B">
        <w:rPr>
          <w:rFonts w:ascii="Tahoma" w:hAnsi="Tahoma" w:cs="Tahoma"/>
          <w:bCs/>
          <w:szCs w:val="24"/>
          <w:lang w:eastAsia="es-MX"/>
        </w:rPr>
        <w:t>SALA LABORAL</w:t>
      </w:r>
    </w:p>
    <w:p w14:paraId="639B9C91" w14:textId="77777777" w:rsidR="009A4059" w:rsidRPr="0064007B" w:rsidRDefault="009A4059" w:rsidP="00CC14F5">
      <w:pPr>
        <w:jc w:val="center"/>
        <w:rPr>
          <w:rFonts w:ascii="Tahoma" w:hAnsi="Tahoma" w:cs="Tahoma"/>
          <w:bCs/>
        </w:rPr>
      </w:pPr>
    </w:p>
    <w:p w14:paraId="63D23F9D" w14:textId="77777777" w:rsidR="009A4059" w:rsidRPr="0064007B" w:rsidRDefault="009A4059" w:rsidP="00CC14F5">
      <w:pPr>
        <w:jc w:val="center"/>
        <w:rPr>
          <w:rFonts w:ascii="Tahoma" w:hAnsi="Tahoma" w:cs="Tahoma"/>
          <w:b/>
          <w:bCs/>
        </w:rPr>
      </w:pPr>
      <w:r w:rsidRPr="0064007B">
        <w:rPr>
          <w:rFonts w:ascii="Tahoma" w:hAnsi="Tahoma" w:cs="Tahoma"/>
          <w:bCs/>
        </w:rPr>
        <w:t>Magistrada Ponente:</w:t>
      </w:r>
      <w:r w:rsidRPr="0064007B">
        <w:rPr>
          <w:rFonts w:ascii="Tahoma" w:hAnsi="Tahoma" w:cs="Tahoma"/>
          <w:b/>
          <w:bCs/>
        </w:rPr>
        <w:t xml:space="preserve"> Ana Lucía Caicedo Calderón</w:t>
      </w:r>
    </w:p>
    <w:p w14:paraId="13DF5B2E" w14:textId="77777777" w:rsidR="009A4059" w:rsidRPr="0064007B" w:rsidRDefault="009A4059" w:rsidP="00CC14F5">
      <w:pPr>
        <w:jc w:val="center"/>
        <w:rPr>
          <w:rFonts w:ascii="Tahoma" w:hAnsi="Tahoma" w:cs="Tahoma"/>
          <w:b/>
        </w:rPr>
      </w:pPr>
    </w:p>
    <w:p w14:paraId="7AB9B1D3" w14:textId="77777777" w:rsidR="009A4059" w:rsidRPr="0064007B" w:rsidRDefault="00D83F33" w:rsidP="00CC14F5">
      <w:pPr>
        <w:jc w:val="center"/>
        <w:rPr>
          <w:rFonts w:ascii="Tahoma" w:hAnsi="Tahoma" w:cs="Tahoma"/>
          <w:b/>
        </w:rPr>
      </w:pPr>
      <w:r w:rsidRPr="0064007B">
        <w:rPr>
          <w:rFonts w:ascii="Tahoma" w:hAnsi="Tahoma" w:cs="Tahoma"/>
          <w:b/>
        </w:rPr>
        <w:t xml:space="preserve">Acta </w:t>
      </w:r>
      <w:r w:rsidR="009A4059" w:rsidRPr="0064007B">
        <w:rPr>
          <w:rFonts w:ascii="Tahoma" w:hAnsi="Tahoma" w:cs="Tahoma"/>
          <w:b/>
        </w:rPr>
        <w:t>No. ____</w:t>
      </w:r>
    </w:p>
    <w:p w14:paraId="40E7DBBF" w14:textId="0B50A32A" w:rsidR="009A4059" w:rsidRPr="0064007B" w:rsidRDefault="009A4059" w:rsidP="00CC14F5">
      <w:pPr>
        <w:jc w:val="center"/>
        <w:rPr>
          <w:rFonts w:ascii="Tahoma" w:hAnsi="Tahoma" w:cs="Tahoma"/>
          <w:b/>
        </w:rPr>
      </w:pPr>
      <w:r w:rsidRPr="0064007B">
        <w:rPr>
          <w:rFonts w:ascii="Tahoma" w:hAnsi="Tahoma" w:cs="Tahoma"/>
          <w:b/>
        </w:rPr>
        <w:t>(</w:t>
      </w:r>
      <w:r w:rsidR="00DC4A55">
        <w:rPr>
          <w:rFonts w:ascii="Tahoma" w:hAnsi="Tahoma" w:cs="Tahoma"/>
          <w:b/>
        </w:rPr>
        <w:t>Abril 8</w:t>
      </w:r>
      <w:r w:rsidR="0062158A" w:rsidRPr="0064007B">
        <w:rPr>
          <w:rFonts w:ascii="Tahoma" w:hAnsi="Tahoma" w:cs="Tahoma"/>
          <w:b/>
        </w:rPr>
        <w:t xml:space="preserve"> </w:t>
      </w:r>
      <w:r w:rsidR="00135BFA" w:rsidRPr="0064007B">
        <w:rPr>
          <w:rFonts w:ascii="Tahoma" w:hAnsi="Tahoma" w:cs="Tahoma"/>
          <w:b/>
        </w:rPr>
        <w:t>de 201</w:t>
      </w:r>
      <w:r w:rsidR="00DC4A55">
        <w:rPr>
          <w:rFonts w:ascii="Tahoma" w:hAnsi="Tahoma" w:cs="Tahoma"/>
          <w:b/>
        </w:rPr>
        <w:t>6</w:t>
      </w:r>
      <w:r w:rsidRPr="0064007B">
        <w:rPr>
          <w:rFonts w:ascii="Tahoma" w:hAnsi="Tahoma" w:cs="Tahoma"/>
          <w:b/>
        </w:rPr>
        <w:t>)</w:t>
      </w:r>
    </w:p>
    <w:p w14:paraId="19E5FE0A" w14:textId="77777777" w:rsidR="009A4059" w:rsidRPr="0064007B" w:rsidRDefault="009A4059" w:rsidP="00CC14F5">
      <w:pPr>
        <w:jc w:val="both"/>
        <w:rPr>
          <w:rFonts w:ascii="Tahoma" w:hAnsi="Tahoma" w:cs="Tahoma"/>
        </w:rPr>
      </w:pPr>
    </w:p>
    <w:p w14:paraId="274F7C55" w14:textId="77777777" w:rsidR="009A4059" w:rsidRPr="0064007B" w:rsidRDefault="009A4059" w:rsidP="00CC14F5">
      <w:pPr>
        <w:pStyle w:val="Ttulo5"/>
        <w:spacing w:line="240" w:lineRule="auto"/>
        <w:ind w:firstLine="0"/>
        <w:jc w:val="center"/>
        <w:rPr>
          <w:rFonts w:ascii="Tahoma" w:hAnsi="Tahoma" w:cs="Tahoma"/>
        </w:rPr>
      </w:pPr>
      <w:r w:rsidRPr="0064007B">
        <w:rPr>
          <w:rFonts w:ascii="Tahoma" w:hAnsi="Tahoma" w:cs="Tahoma"/>
        </w:rPr>
        <w:t>Sistema oral - Audiencia de juzgamiento</w:t>
      </w:r>
    </w:p>
    <w:p w14:paraId="2F619349" w14:textId="77777777" w:rsidR="009A4059" w:rsidRPr="0064007B" w:rsidRDefault="009A4059" w:rsidP="00E9724F">
      <w:pPr>
        <w:spacing w:line="276" w:lineRule="auto"/>
        <w:jc w:val="both"/>
        <w:rPr>
          <w:rFonts w:ascii="Tahoma" w:hAnsi="Tahoma" w:cs="Tahoma"/>
          <w:lang w:val="es-ES_tradnl"/>
        </w:rPr>
      </w:pPr>
      <w:r w:rsidRPr="0064007B">
        <w:rPr>
          <w:rFonts w:ascii="Tahoma" w:hAnsi="Tahoma" w:cs="Tahoma"/>
          <w:b/>
        </w:rPr>
        <w:tab/>
      </w:r>
    </w:p>
    <w:p w14:paraId="4D5C1928" w14:textId="3002C19C" w:rsidR="009A4059" w:rsidRPr="00896011" w:rsidRDefault="009A4059" w:rsidP="00E9724F">
      <w:pPr>
        <w:spacing w:line="276" w:lineRule="auto"/>
        <w:ind w:firstLine="708"/>
        <w:jc w:val="both"/>
        <w:rPr>
          <w:rFonts w:ascii="Tahoma" w:hAnsi="Tahoma" w:cs="Tahoma"/>
          <w:lang w:val="es-ES_tradnl"/>
        </w:rPr>
      </w:pPr>
      <w:r w:rsidRPr="00F24225">
        <w:rPr>
          <w:rFonts w:ascii="Tahoma" w:hAnsi="Tahoma" w:cs="Tahoma"/>
          <w:lang w:val="es-ES_tradnl"/>
        </w:rPr>
        <w:t xml:space="preserve">Buenos días, siendo las </w:t>
      </w:r>
      <w:r w:rsidR="0038279C" w:rsidRPr="00F24225">
        <w:rPr>
          <w:rFonts w:ascii="Tahoma" w:hAnsi="Tahoma" w:cs="Tahoma"/>
          <w:lang w:val="es-ES_tradnl"/>
        </w:rPr>
        <w:t>9:30</w:t>
      </w:r>
      <w:r w:rsidRPr="00F24225">
        <w:rPr>
          <w:rFonts w:ascii="Tahoma" w:hAnsi="Tahoma" w:cs="Tahoma"/>
          <w:lang w:val="es-ES_tradnl"/>
        </w:rPr>
        <w:t xml:space="preserve"> </w:t>
      </w:r>
      <w:r w:rsidR="00020603" w:rsidRPr="00F24225">
        <w:rPr>
          <w:rFonts w:ascii="Tahoma" w:hAnsi="Tahoma" w:cs="Tahoma"/>
          <w:lang w:val="es-ES_tradnl"/>
        </w:rPr>
        <w:t>a</w:t>
      </w:r>
      <w:r w:rsidR="00C30D72" w:rsidRPr="00F24225">
        <w:rPr>
          <w:rFonts w:ascii="Tahoma" w:hAnsi="Tahoma" w:cs="Tahoma"/>
          <w:lang w:val="es-ES_tradnl"/>
        </w:rPr>
        <w:t xml:space="preserve">.m. </w:t>
      </w:r>
      <w:r w:rsidRPr="00F24225">
        <w:rPr>
          <w:rFonts w:ascii="Tahoma" w:hAnsi="Tahoma" w:cs="Tahoma"/>
          <w:lang w:val="es-ES_tradnl"/>
        </w:rPr>
        <w:t>de hoy</w:t>
      </w:r>
      <w:r w:rsidR="00D90180" w:rsidRPr="00F24225">
        <w:rPr>
          <w:rFonts w:ascii="Tahoma" w:hAnsi="Tahoma" w:cs="Tahoma"/>
          <w:lang w:val="es-ES_tradnl"/>
        </w:rPr>
        <w:t xml:space="preserve">, </w:t>
      </w:r>
      <w:r w:rsidR="007D15D1" w:rsidRPr="00F24225">
        <w:rPr>
          <w:rFonts w:ascii="Tahoma" w:hAnsi="Tahoma" w:cs="Tahoma"/>
          <w:lang w:val="es-ES_tradnl"/>
        </w:rPr>
        <w:t>viern</w:t>
      </w:r>
      <w:r w:rsidR="00CE02F8" w:rsidRPr="00F24225">
        <w:rPr>
          <w:rFonts w:ascii="Tahoma" w:hAnsi="Tahoma" w:cs="Tahoma"/>
          <w:lang w:val="es-ES_tradnl"/>
        </w:rPr>
        <w:t>es</w:t>
      </w:r>
      <w:r w:rsidR="00CE02F8" w:rsidRPr="00896011">
        <w:rPr>
          <w:rFonts w:ascii="Tahoma" w:hAnsi="Tahoma" w:cs="Tahoma"/>
          <w:lang w:val="es-ES_tradnl"/>
        </w:rPr>
        <w:t xml:space="preserve"> </w:t>
      </w:r>
      <w:r w:rsidR="00DC4A55" w:rsidRPr="00896011">
        <w:rPr>
          <w:rFonts w:ascii="Tahoma" w:hAnsi="Tahoma" w:cs="Tahoma"/>
          <w:lang w:val="es-ES_tradnl"/>
        </w:rPr>
        <w:t>8</w:t>
      </w:r>
      <w:r w:rsidR="00CE02F8" w:rsidRPr="00896011">
        <w:rPr>
          <w:rFonts w:ascii="Tahoma" w:hAnsi="Tahoma" w:cs="Tahoma"/>
          <w:lang w:val="es-ES_tradnl"/>
        </w:rPr>
        <w:t xml:space="preserve"> de </w:t>
      </w:r>
      <w:r w:rsidR="00DC4A55" w:rsidRPr="00896011">
        <w:rPr>
          <w:rFonts w:ascii="Tahoma" w:hAnsi="Tahoma" w:cs="Tahoma"/>
          <w:lang w:val="es-ES_tradnl"/>
        </w:rPr>
        <w:t>abril</w:t>
      </w:r>
      <w:r w:rsidR="00F62B16" w:rsidRPr="00896011">
        <w:rPr>
          <w:rFonts w:ascii="Tahoma" w:hAnsi="Tahoma" w:cs="Tahoma"/>
          <w:lang w:val="es-ES_tradnl"/>
        </w:rPr>
        <w:t xml:space="preserve"> </w:t>
      </w:r>
      <w:r w:rsidRPr="00896011">
        <w:rPr>
          <w:rFonts w:ascii="Tahoma" w:hAnsi="Tahoma" w:cs="Tahoma"/>
          <w:lang w:val="es-ES_tradnl"/>
        </w:rPr>
        <w:t>de 201</w:t>
      </w:r>
      <w:r w:rsidR="00DC4A55" w:rsidRPr="00896011">
        <w:rPr>
          <w:rFonts w:ascii="Tahoma" w:hAnsi="Tahoma" w:cs="Tahoma"/>
          <w:lang w:val="es-ES_tradnl"/>
        </w:rPr>
        <w:t>6</w:t>
      </w:r>
      <w:r w:rsidRPr="00896011">
        <w:rPr>
          <w:rFonts w:ascii="Tahoma" w:hAnsi="Tahoma" w:cs="Tahoma"/>
          <w:lang w:val="es-ES_tradnl"/>
        </w:rPr>
        <w:t xml:space="preserve">, la Sala de Decisión Laboral del Tribunal Superior de Pereira se constituye en </w:t>
      </w:r>
      <w:r w:rsidR="00D90180" w:rsidRPr="00896011">
        <w:rPr>
          <w:rFonts w:ascii="Tahoma" w:hAnsi="Tahoma" w:cs="Tahoma"/>
          <w:lang w:val="es-ES_tradnl"/>
        </w:rPr>
        <w:t xml:space="preserve">audiencia pública </w:t>
      </w:r>
      <w:r w:rsidRPr="00896011">
        <w:rPr>
          <w:rFonts w:ascii="Tahoma" w:hAnsi="Tahoma" w:cs="Tahoma"/>
          <w:lang w:val="es-ES_tradnl"/>
        </w:rPr>
        <w:t xml:space="preserve">de </w:t>
      </w:r>
      <w:r w:rsidR="00D90180" w:rsidRPr="00896011">
        <w:rPr>
          <w:rFonts w:ascii="Tahoma" w:hAnsi="Tahoma" w:cs="Tahoma"/>
          <w:lang w:val="es-ES_tradnl"/>
        </w:rPr>
        <w:t>juzgamiento</w:t>
      </w:r>
      <w:r w:rsidRPr="00896011">
        <w:rPr>
          <w:rFonts w:ascii="Tahoma" w:hAnsi="Tahoma" w:cs="Tahoma"/>
          <w:lang w:val="es-ES_tradnl"/>
        </w:rPr>
        <w:t xml:space="preserve"> en el proceso ordinario laboral instaurado por </w:t>
      </w:r>
      <w:r w:rsidR="00DC4A55" w:rsidRPr="00896011">
        <w:rPr>
          <w:rFonts w:ascii="Tahoma" w:hAnsi="Tahoma" w:cs="Tahoma"/>
          <w:b/>
          <w:lang w:val="es-ES_tradnl"/>
        </w:rPr>
        <w:t>Martha Cecilia Sierra de Villa</w:t>
      </w:r>
      <w:r w:rsidR="00F62B16" w:rsidRPr="00896011">
        <w:rPr>
          <w:rFonts w:ascii="Tahoma" w:hAnsi="Tahoma" w:cs="Tahoma"/>
          <w:b/>
          <w:lang w:val="es-ES_tradnl"/>
        </w:rPr>
        <w:t xml:space="preserve"> </w:t>
      </w:r>
      <w:r w:rsidR="007D15D1" w:rsidRPr="00896011">
        <w:rPr>
          <w:rFonts w:ascii="Tahoma" w:hAnsi="Tahoma" w:cs="Tahoma"/>
          <w:lang w:val="es-ES_tradnl"/>
        </w:rPr>
        <w:t>e</w:t>
      </w:r>
      <w:r w:rsidR="009C29D3" w:rsidRPr="00896011">
        <w:rPr>
          <w:rFonts w:ascii="Tahoma" w:hAnsi="Tahoma" w:cs="Tahoma"/>
          <w:lang w:val="es-ES_tradnl"/>
        </w:rPr>
        <w:t>n</w:t>
      </w:r>
      <w:r w:rsidRPr="00896011">
        <w:rPr>
          <w:rFonts w:ascii="Tahoma" w:hAnsi="Tahoma" w:cs="Tahoma"/>
          <w:lang w:val="es-ES_tradnl"/>
        </w:rPr>
        <w:t xml:space="preserve"> contra de</w:t>
      </w:r>
      <w:r w:rsidR="00D90180" w:rsidRPr="00896011">
        <w:rPr>
          <w:rFonts w:ascii="Tahoma" w:hAnsi="Tahoma" w:cs="Tahoma"/>
          <w:lang w:val="es-ES_tradnl"/>
        </w:rPr>
        <w:t xml:space="preserve"> </w:t>
      </w:r>
      <w:r w:rsidRPr="00896011">
        <w:rPr>
          <w:rFonts w:ascii="Tahoma" w:hAnsi="Tahoma" w:cs="Tahoma"/>
          <w:lang w:val="es-ES_tradnl"/>
        </w:rPr>
        <w:t>l</w:t>
      </w:r>
      <w:r w:rsidR="00D90180" w:rsidRPr="00896011">
        <w:rPr>
          <w:rFonts w:ascii="Tahoma" w:hAnsi="Tahoma" w:cs="Tahoma"/>
          <w:lang w:val="es-ES_tradnl"/>
        </w:rPr>
        <w:t>a</w:t>
      </w:r>
      <w:r w:rsidRPr="00896011">
        <w:rPr>
          <w:rFonts w:ascii="Tahoma" w:hAnsi="Tahoma" w:cs="Tahoma"/>
          <w:lang w:val="es-ES_tradnl"/>
        </w:rPr>
        <w:t xml:space="preserve"> </w:t>
      </w:r>
      <w:r w:rsidR="00D90180" w:rsidRPr="00896011">
        <w:rPr>
          <w:rFonts w:ascii="Tahoma" w:hAnsi="Tahoma" w:cs="Tahoma"/>
          <w:b/>
          <w:lang w:val="es-ES_tradnl"/>
        </w:rPr>
        <w:t>Administradora Colombiana de Pensiones “Colpensiones”</w:t>
      </w:r>
      <w:r w:rsidR="002611B0" w:rsidRPr="00896011">
        <w:rPr>
          <w:rFonts w:ascii="Tahoma" w:hAnsi="Tahoma" w:cs="Tahoma"/>
          <w:b/>
        </w:rPr>
        <w:t>.</w:t>
      </w:r>
    </w:p>
    <w:p w14:paraId="613DF1DD" w14:textId="77777777" w:rsidR="009A4059" w:rsidRPr="00896011" w:rsidRDefault="009A4059" w:rsidP="0017141B">
      <w:pPr>
        <w:ind w:firstLine="1122"/>
        <w:jc w:val="both"/>
        <w:rPr>
          <w:rFonts w:ascii="Tahoma" w:hAnsi="Tahoma" w:cs="Tahoma"/>
          <w:lang w:val="es-ES_tradnl"/>
        </w:rPr>
      </w:pPr>
    </w:p>
    <w:p w14:paraId="20749F6D" w14:textId="77777777" w:rsidR="009A4059" w:rsidRPr="00896011" w:rsidRDefault="009A4059" w:rsidP="00E9724F">
      <w:pPr>
        <w:spacing w:line="276" w:lineRule="auto"/>
        <w:ind w:firstLine="708"/>
        <w:jc w:val="both"/>
        <w:rPr>
          <w:rFonts w:ascii="Tahoma" w:hAnsi="Tahoma" w:cs="Tahoma"/>
          <w:lang w:val="es-ES_tradnl"/>
        </w:rPr>
      </w:pPr>
      <w:r w:rsidRPr="00896011">
        <w:rPr>
          <w:rFonts w:ascii="Tahoma" w:hAnsi="Tahoma" w:cs="Tahoma"/>
          <w:lang w:val="es-ES_tradnl"/>
        </w:rPr>
        <w:t>Para el efecto, se verifica la asistencia de las partes a la presente diligencia:</w:t>
      </w:r>
      <w:r w:rsidR="00C30D72" w:rsidRPr="00896011">
        <w:rPr>
          <w:rFonts w:ascii="Tahoma" w:hAnsi="Tahoma" w:cs="Tahoma"/>
          <w:lang w:val="es-ES_tradnl"/>
        </w:rPr>
        <w:t xml:space="preserve"> </w:t>
      </w:r>
      <w:r w:rsidRPr="00896011">
        <w:rPr>
          <w:rFonts w:ascii="Tahoma" w:hAnsi="Tahoma" w:cs="Tahoma"/>
          <w:lang w:val="es-ES_tradnl"/>
        </w:rPr>
        <w:t>Por la parte demandante…</w:t>
      </w:r>
      <w:r w:rsidR="00D90180" w:rsidRPr="00896011">
        <w:rPr>
          <w:rFonts w:ascii="Tahoma" w:hAnsi="Tahoma" w:cs="Tahoma"/>
          <w:lang w:val="es-ES_tradnl"/>
        </w:rPr>
        <w:t xml:space="preserve"> </w:t>
      </w:r>
      <w:r w:rsidRPr="00896011">
        <w:rPr>
          <w:rFonts w:ascii="Tahoma" w:hAnsi="Tahoma" w:cs="Tahoma"/>
          <w:lang w:val="es-ES_tradnl"/>
        </w:rPr>
        <w:t>Por la demandada…</w:t>
      </w:r>
    </w:p>
    <w:p w14:paraId="3514E0E8" w14:textId="77777777" w:rsidR="009A4059" w:rsidRPr="00896011" w:rsidRDefault="009A4059" w:rsidP="0017141B">
      <w:pPr>
        <w:ind w:firstLine="1122"/>
        <w:jc w:val="both"/>
        <w:rPr>
          <w:rFonts w:ascii="Tahoma" w:hAnsi="Tahoma" w:cs="Tahoma"/>
          <w:lang w:val="es-ES_tradnl"/>
        </w:rPr>
      </w:pPr>
    </w:p>
    <w:p w14:paraId="7D04E29E" w14:textId="77777777" w:rsidR="009A4059" w:rsidRPr="00896011" w:rsidRDefault="00D90180" w:rsidP="00E9724F">
      <w:pPr>
        <w:widowControl w:val="0"/>
        <w:autoSpaceDE w:val="0"/>
        <w:autoSpaceDN w:val="0"/>
        <w:adjustRightInd w:val="0"/>
        <w:spacing w:line="276" w:lineRule="auto"/>
        <w:jc w:val="center"/>
        <w:rPr>
          <w:rFonts w:ascii="Tahoma" w:hAnsi="Tahoma" w:cs="Tahoma"/>
          <w:b/>
        </w:rPr>
      </w:pPr>
      <w:r w:rsidRPr="00896011">
        <w:rPr>
          <w:rFonts w:ascii="Tahoma" w:hAnsi="Tahoma" w:cs="Tahoma"/>
          <w:b/>
        </w:rPr>
        <w:t>Alegatos de conclusión</w:t>
      </w:r>
    </w:p>
    <w:p w14:paraId="3F76CC66" w14:textId="77777777" w:rsidR="009A4059" w:rsidRPr="00896011" w:rsidRDefault="009A4059" w:rsidP="00E9724F">
      <w:pPr>
        <w:widowControl w:val="0"/>
        <w:autoSpaceDE w:val="0"/>
        <w:autoSpaceDN w:val="0"/>
        <w:adjustRightInd w:val="0"/>
        <w:spacing w:line="276" w:lineRule="auto"/>
        <w:jc w:val="both"/>
        <w:rPr>
          <w:rFonts w:ascii="Tahoma" w:hAnsi="Tahoma" w:cs="Tahoma"/>
        </w:rPr>
      </w:pPr>
    </w:p>
    <w:p w14:paraId="4B8C286A" w14:textId="77777777" w:rsidR="009A4059" w:rsidRPr="00896011" w:rsidRDefault="009A4059" w:rsidP="00E9724F">
      <w:pPr>
        <w:spacing w:line="276" w:lineRule="auto"/>
        <w:ind w:firstLine="708"/>
        <w:jc w:val="both"/>
        <w:rPr>
          <w:rFonts w:ascii="Tahoma" w:hAnsi="Tahoma" w:cs="Tahoma"/>
          <w:lang w:val="es-ES_tradnl"/>
        </w:rPr>
      </w:pPr>
      <w:r w:rsidRPr="00896011">
        <w:rPr>
          <w:rFonts w:ascii="Tahoma" w:hAnsi="Tahoma" w:cs="Tahoma"/>
          <w:lang w:val="es-ES_tradnl"/>
        </w:rPr>
        <w:t xml:space="preserve">De conformidad con el artículo 82 del C.P.T y de la </w:t>
      </w:r>
      <w:r w:rsidR="00E90014" w:rsidRPr="00896011">
        <w:rPr>
          <w:rFonts w:ascii="Tahoma" w:hAnsi="Tahoma" w:cs="Tahoma"/>
          <w:lang w:val="es-ES_tradnl"/>
        </w:rPr>
        <w:t>s.s</w:t>
      </w:r>
      <w:r w:rsidRPr="00896011">
        <w:rPr>
          <w:rFonts w:ascii="Tahoma" w:hAnsi="Tahoma" w:cs="Tahoma"/>
          <w:lang w:val="es-ES_tradnl"/>
        </w:rPr>
        <w:t>., modificado por el artículo 13 de la Ley 1149 de 2007, se concede el uso de la palabra a las partes para que presenten sus alegatos de conclusión</w:t>
      </w:r>
      <w:r w:rsidR="005E147D" w:rsidRPr="00896011">
        <w:rPr>
          <w:rFonts w:ascii="Tahoma" w:hAnsi="Tahoma" w:cs="Tahoma"/>
          <w:lang w:val="es-ES_tradnl"/>
        </w:rPr>
        <w:t xml:space="preserve">. </w:t>
      </w:r>
      <w:r w:rsidRPr="00896011">
        <w:rPr>
          <w:rFonts w:ascii="Tahoma" w:hAnsi="Tahoma" w:cs="Tahoma"/>
          <w:lang w:val="es-ES_tradnl"/>
        </w:rPr>
        <w:t>Por la parte demandante…</w:t>
      </w:r>
      <w:r w:rsidR="00D90180" w:rsidRPr="00896011">
        <w:rPr>
          <w:rFonts w:ascii="Tahoma" w:hAnsi="Tahoma" w:cs="Tahoma"/>
          <w:lang w:val="es-ES_tradnl"/>
        </w:rPr>
        <w:t xml:space="preserve"> </w:t>
      </w:r>
      <w:r w:rsidRPr="00896011">
        <w:rPr>
          <w:rFonts w:ascii="Tahoma" w:hAnsi="Tahoma" w:cs="Tahoma"/>
          <w:lang w:val="es-ES_tradnl"/>
        </w:rPr>
        <w:t>Por la parte demandada…</w:t>
      </w:r>
    </w:p>
    <w:p w14:paraId="5AF74FA9" w14:textId="77777777" w:rsidR="00C30D72" w:rsidRPr="00896011" w:rsidRDefault="00C30D72" w:rsidP="0017141B">
      <w:pPr>
        <w:ind w:firstLine="708"/>
        <w:jc w:val="both"/>
        <w:rPr>
          <w:rFonts w:ascii="Tahoma" w:hAnsi="Tahoma" w:cs="Tahoma"/>
          <w:lang w:val="es-ES_tradnl"/>
        </w:rPr>
      </w:pPr>
    </w:p>
    <w:p w14:paraId="5CB7E879" w14:textId="77777777" w:rsidR="009A4059" w:rsidRPr="00896011" w:rsidRDefault="00D90180" w:rsidP="00E9724F">
      <w:pPr>
        <w:widowControl w:val="0"/>
        <w:autoSpaceDE w:val="0"/>
        <w:autoSpaceDN w:val="0"/>
        <w:adjustRightInd w:val="0"/>
        <w:spacing w:line="276" w:lineRule="auto"/>
        <w:jc w:val="center"/>
        <w:rPr>
          <w:rFonts w:ascii="Tahoma" w:hAnsi="Tahoma" w:cs="Tahoma"/>
          <w:b/>
        </w:rPr>
      </w:pPr>
      <w:r w:rsidRPr="00896011">
        <w:rPr>
          <w:rFonts w:ascii="Tahoma" w:hAnsi="Tahoma" w:cs="Tahoma"/>
          <w:b/>
        </w:rPr>
        <w:t>SENTENCIA</w:t>
      </w:r>
    </w:p>
    <w:p w14:paraId="165E613F" w14:textId="77777777" w:rsidR="00C30D72" w:rsidRPr="00896011" w:rsidRDefault="00C30D72" w:rsidP="0017141B">
      <w:pPr>
        <w:widowControl w:val="0"/>
        <w:autoSpaceDE w:val="0"/>
        <w:autoSpaceDN w:val="0"/>
        <w:adjustRightInd w:val="0"/>
        <w:jc w:val="center"/>
        <w:rPr>
          <w:rFonts w:ascii="Tahoma" w:hAnsi="Tahoma" w:cs="Tahoma"/>
          <w:b/>
        </w:rPr>
      </w:pPr>
    </w:p>
    <w:p w14:paraId="3DC567F5" w14:textId="4CD57053" w:rsidR="0062158A" w:rsidRPr="00896011" w:rsidRDefault="009A4059" w:rsidP="00E9724F">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Como quiera que los </w:t>
      </w:r>
      <w:r w:rsidR="00D90180" w:rsidRPr="00896011">
        <w:rPr>
          <w:rFonts w:ascii="Tahoma" w:hAnsi="Tahoma" w:cs="Tahoma"/>
        </w:rPr>
        <w:t>fundamentos de los argum</w:t>
      </w:r>
      <w:r w:rsidRPr="00896011">
        <w:rPr>
          <w:rFonts w:ascii="Tahoma" w:hAnsi="Tahoma" w:cs="Tahoma"/>
        </w:rPr>
        <w:t xml:space="preserve">entos expuestos en las alegaciones se tuvieron en cuenta en la discusión del proyecto, procede la Sala </w:t>
      </w:r>
      <w:r w:rsidR="00DC4A55" w:rsidRPr="00896011">
        <w:rPr>
          <w:rFonts w:ascii="Tahoma" w:hAnsi="Tahoma" w:cs="Tahoma"/>
        </w:rPr>
        <w:t>a resolver el grado jurisdiccional de consulta de la sentencia emitida por el</w:t>
      </w:r>
      <w:r w:rsidR="00D436A6" w:rsidRPr="00896011">
        <w:rPr>
          <w:rFonts w:ascii="Tahoma" w:hAnsi="Tahoma" w:cs="Tahoma"/>
        </w:rPr>
        <w:t xml:space="preserve"> por el Juzgado </w:t>
      </w:r>
      <w:r w:rsidR="008F28D8" w:rsidRPr="00896011">
        <w:rPr>
          <w:rFonts w:ascii="Tahoma" w:hAnsi="Tahoma" w:cs="Tahoma"/>
        </w:rPr>
        <w:t>Cuarto</w:t>
      </w:r>
      <w:r w:rsidR="002611B0" w:rsidRPr="00896011">
        <w:rPr>
          <w:rFonts w:ascii="Tahoma" w:hAnsi="Tahoma" w:cs="Tahoma"/>
        </w:rPr>
        <w:t xml:space="preserve"> </w:t>
      </w:r>
      <w:r w:rsidR="00D436A6" w:rsidRPr="00896011">
        <w:rPr>
          <w:rFonts w:ascii="Tahoma" w:hAnsi="Tahoma" w:cs="Tahoma"/>
        </w:rPr>
        <w:t xml:space="preserve">Laboral del Circuito de Pereira el </w:t>
      </w:r>
      <w:r w:rsidR="00DC4A55" w:rsidRPr="00896011">
        <w:rPr>
          <w:rFonts w:ascii="Tahoma" w:hAnsi="Tahoma" w:cs="Tahoma"/>
        </w:rPr>
        <w:t>23</w:t>
      </w:r>
      <w:r w:rsidR="008F28D8" w:rsidRPr="00896011">
        <w:rPr>
          <w:rFonts w:ascii="Tahoma" w:hAnsi="Tahoma" w:cs="Tahoma"/>
        </w:rPr>
        <w:t xml:space="preserve"> </w:t>
      </w:r>
      <w:r w:rsidR="00D436A6" w:rsidRPr="00896011">
        <w:rPr>
          <w:rFonts w:ascii="Tahoma" w:hAnsi="Tahoma" w:cs="Tahoma"/>
        </w:rPr>
        <w:t xml:space="preserve">de </w:t>
      </w:r>
      <w:r w:rsidR="00DC4A55" w:rsidRPr="00896011">
        <w:rPr>
          <w:rFonts w:ascii="Tahoma" w:hAnsi="Tahoma" w:cs="Tahoma"/>
        </w:rPr>
        <w:t>enero</w:t>
      </w:r>
      <w:r w:rsidR="007D15D1" w:rsidRPr="00896011">
        <w:rPr>
          <w:rFonts w:ascii="Tahoma" w:hAnsi="Tahoma" w:cs="Tahoma"/>
        </w:rPr>
        <w:t xml:space="preserve"> </w:t>
      </w:r>
      <w:r w:rsidR="008F28D8" w:rsidRPr="00896011">
        <w:rPr>
          <w:rFonts w:ascii="Tahoma" w:hAnsi="Tahoma" w:cs="Tahoma"/>
        </w:rPr>
        <w:t>de 2015</w:t>
      </w:r>
      <w:r w:rsidRPr="00896011">
        <w:rPr>
          <w:rFonts w:ascii="Tahoma" w:hAnsi="Tahoma" w:cs="Tahoma"/>
        </w:rPr>
        <w:t xml:space="preserve">, dentro del proceso ordinario laboral reseñado </w:t>
      </w:r>
      <w:r w:rsidRPr="00896011">
        <w:rPr>
          <w:rFonts w:ascii="Tahoma" w:hAnsi="Tahoma" w:cs="Tahoma"/>
        </w:rPr>
        <w:lastRenderedPageBreak/>
        <w:t>con anterioridad</w:t>
      </w:r>
      <w:r w:rsidR="00343375" w:rsidRPr="00896011">
        <w:rPr>
          <w:rFonts w:ascii="Tahoma" w:hAnsi="Tahoma" w:cs="Tahoma"/>
        </w:rPr>
        <w:t xml:space="preserve">, </w:t>
      </w:r>
      <w:r w:rsidR="00DC4A55" w:rsidRPr="00896011">
        <w:rPr>
          <w:rFonts w:ascii="Tahoma" w:hAnsi="Tahoma" w:cs="Tahoma"/>
        </w:rPr>
        <w:t xml:space="preserve">que fuera </w:t>
      </w:r>
      <w:r w:rsidR="00343375" w:rsidRPr="00896011">
        <w:rPr>
          <w:rFonts w:ascii="Tahoma" w:hAnsi="Tahoma" w:cs="Tahoma"/>
        </w:rPr>
        <w:t>desfavorable a Colpensiones</w:t>
      </w:r>
      <w:r w:rsidR="00B67A12" w:rsidRPr="00896011">
        <w:rPr>
          <w:rFonts w:ascii="Tahoma" w:hAnsi="Tahoma" w:cs="Tahoma"/>
        </w:rPr>
        <w:t>.</w:t>
      </w:r>
    </w:p>
    <w:p w14:paraId="5931F313" w14:textId="77777777" w:rsidR="009A4059" w:rsidRPr="00896011" w:rsidRDefault="00B67A12" w:rsidP="0017141B">
      <w:pPr>
        <w:widowControl w:val="0"/>
        <w:autoSpaceDE w:val="0"/>
        <w:autoSpaceDN w:val="0"/>
        <w:adjustRightInd w:val="0"/>
        <w:ind w:firstLine="708"/>
        <w:jc w:val="both"/>
        <w:rPr>
          <w:rFonts w:ascii="Tahoma" w:hAnsi="Tahoma" w:cs="Tahoma"/>
        </w:rPr>
      </w:pPr>
      <w:r w:rsidRPr="00896011">
        <w:rPr>
          <w:rFonts w:ascii="Tahoma" w:hAnsi="Tahoma" w:cs="Tahoma"/>
        </w:rPr>
        <w:t xml:space="preserve"> </w:t>
      </w:r>
    </w:p>
    <w:p w14:paraId="6C470E45" w14:textId="77777777" w:rsidR="00237416" w:rsidRPr="00896011" w:rsidRDefault="00237416" w:rsidP="00E9724F">
      <w:pPr>
        <w:widowControl w:val="0"/>
        <w:autoSpaceDE w:val="0"/>
        <w:autoSpaceDN w:val="0"/>
        <w:adjustRightInd w:val="0"/>
        <w:spacing w:line="276" w:lineRule="auto"/>
        <w:jc w:val="center"/>
        <w:rPr>
          <w:rFonts w:ascii="Tahoma" w:hAnsi="Tahoma" w:cs="Tahoma"/>
          <w:b/>
          <w:bCs/>
        </w:rPr>
      </w:pPr>
      <w:r w:rsidRPr="00896011">
        <w:rPr>
          <w:rFonts w:ascii="Tahoma" w:hAnsi="Tahoma" w:cs="Tahoma"/>
          <w:b/>
          <w:bCs/>
        </w:rPr>
        <w:t>Problema jurídico por resolver</w:t>
      </w:r>
    </w:p>
    <w:p w14:paraId="7CFB5C42" w14:textId="77777777" w:rsidR="00066A9C" w:rsidRPr="00896011" w:rsidRDefault="00066A9C" w:rsidP="0017141B">
      <w:pPr>
        <w:widowControl w:val="0"/>
        <w:tabs>
          <w:tab w:val="left" w:pos="748"/>
        </w:tabs>
        <w:autoSpaceDE w:val="0"/>
        <w:autoSpaceDN w:val="0"/>
        <w:adjustRightInd w:val="0"/>
        <w:ind w:left="748"/>
        <w:jc w:val="center"/>
        <w:rPr>
          <w:rFonts w:ascii="Tahoma" w:hAnsi="Tahoma" w:cs="Tahoma"/>
          <w:b/>
          <w:bCs/>
        </w:rPr>
      </w:pPr>
    </w:p>
    <w:p w14:paraId="28F14488" w14:textId="4E4BA303" w:rsidR="002A7033" w:rsidRPr="00896011" w:rsidRDefault="0062158A" w:rsidP="00E9724F">
      <w:pPr>
        <w:tabs>
          <w:tab w:val="left" w:pos="567"/>
        </w:tabs>
        <w:spacing w:line="276" w:lineRule="auto"/>
        <w:jc w:val="both"/>
        <w:rPr>
          <w:rFonts w:ascii="Tahoma" w:hAnsi="Tahoma" w:cs="Tahoma"/>
        </w:rPr>
      </w:pPr>
      <w:r w:rsidRPr="00896011">
        <w:rPr>
          <w:rFonts w:ascii="Tahoma" w:hAnsi="Tahoma" w:cs="Tahoma"/>
        </w:rPr>
        <w:tab/>
      </w:r>
      <w:r w:rsidRPr="00896011">
        <w:rPr>
          <w:rFonts w:ascii="Tahoma" w:hAnsi="Tahoma" w:cs="Tahoma"/>
        </w:rPr>
        <w:tab/>
      </w:r>
      <w:r w:rsidR="00C30D72" w:rsidRPr="00896011">
        <w:rPr>
          <w:rFonts w:ascii="Tahoma" w:hAnsi="Tahoma" w:cs="Tahoma"/>
        </w:rPr>
        <w:t>De acuerdo a l</w:t>
      </w:r>
      <w:r w:rsidR="006D0CD9" w:rsidRPr="00896011">
        <w:rPr>
          <w:rFonts w:ascii="Tahoma" w:hAnsi="Tahoma" w:cs="Tahoma"/>
        </w:rPr>
        <w:t xml:space="preserve">o expuesto en la </w:t>
      </w:r>
      <w:r w:rsidR="00C30D72" w:rsidRPr="00896011">
        <w:rPr>
          <w:rFonts w:ascii="Tahoma" w:hAnsi="Tahoma" w:cs="Tahoma"/>
        </w:rPr>
        <w:t>sentencia de primera instancia</w:t>
      </w:r>
      <w:r w:rsidR="00066A9C" w:rsidRPr="00896011">
        <w:rPr>
          <w:rFonts w:ascii="Tahoma" w:hAnsi="Tahoma" w:cs="Tahoma"/>
        </w:rPr>
        <w:t>, le corresponde a la Sala determinar</w:t>
      </w:r>
      <w:r w:rsidR="007E550E" w:rsidRPr="00896011">
        <w:rPr>
          <w:rFonts w:ascii="Tahoma" w:hAnsi="Tahoma" w:cs="Tahoma"/>
        </w:rPr>
        <w:t>: i)</w:t>
      </w:r>
      <w:r w:rsidR="00066A9C" w:rsidRPr="00896011">
        <w:rPr>
          <w:rFonts w:ascii="Tahoma" w:hAnsi="Tahoma" w:cs="Tahoma"/>
        </w:rPr>
        <w:t xml:space="preserve"> </w:t>
      </w:r>
      <w:r w:rsidR="007C22CF" w:rsidRPr="00896011">
        <w:rPr>
          <w:rFonts w:ascii="Tahoma" w:hAnsi="Tahoma" w:cs="Tahoma"/>
        </w:rPr>
        <w:t xml:space="preserve">si </w:t>
      </w:r>
      <w:r w:rsidR="007C46DD" w:rsidRPr="00896011">
        <w:rPr>
          <w:rFonts w:ascii="Tahoma" w:hAnsi="Tahoma" w:cs="Tahoma"/>
        </w:rPr>
        <w:t xml:space="preserve">el señor </w:t>
      </w:r>
      <w:r w:rsidR="00DC4A55" w:rsidRPr="00896011">
        <w:rPr>
          <w:rFonts w:ascii="Tahoma" w:hAnsi="Tahoma" w:cs="Tahoma"/>
        </w:rPr>
        <w:t xml:space="preserve">Jairo de Jesús Villa Restrepo </w:t>
      </w:r>
      <w:r w:rsidR="007C46DD" w:rsidRPr="00896011">
        <w:rPr>
          <w:rFonts w:ascii="Tahoma" w:hAnsi="Tahoma" w:cs="Tahoma"/>
        </w:rPr>
        <w:t>dejó causado el derecho a la pensión de sobrevivientes</w:t>
      </w:r>
      <w:r w:rsidR="005D1952" w:rsidRPr="00896011">
        <w:rPr>
          <w:rFonts w:ascii="Tahoma" w:hAnsi="Tahoma" w:cs="Tahoma"/>
        </w:rPr>
        <w:t xml:space="preserve"> y, en caso afirmativo,</w:t>
      </w:r>
      <w:r w:rsidR="007C46DD" w:rsidRPr="00896011">
        <w:rPr>
          <w:rFonts w:ascii="Tahoma" w:hAnsi="Tahoma" w:cs="Tahoma"/>
        </w:rPr>
        <w:t xml:space="preserve"> ii) si la demandante acreditó la calidad de beneficiaria de dicha prestación económica; iii) </w:t>
      </w:r>
      <w:r w:rsidR="002A7033" w:rsidRPr="00896011">
        <w:rPr>
          <w:rFonts w:ascii="Tahoma" w:hAnsi="Tahoma" w:cs="Tahoma"/>
        </w:rPr>
        <w:t xml:space="preserve">si es </w:t>
      </w:r>
      <w:r w:rsidR="0017141B" w:rsidRPr="00896011">
        <w:rPr>
          <w:rFonts w:ascii="Tahoma" w:hAnsi="Tahoma" w:cs="Tahoma"/>
        </w:rPr>
        <w:t>dable facultar</w:t>
      </w:r>
      <w:r w:rsidR="002A7033" w:rsidRPr="00896011">
        <w:rPr>
          <w:rFonts w:ascii="Tahoma" w:hAnsi="Tahoma" w:cs="Tahoma"/>
        </w:rPr>
        <w:t xml:space="preserve"> a la entidad demandada que descuente el valor que canceló </w:t>
      </w:r>
      <w:r w:rsidR="00DC4A55" w:rsidRPr="00896011">
        <w:rPr>
          <w:rFonts w:ascii="Tahoma" w:hAnsi="Tahoma" w:cs="Tahoma"/>
        </w:rPr>
        <w:t xml:space="preserve">a la demandante por </w:t>
      </w:r>
      <w:r w:rsidR="002A7033" w:rsidRPr="00896011">
        <w:rPr>
          <w:rFonts w:ascii="Tahoma" w:hAnsi="Tahoma" w:cs="Tahoma"/>
        </w:rPr>
        <w:t xml:space="preserve">concepto de </w:t>
      </w:r>
      <w:r w:rsidR="00665477" w:rsidRPr="00896011">
        <w:rPr>
          <w:rFonts w:ascii="Tahoma" w:hAnsi="Tahoma" w:cs="Tahoma"/>
        </w:rPr>
        <w:t xml:space="preserve">indemnización sustitutiva </w:t>
      </w:r>
      <w:r w:rsidR="005D1952" w:rsidRPr="00896011">
        <w:rPr>
          <w:rFonts w:ascii="Tahoma" w:hAnsi="Tahoma" w:cs="Tahoma"/>
        </w:rPr>
        <w:t xml:space="preserve">de la pensión de sobrevivientes </w:t>
      </w:r>
      <w:r w:rsidR="007C22CF" w:rsidRPr="00896011">
        <w:rPr>
          <w:rFonts w:ascii="Tahoma" w:hAnsi="Tahoma" w:cs="Tahoma"/>
        </w:rPr>
        <w:t>y,</w:t>
      </w:r>
      <w:r w:rsidR="00665477" w:rsidRPr="00896011">
        <w:rPr>
          <w:rFonts w:ascii="Tahoma" w:hAnsi="Tahoma" w:cs="Tahoma"/>
        </w:rPr>
        <w:t xml:space="preserve"> </w:t>
      </w:r>
      <w:r w:rsidR="007C46DD" w:rsidRPr="00896011">
        <w:rPr>
          <w:rFonts w:ascii="Tahoma" w:hAnsi="Tahoma" w:cs="Tahoma"/>
        </w:rPr>
        <w:t>iv) si es procedente el reconocimie</w:t>
      </w:r>
      <w:r w:rsidR="005D1952" w:rsidRPr="00896011">
        <w:rPr>
          <w:rFonts w:ascii="Tahoma" w:hAnsi="Tahoma" w:cs="Tahoma"/>
        </w:rPr>
        <w:t>nto de los intereses moratorios.</w:t>
      </w:r>
    </w:p>
    <w:p w14:paraId="2DF463F2" w14:textId="77777777" w:rsidR="00237416" w:rsidRPr="00896011" w:rsidRDefault="00237416" w:rsidP="0017141B">
      <w:pPr>
        <w:tabs>
          <w:tab w:val="left" w:pos="567"/>
        </w:tabs>
        <w:jc w:val="both"/>
        <w:rPr>
          <w:rFonts w:ascii="Tahoma" w:hAnsi="Tahoma" w:cs="Tahoma"/>
        </w:rPr>
      </w:pPr>
    </w:p>
    <w:p w14:paraId="13AB07CB" w14:textId="77777777" w:rsidR="009A4059" w:rsidRPr="00896011" w:rsidRDefault="00D90180" w:rsidP="00E9724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896011">
        <w:rPr>
          <w:rFonts w:ascii="Tahoma" w:hAnsi="Tahoma" w:cs="Tahoma"/>
          <w:b/>
        </w:rPr>
        <w:t>La demanda</w:t>
      </w:r>
      <w:r w:rsidR="00237416" w:rsidRPr="00896011">
        <w:rPr>
          <w:rFonts w:ascii="Tahoma" w:hAnsi="Tahoma" w:cs="Tahoma"/>
          <w:b/>
        </w:rPr>
        <w:t xml:space="preserve"> y su contestación</w:t>
      </w:r>
    </w:p>
    <w:p w14:paraId="2356B829" w14:textId="77777777" w:rsidR="009A4059" w:rsidRPr="00896011" w:rsidRDefault="009A4059" w:rsidP="00681318">
      <w:pPr>
        <w:widowControl w:val="0"/>
        <w:autoSpaceDE w:val="0"/>
        <w:autoSpaceDN w:val="0"/>
        <w:adjustRightInd w:val="0"/>
        <w:jc w:val="both"/>
        <w:rPr>
          <w:rFonts w:ascii="Tahoma" w:hAnsi="Tahoma" w:cs="Tahoma"/>
        </w:rPr>
      </w:pPr>
    </w:p>
    <w:p w14:paraId="7007E811" w14:textId="31E2DE0B" w:rsidR="00F75697" w:rsidRPr="00896011" w:rsidRDefault="00956DBB" w:rsidP="00E9724F">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La </w:t>
      </w:r>
      <w:r w:rsidR="00F75697" w:rsidRPr="00896011">
        <w:rPr>
          <w:rFonts w:ascii="Tahoma" w:hAnsi="Tahoma" w:cs="Tahoma"/>
        </w:rPr>
        <w:t xml:space="preserve">citada demandante solicita </w:t>
      </w:r>
      <w:r w:rsidR="00DC4A55" w:rsidRPr="00896011">
        <w:rPr>
          <w:rFonts w:ascii="Tahoma" w:hAnsi="Tahoma" w:cs="Tahoma"/>
        </w:rPr>
        <w:t xml:space="preserve">que se declare que tiene derecho a percibir la pensión de sobrevivientes causada por quien fuera su cónyuge, Jairo de Jesús Villa Restrepo. En consecuencia, </w:t>
      </w:r>
      <w:r w:rsidR="00CC14F5">
        <w:rPr>
          <w:rFonts w:ascii="Tahoma" w:hAnsi="Tahoma" w:cs="Tahoma"/>
        </w:rPr>
        <w:t xml:space="preserve">procura </w:t>
      </w:r>
      <w:r w:rsidR="00DC4A55" w:rsidRPr="00896011">
        <w:rPr>
          <w:rFonts w:ascii="Tahoma" w:hAnsi="Tahoma" w:cs="Tahoma"/>
        </w:rPr>
        <w:t xml:space="preserve">que se </w:t>
      </w:r>
      <w:r w:rsidR="00D73B30" w:rsidRPr="00896011">
        <w:rPr>
          <w:rFonts w:ascii="Tahoma" w:hAnsi="Tahoma" w:cs="Tahoma"/>
        </w:rPr>
        <w:t xml:space="preserve">condene a Colpensiones </w:t>
      </w:r>
      <w:r w:rsidR="001C4F71" w:rsidRPr="00896011">
        <w:rPr>
          <w:rFonts w:ascii="Tahoma" w:hAnsi="Tahoma" w:cs="Tahoma"/>
        </w:rPr>
        <w:t xml:space="preserve">a </w:t>
      </w:r>
      <w:r w:rsidR="00F35D35" w:rsidRPr="00896011">
        <w:rPr>
          <w:rFonts w:ascii="Tahoma" w:hAnsi="Tahoma" w:cs="Tahoma"/>
        </w:rPr>
        <w:t xml:space="preserve">que le pague </w:t>
      </w:r>
      <w:r w:rsidR="00D73B30" w:rsidRPr="00896011">
        <w:rPr>
          <w:rFonts w:ascii="Tahoma" w:hAnsi="Tahoma" w:cs="Tahoma"/>
        </w:rPr>
        <w:t xml:space="preserve">la </w:t>
      </w:r>
      <w:r w:rsidR="00DC4A55" w:rsidRPr="00896011">
        <w:rPr>
          <w:rFonts w:ascii="Tahoma" w:hAnsi="Tahoma" w:cs="Tahoma"/>
        </w:rPr>
        <w:t xml:space="preserve">prestación </w:t>
      </w:r>
      <w:r w:rsidR="004379EC">
        <w:rPr>
          <w:rFonts w:ascii="Tahoma" w:hAnsi="Tahoma" w:cs="Tahoma"/>
        </w:rPr>
        <w:t xml:space="preserve">en cuantía del salario mínimo </w:t>
      </w:r>
      <w:r w:rsidR="00DC4A55" w:rsidRPr="00896011">
        <w:rPr>
          <w:rFonts w:ascii="Tahoma" w:hAnsi="Tahoma" w:cs="Tahoma"/>
        </w:rPr>
        <w:t>desde el 28 de octubre de 1995,</w:t>
      </w:r>
      <w:r w:rsidR="007B5B37" w:rsidRPr="00896011">
        <w:rPr>
          <w:rFonts w:ascii="Tahoma" w:hAnsi="Tahoma" w:cs="Tahoma"/>
        </w:rPr>
        <w:t xml:space="preserve"> así como los intereses de mora, las costas </w:t>
      </w:r>
      <w:r w:rsidR="003C57EB" w:rsidRPr="00896011">
        <w:rPr>
          <w:rFonts w:ascii="Tahoma" w:hAnsi="Tahoma" w:cs="Tahoma"/>
        </w:rPr>
        <w:t xml:space="preserve">procesales </w:t>
      </w:r>
      <w:r w:rsidR="007B5B37" w:rsidRPr="00896011">
        <w:rPr>
          <w:rFonts w:ascii="Tahoma" w:hAnsi="Tahoma" w:cs="Tahoma"/>
        </w:rPr>
        <w:t xml:space="preserve">y </w:t>
      </w:r>
      <w:r w:rsidR="00DC4A55" w:rsidRPr="00896011">
        <w:rPr>
          <w:rFonts w:ascii="Tahoma" w:hAnsi="Tahoma" w:cs="Tahoma"/>
        </w:rPr>
        <w:t xml:space="preserve">lo que resulte probado en virtud de las facultades ultra y extra </w:t>
      </w:r>
      <w:proofErr w:type="spellStart"/>
      <w:r w:rsidR="00DC4A55" w:rsidRPr="00896011">
        <w:rPr>
          <w:rFonts w:ascii="Tahoma" w:hAnsi="Tahoma" w:cs="Tahoma"/>
        </w:rPr>
        <w:t>petita</w:t>
      </w:r>
      <w:proofErr w:type="spellEnd"/>
      <w:r w:rsidR="00DC4A55" w:rsidRPr="00896011">
        <w:rPr>
          <w:rFonts w:ascii="Tahoma" w:hAnsi="Tahoma" w:cs="Tahoma"/>
        </w:rPr>
        <w:t>.</w:t>
      </w:r>
    </w:p>
    <w:p w14:paraId="1FDEA367" w14:textId="77777777" w:rsidR="00F75697" w:rsidRPr="00896011" w:rsidRDefault="00F75697" w:rsidP="0017141B">
      <w:pPr>
        <w:widowControl w:val="0"/>
        <w:autoSpaceDE w:val="0"/>
        <w:autoSpaceDN w:val="0"/>
        <w:adjustRightInd w:val="0"/>
        <w:ind w:firstLine="708"/>
        <w:jc w:val="both"/>
        <w:rPr>
          <w:rFonts w:ascii="Tahoma" w:hAnsi="Tahoma" w:cs="Tahoma"/>
        </w:rPr>
      </w:pPr>
    </w:p>
    <w:p w14:paraId="6FBFD024" w14:textId="67F0785D" w:rsidR="007B5B37" w:rsidRPr="00896011" w:rsidRDefault="00F75697" w:rsidP="00E9724F">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Para fundar dichas pretensiones manifiesta que </w:t>
      </w:r>
      <w:r w:rsidR="00C03F4A" w:rsidRPr="00896011">
        <w:rPr>
          <w:rFonts w:ascii="Tahoma" w:hAnsi="Tahoma" w:cs="Tahoma"/>
        </w:rPr>
        <w:t xml:space="preserve">el </w:t>
      </w:r>
      <w:r w:rsidR="00DC4A55" w:rsidRPr="00896011">
        <w:rPr>
          <w:rFonts w:ascii="Tahoma" w:hAnsi="Tahoma" w:cs="Tahoma"/>
        </w:rPr>
        <w:t>28 de octubre de 1995</w:t>
      </w:r>
      <w:r w:rsidR="00F35D35" w:rsidRPr="00896011">
        <w:rPr>
          <w:rFonts w:ascii="Tahoma" w:hAnsi="Tahoma" w:cs="Tahoma"/>
        </w:rPr>
        <w:t xml:space="preserve"> falleció el </w:t>
      </w:r>
      <w:r w:rsidR="003C57EB" w:rsidRPr="00896011">
        <w:rPr>
          <w:rFonts w:ascii="Tahoma" w:hAnsi="Tahoma" w:cs="Tahoma"/>
        </w:rPr>
        <w:t>aludido causante</w:t>
      </w:r>
      <w:r w:rsidR="00DC4A55" w:rsidRPr="00896011">
        <w:rPr>
          <w:rFonts w:ascii="Tahoma" w:hAnsi="Tahoma" w:cs="Tahoma"/>
        </w:rPr>
        <w:t>, con quien contrajo matrimonio el 28 de septiembre de 1975, compartiendo lecho desde entonces y hasta la muerte de aquel.</w:t>
      </w:r>
      <w:r w:rsidR="005B3E8E" w:rsidRPr="00896011">
        <w:rPr>
          <w:rFonts w:ascii="Tahoma" w:hAnsi="Tahoma" w:cs="Tahoma"/>
        </w:rPr>
        <w:t xml:space="preserve"> </w:t>
      </w:r>
      <w:r w:rsidR="00040A54" w:rsidRPr="00896011">
        <w:rPr>
          <w:rFonts w:ascii="Tahoma" w:hAnsi="Tahoma" w:cs="Tahoma"/>
        </w:rPr>
        <w:t>Agrega</w:t>
      </w:r>
      <w:r w:rsidR="007B5B37" w:rsidRPr="00896011">
        <w:rPr>
          <w:rFonts w:ascii="Tahoma" w:hAnsi="Tahoma" w:cs="Tahoma"/>
        </w:rPr>
        <w:t xml:space="preserve"> que </w:t>
      </w:r>
      <w:r w:rsidR="00040A54" w:rsidRPr="00896011">
        <w:rPr>
          <w:rFonts w:ascii="Tahoma" w:hAnsi="Tahoma" w:cs="Tahoma"/>
        </w:rPr>
        <w:t xml:space="preserve">el causante cotizó un total de 829.99 semanas al ISS entre el 26 de abril de 1976 y el 14 de febrero de 1993, motivo por el cual solicitó </w:t>
      </w:r>
      <w:r w:rsidR="00CC14F5" w:rsidRPr="00896011">
        <w:rPr>
          <w:rFonts w:ascii="Tahoma" w:hAnsi="Tahoma" w:cs="Tahoma"/>
        </w:rPr>
        <w:t>el 18 de septiembre de 2013</w:t>
      </w:r>
      <w:r w:rsidR="003733B3">
        <w:rPr>
          <w:rFonts w:ascii="Tahoma" w:hAnsi="Tahoma" w:cs="Tahoma"/>
        </w:rPr>
        <w:t xml:space="preserve"> </w:t>
      </w:r>
      <w:r w:rsidR="00040A54" w:rsidRPr="00896011">
        <w:rPr>
          <w:rFonts w:ascii="Tahoma" w:hAnsi="Tahoma" w:cs="Tahoma"/>
        </w:rPr>
        <w:t xml:space="preserve">el reconocimiento de la pensión de sobrevivientes, </w:t>
      </w:r>
      <w:r w:rsidR="003733B3">
        <w:rPr>
          <w:rFonts w:ascii="Tahoma" w:hAnsi="Tahoma" w:cs="Tahoma"/>
        </w:rPr>
        <w:t xml:space="preserve">la </w:t>
      </w:r>
      <w:r w:rsidR="00CC14F5">
        <w:rPr>
          <w:rFonts w:ascii="Tahoma" w:hAnsi="Tahoma" w:cs="Tahoma"/>
        </w:rPr>
        <w:t xml:space="preserve">cual </w:t>
      </w:r>
      <w:r w:rsidR="00040A54" w:rsidRPr="00896011">
        <w:rPr>
          <w:rFonts w:ascii="Tahoma" w:hAnsi="Tahoma" w:cs="Tahoma"/>
        </w:rPr>
        <w:t>le fue negad</w:t>
      </w:r>
      <w:r w:rsidR="00CC14F5">
        <w:rPr>
          <w:rFonts w:ascii="Tahoma" w:hAnsi="Tahoma" w:cs="Tahoma"/>
        </w:rPr>
        <w:t>a</w:t>
      </w:r>
      <w:r w:rsidR="00040A54" w:rsidRPr="00896011">
        <w:rPr>
          <w:rFonts w:ascii="Tahoma" w:hAnsi="Tahoma" w:cs="Tahoma"/>
        </w:rPr>
        <w:t xml:space="preserve"> mediante </w:t>
      </w:r>
      <w:r w:rsidR="00CC14F5">
        <w:rPr>
          <w:rFonts w:ascii="Tahoma" w:hAnsi="Tahoma" w:cs="Tahoma"/>
        </w:rPr>
        <w:t xml:space="preserve">la </w:t>
      </w:r>
      <w:r w:rsidR="00CC14F5" w:rsidRPr="00896011">
        <w:rPr>
          <w:rFonts w:ascii="Tahoma" w:hAnsi="Tahoma" w:cs="Tahoma"/>
        </w:rPr>
        <w:t xml:space="preserve">Resolución </w:t>
      </w:r>
      <w:r w:rsidR="00CC14F5">
        <w:rPr>
          <w:rFonts w:ascii="Tahoma" w:hAnsi="Tahoma" w:cs="Tahoma"/>
        </w:rPr>
        <w:t xml:space="preserve">No. </w:t>
      </w:r>
      <w:r w:rsidR="00040A54" w:rsidRPr="00896011">
        <w:rPr>
          <w:rFonts w:ascii="Tahoma" w:hAnsi="Tahoma" w:cs="Tahoma"/>
        </w:rPr>
        <w:t xml:space="preserve">GNR 175938 del 19 de mayo de 2014, </w:t>
      </w:r>
      <w:r w:rsidR="00CC14F5">
        <w:rPr>
          <w:rFonts w:ascii="Tahoma" w:hAnsi="Tahoma" w:cs="Tahoma"/>
        </w:rPr>
        <w:t xml:space="preserve">quedando agotada de esa manera la </w:t>
      </w:r>
      <w:r w:rsidR="00040A54" w:rsidRPr="00896011">
        <w:rPr>
          <w:rFonts w:ascii="Tahoma" w:hAnsi="Tahoma" w:cs="Tahoma"/>
        </w:rPr>
        <w:t>vía administrativa.</w:t>
      </w:r>
    </w:p>
    <w:p w14:paraId="7BE81C91" w14:textId="251C14AF" w:rsidR="00F70EF6" w:rsidRPr="00896011" w:rsidRDefault="00D444BF" w:rsidP="00681318">
      <w:pPr>
        <w:widowControl w:val="0"/>
        <w:autoSpaceDE w:val="0"/>
        <w:autoSpaceDN w:val="0"/>
        <w:adjustRightInd w:val="0"/>
        <w:ind w:firstLine="708"/>
        <w:jc w:val="both"/>
        <w:rPr>
          <w:rFonts w:ascii="Tahoma" w:hAnsi="Tahoma" w:cs="Tahoma"/>
        </w:rPr>
      </w:pPr>
      <w:r w:rsidRPr="00896011">
        <w:rPr>
          <w:rFonts w:ascii="Tahoma" w:hAnsi="Tahoma" w:cs="Tahoma"/>
        </w:rPr>
        <w:t xml:space="preserve"> </w:t>
      </w:r>
    </w:p>
    <w:p w14:paraId="206F92D9" w14:textId="387E79AF" w:rsidR="00A01D9E" w:rsidRPr="00896011" w:rsidRDefault="00C47C71" w:rsidP="00E9724F">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Colpensiones </w:t>
      </w:r>
      <w:r w:rsidR="00794A40" w:rsidRPr="00896011">
        <w:rPr>
          <w:rFonts w:ascii="Tahoma" w:hAnsi="Tahoma" w:cs="Tahoma"/>
        </w:rPr>
        <w:t>contestó la demanda</w:t>
      </w:r>
      <w:r w:rsidR="00633D46" w:rsidRPr="00896011">
        <w:rPr>
          <w:rFonts w:ascii="Tahoma" w:hAnsi="Tahoma" w:cs="Tahoma"/>
        </w:rPr>
        <w:t xml:space="preserve"> aceptando como ciertos </w:t>
      </w:r>
      <w:r w:rsidR="0012246B" w:rsidRPr="00896011">
        <w:rPr>
          <w:rFonts w:ascii="Tahoma" w:hAnsi="Tahoma" w:cs="Tahoma"/>
        </w:rPr>
        <w:t xml:space="preserve">todos </w:t>
      </w:r>
      <w:r w:rsidR="00813FA7" w:rsidRPr="00896011">
        <w:rPr>
          <w:rFonts w:ascii="Tahoma" w:hAnsi="Tahoma" w:cs="Tahoma"/>
        </w:rPr>
        <w:t>los hechos</w:t>
      </w:r>
      <w:r w:rsidR="00080D19">
        <w:rPr>
          <w:rFonts w:ascii="Tahoma" w:hAnsi="Tahoma" w:cs="Tahoma"/>
        </w:rPr>
        <w:t xml:space="preserve"> de la misma</w:t>
      </w:r>
      <w:r w:rsidR="0012246B" w:rsidRPr="00896011">
        <w:rPr>
          <w:rFonts w:ascii="Tahoma" w:hAnsi="Tahoma" w:cs="Tahoma"/>
        </w:rPr>
        <w:t>, salvo aque</w:t>
      </w:r>
      <w:r w:rsidR="00DE29CD" w:rsidRPr="00896011">
        <w:rPr>
          <w:rFonts w:ascii="Tahoma" w:hAnsi="Tahoma" w:cs="Tahoma"/>
        </w:rPr>
        <w:t xml:space="preserve">l que refiere la convivencia </w:t>
      </w:r>
      <w:r w:rsidR="00FC45E4" w:rsidRPr="00896011">
        <w:rPr>
          <w:rFonts w:ascii="Tahoma" w:hAnsi="Tahoma" w:cs="Tahoma"/>
        </w:rPr>
        <w:t xml:space="preserve">entre la </w:t>
      </w:r>
      <w:r w:rsidR="00DE29CD" w:rsidRPr="00896011">
        <w:rPr>
          <w:rFonts w:ascii="Tahoma" w:hAnsi="Tahoma" w:cs="Tahoma"/>
        </w:rPr>
        <w:t>demandante y el causante</w:t>
      </w:r>
      <w:r w:rsidR="00766560" w:rsidRPr="00896011">
        <w:rPr>
          <w:rFonts w:ascii="Tahoma" w:hAnsi="Tahoma" w:cs="Tahoma"/>
        </w:rPr>
        <w:t>,</w:t>
      </w:r>
      <w:r w:rsidR="00FC45E4" w:rsidRPr="00896011">
        <w:rPr>
          <w:rFonts w:ascii="Tahoma" w:hAnsi="Tahoma" w:cs="Tahoma"/>
        </w:rPr>
        <w:t xml:space="preserve"> frente a</w:t>
      </w:r>
      <w:r w:rsidR="00DE29CD" w:rsidRPr="00896011">
        <w:rPr>
          <w:rFonts w:ascii="Tahoma" w:hAnsi="Tahoma" w:cs="Tahoma"/>
        </w:rPr>
        <w:t>l cual manifestó que no</w:t>
      </w:r>
      <w:r w:rsidR="00FC45E4" w:rsidRPr="00896011">
        <w:rPr>
          <w:rFonts w:ascii="Tahoma" w:hAnsi="Tahoma" w:cs="Tahoma"/>
        </w:rPr>
        <w:t xml:space="preserve"> le constaba</w:t>
      </w:r>
      <w:r w:rsidR="00A01D9E" w:rsidRPr="00896011">
        <w:rPr>
          <w:rFonts w:ascii="Tahoma" w:hAnsi="Tahoma" w:cs="Tahoma"/>
        </w:rPr>
        <w:t xml:space="preserve">. Seguidamente se opuso a la totalidad de las pretensiones y propuso como excepciones perentorias las que denominó </w:t>
      </w:r>
      <w:r w:rsidR="003A0E29" w:rsidRPr="00896011">
        <w:rPr>
          <w:rFonts w:ascii="Tahoma" w:hAnsi="Tahoma" w:cs="Tahoma"/>
        </w:rPr>
        <w:t>“</w:t>
      </w:r>
      <w:r w:rsidR="00A01D9E" w:rsidRPr="00896011">
        <w:rPr>
          <w:rFonts w:ascii="Tahoma" w:hAnsi="Tahoma" w:cs="Tahoma"/>
        </w:rPr>
        <w:t xml:space="preserve">Inexistencia </w:t>
      </w:r>
      <w:r w:rsidR="00FC45E4" w:rsidRPr="00896011">
        <w:rPr>
          <w:rFonts w:ascii="Tahoma" w:hAnsi="Tahoma" w:cs="Tahoma"/>
        </w:rPr>
        <w:t>de la obligación demandada” y</w:t>
      </w:r>
      <w:r w:rsidR="00A01D9E" w:rsidRPr="00896011">
        <w:rPr>
          <w:rFonts w:ascii="Tahoma" w:hAnsi="Tahoma" w:cs="Tahoma"/>
        </w:rPr>
        <w:t xml:space="preserve"> “Prescripción”</w:t>
      </w:r>
      <w:r w:rsidR="00FC45E4" w:rsidRPr="00896011">
        <w:rPr>
          <w:rFonts w:ascii="Tahoma" w:hAnsi="Tahoma" w:cs="Tahoma"/>
        </w:rPr>
        <w:t>.</w:t>
      </w:r>
    </w:p>
    <w:p w14:paraId="613AD5B9" w14:textId="4ACE64D2" w:rsidR="00B1619D" w:rsidRPr="00896011" w:rsidRDefault="00B1619D" w:rsidP="00681318">
      <w:pPr>
        <w:widowControl w:val="0"/>
        <w:autoSpaceDE w:val="0"/>
        <w:autoSpaceDN w:val="0"/>
        <w:adjustRightInd w:val="0"/>
        <w:jc w:val="both"/>
        <w:rPr>
          <w:rFonts w:ascii="Tahoma" w:hAnsi="Tahoma" w:cs="Tahoma"/>
        </w:rPr>
      </w:pPr>
    </w:p>
    <w:p w14:paraId="2925F4F2" w14:textId="77777777" w:rsidR="009A4059" w:rsidRPr="00896011" w:rsidRDefault="006E78E8" w:rsidP="00E9724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896011">
        <w:rPr>
          <w:rFonts w:ascii="Tahoma" w:hAnsi="Tahoma" w:cs="Tahoma"/>
          <w:b/>
        </w:rPr>
        <w:t>La sentencia de primera instancia</w:t>
      </w:r>
    </w:p>
    <w:p w14:paraId="3032C07B" w14:textId="77777777" w:rsidR="00B1619D" w:rsidRPr="00896011" w:rsidRDefault="00B1619D" w:rsidP="00D04522">
      <w:pPr>
        <w:widowControl w:val="0"/>
        <w:autoSpaceDE w:val="0"/>
        <w:autoSpaceDN w:val="0"/>
        <w:adjustRightInd w:val="0"/>
        <w:jc w:val="center"/>
        <w:rPr>
          <w:rFonts w:ascii="Tahoma" w:hAnsi="Tahoma" w:cs="Tahoma"/>
          <w:b/>
        </w:rPr>
      </w:pPr>
    </w:p>
    <w:p w14:paraId="3299A7C8" w14:textId="46B15C56" w:rsidR="00D01A77" w:rsidRPr="00896011" w:rsidRDefault="004A43E7" w:rsidP="00E9724F">
      <w:pPr>
        <w:tabs>
          <w:tab w:val="left" w:pos="748"/>
        </w:tabs>
        <w:spacing w:line="276" w:lineRule="auto"/>
        <w:jc w:val="both"/>
        <w:rPr>
          <w:rFonts w:ascii="Tahoma" w:hAnsi="Tahoma" w:cs="Tahoma"/>
        </w:rPr>
      </w:pPr>
      <w:r w:rsidRPr="00896011">
        <w:rPr>
          <w:rFonts w:ascii="Tahoma" w:hAnsi="Tahoma" w:cs="Tahoma"/>
        </w:rPr>
        <w:tab/>
      </w:r>
      <w:r w:rsidR="009A4059" w:rsidRPr="00896011">
        <w:rPr>
          <w:rFonts w:ascii="Tahoma" w:hAnsi="Tahoma" w:cs="Tahoma"/>
        </w:rPr>
        <w:t xml:space="preserve">La </w:t>
      </w:r>
      <w:r w:rsidR="0003464F" w:rsidRPr="00896011">
        <w:rPr>
          <w:rFonts w:ascii="Tahoma" w:hAnsi="Tahoma" w:cs="Tahoma"/>
        </w:rPr>
        <w:t>Juez</w:t>
      </w:r>
      <w:r w:rsidR="00A1731C" w:rsidRPr="00896011">
        <w:rPr>
          <w:rFonts w:ascii="Tahoma" w:hAnsi="Tahoma" w:cs="Tahoma"/>
        </w:rPr>
        <w:t>a</w:t>
      </w:r>
      <w:r w:rsidR="0003464F" w:rsidRPr="00896011">
        <w:rPr>
          <w:rFonts w:ascii="Tahoma" w:hAnsi="Tahoma" w:cs="Tahoma"/>
        </w:rPr>
        <w:t xml:space="preserve"> </w:t>
      </w:r>
      <w:r w:rsidR="009A4059" w:rsidRPr="00896011">
        <w:rPr>
          <w:rFonts w:ascii="Tahoma" w:hAnsi="Tahoma" w:cs="Tahoma"/>
        </w:rPr>
        <w:t xml:space="preserve">de conocimiento </w:t>
      </w:r>
      <w:r w:rsidR="00F42839" w:rsidRPr="00896011">
        <w:rPr>
          <w:rFonts w:ascii="Tahoma" w:hAnsi="Tahoma" w:cs="Tahoma"/>
        </w:rPr>
        <w:t xml:space="preserve">declaró </w:t>
      </w:r>
      <w:r w:rsidR="00741E19" w:rsidRPr="00896011">
        <w:rPr>
          <w:rFonts w:ascii="Tahoma" w:hAnsi="Tahoma" w:cs="Tahoma"/>
        </w:rPr>
        <w:t xml:space="preserve">que el señor </w:t>
      </w:r>
      <w:r w:rsidR="009B6567" w:rsidRPr="00896011">
        <w:rPr>
          <w:rFonts w:ascii="Tahoma" w:hAnsi="Tahoma" w:cs="Tahoma"/>
        </w:rPr>
        <w:t>Jairo de Jesús Villa Restrepo</w:t>
      </w:r>
      <w:r w:rsidR="00741E19" w:rsidRPr="00896011">
        <w:rPr>
          <w:rFonts w:ascii="Tahoma" w:hAnsi="Tahoma" w:cs="Tahoma"/>
        </w:rPr>
        <w:t xml:space="preserve"> dejó causada la pensión de sobrevivientes atendiendo la condición más beneficiosa</w:t>
      </w:r>
      <w:r w:rsidR="00080D19">
        <w:rPr>
          <w:rFonts w:ascii="Tahoma" w:hAnsi="Tahoma" w:cs="Tahoma"/>
        </w:rPr>
        <w:t>,</w:t>
      </w:r>
      <w:r w:rsidR="005B4946" w:rsidRPr="00896011">
        <w:rPr>
          <w:rFonts w:ascii="Tahoma" w:hAnsi="Tahoma" w:cs="Tahoma"/>
        </w:rPr>
        <w:t xml:space="preserve"> y</w:t>
      </w:r>
      <w:r w:rsidR="00741E19" w:rsidRPr="00896011">
        <w:rPr>
          <w:rFonts w:ascii="Tahoma" w:hAnsi="Tahoma" w:cs="Tahoma"/>
        </w:rPr>
        <w:t xml:space="preserve"> que la señora </w:t>
      </w:r>
      <w:r w:rsidR="009B6567" w:rsidRPr="00896011">
        <w:rPr>
          <w:rFonts w:ascii="Tahoma" w:hAnsi="Tahoma" w:cs="Tahoma"/>
        </w:rPr>
        <w:t>Martha Cecilia Sierra de Villa</w:t>
      </w:r>
      <w:r w:rsidR="00080D19">
        <w:rPr>
          <w:rFonts w:ascii="Tahoma" w:hAnsi="Tahoma" w:cs="Tahoma"/>
        </w:rPr>
        <w:t>,</w:t>
      </w:r>
      <w:r w:rsidR="00723B92" w:rsidRPr="00896011">
        <w:rPr>
          <w:rFonts w:ascii="Tahoma" w:hAnsi="Tahoma" w:cs="Tahoma"/>
        </w:rPr>
        <w:t xml:space="preserve"> en su condición de </w:t>
      </w:r>
      <w:r w:rsidR="00080D19">
        <w:rPr>
          <w:rFonts w:ascii="Tahoma" w:hAnsi="Tahoma" w:cs="Tahoma"/>
        </w:rPr>
        <w:t>cónyuge supérstite</w:t>
      </w:r>
      <w:r w:rsidR="00723B92" w:rsidRPr="00896011">
        <w:rPr>
          <w:rFonts w:ascii="Tahoma" w:hAnsi="Tahoma" w:cs="Tahoma"/>
        </w:rPr>
        <w:t xml:space="preserve">, tiene la calidad de beneficiaria de </w:t>
      </w:r>
      <w:r w:rsidR="005B4946" w:rsidRPr="00896011">
        <w:rPr>
          <w:rFonts w:ascii="Tahoma" w:hAnsi="Tahoma" w:cs="Tahoma"/>
        </w:rPr>
        <w:t>esa prestación. C</w:t>
      </w:r>
      <w:r w:rsidR="00B059D1" w:rsidRPr="00896011">
        <w:rPr>
          <w:rFonts w:ascii="Tahoma" w:hAnsi="Tahoma" w:cs="Tahoma"/>
        </w:rPr>
        <w:t>omo consecuencia de lo anterior, condenó a Colpensiones a reconocer</w:t>
      </w:r>
      <w:r w:rsidR="00D04522" w:rsidRPr="00896011">
        <w:rPr>
          <w:rFonts w:ascii="Tahoma" w:hAnsi="Tahoma" w:cs="Tahoma"/>
        </w:rPr>
        <w:t>le</w:t>
      </w:r>
      <w:r w:rsidR="00B059D1" w:rsidRPr="00896011">
        <w:rPr>
          <w:rFonts w:ascii="Tahoma" w:hAnsi="Tahoma" w:cs="Tahoma"/>
        </w:rPr>
        <w:t xml:space="preserve"> la aludida </w:t>
      </w:r>
      <w:r w:rsidR="00D01A77" w:rsidRPr="00896011">
        <w:rPr>
          <w:rFonts w:ascii="Tahoma" w:hAnsi="Tahoma" w:cs="Tahoma"/>
        </w:rPr>
        <w:t>pensión</w:t>
      </w:r>
      <w:r w:rsidR="009B6567" w:rsidRPr="00896011">
        <w:rPr>
          <w:rFonts w:ascii="Tahoma" w:hAnsi="Tahoma" w:cs="Tahoma"/>
        </w:rPr>
        <w:t xml:space="preserve">, </w:t>
      </w:r>
      <w:r w:rsidR="00B059D1" w:rsidRPr="00896011">
        <w:rPr>
          <w:rFonts w:ascii="Tahoma" w:hAnsi="Tahoma" w:cs="Tahoma"/>
        </w:rPr>
        <w:t xml:space="preserve">incluyéndola </w:t>
      </w:r>
      <w:r w:rsidR="007D3556" w:rsidRPr="00896011">
        <w:rPr>
          <w:rFonts w:ascii="Tahoma" w:hAnsi="Tahoma" w:cs="Tahoma"/>
        </w:rPr>
        <w:t xml:space="preserve">en nómina de pensionados </w:t>
      </w:r>
      <w:r w:rsidR="00B059D1" w:rsidRPr="00896011">
        <w:rPr>
          <w:rFonts w:ascii="Tahoma" w:hAnsi="Tahoma" w:cs="Tahoma"/>
        </w:rPr>
        <w:t xml:space="preserve">a partir del mes de </w:t>
      </w:r>
      <w:r w:rsidR="009B6567" w:rsidRPr="00896011">
        <w:rPr>
          <w:rFonts w:ascii="Tahoma" w:hAnsi="Tahoma" w:cs="Tahoma"/>
        </w:rPr>
        <w:t>enero</w:t>
      </w:r>
      <w:r w:rsidR="00B059D1" w:rsidRPr="00896011">
        <w:rPr>
          <w:rFonts w:ascii="Tahoma" w:hAnsi="Tahoma" w:cs="Tahoma"/>
        </w:rPr>
        <w:t xml:space="preserve"> de 2015</w:t>
      </w:r>
      <w:r w:rsidR="004F4E62" w:rsidRPr="00896011">
        <w:rPr>
          <w:rFonts w:ascii="Tahoma" w:hAnsi="Tahoma" w:cs="Tahoma"/>
        </w:rPr>
        <w:t xml:space="preserve">, </w:t>
      </w:r>
      <w:r w:rsidR="00080D19">
        <w:rPr>
          <w:rFonts w:ascii="Tahoma" w:hAnsi="Tahoma" w:cs="Tahoma"/>
        </w:rPr>
        <w:t xml:space="preserve">con una </w:t>
      </w:r>
      <w:r w:rsidR="004F4E62" w:rsidRPr="00896011">
        <w:rPr>
          <w:rFonts w:ascii="Tahoma" w:hAnsi="Tahoma" w:cs="Tahoma"/>
        </w:rPr>
        <w:t xml:space="preserve">mesada pensional </w:t>
      </w:r>
      <w:r w:rsidR="00080D19">
        <w:rPr>
          <w:rFonts w:ascii="Tahoma" w:hAnsi="Tahoma" w:cs="Tahoma"/>
        </w:rPr>
        <w:t xml:space="preserve">de </w:t>
      </w:r>
      <w:r w:rsidR="004F4E62" w:rsidRPr="00896011">
        <w:rPr>
          <w:rFonts w:ascii="Tahoma" w:hAnsi="Tahoma" w:cs="Tahoma"/>
        </w:rPr>
        <w:t>$945.559</w:t>
      </w:r>
      <w:r w:rsidR="00080D19">
        <w:rPr>
          <w:rFonts w:ascii="Tahoma" w:hAnsi="Tahoma" w:cs="Tahoma"/>
        </w:rPr>
        <w:t xml:space="preserve"> para esa anualidad</w:t>
      </w:r>
      <w:r w:rsidR="00D01A77" w:rsidRPr="00896011">
        <w:rPr>
          <w:rFonts w:ascii="Tahoma" w:hAnsi="Tahoma" w:cs="Tahoma"/>
        </w:rPr>
        <w:t xml:space="preserve">, así como </w:t>
      </w:r>
      <w:r w:rsidR="00B059D1" w:rsidRPr="00896011">
        <w:rPr>
          <w:rFonts w:ascii="Tahoma" w:hAnsi="Tahoma" w:cs="Tahoma"/>
        </w:rPr>
        <w:t>a pagar</w:t>
      </w:r>
      <w:r w:rsidR="00D01A77" w:rsidRPr="00896011">
        <w:rPr>
          <w:rFonts w:ascii="Tahoma" w:hAnsi="Tahoma" w:cs="Tahoma"/>
        </w:rPr>
        <w:t>le</w:t>
      </w:r>
      <w:r w:rsidR="00B059D1" w:rsidRPr="00896011">
        <w:rPr>
          <w:rFonts w:ascii="Tahoma" w:hAnsi="Tahoma" w:cs="Tahoma"/>
        </w:rPr>
        <w:t xml:space="preserve"> como ret</w:t>
      </w:r>
      <w:r w:rsidR="004F4E62" w:rsidRPr="00896011">
        <w:rPr>
          <w:rFonts w:ascii="Tahoma" w:hAnsi="Tahoma" w:cs="Tahoma"/>
        </w:rPr>
        <w:t>roactivo pensional la suma de $52</w:t>
      </w:r>
      <w:r w:rsidR="00B059D1" w:rsidRPr="00896011">
        <w:rPr>
          <w:rFonts w:ascii="Tahoma" w:hAnsi="Tahoma" w:cs="Tahoma"/>
        </w:rPr>
        <w:t>.</w:t>
      </w:r>
      <w:r w:rsidR="004F4E62" w:rsidRPr="00896011">
        <w:rPr>
          <w:rFonts w:ascii="Tahoma" w:hAnsi="Tahoma" w:cs="Tahoma"/>
        </w:rPr>
        <w:t>914.250</w:t>
      </w:r>
      <w:r w:rsidR="00B059D1" w:rsidRPr="00896011">
        <w:rPr>
          <w:rFonts w:ascii="Tahoma" w:hAnsi="Tahoma" w:cs="Tahoma"/>
        </w:rPr>
        <w:t>, correspondiente a las mesadas causadas entre el 1</w:t>
      </w:r>
      <w:r w:rsidR="009B6567" w:rsidRPr="00896011">
        <w:rPr>
          <w:rFonts w:ascii="Tahoma" w:hAnsi="Tahoma" w:cs="Tahoma"/>
        </w:rPr>
        <w:t>8 de septiembre de 2010 y el 31 de diciembre de 2014</w:t>
      </w:r>
      <w:r w:rsidR="00D01A77" w:rsidRPr="00896011">
        <w:rPr>
          <w:rFonts w:ascii="Tahoma" w:hAnsi="Tahoma" w:cs="Tahoma"/>
        </w:rPr>
        <w:t>.</w:t>
      </w:r>
    </w:p>
    <w:p w14:paraId="15DDE470" w14:textId="77777777" w:rsidR="00D01A77" w:rsidRPr="00896011" w:rsidRDefault="00D01A77" w:rsidP="00D01A77">
      <w:pPr>
        <w:tabs>
          <w:tab w:val="left" w:pos="748"/>
        </w:tabs>
        <w:jc w:val="both"/>
        <w:rPr>
          <w:rFonts w:ascii="Tahoma" w:hAnsi="Tahoma" w:cs="Tahoma"/>
        </w:rPr>
      </w:pPr>
    </w:p>
    <w:p w14:paraId="689B81BA" w14:textId="7B132B4B" w:rsidR="00741E19" w:rsidRPr="00896011" w:rsidRDefault="00D01A77" w:rsidP="00E9724F">
      <w:pPr>
        <w:tabs>
          <w:tab w:val="left" w:pos="748"/>
        </w:tabs>
        <w:spacing w:line="276" w:lineRule="auto"/>
        <w:jc w:val="both"/>
        <w:rPr>
          <w:rFonts w:ascii="Tahoma" w:hAnsi="Tahoma" w:cs="Tahoma"/>
        </w:rPr>
      </w:pPr>
      <w:r w:rsidRPr="00896011">
        <w:rPr>
          <w:rFonts w:ascii="Tahoma" w:hAnsi="Tahoma" w:cs="Tahoma"/>
        </w:rPr>
        <w:tab/>
        <w:t xml:space="preserve">Por otra parte, </w:t>
      </w:r>
      <w:r w:rsidR="00642FA4" w:rsidRPr="00896011">
        <w:rPr>
          <w:rFonts w:ascii="Tahoma" w:hAnsi="Tahoma" w:cs="Tahoma"/>
        </w:rPr>
        <w:t>autori</w:t>
      </w:r>
      <w:r w:rsidR="00510D66" w:rsidRPr="00896011">
        <w:rPr>
          <w:rFonts w:ascii="Tahoma" w:hAnsi="Tahoma" w:cs="Tahoma"/>
        </w:rPr>
        <w:t>zó a Colpensiones a descontar el valor</w:t>
      </w:r>
      <w:r w:rsidR="00642FA4" w:rsidRPr="00896011">
        <w:rPr>
          <w:rFonts w:ascii="Tahoma" w:hAnsi="Tahoma" w:cs="Tahoma"/>
        </w:rPr>
        <w:t xml:space="preserve"> correspondiente</w:t>
      </w:r>
      <w:r w:rsidR="00510D66" w:rsidRPr="00896011">
        <w:rPr>
          <w:rFonts w:ascii="Tahoma" w:hAnsi="Tahoma" w:cs="Tahoma"/>
        </w:rPr>
        <w:t xml:space="preserve"> a</w:t>
      </w:r>
      <w:r w:rsidR="00642FA4" w:rsidRPr="00896011">
        <w:rPr>
          <w:rFonts w:ascii="Tahoma" w:hAnsi="Tahoma" w:cs="Tahoma"/>
        </w:rPr>
        <w:t xml:space="preserve"> </w:t>
      </w:r>
      <w:r w:rsidR="005A7CB6" w:rsidRPr="00896011">
        <w:rPr>
          <w:rFonts w:ascii="Tahoma" w:hAnsi="Tahoma" w:cs="Tahoma"/>
        </w:rPr>
        <w:t xml:space="preserve">la indemnización sustitutiva cancelada </w:t>
      </w:r>
      <w:r w:rsidR="00510D66" w:rsidRPr="00896011">
        <w:rPr>
          <w:rFonts w:ascii="Tahoma" w:hAnsi="Tahoma" w:cs="Tahoma"/>
        </w:rPr>
        <w:t>a la demandante, debidamente indexado</w:t>
      </w:r>
      <w:r w:rsidR="005A7CB6" w:rsidRPr="00896011">
        <w:rPr>
          <w:rFonts w:ascii="Tahoma" w:hAnsi="Tahoma" w:cs="Tahoma"/>
        </w:rPr>
        <w:t>;</w:t>
      </w:r>
      <w:r w:rsidR="00E46E2C" w:rsidRPr="00896011">
        <w:rPr>
          <w:rFonts w:ascii="Tahoma" w:hAnsi="Tahoma" w:cs="Tahoma"/>
        </w:rPr>
        <w:t xml:space="preserve"> </w:t>
      </w:r>
      <w:r w:rsidR="00510D66" w:rsidRPr="00896011">
        <w:rPr>
          <w:rFonts w:ascii="Tahoma" w:hAnsi="Tahoma" w:cs="Tahoma"/>
        </w:rPr>
        <w:t>declaró probada parcialmente la excepción de prescripción respecto a las mesadas causadas con antelación al 18 de septiembre de 2010 y no probada la de inexistencia de la obligación</w:t>
      </w:r>
      <w:r w:rsidR="00080D19">
        <w:rPr>
          <w:rFonts w:ascii="Tahoma" w:hAnsi="Tahoma" w:cs="Tahoma"/>
        </w:rPr>
        <w:t>;</w:t>
      </w:r>
      <w:r w:rsidR="00510D66" w:rsidRPr="00896011">
        <w:rPr>
          <w:rFonts w:ascii="Tahoma" w:hAnsi="Tahoma" w:cs="Tahoma"/>
        </w:rPr>
        <w:t xml:space="preserve"> </w:t>
      </w:r>
      <w:r w:rsidR="00080D19">
        <w:rPr>
          <w:rFonts w:ascii="Tahoma" w:hAnsi="Tahoma" w:cs="Tahoma"/>
        </w:rPr>
        <w:t>n</w:t>
      </w:r>
      <w:r w:rsidR="00510D66" w:rsidRPr="00896011">
        <w:rPr>
          <w:rFonts w:ascii="Tahoma" w:hAnsi="Tahoma" w:cs="Tahoma"/>
        </w:rPr>
        <w:t>egó las demás pretensiones de la demanda</w:t>
      </w:r>
      <w:r w:rsidR="004B3514" w:rsidRPr="00896011">
        <w:rPr>
          <w:rFonts w:ascii="Tahoma" w:hAnsi="Tahoma" w:cs="Tahoma"/>
        </w:rPr>
        <w:t xml:space="preserve"> </w:t>
      </w:r>
      <w:r w:rsidR="00A44585" w:rsidRPr="00896011">
        <w:rPr>
          <w:rFonts w:ascii="Tahoma" w:hAnsi="Tahoma" w:cs="Tahoma"/>
        </w:rPr>
        <w:t>y condenó en costas procesales a la demandada en un 80%.</w:t>
      </w:r>
      <w:r w:rsidR="00B059D1" w:rsidRPr="00896011">
        <w:rPr>
          <w:rFonts w:ascii="Tahoma" w:hAnsi="Tahoma" w:cs="Tahoma"/>
        </w:rPr>
        <w:t xml:space="preserve"> </w:t>
      </w:r>
    </w:p>
    <w:p w14:paraId="3D9CDE68" w14:textId="77777777" w:rsidR="000B6A24" w:rsidRPr="00896011" w:rsidRDefault="000B6A24" w:rsidP="00E9724F">
      <w:pPr>
        <w:tabs>
          <w:tab w:val="left" w:pos="748"/>
        </w:tabs>
        <w:spacing w:line="276" w:lineRule="auto"/>
        <w:jc w:val="both"/>
        <w:rPr>
          <w:rFonts w:ascii="Tahoma" w:hAnsi="Tahoma" w:cs="Tahoma"/>
        </w:rPr>
      </w:pPr>
    </w:p>
    <w:p w14:paraId="71F37FA6" w14:textId="3921A287" w:rsidR="00D04522" w:rsidRDefault="00EA1312" w:rsidP="00D04522">
      <w:pPr>
        <w:spacing w:line="276" w:lineRule="auto"/>
        <w:jc w:val="both"/>
        <w:rPr>
          <w:rFonts w:ascii="Tahoma" w:hAnsi="Tahoma" w:cs="Tahoma"/>
        </w:rPr>
      </w:pPr>
      <w:r w:rsidRPr="00896011">
        <w:rPr>
          <w:rFonts w:ascii="Tahoma" w:hAnsi="Tahoma" w:cs="Tahoma"/>
        </w:rPr>
        <w:tab/>
      </w:r>
      <w:r w:rsidR="005B2066" w:rsidRPr="00896011">
        <w:rPr>
          <w:rFonts w:ascii="Tahoma" w:hAnsi="Tahoma" w:cs="Tahoma"/>
        </w:rPr>
        <w:t xml:space="preserve">Para llegar a tal determinación la A-quo consideró, en síntesis, </w:t>
      </w:r>
      <w:r w:rsidR="00C81169" w:rsidRPr="00896011">
        <w:rPr>
          <w:rFonts w:ascii="Tahoma" w:hAnsi="Tahoma" w:cs="Tahoma"/>
        </w:rPr>
        <w:t>que en el presente asunto era procedente conceder el derecho reclamado en virtud del principio de la condición más beneficiosa, pues si</w:t>
      </w:r>
      <w:r w:rsidR="007D3556" w:rsidRPr="00896011">
        <w:rPr>
          <w:rFonts w:ascii="Tahoma" w:hAnsi="Tahoma" w:cs="Tahoma"/>
        </w:rPr>
        <w:t xml:space="preserve"> bien el causante no tenía</w:t>
      </w:r>
      <w:r w:rsidR="00C81169" w:rsidRPr="00896011">
        <w:rPr>
          <w:rFonts w:ascii="Tahoma" w:hAnsi="Tahoma" w:cs="Tahoma"/>
        </w:rPr>
        <w:t xml:space="preserve"> 26 semanas cotizadas en el año inmediata</w:t>
      </w:r>
      <w:r w:rsidR="00193C24" w:rsidRPr="00896011">
        <w:rPr>
          <w:rFonts w:ascii="Tahoma" w:hAnsi="Tahoma" w:cs="Tahoma"/>
        </w:rPr>
        <w:t>mente anterior a su deceso -1995</w:t>
      </w:r>
      <w:r w:rsidR="00C81169" w:rsidRPr="00896011">
        <w:rPr>
          <w:rFonts w:ascii="Tahoma" w:hAnsi="Tahoma" w:cs="Tahoma"/>
        </w:rPr>
        <w:t>-</w:t>
      </w:r>
      <w:r w:rsidR="00080D19">
        <w:rPr>
          <w:rFonts w:ascii="Tahoma" w:hAnsi="Tahoma" w:cs="Tahoma"/>
        </w:rPr>
        <w:t>,</w:t>
      </w:r>
      <w:r w:rsidR="00C81169" w:rsidRPr="00896011">
        <w:rPr>
          <w:rFonts w:ascii="Tahoma" w:hAnsi="Tahoma" w:cs="Tahoma"/>
        </w:rPr>
        <w:t xml:space="preserve"> contaba con más de 300 antes de la entrada en</w:t>
      </w:r>
      <w:r w:rsidR="00C4251D" w:rsidRPr="00896011">
        <w:rPr>
          <w:rFonts w:ascii="Tahoma" w:hAnsi="Tahoma" w:cs="Tahoma"/>
        </w:rPr>
        <w:t xml:space="preserve"> vigencia de la Ley 100 de 1993; a</w:t>
      </w:r>
      <w:r w:rsidR="00C81169" w:rsidRPr="00896011">
        <w:rPr>
          <w:rFonts w:ascii="Tahoma" w:hAnsi="Tahoma" w:cs="Tahoma"/>
        </w:rPr>
        <w:t xml:space="preserve">demás, </w:t>
      </w:r>
      <w:r w:rsidR="000D6285" w:rsidRPr="00896011">
        <w:rPr>
          <w:rFonts w:ascii="Tahoma" w:hAnsi="Tahoma" w:cs="Tahoma"/>
        </w:rPr>
        <w:t>la demandante acreditó su</w:t>
      </w:r>
      <w:r w:rsidR="00C81169" w:rsidRPr="00896011">
        <w:rPr>
          <w:rFonts w:ascii="Tahoma" w:hAnsi="Tahoma" w:cs="Tahoma"/>
        </w:rPr>
        <w:t xml:space="preserve"> calidad de beneficiaria de dicha prestación con </w:t>
      </w:r>
      <w:r w:rsidR="00193C24" w:rsidRPr="00896011">
        <w:rPr>
          <w:rFonts w:ascii="Tahoma" w:hAnsi="Tahoma" w:cs="Tahoma"/>
        </w:rPr>
        <w:t xml:space="preserve">su registro civil de matrimonio, </w:t>
      </w:r>
      <w:r w:rsidR="00C81169" w:rsidRPr="00896011">
        <w:rPr>
          <w:rFonts w:ascii="Tahoma" w:hAnsi="Tahoma" w:cs="Tahoma"/>
        </w:rPr>
        <w:t xml:space="preserve">las manifestaciones de los testigos </w:t>
      </w:r>
      <w:r w:rsidR="000D6285" w:rsidRPr="00896011">
        <w:rPr>
          <w:rFonts w:ascii="Tahoma" w:hAnsi="Tahoma" w:cs="Tahoma"/>
        </w:rPr>
        <w:t xml:space="preserve">que </w:t>
      </w:r>
      <w:r w:rsidR="00C81169" w:rsidRPr="00896011">
        <w:rPr>
          <w:rFonts w:ascii="Tahoma" w:hAnsi="Tahoma" w:cs="Tahoma"/>
        </w:rPr>
        <w:t>llam</w:t>
      </w:r>
      <w:r w:rsidR="000D6285" w:rsidRPr="00896011">
        <w:rPr>
          <w:rFonts w:ascii="Tahoma" w:hAnsi="Tahoma" w:cs="Tahoma"/>
        </w:rPr>
        <w:t>ó</w:t>
      </w:r>
      <w:r w:rsidR="00193C24" w:rsidRPr="00896011">
        <w:rPr>
          <w:rFonts w:ascii="Tahoma" w:hAnsi="Tahoma" w:cs="Tahoma"/>
        </w:rPr>
        <w:t xml:space="preserve"> al proceso, </w:t>
      </w:r>
      <w:r w:rsidR="00812D77">
        <w:rPr>
          <w:rFonts w:ascii="Tahoma" w:hAnsi="Tahoma" w:cs="Tahoma"/>
        </w:rPr>
        <w:t xml:space="preserve">y </w:t>
      </w:r>
      <w:r w:rsidR="00193C24" w:rsidRPr="00896011">
        <w:rPr>
          <w:rFonts w:ascii="Tahoma" w:hAnsi="Tahoma" w:cs="Tahoma"/>
        </w:rPr>
        <w:t>por la sustitución pensional que en 1996 le otorgó el ISS</w:t>
      </w:r>
      <w:r w:rsidR="00C81169" w:rsidRPr="00896011">
        <w:rPr>
          <w:rFonts w:ascii="Tahoma" w:hAnsi="Tahoma" w:cs="Tahoma"/>
        </w:rPr>
        <w:t>.</w:t>
      </w:r>
      <w:r w:rsidR="00795713" w:rsidRPr="00896011">
        <w:rPr>
          <w:rFonts w:ascii="Tahoma" w:hAnsi="Tahoma" w:cs="Tahoma"/>
        </w:rPr>
        <w:t xml:space="preserve"> </w:t>
      </w:r>
    </w:p>
    <w:p w14:paraId="2909708B" w14:textId="77777777" w:rsidR="00FC1107" w:rsidRPr="00896011" w:rsidRDefault="00FC1107" w:rsidP="00D04522">
      <w:pPr>
        <w:spacing w:line="276" w:lineRule="auto"/>
        <w:jc w:val="both"/>
        <w:rPr>
          <w:rFonts w:ascii="Tahoma" w:hAnsi="Tahoma" w:cs="Tahoma"/>
        </w:rPr>
      </w:pPr>
    </w:p>
    <w:p w14:paraId="79B08764" w14:textId="7A66E7F8" w:rsidR="0084452E" w:rsidRDefault="00FC1107" w:rsidP="00FC1107">
      <w:pPr>
        <w:spacing w:line="276" w:lineRule="auto"/>
        <w:ind w:firstLine="708"/>
        <w:jc w:val="both"/>
        <w:rPr>
          <w:rFonts w:ascii="Tahoma" w:hAnsi="Tahoma" w:cs="Tahoma"/>
        </w:rPr>
      </w:pPr>
      <w:r>
        <w:rPr>
          <w:rFonts w:ascii="Tahoma" w:hAnsi="Tahoma" w:cs="Tahoma"/>
        </w:rPr>
        <w:t>Seguidamente calculó un IBL de $</w:t>
      </w:r>
      <w:r w:rsidRPr="00896011">
        <w:rPr>
          <w:rFonts w:ascii="Tahoma" w:hAnsi="Tahoma" w:cs="Tahoma"/>
        </w:rPr>
        <w:t>367.064</w:t>
      </w:r>
      <w:r w:rsidRPr="003733B3">
        <w:rPr>
          <w:rFonts w:ascii="Tahoma" w:hAnsi="Tahoma" w:cs="Tahoma"/>
          <w:sz w:val="16"/>
          <w:szCs w:val="16"/>
        </w:rPr>
        <w:t>,67</w:t>
      </w:r>
      <w:r w:rsidRPr="00896011">
        <w:rPr>
          <w:rFonts w:ascii="Tahoma" w:hAnsi="Tahoma" w:cs="Tahoma"/>
        </w:rPr>
        <w:t xml:space="preserve"> para el </w:t>
      </w:r>
      <w:r>
        <w:rPr>
          <w:rFonts w:ascii="Tahoma" w:hAnsi="Tahoma" w:cs="Tahoma"/>
        </w:rPr>
        <w:t>año 19</w:t>
      </w:r>
      <w:r w:rsidRPr="00896011">
        <w:rPr>
          <w:rFonts w:ascii="Tahoma" w:hAnsi="Tahoma" w:cs="Tahoma"/>
        </w:rPr>
        <w:t xml:space="preserve">95, </w:t>
      </w:r>
      <w:r>
        <w:rPr>
          <w:rFonts w:ascii="Tahoma" w:hAnsi="Tahoma" w:cs="Tahoma"/>
        </w:rPr>
        <w:t>mismo que al aplicarle una tasa de reemplazo del 57% arrojaba</w:t>
      </w:r>
      <w:r w:rsidRPr="00896011">
        <w:rPr>
          <w:rFonts w:ascii="Tahoma" w:hAnsi="Tahoma" w:cs="Tahoma"/>
        </w:rPr>
        <w:t xml:space="preserve"> una mesada </w:t>
      </w:r>
      <w:r>
        <w:rPr>
          <w:rFonts w:ascii="Tahoma" w:hAnsi="Tahoma" w:cs="Tahoma"/>
        </w:rPr>
        <w:t>de $209.226</w:t>
      </w:r>
      <w:r w:rsidRPr="003733B3">
        <w:rPr>
          <w:rFonts w:ascii="Tahoma" w:hAnsi="Tahoma" w:cs="Tahoma"/>
          <w:sz w:val="16"/>
          <w:szCs w:val="16"/>
        </w:rPr>
        <w:t>,86</w:t>
      </w:r>
      <w:r>
        <w:rPr>
          <w:rFonts w:ascii="Tahoma" w:hAnsi="Tahoma" w:cs="Tahoma"/>
        </w:rPr>
        <w:t>, la cual, actualizada al 2010</w:t>
      </w:r>
      <w:r w:rsidR="003733B3">
        <w:rPr>
          <w:rFonts w:ascii="Tahoma" w:hAnsi="Tahoma" w:cs="Tahoma"/>
        </w:rPr>
        <w:t>,</w:t>
      </w:r>
      <w:r>
        <w:rPr>
          <w:rFonts w:ascii="Tahoma" w:hAnsi="Tahoma" w:cs="Tahoma"/>
        </w:rPr>
        <w:t xml:space="preserve"> ascendía a</w:t>
      </w:r>
      <w:r w:rsidRPr="00896011">
        <w:rPr>
          <w:rFonts w:ascii="Tahoma" w:hAnsi="Tahoma" w:cs="Tahoma"/>
        </w:rPr>
        <w:t xml:space="preserve"> </w:t>
      </w:r>
      <w:r>
        <w:rPr>
          <w:rFonts w:ascii="Tahoma" w:hAnsi="Tahoma" w:cs="Tahoma"/>
        </w:rPr>
        <w:t>$</w:t>
      </w:r>
      <w:r w:rsidRPr="00896011">
        <w:rPr>
          <w:rFonts w:ascii="Tahoma" w:hAnsi="Tahoma" w:cs="Tahoma"/>
        </w:rPr>
        <w:t>815.901</w:t>
      </w:r>
      <w:r w:rsidRPr="004379EC">
        <w:rPr>
          <w:rFonts w:ascii="Tahoma" w:hAnsi="Tahoma" w:cs="Tahoma"/>
          <w:sz w:val="16"/>
          <w:szCs w:val="16"/>
        </w:rPr>
        <w:t>,84</w:t>
      </w:r>
      <w:r>
        <w:rPr>
          <w:rFonts w:ascii="Tahoma" w:hAnsi="Tahoma" w:cs="Tahoma"/>
        </w:rPr>
        <w:t>,</w:t>
      </w:r>
      <w:r w:rsidR="00193C24" w:rsidRPr="00896011">
        <w:rPr>
          <w:rFonts w:ascii="Tahoma" w:hAnsi="Tahoma" w:cs="Tahoma"/>
        </w:rPr>
        <w:t xml:space="preserve"> </w:t>
      </w:r>
      <w:r w:rsidR="00193C24" w:rsidRPr="004379EC">
        <w:rPr>
          <w:rFonts w:ascii="Tahoma" w:hAnsi="Tahoma" w:cs="Tahoma"/>
          <w:i/>
        </w:rPr>
        <w:t>superior al</w:t>
      </w:r>
      <w:r w:rsidR="00812D77" w:rsidRPr="004379EC">
        <w:rPr>
          <w:rFonts w:ascii="Tahoma" w:hAnsi="Tahoma" w:cs="Tahoma"/>
          <w:i/>
        </w:rPr>
        <w:t xml:space="preserve"> salario mínimo </w:t>
      </w:r>
      <w:r w:rsidR="00193C24" w:rsidRPr="004379EC">
        <w:rPr>
          <w:rFonts w:ascii="Tahoma" w:hAnsi="Tahoma" w:cs="Tahoma"/>
          <w:i/>
        </w:rPr>
        <w:t>solicitad</w:t>
      </w:r>
      <w:r w:rsidR="00812D77" w:rsidRPr="004379EC">
        <w:rPr>
          <w:rFonts w:ascii="Tahoma" w:hAnsi="Tahoma" w:cs="Tahoma"/>
          <w:i/>
        </w:rPr>
        <w:t>o</w:t>
      </w:r>
      <w:r w:rsidR="00193C24" w:rsidRPr="004379EC">
        <w:rPr>
          <w:rFonts w:ascii="Tahoma" w:hAnsi="Tahoma" w:cs="Tahoma"/>
          <w:i/>
        </w:rPr>
        <w:t xml:space="preserve"> en la demanda</w:t>
      </w:r>
      <w:r w:rsidR="00193C24" w:rsidRPr="00896011">
        <w:rPr>
          <w:rFonts w:ascii="Tahoma" w:hAnsi="Tahoma" w:cs="Tahoma"/>
        </w:rPr>
        <w:t xml:space="preserve">, </w:t>
      </w:r>
      <w:r w:rsidR="003733B3">
        <w:rPr>
          <w:rFonts w:ascii="Tahoma" w:hAnsi="Tahoma" w:cs="Tahoma"/>
        </w:rPr>
        <w:t xml:space="preserve">misma que debía cancelarse </w:t>
      </w:r>
      <w:r w:rsidR="002026C2" w:rsidRPr="00896011">
        <w:rPr>
          <w:rFonts w:ascii="Tahoma" w:hAnsi="Tahoma" w:cs="Tahoma"/>
        </w:rPr>
        <w:t>por catorce mesadas anuales</w:t>
      </w:r>
      <w:r w:rsidR="00812D77">
        <w:rPr>
          <w:rFonts w:ascii="Tahoma" w:hAnsi="Tahoma" w:cs="Tahoma"/>
        </w:rPr>
        <w:t>;</w:t>
      </w:r>
      <w:r w:rsidR="00363EB5" w:rsidRPr="00896011">
        <w:rPr>
          <w:rFonts w:ascii="Tahoma" w:hAnsi="Tahoma" w:cs="Tahoma"/>
        </w:rPr>
        <w:t xml:space="preserve"> no obstante, </w:t>
      </w:r>
      <w:r>
        <w:rPr>
          <w:rFonts w:ascii="Tahoma" w:hAnsi="Tahoma" w:cs="Tahoma"/>
        </w:rPr>
        <w:t>indicó que como l</w:t>
      </w:r>
      <w:r w:rsidR="000D6285" w:rsidRPr="00896011">
        <w:rPr>
          <w:rFonts w:ascii="Tahoma" w:hAnsi="Tahoma" w:cs="Tahoma"/>
        </w:rPr>
        <w:t xml:space="preserve">a actora presentó la </w:t>
      </w:r>
      <w:r w:rsidR="00193C24" w:rsidRPr="00896011">
        <w:rPr>
          <w:rFonts w:ascii="Tahoma" w:hAnsi="Tahoma" w:cs="Tahoma"/>
        </w:rPr>
        <w:t>segunda reclamación administrativa el 18</w:t>
      </w:r>
      <w:r w:rsidR="000D6285" w:rsidRPr="00896011">
        <w:rPr>
          <w:rFonts w:ascii="Tahoma" w:hAnsi="Tahoma" w:cs="Tahoma"/>
        </w:rPr>
        <w:t xml:space="preserve"> de </w:t>
      </w:r>
      <w:r w:rsidR="00193C24" w:rsidRPr="00896011">
        <w:rPr>
          <w:rFonts w:ascii="Tahoma" w:hAnsi="Tahoma" w:cs="Tahoma"/>
        </w:rPr>
        <w:t xml:space="preserve">septiembre </w:t>
      </w:r>
      <w:r w:rsidR="000D6285" w:rsidRPr="00896011">
        <w:rPr>
          <w:rFonts w:ascii="Tahoma" w:hAnsi="Tahoma" w:cs="Tahoma"/>
        </w:rPr>
        <w:t>d</w:t>
      </w:r>
      <w:r w:rsidR="00C4251D" w:rsidRPr="00896011">
        <w:rPr>
          <w:rFonts w:ascii="Tahoma" w:hAnsi="Tahoma" w:cs="Tahoma"/>
        </w:rPr>
        <w:t xml:space="preserve">e 2013, </w:t>
      </w:r>
      <w:r w:rsidRPr="00896011">
        <w:rPr>
          <w:rFonts w:ascii="Tahoma" w:hAnsi="Tahoma" w:cs="Tahoma"/>
        </w:rPr>
        <w:t>las mesadas causadas con antelación al 18 de septiembre de 2010</w:t>
      </w:r>
      <w:r>
        <w:rPr>
          <w:rFonts w:ascii="Tahoma" w:hAnsi="Tahoma" w:cs="Tahoma"/>
        </w:rPr>
        <w:t xml:space="preserve"> prescribieron</w:t>
      </w:r>
      <w:r w:rsidR="00263317" w:rsidRPr="00896011">
        <w:rPr>
          <w:rFonts w:ascii="Tahoma" w:hAnsi="Tahoma" w:cs="Tahoma"/>
        </w:rPr>
        <w:t>, facultando</w:t>
      </w:r>
      <w:r w:rsidR="00C05F69" w:rsidRPr="00896011">
        <w:rPr>
          <w:rFonts w:ascii="Tahoma" w:hAnsi="Tahoma" w:cs="Tahoma"/>
        </w:rPr>
        <w:t xml:space="preserve"> a Colpensiones para que </w:t>
      </w:r>
      <w:r w:rsidR="00C4251D" w:rsidRPr="00896011">
        <w:rPr>
          <w:rFonts w:ascii="Tahoma" w:hAnsi="Tahoma" w:cs="Tahoma"/>
        </w:rPr>
        <w:t>desc</w:t>
      </w:r>
      <w:r w:rsidR="0084452E">
        <w:rPr>
          <w:rFonts w:ascii="Tahoma" w:hAnsi="Tahoma" w:cs="Tahoma"/>
        </w:rPr>
        <w:t>uente</w:t>
      </w:r>
      <w:r w:rsidR="00C4251D" w:rsidRPr="00896011">
        <w:rPr>
          <w:rFonts w:ascii="Tahoma" w:hAnsi="Tahoma" w:cs="Tahoma"/>
        </w:rPr>
        <w:t xml:space="preserve"> del</w:t>
      </w:r>
      <w:r w:rsidR="00263317" w:rsidRPr="00896011">
        <w:rPr>
          <w:rFonts w:ascii="Tahoma" w:hAnsi="Tahoma" w:cs="Tahoma"/>
        </w:rPr>
        <w:t xml:space="preserve"> retroactivo liquidado </w:t>
      </w:r>
      <w:r w:rsidR="00C05F69" w:rsidRPr="00896011">
        <w:rPr>
          <w:rFonts w:ascii="Tahoma" w:hAnsi="Tahoma" w:cs="Tahoma"/>
        </w:rPr>
        <w:t>el monto pagado</w:t>
      </w:r>
      <w:r w:rsidR="00193C24" w:rsidRPr="00896011">
        <w:rPr>
          <w:rFonts w:ascii="Tahoma" w:hAnsi="Tahoma" w:cs="Tahoma"/>
        </w:rPr>
        <w:t xml:space="preserve"> como indemnización sustitutiva</w:t>
      </w:r>
      <w:r w:rsidR="009B6567" w:rsidRPr="00896011">
        <w:rPr>
          <w:rFonts w:ascii="Tahoma" w:hAnsi="Tahoma" w:cs="Tahoma"/>
        </w:rPr>
        <w:t>, debidamente indexado</w:t>
      </w:r>
      <w:r w:rsidR="00193C24" w:rsidRPr="00896011">
        <w:rPr>
          <w:rFonts w:ascii="Tahoma" w:hAnsi="Tahoma" w:cs="Tahoma"/>
        </w:rPr>
        <w:t>.</w:t>
      </w:r>
      <w:r w:rsidR="009B6567" w:rsidRPr="00896011">
        <w:rPr>
          <w:rFonts w:ascii="Tahoma" w:hAnsi="Tahoma" w:cs="Tahoma"/>
        </w:rPr>
        <w:t xml:space="preserve"> </w:t>
      </w:r>
    </w:p>
    <w:p w14:paraId="42AEFBD5" w14:textId="77777777" w:rsidR="009B6567" w:rsidRPr="00896011" w:rsidRDefault="009B6567" w:rsidP="009B6567">
      <w:pPr>
        <w:spacing w:line="276" w:lineRule="auto"/>
        <w:ind w:firstLine="708"/>
        <w:jc w:val="both"/>
        <w:rPr>
          <w:rFonts w:ascii="Tahoma" w:hAnsi="Tahoma" w:cs="Tahoma"/>
        </w:rPr>
      </w:pPr>
    </w:p>
    <w:p w14:paraId="4DFFE53B" w14:textId="7046AE67" w:rsidR="009B6567" w:rsidRPr="00896011" w:rsidRDefault="009B6567" w:rsidP="009B6567">
      <w:pPr>
        <w:spacing w:line="276" w:lineRule="auto"/>
        <w:ind w:firstLine="708"/>
        <w:jc w:val="both"/>
        <w:rPr>
          <w:rFonts w:ascii="Tahoma" w:hAnsi="Tahoma" w:cs="Tahoma"/>
        </w:rPr>
      </w:pPr>
      <w:r w:rsidRPr="00896011">
        <w:rPr>
          <w:rFonts w:ascii="Tahoma" w:hAnsi="Tahoma" w:cs="Tahoma"/>
        </w:rPr>
        <w:t>Finalmente encontró improcedentes los intereses moratorios</w:t>
      </w:r>
      <w:r w:rsidR="003733B3">
        <w:rPr>
          <w:rFonts w:ascii="Tahoma" w:hAnsi="Tahoma" w:cs="Tahoma"/>
        </w:rPr>
        <w:t xml:space="preserve"> bajo el argumento de que </w:t>
      </w:r>
      <w:r w:rsidRPr="00896011">
        <w:rPr>
          <w:rFonts w:ascii="Tahoma" w:hAnsi="Tahoma" w:cs="Tahoma"/>
        </w:rPr>
        <w:t xml:space="preserve">la negativa inicial de Colpensiones fue totalmente fundada en que el causante no acreditaba los requisitos vigentes a la fecha de su fallecimiento. </w:t>
      </w:r>
    </w:p>
    <w:p w14:paraId="62059460" w14:textId="0B1A1E17" w:rsidR="00603E1B" w:rsidRPr="00896011" w:rsidRDefault="00603E1B" w:rsidP="00E9724F">
      <w:pPr>
        <w:spacing w:line="276" w:lineRule="auto"/>
        <w:jc w:val="both"/>
        <w:rPr>
          <w:rFonts w:ascii="Tahoma" w:hAnsi="Tahoma" w:cs="Tahoma"/>
          <w:u w:val="single"/>
        </w:rPr>
      </w:pPr>
    </w:p>
    <w:p w14:paraId="21093C18" w14:textId="455B765E" w:rsidR="009A4059" w:rsidRPr="00896011" w:rsidRDefault="00B539B3" w:rsidP="00B539B3">
      <w:pPr>
        <w:pStyle w:val="Prrafodelista"/>
        <w:widowControl w:val="0"/>
        <w:numPr>
          <w:ilvl w:val="0"/>
          <w:numId w:val="1"/>
        </w:numPr>
        <w:autoSpaceDE w:val="0"/>
        <w:autoSpaceDN w:val="0"/>
        <w:adjustRightInd w:val="0"/>
        <w:spacing w:line="276" w:lineRule="auto"/>
        <w:jc w:val="center"/>
        <w:rPr>
          <w:rFonts w:ascii="Tahoma" w:hAnsi="Tahoma" w:cs="Tahoma"/>
          <w:b/>
        </w:rPr>
      </w:pPr>
      <w:r w:rsidRPr="00896011">
        <w:rPr>
          <w:rFonts w:ascii="Tahoma" w:hAnsi="Tahoma" w:cs="Tahoma"/>
          <w:b/>
        </w:rPr>
        <w:t>Procedencia</w:t>
      </w:r>
      <w:r w:rsidR="00766560" w:rsidRPr="00896011">
        <w:rPr>
          <w:rFonts w:ascii="Tahoma" w:hAnsi="Tahoma" w:cs="Tahoma"/>
          <w:b/>
        </w:rPr>
        <w:t xml:space="preserve"> de la consulta</w:t>
      </w:r>
    </w:p>
    <w:p w14:paraId="7A5335DD" w14:textId="77777777" w:rsidR="009A4059" w:rsidRPr="00896011" w:rsidRDefault="009A4059" w:rsidP="00680DE3">
      <w:pPr>
        <w:widowControl w:val="0"/>
        <w:autoSpaceDE w:val="0"/>
        <w:autoSpaceDN w:val="0"/>
        <w:adjustRightInd w:val="0"/>
        <w:ind w:firstLine="1122"/>
        <w:jc w:val="both"/>
        <w:rPr>
          <w:rFonts w:ascii="Tahoma" w:hAnsi="Tahoma" w:cs="Tahoma"/>
        </w:rPr>
      </w:pPr>
    </w:p>
    <w:p w14:paraId="3C911077" w14:textId="11C6050E" w:rsidR="00681318" w:rsidRPr="00896011" w:rsidRDefault="00B539B3" w:rsidP="00B539B3">
      <w:pPr>
        <w:spacing w:line="276" w:lineRule="auto"/>
        <w:ind w:firstLine="708"/>
        <w:jc w:val="both"/>
        <w:rPr>
          <w:rFonts w:ascii="Tahoma" w:hAnsi="Tahoma" w:cs="Tahoma"/>
        </w:rPr>
      </w:pPr>
      <w:r w:rsidRPr="00896011">
        <w:rPr>
          <w:rFonts w:ascii="Tahoma" w:hAnsi="Tahoma" w:cs="Tahoma"/>
        </w:rPr>
        <w:t>Como quiera que la sentencia fue totalmente desfavorable para Colpensiones y no fue apelada, se dispuso el grado jurisdiccional de consulta.</w:t>
      </w:r>
    </w:p>
    <w:p w14:paraId="562942FC" w14:textId="77777777" w:rsidR="00920F05" w:rsidRPr="00896011" w:rsidRDefault="00920F05" w:rsidP="008643BA">
      <w:pPr>
        <w:jc w:val="both"/>
        <w:rPr>
          <w:rFonts w:ascii="Tahoma" w:hAnsi="Tahoma" w:cs="Tahoma"/>
        </w:rPr>
      </w:pPr>
    </w:p>
    <w:p w14:paraId="07FB949E" w14:textId="3CFF2E1D" w:rsidR="0010792F" w:rsidRPr="00896011" w:rsidRDefault="0088082B" w:rsidP="0068131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896011">
        <w:rPr>
          <w:rFonts w:ascii="Tahoma" w:hAnsi="Tahoma" w:cs="Tahoma"/>
          <w:b/>
        </w:rPr>
        <w:t xml:space="preserve"> </w:t>
      </w:r>
      <w:r w:rsidR="00AA407F" w:rsidRPr="00896011">
        <w:rPr>
          <w:rFonts w:ascii="Tahoma" w:hAnsi="Tahoma" w:cs="Tahoma"/>
          <w:b/>
        </w:rPr>
        <w:t>Consideraciones</w:t>
      </w:r>
      <w:r w:rsidR="00AA407F" w:rsidRPr="00896011">
        <w:rPr>
          <w:rFonts w:ascii="Tahoma" w:hAnsi="Tahoma" w:cs="Tahoma"/>
        </w:rPr>
        <w:tab/>
      </w:r>
    </w:p>
    <w:p w14:paraId="74BCABDF" w14:textId="77777777" w:rsidR="00B539B3" w:rsidRPr="00896011" w:rsidRDefault="00B539B3" w:rsidP="00B539B3">
      <w:pPr>
        <w:widowControl w:val="0"/>
        <w:autoSpaceDE w:val="0"/>
        <w:autoSpaceDN w:val="0"/>
        <w:adjustRightInd w:val="0"/>
        <w:spacing w:line="276" w:lineRule="auto"/>
        <w:rPr>
          <w:rFonts w:ascii="Tahoma" w:hAnsi="Tahoma" w:cs="Tahoma"/>
          <w:b/>
        </w:rPr>
      </w:pPr>
    </w:p>
    <w:p w14:paraId="5981276C" w14:textId="0F721B15" w:rsidR="0010792F" w:rsidRPr="00896011" w:rsidRDefault="004F1D2D" w:rsidP="00681318">
      <w:pPr>
        <w:pStyle w:val="Textoindependiente"/>
        <w:numPr>
          <w:ilvl w:val="1"/>
          <w:numId w:val="1"/>
        </w:numPr>
        <w:spacing w:after="0" w:line="276" w:lineRule="auto"/>
        <w:ind w:right="51" w:hanging="371"/>
        <w:jc w:val="both"/>
        <w:rPr>
          <w:rFonts w:ascii="Tahoma" w:hAnsi="Tahoma" w:cs="Tahoma"/>
          <w:b/>
        </w:rPr>
      </w:pPr>
      <w:r w:rsidRPr="00896011">
        <w:rPr>
          <w:rFonts w:ascii="Tahoma" w:hAnsi="Tahoma" w:cs="Tahoma"/>
          <w:b/>
        </w:rPr>
        <w:t>Supuestos fácticos probados</w:t>
      </w:r>
    </w:p>
    <w:p w14:paraId="3C69AC2E" w14:textId="77777777" w:rsidR="0088082B" w:rsidRPr="00896011" w:rsidRDefault="0088082B" w:rsidP="008643BA">
      <w:pPr>
        <w:pStyle w:val="Textoindependiente"/>
        <w:spacing w:after="0"/>
        <w:ind w:left="1080" w:right="51"/>
        <w:jc w:val="both"/>
        <w:rPr>
          <w:rFonts w:ascii="Tahoma" w:hAnsi="Tahoma" w:cs="Tahoma"/>
          <w:b/>
        </w:rPr>
      </w:pPr>
    </w:p>
    <w:p w14:paraId="37BD55FC" w14:textId="734DCAC7" w:rsidR="006D0DA4" w:rsidRPr="00896011" w:rsidRDefault="00681318" w:rsidP="006D0DA4">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No existe discusión alguna en el </w:t>
      </w:r>
      <w:r w:rsidR="008639C6" w:rsidRPr="00896011">
        <w:rPr>
          <w:rFonts w:ascii="Tahoma" w:hAnsi="Tahoma" w:cs="Tahoma"/>
        </w:rPr>
        <w:t xml:space="preserve">caso de marras </w:t>
      </w:r>
      <w:r w:rsidRPr="00896011">
        <w:rPr>
          <w:rFonts w:ascii="Tahoma" w:hAnsi="Tahoma" w:cs="Tahoma"/>
        </w:rPr>
        <w:t xml:space="preserve">respecto a los siguientes supuestos fácticos: </w:t>
      </w:r>
      <w:r w:rsidRPr="00896011">
        <w:rPr>
          <w:rFonts w:ascii="Tahoma" w:hAnsi="Tahoma" w:cs="Tahoma"/>
          <w:i/>
        </w:rPr>
        <w:t>i)</w:t>
      </w:r>
      <w:r w:rsidRPr="00896011">
        <w:rPr>
          <w:rFonts w:ascii="Tahoma" w:hAnsi="Tahoma" w:cs="Tahoma"/>
        </w:rPr>
        <w:t xml:space="preserve"> que el señor </w:t>
      </w:r>
      <w:r w:rsidR="00B539B3" w:rsidRPr="00896011">
        <w:rPr>
          <w:rFonts w:ascii="Tahoma" w:hAnsi="Tahoma" w:cs="Tahoma"/>
        </w:rPr>
        <w:t>Jairo de Jesús Villa Restrepo falleció el 28</w:t>
      </w:r>
      <w:r w:rsidRPr="00896011">
        <w:rPr>
          <w:rFonts w:ascii="Tahoma" w:hAnsi="Tahoma" w:cs="Tahoma"/>
        </w:rPr>
        <w:t xml:space="preserve"> de </w:t>
      </w:r>
      <w:r w:rsidR="00B539B3" w:rsidRPr="00896011">
        <w:rPr>
          <w:rFonts w:ascii="Tahoma" w:hAnsi="Tahoma" w:cs="Tahoma"/>
        </w:rPr>
        <w:t>octubre de 1995</w:t>
      </w:r>
      <w:r w:rsidRPr="00896011">
        <w:rPr>
          <w:rFonts w:ascii="Tahoma" w:hAnsi="Tahoma" w:cs="Tahoma"/>
        </w:rPr>
        <w:t xml:space="preserve"> (</w:t>
      </w:r>
      <w:proofErr w:type="spellStart"/>
      <w:r w:rsidRPr="00896011">
        <w:rPr>
          <w:rFonts w:ascii="Tahoma" w:hAnsi="Tahoma" w:cs="Tahoma"/>
        </w:rPr>
        <w:t>fl</w:t>
      </w:r>
      <w:proofErr w:type="spellEnd"/>
      <w:r w:rsidRPr="00896011">
        <w:rPr>
          <w:rFonts w:ascii="Tahoma" w:hAnsi="Tahoma" w:cs="Tahoma"/>
        </w:rPr>
        <w:t>. 1</w:t>
      </w:r>
      <w:r w:rsidR="00B539B3" w:rsidRPr="00896011">
        <w:rPr>
          <w:rFonts w:ascii="Tahoma" w:hAnsi="Tahoma" w:cs="Tahoma"/>
        </w:rPr>
        <w:t>6</w:t>
      </w:r>
      <w:r w:rsidRPr="00896011">
        <w:rPr>
          <w:rFonts w:ascii="Tahoma" w:hAnsi="Tahoma" w:cs="Tahoma"/>
        </w:rPr>
        <w:t xml:space="preserve">); </w:t>
      </w:r>
      <w:r w:rsidRPr="00896011">
        <w:rPr>
          <w:rFonts w:ascii="Tahoma" w:hAnsi="Tahoma" w:cs="Tahoma"/>
          <w:i/>
        </w:rPr>
        <w:t>ii)</w:t>
      </w:r>
      <w:r w:rsidRPr="00896011">
        <w:rPr>
          <w:rFonts w:ascii="Tahoma" w:hAnsi="Tahoma" w:cs="Tahoma"/>
        </w:rPr>
        <w:t xml:space="preserve"> </w:t>
      </w:r>
      <w:r w:rsidR="008643BA" w:rsidRPr="00896011">
        <w:rPr>
          <w:rFonts w:ascii="Tahoma" w:hAnsi="Tahoma" w:cs="Tahoma"/>
        </w:rPr>
        <w:t xml:space="preserve">que </w:t>
      </w:r>
      <w:r w:rsidR="00C80188" w:rsidRPr="00896011">
        <w:rPr>
          <w:rFonts w:ascii="Tahoma" w:hAnsi="Tahoma" w:cs="Tahoma"/>
        </w:rPr>
        <w:t xml:space="preserve">cotizó </w:t>
      </w:r>
      <w:r w:rsidR="00B539B3" w:rsidRPr="00896011">
        <w:rPr>
          <w:rFonts w:ascii="Tahoma" w:hAnsi="Tahoma" w:cs="Tahoma"/>
        </w:rPr>
        <w:t>830</w:t>
      </w:r>
      <w:r w:rsidR="00C80188" w:rsidRPr="00896011">
        <w:rPr>
          <w:rFonts w:ascii="Tahoma" w:hAnsi="Tahoma" w:cs="Tahoma"/>
        </w:rPr>
        <w:t xml:space="preserve"> semanas en toda su vida laboral,</w:t>
      </w:r>
      <w:r w:rsidR="00B539B3" w:rsidRPr="00896011">
        <w:rPr>
          <w:rFonts w:ascii="Tahoma" w:hAnsi="Tahoma" w:cs="Tahoma"/>
        </w:rPr>
        <w:t xml:space="preserve"> siendo todas anteriores al</w:t>
      </w:r>
      <w:r w:rsidR="00C80188" w:rsidRPr="00896011">
        <w:rPr>
          <w:rFonts w:ascii="Tahoma" w:hAnsi="Tahoma" w:cs="Tahoma"/>
        </w:rPr>
        <w:t xml:space="preserve"> 1º de abril de 1994, </w:t>
      </w:r>
      <w:r w:rsidR="008643BA" w:rsidRPr="00896011">
        <w:rPr>
          <w:rFonts w:ascii="Tahoma" w:hAnsi="Tahoma" w:cs="Tahoma"/>
        </w:rPr>
        <w:t>según se desprende del reporte de semanas c</w:t>
      </w:r>
      <w:r w:rsidR="00C80188" w:rsidRPr="00896011">
        <w:rPr>
          <w:rFonts w:ascii="Tahoma" w:hAnsi="Tahoma" w:cs="Tahoma"/>
        </w:rPr>
        <w:t xml:space="preserve">otizadas </w:t>
      </w:r>
      <w:r w:rsidR="008643BA" w:rsidRPr="00896011">
        <w:rPr>
          <w:rFonts w:ascii="Tahoma" w:hAnsi="Tahoma" w:cs="Tahoma"/>
        </w:rPr>
        <w:t xml:space="preserve">allegado </w:t>
      </w:r>
      <w:r w:rsidR="004F1D2D" w:rsidRPr="00896011">
        <w:rPr>
          <w:rFonts w:ascii="Tahoma" w:hAnsi="Tahoma" w:cs="Tahoma"/>
        </w:rPr>
        <w:t xml:space="preserve">tanto por la demandante como </w:t>
      </w:r>
      <w:r w:rsidR="008643BA" w:rsidRPr="00896011">
        <w:rPr>
          <w:rFonts w:ascii="Tahoma" w:hAnsi="Tahoma" w:cs="Tahoma"/>
        </w:rPr>
        <w:t xml:space="preserve">por la demandada </w:t>
      </w:r>
      <w:r w:rsidR="00B539B3" w:rsidRPr="00896011">
        <w:rPr>
          <w:rFonts w:ascii="Tahoma" w:hAnsi="Tahoma" w:cs="Tahoma"/>
        </w:rPr>
        <w:t>(</w:t>
      </w:r>
      <w:proofErr w:type="spellStart"/>
      <w:r w:rsidR="00B539B3" w:rsidRPr="00896011">
        <w:rPr>
          <w:rFonts w:ascii="Tahoma" w:hAnsi="Tahoma" w:cs="Tahoma"/>
        </w:rPr>
        <w:t>fl</w:t>
      </w:r>
      <w:r w:rsidR="004F1D2D" w:rsidRPr="00896011">
        <w:rPr>
          <w:rFonts w:ascii="Tahoma" w:hAnsi="Tahoma" w:cs="Tahoma"/>
        </w:rPr>
        <w:t>s</w:t>
      </w:r>
      <w:proofErr w:type="spellEnd"/>
      <w:r w:rsidR="00B539B3" w:rsidRPr="00896011">
        <w:rPr>
          <w:rFonts w:ascii="Tahoma" w:hAnsi="Tahoma" w:cs="Tahoma"/>
        </w:rPr>
        <w:t xml:space="preserve">. </w:t>
      </w:r>
      <w:r w:rsidR="004F1D2D" w:rsidRPr="00896011">
        <w:rPr>
          <w:rFonts w:ascii="Tahoma" w:hAnsi="Tahoma" w:cs="Tahoma"/>
        </w:rPr>
        <w:t xml:space="preserve">28 y </w:t>
      </w:r>
      <w:r w:rsidR="00B539B3" w:rsidRPr="00896011">
        <w:rPr>
          <w:rFonts w:ascii="Tahoma" w:hAnsi="Tahoma" w:cs="Tahoma"/>
        </w:rPr>
        <w:t>41</w:t>
      </w:r>
      <w:r w:rsidR="00C80188" w:rsidRPr="00896011">
        <w:rPr>
          <w:rFonts w:ascii="Tahoma" w:hAnsi="Tahoma" w:cs="Tahoma"/>
        </w:rPr>
        <w:t>)</w:t>
      </w:r>
      <w:r w:rsidR="00686189" w:rsidRPr="00896011">
        <w:rPr>
          <w:rFonts w:ascii="Tahoma" w:hAnsi="Tahoma" w:cs="Tahoma"/>
        </w:rPr>
        <w:t>;</w:t>
      </w:r>
      <w:r w:rsidR="00C80188" w:rsidRPr="00896011">
        <w:rPr>
          <w:rFonts w:ascii="Tahoma" w:hAnsi="Tahoma" w:cs="Tahoma"/>
        </w:rPr>
        <w:t xml:space="preserve"> i</w:t>
      </w:r>
      <w:r w:rsidR="00313ECB">
        <w:rPr>
          <w:rFonts w:ascii="Tahoma" w:hAnsi="Tahoma" w:cs="Tahoma"/>
        </w:rPr>
        <w:t>ii</w:t>
      </w:r>
      <w:r w:rsidR="00C80188" w:rsidRPr="00896011">
        <w:rPr>
          <w:rFonts w:ascii="Tahoma" w:hAnsi="Tahoma" w:cs="Tahoma"/>
        </w:rPr>
        <w:t>)</w:t>
      </w:r>
      <w:r w:rsidR="00137DEF" w:rsidRPr="00896011">
        <w:rPr>
          <w:rFonts w:ascii="Tahoma" w:hAnsi="Tahoma" w:cs="Tahoma"/>
        </w:rPr>
        <w:t xml:space="preserve"> que el causante y la demandante contrajeron matrimonio el 28 de septiembre de 1975 (</w:t>
      </w:r>
      <w:proofErr w:type="spellStart"/>
      <w:r w:rsidR="00137DEF" w:rsidRPr="00896011">
        <w:rPr>
          <w:rFonts w:ascii="Tahoma" w:hAnsi="Tahoma" w:cs="Tahoma"/>
        </w:rPr>
        <w:t>fl</w:t>
      </w:r>
      <w:proofErr w:type="spellEnd"/>
      <w:r w:rsidR="00137DEF" w:rsidRPr="00896011">
        <w:rPr>
          <w:rFonts w:ascii="Tahoma" w:hAnsi="Tahoma" w:cs="Tahoma"/>
        </w:rPr>
        <w:t xml:space="preserve">. 17); </w:t>
      </w:r>
      <w:r w:rsidR="00313ECB">
        <w:rPr>
          <w:rFonts w:ascii="Tahoma" w:hAnsi="Tahoma" w:cs="Tahoma"/>
        </w:rPr>
        <w:t>i</w:t>
      </w:r>
      <w:r w:rsidR="00137DEF" w:rsidRPr="00896011">
        <w:rPr>
          <w:rFonts w:ascii="Tahoma" w:hAnsi="Tahoma" w:cs="Tahoma"/>
        </w:rPr>
        <w:t>v)</w:t>
      </w:r>
      <w:r w:rsidR="00C80188" w:rsidRPr="00896011">
        <w:rPr>
          <w:rFonts w:ascii="Tahoma" w:hAnsi="Tahoma" w:cs="Tahoma"/>
        </w:rPr>
        <w:t xml:space="preserve"> que la demandante solicitó </w:t>
      </w:r>
      <w:r w:rsidR="00B539B3" w:rsidRPr="00896011">
        <w:rPr>
          <w:rFonts w:ascii="Tahoma" w:hAnsi="Tahoma" w:cs="Tahoma"/>
        </w:rPr>
        <w:t>el 18</w:t>
      </w:r>
      <w:r w:rsidR="007331F6" w:rsidRPr="00896011">
        <w:rPr>
          <w:rFonts w:ascii="Tahoma" w:hAnsi="Tahoma" w:cs="Tahoma"/>
        </w:rPr>
        <w:t xml:space="preserve"> de </w:t>
      </w:r>
      <w:r w:rsidR="00B539B3" w:rsidRPr="00896011">
        <w:rPr>
          <w:rFonts w:ascii="Tahoma" w:hAnsi="Tahoma" w:cs="Tahoma"/>
        </w:rPr>
        <w:t>septiembre</w:t>
      </w:r>
      <w:r w:rsidR="007331F6" w:rsidRPr="00896011">
        <w:rPr>
          <w:rFonts w:ascii="Tahoma" w:hAnsi="Tahoma" w:cs="Tahoma"/>
        </w:rPr>
        <w:t xml:space="preserve"> de 2013</w:t>
      </w:r>
      <w:r w:rsidR="00686189" w:rsidRPr="00896011">
        <w:rPr>
          <w:rFonts w:ascii="Tahoma" w:hAnsi="Tahoma" w:cs="Tahoma"/>
        </w:rPr>
        <w:t xml:space="preserve"> </w:t>
      </w:r>
      <w:r w:rsidR="00C80188" w:rsidRPr="00896011">
        <w:rPr>
          <w:rFonts w:ascii="Tahoma" w:hAnsi="Tahoma" w:cs="Tahoma"/>
        </w:rPr>
        <w:t>el reconocimiento de la pensión de sobrevivientes</w:t>
      </w:r>
      <w:r w:rsidR="007331F6" w:rsidRPr="00896011">
        <w:rPr>
          <w:rFonts w:ascii="Tahoma" w:hAnsi="Tahoma" w:cs="Tahoma"/>
        </w:rPr>
        <w:t>,</w:t>
      </w:r>
      <w:r w:rsidR="00C80188" w:rsidRPr="00896011">
        <w:rPr>
          <w:rFonts w:ascii="Tahoma" w:hAnsi="Tahoma" w:cs="Tahoma"/>
        </w:rPr>
        <w:t xml:space="preserve"> </w:t>
      </w:r>
      <w:r w:rsidR="007331F6" w:rsidRPr="00896011">
        <w:rPr>
          <w:rFonts w:ascii="Tahoma" w:hAnsi="Tahoma" w:cs="Tahoma"/>
        </w:rPr>
        <w:t xml:space="preserve">misma que fue negada a través de la Resolución </w:t>
      </w:r>
      <w:proofErr w:type="spellStart"/>
      <w:r w:rsidR="00B539B3" w:rsidRPr="00896011">
        <w:rPr>
          <w:rFonts w:ascii="Tahoma" w:hAnsi="Tahoma" w:cs="Tahoma"/>
        </w:rPr>
        <w:t>GNR</w:t>
      </w:r>
      <w:proofErr w:type="spellEnd"/>
      <w:r w:rsidR="00B539B3" w:rsidRPr="00896011">
        <w:rPr>
          <w:rFonts w:ascii="Tahoma" w:hAnsi="Tahoma" w:cs="Tahoma"/>
        </w:rPr>
        <w:t xml:space="preserve"> 175938</w:t>
      </w:r>
      <w:r w:rsidR="007331F6" w:rsidRPr="00896011">
        <w:rPr>
          <w:rFonts w:ascii="Tahoma" w:hAnsi="Tahoma" w:cs="Tahoma"/>
        </w:rPr>
        <w:t xml:space="preserve"> </w:t>
      </w:r>
      <w:r w:rsidR="00C80188" w:rsidRPr="00896011">
        <w:rPr>
          <w:rFonts w:ascii="Tahoma" w:hAnsi="Tahoma" w:cs="Tahoma"/>
        </w:rPr>
        <w:t>(</w:t>
      </w:r>
      <w:proofErr w:type="spellStart"/>
      <w:r w:rsidR="00C80188" w:rsidRPr="00896011">
        <w:rPr>
          <w:rFonts w:ascii="Tahoma" w:hAnsi="Tahoma" w:cs="Tahoma"/>
        </w:rPr>
        <w:t>fl</w:t>
      </w:r>
      <w:r w:rsidR="004F1D2D" w:rsidRPr="00896011">
        <w:rPr>
          <w:rFonts w:ascii="Tahoma" w:hAnsi="Tahoma" w:cs="Tahoma"/>
        </w:rPr>
        <w:t>s</w:t>
      </w:r>
      <w:proofErr w:type="spellEnd"/>
      <w:r w:rsidR="00C80188" w:rsidRPr="00896011">
        <w:rPr>
          <w:rFonts w:ascii="Tahoma" w:hAnsi="Tahoma" w:cs="Tahoma"/>
        </w:rPr>
        <w:t>.</w:t>
      </w:r>
      <w:r w:rsidR="00313ECB">
        <w:rPr>
          <w:rFonts w:ascii="Tahoma" w:hAnsi="Tahoma" w:cs="Tahoma"/>
        </w:rPr>
        <w:t xml:space="preserve"> </w:t>
      </w:r>
      <w:r w:rsidR="004F1D2D" w:rsidRPr="00896011">
        <w:rPr>
          <w:rFonts w:ascii="Tahoma" w:hAnsi="Tahoma" w:cs="Tahoma"/>
        </w:rPr>
        <w:t>22 y</w:t>
      </w:r>
      <w:r w:rsidR="00C80188" w:rsidRPr="00896011">
        <w:rPr>
          <w:rFonts w:ascii="Tahoma" w:hAnsi="Tahoma" w:cs="Tahoma"/>
        </w:rPr>
        <w:t xml:space="preserve"> </w:t>
      </w:r>
      <w:r w:rsidR="004F1D2D" w:rsidRPr="00896011">
        <w:rPr>
          <w:rFonts w:ascii="Tahoma" w:hAnsi="Tahoma" w:cs="Tahoma"/>
        </w:rPr>
        <w:t>70</w:t>
      </w:r>
      <w:r w:rsidR="00C80188" w:rsidRPr="00896011">
        <w:rPr>
          <w:rFonts w:ascii="Tahoma" w:hAnsi="Tahoma" w:cs="Tahoma"/>
        </w:rPr>
        <w:t>)</w:t>
      </w:r>
      <w:r w:rsidR="004F1D2D" w:rsidRPr="00896011">
        <w:rPr>
          <w:rFonts w:ascii="Tahoma" w:hAnsi="Tahoma" w:cs="Tahoma"/>
        </w:rPr>
        <w:t xml:space="preserve">, </w:t>
      </w:r>
      <w:r w:rsidR="00313ECB">
        <w:rPr>
          <w:rFonts w:ascii="Tahoma" w:hAnsi="Tahoma" w:cs="Tahoma"/>
        </w:rPr>
        <w:t>acto del cual s</w:t>
      </w:r>
      <w:r w:rsidR="004F1D2D" w:rsidRPr="00896011">
        <w:rPr>
          <w:rFonts w:ascii="Tahoma" w:hAnsi="Tahoma" w:cs="Tahoma"/>
        </w:rPr>
        <w:t xml:space="preserve">e </w:t>
      </w:r>
      <w:r w:rsidR="00137DEF" w:rsidRPr="00896011">
        <w:rPr>
          <w:rFonts w:ascii="Tahoma" w:hAnsi="Tahoma" w:cs="Tahoma"/>
        </w:rPr>
        <w:t>d</w:t>
      </w:r>
      <w:r w:rsidR="004F1D2D" w:rsidRPr="00896011">
        <w:rPr>
          <w:rFonts w:ascii="Tahoma" w:hAnsi="Tahoma" w:cs="Tahoma"/>
        </w:rPr>
        <w:t xml:space="preserve">esprende que el </w:t>
      </w:r>
      <w:r w:rsidR="006D0DA4" w:rsidRPr="00896011">
        <w:rPr>
          <w:rFonts w:ascii="Tahoma" w:hAnsi="Tahoma" w:cs="Tahoma"/>
        </w:rPr>
        <w:t xml:space="preserve">I.S.S. </w:t>
      </w:r>
      <w:r w:rsidR="0097769B" w:rsidRPr="00896011">
        <w:rPr>
          <w:rFonts w:ascii="Tahoma" w:hAnsi="Tahoma" w:cs="Tahoma"/>
        </w:rPr>
        <w:t xml:space="preserve">reconoció a </w:t>
      </w:r>
      <w:r w:rsidR="004F1D2D" w:rsidRPr="00896011">
        <w:rPr>
          <w:rFonts w:ascii="Tahoma" w:hAnsi="Tahoma" w:cs="Tahoma"/>
        </w:rPr>
        <w:t>la señora Martha Cecilia Sierra de Villa la</w:t>
      </w:r>
      <w:r w:rsidR="0097769B" w:rsidRPr="00896011">
        <w:rPr>
          <w:rFonts w:ascii="Tahoma" w:hAnsi="Tahoma" w:cs="Tahoma"/>
        </w:rPr>
        <w:t xml:space="preserve"> indemnización sustitutiva de la pensión de sobrevivientes</w:t>
      </w:r>
      <w:r w:rsidR="004F1D2D" w:rsidRPr="00896011">
        <w:rPr>
          <w:rFonts w:ascii="Tahoma" w:hAnsi="Tahoma" w:cs="Tahoma"/>
        </w:rPr>
        <w:t xml:space="preserve">, mediante la </w:t>
      </w:r>
      <w:r w:rsidR="00313ECB" w:rsidRPr="00896011">
        <w:rPr>
          <w:rFonts w:ascii="Tahoma" w:hAnsi="Tahoma" w:cs="Tahoma"/>
        </w:rPr>
        <w:t xml:space="preserve">Resolución </w:t>
      </w:r>
      <w:r w:rsidR="004F1D2D" w:rsidRPr="00896011">
        <w:rPr>
          <w:rFonts w:ascii="Tahoma" w:hAnsi="Tahoma" w:cs="Tahoma"/>
        </w:rPr>
        <w:t>No. 4828 del 1º de enero de 1996</w:t>
      </w:r>
      <w:r w:rsidR="0097769B" w:rsidRPr="00896011">
        <w:rPr>
          <w:rFonts w:ascii="Tahoma" w:hAnsi="Tahoma" w:cs="Tahoma"/>
        </w:rPr>
        <w:t>.</w:t>
      </w:r>
    </w:p>
    <w:p w14:paraId="420DCA30" w14:textId="77777777" w:rsidR="00681318" w:rsidRPr="00896011" w:rsidRDefault="00681318" w:rsidP="004F1D2D">
      <w:pPr>
        <w:pStyle w:val="Sinespaciado"/>
        <w:rPr>
          <w:sz w:val="24"/>
          <w:szCs w:val="24"/>
        </w:rPr>
      </w:pPr>
    </w:p>
    <w:p w14:paraId="26127CA4" w14:textId="51591AAA" w:rsidR="00681318" w:rsidRPr="00896011" w:rsidRDefault="00681318" w:rsidP="00681318">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Hasta aquí debe decirse que, en principio, la norma aplicable es la vigente para el momento del óbito</w:t>
      </w:r>
      <w:r w:rsidR="00686189" w:rsidRPr="00896011">
        <w:rPr>
          <w:rFonts w:ascii="Tahoma" w:hAnsi="Tahoma" w:cs="Tahoma"/>
        </w:rPr>
        <w:t xml:space="preserve"> del señor</w:t>
      </w:r>
      <w:r w:rsidR="004F1D2D" w:rsidRPr="00896011">
        <w:rPr>
          <w:rFonts w:ascii="Tahoma" w:hAnsi="Tahoma" w:cs="Tahoma"/>
        </w:rPr>
        <w:t xml:space="preserve"> Villa Restrepo</w:t>
      </w:r>
      <w:r w:rsidRPr="00896011">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14:paraId="2E4453F4" w14:textId="77777777" w:rsidR="00681318" w:rsidRDefault="00681318" w:rsidP="00F50C8C">
      <w:pPr>
        <w:widowControl w:val="0"/>
        <w:autoSpaceDE w:val="0"/>
        <w:autoSpaceDN w:val="0"/>
        <w:adjustRightInd w:val="0"/>
        <w:ind w:firstLine="708"/>
        <w:jc w:val="both"/>
        <w:rPr>
          <w:rFonts w:ascii="Tahoma" w:hAnsi="Tahoma" w:cs="Tahoma"/>
        </w:rPr>
      </w:pPr>
    </w:p>
    <w:p w14:paraId="271D0E8D" w14:textId="77777777" w:rsidR="00896011" w:rsidRPr="00896011" w:rsidRDefault="00896011" w:rsidP="00F50C8C">
      <w:pPr>
        <w:widowControl w:val="0"/>
        <w:autoSpaceDE w:val="0"/>
        <w:autoSpaceDN w:val="0"/>
        <w:adjustRightInd w:val="0"/>
        <w:ind w:firstLine="708"/>
        <w:jc w:val="both"/>
        <w:rPr>
          <w:rFonts w:ascii="Tahoma" w:hAnsi="Tahoma" w:cs="Tahoma"/>
        </w:rPr>
      </w:pPr>
    </w:p>
    <w:p w14:paraId="0E559036" w14:textId="1CFCBB21" w:rsidR="00681318" w:rsidRPr="00896011" w:rsidRDefault="00681318" w:rsidP="004F1D2D">
      <w:pPr>
        <w:pStyle w:val="Textoindependiente"/>
        <w:numPr>
          <w:ilvl w:val="1"/>
          <w:numId w:val="1"/>
        </w:numPr>
        <w:spacing w:after="0" w:line="276" w:lineRule="auto"/>
        <w:ind w:right="51" w:hanging="371"/>
        <w:jc w:val="both"/>
        <w:rPr>
          <w:rFonts w:ascii="Tahoma" w:hAnsi="Tahoma" w:cs="Tahoma"/>
          <w:b/>
        </w:rPr>
      </w:pPr>
      <w:r w:rsidRPr="00896011">
        <w:rPr>
          <w:rFonts w:ascii="Tahoma" w:hAnsi="Tahoma" w:cs="Tahoma"/>
          <w:b/>
        </w:rPr>
        <w:t>Del principio de la condición más beneficiosa</w:t>
      </w:r>
    </w:p>
    <w:p w14:paraId="0E173916" w14:textId="77777777" w:rsidR="006268F9" w:rsidRPr="00896011" w:rsidRDefault="006268F9" w:rsidP="00F50C8C">
      <w:pPr>
        <w:pStyle w:val="Puesto"/>
        <w:spacing w:line="240" w:lineRule="auto"/>
        <w:ind w:firstLine="708"/>
        <w:jc w:val="both"/>
        <w:rPr>
          <w:rFonts w:ascii="Tahoma" w:hAnsi="Tahoma" w:cs="Tahoma"/>
          <w:b w:val="0"/>
        </w:rPr>
      </w:pPr>
    </w:p>
    <w:p w14:paraId="038A0F8F" w14:textId="7C76A889" w:rsidR="00681318" w:rsidRPr="00896011" w:rsidRDefault="00681318" w:rsidP="00681318">
      <w:pPr>
        <w:pStyle w:val="Puesto"/>
        <w:spacing w:line="276" w:lineRule="auto"/>
        <w:ind w:firstLine="708"/>
        <w:jc w:val="both"/>
        <w:rPr>
          <w:rFonts w:ascii="Tahoma" w:hAnsi="Tahoma" w:cs="Tahoma"/>
        </w:rPr>
      </w:pPr>
      <w:r w:rsidRPr="00896011">
        <w:rPr>
          <w:rFonts w:ascii="Tahoma" w:hAnsi="Tahoma" w:cs="Tahoma"/>
          <w:b w:val="0"/>
        </w:rPr>
        <w:t xml:space="preserve">Si bien se ha decantado suficientemente que la normatividad aplicable a la pensión de sobrevivientes es la legislación vigente al momento </w:t>
      </w:r>
      <w:r w:rsidR="00F50C8C" w:rsidRPr="00896011">
        <w:rPr>
          <w:rFonts w:ascii="Tahoma" w:hAnsi="Tahoma" w:cs="Tahoma"/>
          <w:b w:val="0"/>
        </w:rPr>
        <w:t>del fallecimiento del afiliado</w:t>
      </w:r>
      <w:r w:rsidRPr="00896011">
        <w:rPr>
          <w:rFonts w:ascii="Tahoma" w:hAnsi="Tahoma" w:cs="Tahoma"/>
          <w:b w:val="0"/>
        </w:rPr>
        <w:t xml:space="preserve">, por excepción, es posible acudir a la legislación anterior con el fin de determinar la concesión o no de la gracia pensional, en aplicación del </w:t>
      </w:r>
      <w:r w:rsidRPr="00896011">
        <w:rPr>
          <w:rFonts w:ascii="Tahoma" w:hAnsi="Tahoma" w:cs="Tahoma"/>
          <w:b w:val="0"/>
          <w:i/>
        </w:rPr>
        <w:t>“Principio de la condición más beneficiosa</w:t>
      </w:r>
      <w:r w:rsidRPr="00896011">
        <w:rPr>
          <w:rFonts w:ascii="Tahoma" w:hAnsi="Tahoma" w:cs="Tahoma"/>
          <w:b w:val="0"/>
        </w:rPr>
        <w:t>”.</w:t>
      </w:r>
    </w:p>
    <w:p w14:paraId="62838D4E" w14:textId="77777777" w:rsidR="00681318" w:rsidRPr="00896011" w:rsidRDefault="00681318" w:rsidP="005050FE">
      <w:pPr>
        <w:jc w:val="both"/>
        <w:rPr>
          <w:rFonts w:ascii="Tahoma" w:hAnsi="Tahoma" w:cs="Tahoma"/>
        </w:rPr>
      </w:pPr>
    </w:p>
    <w:p w14:paraId="6BD0D78E" w14:textId="3D025CF4" w:rsidR="00681318" w:rsidRPr="00896011" w:rsidRDefault="00681318" w:rsidP="00681318">
      <w:pPr>
        <w:spacing w:line="276" w:lineRule="auto"/>
        <w:ind w:firstLine="708"/>
        <w:jc w:val="both"/>
        <w:rPr>
          <w:rFonts w:ascii="Tahoma" w:hAnsi="Tahoma" w:cs="Tahoma"/>
          <w:spacing w:val="-2"/>
        </w:rPr>
      </w:pPr>
      <w:r w:rsidRPr="00896011">
        <w:rPr>
          <w:rFonts w:ascii="Tahoma" w:hAnsi="Tahoma" w:cs="Tahoma"/>
          <w:spacing w:val="-2"/>
        </w:rPr>
        <w:t xml:space="preserve">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14:paraId="45EA43D8" w14:textId="77777777" w:rsidR="00681318" w:rsidRPr="00896011" w:rsidRDefault="00681318" w:rsidP="006B70FD">
      <w:pPr>
        <w:suppressAutoHyphens/>
        <w:ind w:firstLine="708"/>
        <w:jc w:val="both"/>
        <w:rPr>
          <w:rFonts w:ascii="Tahoma" w:hAnsi="Tahoma" w:cs="Tahoma"/>
        </w:rPr>
      </w:pPr>
      <w:r w:rsidRPr="00896011">
        <w:rPr>
          <w:rFonts w:ascii="Tahoma" w:hAnsi="Tahoma" w:cs="Tahoma"/>
          <w:spacing w:val="-2"/>
        </w:rPr>
        <w:t xml:space="preserve">     </w:t>
      </w:r>
    </w:p>
    <w:p w14:paraId="4739869E" w14:textId="77777777" w:rsidR="00681318" w:rsidRPr="00896011" w:rsidRDefault="00681318" w:rsidP="004F1D2D">
      <w:pPr>
        <w:widowControl w:val="0"/>
        <w:numPr>
          <w:ilvl w:val="1"/>
          <w:numId w:val="1"/>
        </w:numPr>
        <w:autoSpaceDE w:val="0"/>
        <w:autoSpaceDN w:val="0"/>
        <w:adjustRightInd w:val="0"/>
        <w:spacing w:line="276" w:lineRule="auto"/>
        <w:ind w:left="993" w:hanging="284"/>
        <w:jc w:val="both"/>
        <w:rPr>
          <w:rFonts w:ascii="Tahoma" w:hAnsi="Tahoma" w:cs="Tahoma"/>
          <w:b/>
        </w:rPr>
      </w:pPr>
      <w:r w:rsidRPr="00896011">
        <w:rPr>
          <w:rFonts w:ascii="Tahoma" w:hAnsi="Tahoma" w:cs="Tahoma"/>
          <w:b/>
        </w:rPr>
        <w:t>Caso concreto</w:t>
      </w:r>
    </w:p>
    <w:p w14:paraId="04EE2A60" w14:textId="77777777" w:rsidR="00681318" w:rsidRPr="00896011" w:rsidRDefault="00681318" w:rsidP="006B70FD">
      <w:pPr>
        <w:widowControl w:val="0"/>
        <w:autoSpaceDE w:val="0"/>
        <w:autoSpaceDN w:val="0"/>
        <w:adjustRightInd w:val="0"/>
        <w:ind w:firstLine="1122"/>
        <w:jc w:val="both"/>
        <w:rPr>
          <w:rFonts w:ascii="Tahoma" w:hAnsi="Tahoma" w:cs="Tahoma"/>
        </w:rPr>
      </w:pPr>
    </w:p>
    <w:p w14:paraId="0B5DF845" w14:textId="612C6CE1" w:rsidR="00317F2A" w:rsidRPr="00896011" w:rsidRDefault="00681318" w:rsidP="00681318">
      <w:pPr>
        <w:tabs>
          <w:tab w:val="left" w:pos="748"/>
        </w:tabs>
        <w:spacing w:line="276" w:lineRule="auto"/>
        <w:jc w:val="both"/>
        <w:rPr>
          <w:rFonts w:ascii="Tahoma" w:hAnsi="Tahoma" w:cs="Tahoma"/>
        </w:rPr>
      </w:pPr>
      <w:r w:rsidRPr="00896011">
        <w:rPr>
          <w:rFonts w:ascii="Tahoma" w:hAnsi="Tahoma" w:cs="Tahoma"/>
        </w:rPr>
        <w:tab/>
        <w:t>Esta Coleg</w:t>
      </w:r>
      <w:r w:rsidR="00504707" w:rsidRPr="00896011">
        <w:rPr>
          <w:rFonts w:ascii="Tahoma" w:hAnsi="Tahoma" w:cs="Tahoma"/>
        </w:rPr>
        <w:t>iatura comparte</w:t>
      </w:r>
      <w:r w:rsidRPr="00896011">
        <w:rPr>
          <w:rFonts w:ascii="Tahoma" w:hAnsi="Tahoma" w:cs="Tahoma"/>
        </w:rPr>
        <w:t xml:space="preserve"> </w:t>
      </w:r>
      <w:r w:rsidR="00504707" w:rsidRPr="00896011">
        <w:rPr>
          <w:rFonts w:ascii="Tahoma" w:hAnsi="Tahoma" w:cs="Tahoma"/>
        </w:rPr>
        <w:t>la conclusión de</w:t>
      </w:r>
      <w:r w:rsidRPr="00896011">
        <w:rPr>
          <w:rFonts w:ascii="Tahoma" w:hAnsi="Tahoma" w:cs="Tahoma"/>
        </w:rPr>
        <w:t xml:space="preserve"> la Jueza de primer grado respecto de la aplicación de principio de la condición más beneficiosa en el </w:t>
      </w:r>
      <w:r w:rsidR="005050FE" w:rsidRPr="005050FE">
        <w:rPr>
          <w:rFonts w:ascii="Tahoma" w:hAnsi="Tahoma" w:cs="Tahoma"/>
          <w:i/>
        </w:rPr>
        <w:t>sub lite</w:t>
      </w:r>
      <w:r w:rsidR="005050FE">
        <w:rPr>
          <w:rFonts w:ascii="Tahoma" w:hAnsi="Tahoma" w:cs="Tahoma"/>
        </w:rPr>
        <w:t xml:space="preserve">, así como </w:t>
      </w:r>
      <w:r w:rsidRPr="00896011">
        <w:rPr>
          <w:rFonts w:ascii="Tahoma" w:hAnsi="Tahoma" w:cs="Tahoma"/>
        </w:rPr>
        <w:t>el subsecuente reconocimiento, retroactivo, de la pensión de sobrevivientes reclamada</w:t>
      </w:r>
      <w:r w:rsidR="005050FE">
        <w:rPr>
          <w:rFonts w:ascii="Tahoma" w:hAnsi="Tahoma" w:cs="Tahoma"/>
        </w:rPr>
        <w:t>,</w:t>
      </w:r>
      <w:r w:rsidR="00504707" w:rsidRPr="00896011">
        <w:rPr>
          <w:rFonts w:ascii="Tahoma" w:hAnsi="Tahoma" w:cs="Tahoma"/>
        </w:rPr>
        <w:t xml:space="preserve"> pues</w:t>
      </w:r>
      <w:r w:rsidRPr="00896011">
        <w:rPr>
          <w:rFonts w:ascii="Tahoma" w:hAnsi="Tahoma" w:cs="Tahoma"/>
        </w:rPr>
        <w:t xml:space="preserve"> </w:t>
      </w:r>
      <w:r w:rsidR="00317F2A" w:rsidRPr="00896011">
        <w:rPr>
          <w:rFonts w:ascii="Tahoma" w:hAnsi="Tahoma" w:cs="Tahoma"/>
        </w:rPr>
        <w:t xml:space="preserve">habiendo cotizado el </w:t>
      </w:r>
      <w:r w:rsidRPr="00896011">
        <w:rPr>
          <w:rFonts w:ascii="Tahoma" w:hAnsi="Tahoma" w:cs="Tahoma"/>
        </w:rPr>
        <w:t xml:space="preserve">causante </w:t>
      </w:r>
      <w:r w:rsidR="00317F2A" w:rsidRPr="00896011">
        <w:rPr>
          <w:rFonts w:ascii="Tahoma" w:hAnsi="Tahoma" w:cs="Tahoma"/>
        </w:rPr>
        <w:t>más de las 300 semanas exigidas por el Acuerdo 049 de 1990</w:t>
      </w:r>
      <w:r w:rsidRPr="00896011">
        <w:rPr>
          <w:rFonts w:ascii="Tahoma" w:hAnsi="Tahoma" w:cs="Tahoma"/>
        </w:rPr>
        <w:t xml:space="preserve">, antes de la entrada en </w:t>
      </w:r>
      <w:r w:rsidR="00317F2A" w:rsidRPr="00896011">
        <w:rPr>
          <w:rFonts w:ascii="Tahoma" w:hAnsi="Tahoma" w:cs="Tahoma"/>
        </w:rPr>
        <w:t>vigencia de la Ley 100 de 1993,</w:t>
      </w:r>
      <w:r w:rsidRPr="00896011">
        <w:rPr>
          <w:rFonts w:ascii="Tahoma" w:hAnsi="Tahoma" w:cs="Tahoma"/>
        </w:rPr>
        <w:t xml:space="preserve"> es evidente que dejó causado el derecho para que sus beneficiarios accedieran a la pensión de sobrevivientes</w:t>
      </w:r>
      <w:r w:rsidR="005050FE">
        <w:rPr>
          <w:rFonts w:ascii="Tahoma" w:hAnsi="Tahoma" w:cs="Tahoma"/>
        </w:rPr>
        <w:t xml:space="preserve"> en virtud del aludido principio</w:t>
      </w:r>
      <w:r w:rsidRPr="00896011">
        <w:rPr>
          <w:rFonts w:ascii="Tahoma" w:hAnsi="Tahoma" w:cs="Tahoma"/>
        </w:rPr>
        <w:t>.</w:t>
      </w:r>
    </w:p>
    <w:p w14:paraId="344BEF9E" w14:textId="77777777" w:rsidR="00317F2A" w:rsidRPr="00896011" w:rsidRDefault="00317F2A" w:rsidP="00681318">
      <w:pPr>
        <w:tabs>
          <w:tab w:val="left" w:pos="748"/>
        </w:tabs>
        <w:spacing w:line="276" w:lineRule="auto"/>
        <w:jc w:val="both"/>
        <w:rPr>
          <w:rFonts w:ascii="Tahoma" w:hAnsi="Tahoma" w:cs="Tahoma"/>
        </w:rPr>
      </w:pPr>
    </w:p>
    <w:p w14:paraId="0E62E3FE" w14:textId="647D9419" w:rsidR="00094F30" w:rsidRPr="00896011" w:rsidRDefault="00E65B09" w:rsidP="00094F30">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 xml:space="preserve">Tal </w:t>
      </w:r>
      <w:r w:rsidR="00F50C8C" w:rsidRPr="00896011">
        <w:rPr>
          <w:rFonts w:ascii="Tahoma" w:hAnsi="Tahoma" w:cs="Tahoma"/>
        </w:rPr>
        <w:t>com</w:t>
      </w:r>
      <w:r w:rsidR="00317F2A" w:rsidRPr="00896011">
        <w:rPr>
          <w:rFonts w:ascii="Tahoma" w:hAnsi="Tahoma" w:cs="Tahoma"/>
        </w:rPr>
        <w:t xml:space="preserve">o lo advirtió </w:t>
      </w:r>
      <w:r w:rsidR="006B70FD" w:rsidRPr="00896011">
        <w:rPr>
          <w:rFonts w:ascii="Tahoma" w:hAnsi="Tahoma" w:cs="Tahoma"/>
        </w:rPr>
        <w:t xml:space="preserve">la A-quo, </w:t>
      </w:r>
      <w:r w:rsidR="004C474B">
        <w:rPr>
          <w:rFonts w:ascii="Tahoma" w:hAnsi="Tahoma" w:cs="Tahoma"/>
        </w:rPr>
        <w:t xml:space="preserve">la </w:t>
      </w:r>
      <w:r w:rsidR="006B70FD" w:rsidRPr="00896011">
        <w:rPr>
          <w:rFonts w:ascii="Tahoma" w:hAnsi="Tahoma" w:cs="Tahoma"/>
        </w:rPr>
        <w:t>c</w:t>
      </w:r>
      <w:r w:rsidR="00F50C8C" w:rsidRPr="00896011">
        <w:rPr>
          <w:rFonts w:ascii="Tahoma" w:hAnsi="Tahoma" w:cs="Tahoma"/>
        </w:rPr>
        <w:t>a</w:t>
      </w:r>
      <w:r w:rsidR="006B70FD" w:rsidRPr="00896011">
        <w:rPr>
          <w:rFonts w:ascii="Tahoma" w:hAnsi="Tahoma" w:cs="Tahoma"/>
        </w:rPr>
        <w:t>l</w:t>
      </w:r>
      <w:r w:rsidR="00F50C8C" w:rsidRPr="00896011">
        <w:rPr>
          <w:rFonts w:ascii="Tahoma" w:hAnsi="Tahoma" w:cs="Tahoma"/>
        </w:rPr>
        <w:t>idad</w:t>
      </w:r>
      <w:r w:rsidR="006B70FD" w:rsidRPr="00896011">
        <w:rPr>
          <w:rFonts w:ascii="Tahoma" w:hAnsi="Tahoma" w:cs="Tahoma"/>
        </w:rPr>
        <w:t xml:space="preserve"> de beneficiaria </w:t>
      </w:r>
      <w:r w:rsidR="004C474B">
        <w:rPr>
          <w:rFonts w:ascii="Tahoma" w:hAnsi="Tahoma" w:cs="Tahoma"/>
        </w:rPr>
        <w:t xml:space="preserve">de la demandante </w:t>
      </w:r>
      <w:r w:rsidR="006B70FD" w:rsidRPr="00896011">
        <w:rPr>
          <w:rFonts w:ascii="Tahoma" w:hAnsi="Tahoma" w:cs="Tahoma"/>
        </w:rPr>
        <w:t xml:space="preserve">fue demostrada </w:t>
      </w:r>
      <w:r w:rsidR="004C474B">
        <w:rPr>
          <w:rFonts w:ascii="Tahoma" w:hAnsi="Tahoma" w:cs="Tahoma"/>
        </w:rPr>
        <w:t>por la promotora del litigio</w:t>
      </w:r>
      <w:r w:rsidR="00094F30" w:rsidRPr="00896011">
        <w:rPr>
          <w:rFonts w:ascii="Tahoma" w:hAnsi="Tahoma" w:cs="Tahoma"/>
        </w:rPr>
        <w:t>, tanto con la declaración de la</w:t>
      </w:r>
      <w:r w:rsidR="006B70FD" w:rsidRPr="00896011">
        <w:rPr>
          <w:rFonts w:ascii="Tahoma" w:hAnsi="Tahoma" w:cs="Tahoma"/>
        </w:rPr>
        <w:t>s testigos</w:t>
      </w:r>
      <w:r w:rsidR="00B71C1F" w:rsidRPr="00896011">
        <w:rPr>
          <w:rFonts w:ascii="Tahoma" w:hAnsi="Tahoma" w:cs="Tahoma"/>
        </w:rPr>
        <w:t xml:space="preserve"> María Amparo Quiceno y María Gilma Gómez de Aguirre</w:t>
      </w:r>
      <w:r w:rsidR="006B70FD" w:rsidRPr="00896011">
        <w:rPr>
          <w:rFonts w:ascii="Tahoma" w:hAnsi="Tahoma" w:cs="Tahoma"/>
        </w:rPr>
        <w:t xml:space="preserve">, quienes </w:t>
      </w:r>
      <w:r w:rsidR="00094F30" w:rsidRPr="00896011">
        <w:rPr>
          <w:rFonts w:ascii="Tahoma" w:hAnsi="Tahoma" w:cs="Tahoma"/>
        </w:rPr>
        <w:t xml:space="preserve">como amigas y vecinas de </w:t>
      </w:r>
      <w:r w:rsidR="006B70FD" w:rsidRPr="00896011">
        <w:rPr>
          <w:rFonts w:ascii="Tahoma" w:hAnsi="Tahoma" w:cs="Tahoma"/>
        </w:rPr>
        <w:t>la pareja dieron fe d</w:t>
      </w:r>
      <w:r w:rsidR="00B71C1F" w:rsidRPr="00896011">
        <w:rPr>
          <w:rFonts w:ascii="Tahoma" w:hAnsi="Tahoma" w:cs="Tahoma"/>
        </w:rPr>
        <w:t>e su convivencia desde que los conocieron</w:t>
      </w:r>
      <w:r w:rsidR="004C474B">
        <w:rPr>
          <w:rFonts w:ascii="Tahoma" w:hAnsi="Tahoma" w:cs="Tahoma"/>
        </w:rPr>
        <w:t>,</w:t>
      </w:r>
      <w:r w:rsidR="00B71C1F" w:rsidRPr="00896011">
        <w:rPr>
          <w:rFonts w:ascii="Tahoma" w:hAnsi="Tahoma" w:cs="Tahoma"/>
        </w:rPr>
        <w:t xml:space="preserve"> 12 y 18 años</w:t>
      </w:r>
      <w:r w:rsidR="004C474B">
        <w:rPr>
          <w:rFonts w:ascii="Tahoma" w:hAnsi="Tahoma" w:cs="Tahoma"/>
        </w:rPr>
        <w:t xml:space="preserve"> </w:t>
      </w:r>
      <w:r w:rsidR="004C474B" w:rsidRPr="00896011">
        <w:rPr>
          <w:rFonts w:ascii="Tahoma" w:hAnsi="Tahoma" w:cs="Tahoma"/>
        </w:rPr>
        <w:t>antes a la muerte del afiliado</w:t>
      </w:r>
      <w:r w:rsidR="004C474B">
        <w:rPr>
          <w:rFonts w:ascii="Tahoma" w:hAnsi="Tahoma" w:cs="Tahoma"/>
        </w:rPr>
        <w:t xml:space="preserve"> respectivamente, así</w:t>
      </w:r>
      <w:r w:rsidR="006B70FD" w:rsidRPr="00896011">
        <w:rPr>
          <w:rFonts w:ascii="Tahoma" w:hAnsi="Tahoma" w:cs="Tahoma"/>
        </w:rPr>
        <w:t xml:space="preserve"> como</w:t>
      </w:r>
      <w:r w:rsidR="004C474B">
        <w:rPr>
          <w:rFonts w:ascii="Tahoma" w:hAnsi="Tahoma" w:cs="Tahoma"/>
        </w:rPr>
        <w:t xml:space="preserve"> con </w:t>
      </w:r>
      <w:r w:rsidR="00094F30" w:rsidRPr="00896011">
        <w:rPr>
          <w:rFonts w:ascii="Tahoma" w:hAnsi="Tahoma" w:cs="Tahoma"/>
        </w:rPr>
        <w:t xml:space="preserve">la indemnización sustitutiva que le reconoció el ISS en la citada </w:t>
      </w:r>
      <w:r w:rsidR="004C474B" w:rsidRPr="00896011">
        <w:rPr>
          <w:rFonts w:ascii="Tahoma" w:hAnsi="Tahoma" w:cs="Tahoma"/>
        </w:rPr>
        <w:t xml:space="preserve">Resolución </w:t>
      </w:r>
      <w:r w:rsidR="00094F30" w:rsidRPr="00896011">
        <w:rPr>
          <w:rFonts w:ascii="Tahoma" w:hAnsi="Tahoma" w:cs="Tahoma"/>
        </w:rPr>
        <w:t>No. 4828 del 1º de enero de 1996</w:t>
      </w:r>
      <w:r w:rsidR="004C474B">
        <w:rPr>
          <w:rFonts w:ascii="Tahoma" w:hAnsi="Tahoma" w:cs="Tahoma"/>
        </w:rPr>
        <w:t>, acto que está revestido de legalidad por haber sido emanado de la administración</w:t>
      </w:r>
      <w:r w:rsidR="00094F30" w:rsidRPr="00896011">
        <w:rPr>
          <w:rFonts w:ascii="Tahoma" w:hAnsi="Tahoma" w:cs="Tahoma"/>
        </w:rPr>
        <w:t>.</w:t>
      </w:r>
    </w:p>
    <w:p w14:paraId="6F72947A" w14:textId="77777777" w:rsidR="00F50C8C" w:rsidRPr="00896011" w:rsidRDefault="00F50C8C" w:rsidP="00681318">
      <w:pPr>
        <w:tabs>
          <w:tab w:val="left" w:pos="748"/>
        </w:tabs>
        <w:spacing w:line="276" w:lineRule="auto"/>
        <w:jc w:val="both"/>
        <w:rPr>
          <w:rFonts w:ascii="Tahoma" w:hAnsi="Tahoma" w:cs="Tahoma"/>
        </w:rPr>
      </w:pPr>
    </w:p>
    <w:p w14:paraId="66B2C00D" w14:textId="0492246F" w:rsidR="006B71A1" w:rsidRDefault="00031A14" w:rsidP="008772AA">
      <w:pPr>
        <w:tabs>
          <w:tab w:val="left" w:pos="748"/>
        </w:tabs>
        <w:spacing w:line="276" w:lineRule="auto"/>
        <w:jc w:val="both"/>
        <w:rPr>
          <w:rFonts w:ascii="Tahoma" w:hAnsi="Tahoma" w:cs="Tahoma"/>
        </w:rPr>
      </w:pPr>
      <w:r>
        <w:rPr>
          <w:rFonts w:ascii="Tahoma" w:hAnsi="Tahoma" w:cs="Tahoma"/>
        </w:rPr>
        <w:tab/>
        <w:t xml:space="preserve">Ahora, teniendo en cuenta que </w:t>
      </w:r>
      <w:r w:rsidR="008772AA">
        <w:rPr>
          <w:rFonts w:ascii="Tahoma" w:hAnsi="Tahoma" w:cs="Tahoma"/>
        </w:rPr>
        <w:t>solicitud de l</w:t>
      </w:r>
      <w:r>
        <w:rPr>
          <w:rFonts w:ascii="Tahoma" w:hAnsi="Tahoma" w:cs="Tahoma"/>
        </w:rPr>
        <w:t xml:space="preserve">a </w:t>
      </w:r>
      <w:r w:rsidR="008772AA">
        <w:rPr>
          <w:rFonts w:ascii="Tahoma" w:hAnsi="Tahoma" w:cs="Tahoma"/>
        </w:rPr>
        <w:t xml:space="preserve">pensión de sobrevivientes aquí reclamada se resolvió originalmente a través de la </w:t>
      </w:r>
      <w:r w:rsidR="006B71A1">
        <w:rPr>
          <w:rFonts w:ascii="Tahoma" w:hAnsi="Tahoma" w:cs="Tahoma"/>
        </w:rPr>
        <w:t>r</w:t>
      </w:r>
      <w:r w:rsidR="008772AA">
        <w:rPr>
          <w:rFonts w:ascii="Tahoma" w:hAnsi="Tahoma" w:cs="Tahoma"/>
        </w:rPr>
        <w:t xml:space="preserve">esolución </w:t>
      </w:r>
      <w:r w:rsidR="006B71A1">
        <w:rPr>
          <w:rFonts w:ascii="Tahoma" w:hAnsi="Tahoma" w:cs="Tahoma"/>
        </w:rPr>
        <w:t xml:space="preserve">aludida, sólo la demanda incoada el 2 de julio de 2014 tuvo la virtualidad de interrumpir el fenómeno extintivo de la prescripción, mismo que se interrumpe por una sola vez de conformidad con los artículo 151 del CST y los artículo 488 y 489 del CPT y la s.s. Por lo tanto, se modificará el ordinal </w:t>
      </w:r>
      <w:r w:rsidR="00C87532">
        <w:rPr>
          <w:rFonts w:ascii="Tahoma" w:hAnsi="Tahoma" w:cs="Tahoma"/>
        </w:rPr>
        <w:t>sexto</w:t>
      </w:r>
      <w:r w:rsidR="006B71A1">
        <w:rPr>
          <w:rFonts w:ascii="Tahoma" w:hAnsi="Tahoma" w:cs="Tahoma"/>
        </w:rPr>
        <w:t xml:space="preserve"> de la sentencia objeto de consulta</w:t>
      </w:r>
      <w:r w:rsidR="00B30067">
        <w:rPr>
          <w:rFonts w:ascii="Tahoma" w:hAnsi="Tahoma" w:cs="Tahoma"/>
        </w:rPr>
        <w:t xml:space="preserve">, en el sentido </w:t>
      </w:r>
      <w:r w:rsidR="00C87532">
        <w:rPr>
          <w:rFonts w:ascii="Tahoma" w:hAnsi="Tahoma" w:cs="Tahoma"/>
        </w:rPr>
        <w:t xml:space="preserve">de </w:t>
      </w:r>
      <w:r w:rsidR="00B30067">
        <w:rPr>
          <w:rFonts w:ascii="Tahoma" w:hAnsi="Tahoma" w:cs="Tahoma"/>
        </w:rPr>
        <w:t>que las mesadas causadas con antelación al 2 de julio de 2011 prescribieron.</w:t>
      </w:r>
      <w:r w:rsidR="006B71A1">
        <w:rPr>
          <w:rFonts w:ascii="Tahoma" w:hAnsi="Tahoma" w:cs="Tahoma"/>
        </w:rPr>
        <w:t xml:space="preserve"> </w:t>
      </w:r>
    </w:p>
    <w:p w14:paraId="7C397E1A" w14:textId="77777777" w:rsidR="006B71A1" w:rsidRDefault="006B71A1" w:rsidP="008772AA">
      <w:pPr>
        <w:tabs>
          <w:tab w:val="left" w:pos="748"/>
        </w:tabs>
        <w:spacing w:line="276" w:lineRule="auto"/>
        <w:jc w:val="both"/>
        <w:rPr>
          <w:rFonts w:ascii="Tahoma" w:hAnsi="Tahoma" w:cs="Tahoma"/>
        </w:rPr>
      </w:pPr>
    </w:p>
    <w:p w14:paraId="02EABA88" w14:textId="46E893F3" w:rsidR="00681318" w:rsidRDefault="00681318" w:rsidP="008639C6">
      <w:pPr>
        <w:spacing w:line="276" w:lineRule="auto"/>
        <w:jc w:val="both"/>
        <w:rPr>
          <w:rFonts w:ascii="Tahoma" w:hAnsi="Tahoma" w:cs="Tahoma"/>
        </w:rPr>
      </w:pPr>
      <w:r w:rsidRPr="00896011">
        <w:rPr>
          <w:rFonts w:ascii="Tahoma" w:hAnsi="Tahoma" w:cs="Tahoma"/>
        </w:rPr>
        <w:tab/>
        <w:t xml:space="preserve">En cuanto al </w:t>
      </w:r>
      <w:r w:rsidR="001E320A" w:rsidRPr="00896011">
        <w:rPr>
          <w:rFonts w:ascii="Tahoma" w:hAnsi="Tahoma" w:cs="Tahoma"/>
        </w:rPr>
        <w:t>monto de la pensión</w:t>
      </w:r>
      <w:r w:rsidR="00DF3175" w:rsidRPr="00896011">
        <w:rPr>
          <w:rFonts w:ascii="Tahoma" w:hAnsi="Tahoma" w:cs="Tahoma"/>
        </w:rPr>
        <w:t xml:space="preserve"> la Sala </w:t>
      </w:r>
      <w:r w:rsidR="00554C8B">
        <w:rPr>
          <w:rFonts w:ascii="Tahoma" w:hAnsi="Tahoma" w:cs="Tahoma"/>
        </w:rPr>
        <w:t xml:space="preserve">efectuó la liquidación correspondiente, </w:t>
      </w:r>
      <w:r w:rsidR="00B30067">
        <w:rPr>
          <w:rFonts w:ascii="Tahoma" w:hAnsi="Tahoma" w:cs="Tahoma"/>
        </w:rPr>
        <w:t xml:space="preserve">encontrando </w:t>
      </w:r>
      <w:r w:rsidR="00554C8B">
        <w:rPr>
          <w:rFonts w:ascii="Tahoma" w:hAnsi="Tahoma" w:cs="Tahoma"/>
        </w:rPr>
        <w:t xml:space="preserve">que el </w:t>
      </w:r>
      <w:r w:rsidR="001E320A" w:rsidRPr="00896011">
        <w:rPr>
          <w:rFonts w:ascii="Tahoma" w:hAnsi="Tahoma" w:cs="Tahoma"/>
        </w:rPr>
        <w:t>IBL</w:t>
      </w:r>
      <w:r w:rsidR="00554C8B">
        <w:rPr>
          <w:rFonts w:ascii="Tahoma" w:hAnsi="Tahoma" w:cs="Tahoma"/>
        </w:rPr>
        <w:t xml:space="preserve"> </w:t>
      </w:r>
      <w:r w:rsidR="00554C8B" w:rsidRPr="00896011">
        <w:rPr>
          <w:rFonts w:ascii="Tahoma" w:hAnsi="Tahoma" w:cs="Tahoma"/>
        </w:rPr>
        <w:t>obtenido con el promedio de los últimos 10 años cotizados por el causante</w:t>
      </w:r>
      <w:r w:rsidR="0097610E" w:rsidRPr="00896011">
        <w:rPr>
          <w:rFonts w:ascii="Tahoma" w:hAnsi="Tahoma" w:cs="Tahoma"/>
        </w:rPr>
        <w:t xml:space="preserve"> </w:t>
      </w:r>
      <w:r w:rsidR="00554C8B">
        <w:rPr>
          <w:rFonts w:ascii="Tahoma" w:hAnsi="Tahoma" w:cs="Tahoma"/>
        </w:rPr>
        <w:t xml:space="preserve">asciende a </w:t>
      </w:r>
      <w:r w:rsidR="0097610E" w:rsidRPr="007A704A">
        <w:rPr>
          <w:rFonts w:ascii="Tahoma" w:hAnsi="Tahoma" w:cs="Tahoma"/>
        </w:rPr>
        <w:t>$</w:t>
      </w:r>
      <w:r w:rsidR="007A704A" w:rsidRPr="007A704A">
        <w:rPr>
          <w:rFonts w:ascii="Tahoma" w:hAnsi="Tahoma" w:cs="Tahoma"/>
        </w:rPr>
        <w:t>455.068</w:t>
      </w:r>
      <w:r w:rsidR="007A704A" w:rsidRPr="00B30067">
        <w:rPr>
          <w:rFonts w:ascii="Tahoma" w:hAnsi="Tahoma" w:cs="Tahoma"/>
          <w:sz w:val="16"/>
          <w:szCs w:val="16"/>
        </w:rPr>
        <w:t>,16</w:t>
      </w:r>
      <w:r w:rsidR="00554C8B">
        <w:rPr>
          <w:rFonts w:ascii="Tahoma" w:hAnsi="Tahoma" w:cs="Tahoma"/>
        </w:rPr>
        <w:t>, mismo que al aplicarle una tasa de reemplazo del 57%</w:t>
      </w:r>
      <w:r w:rsidR="00B30067">
        <w:rPr>
          <w:rFonts w:ascii="Tahoma" w:hAnsi="Tahoma" w:cs="Tahoma"/>
        </w:rPr>
        <w:t xml:space="preserve">     </w:t>
      </w:r>
      <w:r w:rsidR="00554C8B" w:rsidRPr="00B30067">
        <w:rPr>
          <w:rFonts w:ascii="Tahoma" w:hAnsi="Tahoma" w:cs="Tahoma"/>
          <w:i/>
        </w:rPr>
        <w:t xml:space="preserve">-por tener el </w:t>
      </w:r>
      <w:r w:rsidR="00554C8B" w:rsidRPr="00C87532">
        <w:rPr>
          <w:rFonts w:ascii="Tahoma" w:hAnsi="Tahoma" w:cs="Tahoma"/>
        </w:rPr>
        <w:t xml:space="preserve">actor 330 semanas adicionales a las primeras 500 cotizadas-, </w:t>
      </w:r>
      <w:r w:rsidR="00554C8B">
        <w:rPr>
          <w:rFonts w:ascii="Tahoma" w:hAnsi="Tahoma" w:cs="Tahoma"/>
        </w:rPr>
        <w:t>arroja</w:t>
      </w:r>
      <w:r w:rsidR="001E320A" w:rsidRPr="00896011">
        <w:rPr>
          <w:rFonts w:ascii="Tahoma" w:hAnsi="Tahoma" w:cs="Tahoma"/>
        </w:rPr>
        <w:t xml:space="preserve"> una mesada pensional </w:t>
      </w:r>
      <w:r w:rsidR="001E320A" w:rsidRPr="007A704A">
        <w:rPr>
          <w:rFonts w:ascii="Tahoma" w:hAnsi="Tahoma" w:cs="Tahoma"/>
        </w:rPr>
        <w:t>$</w:t>
      </w:r>
      <w:r w:rsidR="007A704A" w:rsidRPr="007A704A">
        <w:rPr>
          <w:rFonts w:ascii="Tahoma" w:hAnsi="Tahoma" w:cs="Tahoma"/>
        </w:rPr>
        <w:t>259.388</w:t>
      </w:r>
      <w:r w:rsidR="007A704A" w:rsidRPr="00C87532">
        <w:rPr>
          <w:rFonts w:ascii="Tahoma" w:hAnsi="Tahoma" w:cs="Tahoma"/>
          <w:sz w:val="16"/>
          <w:szCs w:val="16"/>
        </w:rPr>
        <w:t>,85</w:t>
      </w:r>
      <w:r w:rsidR="00554C8B">
        <w:rPr>
          <w:rFonts w:ascii="Tahoma" w:hAnsi="Tahoma" w:cs="Tahoma"/>
        </w:rPr>
        <w:t xml:space="preserve"> para 1995</w:t>
      </w:r>
      <w:r w:rsidR="001E320A" w:rsidRPr="00896011">
        <w:rPr>
          <w:rFonts w:ascii="Tahoma" w:hAnsi="Tahoma" w:cs="Tahoma"/>
        </w:rPr>
        <w:t xml:space="preserve">, </w:t>
      </w:r>
      <w:r w:rsidR="00554C8B">
        <w:rPr>
          <w:rFonts w:ascii="Tahoma" w:hAnsi="Tahoma" w:cs="Tahoma"/>
        </w:rPr>
        <w:t xml:space="preserve">la cual </w:t>
      </w:r>
      <w:r w:rsidR="001E320A" w:rsidRPr="00896011">
        <w:rPr>
          <w:rFonts w:ascii="Tahoma" w:hAnsi="Tahoma" w:cs="Tahoma"/>
        </w:rPr>
        <w:t>al 18 de septiembre de 2010</w:t>
      </w:r>
      <w:r w:rsidR="00554C8B">
        <w:rPr>
          <w:rFonts w:ascii="Tahoma" w:hAnsi="Tahoma" w:cs="Tahoma"/>
        </w:rPr>
        <w:t xml:space="preserve"> tiene el valor de</w:t>
      </w:r>
      <w:r w:rsidR="001E320A" w:rsidRPr="00896011">
        <w:rPr>
          <w:rFonts w:ascii="Tahoma" w:hAnsi="Tahoma" w:cs="Tahoma"/>
        </w:rPr>
        <w:t xml:space="preserve"> </w:t>
      </w:r>
      <w:r w:rsidR="001E320A" w:rsidRPr="007A704A">
        <w:rPr>
          <w:rFonts w:ascii="Tahoma" w:hAnsi="Tahoma" w:cs="Tahoma"/>
        </w:rPr>
        <w:t>$</w:t>
      </w:r>
      <w:r w:rsidR="00554C8B">
        <w:rPr>
          <w:rFonts w:ascii="Tahoma" w:hAnsi="Tahoma" w:cs="Tahoma"/>
        </w:rPr>
        <w:t>1.043.678</w:t>
      </w:r>
      <w:r w:rsidR="00554C8B" w:rsidRPr="00C87532">
        <w:rPr>
          <w:rFonts w:ascii="Tahoma" w:hAnsi="Tahoma" w:cs="Tahoma"/>
        </w:rPr>
        <w:t>,42</w:t>
      </w:r>
      <w:r w:rsidR="00C87532" w:rsidRPr="00C87532">
        <w:rPr>
          <w:rFonts w:ascii="Tahoma" w:hAnsi="Tahoma" w:cs="Tahoma"/>
        </w:rPr>
        <w:t xml:space="preserve"> </w:t>
      </w:r>
      <w:r w:rsidR="00C87532" w:rsidRPr="00C87532">
        <w:rPr>
          <w:rFonts w:ascii="Tahoma" w:hAnsi="Tahoma" w:cs="Tahoma"/>
          <w:i/>
        </w:rPr>
        <w:t>–superior al calculado en primera instancia</w:t>
      </w:r>
      <w:r w:rsidR="00C87532">
        <w:rPr>
          <w:rFonts w:ascii="Tahoma" w:hAnsi="Tahoma" w:cs="Tahoma"/>
          <w:i/>
        </w:rPr>
        <w:t xml:space="preserve"> </w:t>
      </w:r>
      <w:r w:rsidR="00C87532" w:rsidRPr="00C87532">
        <w:rPr>
          <w:rFonts w:ascii="Tahoma" w:hAnsi="Tahoma" w:cs="Tahoma"/>
          <w:i/>
        </w:rPr>
        <w:t xml:space="preserve">con base en las facultades ultra extra </w:t>
      </w:r>
      <w:proofErr w:type="spellStart"/>
      <w:r w:rsidR="00C87532" w:rsidRPr="00C87532">
        <w:rPr>
          <w:rFonts w:ascii="Tahoma" w:hAnsi="Tahoma" w:cs="Tahoma"/>
          <w:i/>
        </w:rPr>
        <w:t>petita</w:t>
      </w:r>
      <w:proofErr w:type="spellEnd"/>
      <w:r w:rsidR="00C87532" w:rsidRPr="00C87532">
        <w:rPr>
          <w:rFonts w:ascii="Tahoma" w:hAnsi="Tahoma" w:cs="Tahoma"/>
        </w:rPr>
        <w:t>;</w:t>
      </w:r>
      <w:r w:rsidR="00C87532">
        <w:rPr>
          <w:rFonts w:ascii="Tahoma" w:hAnsi="Tahoma" w:cs="Tahoma"/>
          <w:i/>
        </w:rPr>
        <w:t xml:space="preserve"> </w:t>
      </w:r>
      <w:r w:rsidR="00C87532" w:rsidRPr="00C87532">
        <w:rPr>
          <w:rFonts w:ascii="Tahoma" w:hAnsi="Tahoma" w:cs="Tahoma"/>
        </w:rPr>
        <w:t>n</w:t>
      </w:r>
      <w:r w:rsidR="00554C8B" w:rsidRPr="00C87532">
        <w:rPr>
          <w:rFonts w:ascii="Tahoma" w:hAnsi="Tahoma" w:cs="Tahoma"/>
        </w:rPr>
        <w:t>o</w:t>
      </w:r>
      <w:r w:rsidR="00554C8B">
        <w:rPr>
          <w:rFonts w:ascii="Tahoma" w:hAnsi="Tahoma" w:cs="Tahoma"/>
        </w:rPr>
        <w:t xml:space="preserve"> obstante, se de</w:t>
      </w:r>
      <w:r w:rsidR="00B30067">
        <w:rPr>
          <w:rFonts w:ascii="Tahoma" w:hAnsi="Tahoma" w:cs="Tahoma"/>
        </w:rPr>
        <w:t xml:space="preserve">jarán </w:t>
      </w:r>
      <w:r w:rsidR="00554C8B">
        <w:rPr>
          <w:rFonts w:ascii="Tahoma" w:hAnsi="Tahoma" w:cs="Tahoma"/>
        </w:rPr>
        <w:t xml:space="preserve">incólumes </w:t>
      </w:r>
      <w:r w:rsidR="000B5F35">
        <w:rPr>
          <w:rFonts w:ascii="Tahoma" w:hAnsi="Tahoma" w:cs="Tahoma"/>
        </w:rPr>
        <w:t>l</w:t>
      </w:r>
      <w:r w:rsidR="00C87532">
        <w:rPr>
          <w:rFonts w:ascii="Tahoma" w:hAnsi="Tahoma" w:cs="Tahoma"/>
        </w:rPr>
        <w:t>a</w:t>
      </w:r>
      <w:r w:rsidR="000B5F35">
        <w:rPr>
          <w:rFonts w:ascii="Tahoma" w:hAnsi="Tahoma" w:cs="Tahoma"/>
        </w:rPr>
        <w:t xml:space="preserve">s </w:t>
      </w:r>
      <w:r w:rsidR="00C87532">
        <w:rPr>
          <w:rFonts w:ascii="Tahoma" w:hAnsi="Tahoma" w:cs="Tahoma"/>
        </w:rPr>
        <w:t xml:space="preserve">sumas calculadas en primer grado </w:t>
      </w:r>
      <w:r w:rsidR="00554C8B">
        <w:rPr>
          <w:rFonts w:ascii="Tahoma" w:hAnsi="Tahoma" w:cs="Tahoma"/>
        </w:rPr>
        <w:t>en virtud del grado jurisdiccional de consulta decretado a favor de Colpensiones.</w:t>
      </w:r>
    </w:p>
    <w:p w14:paraId="3819435C" w14:textId="77777777" w:rsidR="00554C8B" w:rsidRDefault="00554C8B" w:rsidP="008639C6">
      <w:pPr>
        <w:spacing w:line="276" w:lineRule="auto"/>
        <w:jc w:val="both"/>
        <w:rPr>
          <w:rFonts w:ascii="Tahoma" w:hAnsi="Tahoma" w:cs="Tahoma"/>
        </w:rPr>
      </w:pPr>
    </w:p>
    <w:p w14:paraId="5E4E449B" w14:textId="6CCE286C" w:rsidR="00554C8B" w:rsidRDefault="00554C8B" w:rsidP="00CF444F">
      <w:pPr>
        <w:widowControl w:val="0"/>
        <w:autoSpaceDE w:val="0"/>
        <w:autoSpaceDN w:val="0"/>
        <w:adjustRightInd w:val="0"/>
        <w:spacing w:line="276" w:lineRule="auto"/>
        <w:ind w:firstLine="708"/>
        <w:jc w:val="both"/>
        <w:rPr>
          <w:rFonts w:ascii="Tahoma" w:hAnsi="Tahoma" w:cs="Tahoma"/>
        </w:rPr>
      </w:pPr>
      <w:r>
        <w:rPr>
          <w:rFonts w:ascii="Tahoma" w:hAnsi="Tahoma" w:cs="Tahoma"/>
        </w:rPr>
        <w:t>En consecuencia, a efectos de la celeridad y economía en el cumplimiento de la presente providencia, la Sala procedió a calcular –con el monto encontrado por la A-quo</w:t>
      </w:r>
      <w:r w:rsidRPr="0049607B">
        <w:rPr>
          <w:rFonts w:ascii="Tahoma" w:hAnsi="Tahoma" w:cs="Tahoma"/>
        </w:rPr>
        <w:t>-</w:t>
      </w:r>
      <w:r>
        <w:rPr>
          <w:rFonts w:ascii="Tahoma" w:hAnsi="Tahoma" w:cs="Tahoma"/>
        </w:rPr>
        <w:t xml:space="preserve"> las diferencias dejadas de cancelar entre el </w:t>
      </w:r>
      <w:r w:rsidR="00E621CA">
        <w:rPr>
          <w:rFonts w:ascii="Tahoma" w:hAnsi="Tahoma" w:cs="Tahoma"/>
        </w:rPr>
        <w:t>2 de julio de 2011</w:t>
      </w:r>
      <w:r>
        <w:rPr>
          <w:rFonts w:ascii="Tahoma" w:hAnsi="Tahoma" w:cs="Tahoma"/>
        </w:rPr>
        <w:t xml:space="preserve"> y el 31 de marzo de 2016; sumas que </w:t>
      </w:r>
      <w:r w:rsidR="00487AEF">
        <w:rPr>
          <w:rFonts w:ascii="Tahoma" w:hAnsi="Tahoma" w:cs="Tahoma"/>
        </w:rPr>
        <w:t>a la fecha de esta providencia</w:t>
      </w:r>
      <w:r>
        <w:rPr>
          <w:rFonts w:ascii="Tahoma" w:hAnsi="Tahoma" w:cs="Tahoma"/>
        </w:rPr>
        <w:t xml:space="preserve">, ascienden a </w:t>
      </w:r>
      <w:r w:rsidRPr="00CE5269">
        <w:rPr>
          <w:rFonts w:ascii="Tahoma" w:hAnsi="Tahoma" w:cs="Tahoma"/>
        </w:rPr>
        <w:t>$</w:t>
      </w:r>
      <w:r w:rsidR="00CF193B" w:rsidRPr="00CF193B">
        <w:rPr>
          <w:rFonts w:ascii="Tahoma" w:hAnsi="Tahoma" w:cs="Tahoma"/>
        </w:rPr>
        <w:t>60.061.403</w:t>
      </w:r>
      <w:r w:rsidR="00C87532">
        <w:rPr>
          <w:rFonts w:ascii="Tahoma" w:hAnsi="Tahoma" w:cs="Tahoma"/>
        </w:rPr>
        <w:t xml:space="preserve"> </w:t>
      </w:r>
      <w:r w:rsidR="00C87532" w:rsidRPr="00C87532">
        <w:rPr>
          <w:rFonts w:ascii="Tahoma" w:hAnsi="Tahoma" w:cs="Tahoma"/>
          <w:i/>
        </w:rPr>
        <w:t>–tal como se observa en la liquidación que se pone de presente a los asistentes y que hará parte del acta que se levante con ocasión de la presente diligencia-</w:t>
      </w:r>
      <w:r w:rsidR="00E621CA">
        <w:rPr>
          <w:rFonts w:ascii="Tahoma" w:hAnsi="Tahoma" w:cs="Tahoma"/>
        </w:rPr>
        <w:t xml:space="preserve"> </w:t>
      </w:r>
      <w:r>
        <w:rPr>
          <w:rFonts w:ascii="Tahoma" w:hAnsi="Tahoma" w:cs="Tahoma"/>
        </w:rPr>
        <w:t>por lo que se modificarán los ordinales segundo y tercero de la sentencia objeto de consulta, s</w:t>
      </w:r>
      <w:r w:rsidRPr="00754642">
        <w:rPr>
          <w:rFonts w:ascii="Tahoma" w:hAnsi="Tahoma" w:cs="Tahoma"/>
        </w:rPr>
        <w:t xml:space="preserve">in que ello implique violar el principio de la </w:t>
      </w:r>
      <w:r w:rsidRPr="00437019">
        <w:rPr>
          <w:rFonts w:ascii="Tahoma" w:hAnsi="Tahoma" w:cs="Tahoma"/>
          <w:i/>
        </w:rPr>
        <w:t xml:space="preserve">non </w:t>
      </w:r>
      <w:proofErr w:type="spellStart"/>
      <w:r w:rsidRPr="00437019">
        <w:rPr>
          <w:rFonts w:ascii="Tahoma" w:hAnsi="Tahoma" w:cs="Tahoma"/>
          <w:i/>
        </w:rPr>
        <w:t>reformatio</w:t>
      </w:r>
      <w:proofErr w:type="spellEnd"/>
      <w:r w:rsidRPr="00437019">
        <w:rPr>
          <w:rFonts w:ascii="Tahoma" w:hAnsi="Tahoma" w:cs="Tahoma"/>
          <w:i/>
        </w:rPr>
        <w:t xml:space="preserve"> in </w:t>
      </w:r>
      <w:proofErr w:type="spellStart"/>
      <w:r w:rsidRPr="00437019">
        <w:rPr>
          <w:rFonts w:ascii="Tahoma" w:hAnsi="Tahoma" w:cs="Tahoma"/>
          <w:i/>
        </w:rPr>
        <w:t>pejus</w:t>
      </w:r>
      <w:proofErr w:type="spellEnd"/>
      <w:r w:rsidRPr="00754642">
        <w:rPr>
          <w:rFonts w:ascii="Tahoma" w:hAnsi="Tahoma" w:cs="Tahoma"/>
        </w:rPr>
        <w:t>, pues lo único que se está haciendo es actualizar la condena desde la sentencia de primera instan</w:t>
      </w:r>
      <w:r w:rsidR="00CF444F">
        <w:rPr>
          <w:rFonts w:ascii="Tahoma" w:hAnsi="Tahoma" w:cs="Tahoma"/>
        </w:rPr>
        <w:t xml:space="preserve">cia al 31 de marzo </w:t>
      </w:r>
      <w:r w:rsidRPr="00754642">
        <w:rPr>
          <w:rFonts w:ascii="Tahoma" w:hAnsi="Tahoma" w:cs="Tahoma"/>
        </w:rPr>
        <w:t xml:space="preserve">del presente año.  </w:t>
      </w:r>
    </w:p>
    <w:p w14:paraId="299E55DD" w14:textId="61B6796D" w:rsidR="00E945CA" w:rsidRPr="00896011" w:rsidRDefault="00E945CA" w:rsidP="008639C6">
      <w:pPr>
        <w:spacing w:line="276" w:lineRule="auto"/>
        <w:jc w:val="both"/>
        <w:rPr>
          <w:rFonts w:ascii="Tahoma" w:hAnsi="Tahoma" w:cs="Tahoma"/>
        </w:rPr>
      </w:pPr>
    </w:p>
    <w:p w14:paraId="4EB85498" w14:textId="14D98293" w:rsidR="00CF193B" w:rsidRDefault="00CF193B" w:rsidP="00681318">
      <w:pPr>
        <w:widowControl w:val="0"/>
        <w:autoSpaceDE w:val="0"/>
        <w:autoSpaceDN w:val="0"/>
        <w:adjustRightInd w:val="0"/>
        <w:spacing w:line="276" w:lineRule="auto"/>
        <w:ind w:firstLine="708"/>
        <w:jc w:val="both"/>
        <w:rPr>
          <w:rFonts w:ascii="Tahoma" w:hAnsi="Tahoma" w:cs="Tahoma"/>
        </w:rPr>
      </w:pPr>
      <w:r>
        <w:rPr>
          <w:rFonts w:ascii="Tahoma" w:hAnsi="Tahoma" w:cs="Tahoma"/>
        </w:rPr>
        <w:t>Igualmente</w:t>
      </w:r>
      <w:r w:rsidR="00681318" w:rsidRPr="00896011">
        <w:rPr>
          <w:rFonts w:ascii="Tahoma" w:hAnsi="Tahoma" w:cs="Tahoma"/>
        </w:rPr>
        <w:t>,</w:t>
      </w:r>
      <w:r w:rsidR="00E945CA">
        <w:rPr>
          <w:rFonts w:ascii="Tahoma" w:hAnsi="Tahoma" w:cs="Tahoma"/>
        </w:rPr>
        <w:t xml:space="preserve"> con relación a los intereses moratorios </w:t>
      </w:r>
      <w:r w:rsidR="00273088" w:rsidRPr="00896011">
        <w:rPr>
          <w:rFonts w:ascii="Tahoma" w:hAnsi="Tahoma" w:cs="Tahoma"/>
        </w:rPr>
        <w:t xml:space="preserve">del artículo 141 de la Ley 100 de 1993 </w:t>
      </w:r>
      <w:r w:rsidR="00E945CA" w:rsidRPr="00CF193B">
        <w:rPr>
          <w:rFonts w:ascii="Tahoma" w:hAnsi="Tahoma" w:cs="Tahoma"/>
          <w:i/>
        </w:rPr>
        <w:t>–pretensión que</w:t>
      </w:r>
      <w:r w:rsidRPr="00CF193B">
        <w:rPr>
          <w:rFonts w:ascii="Tahoma" w:hAnsi="Tahoma" w:cs="Tahoma"/>
          <w:i/>
        </w:rPr>
        <w:t xml:space="preserve"> negó </w:t>
      </w:r>
      <w:r w:rsidR="00E945CA" w:rsidRPr="00CF193B">
        <w:rPr>
          <w:rFonts w:ascii="Tahoma" w:hAnsi="Tahoma" w:cs="Tahoma"/>
          <w:i/>
        </w:rPr>
        <w:t>la jueza de primera instancia-</w:t>
      </w:r>
      <w:r w:rsidR="00E945CA">
        <w:rPr>
          <w:rFonts w:ascii="Tahoma" w:hAnsi="Tahoma" w:cs="Tahoma"/>
        </w:rPr>
        <w:t xml:space="preserve">, </w:t>
      </w:r>
      <w:r>
        <w:rPr>
          <w:rFonts w:ascii="Tahoma" w:hAnsi="Tahoma" w:cs="Tahoma"/>
        </w:rPr>
        <w:t xml:space="preserve">se dirá que esta Corporación acogió </w:t>
      </w:r>
      <w:r w:rsidR="00B24808">
        <w:rPr>
          <w:rFonts w:ascii="Tahoma" w:hAnsi="Tahoma" w:cs="Tahoma"/>
        </w:rPr>
        <w:t xml:space="preserve">el </w:t>
      </w:r>
      <w:r w:rsidR="00B24808" w:rsidRPr="00896011">
        <w:rPr>
          <w:rFonts w:ascii="Tahoma" w:hAnsi="Tahoma" w:cs="Tahoma"/>
        </w:rPr>
        <w:t xml:space="preserve">criterio </w:t>
      </w:r>
      <w:r w:rsidR="00273088">
        <w:rPr>
          <w:rFonts w:ascii="Tahoma" w:hAnsi="Tahoma" w:cs="Tahoma"/>
        </w:rPr>
        <w:t xml:space="preserve">expuesto por </w:t>
      </w:r>
      <w:r w:rsidR="00B24808">
        <w:rPr>
          <w:rFonts w:ascii="Tahoma" w:hAnsi="Tahoma" w:cs="Tahoma"/>
        </w:rPr>
        <w:t>l</w:t>
      </w:r>
      <w:r w:rsidR="00B24808" w:rsidRPr="00896011">
        <w:rPr>
          <w:rFonts w:ascii="Tahoma" w:hAnsi="Tahoma" w:cs="Tahoma"/>
        </w:rPr>
        <w:t>a Sala de Casación Laboral de la Corte Suprema de Justicia</w:t>
      </w:r>
      <w:r w:rsidR="00273088">
        <w:rPr>
          <w:rFonts w:ascii="Tahoma" w:hAnsi="Tahoma" w:cs="Tahoma"/>
        </w:rPr>
        <w:t>, entre otras,</w:t>
      </w:r>
      <w:r w:rsidR="00B24808" w:rsidRPr="00896011">
        <w:rPr>
          <w:rFonts w:ascii="Tahoma" w:hAnsi="Tahoma" w:cs="Tahoma"/>
        </w:rPr>
        <w:t xml:space="preserve"> en </w:t>
      </w:r>
      <w:r w:rsidR="00273088">
        <w:rPr>
          <w:rFonts w:ascii="Tahoma" w:hAnsi="Tahoma" w:cs="Tahoma"/>
        </w:rPr>
        <w:t xml:space="preserve">la </w:t>
      </w:r>
      <w:r w:rsidR="00B24808" w:rsidRPr="00896011">
        <w:rPr>
          <w:rFonts w:ascii="Tahoma" w:hAnsi="Tahoma" w:cs="Tahoma"/>
        </w:rPr>
        <w:t xml:space="preserve">sentencia del 3 de septiembre de 2014, radicación 50.259, según el cual si bien no hay lugar a reconocer </w:t>
      </w:r>
      <w:r w:rsidR="00273088">
        <w:rPr>
          <w:rFonts w:ascii="Tahoma" w:hAnsi="Tahoma" w:cs="Tahoma"/>
        </w:rPr>
        <w:t xml:space="preserve">dichos emolumentos </w:t>
      </w:r>
      <w:r w:rsidR="00B24808" w:rsidRPr="00896011">
        <w:rPr>
          <w:rFonts w:ascii="Tahoma" w:hAnsi="Tahoma" w:cs="Tahoma"/>
        </w:rPr>
        <w:t xml:space="preserve">cuando la pensión se reconoce con fundamento en el principio de la condición más beneficiosa, esa negativa no es total puesto que </w:t>
      </w:r>
      <w:r w:rsidR="00273088">
        <w:rPr>
          <w:rFonts w:ascii="Tahoma" w:hAnsi="Tahoma" w:cs="Tahoma"/>
        </w:rPr>
        <w:t xml:space="preserve">hay lugar a reconocerlos </w:t>
      </w:r>
      <w:r w:rsidR="00B24808" w:rsidRPr="00896011">
        <w:rPr>
          <w:rFonts w:ascii="Tahoma" w:hAnsi="Tahoma" w:cs="Tahoma"/>
        </w:rPr>
        <w:t>a partir de la ejecutoria de la sentencia que reconoce la pensión de sobrevivientes</w:t>
      </w:r>
      <w:r w:rsidR="00B24808">
        <w:rPr>
          <w:rFonts w:ascii="Tahoma" w:hAnsi="Tahoma" w:cs="Tahoma"/>
        </w:rPr>
        <w:t xml:space="preserve">; no obstante, </w:t>
      </w:r>
      <w:r>
        <w:rPr>
          <w:rFonts w:ascii="Tahoma" w:hAnsi="Tahoma" w:cs="Tahoma"/>
        </w:rPr>
        <w:t xml:space="preserve">por conocerse el asunto en virtud de la consulta </w:t>
      </w:r>
      <w:r w:rsidR="001E320A" w:rsidRPr="00896011">
        <w:rPr>
          <w:rFonts w:ascii="Tahoma" w:hAnsi="Tahoma" w:cs="Tahoma"/>
        </w:rPr>
        <w:t>no</w:t>
      </w:r>
      <w:r w:rsidR="00E945CA">
        <w:rPr>
          <w:rFonts w:ascii="Tahoma" w:hAnsi="Tahoma" w:cs="Tahoma"/>
        </w:rPr>
        <w:t xml:space="preserve"> </w:t>
      </w:r>
      <w:r>
        <w:rPr>
          <w:rFonts w:ascii="Tahoma" w:hAnsi="Tahoma" w:cs="Tahoma"/>
        </w:rPr>
        <w:t>se modificará la decisión de primer grado</w:t>
      </w:r>
      <w:r w:rsidR="00B24808">
        <w:rPr>
          <w:rFonts w:ascii="Tahoma" w:hAnsi="Tahoma" w:cs="Tahoma"/>
        </w:rPr>
        <w:t>.</w:t>
      </w:r>
      <w:r>
        <w:rPr>
          <w:rFonts w:ascii="Tahoma" w:hAnsi="Tahoma" w:cs="Tahoma"/>
        </w:rPr>
        <w:t xml:space="preserve">  </w:t>
      </w:r>
    </w:p>
    <w:p w14:paraId="51A4821F" w14:textId="77777777" w:rsidR="00CF193B" w:rsidRDefault="00CF193B" w:rsidP="00681318">
      <w:pPr>
        <w:widowControl w:val="0"/>
        <w:autoSpaceDE w:val="0"/>
        <w:autoSpaceDN w:val="0"/>
        <w:adjustRightInd w:val="0"/>
        <w:spacing w:line="276" w:lineRule="auto"/>
        <w:ind w:firstLine="708"/>
        <w:jc w:val="both"/>
        <w:rPr>
          <w:rFonts w:ascii="Tahoma" w:hAnsi="Tahoma" w:cs="Tahoma"/>
        </w:rPr>
      </w:pPr>
    </w:p>
    <w:p w14:paraId="7772F52D" w14:textId="3186547E" w:rsidR="00273088" w:rsidRDefault="00681318" w:rsidP="00681318">
      <w:pPr>
        <w:tabs>
          <w:tab w:val="left" w:pos="748"/>
        </w:tabs>
        <w:spacing w:line="276" w:lineRule="auto"/>
        <w:jc w:val="both"/>
        <w:rPr>
          <w:rFonts w:ascii="Tahoma" w:hAnsi="Tahoma" w:cs="Tahoma"/>
        </w:rPr>
      </w:pPr>
      <w:r w:rsidRPr="00896011">
        <w:rPr>
          <w:rFonts w:ascii="Tahoma" w:hAnsi="Tahoma" w:cs="Tahoma"/>
        </w:rPr>
        <w:tab/>
        <w:t>Finalmente</w:t>
      </w:r>
      <w:r w:rsidR="00827B95" w:rsidRPr="00896011">
        <w:rPr>
          <w:rFonts w:ascii="Tahoma" w:hAnsi="Tahoma" w:cs="Tahoma"/>
        </w:rPr>
        <w:t>,</w:t>
      </w:r>
      <w:r w:rsidR="00B24808">
        <w:rPr>
          <w:rFonts w:ascii="Tahoma" w:hAnsi="Tahoma" w:cs="Tahoma"/>
        </w:rPr>
        <w:t xml:space="preserve"> se avala </w:t>
      </w:r>
      <w:r w:rsidR="003233B1">
        <w:rPr>
          <w:rFonts w:ascii="Tahoma" w:hAnsi="Tahoma" w:cs="Tahoma"/>
        </w:rPr>
        <w:t xml:space="preserve">la autorización </w:t>
      </w:r>
      <w:r w:rsidR="00827B95" w:rsidRPr="00896011">
        <w:rPr>
          <w:rFonts w:ascii="Tahoma" w:hAnsi="Tahoma" w:cs="Tahoma"/>
        </w:rPr>
        <w:t xml:space="preserve">dada a Colpensiones de descontar </w:t>
      </w:r>
      <w:r w:rsidR="003233B1">
        <w:rPr>
          <w:rFonts w:ascii="Tahoma" w:hAnsi="Tahoma" w:cs="Tahoma"/>
        </w:rPr>
        <w:t>de</w:t>
      </w:r>
      <w:r w:rsidR="00827B95" w:rsidRPr="00896011">
        <w:rPr>
          <w:rFonts w:ascii="Tahoma" w:hAnsi="Tahoma" w:cs="Tahoma"/>
        </w:rPr>
        <w:t>l retroactivo reconocido</w:t>
      </w:r>
      <w:r w:rsidR="000203F6" w:rsidRPr="00896011">
        <w:rPr>
          <w:rFonts w:ascii="Tahoma" w:hAnsi="Tahoma" w:cs="Tahoma"/>
        </w:rPr>
        <w:t xml:space="preserve"> el valor cancelado por concepto </w:t>
      </w:r>
      <w:r w:rsidR="00143E75" w:rsidRPr="00896011">
        <w:rPr>
          <w:rFonts w:ascii="Tahoma" w:hAnsi="Tahoma" w:cs="Tahoma"/>
        </w:rPr>
        <w:t>d</w:t>
      </w:r>
      <w:r w:rsidR="000203F6" w:rsidRPr="00896011">
        <w:rPr>
          <w:rFonts w:ascii="Tahoma" w:hAnsi="Tahoma" w:cs="Tahoma"/>
        </w:rPr>
        <w:t>e indemnización sustitutiva de la pensión de sobrevivientes</w:t>
      </w:r>
      <w:r w:rsidR="00A44283" w:rsidRPr="00896011">
        <w:rPr>
          <w:rFonts w:ascii="Tahoma" w:hAnsi="Tahoma" w:cs="Tahoma"/>
        </w:rPr>
        <w:t xml:space="preserve"> a </w:t>
      </w:r>
      <w:r w:rsidR="002805A9" w:rsidRPr="00896011">
        <w:rPr>
          <w:rFonts w:ascii="Tahoma" w:hAnsi="Tahoma" w:cs="Tahoma"/>
        </w:rPr>
        <w:t>la demandante</w:t>
      </w:r>
      <w:r w:rsidR="003233B1">
        <w:rPr>
          <w:rFonts w:ascii="Tahoma" w:hAnsi="Tahoma" w:cs="Tahoma"/>
        </w:rPr>
        <w:t xml:space="preserve"> debidamente indexado</w:t>
      </w:r>
      <w:r w:rsidR="000203F6" w:rsidRPr="00896011">
        <w:rPr>
          <w:rFonts w:ascii="Tahoma" w:hAnsi="Tahoma" w:cs="Tahoma"/>
        </w:rPr>
        <w:t xml:space="preserve">, </w:t>
      </w:r>
      <w:r w:rsidR="00B24808">
        <w:rPr>
          <w:rFonts w:ascii="Tahoma" w:hAnsi="Tahoma" w:cs="Tahoma"/>
        </w:rPr>
        <w:t xml:space="preserve">como quiera </w:t>
      </w:r>
      <w:r w:rsidR="00273088">
        <w:rPr>
          <w:rFonts w:ascii="Tahoma" w:hAnsi="Tahoma" w:cs="Tahoma"/>
        </w:rPr>
        <w:t>aquella suma salió de las arcas del sistema de seguridad social por no darse los presupuestos legales para reconocer la prestación deprecada y, además, por cuanto de la misma se benefició la actora, de manera que desconocer el pago implicaría ir en desmedro de la sostenibilidad financiera del sistema.</w:t>
      </w:r>
    </w:p>
    <w:p w14:paraId="4FD9963F" w14:textId="77777777" w:rsidR="00273088" w:rsidRDefault="00273088" w:rsidP="00681318">
      <w:pPr>
        <w:tabs>
          <w:tab w:val="left" w:pos="748"/>
        </w:tabs>
        <w:spacing w:line="276" w:lineRule="auto"/>
        <w:jc w:val="both"/>
        <w:rPr>
          <w:rFonts w:ascii="Tahoma" w:hAnsi="Tahoma" w:cs="Tahoma"/>
        </w:rPr>
      </w:pPr>
    </w:p>
    <w:p w14:paraId="4C1387BF" w14:textId="6C816FA3" w:rsidR="00681318" w:rsidRPr="00896011" w:rsidRDefault="00681318" w:rsidP="00681318">
      <w:pPr>
        <w:pStyle w:val="Textoindependiente"/>
        <w:spacing w:after="0" w:line="276" w:lineRule="auto"/>
        <w:ind w:right="51" w:firstLine="709"/>
        <w:jc w:val="both"/>
        <w:rPr>
          <w:rFonts w:ascii="Tahoma" w:hAnsi="Tahoma" w:cs="Tahoma"/>
          <w:bCs/>
        </w:rPr>
      </w:pPr>
      <w:r w:rsidRPr="00896011">
        <w:rPr>
          <w:rFonts w:ascii="Tahoma" w:hAnsi="Tahoma" w:cs="Tahoma"/>
          <w:bCs/>
        </w:rPr>
        <w:t>Las costas en primera instancia no se modificarán. En esta instancia no se causaron por tratarse del grado jurisdiccional de consulta.</w:t>
      </w:r>
    </w:p>
    <w:p w14:paraId="41E62E1A" w14:textId="6F49FF0E" w:rsidR="00C360BB" w:rsidRPr="00896011" w:rsidRDefault="00C360BB" w:rsidP="000B72EC">
      <w:pPr>
        <w:tabs>
          <w:tab w:val="left" w:pos="748"/>
        </w:tabs>
        <w:jc w:val="both"/>
        <w:rPr>
          <w:rFonts w:ascii="Tahoma" w:hAnsi="Tahoma" w:cs="Tahoma"/>
          <w:bCs/>
        </w:rPr>
      </w:pPr>
    </w:p>
    <w:p w14:paraId="36838073" w14:textId="77777777" w:rsidR="009A4059" w:rsidRPr="00896011" w:rsidRDefault="009A4059" w:rsidP="00E9724F">
      <w:pPr>
        <w:pStyle w:val="Sangradetextonormal"/>
        <w:spacing w:line="276" w:lineRule="auto"/>
      </w:pPr>
      <w:r w:rsidRPr="00896011">
        <w:t xml:space="preserve">En mérito </w:t>
      </w:r>
      <w:r w:rsidR="006E2DDE" w:rsidRPr="00896011">
        <w:t>de lo</w:t>
      </w:r>
      <w:r w:rsidRPr="00896011">
        <w:t xml:space="preserve"> expuesto, el </w:t>
      </w:r>
      <w:r w:rsidR="00BC62EF" w:rsidRPr="00896011">
        <w:rPr>
          <w:b/>
        </w:rPr>
        <w:t>Tribunal Superior del Distrito Judicial de Pereira (Risaralda)</w:t>
      </w:r>
      <w:r w:rsidR="00BC62EF" w:rsidRPr="00896011">
        <w:t xml:space="preserve">, </w:t>
      </w:r>
      <w:r w:rsidR="00BC62EF" w:rsidRPr="00896011">
        <w:rPr>
          <w:b/>
        </w:rPr>
        <w:t>Sala Laboral</w:t>
      </w:r>
      <w:r w:rsidR="00BC62EF" w:rsidRPr="00896011">
        <w:t xml:space="preserve">, administrando justicia </w:t>
      </w:r>
      <w:r w:rsidRPr="00896011">
        <w:t xml:space="preserve">en </w:t>
      </w:r>
      <w:r w:rsidR="00BC62EF" w:rsidRPr="00896011">
        <w:t xml:space="preserve">nombre </w:t>
      </w:r>
      <w:r w:rsidRPr="00896011">
        <w:t>de la República y por autoridad de la Ley,</w:t>
      </w:r>
    </w:p>
    <w:p w14:paraId="4E1529E6" w14:textId="77777777" w:rsidR="009A4059" w:rsidRPr="00896011" w:rsidRDefault="009A4059" w:rsidP="00E9724F">
      <w:pPr>
        <w:widowControl w:val="0"/>
        <w:autoSpaceDE w:val="0"/>
        <w:autoSpaceDN w:val="0"/>
        <w:adjustRightInd w:val="0"/>
        <w:spacing w:line="276" w:lineRule="auto"/>
        <w:jc w:val="center"/>
        <w:rPr>
          <w:rFonts w:ascii="Tahoma" w:hAnsi="Tahoma" w:cs="Tahoma"/>
          <w:b/>
        </w:rPr>
      </w:pPr>
      <w:r w:rsidRPr="00896011">
        <w:rPr>
          <w:rFonts w:ascii="Tahoma" w:hAnsi="Tahoma" w:cs="Tahoma"/>
          <w:b/>
        </w:rPr>
        <w:t>RESUELVE:</w:t>
      </w:r>
    </w:p>
    <w:p w14:paraId="1CF53C64" w14:textId="77777777" w:rsidR="009A4059" w:rsidRPr="00896011" w:rsidRDefault="009A4059" w:rsidP="00E9724F">
      <w:pPr>
        <w:widowControl w:val="0"/>
        <w:autoSpaceDE w:val="0"/>
        <w:autoSpaceDN w:val="0"/>
        <w:adjustRightInd w:val="0"/>
        <w:spacing w:line="276" w:lineRule="auto"/>
        <w:jc w:val="both"/>
        <w:rPr>
          <w:rFonts w:ascii="Tahoma" w:hAnsi="Tahoma" w:cs="Tahoma"/>
        </w:rPr>
      </w:pPr>
    </w:p>
    <w:p w14:paraId="6176EEEB" w14:textId="3542FECA" w:rsidR="003233B1" w:rsidRDefault="00960114" w:rsidP="00E9724F">
      <w:pPr>
        <w:spacing w:line="276" w:lineRule="auto"/>
        <w:ind w:firstLine="708"/>
        <w:jc w:val="both"/>
        <w:rPr>
          <w:rFonts w:ascii="Tahoma" w:hAnsi="Tahoma" w:cs="Tahoma"/>
        </w:rPr>
      </w:pPr>
      <w:r w:rsidRPr="00896011">
        <w:rPr>
          <w:rFonts w:ascii="Tahoma" w:hAnsi="Tahoma" w:cs="Tahoma"/>
          <w:b/>
          <w:u w:val="single"/>
        </w:rPr>
        <w:t>PRIMERO</w:t>
      </w:r>
      <w:r w:rsidR="009A4059" w:rsidRPr="00896011">
        <w:rPr>
          <w:rFonts w:ascii="Tahoma" w:hAnsi="Tahoma" w:cs="Tahoma"/>
        </w:rPr>
        <w:t xml:space="preserve">.- </w:t>
      </w:r>
      <w:r w:rsidR="006F1619" w:rsidRPr="00896011">
        <w:rPr>
          <w:rFonts w:ascii="Tahoma" w:hAnsi="Tahoma" w:cs="Tahoma"/>
          <w:b/>
        </w:rPr>
        <w:t>MODIFICAR</w:t>
      </w:r>
      <w:r w:rsidR="006F1619" w:rsidRPr="00896011">
        <w:rPr>
          <w:rFonts w:ascii="Tahoma" w:hAnsi="Tahoma" w:cs="Tahoma"/>
        </w:rPr>
        <w:t xml:space="preserve"> </w:t>
      </w:r>
      <w:r w:rsidR="009B6567" w:rsidRPr="00896011">
        <w:rPr>
          <w:rFonts w:ascii="Tahoma" w:hAnsi="Tahoma" w:cs="Tahoma"/>
        </w:rPr>
        <w:t>los ordinales tercero</w:t>
      </w:r>
      <w:r w:rsidR="00CF193B">
        <w:rPr>
          <w:rFonts w:ascii="Tahoma" w:hAnsi="Tahoma" w:cs="Tahoma"/>
        </w:rPr>
        <w:t>,</w:t>
      </w:r>
      <w:r w:rsidR="009B6567" w:rsidRPr="00896011">
        <w:rPr>
          <w:rFonts w:ascii="Tahoma" w:hAnsi="Tahoma" w:cs="Tahoma"/>
        </w:rPr>
        <w:t xml:space="preserve"> cuarto</w:t>
      </w:r>
      <w:r w:rsidR="006F1619" w:rsidRPr="00896011">
        <w:rPr>
          <w:rFonts w:ascii="Tahoma" w:hAnsi="Tahoma" w:cs="Tahoma"/>
        </w:rPr>
        <w:t xml:space="preserve"> </w:t>
      </w:r>
      <w:r w:rsidR="00CF193B">
        <w:rPr>
          <w:rFonts w:ascii="Tahoma" w:hAnsi="Tahoma" w:cs="Tahoma"/>
        </w:rPr>
        <w:t xml:space="preserve">y sexto </w:t>
      </w:r>
      <w:r w:rsidR="006F1619" w:rsidRPr="00896011">
        <w:rPr>
          <w:rFonts w:ascii="Tahoma" w:hAnsi="Tahoma" w:cs="Tahoma"/>
        </w:rPr>
        <w:t xml:space="preserve">de </w:t>
      </w:r>
      <w:r w:rsidR="00B70BC1" w:rsidRPr="00896011">
        <w:rPr>
          <w:rFonts w:ascii="Tahoma" w:hAnsi="Tahoma" w:cs="Tahoma"/>
        </w:rPr>
        <w:t>la sentencia</w:t>
      </w:r>
      <w:r w:rsidR="00814CCB" w:rsidRPr="00896011">
        <w:rPr>
          <w:rFonts w:ascii="Tahoma" w:hAnsi="Tahoma" w:cs="Tahoma"/>
        </w:rPr>
        <w:t xml:space="preserve"> proferida el </w:t>
      </w:r>
      <w:r w:rsidR="001E320A" w:rsidRPr="00896011">
        <w:rPr>
          <w:rFonts w:ascii="Tahoma" w:hAnsi="Tahoma" w:cs="Tahoma"/>
        </w:rPr>
        <w:t>23 de enero de 2015</w:t>
      </w:r>
      <w:r w:rsidR="006F1619" w:rsidRPr="00896011">
        <w:rPr>
          <w:rFonts w:ascii="Tahoma" w:hAnsi="Tahoma" w:cs="Tahoma"/>
        </w:rPr>
        <w:t xml:space="preserve"> </w:t>
      </w:r>
      <w:r w:rsidR="00814CCB" w:rsidRPr="00896011">
        <w:rPr>
          <w:rFonts w:ascii="Tahoma" w:hAnsi="Tahoma" w:cs="Tahoma"/>
        </w:rPr>
        <w:t xml:space="preserve">por el Juzgado </w:t>
      </w:r>
      <w:r w:rsidR="006F1619" w:rsidRPr="00896011">
        <w:rPr>
          <w:rFonts w:ascii="Tahoma" w:hAnsi="Tahoma" w:cs="Tahoma"/>
        </w:rPr>
        <w:t xml:space="preserve">Cuarto </w:t>
      </w:r>
      <w:r w:rsidR="001366A4" w:rsidRPr="00896011">
        <w:rPr>
          <w:rFonts w:ascii="Tahoma" w:hAnsi="Tahoma" w:cs="Tahoma"/>
        </w:rPr>
        <w:t>Laboral</w:t>
      </w:r>
      <w:r w:rsidR="00814CCB" w:rsidRPr="00896011">
        <w:rPr>
          <w:rFonts w:ascii="Tahoma" w:hAnsi="Tahoma" w:cs="Tahoma"/>
        </w:rPr>
        <w:t xml:space="preserve"> del Circuito de Pereira, dentro del proceso ordinario laboral promovido por</w:t>
      </w:r>
      <w:r w:rsidR="00437AF7" w:rsidRPr="00896011">
        <w:rPr>
          <w:rFonts w:ascii="Tahoma" w:hAnsi="Tahoma" w:cs="Tahoma"/>
          <w:b/>
        </w:rPr>
        <w:t xml:space="preserve"> </w:t>
      </w:r>
      <w:r w:rsidR="001E320A" w:rsidRPr="00896011">
        <w:rPr>
          <w:rFonts w:ascii="Tahoma" w:hAnsi="Tahoma" w:cs="Tahoma"/>
          <w:b/>
        </w:rPr>
        <w:t>Martha Cecilia Sierra</w:t>
      </w:r>
      <w:r w:rsidR="00D12FDF">
        <w:rPr>
          <w:rFonts w:ascii="Tahoma" w:hAnsi="Tahoma" w:cs="Tahoma"/>
          <w:b/>
        </w:rPr>
        <w:t xml:space="preserve"> de</w:t>
      </w:r>
      <w:r w:rsidR="001E320A" w:rsidRPr="00896011">
        <w:rPr>
          <w:rFonts w:ascii="Tahoma" w:hAnsi="Tahoma" w:cs="Tahoma"/>
          <w:b/>
        </w:rPr>
        <w:t xml:space="preserve"> Villa</w:t>
      </w:r>
      <w:r w:rsidR="00B70BC1" w:rsidRPr="00896011">
        <w:rPr>
          <w:rFonts w:ascii="Tahoma" w:hAnsi="Tahoma" w:cs="Tahoma"/>
          <w:b/>
        </w:rPr>
        <w:t xml:space="preserve"> </w:t>
      </w:r>
      <w:r w:rsidR="00814CCB" w:rsidRPr="00896011">
        <w:rPr>
          <w:rFonts w:ascii="Tahoma" w:hAnsi="Tahoma" w:cs="Tahoma"/>
          <w:lang w:val="es-ES_tradnl"/>
        </w:rPr>
        <w:t>en</w:t>
      </w:r>
      <w:r w:rsidR="00814CCB" w:rsidRPr="00896011">
        <w:rPr>
          <w:rFonts w:ascii="Tahoma" w:hAnsi="Tahoma" w:cs="Tahoma"/>
          <w:b/>
        </w:rPr>
        <w:t xml:space="preserve"> </w:t>
      </w:r>
      <w:r w:rsidR="00814CCB" w:rsidRPr="00896011">
        <w:rPr>
          <w:rFonts w:ascii="Tahoma" w:hAnsi="Tahoma" w:cs="Tahoma"/>
        </w:rPr>
        <w:t xml:space="preserve">contra de </w:t>
      </w:r>
      <w:r w:rsidR="00814CCB" w:rsidRPr="00896011">
        <w:rPr>
          <w:rFonts w:ascii="Tahoma" w:hAnsi="Tahoma" w:cs="Tahoma"/>
          <w:b/>
        </w:rPr>
        <w:t>Colpensiones</w:t>
      </w:r>
      <w:r w:rsidR="006F1619" w:rsidRPr="00896011">
        <w:rPr>
          <w:rFonts w:ascii="Tahoma" w:hAnsi="Tahoma" w:cs="Tahoma"/>
        </w:rPr>
        <w:t xml:space="preserve">, </w:t>
      </w:r>
      <w:r w:rsidR="00A43854">
        <w:rPr>
          <w:rFonts w:ascii="Tahoma" w:hAnsi="Tahoma" w:cs="Tahoma"/>
        </w:rPr>
        <w:t>los cuales quedarán así</w:t>
      </w:r>
      <w:r w:rsidR="003233B1">
        <w:rPr>
          <w:rFonts w:ascii="Tahoma" w:hAnsi="Tahoma" w:cs="Tahoma"/>
        </w:rPr>
        <w:t>:</w:t>
      </w:r>
    </w:p>
    <w:p w14:paraId="4B68C5D9" w14:textId="77777777" w:rsidR="00B25944" w:rsidRDefault="00B25944" w:rsidP="00E9724F">
      <w:pPr>
        <w:spacing w:line="276" w:lineRule="auto"/>
        <w:ind w:firstLine="708"/>
        <w:jc w:val="both"/>
        <w:rPr>
          <w:rFonts w:ascii="Tahoma" w:hAnsi="Tahoma" w:cs="Tahoma"/>
        </w:rPr>
      </w:pPr>
    </w:p>
    <w:p w14:paraId="0D7B02DB" w14:textId="4E0F1B06" w:rsidR="00B25944" w:rsidRPr="00D12FDF" w:rsidRDefault="00B25944" w:rsidP="007F1847">
      <w:pPr>
        <w:ind w:left="709"/>
        <w:jc w:val="both"/>
        <w:rPr>
          <w:rFonts w:ascii="Arial Narrow" w:hAnsi="Arial Narrow" w:cs="Tahoma"/>
          <w:i/>
        </w:rPr>
      </w:pPr>
      <w:r w:rsidRPr="00D12FDF">
        <w:rPr>
          <w:rFonts w:ascii="Arial Narrow" w:hAnsi="Arial Narrow" w:cs="Tahoma"/>
          <w:i/>
        </w:rPr>
        <w:t>“Tercero:</w:t>
      </w:r>
      <w:r w:rsidR="00D12FDF" w:rsidRPr="00D12FDF">
        <w:rPr>
          <w:rFonts w:ascii="Arial Narrow" w:hAnsi="Arial Narrow" w:cs="Tahoma"/>
          <w:i/>
        </w:rPr>
        <w:t xml:space="preserve"> </w:t>
      </w:r>
      <w:r w:rsidRPr="00D12FDF">
        <w:rPr>
          <w:rFonts w:ascii="Arial Narrow" w:hAnsi="Arial Narrow" w:cs="Tahoma"/>
          <w:i/>
        </w:rPr>
        <w:t xml:space="preserve">Condenar como consecuencia de lo anterior a la </w:t>
      </w:r>
      <w:r w:rsidR="007F1847" w:rsidRPr="00D12FDF">
        <w:rPr>
          <w:rFonts w:ascii="Arial Narrow" w:hAnsi="Arial Narrow" w:cs="Tahoma"/>
          <w:i/>
        </w:rPr>
        <w:t xml:space="preserve">Administradora Colombiana </w:t>
      </w:r>
      <w:r w:rsidRPr="00D12FDF">
        <w:rPr>
          <w:rFonts w:ascii="Arial Narrow" w:hAnsi="Arial Narrow" w:cs="Tahoma"/>
          <w:i/>
        </w:rPr>
        <w:t xml:space="preserve">de </w:t>
      </w:r>
      <w:r w:rsidR="007F1847" w:rsidRPr="00D12FDF">
        <w:rPr>
          <w:rFonts w:ascii="Arial Narrow" w:hAnsi="Arial Narrow" w:cs="Tahoma"/>
          <w:i/>
        </w:rPr>
        <w:t xml:space="preserve">Pensiones </w:t>
      </w:r>
      <w:r w:rsidR="007F1847">
        <w:rPr>
          <w:rFonts w:ascii="Arial Narrow" w:hAnsi="Arial Narrow" w:cs="Tahoma"/>
          <w:i/>
        </w:rPr>
        <w:t>“</w:t>
      </w:r>
      <w:r w:rsidRPr="00D12FDF">
        <w:rPr>
          <w:rFonts w:ascii="Arial Narrow" w:hAnsi="Arial Narrow" w:cs="Tahoma"/>
          <w:i/>
        </w:rPr>
        <w:t>Colpensiones</w:t>
      </w:r>
      <w:r w:rsidR="007F1847">
        <w:rPr>
          <w:rFonts w:ascii="Arial Narrow" w:hAnsi="Arial Narrow" w:cs="Tahoma"/>
          <w:i/>
        </w:rPr>
        <w:t>”</w:t>
      </w:r>
      <w:r w:rsidRPr="00D12FDF">
        <w:rPr>
          <w:rFonts w:ascii="Arial Narrow" w:hAnsi="Arial Narrow" w:cs="Tahoma"/>
          <w:i/>
        </w:rPr>
        <w:t xml:space="preserve"> </w:t>
      </w:r>
      <w:r w:rsidR="007F1847">
        <w:rPr>
          <w:rFonts w:ascii="Arial Narrow" w:hAnsi="Arial Narrow" w:cs="Tahoma"/>
          <w:i/>
        </w:rPr>
        <w:t xml:space="preserve">a </w:t>
      </w:r>
      <w:r w:rsidRPr="00D12FDF">
        <w:rPr>
          <w:rFonts w:ascii="Arial Narrow" w:hAnsi="Arial Narrow" w:cs="Tahoma"/>
          <w:i/>
        </w:rPr>
        <w:t xml:space="preserve">que proceda a reconocer y pagar a favor de la </w:t>
      </w:r>
      <w:r w:rsidR="00D12FDF" w:rsidRPr="00D12FDF">
        <w:rPr>
          <w:rFonts w:ascii="Arial Narrow" w:hAnsi="Arial Narrow" w:cs="Tahoma"/>
          <w:i/>
        </w:rPr>
        <w:t>señora</w:t>
      </w:r>
      <w:r w:rsidRPr="00D12FDF">
        <w:rPr>
          <w:rFonts w:ascii="Arial Narrow" w:hAnsi="Arial Narrow" w:cs="Tahoma"/>
          <w:i/>
        </w:rPr>
        <w:t xml:space="preserve"> Martha Cecilia Sierra Villa </w:t>
      </w:r>
      <w:r w:rsidR="00D12FDF" w:rsidRPr="00D12FDF">
        <w:rPr>
          <w:rFonts w:ascii="Arial Narrow" w:hAnsi="Arial Narrow" w:cs="Tahoma"/>
          <w:i/>
        </w:rPr>
        <w:t>la pensión de sobrevivientes e incluirla en nómina de pensionados a partir de abril de 2016.</w:t>
      </w:r>
    </w:p>
    <w:p w14:paraId="76A3F55D" w14:textId="77777777" w:rsidR="00B25944" w:rsidRPr="00D12FDF" w:rsidRDefault="00B25944" w:rsidP="007F1847">
      <w:pPr>
        <w:ind w:left="709"/>
        <w:jc w:val="both"/>
        <w:rPr>
          <w:rFonts w:ascii="Arial Narrow" w:hAnsi="Arial Narrow" w:cs="Tahoma"/>
          <w:i/>
        </w:rPr>
      </w:pPr>
    </w:p>
    <w:p w14:paraId="24778C96" w14:textId="6E18EFC2" w:rsidR="00B25944" w:rsidRPr="00D12FDF" w:rsidRDefault="00B25944" w:rsidP="007F1847">
      <w:pPr>
        <w:ind w:left="709"/>
        <w:jc w:val="both"/>
        <w:rPr>
          <w:rFonts w:ascii="Arial Narrow" w:hAnsi="Arial Narrow" w:cs="Tahoma"/>
          <w:i/>
        </w:rPr>
      </w:pPr>
      <w:r w:rsidRPr="00D12FDF">
        <w:rPr>
          <w:rFonts w:ascii="Arial Narrow" w:hAnsi="Arial Narrow" w:cs="Tahoma"/>
          <w:i/>
        </w:rPr>
        <w:t>Cuarto:</w:t>
      </w:r>
      <w:r w:rsidR="00D12FDF" w:rsidRPr="00D12FDF">
        <w:rPr>
          <w:rFonts w:ascii="Arial Narrow" w:hAnsi="Arial Narrow" w:cs="Tahoma"/>
          <w:i/>
        </w:rPr>
        <w:t xml:space="preserve"> Condenar a la </w:t>
      </w:r>
      <w:r w:rsidR="007F1847" w:rsidRPr="00D12FDF">
        <w:rPr>
          <w:rFonts w:ascii="Arial Narrow" w:hAnsi="Arial Narrow" w:cs="Tahoma"/>
          <w:i/>
        </w:rPr>
        <w:t xml:space="preserve">Administradora Colombiana </w:t>
      </w:r>
      <w:r w:rsidR="00D12FDF" w:rsidRPr="00D12FDF">
        <w:rPr>
          <w:rFonts w:ascii="Arial Narrow" w:hAnsi="Arial Narrow" w:cs="Tahoma"/>
          <w:i/>
        </w:rPr>
        <w:t xml:space="preserve">de </w:t>
      </w:r>
      <w:r w:rsidR="007F1847" w:rsidRPr="00D12FDF">
        <w:rPr>
          <w:rFonts w:ascii="Arial Narrow" w:hAnsi="Arial Narrow" w:cs="Tahoma"/>
          <w:i/>
        </w:rPr>
        <w:t xml:space="preserve">Pensiones </w:t>
      </w:r>
      <w:r w:rsidR="007F1847">
        <w:rPr>
          <w:rFonts w:ascii="Arial Narrow" w:hAnsi="Arial Narrow" w:cs="Tahoma"/>
          <w:i/>
        </w:rPr>
        <w:t>“</w:t>
      </w:r>
      <w:r w:rsidR="00D12FDF" w:rsidRPr="00D12FDF">
        <w:rPr>
          <w:rFonts w:ascii="Arial Narrow" w:hAnsi="Arial Narrow" w:cs="Tahoma"/>
          <w:i/>
        </w:rPr>
        <w:t>Colpensiones</w:t>
      </w:r>
      <w:r w:rsidR="007F1847">
        <w:rPr>
          <w:rFonts w:ascii="Arial Narrow" w:hAnsi="Arial Narrow" w:cs="Tahoma"/>
          <w:i/>
        </w:rPr>
        <w:t>”</w:t>
      </w:r>
      <w:r w:rsidR="00D12FDF" w:rsidRPr="00D12FDF">
        <w:rPr>
          <w:rFonts w:ascii="Arial Narrow" w:hAnsi="Arial Narrow" w:cs="Tahoma"/>
          <w:i/>
        </w:rPr>
        <w:t xml:space="preserve"> a pagar </w:t>
      </w:r>
      <w:r w:rsidR="007F1847" w:rsidRPr="00D12FDF">
        <w:rPr>
          <w:rFonts w:ascii="Arial Narrow" w:hAnsi="Arial Narrow" w:cs="Tahoma"/>
          <w:i/>
        </w:rPr>
        <w:t>a favor de la demandante</w:t>
      </w:r>
      <w:r w:rsidR="007F1847">
        <w:rPr>
          <w:rFonts w:ascii="Arial Narrow" w:hAnsi="Arial Narrow" w:cs="Tahoma"/>
          <w:i/>
        </w:rPr>
        <w:t>, como</w:t>
      </w:r>
      <w:r w:rsidR="00D12FDF" w:rsidRPr="00D12FDF">
        <w:rPr>
          <w:rFonts w:ascii="Arial Narrow" w:hAnsi="Arial Narrow" w:cs="Tahoma"/>
          <w:i/>
        </w:rPr>
        <w:t xml:space="preserve"> retroactivo pensional</w:t>
      </w:r>
      <w:r w:rsidR="007F1847">
        <w:rPr>
          <w:rFonts w:ascii="Arial Narrow" w:hAnsi="Arial Narrow" w:cs="Tahoma"/>
          <w:i/>
        </w:rPr>
        <w:t xml:space="preserve"> de </w:t>
      </w:r>
      <w:r w:rsidR="00D12FDF" w:rsidRPr="00D12FDF">
        <w:rPr>
          <w:rFonts w:ascii="Arial Narrow" w:hAnsi="Arial Narrow" w:cs="Tahoma"/>
          <w:i/>
        </w:rPr>
        <w:t>las mesadas causadas entre el 2 de julio de 2011 y el 3</w:t>
      </w:r>
      <w:r w:rsidR="007F1847">
        <w:rPr>
          <w:rFonts w:ascii="Arial Narrow" w:hAnsi="Arial Narrow" w:cs="Tahoma"/>
          <w:i/>
        </w:rPr>
        <w:t>1 de</w:t>
      </w:r>
      <w:r w:rsidR="00D12FDF" w:rsidRPr="00D12FDF">
        <w:rPr>
          <w:rFonts w:ascii="Arial Narrow" w:hAnsi="Arial Narrow" w:cs="Tahoma"/>
          <w:i/>
        </w:rPr>
        <w:t xml:space="preserve"> marzo de 2016</w:t>
      </w:r>
      <w:r w:rsidR="007F1847">
        <w:rPr>
          <w:rFonts w:ascii="Arial Narrow" w:hAnsi="Arial Narrow" w:cs="Tahoma"/>
          <w:i/>
        </w:rPr>
        <w:t>,</w:t>
      </w:r>
      <w:r w:rsidR="00D12FDF" w:rsidRPr="00D12FDF">
        <w:rPr>
          <w:rFonts w:ascii="Arial Narrow" w:hAnsi="Arial Narrow" w:cs="Tahoma"/>
          <w:i/>
        </w:rPr>
        <w:t xml:space="preserve"> la suma de $60.061.403</w:t>
      </w:r>
      <w:r w:rsidR="007F1847">
        <w:rPr>
          <w:rFonts w:ascii="Arial Narrow" w:hAnsi="Arial Narrow" w:cs="Tahoma"/>
          <w:i/>
        </w:rPr>
        <w:t xml:space="preserve">; debiendo cancelar una </w:t>
      </w:r>
      <w:r w:rsidR="00D12FDF" w:rsidRPr="00D12FDF">
        <w:rPr>
          <w:rFonts w:ascii="Arial Narrow" w:hAnsi="Arial Narrow" w:cs="Tahoma"/>
          <w:i/>
        </w:rPr>
        <w:t>mesada pensional</w:t>
      </w:r>
      <w:r w:rsidR="007F1847">
        <w:rPr>
          <w:rFonts w:ascii="Arial Narrow" w:hAnsi="Arial Narrow" w:cs="Tahoma"/>
          <w:i/>
        </w:rPr>
        <w:t xml:space="preserve"> </w:t>
      </w:r>
      <w:r w:rsidR="007F1847" w:rsidRPr="00D12FDF">
        <w:rPr>
          <w:rFonts w:ascii="Arial Narrow" w:hAnsi="Arial Narrow" w:cs="Tahoma"/>
          <w:i/>
        </w:rPr>
        <w:t>de $987.325,84</w:t>
      </w:r>
      <w:r w:rsidR="007F1847">
        <w:rPr>
          <w:rFonts w:ascii="Arial Narrow" w:hAnsi="Arial Narrow" w:cs="Tahoma"/>
          <w:i/>
        </w:rPr>
        <w:t xml:space="preserve"> para el año </w:t>
      </w:r>
      <w:r w:rsidR="00D12FDF" w:rsidRPr="00D12FDF">
        <w:rPr>
          <w:rFonts w:ascii="Arial Narrow" w:hAnsi="Arial Narrow" w:cs="Tahoma"/>
          <w:i/>
        </w:rPr>
        <w:t>2016</w:t>
      </w:r>
      <w:r w:rsidR="007F1847">
        <w:rPr>
          <w:rFonts w:ascii="Arial Narrow" w:hAnsi="Arial Narrow" w:cs="Tahoma"/>
          <w:i/>
        </w:rPr>
        <w:t>.</w:t>
      </w:r>
      <w:r w:rsidR="00D12FDF" w:rsidRPr="00D12FDF">
        <w:rPr>
          <w:rFonts w:ascii="Arial Narrow" w:hAnsi="Arial Narrow" w:cs="Tahoma"/>
          <w:i/>
        </w:rPr>
        <w:t xml:space="preserve"> </w:t>
      </w:r>
    </w:p>
    <w:p w14:paraId="0B08DDF6" w14:textId="77777777" w:rsidR="00B25944" w:rsidRPr="00D12FDF" w:rsidRDefault="00B25944" w:rsidP="007F1847">
      <w:pPr>
        <w:ind w:left="709"/>
        <w:jc w:val="both"/>
        <w:rPr>
          <w:rFonts w:ascii="Arial Narrow" w:hAnsi="Arial Narrow" w:cs="Tahoma"/>
          <w:i/>
        </w:rPr>
      </w:pPr>
    </w:p>
    <w:p w14:paraId="08AC5796" w14:textId="09FE06FF" w:rsidR="00B25944" w:rsidRPr="00D12FDF" w:rsidRDefault="00B25944" w:rsidP="007F1847">
      <w:pPr>
        <w:ind w:left="709"/>
        <w:jc w:val="both"/>
        <w:rPr>
          <w:rFonts w:ascii="Arial Narrow" w:hAnsi="Arial Narrow" w:cs="Tahoma"/>
          <w:i/>
        </w:rPr>
      </w:pPr>
      <w:r w:rsidRPr="00D12FDF">
        <w:rPr>
          <w:rFonts w:ascii="Arial Narrow" w:hAnsi="Arial Narrow" w:cs="Tahoma"/>
          <w:i/>
        </w:rPr>
        <w:t>Sexto:</w:t>
      </w:r>
      <w:r w:rsidR="00D12FDF" w:rsidRPr="00D12FDF">
        <w:rPr>
          <w:rFonts w:ascii="Arial Narrow" w:hAnsi="Arial Narrow" w:cs="Tahoma"/>
          <w:i/>
        </w:rPr>
        <w:t xml:space="preserve"> Declarar probada parcialmente la excepción de prescripción respecto de las mesadas causadas entre el 28 de octubre de 1995 y el del </w:t>
      </w:r>
      <w:r w:rsidR="005C2BE6">
        <w:rPr>
          <w:rFonts w:ascii="Arial Narrow" w:hAnsi="Arial Narrow" w:cs="Tahoma"/>
          <w:i/>
        </w:rPr>
        <w:t xml:space="preserve">1º </w:t>
      </w:r>
      <w:r w:rsidR="00D12FDF" w:rsidRPr="00D12FDF">
        <w:rPr>
          <w:rFonts w:ascii="Arial Narrow" w:hAnsi="Arial Narrow" w:cs="Tahoma"/>
          <w:i/>
        </w:rPr>
        <w:t>de julio de 2011</w:t>
      </w:r>
      <w:r w:rsidR="00D12FDF">
        <w:rPr>
          <w:rFonts w:ascii="Arial Narrow" w:hAnsi="Arial Narrow" w:cs="Tahoma"/>
          <w:i/>
        </w:rPr>
        <w:t>, y no probada la de inexistencia de la obligación</w:t>
      </w:r>
      <w:r w:rsidR="00D12FDF" w:rsidRPr="00D12FDF">
        <w:rPr>
          <w:rFonts w:ascii="Arial Narrow" w:hAnsi="Arial Narrow" w:cs="Tahoma"/>
          <w:i/>
        </w:rPr>
        <w:t>.</w:t>
      </w:r>
      <w:r w:rsidR="00D12FDF">
        <w:rPr>
          <w:rFonts w:ascii="Arial Narrow" w:hAnsi="Arial Narrow" w:cs="Tahoma"/>
          <w:i/>
        </w:rPr>
        <w:t>”</w:t>
      </w:r>
    </w:p>
    <w:p w14:paraId="07301160" w14:textId="77777777" w:rsidR="003233B1" w:rsidRDefault="003233B1" w:rsidP="00E9724F">
      <w:pPr>
        <w:spacing w:line="276" w:lineRule="auto"/>
        <w:ind w:firstLine="708"/>
        <w:jc w:val="both"/>
        <w:rPr>
          <w:rFonts w:ascii="Tahoma" w:hAnsi="Tahoma" w:cs="Tahoma"/>
        </w:rPr>
      </w:pPr>
    </w:p>
    <w:p w14:paraId="17814888" w14:textId="48848202" w:rsidR="000B72EC" w:rsidRPr="00896011" w:rsidRDefault="006F1619" w:rsidP="007F1847">
      <w:pPr>
        <w:spacing w:line="276" w:lineRule="auto"/>
        <w:ind w:firstLine="708"/>
        <w:jc w:val="both"/>
        <w:rPr>
          <w:rFonts w:ascii="Tahoma" w:hAnsi="Tahoma" w:cs="Tahoma"/>
        </w:rPr>
      </w:pPr>
      <w:r w:rsidRPr="00896011">
        <w:rPr>
          <w:rFonts w:ascii="Tahoma" w:hAnsi="Tahoma" w:cs="Tahoma"/>
        </w:rPr>
        <w:t xml:space="preserve"> </w:t>
      </w:r>
      <w:r w:rsidR="00D35B73" w:rsidRPr="00896011">
        <w:rPr>
          <w:rFonts w:ascii="Tahoma" w:hAnsi="Tahoma" w:cs="Tahoma"/>
          <w:b/>
          <w:u w:val="single"/>
        </w:rPr>
        <w:t>SEGUNDO</w:t>
      </w:r>
      <w:r w:rsidR="003F0B87" w:rsidRPr="00896011">
        <w:rPr>
          <w:rFonts w:ascii="Tahoma" w:hAnsi="Tahoma" w:cs="Tahoma"/>
          <w:b/>
        </w:rPr>
        <w:t>.-</w:t>
      </w:r>
      <w:r w:rsidR="00013C46" w:rsidRPr="00896011">
        <w:rPr>
          <w:rFonts w:ascii="Tahoma" w:hAnsi="Tahoma" w:cs="Tahoma"/>
          <w:b/>
        </w:rPr>
        <w:t xml:space="preserve"> CON</w:t>
      </w:r>
      <w:r w:rsidR="000B72EC" w:rsidRPr="00896011">
        <w:rPr>
          <w:rFonts w:ascii="Tahoma" w:hAnsi="Tahoma" w:cs="Tahoma"/>
          <w:b/>
        </w:rPr>
        <w:t xml:space="preserve">FIRMAR </w:t>
      </w:r>
      <w:r w:rsidR="000B72EC" w:rsidRPr="00896011">
        <w:rPr>
          <w:rFonts w:ascii="Tahoma" w:hAnsi="Tahoma" w:cs="Tahoma"/>
        </w:rPr>
        <w:t>en todo lo demás la providencia de primer grado.</w:t>
      </w:r>
    </w:p>
    <w:p w14:paraId="5ABAC242" w14:textId="77777777" w:rsidR="00A73810" w:rsidRPr="00896011" w:rsidRDefault="00A73810" w:rsidP="000B72EC">
      <w:pPr>
        <w:spacing w:line="276" w:lineRule="auto"/>
        <w:jc w:val="both"/>
        <w:rPr>
          <w:rFonts w:ascii="Tahoma" w:hAnsi="Tahoma" w:cs="Tahoma"/>
        </w:rPr>
      </w:pPr>
    </w:p>
    <w:p w14:paraId="152B5DFD" w14:textId="0AE06875" w:rsidR="00013C46" w:rsidRPr="00896011" w:rsidRDefault="001E320A" w:rsidP="000B72EC">
      <w:pPr>
        <w:spacing w:line="276" w:lineRule="auto"/>
        <w:ind w:firstLine="709"/>
        <w:jc w:val="both"/>
        <w:rPr>
          <w:rFonts w:ascii="Tahoma" w:hAnsi="Tahoma" w:cs="Tahoma"/>
          <w:bCs/>
        </w:rPr>
      </w:pPr>
      <w:r w:rsidRPr="00896011">
        <w:rPr>
          <w:rFonts w:ascii="Tahoma" w:hAnsi="Tahoma" w:cs="Tahoma"/>
          <w:b/>
          <w:bCs/>
          <w:u w:val="single"/>
        </w:rPr>
        <w:t>TERCERO</w:t>
      </w:r>
      <w:r w:rsidR="00A73810" w:rsidRPr="00896011">
        <w:rPr>
          <w:rFonts w:ascii="Tahoma" w:hAnsi="Tahoma" w:cs="Tahoma"/>
          <w:b/>
          <w:bCs/>
        </w:rPr>
        <w:t>.-</w:t>
      </w:r>
      <w:r w:rsidR="00A73810" w:rsidRPr="00896011">
        <w:rPr>
          <w:rFonts w:ascii="Tahoma" w:hAnsi="Tahoma" w:cs="Tahoma"/>
          <w:bCs/>
        </w:rPr>
        <w:t xml:space="preserve"> </w:t>
      </w:r>
      <w:r w:rsidR="000B72EC" w:rsidRPr="00896011">
        <w:rPr>
          <w:rFonts w:ascii="Tahoma" w:hAnsi="Tahoma" w:cs="Tahoma"/>
          <w:bCs/>
        </w:rPr>
        <w:t>Sin lugar a costas en este grado jurisdiccional.</w:t>
      </w:r>
    </w:p>
    <w:p w14:paraId="2671E3B7" w14:textId="77777777" w:rsidR="008639C6" w:rsidRPr="00896011" w:rsidRDefault="008639C6" w:rsidP="000B72EC">
      <w:pPr>
        <w:spacing w:line="276" w:lineRule="auto"/>
        <w:ind w:firstLine="709"/>
        <w:jc w:val="both"/>
        <w:rPr>
          <w:rFonts w:ascii="Tahoma" w:hAnsi="Tahoma" w:cs="Tahoma"/>
        </w:rPr>
      </w:pPr>
    </w:p>
    <w:p w14:paraId="3A42985B" w14:textId="77777777" w:rsidR="009A4059" w:rsidRPr="00896011" w:rsidRDefault="009A4059" w:rsidP="00E9724F">
      <w:pPr>
        <w:widowControl w:val="0"/>
        <w:autoSpaceDE w:val="0"/>
        <w:autoSpaceDN w:val="0"/>
        <w:adjustRightInd w:val="0"/>
        <w:spacing w:line="276" w:lineRule="auto"/>
        <w:jc w:val="both"/>
        <w:rPr>
          <w:rFonts w:ascii="Tahoma" w:hAnsi="Tahoma" w:cs="Tahoma"/>
          <w:b/>
          <w:bCs/>
        </w:rPr>
      </w:pPr>
      <w:r w:rsidRPr="00896011">
        <w:rPr>
          <w:rFonts w:ascii="Tahoma" w:hAnsi="Tahoma" w:cs="Tahoma"/>
        </w:rPr>
        <w:tab/>
      </w:r>
      <w:r w:rsidR="00FB2BDC" w:rsidRPr="00896011">
        <w:rPr>
          <w:rFonts w:ascii="Tahoma" w:hAnsi="Tahoma" w:cs="Tahoma"/>
          <w:b/>
          <w:bCs/>
        </w:rPr>
        <w:t>Notificación surtida en estrados</w:t>
      </w:r>
      <w:r w:rsidRPr="00896011">
        <w:rPr>
          <w:rFonts w:ascii="Tahoma" w:hAnsi="Tahoma" w:cs="Tahoma"/>
          <w:b/>
          <w:bCs/>
        </w:rPr>
        <w:t>.</w:t>
      </w:r>
    </w:p>
    <w:p w14:paraId="27DBB580" w14:textId="77777777" w:rsidR="009A4059" w:rsidRPr="00896011" w:rsidRDefault="009A4059" w:rsidP="00E9724F">
      <w:pPr>
        <w:widowControl w:val="0"/>
        <w:autoSpaceDE w:val="0"/>
        <w:autoSpaceDN w:val="0"/>
        <w:adjustRightInd w:val="0"/>
        <w:spacing w:line="276" w:lineRule="auto"/>
        <w:jc w:val="both"/>
        <w:rPr>
          <w:rFonts w:ascii="Tahoma" w:hAnsi="Tahoma" w:cs="Tahoma"/>
          <w:b/>
          <w:bCs/>
        </w:rPr>
      </w:pPr>
    </w:p>
    <w:p w14:paraId="32CEAC31" w14:textId="77777777" w:rsidR="009A4059" w:rsidRPr="00896011" w:rsidRDefault="00FB2BDC" w:rsidP="00E9724F">
      <w:pPr>
        <w:widowControl w:val="0"/>
        <w:autoSpaceDE w:val="0"/>
        <w:autoSpaceDN w:val="0"/>
        <w:adjustRightInd w:val="0"/>
        <w:spacing w:line="276" w:lineRule="auto"/>
        <w:ind w:firstLine="708"/>
        <w:jc w:val="both"/>
        <w:rPr>
          <w:rFonts w:ascii="Tahoma" w:hAnsi="Tahoma" w:cs="Tahoma"/>
        </w:rPr>
      </w:pPr>
      <w:r w:rsidRPr="00896011">
        <w:rPr>
          <w:rFonts w:ascii="Tahoma" w:hAnsi="Tahoma" w:cs="Tahoma"/>
          <w:b/>
        </w:rPr>
        <w:t>Cúmplase</w:t>
      </w:r>
      <w:r w:rsidRPr="00896011">
        <w:rPr>
          <w:rFonts w:ascii="Tahoma" w:hAnsi="Tahoma" w:cs="Tahoma"/>
        </w:rPr>
        <w:t xml:space="preserve"> </w:t>
      </w:r>
      <w:r w:rsidR="009A4059" w:rsidRPr="00896011">
        <w:rPr>
          <w:rFonts w:ascii="Tahoma" w:hAnsi="Tahoma" w:cs="Tahoma"/>
        </w:rPr>
        <w:t xml:space="preserve">y </w:t>
      </w:r>
      <w:r w:rsidRPr="00896011">
        <w:rPr>
          <w:rFonts w:ascii="Tahoma" w:hAnsi="Tahoma" w:cs="Tahoma"/>
          <w:b/>
        </w:rPr>
        <w:t>devuélvase</w:t>
      </w:r>
      <w:r w:rsidRPr="00896011">
        <w:rPr>
          <w:rFonts w:ascii="Tahoma" w:hAnsi="Tahoma" w:cs="Tahoma"/>
        </w:rPr>
        <w:t xml:space="preserve"> </w:t>
      </w:r>
      <w:r w:rsidR="009A4059" w:rsidRPr="00896011">
        <w:rPr>
          <w:rFonts w:ascii="Tahoma" w:hAnsi="Tahoma" w:cs="Tahoma"/>
        </w:rPr>
        <w:t>el expediente al Juzgado de origen.</w:t>
      </w:r>
    </w:p>
    <w:p w14:paraId="3DB0B296" w14:textId="77777777" w:rsidR="009A4059" w:rsidRPr="00896011" w:rsidRDefault="009A4059" w:rsidP="00E9724F">
      <w:pPr>
        <w:widowControl w:val="0"/>
        <w:autoSpaceDE w:val="0"/>
        <w:autoSpaceDN w:val="0"/>
        <w:adjustRightInd w:val="0"/>
        <w:spacing w:line="276" w:lineRule="auto"/>
        <w:jc w:val="both"/>
        <w:rPr>
          <w:rFonts w:ascii="Tahoma" w:hAnsi="Tahoma" w:cs="Tahoma"/>
        </w:rPr>
      </w:pPr>
    </w:p>
    <w:p w14:paraId="3EBFF5B7" w14:textId="77777777" w:rsidR="009A4059" w:rsidRPr="00896011" w:rsidRDefault="009A4059" w:rsidP="00E9724F">
      <w:pPr>
        <w:widowControl w:val="0"/>
        <w:autoSpaceDE w:val="0"/>
        <w:autoSpaceDN w:val="0"/>
        <w:adjustRightInd w:val="0"/>
        <w:spacing w:line="276" w:lineRule="auto"/>
        <w:jc w:val="both"/>
        <w:rPr>
          <w:rFonts w:ascii="Tahoma" w:hAnsi="Tahoma" w:cs="Tahoma"/>
        </w:rPr>
      </w:pPr>
      <w:r w:rsidRPr="00896011">
        <w:rPr>
          <w:rFonts w:ascii="Tahoma" w:hAnsi="Tahoma" w:cs="Tahoma"/>
        </w:rPr>
        <w:tab/>
        <w:t xml:space="preserve">No siendo otro el objeto de la presente diligencia, se termina siendo las </w:t>
      </w:r>
      <w:r w:rsidRPr="00896011">
        <w:rPr>
          <w:rFonts w:ascii="Tahoma" w:hAnsi="Tahoma" w:cs="Tahoma"/>
          <w:u w:val="single"/>
        </w:rPr>
        <w:t xml:space="preserve">_____ </w:t>
      </w:r>
      <w:r w:rsidR="001366A4" w:rsidRPr="00896011">
        <w:rPr>
          <w:rFonts w:ascii="Tahoma" w:hAnsi="Tahoma" w:cs="Tahoma"/>
        </w:rPr>
        <w:t>de la mañana</w:t>
      </w:r>
      <w:r w:rsidRPr="00896011">
        <w:rPr>
          <w:rFonts w:ascii="Tahoma" w:hAnsi="Tahoma" w:cs="Tahoma"/>
        </w:rPr>
        <w:t>, se levanta el acta y firman las personas que en la misma intervinieron.</w:t>
      </w:r>
    </w:p>
    <w:p w14:paraId="5D66219A" w14:textId="77777777" w:rsidR="003C4B0C" w:rsidRPr="0064007B" w:rsidRDefault="003C4B0C" w:rsidP="00E9724F">
      <w:pPr>
        <w:spacing w:line="276" w:lineRule="auto"/>
        <w:jc w:val="both"/>
        <w:rPr>
          <w:rFonts w:ascii="Tahoma" w:hAnsi="Tahoma" w:cs="Tahoma"/>
        </w:rPr>
      </w:pPr>
    </w:p>
    <w:p w14:paraId="4AB1ED27" w14:textId="77777777" w:rsidR="009A4059" w:rsidRPr="0064007B" w:rsidRDefault="009A4059" w:rsidP="00E9724F">
      <w:pPr>
        <w:spacing w:line="276" w:lineRule="auto"/>
        <w:ind w:firstLine="708"/>
        <w:jc w:val="both"/>
        <w:rPr>
          <w:rFonts w:ascii="Tahoma" w:hAnsi="Tahoma" w:cs="Tahoma"/>
        </w:rPr>
      </w:pPr>
      <w:r w:rsidRPr="0064007B">
        <w:rPr>
          <w:rFonts w:ascii="Tahoma" w:hAnsi="Tahoma" w:cs="Tahoma"/>
        </w:rPr>
        <w:t>L</w:t>
      </w:r>
      <w:r w:rsidR="004A0AAF" w:rsidRPr="0064007B">
        <w:rPr>
          <w:rFonts w:ascii="Tahoma" w:hAnsi="Tahoma" w:cs="Tahoma"/>
        </w:rPr>
        <w:t>a Magistrada</w:t>
      </w:r>
      <w:r w:rsidRPr="0064007B">
        <w:rPr>
          <w:rFonts w:ascii="Tahoma" w:hAnsi="Tahoma" w:cs="Tahoma"/>
        </w:rPr>
        <w:t>,</w:t>
      </w:r>
    </w:p>
    <w:p w14:paraId="31FCAF2D" w14:textId="77777777" w:rsidR="00E445E2" w:rsidRDefault="00E445E2" w:rsidP="00E9724F"/>
    <w:p w14:paraId="4DB2D9B1" w14:textId="77777777" w:rsidR="007F1847" w:rsidRDefault="007F1847" w:rsidP="00E9724F"/>
    <w:p w14:paraId="61562AA6" w14:textId="77777777" w:rsidR="007F1847" w:rsidRPr="0064007B" w:rsidRDefault="007F1847" w:rsidP="00E9724F"/>
    <w:p w14:paraId="03FF92C2" w14:textId="77777777" w:rsidR="001D77FA" w:rsidRPr="0064007B" w:rsidRDefault="001D77FA" w:rsidP="00E9724F"/>
    <w:p w14:paraId="24F51753" w14:textId="2283DE5A" w:rsidR="000F3C74" w:rsidRPr="0064007B" w:rsidRDefault="009A4059" w:rsidP="00DF3175">
      <w:pPr>
        <w:pStyle w:val="Ttulo3"/>
        <w:spacing w:before="0" w:after="0"/>
        <w:jc w:val="center"/>
        <w:rPr>
          <w:rFonts w:ascii="Tahoma" w:hAnsi="Tahoma" w:cs="Tahoma"/>
          <w:bCs w:val="0"/>
          <w:sz w:val="24"/>
          <w:szCs w:val="24"/>
        </w:rPr>
      </w:pPr>
      <w:r w:rsidRPr="0064007B">
        <w:rPr>
          <w:rFonts w:ascii="Tahoma" w:hAnsi="Tahoma" w:cs="Tahoma"/>
          <w:bCs w:val="0"/>
          <w:sz w:val="24"/>
          <w:szCs w:val="24"/>
        </w:rPr>
        <w:t>ANA LUCÍA CAICEDO CALDERÓN</w:t>
      </w:r>
    </w:p>
    <w:p w14:paraId="698C9A33" w14:textId="77777777" w:rsidR="000F3C74" w:rsidRPr="0064007B" w:rsidRDefault="000F3C74" w:rsidP="00E9724F">
      <w:pPr>
        <w:ind w:firstLine="708"/>
        <w:jc w:val="both"/>
        <w:rPr>
          <w:rFonts w:ascii="Tahoma" w:hAnsi="Tahoma" w:cs="Tahoma"/>
        </w:rPr>
      </w:pPr>
    </w:p>
    <w:p w14:paraId="2EFBCDAC" w14:textId="77777777" w:rsidR="0052015E" w:rsidRPr="0064007B" w:rsidRDefault="004A0AAF" w:rsidP="00E9724F">
      <w:pPr>
        <w:ind w:firstLine="708"/>
        <w:jc w:val="both"/>
        <w:rPr>
          <w:rFonts w:ascii="Tahoma" w:hAnsi="Tahoma" w:cs="Tahoma"/>
        </w:rPr>
      </w:pPr>
      <w:r w:rsidRPr="0064007B">
        <w:rPr>
          <w:rFonts w:ascii="Tahoma" w:hAnsi="Tahoma" w:cs="Tahoma"/>
        </w:rPr>
        <w:t>Los Magistrados,</w:t>
      </w:r>
    </w:p>
    <w:p w14:paraId="1CD98CF1" w14:textId="77777777" w:rsidR="00BF0FC3" w:rsidRDefault="00BF0FC3" w:rsidP="00E9724F">
      <w:pPr>
        <w:rPr>
          <w:rFonts w:ascii="Tahoma" w:hAnsi="Tahoma" w:cs="Tahoma"/>
          <w:b/>
        </w:rPr>
      </w:pPr>
    </w:p>
    <w:p w14:paraId="52821942" w14:textId="77777777" w:rsidR="00C87532" w:rsidRPr="0064007B" w:rsidRDefault="00C87532" w:rsidP="00E9724F">
      <w:pPr>
        <w:rPr>
          <w:rFonts w:ascii="Tahoma" w:hAnsi="Tahoma" w:cs="Tahoma"/>
          <w:b/>
        </w:rPr>
      </w:pPr>
    </w:p>
    <w:p w14:paraId="6100B0B2" w14:textId="77777777" w:rsidR="00437AF7" w:rsidRDefault="00437AF7" w:rsidP="00E9724F">
      <w:pPr>
        <w:rPr>
          <w:rFonts w:ascii="Tahoma" w:hAnsi="Tahoma" w:cs="Tahoma"/>
          <w:b/>
        </w:rPr>
      </w:pPr>
    </w:p>
    <w:p w14:paraId="41AF09DB" w14:textId="77777777" w:rsidR="007F1847" w:rsidRDefault="007F1847" w:rsidP="00E9724F">
      <w:pPr>
        <w:rPr>
          <w:rFonts w:ascii="Tahoma" w:hAnsi="Tahoma" w:cs="Tahoma"/>
          <w:b/>
        </w:rPr>
      </w:pPr>
    </w:p>
    <w:p w14:paraId="7319F172" w14:textId="77777777" w:rsidR="007F1847" w:rsidRDefault="007F1847" w:rsidP="00E9724F">
      <w:pPr>
        <w:rPr>
          <w:rFonts w:ascii="Tahoma" w:hAnsi="Tahoma" w:cs="Tahoma"/>
          <w:b/>
        </w:rPr>
      </w:pPr>
    </w:p>
    <w:p w14:paraId="455088EA" w14:textId="77777777" w:rsidR="007F1847" w:rsidRPr="0064007B" w:rsidRDefault="007F1847" w:rsidP="00E9724F">
      <w:pPr>
        <w:rPr>
          <w:rFonts w:ascii="Tahoma" w:hAnsi="Tahoma" w:cs="Tahoma"/>
          <w:b/>
        </w:rPr>
      </w:pPr>
    </w:p>
    <w:p w14:paraId="61A5C2A2" w14:textId="67B058F2" w:rsidR="00520BE2" w:rsidRPr="00C87532" w:rsidRDefault="009A4059" w:rsidP="00C87532">
      <w:pPr>
        <w:jc w:val="center"/>
        <w:rPr>
          <w:rFonts w:ascii="Tahoma" w:hAnsi="Tahoma" w:cs="Tahoma"/>
          <w:b/>
        </w:rPr>
      </w:pPr>
      <w:r w:rsidRPr="0064007B">
        <w:rPr>
          <w:rFonts w:ascii="Tahoma" w:hAnsi="Tahoma" w:cs="Tahoma"/>
          <w:b/>
        </w:rPr>
        <w:t>JULIO CÉSAR SALAZAR MUÑOZ</w:t>
      </w:r>
      <w:r w:rsidRPr="0064007B">
        <w:rPr>
          <w:rFonts w:ascii="Tahoma" w:hAnsi="Tahoma" w:cs="Tahoma"/>
          <w:b/>
        </w:rPr>
        <w:tab/>
      </w:r>
      <w:r w:rsidR="00B15DC8" w:rsidRPr="0064007B">
        <w:rPr>
          <w:rFonts w:ascii="Tahoma" w:hAnsi="Tahoma" w:cs="Tahoma"/>
          <w:b/>
        </w:rPr>
        <w:t xml:space="preserve">      </w:t>
      </w:r>
      <w:r w:rsidRPr="0064007B">
        <w:rPr>
          <w:rFonts w:ascii="Tahoma" w:hAnsi="Tahoma" w:cs="Tahoma"/>
          <w:b/>
        </w:rPr>
        <w:t xml:space="preserve"> FRANCISCO JAVIER TAMAYO TABARES</w:t>
      </w:r>
    </w:p>
    <w:p w14:paraId="12254FF4" w14:textId="77777777" w:rsidR="00BF0FC3" w:rsidRPr="0064007B" w:rsidRDefault="00BF0FC3" w:rsidP="00F24225">
      <w:pPr>
        <w:rPr>
          <w:rFonts w:ascii="Tahoma" w:hAnsi="Tahoma" w:cs="Tahoma"/>
          <w:b/>
        </w:rPr>
      </w:pPr>
    </w:p>
    <w:p w14:paraId="3C78FFBC" w14:textId="77777777" w:rsidR="00BF0FC3" w:rsidRPr="0064007B" w:rsidRDefault="00BF0FC3" w:rsidP="00E9724F">
      <w:pPr>
        <w:jc w:val="center"/>
        <w:rPr>
          <w:rFonts w:ascii="Tahoma" w:hAnsi="Tahoma" w:cs="Tahoma"/>
          <w:b/>
        </w:rPr>
      </w:pPr>
    </w:p>
    <w:p w14:paraId="08F79CB4" w14:textId="23EB9052" w:rsidR="008F6797" w:rsidRPr="0064007B" w:rsidRDefault="00574641" w:rsidP="00E9724F">
      <w:pPr>
        <w:jc w:val="center"/>
        <w:rPr>
          <w:rFonts w:ascii="Tahoma" w:hAnsi="Tahoma" w:cs="Tahoma"/>
          <w:b/>
        </w:rPr>
      </w:pPr>
      <w:r>
        <w:rPr>
          <w:rFonts w:ascii="Tahoma" w:hAnsi="Tahoma" w:cs="Tahoma"/>
          <w:b/>
        </w:rPr>
        <w:t>JELYNE MONSALVE OSPINA</w:t>
      </w:r>
    </w:p>
    <w:p w14:paraId="1E434ADB" w14:textId="77777777" w:rsidR="00821189" w:rsidRPr="0064007B" w:rsidRDefault="00821189" w:rsidP="00E9724F">
      <w:pPr>
        <w:jc w:val="center"/>
        <w:rPr>
          <w:rFonts w:ascii="Tahoma" w:hAnsi="Tahoma" w:cs="Tahoma"/>
        </w:rPr>
      </w:pPr>
      <w:r w:rsidRPr="0064007B">
        <w:rPr>
          <w:rFonts w:ascii="Tahoma" w:hAnsi="Tahoma" w:cs="Tahoma"/>
        </w:rPr>
        <w:t>Secretari</w:t>
      </w:r>
      <w:r w:rsidR="00083031" w:rsidRPr="0064007B">
        <w:rPr>
          <w:rFonts w:ascii="Tahoma" w:hAnsi="Tahoma" w:cs="Tahoma"/>
        </w:rPr>
        <w:t>a</w:t>
      </w:r>
      <w:r w:rsidRPr="0064007B">
        <w:rPr>
          <w:rFonts w:ascii="Tahoma" w:hAnsi="Tahoma" w:cs="Tahoma"/>
        </w:rPr>
        <w:t xml:space="preserve"> Ad-Hoc</w:t>
      </w:r>
    </w:p>
    <w:p w14:paraId="321394BA" w14:textId="77777777" w:rsidR="00127CC2" w:rsidRDefault="00127CC2" w:rsidP="00F24225">
      <w:pPr>
        <w:rPr>
          <w:rFonts w:ascii="Tahoma" w:hAnsi="Tahoma" w:cs="Tahoma"/>
        </w:rPr>
      </w:pPr>
    </w:p>
    <w:p w14:paraId="706CE732" w14:textId="7FC8FE47" w:rsidR="00001300" w:rsidRDefault="00001300" w:rsidP="00E9724F">
      <w:pPr>
        <w:jc w:val="center"/>
        <w:rPr>
          <w:rFonts w:ascii="Tahoma" w:hAnsi="Tahoma" w:cs="Tahoma"/>
          <w:b/>
        </w:rPr>
      </w:pPr>
      <w:r w:rsidRPr="00001300">
        <w:rPr>
          <w:rFonts w:ascii="Tahoma" w:hAnsi="Tahoma" w:cs="Tahoma"/>
          <w:b/>
        </w:rPr>
        <w:t>ACTUALIZACIÓN RETROACTIVO DE PRIMERA INSTANCIA</w:t>
      </w:r>
    </w:p>
    <w:p w14:paraId="2C626F10" w14:textId="77777777" w:rsidR="00001300" w:rsidRPr="00001300" w:rsidRDefault="00001300" w:rsidP="00E9724F">
      <w:pPr>
        <w:jc w:val="center"/>
        <w:rPr>
          <w:rFonts w:ascii="Tahoma" w:hAnsi="Tahoma" w:cs="Tahoma"/>
          <w:b/>
        </w:rPr>
      </w:pPr>
    </w:p>
    <w:tbl>
      <w:tblPr>
        <w:tblpPr w:leftFromText="141" w:rightFromText="141" w:vertAnchor="text" w:horzAnchor="margin" w:tblpXSpec="center" w:tblpY="-14"/>
        <w:tblW w:w="0" w:type="auto"/>
        <w:tblLayout w:type="fixed"/>
        <w:tblCellMar>
          <w:left w:w="70" w:type="dxa"/>
          <w:right w:w="70" w:type="dxa"/>
        </w:tblCellMar>
        <w:tblLook w:val="04A0" w:firstRow="1" w:lastRow="0" w:firstColumn="1" w:lastColumn="0" w:noHBand="0" w:noVBand="1"/>
      </w:tblPr>
      <w:tblGrid>
        <w:gridCol w:w="160"/>
        <w:gridCol w:w="546"/>
        <w:gridCol w:w="782"/>
        <w:gridCol w:w="973"/>
        <w:gridCol w:w="994"/>
        <w:gridCol w:w="762"/>
        <w:gridCol w:w="956"/>
        <w:gridCol w:w="2092"/>
        <w:gridCol w:w="1991"/>
      </w:tblGrid>
      <w:tr w:rsidR="00E621CA" w14:paraId="252B4A57" w14:textId="77777777" w:rsidTr="005C2BE6">
        <w:trPr>
          <w:trHeight w:val="20"/>
        </w:trPr>
        <w:tc>
          <w:tcPr>
            <w:tcW w:w="160" w:type="dxa"/>
            <w:tcBorders>
              <w:top w:val="nil"/>
              <w:left w:val="nil"/>
              <w:bottom w:val="nil"/>
              <w:right w:val="nil"/>
            </w:tcBorders>
            <w:shd w:val="clear" w:color="auto" w:fill="auto"/>
            <w:noWrap/>
            <w:vAlign w:val="bottom"/>
            <w:hideMark/>
          </w:tcPr>
          <w:p w14:paraId="305CC542" w14:textId="77777777" w:rsidR="00E621CA" w:rsidRDefault="00E621CA" w:rsidP="004E1860">
            <w:pPr>
              <w:rPr>
                <w:sz w:val="20"/>
                <w:szCs w:val="20"/>
              </w:rPr>
            </w:pPr>
          </w:p>
        </w:tc>
        <w:tc>
          <w:tcPr>
            <w:tcW w:w="546" w:type="dxa"/>
            <w:tcBorders>
              <w:top w:val="single" w:sz="4" w:space="0" w:color="808000"/>
              <w:left w:val="single" w:sz="4" w:space="0" w:color="808000"/>
              <w:bottom w:val="single" w:sz="4" w:space="0" w:color="auto"/>
              <w:right w:val="single" w:sz="4" w:space="0" w:color="808000"/>
            </w:tcBorders>
            <w:shd w:val="clear" w:color="000000" w:fill="FFFF99"/>
            <w:noWrap/>
            <w:vAlign w:val="center"/>
            <w:hideMark/>
          </w:tcPr>
          <w:p w14:paraId="72084B71"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Año</w:t>
            </w:r>
          </w:p>
        </w:tc>
        <w:tc>
          <w:tcPr>
            <w:tcW w:w="782" w:type="dxa"/>
            <w:tcBorders>
              <w:top w:val="single" w:sz="4" w:space="0" w:color="808000"/>
              <w:left w:val="nil"/>
              <w:bottom w:val="single" w:sz="4" w:space="0" w:color="auto"/>
              <w:right w:val="single" w:sz="4" w:space="0" w:color="808000"/>
            </w:tcBorders>
            <w:shd w:val="clear" w:color="000000" w:fill="FFFF99"/>
            <w:noWrap/>
            <w:vAlign w:val="center"/>
            <w:hideMark/>
          </w:tcPr>
          <w:p w14:paraId="43431F6B"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IPC</w:t>
            </w:r>
            <w:r>
              <w:rPr>
                <w:rFonts w:ascii="Calibri" w:hAnsi="Calibri"/>
                <w:b/>
                <w:bCs/>
                <w:sz w:val="16"/>
                <w:szCs w:val="16"/>
              </w:rPr>
              <w:t xml:space="preserve">   (Var. Año anterior)</w:t>
            </w:r>
          </w:p>
        </w:tc>
        <w:tc>
          <w:tcPr>
            <w:tcW w:w="973" w:type="dxa"/>
            <w:tcBorders>
              <w:top w:val="single" w:sz="4" w:space="0" w:color="808000"/>
              <w:left w:val="nil"/>
              <w:bottom w:val="single" w:sz="4" w:space="0" w:color="auto"/>
              <w:right w:val="single" w:sz="4" w:space="0" w:color="808000"/>
            </w:tcBorders>
            <w:shd w:val="clear" w:color="000000" w:fill="FFFF99"/>
            <w:noWrap/>
            <w:vAlign w:val="center"/>
            <w:hideMark/>
          </w:tcPr>
          <w:p w14:paraId="01191EF9"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Desde</w:t>
            </w:r>
          </w:p>
        </w:tc>
        <w:tc>
          <w:tcPr>
            <w:tcW w:w="994" w:type="dxa"/>
            <w:tcBorders>
              <w:top w:val="single" w:sz="4" w:space="0" w:color="808000"/>
              <w:left w:val="nil"/>
              <w:bottom w:val="single" w:sz="4" w:space="0" w:color="auto"/>
              <w:right w:val="single" w:sz="4" w:space="0" w:color="808000"/>
            </w:tcBorders>
            <w:shd w:val="clear" w:color="000000" w:fill="FFFF99"/>
            <w:noWrap/>
            <w:vAlign w:val="center"/>
            <w:hideMark/>
          </w:tcPr>
          <w:p w14:paraId="3BC5D46E"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Hasta</w:t>
            </w:r>
          </w:p>
        </w:tc>
        <w:tc>
          <w:tcPr>
            <w:tcW w:w="762" w:type="dxa"/>
            <w:tcBorders>
              <w:top w:val="single" w:sz="4" w:space="0" w:color="808000"/>
              <w:left w:val="nil"/>
              <w:bottom w:val="single" w:sz="4" w:space="0" w:color="auto"/>
              <w:right w:val="single" w:sz="4" w:space="0" w:color="auto"/>
            </w:tcBorders>
            <w:shd w:val="clear" w:color="000000" w:fill="FFFF99"/>
            <w:noWrap/>
            <w:vAlign w:val="center"/>
            <w:hideMark/>
          </w:tcPr>
          <w:p w14:paraId="2F734C9D"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Causadas</w:t>
            </w:r>
          </w:p>
        </w:tc>
        <w:tc>
          <w:tcPr>
            <w:tcW w:w="956" w:type="dxa"/>
            <w:tcBorders>
              <w:top w:val="single" w:sz="4" w:space="0" w:color="auto"/>
              <w:left w:val="single" w:sz="4" w:space="0" w:color="auto"/>
              <w:bottom w:val="single" w:sz="4" w:space="0" w:color="auto"/>
              <w:right w:val="single" w:sz="4" w:space="0" w:color="auto"/>
            </w:tcBorders>
            <w:shd w:val="clear" w:color="000000" w:fill="FFFF99"/>
          </w:tcPr>
          <w:p w14:paraId="7E1407DC" w14:textId="77777777" w:rsidR="00DC513F" w:rsidRDefault="00DC513F" w:rsidP="00E621CA">
            <w:pPr>
              <w:ind w:left="-316" w:firstLine="316"/>
              <w:jc w:val="center"/>
              <w:rPr>
                <w:rFonts w:ascii="Calibri" w:hAnsi="Calibri"/>
                <w:b/>
                <w:bCs/>
                <w:color w:val="000000"/>
                <w:sz w:val="16"/>
                <w:szCs w:val="16"/>
              </w:rPr>
            </w:pPr>
          </w:p>
          <w:p w14:paraId="3AD78466" w14:textId="5B374E31" w:rsidR="00E621CA" w:rsidRDefault="00DC513F" w:rsidP="00E621CA">
            <w:pPr>
              <w:ind w:left="-316" w:firstLine="316"/>
              <w:jc w:val="center"/>
              <w:rPr>
                <w:rFonts w:ascii="Calibri" w:hAnsi="Calibri"/>
                <w:b/>
                <w:bCs/>
                <w:color w:val="000000"/>
                <w:sz w:val="16"/>
                <w:szCs w:val="16"/>
              </w:rPr>
            </w:pPr>
            <w:r>
              <w:rPr>
                <w:rFonts w:ascii="Calibri" w:hAnsi="Calibri"/>
                <w:b/>
                <w:bCs/>
                <w:color w:val="000000"/>
                <w:sz w:val="16"/>
                <w:szCs w:val="16"/>
              </w:rPr>
              <w:t>Prescritas</w:t>
            </w:r>
          </w:p>
        </w:tc>
        <w:tc>
          <w:tcPr>
            <w:tcW w:w="20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54F015E" w14:textId="283CAD77" w:rsidR="00E621CA" w:rsidRDefault="00E621CA" w:rsidP="004E1860">
            <w:pPr>
              <w:jc w:val="center"/>
              <w:rPr>
                <w:rFonts w:ascii="Calibri" w:hAnsi="Calibri"/>
                <w:color w:val="000080"/>
                <w:sz w:val="20"/>
                <w:szCs w:val="20"/>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1991" w:type="dxa"/>
            <w:tcBorders>
              <w:top w:val="single" w:sz="4" w:space="0" w:color="808000"/>
              <w:left w:val="single" w:sz="4" w:space="0" w:color="auto"/>
              <w:bottom w:val="single" w:sz="4" w:space="0" w:color="auto"/>
              <w:right w:val="single" w:sz="4" w:space="0" w:color="808000"/>
            </w:tcBorders>
            <w:shd w:val="clear" w:color="000000" w:fill="FFFF99"/>
            <w:noWrap/>
            <w:vAlign w:val="center"/>
            <w:hideMark/>
          </w:tcPr>
          <w:p w14:paraId="72F46749" w14:textId="77777777" w:rsidR="00E621CA" w:rsidRDefault="00E621CA" w:rsidP="004E1860">
            <w:pPr>
              <w:jc w:val="center"/>
              <w:rPr>
                <w:rFonts w:ascii="Calibri" w:hAnsi="Calibri"/>
                <w:color w:val="000080"/>
                <w:sz w:val="20"/>
                <w:szCs w:val="20"/>
              </w:rPr>
            </w:pPr>
            <w:r>
              <w:rPr>
                <w:rFonts w:ascii="Calibri" w:hAnsi="Calibri"/>
                <w:b/>
                <w:bCs/>
                <w:color w:val="000000"/>
                <w:sz w:val="16"/>
                <w:szCs w:val="16"/>
              </w:rPr>
              <w:t xml:space="preserve"> Diferencias a cancelar </w:t>
            </w:r>
          </w:p>
        </w:tc>
      </w:tr>
      <w:tr w:rsidR="00E621CA" w14:paraId="189E8D83" w14:textId="77777777" w:rsidTr="005C2BE6">
        <w:trPr>
          <w:trHeight w:val="20"/>
        </w:trPr>
        <w:tc>
          <w:tcPr>
            <w:tcW w:w="160" w:type="dxa"/>
            <w:tcBorders>
              <w:top w:val="nil"/>
              <w:left w:val="nil"/>
              <w:bottom w:val="nil"/>
              <w:right w:val="nil"/>
            </w:tcBorders>
            <w:shd w:val="clear" w:color="auto" w:fill="auto"/>
            <w:noWrap/>
            <w:vAlign w:val="bottom"/>
            <w:hideMark/>
          </w:tcPr>
          <w:p w14:paraId="08CFB7F6" w14:textId="77777777" w:rsidR="00E621CA" w:rsidRDefault="00E621CA" w:rsidP="004E1860">
            <w:pPr>
              <w:jc w:val="center"/>
              <w:rPr>
                <w:rFonts w:ascii="Calibri" w:hAnsi="Calibri"/>
                <w:color w:val="00008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3D10F5E" w14:textId="77777777" w:rsidR="00E621CA" w:rsidRDefault="00E621CA" w:rsidP="004E1860">
            <w:pPr>
              <w:jc w:val="center"/>
              <w:rPr>
                <w:rFonts w:ascii="Calibri" w:hAnsi="Calibri"/>
                <w:b/>
                <w:bCs/>
                <w:color w:val="000000"/>
                <w:sz w:val="16"/>
                <w:szCs w:val="16"/>
              </w:rPr>
            </w:pPr>
            <w:r>
              <w:rPr>
                <w:rFonts w:ascii="Calibri" w:hAnsi="Calibri"/>
                <w:sz w:val="20"/>
                <w:szCs w:val="20"/>
              </w:rPr>
              <w:t>2010</w:t>
            </w:r>
          </w:p>
        </w:tc>
        <w:tc>
          <w:tcPr>
            <w:tcW w:w="782" w:type="dxa"/>
            <w:tcBorders>
              <w:top w:val="single" w:sz="4" w:space="0" w:color="auto"/>
              <w:left w:val="nil"/>
              <w:bottom w:val="single" w:sz="4" w:space="0" w:color="003366"/>
              <w:right w:val="single" w:sz="4" w:space="0" w:color="003366"/>
            </w:tcBorders>
            <w:shd w:val="clear" w:color="000000" w:fill="FFFFCC"/>
            <w:vAlign w:val="bottom"/>
            <w:hideMark/>
          </w:tcPr>
          <w:p w14:paraId="26474910" w14:textId="77777777" w:rsidR="00E621CA" w:rsidRDefault="00E621CA" w:rsidP="004E1860">
            <w:pPr>
              <w:jc w:val="center"/>
              <w:rPr>
                <w:rFonts w:ascii="Calibri" w:hAnsi="Calibri"/>
                <w:b/>
                <w:bCs/>
                <w:color w:val="000000"/>
                <w:sz w:val="16"/>
                <w:szCs w:val="16"/>
              </w:rPr>
            </w:pPr>
          </w:p>
        </w:tc>
        <w:tc>
          <w:tcPr>
            <w:tcW w:w="973" w:type="dxa"/>
            <w:tcBorders>
              <w:top w:val="single" w:sz="4" w:space="0" w:color="auto"/>
              <w:left w:val="single" w:sz="4" w:space="0" w:color="808000"/>
              <w:bottom w:val="single" w:sz="4" w:space="0" w:color="808000"/>
              <w:right w:val="single" w:sz="4" w:space="0" w:color="808000"/>
            </w:tcBorders>
            <w:shd w:val="clear" w:color="auto" w:fill="auto"/>
            <w:vAlign w:val="center"/>
            <w:hideMark/>
          </w:tcPr>
          <w:p w14:paraId="17CAC255" w14:textId="77777777" w:rsidR="00E621CA" w:rsidRDefault="00E621CA" w:rsidP="004E1860">
            <w:pPr>
              <w:jc w:val="center"/>
              <w:rPr>
                <w:rFonts w:ascii="Calibri" w:hAnsi="Calibri"/>
                <w:b/>
                <w:bCs/>
                <w:color w:val="000000"/>
                <w:sz w:val="16"/>
                <w:szCs w:val="16"/>
              </w:rPr>
            </w:pPr>
            <w:r>
              <w:rPr>
                <w:rFonts w:ascii="Calibri" w:hAnsi="Calibri"/>
                <w:color w:val="000000"/>
                <w:sz w:val="20"/>
                <w:szCs w:val="20"/>
              </w:rPr>
              <w:t>18-sep-10</w:t>
            </w:r>
          </w:p>
        </w:tc>
        <w:tc>
          <w:tcPr>
            <w:tcW w:w="994" w:type="dxa"/>
            <w:tcBorders>
              <w:top w:val="single" w:sz="4" w:space="0" w:color="auto"/>
              <w:left w:val="nil"/>
              <w:bottom w:val="single" w:sz="4" w:space="0" w:color="808000"/>
              <w:right w:val="single" w:sz="4" w:space="0" w:color="808000"/>
            </w:tcBorders>
            <w:shd w:val="clear" w:color="auto" w:fill="auto"/>
            <w:vAlign w:val="center"/>
            <w:hideMark/>
          </w:tcPr>
          <w:p w14:paraId="588DF059" w14:textId="77777777" w:rsidR="00E621CA" w:rsidRDefault="00E621CA" w:rsidP="004E1860">
            <w:pPr>
              <w:jc w:val="center"/>
              <w:rPr>
                <w:rFonts w:ascii="Calibri" w:hAnsi="Calibri"/>
                <w:b/>
                <w:bCs/>
                <w:color w:val="000000"/>
                <w:sz w:val="16"/>
                <w:szCs w:val="16"/>
              </w:rPr>
            </w:pPr>
            <w:r>
              <w:rPr>
                <w:rFonts w:ascii="Calibri" w:hAnsi="Calibri"/>
                <w:color w:val="000000"/>
                <w:sz w:val="20"/>
                <w:szCs w:val="20"/>
              </w:rPr>
              <w:t>31-dic-10</w:t>
            </w:r>
          </w:p>
        </w:tc>
        <w:tc>
          <w:tcPr>
            <w:tcW w:w="762" w:type="dxa"/>
            <w:tcBorders>
              <w:top w:val="single" w:sz="4" w:space="0" w:color="auto"/>
              <w:left w:val="single" w:sz="4" w:space="0" w:color="003366"/>
              <w:bottom w:val="single" w:sz="4" w:space="0" w:color="003366"/>
              <w:right w:val="single" w:sz="4" w:space="0" w:color="auto"/>
            </w:tcBorders>
            <w:shd w:val="clear" w:color="000000" w:fill="FFFFCC"/>
            <w:vAlign w:val="bottom"/>
            <w:hideMark/>
          </w:tcPr>
          <w:p w14:paraId="584A6C62" w14:textId="77777777" w:rsidR="00E621CA" w:rsidRDefault="00E621CA" w:rsidP="004E1860">
            <w:pPr>
              <w:jc w:val="center"/>
              <w:rPr>
                <w:rFonts w:ascii="Calibri" w:hAnsi="Calibri"/>
                <w:b/>
                <w:bCs/>
                <w:color w:val="000000"/>
                <w:sz w:val="16"/>
                <w:szCs w:val="16"/>
              </w:rPr>
            </w:pPr>
            <w:r>
              <w:rPr>
                <w:rFonts w:ascii="Calibri" w:hAnsi="Calibri"/>
                <w:sz w:val="20"/>
                <w:szCs w:val="20"/>
              </w:rPr>
              <w:t>4,43</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6C77685D" w14:textId="1F331F8E" w:rsidR="00E621CA" w:rsidRDefault="00DC513F" w:rsidP="00E621CA">
            <w:pPr>
              <w:ind w:left="-316" w:firstLine="316"/>
              <w:jc w:val="right"/>
              <w:rPr>
                <w:rFonts w:ascii="Calibri" w:hAnsi="Calibri"/>
                <w:sz w:val="20"/>
                <w:szCs w:val="20"/>
              </w:rPr>
            </w:pPr>
            <w:r>
              <w:rPr>
                <w:rFonts w:ascii="Calibri" w:hAnsi="Calibri"/>
                <w:sz w:val="20"/>
                <w:szCs w:val="20"/>
              </w:rPr>
              <w:t>4,43</w:t>
            </w: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A2CD494" w14:textId="78FF128B" w:rsidR="00E621CA" w:rsidRDefault="00E621CA" w:rsidP="004E1860">
            <w:pPr>
              <w:jc w:val="right"/>
              <w:rPr>
                <w:rFonts w:ascii="Calibri" w:hAnsi="Calibri"/>
                <w:b/>
                <w:bCs/>
                <w:color w:val="000000"/>
                <w:sz w:val="16"/>
                <w:szCs w:val="16"/>
              </w:rPr>
            </w:pPr>
            <w:r>
              <w:rPr>
                <w:rFonts w:ascii="Calibri" w:hAnsi="Calibri"/>
                <w:sz w:val="20"/>
                <w:szCs w:val="20"/>
              </w:rPr>
              <w:t xml:space="preserve">                 </w:t>
            </w:r>
            <w:r w:rsidRPr="00CF444F">
              <w:rPr>
                <w:rFonts w:ascii="Calibri" w:hAnsi="Calibri"/>
                <w:sz w:val="20"/>
                <w:szCs w:val="20"/>
              </w:rPr>
              <w:t>815.901,84</w:t>
            </w:r>
          </w:p>
        </w:tc>
        <w:tc>
          <w:tcPr>
            <w:tcW w:w="1991" w:type="dxa"/>
            <w:tcBorders>
              <w:top w:val="single" w:sz="4" w:space="0" w:color="auto"/>
              <w:left w:val="single" w:sz="4" w:space="0" w:color="auto"/>
              <w:bottom w:val="single" w:sz="4" w:space="0" w:color="808000"/>
              <w:right w:val="single" w:sz="4" w:space="0" w:color="808000"/>
            </w:tcBorders>
            <w:shd w:val="clear" w:color="000000" w:fill="FFFFCC"/>
            <w:vAlign w:val="center"/>
            <w:hideMark/>
          </w:tcPr>
          <w:p w14:paraId="64E3F799" w14:textId="57AD0A41" w:rsidR="00E621CA" w:rsidRDefault="00DC513F" w:rsidP="004E1860">
            <w:pPr>
              <w:jc w:val="right"/>
              <w:rPr>
                <w:rFonts w:ascii="Calibri" w:hAnsi="Calibri"/>
                <w:b/>
                <w:bCs/>
                <w:color w:val="000000"/>
                <w:sz w:val="16"/>
                <w:szCs w:val="16"/>
              </w:rPr>
            </w:pPr>
            <w:r>
              <w:rPr>
                <w:rFonts w:ascii="Calibri" w:hAnsi="Calibri"/>
                <w:color w:val="000000"/>
                <w:sz w:val="20"/>
                <w:szCs w:val="20"/>
              </w:rPr>
              <w:t>-</w:t>
            </w:r>
          </w:p>
        </w:tc>
      </w:tr>
      <w:tr w:rsidR="00E621CA" w14:paraId="78896410" w14:textId="77777777" w:rsidTr="005C2BE6">
        <w:trPr>
          <w:trHeight w:val="20"/>
        </w:trPr>
        <w:tc>
          <w:tcPr>
            <w:tcW w:w="160" w:type="dxa"/>
            <w:tcBorders>
              <w:top w:val="nil"/>
              <w:left w:val="nil"/>
              <w:bottom w:val="nil"/>
              <w:right w:val="nil"/>
            </w:tcBorders>
            <w:shd w:val="clear" w:color="auto" w:fill="auto"/>
            <w:noWrap/>
            <w:vAlign w:val="bottom"/>
            <w:hideMark/>
          </w:tcPr>
          <w:p w14:paraId="15A7A7C5" w14:textId="77777777" w:rsidR="00E621CA" w:rsidRDefault="00E621CA" w:rsidP="004E1860">
            <w:pPr>
              <w:jc w:val="center"/>
              <w:rPr>
                <w:rFonts w:ascii="Calibri" w:hAnsi="Calibri"/>
                <w:b/>
                <w:bCs/>
                <w:color w:val="000000"/>
                <w:sz w:val="16"/>
                <w:szCs w:val="16"/>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5BDBE77D" w14:textId="77777777" w:rsidR="00E621CA" w:rsidRDefault="00E621CA" w:rsidP="004E1860">
            <w:pPr>
              <w:jc w:val="center"/>
              <w:rPr>
                <w:rFonts w:ascii="Calibri" w:hAnsi="Calibri"/>
                <w:sz w:val="20"/>
                <w:szCs w:val="20"/>
              </w:rPr>
            </w:pPr>
            <w:r>
              <w:rPr>
                <w:rFonts w:ascii="Calibri" w:hAnsi="Calibri"/>
                <w:sz w:val="20"/>
                <w:szCs w:val="20"/>
              </w:rPr>
              <w:t>2011</w:t>
            </w:r>
          </w:p>
        </w:tc>
        <w:tc>
          <w:tcPr>
            <w:tcW w:w="782" w:type="dxa"/>
            <w:tcBorders>
              <w:top w:val="nil"/>
              <w:left w:val="nil"/>
              <w:bottom w:val="single" w:sz="4" w:space="0" w:color="003366"/>
              <w:right w:val="single" w:sz="4" w:space="0" w:color="003366"/>
            </w:tcBorders>
            <w:shd w:val="clear" w:color="000000" w:fill="FFFFCC"/>
            <w:noWrap/>
            <w:vAlign w:val="bottom"/>
            <w:hideMark/>
          </w:tcPr>
          <w:p w14:paraId="1E4C85B9" w14:textId="77777777" w:rsidR="00E621CA" w:rsidRDefault="00E621CA" w:rsidP="004E1860">
            <w:pPr>
              <w:jc w:val="center"/>
              <w:rPr>
                <w:rFonts w:ascii="Calibri" w:hAnsi="Calibri"/>
                <w:sz w:val="20"/>
                <w:szCs w:val="20"/>
              </w:rPr>
            </w:pPr>
            <w:r>
              <w:rPr>
                <w:rFonts w:ascii="Calibri" w:hAnsi="Calibri"/>
                <w:sz w:val="20"/>
                <w:szCs w:val="20"/>
              </w:rPr>
              <w:t>3,17</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78B2BF7A" w14:textId="77777777" w:rsidR="00E621CA" w:rsidRDefault="00E621CA" w:rsidP="004E1860">
            <w:pPr>
              <w:jc w:val="right"/>
              <w:rPr>
                <w:rFonts w:ascii="Calibri" w:hAnsi="Calibri"/>
                <w:color w:val="000000"/>
                <w:sz w:val="20"/>
                <w:szCs w:val="20"/>
              </w:rPr>
            </w:pPr>
            <w:r>
              <w:rPr>
                <w:rFonts w:ascii="Calibri" w:hAnsi="Calibri"/>
                <w:color w:val="000000"/>
                <w:sz w:val="20"/>
                <w:szCs w:val="20"/>
              </w:rPr>
              <w:t>01-ene-11</w:t>
            </w:r>
          </w:p>
        </w:tc>
        <w:tc>
          <w:tcPr>
            <w:tcW w:w="994" w:type="dxa"/>
            <w:tcBorders>
              <w:top w:val="nil"/>
              <w:left w:val="nil"/>
              <w:bottom w:val="single" w:sz="4" w:space="0" w:color="808000"/>
              <w:right w:val="single" w:sz="4" w:space="0" w:color="808000"/>
            </w:tcBorders>
            <w:shd w:val="clear" w:color="auto" w:fill="auto"/>
            <w:noWrap/>
            <w:vAlign w:val="center"/>
            <w:hideMark/>
          </w:tcPr>
          <w:p w14:paraId="7C68B124" w14:textId="721F27F4" w:rsidR="00E621CA" w:rsidRDefault="00E621CA" w:rsidP="00E621CA">
            <w:pPr>
              <w:jc w:val="right"/>
              <w:rPr>
                <w:rFonts w:ascii="Calibri" w:hAnsi="Calibri"/>
                <w:color w:val="000000"/>
                <w:sz w:val="20"/>
                <w:szCs w:val="20"/>
              </w:rPr>
            </w:pPr>
            <w:r>
              <w:rPr>
                <w:rFonts w:ascii="Calibri" w:hAnsi="Calibri"/>
                <w:color w:val="000000"/>
                <w:sz w:val="20"/>
                <w:szCs w:val="20"/>
              </w:rPr>
              <w:t>01-jul-11</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57609BCD" w14:textId="0CBE42F1" w:rsidR="00E621CA" w:rsidRDefault="00DC513F" w:rsidP="00DC513F">
            <w:pPr>
              <w:jc w:val="center"/>
              <w:rPr>
                <w:rFonts w:ascii="Calibri" w:hAnsi="Calibri"/>
                <w:sz w:val="20"/>
                <w:szCs w:val="20"/>
              </w:rPr>
            </w:pPr>
            <w:r>
              <w:rPr>
                <w:rFonts w:ascii="Calibri" w:hAnsi="Calibri"/>
                <w:sz w:val="20"/>
                <w:szCs w:val="20"/>
              </w:rPr>
              <w:t>7</w:t>
            </w:r>
            <w:r w:rsidR="00E621CA">
              <w:rPr>
                <w:rFonts w:ascii="Calibri" w:hAnsi="Calibri"/>
                <w:sz w:val="20"/>
                <w:szCs w:val="20"/>
              </w:rPr>
              <w:t>,0</w:t>
            </w:r>
            <w:r>
              <w:rPr>
                <w:rFonts w:ascii="Calibri" w:hAnsi="Calibri"/>
                <w:sz w:val="20"/>
                <w:szCs w:val="20"/>
              </w:rPr>
              <w:t>4</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58806A63" w14:textId="2ADAE884" w:rsidR="00E621CA" w:rsidRDefault="00DC513F" w:rsidP="00E621CA">
            <w:pPr>
              <w:ind w:left="-316" w:firstLine="316"/>
              <w:jc w:val="right"/>
              <w:rPr>
                <w:rFonts w:ascii="Calibri" w:hAnsi="Calibri"/>
                <w:sz w:val="20"/>
                <w:szCs w:val="20"/>
              </w:rPr>
            </w:pPr>
            <w:r>
              <w:rPr>
                <w:rFonts w:ascii="Calibri" w:hAnsi="Calibri"/>
                <w:sz w:val="20"/>
                <w:szCs w:val="20"/>
              </w:rPr>
              <w:t>7,00</w:t>
            </w: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045ECB4" w14:textId="3BEB9A04" w:rsidR="00E621CA" w:rsidRDefault="00E621CA" w:rsidP="004E1860">
            <w:pPr>
              <w:jc w:val="right"/>
              <w:rPr>
                <w:rFonts w:ascii="Calibri" w:hAnsi="Calibri"/>
                <w:sz w:val="20"/>
                <w:szCs w:val="20"/>
              </w:rPr>
            </w:pPr>
            <w:r>
              <w:rPr>
                <w:rFonts w:ascii="Calibri" w:hAnsi="Calibri"/>
                <w:sz w:val="20"/>
                <w:szCs w:val="20"/>
              </w:rPr>
              <w:t xml:space="preserve">                 841.765,92 </w:t>
            </w:r>
          </w:p>
        </w:tc>
        <w:tc>
          <w:tcPr>
            <w:tcW w:w="1991" w:type="dxa"/>
            <w:tcBorders>
              <w:top w:val="nil"/>
              <w:left w:val="single" w:sz="4" w:space="0" w:color="auto"/>
              <w:bottom w:val="single" w:sz="4" w:space="0" w:color="808000"/>
              <w:right w:val="single" w:sz="4" w:space="0" w:color="808000"/>
            </w:tcBorders>
            <w:shd w:val="clear" w:color="000000" w:fill="FFFFCC"/>
            <w:noWrap/>
            <w:vAlign w:val="center"/>
            <w:hideMark/>
          </w:tcPr>
          <w:p w14:paraId="05967815" w14:textId="5C8E2B32" w:rsidR="00E621CA" w:rsidRDefault="00DC513F" w:rsidP="004E1860">
            <w:pPr>
              <w:jc w:val="right"/>
              <w:rPr>
                <w:rFonts w:ascii="Calibri" w:hAnsi="Calibri"/>
                <w:color w:val="000000"/>
                <w:sz w:val="20"/>
                <w:szCs w:val="20"/>
              </w:rPr>
            </w:pPr>
            <w:r>
              <w:rPr>
                <w:rFonts w:ascii="Calibri" w:hAnsi="Calibri"/>
                <w:color w:val="000000"/>
                <w:sz w:val="20"/>
                <w:szCs w:val="20"/>
              </w:rPr>
              <w:t>-</w:t>
            </w:r>
            <w:r w:rsidR="00E621CA">
              <w:rPr>
                <w:rFonts w:ascii="Calibri" w:hAnsi="Calibri"/>
                <w:color w:val="000000"/>
                <w:sz w:val="20"/>
                <w:szCs w:val="20"/>
              </w:rPr>
              <w:t xml:space="preserve"> </w:t>
            </w:r>
          </w:p>
        </w:tc>
      </w:tr>
      <w:tr w:rsidR="00E621CA" w14:paraId="16458AC6" w14:textId="77777777" w:rsidTr="005C2BE6">
        <w:trPr>
          <w:trHeight w:val="20"/>
        </w:trPr>
        <w:tc>
          <w:tcPr>
            <w:tcW w:w="160" w:type="dxa"/>
            <w:tcBorders>
              <w:top w:val="nil"/>
              <w:left w:val="nil"/>
              <w:bottom w:val="nil"/>
              <w:right w:val="nil"/>
            </w:tcBorders>
            <w:shd w:val="clear" w:color="auto" w:fill="auto"/>
            <w:noWrap/>
            <w:vAlign w:val="bottom"/>
          </w:tcPr>
          <w:p w14:paraId="665B093C" w14:textId="77777777" w:rsidR="00E621CA" w:rsidRDefault="00E621CA" w:rsidP="00E621CA">
            <w:pPr>
              <w:jc w:val="center"/>
              <w:rPr>
                <w:rFonts w:ascii="Calibri" w:hAnsi="Calibri"/>
                <w:b/>
                <w:bCs/>
                <w:color w:val="000000"/>
                <w:sz w:val="16"/>
                <w:szCs w:val="16"/>
              </w:rPr>
            </w:pPr>
          </w:p>
        </w:tc>
        <w:tc>
          <w:tcPr>
            <w:tcW w:w="546" w:type="dxa"/>
            <w:tcBorders>
              <w:top w:val="nil"/>
              <w:left w:val="single" w:sz="4" w:space="0" w:color="auto"/>
              <w:bottom w:val="single" w:sz="4" w:space="0" w:color="auto"/>
              <w:right w:val="single" w:sz="4" w:space="0" w:color="auto"/>
            </w:tcBorders>
            <w:shd w:val="clear" w:color="000000" w:fill="FFFFCC"/>
            <w:noWrap/>
            <w:vAlign w:val="bottom"/>
          </w:tcPr>
          <w:p w14:paraId="4D7E3177" w14:textId="3ED2512E" w:rsidR="00E621CA" w:rsidRDefault="00E621CA" w:rsidP="00E621CA">
            <w:pPr>
              <w:jc w:val="center"/>
              <w:rPr>
                <w:rFonts w:ascii="Calibri" w:hAnsi="Calibri"/>
                <w:sz w:val="20"/>
                <w:szCs w:val="20"/>
              </w:rPr>
            </w:pPr>
            <w:r>
              <w:rPr>
                <w:rFonts w:ascii="Calibri" w:hAnsi="Calibri"/>
                <w:sz w:val="20"/>
                <w:szCs w:val="20"/>
              </w:rPr>
              <w:t>2011</w:t>
            </w:r>
          </w:p>
        </w:tc>
        <w:tc>
          <w:tcPr>
            <w:tcW w:w="782" w:type="dxa"/>
            <w:tcBorders>
              <w:top w:val="nil"/>
              <w:left w:val="nil"/>
              <w:bottom w:val="single" w:sz="4" w:space="0" w:color="003366"/>
              <w:right w:val="single" w:sz="4" w:space="0" w:color="003366"/>
            </w:tcBorders>
            <w:shd w:val="clear" w:color="000000" w:fill="FFFFCC"/>
            <w:noWrap/>
            <w:vAlign w:val="bottom"/>
          </w:tcPr>
          <w:p w14:paraId="7D3C86EE" w14:textId="25811D51" w:rsidR="00E621CA" w:rsidRDefault="00E621CA" w:rsidP="00E621CA">
            <w:pPr>
              <w:jc w:val="center"/>
              <w:rPr>
                <w:rFonts w:ascii="Calibri" w:hAnsi="Calibri"/>
                <w:sz w:val="20"/>
                <w:szCs w:val="20"/>
              </w:rPr>
            </w:pPr>
            <w:r>
              <w:rPr>
                <w:rFonts w:ascii="Calibri" w:hAnsi="Calibri"/>
                <w:sz w:val="20"/>
                <w:szCs w:val="20"/>
              </w:rPr>
              <w:t>3,17</w:t>
            </w:r>
          </w:p>
        </w:tc>
        <w:tc>
          <w:tcPr>
            <w:tcW w:w="973" w:type="dxa"/>
            <w:tcBorders>
              <w:top w:val="nil"/>
              <w:left w:val="single" w:sz="4" w:space="0" w:color="808000"/>
              <w:bottom w:val="single" w:sz="4" w:space="0" w:color="808000"/>
              <w:right w:val="single" w:sz="4" w:space="0" w:color="808000"/>
            </w:tcBorders>
            <w:shd w:val="clear" w:color="auto" w:fill="auto"/>
            <w:noWrap/>
            <w:vAlign w:val="center"/>
          </w:tcPr>
          <w:p w14:paraId="16115D76" w14:textId="4F703FC7" w:rsidR="00E621CA" w:rsidRDefault="00E621CA" w:rsidP="00DC513F">
            <w:pPr>
              <w:jc w:val="right"/>
              <w:rPr>
                <w:rFonts w:ascii="Calibri" w:hAnsi="Calibri"/>
                <w:color w:val="000000"/>
                <w:sz w:val="20"/>
                <w:szCs w:val="20"/>
              </w:rPr>
            </w:pPr>
            <w:r>
              <w:rPr>
                <w:rFonts w:ascii="Calibri" w:hAnsi="Calibri"/>
                <w:color w:val="000000"/>
                <w:sz w:val="20"/>
                <w:szCs w:val="20"/>
              </w:rPr>
              <w:t>0</w:t>
            </w:r>
            <w:r w:rsidR="00DC513F">
              <w:rPr>
                <w:rFonts w:ascii="Calibri" w:hAnsi="Calibri"/>
                <w:color w:val="000000"/>
                <w:sz w:val="20"/>
                <w:szCs w:val="20"/>
              </w:rPr>
              <w:t>2</w:t>
            </w:r>
            <w:r>
              <w:rPr>
                <w:rFonts w:ascii="Calibri" w:hAnsi="Calibri"/>
                <w:color w:val="000000"/>
                <w:sz w:val="20"/>
                <w:szCs w:val="20"/>
              </w:rPr>
              <w:t>-</w:t>
            </w:r>
            <w:r w:rsidR="00DC513F">
              <w:rPr>
                <w:rFonts w:ascii="Calibri" w:hAnsi="Calibri"/>
                <w:color w:val="000000"/>
                <w:sz w:val="20"/>
                <w:szCs w:val="20"/>
              </w:rPr>
              <w:t>jul</w:t>
            </w:r>
            <w:r>
              <w:rPr>
                <w:rFonts w:ascii="Calibri" w:hAnsi="Calibri"/>
                <w:color w:val="000000"/>
                <w:sz w:val="20"/>
                <w:szCs w:val="20"/>
              </w:rPr>
              <w:t>-11</w:t>
            </w:r>
          </w:p>
        </w:tc>
        <w:tc>
          <w:tcPr>
            <w:tcW w:w="994" w:type="dxa"/>
            <w:tcBorders>
              <w:top w:val="nil"/>
              <w:left w:val="nil"/>
              <w:bottom w:val="single" w:sz="4" w:space="0" w:color="808000"/>
              <w:right w:val="single" w:sz="4" w:space="0" w:color="808000"/>
            </w:tcBorders>
            <w:shd w:val="clear" w:color="auto" w:fill="auto"/>
            <w:noWrap/>
            <w:vAlign w:val="center"/>
          </w:tcPr>
          <w:p w14:paraId="333B3B3B" w14:textId="0C57405C" w:rsidR="00E621CA" w:rsidRDefault="00E621CA" w:rsidP="00E621CA">
            <w:pPr>
              <w:jc w:val="right"/>
              <w:rPr>
                <w:rFonts w:ascii="Calibri" w:hAnsi="Calibri"/>
                <w:color w:val="000000"/>
                <w:sz w:val="20"/>
                <w:szCs w:val="20"/>
              </w:rPr>
            </w:pPr>
            <w:r>
              <w:rPr>
                <w:rFonts w:ascii="Calibri" w:hAnsi="Calibri"/>
                <w:color w:val="000000"/>
                <w:sz w:val="20"/>
                <w:szCs w:val="20"/>
              </w:rPr>
              <w:t>31-dic-11</w:t>
            </w:r>
          </w:p>
        </w:tc>
        <w:tc>
          <w:tcPr>
            <w:tcW w:w="762" w:type="dxa"/>
            <w:tcBorders>
              <w:top w:val="nil"/>
              <w:left w:val="single" w:sz="4" w:space="0" w:color="003366"/>
              <w:bottom w:val="single" w:sz="4" w:space="0" w:color="003366"/>
              <w:right w:val="single" w:sz="4" w:space="0" w:color="auto"/>
            </w:tcBorders>
            <w:shd w:val="clear" w:color="000000" w:fill="FFFFCC"/>
            <w:noWrap/>
            <w:vAlign w:val="bottom"/>
          </w:tcPr>
          <w:p w14:paraId="025C053A" w14:textId="00517667" w:rsidR="00E621CA" w:rsidRDefault="00DC513F" w:rsidP="00DC513F">
            <w:pPr>
              <w:jc w:val="center"/>
              <w:rPr>
                <w:rFonts w:ascii="Calibri" w:hAnsi="Calibri"/>
                <w:sz w:val="20"/>
                <w:szCs w:val="20"/>
              </w:rPr>
            </w:pPr>
            <w:r>
              <w:rPr>
                <w:rFonts w:ascii="Calibri" w:hAnsi="Calibri"/>
                <w:sz w:val="20"/>
                <w:szCs w:val="20"/>
              </w:rPr>
              <w:t>6</w:t>
            </w:r>
            <w:r w:rsidR="00E621CA">
              <w:rPr>
                <w:rFonts w:ascii="Calibri" w:hAnsi="Calibri"/>
                <w:sz w:val="20"/>
                <w:szCs w:val="20"/>
              </w:rPr>
              <w:t>,</w:t>
            </w:r>
            <w:r>
              <w:rPr>
                <w:rFonts w:ascii="Calibri" w:hAnsi="Calibri"/>
                <w:sz w:val="20"/>
                <w:szCs w:val="20"/>
              </w:rPr>
              <w:t>96</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72159453" w14:textId="2B16E034"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tcPr>
          <w:p w14:paraId="1F413DCA" w14:textId="517E371F" w:rsidR="00E621CA" w:rsidRDefault="00E621CA" w:rsidP="00E621CA">
            <w:pPr>
              <w:jc w:val="right"/>
              <w:rPr>
                <w:rFonts w:ascii="Calibri" w:hAnsi="Calibri"/>
                <w:sz w:val="20"/>
                <w:szCs w:val="20"/>
              </w:rPr>
            </w:pPr>
            <w:r>
              <w:rPr>
                <w:rFonts w:ascii="Calibri" w:hAnsi="Calibri"/>
                <w:sz w:val="20"/>
                <w:szCs w:val="20"/>
              </w:rPr>
              <w:t xml:space="preserve">                 841.765,92 </w:t>
            </w:r>
          </w:p>
        </w:tc>
        <w:tc>
          <w:tcPr>
            <w:tcW w:w="1991" w:type="dxa"/>
            <w:tcBorders>
              <w:top w:val="nil"/>
              <w:left w:val="single" w:sz="4" w:space="0" w:color="auto"/>
              <w:bottom w:val="single" w:sz="4" w:space="0" w:color="808000"/>
              <w:right w:val="single" w:sz="4" w:space="0" w:color="808000"/>
            </w:tcBorders>
            <w:shd w:val="clear" w:color="000000" w:fill="FFFFCC"/>
            <w:noWrap/>
            <w:vAlign w:val="center"/>
          </w:tcPr>
          <w:p w14:paraId="24EC3F4F" w14:textId="07C0F5B9" w:rsidR="00E621CA" w:rsidRDefault="00DC513F" w:rsidP="00DC513F">
            <w:pPr>
              <w:jc w:val="right"/>
              <w:rPr>
                <w:rFonts w:ascii="Calibri" w:hAnsi="Calibri"/>
                <w:color w:val="000000"/>
                <w:sz w:val="20"/>
                <w:szCs w:val="20"/>
              </w:rPr>
            </w:pPr>
            <w:r w:rsidRPr="00DC513F">
              <w:rPr>
                <w:rFonts w:ascii="Calibri" w:hAnsi="Calibri"/>
                <w:color w:val="000000"/>
                <w:sz w:val="20"/>
                <w:szCs w:val="20"/>
              </w:rPr>
              <w:t>5</w:t>
            </w:r>
            <w:r>
              <w:rPr>
                <w:rFonts w:ascii="Calibri" w:hAnsi="Calibri"/>
                <w:color w:val="000000"/>
                <w:sz w:val="20"/>
                <w:szCs w:val="20"/>
              </w:rPr>
              <w:t>.</w:t>
            </w:r>
            <w:r w:rsidRPr="00DC513F">
              <w:rPr>
                <w:rFonts w:ascii="Calibri" w:hAnsi="Calibri"/>
                <w:color w:val="000000"/>
                <w:sz w:val="20"/>
                <w:szCs w:val="20"/>
              </w:rPr>
              <w:t>864</w:t>
            </w:r>
            <w:r>
              <w:rPr>
                <w:rFonts w:ascii="Calibri" w:hAnsi="Calibri"/>
                <w:color w:val="000000"/>
                <w:sz w:val="20"/>
                <w:szCs w:val="20"/>
              </w:rPr>
              <w:t>.</w:t>
            </w:r>
            <w:r w:rsidRPr="00DC513F">
              <w:rPr>
                <w:rFonts w:ascii="Calibri" w:hAnsi="Calibri"/>
                <w:color w:val="000000"/>
                <w:sz w:val="20"/>
                <w:szCs w:val="20"/>
              </w:rPr>
              <w:t>30</w:t>
            </w:r>
            <w:r>
              <w:rPr>
                <w:rFonts w:ascii="Calibri" w:hAnsi="Calibri"/>
                <w:color w:val="000000"/>
                <w:sz w:val="20"/>
                <w:szCs w:val="20"/>
              </w:rPr>
              <w:t>3</w:t>
            </w:r>
          </w:p>
        </w:tc>
      </w:tr>
      <w:tr w:rsidR="00E621CA" w14:paraId="78669C23" w14:textId="77777777" w:rsidTr="005C2BE6">
        <w:trPr>
          <w:trHeight w:val="20"/>
        </w:trPr>
        <w:tc>
          <w:tcPr>
            <w:tcW w:w="160" w:type="dxa"/>
            <w:tcBorders>
              <w:top w:val="nil"/>
              <w:left w:val="nil"/>
              <w:bottom w:val="nil"/>
              <w:right w:val="nil"/>
            </w:tcBorders>
            <w:shd w:val="clear" w:color="auto" w:fill="auto"/>
            <w:noWrap/>
            <w:vAlign w:val="bottom"/>
            <w:hideMark/>
          </w:tcPr>
          <w:p w14:paraId="49D0C0FC" w14:textId="77777777" w:rsidR="00E621CA" w:rsidRDefault="00E621CA" w:rsidP="00E621CA">
            <w:pPr>
              <w:rPr>
                <w:rFonts w:ascii="Calibri" w:hAnsi="Calibri"/>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68885118" w14:textId="77777777" w:rsidR="00E621CA" w:rsidRDefault="00E621CA" w:rsidP="00E621CA">
            <w:pPr>
              <w:jc w:val="center"/>
              <w:rPr>
                <w:rFonts w:ascii="Calibri" w:hAnsi="Calibri"/>
                <w:sz w:val="20"/>
                <w:szCs w:val="20"/>
              </w:rPr>
            </w:pPr>
            <w:r>
              <w:rPr>
                <w:rFonts w:ascii="Calibri" w:hAnsi="Calibri"/>
                <w:sz w:val="20"/>
                <w:szCs w:val="20"/>
              </w:rPr>
              <w:t>2012</w:t>
            </w:r>
          </w:p>
        </w:tc>
        <w:tc>
          <w:tcPr>
            <w:tcW w:w="782" w:type="dxa"/>
            <w:tcBorders>
              <w:top w:val="nil"/>
              <w:left w:val="nil"/>
              <w:bottom w:val="single" w:sz="4" w:space="0" w:color="003366"/>
              <w:right w:val="single" w:sz="4" w:space="0" w:color="003366"/>
            </w:tcBorders>
            <w:shd w:val="clear" w:color="000000" w:fill="FFFFCC"/>
            <w:noWrap/>
            <w:vAlign w:val="bottom"/>
            <w:hideMark/>
          </w:tcPr>
          <w:p w14:paraId="509C05D8" w14:textId="77777777" w:rsidR="00E621CA" w:rsidRDefault="00E621CA" w:rsidP="00E621CA">
            <w:pPr>
              <w:jc w:val="center"/>
              <w:rPr>
                <w:rFonts w:ascii="Calibri" w:hAnsi="Calibri"/>
                <w:sz w:val="20"/>
                <w:szCs w:val="20"/>
              </w:rPr>
            </w:pPr>
            <w:r>
              <w:rPr>
                <w:rFonts w:ascii="Calibri" w:hAnsi="Calibri"/>
                <w:sz w:val="20"/>
                <w:szCs w:val="20"/>
              </w:rPr>
              <w:t>3,73</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0C99208A" w14:textId="77777777" w:rsidR="00E621CA" w:rsidRDefault="00E621CA" w:rsidP="00E621CA">
            <w:pPr>
              <w:jc w:val="right"/>
              <w:rPr>
                <w:rFonts w:ascii="Calibri" w:hAnsi="Calibri"/>
                <w:color w:val="000000"/>
                <w:sz w:val="20"/>
                <w:szCs w:val="20"/>
              </w:rPr>
            </w:pPr>
            <w:r>
              <w:rPr>
                <w:rFonts w:ascii="Calibri" w:hAnsi="Calibri"/>
                <w:color w:val="000000"/>
                <w:sz w:val="20"/>
                <w:szCs w:val="20"/>
              </w:rPr>
              <w:t>01-ene-12</w:t>
            </w:r>
          </w:p>
        </w:tc>
        <w:tc>
          <w:tcPr>
            <w:tcW w:w="994" w:type="dxa"/>
            <w:tcBorders>
              <w:top w:val="nil"/>
              <w:left w:val="nil"/>
              <w:bottom w:val="single" w:sz="4" w:space="0" w:color="808000"/>
              <w:right w:val="single" w:sz="4" w:space="0" w:color="808000"/>
            </w:tcBorders>
            <w:shd w:val="clear" w:color="auto" w:fill="auto"/>
            <w:noWrap/>
            <w:vAlign w:val="center"/>
            <w:hideMark/>
          </w:tcPr>
          <w:p w14:paraId="69820547" w14:textId="77777777" w:rsidR="00E621CA" w:rsidRDefault="00E621CA" w:rsidP="00E621CA">
            <w:pPr>
              <w:jc w:val="right"/>
              <w:rPr>
                <w:rFonts w:ascii="Calibri" w:hAnsi="Calibri"/>
                <w:color w:val="000000"/>
                <w:sz w:val="20"/>
                <w:szCs w:val="20"/>
              </w:rPr>
            </w:pPr>
            <w:r>
              <w:rPr>
                <w:rFonts w:ascii="Calibri" w:hAnsi="Calibri"/>
                <w:color w:val="000000"/>
                <w:sz w:val="20"/>
                <w:szCs w:val="20"/>
              </w:rPr>
              <w:t>31-dic-12</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3C116902" w14:textId="77777777" w:rsidR="00E621CA" w:rsidRDefault="00E621CA" w:rsidP="00E621CA">
            <w:pPr>
              <w:jc w:val="center"/>
              <w:rPr>
                <w:rFonts w:ascii="Calibri" w:hAnsi="Calibri"/>
                <w:sz w:val="20"/>
                <w:szCs w:val="20"/>
              </w:rPr>
            </w:pPr>
            <w:r>
              <w:rPr>
                <w:rFonts w:ascii="Calibri" w:hAnsi="Calibri"/>
                <w:sz w:val="20"/>
                <w:szCs w:val="20"/>
              </w:rPr>
              <w:t>14,00</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23816306" w14:textId="77777777"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2F64101" w14:textId="40E81BDA" w:rsidR="00E621CA" w:rsidRDefault="00E621CA" w:rsidP="00E621CA">
            <w:pPr>
              <w:jc w:val="right"/>
              <w:rPr>
                <w:rFonts w:ascii="Calibri" w:hAnsi="Calibri"/>
                <w:sz w:val="20"/>
                <w:szCs w:val="20"/>
              </w:rPr>
            </w:pPr>
            <w:r>
              <w:rPr>
                <w:rFonts w:ascii="Calibri" w:hAnsi="Calibri"/>
                <w:sz w:val="20"/>
                <w:szCs w:val="20"/>
              </w:rPr>
              <w:t xml:space="preserve">                 873.163,78 </w:t>
            </w:r>
          </w:p>
        </w:tc>
        <w:tc>
          <w:tcPr>
            <w:tcW w:w="1991" w:type="dxa"/>
            <w:tcBorders>
              <w:top w:val="nil"/>
              <w:left w:val="single" w:sz="4" w:space="0" w:color="auto"/>
              <w:bottom w:val="single" w:sz="4" w:space="0" w:color="808000"/>
              <w:right w:val="single" w:sz="4" w:space="0" w:color="808000"/>
            </w:tcBorders>
            <w:shd w:val="clear" w:color="000000" w:fill="FFFFCC"/>
            <w:noWrap/>
            <w:vAlign w:val="center"/>
            <w:hideMark/>
          </w:tcPr>
          <w:p w14:paraId="3C287D95" w14:textId="77777777" w:rsidR="00E621CA" w:rsidRDefault="00E621CA" w:rsidP="00E621CA">
            <w:pPr>
              <w:jc w:val="right"/>
              <w:rPr>
                <w:rFonts w:ascii="Calibri" w:hAnsi="Calibri"/>
                <w:color w:val="000000"/>
                <w:sz w:val="20"/>
                <w:szCs w:val="20"/>
              </w:rPr>
            </w:pPr>
            <w:r>
              <w:rPr>
                <w:rFonts w:ascii="Calibri" w:hAnsi="Calibri"/>
                <w:color w:val="000000"/>
                <w:sz w:val="20"/>
                <w:szCs w:val="20"/>
              </w:rPr>
              <w:t xml:space="preserve">                    12.224.293 </w:t>
            </w:r>
          </w:p>
        </w:tc>
      </w:tr>
      <w:tr w:rsidR="00E621CA" w14:paraId="4846566D" w14:textId="77777777" w:rsidTr="005C2BE6">
        <w:trPr>
          <w:trHeight w:val="20"/>
        </w:trPr>
        <w:tc>
          <w:tcPr>
            <w:tcW w:w="160" w:type="dxa"/>
            <w:tcBorders>
              <w:top w:val="nil"/>
              <w:left w:val="nil"/>
              <w:bottom w:val="nil"/>
              <w:right w:val="nil"/>
            </w:tcBorders>
            <w:shd w:val="clear" w:color="auto" w:fill="auto"/>
            <w:noWrap/>
            <w:vAlign w:val="bottom"/>
            <w:hideMark/>
          </w:tcPr>
          <w:p w14:paraId="1380E7D9" w14:textId="77777777" w:rsidR="00E621CA" w:rsidRDefault="00E621CA" w:rsidP="00E621CA">
            <w:pPr>
              <w:rPr>
                <w:rFonts w:ascii="Calibri" w:hAnsi="Calibri"/>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534B307F" w14:textId="77777777" w:rsidR="00E621CA" w:rsidRDefault="00E621CA" w:rsidP="00E621CA">
            <w:pPr>
              <w:jc w:val="center"/>
              <w:rPr>
                <w:rFonts w:ascii="Calibri" w:hAnsi="Calibri"/>
                <w:sz w:val="20"/>
                <w:szCs w:val="20"/>
              </w:rPr>
            </w:pPr>
            <w:r>
              <w:rPr>
                <w:rFonts w:ascii="Calibri" w:hAnsi="Calibri"/>
                <w:sz w:val="20"/>
                <w:szCs w:val="20"/>
              </w:rPr>
              <w:t>2013</w:t>
            </w:r>
          </w:p>
        </w:tc>
        <w:tc>
          <w:tcPr>
            <w:tcW w:w="782" w:type="dxa"/>
            <w:tcBorders>
              <w:top w:val="nil"/>
              <w:left w:val="nil"/>
              <w:bottom w:val="single" w:sz="4" w:space="0" w:color="003366"/>
              <w:right w:val="single" w:sz="4" w:space="0" w:color="003366"/>
            </w:tcBorders>
            <w:shd w:val="clear" w:color="000000" w:fill="FFFFCC"/>
            <w:noWrap/>
            <w:vAlign w:val="bottom"/>
            <w:hideMark/>
          </w:tcPr>
          <w:p w14:paraId="0690489D" w14:textId="77777777" w:rsidR="00E621CA" w:rsidRDefault="00E621CA" w:rsidP="00E621CA">
            <w:pPr>
              <w:jc w:val="center"/>
              <w:rPr>
                <w:rFonts w:ascii="Calibri" w:hAnsi="Calibri"/>
                <w:sz w:val="20"/>
                <w:szCs w:val="20"/>
              </w:rPr>
            </w:pPr>
            <w:r>
              <w:rPr>
                <w:rFonts w:ascii="Calibri" w:hAnsi="Calibri"/>
                <w:sz w:val="20"/>
                <w:szCs w:val="20"/>
              </w:rPr>
              <w:t>2,44</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683E65A8" w14:textId="77777777" w:rsidR="00E621CA" w:rsidRDefault="00E621CA" w:rsidP="00E621CA">
            <w:pPr>
              <w:jc w:val="right"/>
              <w:rPr>
                <w:rFonts w:ascii="Calibri" w:hAnsi="Calibri"/>
                <w:color w:val="000000"/>
                <w:sz w:val="20"/>
                <w:szCs w:val="20"/>
              </w:rPr>
            </w:pPr>
            <w:r>
              <w:rPr>
                <w:rFonts w:ascii="Calibri" w:hAnsi="Calibri"/>
                <w:color w:val="000000"/>
                <w:sz w:val="20"/>
                <w:szCs w:val="20"/>
              </w:rPr>
              <w:t>01-ene-13</w:t>
            </w:r>
          </w:p>
        </w:tc>
        <w:tc>
          <w:tcPr>
            <w:tcW w:w="994" w:type="dxa"/>
            <w:tcBorders>
              <w:top w:val="nil"/>
              <w:left w:val="nil"/>
              <w:bottom w:val="single" w:sz="4" w:space="0" w:color="808000"/>
              <w:right w:val="single" w:sz="4" w:space="0" w:color="808000"/>
            </w:tcBorders>
            <w:shd w:val="clear" w:color="auto" w:fill="auto"/>
            <w:noWrap/>
            <w:vAlign w:val="center"/>
            <w:hideMark/>
          </w:tcPr>
          <w:p w14:paraId="3CCEC7D5" w14:textId="77777777" w:rsidR="00E621CA" w:rsidRDefault="00E621CA" w:rsidP="00E621CA">
            <w:pPr>
              <w:jc w:val="right"/>
              <w:rPr>
                <w:rFonts w:ascii="Calibri" w:hAnsi="Calibri"/>
                <w:color w:val="000000"/>
                <w:sz w:val="20"/>
                <w:szCs w:val="20"/>
              </w:rPr>
            </w:pPr>
            <w:r>
              <w:rPr>
                <w:rFonts w:ascii="Calibri" w:hAnsi="Calibri"/>
                <w:color w:val="000000"/>
                <w:sz w:val="20"/>
                <w:szCs w:val="20"/>
              </w:rPr>
              <w:t>31-dic-13</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63D4FC23" w14:textId="77777777" w:rsidR="00E621CA" w:rsidRDefault="00E621CA" w:rsidP="00E621CA">
            <w:pPr>
              <w:jc w:val="center"/>
              <w:rPr>
                <w:rFonts w:ascii="Calibri" w:hAnsi="Calibri"/>
                <w:sz w:val="20"/>
                <w:szCs w:val="20"/>
              </w:rPr>
            </w:pPr>
            <w:r>
              <w:rPr>
                <w:rFonts w:ascii="Calibri" w:hAnsi="Calibri"/>
                <w:sz w:val="20"/>
                <w:szCs w:val="20"/>
              </w:rPr>
              <w:t>14,00</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3823E713" w14:textId="77777777"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CD9A8AC" w14:textId="35C09514" w:rsidR="00E621CA" w:rsidRDefault="00E621CA" w:rsidP="00E621CA">
            <w:pPr>
              <w:jc w:val="right"/>
              <w:rPr>
                <w:rFonts w:ascii="Calibri" w:hAnsi="Calibri"/>
                <w:sz w:val="20"/>
                <w:szCs w:val="20"/>
              </w:rPr>
            </w:pPr>
            <w:r>
              <w:rPr>
                <w:rFonts w:ascii="Calibri" w:hAnsi="Calibri"/>
                <w:sz w:val="20"/>
                <w:szCs w:val="20"/>
              </w:rPr>
              <w:t xml:space="preserve">                 894.468,97 </w:t>
            </w:r>
          </w:p>
        </w:tc>
        <w:tc>
          <w:tcPr>
            <w:tcW w:w="1991" w:type="dxa"/>
            <w:tcBorders>
              <w:top w:val="nil"/>
              <w:left w:val="single" w:sz="4" w:space="0" w:color="auto"/>
              <w:bottom w:val="single" w:sz="4" w:space="0" w:color="808000"/>
              <w:right w:val="single" w:sz="4" w:space="0" w:color="808000"/>
            </w:tcBorders>
            <w:shd w:val="clear" w:color="000000" w:fill="FFFFCC"/>
            <w:noWrap/>
            <w:vAlign w:val="center"/>
            <w:hideMark/>
          </w:tcPr>
          <w:p w14:paraId="4528C625" w14:textId="77777777" w:rsidR="00E621CA" w:rsidRDefault="00E621CA" w:rsidP="00E621CA">
            <w:pPr>
              <w:jc w:val="right"/>
              <w:rPr>
                <w:rFonts w:ascii="Calibri" w:hAnsi="Calibri"/>
                <w:color w:val="000000"/>
                <w:sz w:val="20"/>
                <w:szCs w:val="20"/>
              </w:rPr>
            </w:pPr>
            <w:r>
              <w:rPr>
                <w:rFonts w:ascii="Calibri" w:hAnsi="Calibri"/>
                <w:color w:val="000000"/>
                <w:sz w:val="20"/>
                <w:szCs w:val="20"/>
              </w:rPr>
              <w:t xml:space="preserve">                    12.522.565 </w:t>
            </w:r>
          </w:p>
        </w:tc>
      </w:tr>
      <w:tr w:rsidR="00E621CA" w14:paraId="2E0F4AE0" w14:textId="77777777" w:rsidTr="005C2BE6">
        <w:trPr>
          <w:trHeight w:val="20"/>
        </w:trPr>
        <w:tc>
          <w:tcPr>
            <w:tcW w:w="160" w:type="dxa"/>
            <w:tcBorders>
              <w:top w:val="nil"/>
              <w:left w:val="nil"/>
              <w:bottom w:val="nil"/>
              <w:right w:val="nil"/>
            </w:tcBorders>
            <w:shd w:val="clear" w:color="auto" w:fill="auto"/>
            <w:noWrap/>
            <w:vAlign w:val="bottom"/>
            <w:hideMark/>
          </w:tcPr>
          <w:p w14:paraId="4D6E7D65" w14:textId="77777777" w:rsidR="00E621CA" w:rsidRDefault="00E621CA" w:rsidP="00E621CA">
            <w:pPr>
              <w:rPr>
                <w:rFonts w:ascii="Calibri" w:hAnsi="Calibri"/>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22CD77D1" w14:textId="77777777" w:rsidR="00E621CA" w:rsidRDefault="00E621CA" w:rsidP="00E621CA">
            <w:pPr>
              <w:jc w:val="center"/>
              <w:rPr>
                <w:rFonts w:ascii="Calibri" w:hAnsi="Calibri"/>
                <w:sz w:val="20"/>
                <w:szCs w:val="20"/>
              </w:rPr>
            </w:pPr>
            <w:r>
              <w:rPr>
                <w:rFonts w:ascii="Calibri" w:hAnsi="Calibri"/>
                <w:sz w:val="20"/>
                <w:szCs w:val="20"/>
              </w:rPr>
              <w:t>2014</w:t>
            </w:r>
          </w:p>
        </w:tc>
        <w:tc>
          <w:tcPr>
            <w:tcW w:w="782" w:type="dxa"/>
            <w:tcBorders>
              <w:top w:val="nil"/>
              <w:left w:val="nil"/>
              <w:bottom w:val="single" w:sz="4" w:space="0" w:color="003366"/>
              <w:right w:val="single" w:sz="4" w:space="0" w:color="003366"/>
            </w:tcBorders>
            <w:shd w:val="clear" w:color="000000" w:fill="FFFFCC"/>
            <w:noWrap/>
            <w:vAlign w:val="bottom"/>
            <w:hideMark/>
          </w:tcPr>
          <w:p w14:paraId="3F7A4486" w14:textId="77777777" w:rsidR="00E621CA" w:rsidRDefault="00E621CA" w:rsidP="00E621CA">
            <w:pPr>
              <w:jc w:val="center"/>
              <w:rPr>
                <w:rFonts w:ascii="Calibri" w:hAnsi="Calibri"/>
                <w:sz w:val="20"/>
                <w:szCs w:val="20"/>
              </w:rPr>
            </w:pPr>
            <w:r>
              <w:rPr>
                <w:rFonts w:ascii="Calibri" w:hAnsi="Calibri"/>
                <w:sz w:val="20"/>
                <w:szCs w:val="20"/>
              </w:rPr>
              <w:t>1,94</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50A399FA" w14:textId="77777777" w:rsidR="00E621CA" w:rsidRDefault="00E621CA" w:rsidP="00E621CA">
            <w:pPr>
              <w:jc w:val="right"/>
              <w:rPr>
                <w:rFonts w:ascii="Calibri" w:hAnsi="Calibri"/>
                <w:color w:val="000000"/>
                <w:sz w:val="20"/>
                <w:szCs w:val="20"/>
              </w:rPr>
            </w:pPr>
            <w:r>
              <w:rPr>
                <w:rFonts w:ascii="Calibri" w:hAnsi="Calibri"/>
                <w:color w:val="000000"/>
                <w:sz w:val="20"/>
                <w:szCs w:val="20"/>
              </w:rPr>
              <w:t>01-ene-14</w:t>
            </w:r>
          </w:p>
        </w:tc>
        <w:tc>
          <w:tcPr>
            <w:tcW w:w="994" w:type="dxa"/>
            <w:tcBorders>
              <w:top w:val="nil"/>
              <w:left w:val="nil"/>
              <w:bottom w:val="single" w:sz="4" w:space="0" w:color="808000"/>
              <w:right w:val="single" w:sz="4" w:space="0" w:color="808000"/>
            </w:tcBorders>
            <w:shd w:val="clear" w:color="auto" w:fill="auto"/>
            <w:noWrap/>
            <w:vAlign w:val="center"/>
            <w:hideMark/>
          </w:tcPr>
          <w:p w14:paraId="2F56E8BC" w14:textId="77777777" w:rsidR="00E621CA" w:rsidRDefault="00E621CA" w:rsidP="00E621CA">
            <w:pPr>
              <w:jc w:val="right"/>
              <w:rPr>
                <w:rFonts w:ascii="Calibri" w:hAnsi="Calibri"/>
                <w:color w:val="000000"/>
                <w:sz w:val="20"/>
                <w:szCs w:val="20"/>
              </w:rPr>
            </w:pPr>
            <w:r>
              <w:rPr>
                <w:rFonts w:ascii="Calibri" w:hAnsi="Calibri"/>
                <w:color w:val="000000"/>
                <w:sz w:val="20"/>
                <w:szCs w:val="20"/>
              </w:rPr>
              <w:t>31-dic-14</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342B30C4" w14:textId="77777777" w:rsidR="00E621CA" w:rsidRDefault="00E621CA" w:rsidP="00E621CA">
            <w:pPr>
              <w:jc w:val="center"/>
              <w:rPr>
                <w:rFonts w:ascii="Calibri" w:hAnsi="Calibri"/>
                <w:sz w:val="20"/>
                <w:szCs w:val="20"/>
              </w:rPr>
            </w:pPr>
            <w:r>
              <w:rPr>
                <w:rFonts w:ascii="Calibri" w:hAnsi="Calibri"/>
                <w:sz w:val="20"/>
                <w:szCs w:val="20"/>
              </w:rPr>
              <w:t>14,00</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3101CAD9" w14:textId="77777777"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7FA9914" w14:textId="54649054" w:rsidR="00E621CA" w:rsidRDefault="00E621CA" w:rsidP="00E621CA">
            <w:pPr>
              <w:jc w:val="right"/>
              <w:rPr>
                <w:rFonts w:ascii="Calibri" w:hAnsi="Calibri"/>
                <w:sz w:val="20"/>
                <w:szCs w:val="20"/>
              </w:rPr>
            </w:pPr>
            <w:r>
              <w:rPr>
                <w:rFonts w:ascii="Calibri" w:hAnsi="Calibri"/>
                <w:sz w:val="20"/>
                <w:szCs w:val="20"/>
              </w:rPr>
              <w:t xml:space="preserve">                 911.821,66 </w:t>
            </w:r>
          </w:p>
        </w:tc>
        <w:tc>
          <w:tcPr>
            <w:tcW w:w="1991" w:type="dxa"/>
            <w:tcBorders>
              <w:top w:val="nil"/>
              <w:left w:val="single" w:sz="4" w:space="0" w:color="auto"/>
              <w:bottom w:val="single" w:sz="4" w:space="0" w:color="808000"/>
              <w:right w:val="single" w:sz="4" w:space="0" w:color="808000"/>
            </w:tcBorders>
            <w:shd w:val="clear" w:color="000000" w:fill="FFFFCC"/>
            <w:noWrap/>
            <w:vAlign w:val="center"/>
            <w:hideMark/>
          </w:tcPr>
          <w:p w14:paraId="63CF9836" w14:textId="77777777" w:rsidR="00E621CA" w:rsidRDefault="00E621CA" w:rsidP="00E621CA">
            <w:pPr>
              <w:jc w:val="right"/>
              <w:rPr>
                <w:rFonts w:ascii="Calibri" w:hAnsi="Calibri"/>
                <w:color w:val="000000"/>
                <w:sz w:val="20"/>
                <w:szCs w:val="20"/>
              </w:rPr>
            </w:pPr>
            <w:r>
              <w:rPr>
                <w:rFonts w:ascii="Calibri" w:hAnsi="Calibri"/>
                <w:color w:val="000000"/>
                <w:sz w:val="20"/>
                <w:szCs w:val="20"/>
              </w:rPr>
              <w:t xml:space="preserve">                    12.765.503 </w:t>
            </w:r>
          </w:p>
        </w:tc>
      </w:tr>
      <w:tr w:rsidR="00E621CA" w14:paraId="18791E5C" w14:textId="77777777" w:rsidTr="005C2BE6">
        <w:trPr>
          <w:trHeight w:val="20"/>
        </w:trPr>
        <w:tc>
          <w:tcPr>
            <w:tcW w:w="160" w:type="dxa"/>
            <w:tcBorders>
              <w:top w:val="nil"/>
              <w:left w:val="nil"/>
              <w:bottom w:val="nil"/>
              <w:right w:val="nil"/>
            </w:tcBorders>
            <w:shd w:val="clear" w:color="auto" w:fill="auto"/>
            <w:noWrap/>
            <w:vAlign w:val="bottom"/>
            <w:hideMark/>
          </w:tcPr>
          <w:p w14:paraId="1BB84580" w14:textId="77777777" w:rsidR="00E621CA" w:rsidRDefault="00E621CA" w:rsidP="00E621CA">
            <w:pPr>
              <w:rPr>
                <w:rFonts w:ascii="Calibri" w:hAnsi="Calibri"/>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074EF5FA" w14:textId="77777777" w:rsidR="00E621CA" w:rsidRDefault="00E621CA" w:rsidP="00E621CA">
            <w:pPr>
              <w:jc w:val="center"/>
              <w:rPr>
                <w:rFonts w:ascii="Calibri" w:hAnsi="Calibri"/>
                <w:sz w:val="20"/>
                <w:szCs w:val="20"/>
              </w:rPr>
            </w:pPr>
            <w:r>
              <w:rPr>
                <w:rFonts w:ascii="Calibri" w:hAnsi="Calibri"/>
                <w:sz w:val="20"/>
                <w:szCs w:val="20"/>
              </w:rPr>
              <w:t>2015</w:t>
            </w:r>
          </w:p>
        </w:tc>
        <w:tc>
          <w:tcPr>
            <w:tcW w:w="782" w:type="dxa"/>
            <w:tcBorders>
              <w:top w:val="nil"/>
              <w:left w:val="nil"/>
              <w:bottom w:val="single" w:sz="4" w:space="0" w:color="003366"/>
              <w:right w:val="single" w:sz="4" w:space="0" w:color="003366"/>
            </w:tcBorders>
            <w:shd w:val="clear" w:color="000000" w:fill="FFFFCC"/>
            <w:noWrap/>
            <w:vAlign w:val="bottom"/>
            <w:hideMark/>
          </w:tcPr>
          <w:p w14:paraId="7B3F2D51" w14:textId="77777777" w:rsidR="00E621CA" w:rsidRDefault="00E621CA" w:rsidP="00E621CA">
            <w:pPr>
              <w:jc w:val="center"/>
              <w:rPr>
                <w:rFonts w:ascii="Calibri" w:hAnsi="Calibri"/>
                <w:sz w:val="20"/>
                <w:szCs w:val="20"/>
              </w:rPr>
            </w:pPr>
            <w:r>
              <w:rPr>
                <w:rFonts w:ascii="Calibri" w:hAnsi="Calibri"/>
                <w:sz w:val="20"/>
                <w:szCs w:val="20"/>
              </w:rPr>
              <w:t>3,66</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41BA70CA" w14:textId="77777777" w:rsidR="00E621CA" w:rsidRDefault="00E621CA" w:rsidP="00E621CA">
            <w:pPr>
              <w:jc w:val="right"/>
              <w:rPr>
                <w:rFonts w:ascii="Calibri" w:hAnsi="Calibri"/>
                <w:color w:val="000000"/>
                <w:sz w:val="20"/>
                <w:szCs w:val="20"/>
              </w:rPr>
            </w:pPr>
            <w:r>
              <w:rPr>
                <w:rFonts w:ascii="Calibri" w:hAnsi="Calibri"/>
                <w:color w:val="000000"/>
                <w:sz w:val="20"/>
                <w:szCs w:val="20"/>
              </w:rPr>
              <w:t>01-ene-15</w:t>
            </w:r>
          </w:p>
        </w:tc>
        <w:tc>
          <w:tcPr>
            <w:tcW w:w="994" w:type="dxa"/>
            <w:tcBorders>
              <w:top w:val="nil"/>
              <w:left w:val="nil"/>
              <w:bottom w:val="single" w:sz="4" w:space="0" w:color="808000"/>
              <w:right w:val="single" w:sz="4" w:space="0" w:color="808000"/>
            </w:tcBorders>
            <w:shd w:val="clear" w:color="auto" w:fill="auto"/>
            <w:noWrap/>
            <w:vAlign w:val="center"/>
            <w:hideMark/>
          </w:tcPr>
          <w:p w14:paraId="2885D2AC" w14:textId="77777777" w:rsidR="00E621CA" w:rsidRDefault="00E621CA" w:rsidP="00E621CA">
            <w:pPr>
              <w:jc w:val="right"/>
              <w:rPr>
                <w:rFonts w:ascii="Calibri" w:hAnsi="Calibri"/>
                <w:color w:val="000000"/>
                <w:sz w:val="20"/>
                <w:szCs w:val="20"/>
              </w:rPr>
            </w:pPr>
            <w:r>
              <w:rPr>
                <w:rFonts w:ascii="Calibri" w:hAnsi="Calibri"/>
                <w:color w:val="000000"/>
                <w:sz w:val="20"/>
                <w:szCs w:val="20"/>
              </w:rPr>
              <w:t>31-dic-15</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30EFC96E" w14:textId="77777777" w:rsidR="00E621CA" w:rsidRDefault="00E621CA" w:rsidP="00E621CA">
            <w:pPr>
              <w:jc w:val="center"/>
              <w:rPr>
                <w:rFonts w:ascii="Calibri" w:hAnsi="Calibri"/>
                <w:sz w:val="20"/>
                <w:szCs w:val="20"/>
              </w:rPr>
            </w:pPr>
            <w:r>
              <w:rPr>
                <w:rFonts w:ascii="Calibri" w:hAnsi="Calibri"/>
                <w:sz w:val="20"/>
                <w:szCs w:val="20"/>
              </w:rPr>
              <w:t>14,00</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349EAC04" w14:textId="77777777"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7A0F5C98" w14:textId="2CCFA2A0" w:rsidR="00E621CA" w:rsidRDefault="00E621CA" w:rsidP="00E621CA">
            <w:pPr>
              <w:jc w:val="right"/>
              <w:rPr>
                <w:rFonts w:ascii="Calibri" w:hAnsi="Calibri"/>
                <w:sz w:val="20"/>
                <w:szCs w:val="20"/>
              </w:rPr>
            </w:pPr>
            <w:r>
              <w:rPr>
                <w:rFonts w:ascii="Calibri" w:hAnsi="Calibri"/>
                <w:sz w:val="20"/>
                <w:szCs w:val="20"/>
              </w:rPr>
              <w:t xml:space="preserve">                 969.868,22 </w:t>
            </w:r>
          </w:p>
        </w:tc>
        <w:tc>
          <w:tcPr>
            <w:tcW w:w="1991" w:type="dxa"/>
            <w:tcBorders>
              <w:top w:val="nil"/>
              <w:left w:val="single" w:sz="4" w:space="0" w:color="auto"/>
              <w:bottom w:val="single" w:sz="4" w:space="0" w:color="808000"/>
              <w:right w:val="single" w:sz="4" w:space="0" w:color="808000"/>
            </w:tcBorders>
            <w:shd w:val="clear" w:color="000000" w:fill="FFFFCC"/>
            <w:noWrap/>
            <w:vAlign w:val="center"/>
            <w:hideMark/>
          </w:tcPr>
          <w:p w14:paraId="3A60390B" w14:textId="77777777" w:rsidR="00E621CA" w:rsidRDefault="00E621CA" w:rsidP="00E621CA">
            <w:pPr>
              <w:jc w:val="right"/>
              <w:rPr>
                <w:rFonts w:ascii="Calibri" w:hAnsi="Calibri"/>
                <w:color w:val="000000"/>
                <w:sz w:val="20"/>
                <w:szCs w:val="20"/>
              </w:rPr>
            </w:pPr>
            <w:r>
              <w:rPr>
                <w:rFonts w:ascii="Calibri" w:hAnsi="Calibri"/>
                <w:color w:val="000000"/>
                <w:sz w:val="20"/>
                <w:szCs w:val="20"/>
              </w:rPr>
              <w:t xml:space="preserve">                    13.578.155 </w:t>
            </w:r>
          </w:p>
        </w:tc>
      </w:tr>
      <w:tr w:rsidR="00E621CA" w14:paraId="19DF52B4" w14:textId="77777777" w:rsidTr="005C2BE6">
        <w:trPr>
          <w:trHeight w:val="20"/>
        </w:trPr>
        <w:tc>
          <w:tcPr>
            <w:tcW w:w="160" w:type="dxa"/>
            <w:tcBorders>
              <w:top w:val="nil"/>
              <w:left w:val="nil"/>
              <w:bottom w:val="nil"/>
              <w:right w:val="nil"/>
            </w:tcBorders>
            <w:shd w:val="clear" w:color="auto" w:fill="auto"/>
            <w:noWrap/>
            <w:vAlign w:val="bottom"/>
            <w:hideMark/>
          </w:tcPr>
          <w:p w14:paraId="798E6E35" w14:textId="77777777" w:rsidR="00E621CA" w:rsidRDefault="00E621CA" w:rsidP="00E621CA">
            <w:pPr>
              <w:rPr>
                <w:rFonts w:ascii="Calibri" w:hAnsi="Calibri"/>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CC"/>
            <w:noWrap/>
            <w:vAlign w:val="bottom"/>
            <w:hideMark/>
          </w:tcPr>
          <w:p w14:paraId="6826EFB2" w14:textId="77777777" w:rsidR="00E621CA" w:rsidRDefault="00E621CA" w:rsidP="00E621CA">
            <w:pPr>
              <w:jc w:val="center"/>
              <w:rPr>
                <w:rFonts w:ascii="Calibri" w:hAnsi="Calibri"/>
                <w:sz w:val="20"/>
                <w:szCs w:val="20"/>
              </w:rPr>
            </w:pPr>
            <w:r>
              <w:rPr>
                <w:rFonts w:ascii="Calibri" w:hAnsi="Calibri"/>
                <w:sz w:val="20"/>
                <w:szCs w:val="20"/>
              </w:rPr>
              <w:t>2016</w:t>
            </w:r>
          </w:p>
        </w:tc>
        <w:tc>
          <w:tcPr>
            <w:tcW w:w="782" w:type="dxa"/>
            <w:tcBorders>
              <w:top w:val="nil"/>
              <w:left w:val="nil"/>
              <w:bottom w:val="single" w:sz="4" w:space="0" w:color="003366"/>
              <w:right w:val="single" w:sz="4" w:space="0" w:color="003366"/>
            </w:tcBorders>
            <w:shd w:val="clear" w:color="000000" w:fill="FFFFCC"/>
            <w:noWrap/>
            <w:vAlign w:val="bottom"/>
            <w:hideMark/>
          </w:tcPr>
          <w:p w14:paraId="38C67707" w14:textId="77777777" w:rsidR="00E621CA" w:rsidRDefault="00E621CA" w:rsidP="00E621CA">
            <w:pPr>
              <w:jc w:val="center"/>
              <w:rPr>
                <w:rFonts w:ascii="Calibri" w:hAnsi="Calibri"/>
                <w:sz w:val="20"/>
                <w:szCs w:val="20"/>
              </w:rPr>
            </w:pPr>
            <w:r>
              <w:rPr>
                <w:rFonts w:ascii="Calibri" w:hAnsi="Calibri"/>
                <w:sz w:val="20"/>
                <w:szCs w:val="20"/>
              </w:rPr>
              <w:t>6,77</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14:paraId="30D10895" w14:textId="77777777" w:rsidR="00E621CA" w:rsidRDefault="00E621CA" w:rsidP="00E621CA">
            <w:pPr>
              <w:jc w:val="right"/>
              <w:rPr>
                <w:rFonts w:ascii="Calibri" w:hAnsi="Calibri"/>
                <w:color w:val="000000"/>
                <w:sz w:val="20"/>
                <w:szCs w:val="20"/>
              </w:rPr>
            </w:pPr>
            <w:r>
              <w:rPr>
                <w:rFonts w:ascii="Calibri" w:hAnsi="Calibri"/>
                <w:color w:val="000000"/>
                <w:sz w:val="20"/>
                <w:szCs w:val="20"/>
              </w:rPr>
              <w:t>01-ene-16</w:t>
            </w:r>
          </w:p>
        </w:tc>
        <w:tc>
          <w:tcPr>
            <w:tcW w:w="994" w:type="dxa"/>
            <w:tcBorders>
              <w:top w:val="nil"/>
              <w:left w:val="nil"/>
              <w:bottom w:val="single" w:sz="4" w:space="0" w:color="808000"/>
              <w:right w:val="single" w:sz="4" w:space="0" w:color="808000"/>
            </w:tcBorders>
            <w:shd w:val="clear" w:color="auto" w:fill="auto"/>
            <w:noWrap/>
            <w:vAlign w:val="center"/>
            <w:hideMark/>
          </w:tcPr>
          <w:p w14:paraId="5E430914" w14:textId="77777777" w:rsidR="00E621CA" w:rsidRDefault="00E621CA" w:rsidP="00E621CA">
            <w:pPr>
              <w:jc w:val="right"/>
              <w:rPr>
                <w:rFonts w:ascii="Calibri" w:hAnsi="Calibri"/>
                <w:color w:val="000000"/>
                <w:sz w:val="20"/>
                <w:szCs w:val="20"/>
              </w:rPr>
            </w:pPr>
            <w:r>
              <w:rPr>
                <w:rFonts w:ascii="Calibri" w:hAnsi="Calibri"/>
                <w:color w:val="000000"/>
                <w:sz w:val="20"/>
                <w:szCs w:val="20"/>
              </w:rPr>
              <w:t>31-mar-16</w:t>
            </w:r>
          </w:p>
        </w:tc>
        <w:tc>
          <w:tcPr>
            <w:tcW w:w="762" w:type="dxa"/>
            <w:tcBorders>
              <w:top w:val="nil"/>
              <w:left w:val="single" w:sz="4" w:space="0" w:color="003366"/>
              <w:bottom w:val="single" w:sz="4" w:space="0" w:color="003366"/>
              <w:right w:val="single" w:sz="4" w:space="0" w:color="auto"/>
            </w:tcBorders>
            <w:shd w:val="clear" w:color="000000" w:fill="FFFFCC"/>
            <w:noWrap/>
            <w:vAlign w:val="bottom"/>
            <w:hideMark/>
          </w:tcPr>
          <w:p w14:paraId="4CC03302" w14:textId="77777777" w:rsidR="00E621CA" w:rsidRDefault="00E621CA" w:rsidP="00E621CA">
            <w:pPr>
              <w:jc w:val="center"/>
              <w:rPr>
                <w:rFonts w:ascii="Calibri" w:hAnsi="Calibri"/>
                <w:sz w:val="20"/>
                <w:szCs w:val="20"/>
              </w:rPr>
            </w:pPr>
            <w:r>
              <w:rPr>
                <w:rFonts w:ascii="Calibri" w:hAnsi="Calibri"/>
                <w:sz w:val="20"/>
                <w:szCs w:val="20"/>
              </w:rPr>
              <w:t>3,00</w:t>
            </w:r>
          </w:p>
        </w:tc>
        <w:tc>
          <w:tcPr>
            <w:tcW w:w="956" w:type="dxa"/>
            <w:tcBorders>
              <w:top w:val="single" w:sz="4" w:space="0" w:color="auto"/>
              <w:left w:val="single" w:sz="4" w:space="0" w:color="auto"/>
              <w:bottom w:val="single" w:sz="4" w:space="0" w:color="auto"/>
              <w:right w:val="single" w:sz="4" w:space="0" w:color="auto"/>
            </w:tcBorders>
            <w:shd w:val="clear" w:color="000000" w:fill="FFFFCC"/>
          </w:tcPr>
          <w:p w14:paraId="37FCBDA7" w14:textId="77777777" w:rsidR="00E621CA" w:rsidRDefault="00E621CA" w:rsidP="00E621CA">
            <w:pPr>
              <w:ind w:left="-316" w:firstLine="316"/>
              <w:jc w:val="right"/>
              <w:rPr>
                <w:rFonts w:ascii="Calibri" w:hAnsi="Calibri"/>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471BF67" w14:textId="4639F1C4" w:rsidR="00E621CA" w:rsidRDefault="00E621CA" w:rsidP="00E621CA">
            <w:pPr>
              <w:jc w:val="right"/>
              <w:rPr>
                <w:rFonts w:ascii="Calibri" w:hAnsi="Calibri"/>
                <w:sz w:val="20"/>
                <w:szCs w:val="20"/>
              </w:rPr>
            </w:pPr>
            <w:r>
              <w:rPr>
                <w:rFonts w:ascii="Calibri" w:hAnsi="Calibri"/>
                <w:sz w:val="20"/>
                <w:szCs w:val="20"/>
              </w:rPr>
              <w:t xml:space="preserve">                 1.035.528,30 </w:t>
            </w:r>
          </w:p>
        </w:tc>
        <w:tc>
          <w:tcPr>
            <w:tcW w:w="1991" w:type="dxa"/>
            <w:tcBorders>
              <w:top w:val="nil"/>
              <w:left w:val="single" w:sz="4" w:space="0" w:color="auto"/>
              <w:bottom w:val="single" w:sz="4" w:space="0" w:color="auto"/>
              <w:right w:val="single" w:sz="4" w:space="0" w:color="808000"/>
            </w:tcBorders>
            <w:shd w:val="clear" w:color="000000" w:fill="FFFFCC"/>
            <w:noWrap/>
            <w:vAlign w:val="center"/>
            <w:hideMark/>
          </w:tcPr>
          <w:p w14:paraId="1AC88692" w14:textId="77777777" w:rsidR="00E621CA" w:rsidRDefault="00E621CA" w:rsidP="00E621CA">
            <w:pPr>
              <w:jc w:val="right"/>
              <w:rPr>
                <w:rFonts w:ascii="Calibri" w:hAnsi="Calibri"/>
                <w:color w:val="000000"/>
                <w:sz w:val="20"/>
                <w:szCs w:val="20"/>
              </w:rPr>
            </w:pPr>
            <w:r>
              <w:rPr>
                <w:rFonts w:ascii="Calibri" w:hAnsi="Calibri"/>
                <w:color w:val="000000"/>
                <w:sz w:val="20"/>
                <w:szCs w:val="20"/>
              </w:rPr>
              <w:t xml:space="preserve">                    3.106.584 </w:t>
            </w:r>
          </w:p>
        </w:tc>
      </w:tr>
      <w:tr w:rsidR="00E621CA" w14:paraId="530BF84E" w14:textId="77777777" w:rsidTr="005C2BE6">
        <w:trPr>
          <w:trHeight w:val="20"/>
        </w:trPr>
        <w:tc>
          <w:tcPr>
            <w:tcW w:w="160" w:type="dxa"/>
            <w:tcBorders>
              <w:top w:val="nil"/>
              <w:left w:val="nil"/>
              <w:bottom w:val="nil"/>
              <w:right w:val="nil"/>
            </w:tcBorders>
            <w:shd w:val="clear" w:color="auto" w:fill="auto"/>
            <w:noWrap/>
            <w:vAlign w:val="bottom"/>
            <w:hideMark/>
          </w:tcPr>
          <w:p w14:paraId="277477B1" w14:textId="77777777" w:rsidR="00E621CA" w:rsidRDefault="00E621CA" w:rsidP="00E621CA">
            <w:pPr>
              <w:rPr>
                <w:rFonts w:ascii="Calibri" w:hAnsi="Calibri"/>
                <w:color w:val="000000"/>
                <w:sz w:val="20"/>
                <w:szCs w:val="20"/>
              </w:rPr>
            </w:pPr>
          </w:p>
        </w:tc>
        <w:tc>
          <w:tcPr>
            <w:tcW w:w="546" w:type="dxa"/>
            <w:tcBorders>
              <w:top w:val="nil"/>
              <w:left w:val="nil"/>
              <w:bottom w:val="nil"/>
              <w:right w:val="nil"/>
            </w:tcBorders>
            <w:shd w:val="clear" w:color="auto" w:fill="auto"/>
            <w:noWrap/>
            <w:vAlign w:val="bottom"/>
            <w:hideMark/>
          </w:tcPr>
          <w:p w14:paraId="3A2092E6" w14:textId="77777777" w:rsidR="00E621CA" w:rsidRDefault="00E621CA" w:rsidP="00E621CA">
            <w:pPr>
              <w:jc w:val="center"/>
              <w:rPr>
                <w:rFonts w:ascii="Calibri" w:hAnsi="Calibri"/>
                <w:sz w:val="20"/>
                <w:szCs w:val="20"/>
              </w:rPr>
            </w:pPr>
          </w:p>
        </w:tc>
        <w:tc>
          <w:tcPr>
            <w:tcW w:w="782" w:type="dxa"/>
            <w:tcBorders>
              <w:top w:val="nil"/>
              <w:left w:val="nil"/>
              <w:bottom w:val="nil"/>
              <w:right w:val="nil"/>
            </w:tcBorders>
            <w:shd w:val="clear" w:color="auto" w:fill="auto"/>
            <w:noWrap/>
            <w:vAlign w:val="bottom"/>
            <w:hideMark/>
          </w:tcPr>
          <w:p w14:paraId="0EB053FB" w14:textId="77777777" w:rsidR="00E621CA" w:rsidRDefault="00E621CA" w:rsidP="00E621CA">
            <w:pPr>
              <w:jc w:val="center"/>
              <w:rPr>
                <w:rFonts w:ascii="Calibri" w:hAnsi="Calibri"/>
                <w:sz w:val="20"/>
                <w:szCs w:val="20"/>
              </w:rPr>
            </w:pPr>
          </w:p>
        </w:tc>
        <w:tc>
          <w:tcPr>
            <w:tcW w:w="973" w:type="dxa"/>
            <w:tcBorders>
              <w:top w:val="nil"/>
              <w:left w:val="nil"/>
              <w:bottom w:val="nil"/>
              <w:right w:val="nil"/>
            </w:tcBorders>
            <w:shd w:val="clear" w:color="auto" w:fill="auto"/>
            <w:noWrap/>
            <w:vAlign w:val="bottom"/>
            <w:hideMark/>
          </w:tcPr>
          <w:p w14:paraId="1D92702B" w14:textId="77777777" w:rsidR="00E621CA" w:rsidRDefault="00E621CA" w:rsidP="00E621CA">
            <w:pPr>
              <w:jc w:val="right"/>
              <w:rPr>
                <w:rFonts w:ascii="Calibri" w:hAnsi="Calibri"/>
                <w:color w:val="000000"/>
                <w:sz w:val="20"/>
                <w:szCs w:val="20"/>
              </w:rPr>
            </w:pPr>
          </w:p>
        </w:tc>
        <w:tc>
          <w:tcPr>
            <w:tcW w:w="994" w:type="dxa"/>
            <w:tcBorders>
              <w:top w:val="nil"/>
              <w:left w:val="nil"/>
              <w:bottom w:val="nil"/>
              <w:right w:val="nil"/>
            </w:tcBorders>
            <w:shd w:val="clear" w:color="auto" w:fill="auto"/>
            <w:noWrap/>
            <w:vAlign w:val="bottom"/>
            <w:hideMark/>
          </w:tcPr>
          <w:p w14:paraId="15E5ED00" w14:textId="77777777" w:rsidR="00E621CA" w:rsidRDefault="00E621CA" w:rsidP="00E621CA">
            <w:pPr>
              <w:jc w:val="right"/>
              <w:rPr>
                <w:rFonts w:ascii="Calibri" w:hAnsi="Calibri"/>
                <w:color w:val="000000"/>
                <w:sz w:val="20"/>
                <w:szCs w:val="20"/>
              </w:rPr>
            </w:pPr>
          </w:p>
        </w:tc>
        <w:tc>
          <w:tcPr>
            <w:tcW w:w="762" w:type="dxa"/>
            <w:tcBorders>
              <w:top w:val="nil"/>
              <w:left w:val="nil"/>
              <w:bottom w:val="nil"/>
            </w:tcBorders>
            <w:shd w:val="clear" w:color="auto" w:fill="auto"/>
            <w:noWrap/>
            <w:vAlign w:val="bottom"/>
            <w:hideMark/>
          </w:tcPr>
          <w:p w14:paraId="30C1E880" w14:textId="77777777" w:rsidR="00E621CA" w:rsidRDefault="00E621CA" w:rsidP="00E621CA">
            <w:pPr>
              <w:jc w:val="center"/>
              <w:rPr>
                <w:rFonts w:ascii="Calibri" w:hAnsi="Calibri"/>
                <w:sz w:val="20"/>
                <w:szCs w:val="20"/>
              </w:rPr>
            </w:pPr>
          </w:p>
        </w:tc>
        <w:tc>
          <w:tcPr>
            <w:tcW w:w="956" w:type="dxa"/>
            <w:tcBorders>
              <w:top w:val="single" w:sz="4" w:space="0" w:color="auto"/>
              <w:right w:val="single" w:sz="4" w:space="0" w:color="auto"/>
            </w:tcBorders>
          </w:tcPr>
          <w:p w14:paraId="23E8D6C2" w14:textId="77777777" w:rsidR="00E621CA" w:rsidRDefault="00E621CA" w:rsidP="00E621CA">
            <w:pPr>
              <w:ind w:left="-316" w:firstLine="316"/>
              <w:rPr>
                <w:rFonts w:ascii="Calibri" w:hAnsi="Calibri"/>
                <w:b/>
                <w:bCs/>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0145A0" w14:textId="76047426" w:rsidR="00E621CA" w:rsidRDefault="00E621CA" w:rsidP="00E621CA">
            <w:pPr>
              <w:rPr>
                <w:rFonts w:ascii="Calibri" w:hAnsi="Calibri"/>
                <w:sz w:val="20"/>
                <w:szCs w:val="20"/>
              </w:rPr>
            </w:pPr>
            <w:r>
              <w:rPr>
                <w:rFonts w:ascii="Calibri" w:hAnsi="Calibri"/>
                <w:b/>
                <w:bCs/>
                <w:sz w:val="20"/>
                <w:szCs w:val="20"/>
              </w:rPr>
              <w:t>Valores a cancelar ===&gt;</w:t>
            </w:r>
          </w:p>
        </w:tc>
        <w:tc>
          <w:tcPr>
            <w:tcW w:w="199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43C0B5D1" w14:textId="0918270A" w:rsidR="00E621CA" w:rsidRPr="00DC513F" w:rsidRDefault="00DC513F" w:rsidP="00DC513F">
            <w:pPr>
              <w:jc w:val="right"/>
              <w:rPr>
                <w:rFonts w:ascii="Calibri" w:hAnsi="Calibri"/>
                <w:b/>
                <w:color w:val="000000"/>
                <w:sz w:val="22"/>
                <w:szCs w:val="22"/>
              </w:rPr>
            </w:pPr>
            <w:r w:rsidRPr="00DC513F">
              <w:rPr>
                <w:rFonts w:ascii="Calibri" w:hAnsi="Calibri"/>
                <w:b/>
                <w:color w:val="000000"/>
                <w:sz w:val="22"/>
                <w:szCs w:val="22"/>
              </w:rPr>
              <w:t>60.061.403</w:t>
            </w:r>
          </w:p>
        </w:tc>
      </w:tr>
    </w:tbl>
    <w:p w14:paraId="7E687CCA" w14:textId="6B98F8DA" w:rsidR="007A704A" w:rsidRPr="007A704A" w:rsidRDefault="007A704A" w:rsidP="00E9724F">
      <w:pPr>
        <w:jc w:val="center"/>
        <w:rPr>
          <w:rFonts w:ascii="Tahoma" w:hAnsi="Tahoma" w:cs="Tahoma"/>
          <w:b/>
        </w:rPr>
      </w:pPr>
      <w:r w:rsidRPr="007A704A">
        <w:rPr>
          <w:rFonts w:ascii="Tahoma" w:hAnsi="Tahoma" w:cs="Tahoma"/>
          <w:b/>
        </w:rPr>
        <w:t xml:space="preserve">IBL </w:t>
      </w:r>
      <w:r>
        <w:rPr>
          <w:rFonts w:ascii="Tahoma" w:hAnsi="Tahoma" w:cs="Tahoma"/>
          <w:b/>
        </w:rPr>
        <w:t xml:space="preserve">PROMEDIO SALARIAL </w:t>
      </w:r>
      <w:r w:rsidRPr="007A704A">
        <w:rPr>
          <w:rFonts w:ascii="Tahoma" w:hAnsi="Tahoma" w:cs="Tahoma"/>
          <w:b/>
        </w:rPr>
        <w:t>ÚLTIMOS 10 AÑOS</w:t>
      </w:r>
      <w:r w:rsidR="00487AEF">
        <w:rPr>
          <w:rFonts w:ascii="Tahoma" w:hAnsi="Tahoma" w:cs="Tahoma"/>
          <w:b/>
        </w:rPr>
        <w:t xml:space="preserve"> OBTENIDO POR </w:t>
      </w:r>
      <w:r w:rsidR="000E33B0">
        <w:rPr>
          <w:rFonts w:ascii="Tahoma" w:hAnsi="Tahoma" w:cs="Tahoma"/>
          <w:b/>
        </w:rPr>
        <w:t>LA</w:t>
      </w:r>
      <w:r w:rsidR="00487AEF">
        <w:rPr>
          <w:rFonts w:ascii="Tahoma" w:hAnsi="Tahoma" w:cs="Tahoma"/>
          <w:b/>
        </w:rPr>
        <w:t xml:space="preserve"> SALA</w:t>
      </w:r>
    </w:p>
    <w:p w14:paraId="4FDC2C11" w14:textId="77777777" w:rsidR="00143E75" w:rsidRDefault="00143E75" w:rsidP="00E9724F">
      <w:pPr>
        <w:jc w:val="center"/>
        <w:rPr>
          <w:rFonts w:ascii="Tahoma" w:hAnsi="Tahoma" w:cs="Tahoma"/>
        </w:rPr>
      </w:pPr>
    </w:p>
    <w:tbl>
      <w:tblPr>
        <w:tblW w:w="10288" w:type="dxa"/>
        <w:tblCellMar>
          <w:left w:w="70" w:type="dxa"/>
          <w:right w:w="70" w:type="dxa"/>
        </w:tblCellMar>
        <w:tblLook w:val="04A0" w:firstRow="1" w:lastRow="0" w:firstColumn="1" w:lastColumn="0" w:noHBand="0" w:noVBand="1"/>
      </w:tblPr>
      <w:tblGrid>
        <w:gridCol w:w="1204"/>
        <w:gridCol w:w="851"/>
        <w:gridCol w:w="941"/>
        <w:gridCol w:w="933"/>
        <w:gridCol w:w="1380"/>
        <w:gridCol w:w="146"/>
        <w:gridCol w:w="1668"/>
        <w:gridCol w:w="788"/>
        <w:gridCol w:w="788"/>
        <w:gridCol w:w="1589"/>
      </w:tblGrid>
      <w:tr w:rsidR="007A704A" w:rsidRPr="005C2BE6" w14:paraId="35E21B00" w14:textId="77777777" w:rsidTr="005C2BE6">
        <w:trPr>
          <w:trHeight w:val="20"/>
        </w:trPr>
        <w:tc>
          <w:tcPr>
            <w:tcW w:w="1204" w:type="dxa"/>
            <w:tcBorders>
              <w:top w:val="single" w:sz="8" w:space="0" w:color="auto"/>
              <w:left w:val="single" w:sz="8" w:space="0" w:color="auto"/>
              <w:bottom w:val="single" w:sz="8" w:space="0" w:color="auto"/>
              <w:right w:val="nil"/>
            </w:tcBorders>
            <w:shd w:val="clear" w:color="000000" w:fill="FFFF99"/>
            <w:vAlign w:val="center"/>
            <w:hideMark/>
          </w:tcPr>
          <w:p w14:paraId="0446940A" w14:textId="66BCCA53" w:rsidR="005C2BE6"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DEMANDANTE</w:t>
            </w:r>
          </w:p>
        </w:tc>
        <w:tc>
          <w:tcPr>
            <w:tcW w:w="4105" w:type="dxa"/>
            <w:gridSpan w:val="4"/>
            <w:tcBorders>
              <w:top w:val="single" w:sz="8" w:space="0" w:color="auto"/>
              <w:left w:val="nil"/>
              <w:bottom w:val="single" w:sz="8" w:space="0" w:color="auto"/>
              <w:right w:val="single" w:sz="8" w:space="0" w:color="000000"/>
            </w:tcBorders>
            <w:shd w:val="clear" w:color="000000" w:fill="FFFF99"/>
            <w:vAlign w:val="center"/>
            <w:hideMark/>
          </w:tcPr>
          <w:p w14:paraId="22A9EFD8"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JAIRO DE JESUS VILLA RESTREPO</w:t>
            </w:r>
          </w:p>
        </w:tc>
        <w:tc>
          <w:tcPr>
            <w:tcW w:w="146" w:type="dxa"/>
            <w:tcBorders>
              <w:top w:val="nil"/>
              <w:left w:val="nil"/>
              <w:bottom w:val="nil"/>
              <w:right w:val="nil"/>
            </w:tcBorders>
            <w:shd w:val="clear" w:color="auto" w:fill="auto"/>
            <w:noWrap/>
            <w:vAlign w:val="bottom"/>
            <w:hideMark/>
          </w:tcPr>
          <w:p w14:paraId="6C62EB63" w14:textId="77777777" w:rsidR="007A704A" w:rsidRPr="005C2BE6" w:rsidRDefault="007A704A">
            <w:pPr>
              <w:jc w:val="center"/>
              <w:rPr>
                <w:rFonts w:asciiTheme="minorHAnsi" w:hAnsiTheme="minorHAnsi"/>
                <w:b/>
                <w:bCs/>
                <w:i/>
                <w:iCs/>
                <w:color w:val="000000"/>
                <w:sz w:val="16"/>
                <w:szCs w:val="16"/>
              </w:rPr>
            </w:pPr>
          </w:p>
        </w:tc>
        <w:tc>
          <w:tcPr>
            <w:tcW w:w="1668" w:type="dxa"/>
            <w:tcBorders>
              <w:top w:val="nil"/>
              <w:left w:val="nil"/>
              <w:bottom w:val="nil"/>
              <w:right w:val="nil"/>
            </w:tcBorders>
            <w:shd w:val="clear" w:color="auto" w:fill="auto"/>
            <w:noWrap/>
            <w:vAlign w:val="bottom"/>
            <w:hideMark/>
          </w:tcPr>
          <w:p w14:paraId="29ED1E77"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08B68B7B"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5E11B5C3" w14:textId="77777777" w:rsidR="007A704A" w:rsidRPr="005C2BE6" w:rsidRDefault="007A704A">
            <w:pPr>
              <w:rPr>
                <w:rFonts w:asciiTheme="minorHAnsi" w:hAnsiTheme="minorHAnsi"/>
                <w:sz w:val="16"/>
                <w:szCs w:val="16"/>
              </w:rPr>
            </w:pPr>
          </w:p>
        </w:tc>
        <w:tc>
          <w:tcPr>
            <w:tcW w:w="1589" w:type="dxa"/>
            <w:tcBorders>
              <w:top w:val="nil"/>
              <w:left w:val="nil"/>
              <w:bottom w:val="nil"/>
              <w:right w:val="nil"/>
            </w:tcBorders>
            <w:shd w:val="clear" w:color="auto" w:fill="auto"/>
            <w:noWrap/>
            <w:vAlign w:val="bottom"/>
            <w:hideMark/>
          </w:tcPr>
          <w:p w14:paraId="6876F000" w14:textId="77777777" w:rsidR="007A704A" w:rsidRPr="005C2BE6" w:rsidRDefault="007A704A">
            <w:pPr>
              <w:rPr>
                <w:rFonts w:asciiTheme="minorHAnsi" w:hAnsiTheme="minorHAnsi"/>
                <w:sz w:val="16"/>
                <w:szCs w:val="16"/>
              </w:rPr>
            </w:pPr>
          </w:p>
        </w:tc>
      </w:tr>
      <w:tr w:rsidR="007A704A" w:rsidRPr="005C2BE6" w14:paraId="4958EC57" w14:textId="77777777" w:rsidTr="005C2BE6">
        <w:trPr>
          <w:trHeight w:val="20"/>
        </w:trPr>
        <w:tc>
          <w:tcPr>
            <w:tcW w:w="3929" w:type="dxa"/>
            <w:gridSpan w:val="4"/>
            <w:tcBorders>
              <w:top w:val="single" w:sz="8" w:space="0" w:color="auto"/>
              <w:left w:val="single" w:sz="8" w:space="0" w:color="auto"/>
              <w:bottom w:val="single" w:sz="4" w:space="0" w:color="auto"/>
              <w:right w:val="nil"/>
            </w:tcBorders>
            <w:shd w:val="clear" w:color="000000" w:fill="FFFF99"/>
            <w:vAlign w:val="center"/>
            <w:hideMark/>
          </w:tcPr>
          <w:p w14:paraId="3E32912A"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Fecha de nacimiento:</w:t>
            </w:r>
          </w:p>
        </w:tc>
        <w:tc>
          <w:tcPr>
            <w:tcW w:w="1380" w:type="dxa"/>
            <w:tcBorders>
              <w:top w:val="nil"/>
              <w:left w:val="nil"/>
              <w:bottom w:val="single" w:sz="4" w:space="0" w:color="auto"/>
              <w:right w:val="single" w:sz="8" w:space="0" w:color="auto"/>
            </w:tcBorders>
            <w:shd w:val="clear" w:color="auto" w:fill="auto"/>
            <w:noWrap/>
            <w:vAlign w:val="center"/>
            <w:hideMark/>
          </w:tcPr>
          <w:p w14:paraId="34F7BAA5"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26-ene-53</w:t>
            </w:r>
          </w:p>
        </w:tc>
        <w:tc>
          <w:tcPr>
            <w:tcW w:w="146" w:type="dxa"/>
            <w:tcBorders>
              <w:top w:val="nil"/>
              <w:left w:val="nil"/>
              <w:bottom w:val="nil"/>
              <w:right w:val="nil"/>
            </w:tcBorders>
            <w:shd w:val="clear" w:color="auto" w:fill="auto"/>
            <w:noWrap/>
            <w:vAlign w:val="bottom"/>
            <w:hideMark/>
          </w:tcPr>
          <w:p w14:paraId="1EC0233C" w14:textId="77777777" w:rsidR="007A704A" w:rsidRPr="005C2BE6" w:rsidRDefault="007A704A">
            <w:pPr>
              <w:jc w:val="center"/>
              <w:rPr>
                <w:rFonts w:asciiTheme="minorHAnsi" w:hAnsiTheme="minorHAnsi"/>
                <w:i/>
                <w:iCs/>
                <w:color w:val="000000"/>
                <w:sz w:val="16"/>
                <w:szCs w:val="16"/>
              </w:rPr>
            </w:pPr>
          </w:p>
        </w:tc>
        <w:tc>
          <w:tcPr>
            <w:tcW w:w="1668" w:type="dxa"/>
            <w:tcBorders>
              <w:top w:val="nil"/>
              <w:left w:val="nil"/>
              <w:bottom w:val="nil"/>
              <w:right w:val="nil"/>
            </w:tcBorders>
            <w:shd w:val="clear" w:color="auto" w:fill="auto"/>
            <w:noWrap/>
            <w:vAlign w:val="bottom"/>
            <w:hideMark/>
          </w:tcPr>
          <w:p w14:paraId="4C147FBA"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4974CE9F"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2127919D" w14:textId="77777777" w:rsidR="007A704A" w:rsidRPr="005C2BE6" w:rsidRDefault="007A704A">
            <w:pPr>
              <w:rPr>
                <w:rFonts w:asciiTheme="minorHAnsi" w:hAnsiTheme="minorHAnsi"/>
                <w:sz w:val="16"/>
                <w:szCs w:val="16"/>
              </w:rPr>
            </w:pPr>
          </w:p>
        </w:tc>
        <w:tc>
          <w:tcPr>
            <w:tcW w:w="1589" w:type="dxa"/>
            <w:tcBorders>
              <w:top w:val="nil"/>
              <w:left w:val="nil"/>
              <w:bottom w:val="nil"/>
              <w:right w:val="nil"/>
            </w:tcBorders>
            <w:shd w:val="clear" w:color="auto" w:fill="auto"/>
            <w:noWrap/>
            <w:vAlign w:val="bottom"/>
            <w:hideMark/>
          </w:tcPr>
          <w:p w14:paraId="060A0470" w14:textId="77777777" w:rsidR="007A704A" w:rsidRPr="005C2BE6" w:rsidRDefault="007A704A">
            <w:pPr>
              <w:rPr>
                <w:rFonts w:asciiTheme="minorHAnsi" w:hAnsiTheme="minorHAnsi"/>
                <w:sz w:val="16"/>
                <w:szCs w:val="16"/>
              </w:rPr>
            </w:pPr>
          </w:p>
        </w:tc>
      </w:tr>
      <w:tr w:rsidR="007A704A" w:rsidRPr="005C2BE6" w14:paraId="1C10E8AD" w14:textId="77777777" w:rsidTr="005C2BE6">
        <w:trPr>
          <w:trHeight w:val="20"/>
        </w:trPr>
        <w:tc>
          <w:tcPr>
            <w:tcW w:w="3929" w:type="dxa"/>
            <w:gridSpan w:val="4"/>
            <w:tcBorders>
              <w:top w:val="single" w:sz="4" w:space="0" w:color="auto"/>
              <w:left w:val="single" w:sz="8" w:space="0" w:color="auto"/>
              <w:bottom w:val="single" w:sz="4" w:space="0" w:color="auto"/>
              <w:right w:val="nil"/>
            </w:tcBorders>
            <w:shd w:val="clear" w:color="000000" w:fill="FFFF99"/>
            <w:vAlign w:val="center"/>
            <w:hideMark/>
          </w:tcPr>
          <w:p w14:paraId="736FB386"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Fecha reconocimiento pensión:</w:t>
            </w:r>
          </w:p>
        </w:tc>
        <w:tc>
          <w:tcPr>
            <w:tcW w:w="1380" w:type="dxa"/>
            <w:tcBorders>
              <w:top w:val="nil"/>
              <w:left w:val="nil"/>
              <w:bottom w:val="single" w:sz="4" w:space="0" w:color="auto"/>
              <w:right w:val="single" w:sz="8" w:space="0" w:color="auto"/>
            </w:tcBorders>
            <w:shd w:val="clear" w:color="auto" w:fill="auto"/>
            <w:noWrap/>
            <w:vAlign w:val="center"/>
            <w:hideMark/>
          </w:tcPr>
          <w:p w14:paraId="1F47076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28/10/1995</w:t>
            </w:r>
          </w:p>
        </w:tc>
        <w:tc>
          <w:tcPr>
            <w:tcW w:w="146" w:type="dxa"/>
            <w:tcBorders>
              <w:top w:val="nil"/>
              <w:left w:val="nil"/>
              <w:bottom w:val="nil"/>
              <w:right w:val="nil"/>
            </w:tcBorders>
            <w:shd w:val="clear" w:color="auto" w:fill="auto"/>
            <w:noWrap/>
            <w:vAlign w:val="bottom"/>
            <w:hideMark/>
          </w:tcPr>
          <w:p w14:paraId="02F4C23C" w14:textId="77777777" w:rsidR="007A704A" w:rsidRPr="005C2BE6" w:rsidRDefault="007A704A">
            <w:pPr>
              <w:jc w:val="center"/>
              <w:rPr>
                <w:rFonts w:asciiTheme="minorHAnsi" w:hAnsiTheme="minorHAnsi"/>
                <w:i/>
                <w:iCs/>
                <w:color w:val="000000"/>
                <w:sz w:val="16"/>
                <w:szCs w:val="16"/>
              </w:rPr>
            </w:pPr>
          </w:p>
        </w:tc>
        <w:tc>
          <w:tcPr>
            <w:tcW w:w="1668" w:type="dxa"/>
            <w:tcBorders>
              <w:top w:val="nil"/>
              <w:left w:val="nil"/>
              <w:bottom w:val="nil"/>
              <w:right w:val="nil"/>
            </w:tcBorders>
            <w:shd w:val="clear" w:color="auto" w:fill="auto"/>
            <w:noWrap/>
            <w:vAlign w:val="bottom"/>
            <w:hideMark/>
          </w:tcPr>
          <w:p w14:paraId="02CC1EEA" w14:textId="77777777" w:rsidR="007A704A" w:rsidRPr="005C2BE6" w:rsidRDefault="007A704A">
            <w:pPr>
              <w:jc w:val="cente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6BCAA371"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57ED0BDF" w14:textId="77777777" w:rsidR="007A704A" w:rsidRPr="005C2BE6" w:rsidRDefault="007A704A">
            <w:pPr>
              <w:rPr>
                <w:rFonts w:asciiTheme="minorHAnsi" w:hAnsiTheme="minorHAnsi"/>
                <w:sz w:val="16"/>
                <w:szCs w:val="16"/>
              </w:rPr>
            </w:pPr>
          </w:p>
        </w:tc>
        <w:tc>
          <w:tcPr>
            <w:tcW w:w="1589" w:type="dxa"/>
            <w:tcBorders>
              <w:top w:val="nil"/>
              <w:left w:val="nil"/>
              <w:bottom w:val="nil"/>
              <w:right w:val="nil"/>
            </w:tcBorders>
            <w:shd w:val="clear" w:color="auto" w:fill="auto"/>
            <w:noWrap/>
            <w:vAlign w:val="bottom"/>
            <w:hideMark/>
          </w:tcPr>
          <w:p w14:paraId="3BED5CE1" w14:textId="77777777" w:rsidR="007A704A" w:rsidRPr="005C2BE6" w:rsidRDefault="007A704A">
            <w:pPr>
              <w:rPr>
                <w:rFonts w:asciiTheme="minorHAnsi" w:hAnsiTheme="minorHAnsi"/>
                <w:sz w:val="16"/>
                <w:szCs w:val="16"/>
              </w:rPr>
            </w:pPr>
          </w:p>
        </w:tc>
      </w:tr>
      <w:tr w:rsidR="007A704A" w:rsidRPr="005C2BE6" w14:paraId="0A39AA78" w14:textId="77777777" w:rsidTr="005C2BE6">
        <w:trPr>
          <w:trHeight w:val="20"/>
        </w:trPr>
        <w:tc>
          <w:tcPr>
            <w:tcW w:w="3929" w:type="dxa"/>
            <w:gridSpan w:val="4"/>
            <w:tcBorders>
              <w:top w:val="single" w:sz="4" w:space="0" w:color="auto"/>
              <w:left w:val="single" w:sz="8" w:space="0" w:color="auto"/>
              <w:bottom w:val="single" w:sz="8" w:space="0" w:color="auto"/>
              <w:right w:val="nil"/>
            </w:tcBorders>
            <w:shd w:val="clear" w:color="000000" w:fill="FFFF99"/>
            <w:vAlign w:val="center"/>
            <w:hideMark/>
          </w:tcPr>
          <w:p w14:paraId="4FBAEC85"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Total semanas cotizadas:</w:t>
            </w:r>
          </w:p>
        </w:tc>
        <w:tc>
          <w:tcPr>
            <w:tcW w:w="1380" w:type="dxa"/>
            <w:tcBorders>
              <w:top w:val="nil"/>
              <w:left w:val="nil"/>
              <w:bottom w:val="single" w:sz="8" w:space="0" w:color="auto"/>
              <w:right w:val="single" w:sz="8" w:space="0" w:color="auto"/>
            </w:tcBorders>
            <w:shd w:val="clear" w:color="auto" w:fill="auto"/>
            <w:noWrap/>
            <w:vAlign w:val="center"/>
            <w:hideMark/>
          </w:tcPr>
          <w:p w14:paraId="51108295" w14:textId="77777777" w:rsidR="007A704A" w:rsidRPr="005C2BE6" w:rsidRDefault="007A704A">
            <w:pPr>
              <w:jc w:val="center"/>
              <w:rPr>
                <w:rFonts w:asciiTheme="minorHAnsi" w:hAnsiTheme="minorHAnsi"/>
                <w:color w:val="000000"/>
                <w:sz w:val="16"/>
                <w:szCs w:val="16"/>
              </w:rPr>
            </w:pPr>
            <w:r w:rsidRPr="005C2BE6">
              <w:rPr>
                <w:rFonts w:asciiTheme="minorHAnsi" w:hAnsiTheme="minorHAnsi"/>
                <w:color w:val="000000"/>
                <w:sz w:val="16"/>
                <w:szCs w:val="16"/>
              </w:rPr>
              <w:t>514,29</w:t>
            </w:r>
          </w:p>
        </w:tc>
        <w:tc>
          <w:tcPr>
            <w:tcW w:w="146" w:type="dxa"/>
            <w:tcBorders>
              <w:top w:val="nil"/>
              <w:left w:val="nil"/>
              <w:bottom w:val="nil"/>
              <w:right w:val="nil"/>
            </w:tcBorders>
            <w:shd w:val="clear" w:color="auto" w:fill="auto"/>
            <w:noWrap/>
            <w:vAlign w:val="bottom"/>
            <w:hideMark/>
          </w:tcPr>
          <w:p w14:paraId="016E66EC" w14:textId="77777777" w:rsidR="007A704A" w:rsidRPr="005C2BE6" w:rsidRDefault="007A704A">
            <w:pPr>
              <w:jc w:val="center"/>
              <w:rPr>
                <w:rFonts w:asciiTheme="minorHAnsi" w:hAnsiTheme="minorHAnsi"/>
                <w:color w:val="000000"/>
                <w:sz w:val="16"/>
                <w:szCs w:val="16"/>
              </w:rPr>
            </w:pPr>
          </w:p>
        </w:tc>
        <w:tc>
          <w:tcPr>
            <w:tcW w:w="1668" w:type="dxa"/>
            <w:tcBorders>
              <w:top w:val="single" w:sz="4" w:space="0" w:color="auto"/>
              <w:left w:val="single" w:sz="4" w:space="0" w:color="auto"/>
              <w:bottom w:val="single" w:sz="4" w:space="0" w:color="auto"/>
              <w:right w:val="nil"/>
            </w:tcBorders>
            <w:shd w:val="clear" w:color="000000" w:fill="FFFF99"/>
            <w:noWrap/>
            <w:vAlign w:val="center"/>
            <w:hideMark/>
          </w:tcPr>
          <w:p w14:paraId="036F2895" w14:textId="77777777" w:rsidR="007A704A" w:rsidRPr="005C2BE6" w:rsidRDefault="007A704A">
            <w:pPr>
              <w:jc w:val="right"/>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Tasa Ley 100/93: </w:t>
            </w:r>
          </w:p>
        </w:tc>
        <w:tc>
          <w:tcPr>
            <w:tcW w:w="788" w:type="dxa"/>
            <w:tcBorders>
              <w:top w:val="single" w:sz="4" w:space="0" w:color="auto"/>
              <w:left w:val="nil"/>
              <w:bottom w:val="single" w:sz="4" w:space="0" w:color="auto"/>
              <w:right w:val="nil"/>
            </w:tcBorders>
            <w:shd w:val="clear" w:color="auto" w:fill="auto"/>
            <w:noWrap/>
            <w:vAlign w:val="center"/>
            <w:hideMark/>
          </w:tcPr>
          <w:p w14:paraId="5A747C20" w14:textId="77777777" w:rsidR="007A704A" w:rsidRPr="005C2BE6" w:rsidRDefault="007A704A">
            <w:pPr>
              <w:jc w:val="center"/>
              <w:rPr>
                <w:rFonts w:asciiTheme="minorHAnsi" w:hAnsiTheme="minorHAnsi"/>
                <w:b/>
                <w:bCs/>
                <w:color w:val="000000"/>
                <w:sz w:val="16"/>
                <w:szCs w:val="16"/>
              </w:rPr>
            </w:pPr>
            <w:r w:rsidRPr="005C2BE6">
              <w:rPr>
                <w:rFonts w:asciiTheme="minorHAnsi" w:hAnsiTheme="minorHAnsi"/>
                <w:b/>
                <w:bCs/>
                <w:color w:val="000000"/>
                <w:sz w:val="16"/>
                <w:szCs w:val="16"/>
              </w:rPr>
              <w:t>NO</w:t>
            </w:r>
          </w:p>
        </w:tc>
        <w:tc>
          <w:tcPr>
            <w:tcW w:w="788" w:type="dxa"/>
            <w:tcBorders>
              <w:top w:val="single" w:sz="4" w:space="0" w:color="auto"/>
              <w:left w:val="single" w:sz="4" w:space="0" w:color="808000"/>
              <w:bottom w:val="single" w:sz="4" w:space="0" w:color="auto"/>
              <w:right w:val="nil"/>
            </w:tcBorders>
            <w:shd w:val="clear" w:color="000000" w:fill="FFFF99"/>
            <w:noWrap/>
            <w:vAlign w:val="center"/>
            <w:hideMark/>
          </w:tcPr>
          <w:p w14:paraId="41CAAC1A" w14:textId="77777777" w:rsidR="007A704A" w:rsidRPr="005C2BE6" w:rsidRDefault="007A704A">
            <w:pPr>
              <w:jc w:val="center"/>
              <w:rPr>
                <w:rFonts w:asciiTheme="minorHAnsi" w:hAnsiTheme="minorHAnsi"/>
                <w:b/>
                <w:bCs/>
                <w:i/>
                <w:iCs/>
                <w:color w:val="000000"/>
                <w:sz w:val="16"/>
                <w:szCs w:val="16"/>
              </w:rPr>
            </w:pPr>
            <w:bookmarkStart w:id="1" w:name="RANGE!I5"/>
            <w:r w:rsidRPr="005C2BE6">
              <w:rPr>
                <w:rFonts w:asciiTheme="minorHAnsi" w:hAnsiTheme="minorHAnsi"/>
                <w:b/>
                <w:bCs/>
                <w:i/>
                <w:iCs/>
                <w:color w:val="000000"/>
                <w:sz w:val="16"/>
                <w:szCs w:val="16"/>
              </w:rPr>
              <w:t>57,00%</w:t>
            </w:r>
            <w:bookmarkEnd w:id="1"/>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17393F2F"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r>
      <w:tr w:rsidR="007A704A" w:rsidRPr="005C2BE6" w14:paraId="3636F35E" w14:textId="77777777" w:rsidTr="005C2BE6">
        <w:trPr>
          <w:trHeight w:val="20"/>
        </w:trPr>
        <w:tc>
          <w:tcPr>
            <w:tcW w:w="1204" w:type="dxa"/>
            <w:tcBorders>
              <w:top w:val="nil"/>
              <w:left w:val="nil"/>
              <w:bottom w:val="nil"/>
              <w:right w:val="nil"/>
            </w:tcBorders>
            <w:shd w:val="clear" w:color="auto" w:fill="auto"/>
            <w:noWrap/>
            <w:vAlign w:val="bottom"/>
            <w:hideMark/>
          </w:tcPr>
          <w:p w14:paraId="614D8081" w14:textId="77777777" w:rsidR="007A704A" w:rsidRPr="005C2BE6" w:rsidRDefault="007A704A">
            <w:pPr>
              <w:rPr>
                <w:rFonts w:asciiTheme="minorHAnsi" w:hAnsiTheme="minorHAnsi"/>
                <w:i/>
                <w:iCs/>
                <w:color w:val="000000"/>
                <w:sz w:val="16"/>
                <w:szCs w:val="16"/>
              </w:rPr>
            </w:pPr>
          </w:p>
        </w:tc>
        <w:tc>
          <w:tcPr>
            <w:tcW w:w="851" w:type="dxa"/>
            <w:tcBorders>
              <w:top w:val="nil"/>
              <w:left w:val="nil"/>
              <w:bottom w:val="nil"/>
              <w:right w:val="nil"/>
            </w:tcBorders>
            <w:shd w:val="clear" w:color="auto" w:fill="auto"/>
            <w:noWrap/>
            <w:vAlign w:val="bottom"/>
            <w:hideMark/>
          </w:tcPr>
          <w:p w14:paraId="7547B691" w14:textId="77777777" w:rsidR="007A704A" w:rsidRPr="005C2BE6" w:rsidRDefault="007A704A">
            <w:pPr>
              <w:rPr>
                <w:rFonts w:asciiTheme="minorHAnsi" w:hAnsiTheme="minorHAnsi"/>
                <w:sz w:val="16"/>
                <w:szCs w:val="16"/>
              </w:rPr>
            </w:pPr>
          </w:p>
        </w:tc>
        <w:tc>
          <w:tcPr>
            <w:tcW w:w="941" w:type="dxa"/>
            <w:tcBorders>
              <w:top w:val="nil"/>
              <w:left w:val="nil"/>
              <w:bottom w:val="nil"/>
              <w:right w:val="nil"/>
            </w:tcBorders>
            <w:shd w:val="clear" w:color="auto" w:fill="auto"/>
            <w:noWrap/>
            <w:vAlign w:val="bottom"/>
            <w:hideMark/>
          </w:tcPr>
          <w:p w14:paraId="5B33D37B" w14:textId="77777777" w:rsidR="007A704A" w:rsidRPr="005C2BE6" w:rsidRDefault="007A704A">
            <w:pPr>
              <w:rPr>
                <w:rFonts w:asciiTheme="minorHAnsi" w:hAnsiTheme="minorHAnsi"/>
                <w:sz w:val="16"/>
                <w:szCs w:val="16"/>
              </w:rPr>
            </w:pPr>
          </w:p>
        </w:tc>
        <w:tc>
          <w:tcPr>
            <w:tcW w:w="933" w:type="dxa"/>
            <w:tcBorders>
              <w:top w:val="nil"/>
              <w:left w:val="nil"/>
              <w:bottom w:val="nil"/>
              <w:right w:val="nil"/>
            </w:tcBorders>
            <w:shd w:val="clear" w:color="auto" w:fill="auto"/>
            <w:noWrap/>
            <w:vAlign w:val="bottom"/>
            <w:hideMark/>
          </w:tcPr>
          <w:p w14:paraId="6E450ACB" w14:textId="77777777" w:rsidR="007A704A" w:rsidRPr="005C2BE6" w:rsidRDefault="007A704A">
            <w:pPr>
              <w:rPr>
                <w:rFonts w:asciiTheme="minorHAnsi" w:hAnsiTheme="minorHAnsi"/>
                <w:sz w:val="16"/>
                <w:szCs w:val="16"/>
              </w:rPr>
            </w:pPr>
          </w:p>
        </w:tc>
        <w:tc>
          <w:tcPr>
            <w:tcW w:w="1380" w:type="dxa"/>
            <w:tcBorders>
              <w:top w:val="nil"/>
              <w:left w:val="nil"/>
              <w:bottom w:val="nil"/>
              <w:right w:val="nil"/>
            </w:tcBorders>
            <w:shd w:val="clear" w:color="auto" w:fill="auto"/>
            <w:noWrap/>
            <w:vAlign w:val="bottom"/>
            <w:hideMark/>
          </w:tcPr>
          <w:p w14:paraId="69BC0A46" w14:textId="77777777" w:rsidR="007A704A" w:rsidRPr="005C2BE6" w:rsidRDefault="007A704A">
            <w:pPr>
              <w:rPr>
                <w:rFonts w:asciiTheme="minorHAnsi" w:hAnsiTheme="minorHAnsi"/>
                <w:sz w:val="16"/>
                <w:szCs w:val="16"/>
              </w:rPr>
            </w:pPr>
          </w:p>
        </w:tc>
        <w:tc>
          <w:tcPr>
            <w:tcW w:w="146" w:type="dxa"/>
            <w:tcBorders>
              <w:top w:val="nil"/>
              <w:left w:val="nil"/>
              <w:bottom w:val="nil"/>
              <w:right w:val="nil"/>
            </w:tcBorders>
            <w:shd w:val="clear" w:color="auto" w:fill="auto"/>
            <w:noWrap/>
            <w:vAlign w:val="bottom"/>
            <w:hideMark/>
          </w:tcPr>
          <w:p w14:paraId="6DE31B6F" w14:textId="77777777" w:rsidR="007A704A" w:rsidRPr="005C2BE6" w:rsidRDefault="007A704A">
            <w:pPr>
              <w:rPr>
                <w:rFonts w:asciiTheme="minorHAnsi" w:hAnsiTheme="minorHAnsi"/>
                <w:sz w:val="16"/>
                <w:szCs w:val="16"/>
              </w:rPr>
            </w:pPr>
          </w:p>
        </w:tc>
        <w:tc>
          <w:tcPr>
            <w:tcW w:w="1668" w:type="dxa"/>
            <w:tcBorders>
              <w:top w:val="nil"/>
              <w:left w:val="single" w:sz="4" w:space="0" w:color="auto"/>
              <w:bottom w:val="nil"/>
              <w:right w:val="nil"/>
            </w:tcBorders>
            <w:shd w:val="clear" w:color="auto" w:fill="auto"/>
            <w:noWrap/>
            <w:vAlign w:val="bottom"/>
            <w:hideMark/>
          </w:tcPr>
          <w:p w14:paraId="3CA062C4"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788" w:type="dxa"/>
            <w:tcBorders>
              <w:top w:val="nil"/>
              <w:left w:val="nil"/>
              <w:bottom w:val="nil"/>
              <w:right w:val="nil"/>
            </w:tcBorders>
            <w:shd w:val="clear" w:color="auto" w:fill="auto"/>
            <w:noWrap/>
            <w:vAlign w:val="bottom"/>
            <w:hideMark/>
          </w:tcPr>
          <w:p w14:paraId="6FF9D357" w14:textId="77777777" w:rsidR="007A704A" w:rsidRPr="005C2BE6" w:rsidRDefault="007A704A">
            <w:pPr>
              <w:rPr>
                <w:rFonts w:asciiTheme="minorHAnsi" w:hAnsiTheme="minorHAnsi"/>
                <w:i/>
                <w:iCs/>
                <w:color w:val="000000"/>
                <w:sz w:val="16"/>
                <w:szCs w:val="16"/>
              </w:rPr>
            </w:pPr>
          </w:p>
        </w:tc>
        <w:tc>
          <w:tcPr>
            <w:tcW w:w="788" w:type="dxa"/>
            <w:tcBorders>
              <w:top w:val="nil"/>
              <w:left w:val="nil"/>
              <w:bottom w:val="nil"/>
              <w:right w:val="nil"/>
            </w:tcBorders>
            <w:shd w:val="clear" w:color="auto" w:fill="auto"/>
            <w:noWrap/>
            <w:vAlign w:val="bottom"/>
            <w:hideMark/>
          </w:tcPr>
          <w:p w14:paraId="5E2D9E26" w14:textId="77777777" w:rsidR="007A704A" w:rsidRPr="005C2BE6" w:rsidRDefault="007A704A">
            <w:pPr>
              <w:rPr>
                <w:rFonts w:asciiTheme="minorHAnsi" w:hAnsiTheme="minorHAnsi"/>
                <w:sz w:val="16"/>
                <w:szCs w:val="16"/>
              </w:rPr>
            </w:pPr>
          </w:p>
        </w:tc>
        <w:tc>
          <w:tcPr>
            <w:tcW w:w="1589" w:type="dxa"/>
            <w:tcBorders>
              <w:top w:val="nil"/>
              <w:left w:val="nil"/>
              <w:bottom w:val="nil"/>
              <w:right w:val="single" w:sz="4" w:space="0" w:color="auto"/>
            </w:tcBorders>
            <w:shd w:val="clear" w:color="auto" w:fill="auto"/>
            <w:noWrap/>
            <w:vAlign w:val="bottom"/>
            <w:hideMark/>
          </w:tcPr>
          <w:p w14:paraId="1719073A"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r>
      <w:tr w:rsidR="007A704A" w:rsidRPr="005C2BE6" w14:paraId="22B6348A" w14:textId="77777777" w:rsidTr="005C2BE6">
        <w:trPr>
          <w:trHeight w:val="20"/>
        </w:trPr>
        <w:tc>
          <w:tcPr>
            <w:tcW w:w="5309"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752338EF"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HISTORIA LABORAL DEL AFILIADO</w:t>
            </w:r>
          </w:p>
        </w:tc>
        <w:tc>
          <w:tcPr>
            <w:tcW w:w="146" w:type="dxa"/>
            <w:tcBorders>
              <w:top w:val="nil"/>
              <w:left w:val="nil"/>
              <w:bottom w:val="nil"/>
              <w:right w:val="nil"/>
            </w:tcBorders>
            <w:shd w:val="clear" w:color="auto" w:fill="auto"/>
            <w:noWrap/>
            <w:vAlign w:val="bottom"/>
            <w:hideMark/>
          </w:tcPr>
          <w:p w14:paraId="634C1638" w14:textId="77777777" w:rsidR="007A704A" w:rsidRPr="005C2BE6" w:rsidRDefault="007A704A">
            <w:pPr>
              <w:jc w:val="center"/>
              <w:rPr>
                <w:rFonts w:asciiTheme="minorHAnsi" w:hAnsiTheme="minorHAnsi"/>
                <w:b/>
                <w:bCs/>
                <w:i/>
                <w:iCs/>
                <w:color w:val="000000"/>
                <w:sz w:val="16"/>
                <w:szCs w:val="16"/>
              </w:rPr>
            </w:pPr>
          </w:p>
        </w:tc>
        <w:tc>
          <w:tcPr>
            <w:tcW w:w="1668"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14:paraId="78FD43AC"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Ingreso Base de cotización actualizado</w:t>
            </w:r>
          </w:p>
        </w:tc>
        <w:tc>
          <w:tcPr>
            <w:tcW w:w="1576" w:type="dxa"/>
            <w:gridSpan w:val="2"/>
            <w:tcBorders>
              <w:top w:val="single" w:sz="4" w:space="0" w:color="auto"/>
              <w:left w:val="nil"/>
              <w:bottom w:val="single" w:sz="4" w:space="0" w:color="808000"/>
              <w:right w:val="nil"/>
            </w:tcBorders>
            <w:shd w:val="clear" w:color="000000" w:fill="FFFF99"/>
            <w:vAlign w:val="center"/>
            <w:hideMark/>
          </w:tcPr>
          <w:p w14:paraId="271A1BD1"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IPC </w:t>
            </w:r>
            <w:proofErr w:type="spellStart"/>
            <w:r w:rsidRPr="005C2BE6">
              <w:rPr>
                <w:rFonts w:asciiTheme="minorHAnsi" w:hAnsiTheme="minorHAnsi"/>
                <w:b/>
                <w:bCs/>
                <w:i/>
                <w:iCs/>
                <w:color w:val="000000"/>
                <w:sz w:val="16"/>
                <w:szCs w:val="16"/>
              </w:rPr>
              <w:t>Dane</w:t>
            </w:r>
            <w:proofErr w:type="spellEnd"/>
            <w:r w:rsidRPr="005C2BE6">
              <w:rPr>
                <w:rFonts w:asciiTheme="minorHAnsi" w:hAnsiTheme="minorHAnsi"/>
                <w:b/>
                <w:bCs/>
                <w:i/>
                <w:iCs/>
                <w:color w:val="000000"/>
                <w:sz w:val="16"/>
                <w:szCs w:val="16"/>
              </w:rPr>
              <w:t xml:space="preserve">                                    (serie de empalme)</w:t>
            </w:r>
          </w:p>
        </w:tc>
        <w:tc>
          <w:tcPr>
            <w:tcW w:w="158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14:paraId="2FA9DDFE"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Promedio Salarial        (</w:t>
            </w:r>
            <w:proofErr w:type="spellStart"/>
            <w:r w:rsidRPr="005C2BE6">
              <w:rPr>
                <w:rFonts w:asciiTheme="minorHAnsi" w:hAnsiTheme="minorHAnsi"/>
                <w:b/>
                <w:bCs/>
                <w:i/>
                <w:iCs/>
                <w:color w:val="000000"/>
                <w:sz w:val="16"/>
                <w:szCs w:val="16"/>
              </w:rPr>
              <w:t>Dias</w:t>
            </w:r>
            <w:proofErr w:type="spellEnd"/>
            <w:r w:rsidRPr="005C2BE6">
              <w:rPr>
                <w:rFonts w:asciiTheme="minorHAnsi" w:hAnsiTheme="minorHAnsi"/>
                <w:b/>
                <w:bCs/>
                <w:i/>
                <w:iCs/>
                <w:color w:val="000000"/>
                <w:sz w:val="16"/>
                <w:szCs w:val="16"/>
              </w:rPr>
              <w:t xml:space="preserve"> x </w:t>
            </w:r>
            <w:proofErr w:type="spellStart"/>
            <w:r w:rsidRPr="005C2BE6">
              <w:rPr>
                <w:rFonts w:asciiTheme="minorHAnsi" w:hAnsiTheme="minorHAnsi"/>
                <w:b/>
                <w:bCs/>
                <w:i/>
                <w:iCs/>
                <w:color w:val="000000"/>
                <w:sz w:val="16"/>
                <w:szCs w:val="16"/>
              </w:rPr>
              <w:t>IBC</w:t>
            </w:r>
            <w:proofErr w:type="spellEnd"/>
            <w:r w:rsidRPr="005C2BE6">
              <w:rPr>
                <w:rFonts w:asciiTheme="minorHAnsi" w:hAnsiTheme="minorHAnsi"/>
                <w:b/>
                <w:bCs/>
                <w:i/>
                <w:iCs/>
                <w:color w:val="000000"/>
                <w:sz w:val="16"/>
                <w:szCs w:val="16"/>
              </w:rPr>
              <w:t xml:space="preserve"> actualizado/total </w:t>
            </w:r>
            <w:proofErr w:type="spellStart"/>
            <w:r w:rsidRPr="005C2BE6">
              <w:rPr>
                <w:rFonts w:asciiTheme="minorHAnsi" w:hAnsiTheme="minorHAnsi"/>
                <w:b/>
                <w:bCs/>
                <w:i/>
                <w:iCs/>
                <w:color w:val="000000"/>
                <w:sz w:val="16"/>
                <w:szCs w:val="16"/>
              </w:rPr>
              <w:t>dias</w:t>
            </w:r>
            <w:proofErr w:type="spellEnd"/>
            <w:r w:rsidRPr="005C2BE6">
              <w:rPr>
                <w:rFonts w:asciiTheme="minorHAnsi" w:hAnsiTheme="minorHAnsi"/>
                <w:b/>
                <w:bCs/>
                <w:i/>
                <w:iCs/>
                <w:color w:val="000000"/>
                <w:sz w:val="16"/>
                <w:szCs w:val="16"/>
              </w:rPr>
              <w:t>)</w:t>
            </w:r>
          </w:p>
        </w:tc>
      </w:tr>
      <w:tr w:rsidR="007A704A" w:rsidRPr="005C2BE6" w14:paraId="44BC922E" w14:textId="77777777" w:rsidTr="005C2BE6">
        <w:trPr>
          <w:trHeight w:val="20"/>
        </w:trPr>
        <w:tc>
          <w:tcPr>
            <w:tcW w:w="2996"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430A4EC0"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Fechas de aporte</w:t>
            </w:r>
          </w:p>
        </w:tc>
        <w:tc>
          <w:tcPr>
            <w:tcW w:w="933"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7D7BF390"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Número de días</w:t>
            </w:r>
          </w:p>
        </w:tc>
        <w:tc>
          <w:tcPr>
            <w:tcW w:w="1380" w:type="dxa"/>
            <w:vMerge w:val="restart"/>
            <w:tcBorders>
              <w:top w:val="nil"/>
              <w:left w:val="single" w:sz="4" w:space="0" w:color="808000"/>
              <w:bottom w:val="single" w:sz="8" w:space="0" w:color="000000"/>
              <w:right w:val="single" w:sz="8" w:space="0" w:color="auto"/>
            </w:tcBorders>
            <w:shd w:val="clear" w:color="000000" w:fill="FFFFCC"/>
            <w:vAlign w:val="center"/>
            <w:hideMark/>
          </w:tcPr>
          <w:p w14:paraId="173BD706"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Ingreso Base de Cotización</w:t>
            </w:r>
          </w:p>
        </w:tc>
        <w:tc>
          <w:tcPr>
            <w:tcW w:w="146" w:type="dxa"/>
            <w:tcBorders>
              <w:top w:val="nil"/>
              <w:left w:val="nil"/>
              <w:bottom w:val="nil"/>
              <w:right w:val="nil"/>
            </w:tcBorders>
            <w:shd w:val="clear" w:color="auto" w:fill="auto"/>
            <w:noWrap/>
            <w:vAlign w:val="bottom"/>
            <w:hideMark/>
          </w:tcPr>
          <w:p w14:paraId="6DB4B075" w14:textId="77777777" w:rsidR="007A704A" w:rsidRPr="005C2BE6" w:rsidRDefault="007A704A">
            <w:pPr>
              <w:jc w:val="center"/>
              <w:rPr>
                <w:rFonts w:asciiTheme="minorHAnsi" w:hAnsiTheme="minorHAnsi"/>
                <w:b/>
                <w:bCs/>
                <w:i/>
                <w:iCs/>
                <w:color w:val="000000"/>
                <w:sz w:val="16"/>
                <w:szCs w:val="16"/>
              </w:rPr>
            </w:pPr>
          </w:p>
        </w:tc>
        <w:tc>
          <w:tcPr>
            <w:tcW w:w="1668" w:type="dxa"/>
            <w:vMerge/>
            <w:tcBorders>
              <w:top w:val="single" w:sz="4" w:space="0" w:color="auto"/>
              <w:left w:val="single" w:sz="4" w:space="0" w:color="auto"/>
              <w:bottom w:val="single" w:sz="8" w:space="0" w:color="000000"/>
              <w:right w:val="single" w:sz="4" w:space="0" w:color="808000"/>
            </w:tcBorders>
            <w:vAlign w:val="center"/>
            <w:hideMark/>
          </w:tcPr>
          <w:p w14:paraId="47E269F2" w14:textId="77777777" w:rsidR="007A704A" w:rsidRPr="005C2BE6" w:rsidRDefault="007A704A">
            <w:pPr>
              <w:rPr>
                <w:rFonts w:asciiTheme="minorHAnsi" w:hAnsiTheme="minorHAnsi"/>
                <w:b/>
                <w:bCs/>
                <w:i/>
                <w:iCs/>
                <w:color w:val="000000"/>
                <w:sz w:val="16"/>
                <w:szCs w:val="16"/>
              </w:rPr>
            </w:pPr>
          </w:p>
        </w:tc>
        <w:tc>
          <w:tcPr>
            <w:tcW w:w="788"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5407430D"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IPC Final</w:t>
            </w:r>
          </w:p>
        </w:tc>
        <w:tc>
          <w:tcPr>
            <w:tcW w:w="788"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35A43745"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IPC Inicial</w:t>
            </w:r>
          </w:p>
        </w:tc>
        <w:tc>
          <w:tcPr>
            <w:tcW w:w="1589" w:type="dxa"/>
            <w:vMerge/>
            <w:tcBorders>
              <w:top w:val="single" w:sz="4" w:space="0" w:color="auto"/>
              <w:left w:val="single" w:sz="4" w:space="0" w:color="808000"/>
              <w:bottom w:val="single" w:sz="8" w:space="0" w:color="000000"/>
              <w:right w:val="single" w:sz="4" w:space="0" w:color="auto"/>
            </w:tcBorders>
            <w:vAlign w:val="center"/>
            <w:hideMark/>
          </w:tcPr>
          <w:p w14:paraId="77E91AF8" w14:textId="77777777" w:rsidR="007A704A" w:rsidRPr="005C2BE6" w:rsidRDefault="007A704A">
            <w:pPr>
              <w:rPr>
                <w:rFonts w:asciiTheme="minorHAnsi" w:hAnsiTheme="minorHAnsi"/>
                <w:b/>
                <w:bCs/>
                <w:i/>
                <w:iCs/>
                <w:color w:val="000000"/>
                <w:sz w:val="16"/>
                <w:szCs w:val="16"/>
              </w:rPr>
            </w:pPr>
          </w:p>
        </w:tc>
      </w:tr>
      <w:tr w:rsidR="007A704A" w:rsidRPr="005C2BE6" w14:paraId="608163DF" w14:textId="77777777" w:rsidTr="005C2BE6">
        <w:trPr>
          <w:trHeight w:val="20"/>
        </w:trPr>
        <w:tc>
          <w:tcPr>
            <w:tcW w:w="1204" w:type="dxa"/>
            <w:tcBorders>
              <w:top w:val="nil"/>
              <w:left w:val="single" w:sz="8" w:space="0" w:color="auto"/>
              <w:bottom w:val="single" w:sz="8" w:space="0" w:color="auto"/>
              <w:right w:val="single" w:sz="4" w:space="0" w:color="808000"/>
            </w:tcBorders>
            <w:shd w:val="clear" w:color="000000" w:fill="FFFF99"/>
            <w:noWrap/>
            <w:vAlign w:val="center"/>
            <w:hideMark/>
          </w:tcPr>
          <w:p w14:paraId="1140D2BE"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Empleador</w:t>
            </w:r>
          </w:p>
        </w:tc>
        <w:tc>
          <w:tcPr>
            <w:tcW w:w="851" w:type="dxa"/>
            <w:tcBorders>
              <w:top w:val="nil"/>
              <w:left w:val="nil"/>
              <w:bottom w:val="single" w:sz="8" w:space="0" w:color="auto"/>
              <w:right w:val="single" w:sz="4" w:space="0" w:color="808000"/>
            </w:tcBorders>
            <w:shd w:val="clear" w:color="000000" w:fill="FFFF99"/>
            <w:noWrap/>
            <w:vAlign w:val="center"/>
            <w:hideMark/>
          </w:tcPr>
          <w:p w14:paraId="7EE1894D"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Desde</w:t>
            </w:r>
          </w:p>
        </w:tc>
        <w:tc>
          <w:tcPr>
            <w:tcW w:w="941" w:type="dxa"/>
            <w:tcBorders>
              <w:top w:val="nil"/>
              <w:left w:val="nil"/>
              <w:bottom w:val="single" w:sz="8" w:space="0" w:color="auto"/>
              <w:right w:val="single" w:sz="4" w:space="0" w:color="808000"/>
            </w:tcBorders>
            <w:shd w:val="clear" w:color="000000" w:fill="FFFF99"/>
            <w:noWrap/>
            <w:vAlign w:val="center"/>
            <w:hideMark/>
          </w:tcPr>
          <w:p w14:paraId="2D5D5DB6"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Hasta</w:t>
            </w:r>
          </w:p>
        </w:tc>
        <w:tc>
          <w:tcPr>
            <w:tcW w:w="933" w:type="dxa"/>
            <w:vMerge/>
            <w:tcBorders>
              <w:top w:val="nil"/>
              <w:left w:val="single" w:sz="4" w:space="0" w:color="808000"/>
              <w:bottom w:val="single" w:sz="8" w:space="0" w:color="000000"/>
              <w:right w:val="single" w:sz="4" w:space="0" w:color="808000"/>
            </w:tcBorders>
            <w:vAlign w:val="center"/>
            <w:hideMark/>
          </w:tcPr>
          <w:p w14:paraId="71E0EA01" w14:textId="77777777" w:rsidR="007A704A" w:rsidRPr="005C2BE6" w:rsidRDefault="007A704A">
            <w:pPr>
              <w:rPr>
                <w:rFonts w:asciiTheme="minorHAnsi" w:hAnsiTheme="minorHAnsi"/>
                <w:b/>
                <w:bCs/>
                <w:i/>
                <w:iCs/>
                <w:color w:val="000000"/>
                <w:sz w:val="16"/>
                <w:szCs w:val="16"/>
              </w:rPr>
            </w:pPr>
          </w:p>
        </w:tc>
        <w:tc>
          <w:tcPr>
            <w:tcW w:w="1380" w:type="dxa"/>
            <w:vMerge/>
            <w:tcBorders>
              <w:top w:val="nil"/>
              <w:left w:val="single" w:sz="4" w:space="0" w:color="808000"/>
              <w:bottom w:val="single" w:sz="8" w:space="0" w:color="000000"/>
              <w:right w:val="single" w:sz="8" w:space="0" w:color="auto"/>
            </w:tcBorders>
            <w:vAlign w:val="center"/>
            <w:hideMark/>
          </w:tcPr>
          <w:p w14:paraId="5C7E0EDD" w14:textId="77777777" w:rsidR="007A704A" w:rsidRPr="005C2BE6" w:rsidRDefault="007A704A">
            <w:pPr>
              <w:rPr>
                <w:rFonts w:asciiTheme="minorHAnsi" w:hAnsiTheme="minorHAnsi"/>
                <w:b/>
                <w:bCs/>
                <w:i/>
                <w:iCs/>
                <w:color w:val="000000"/>
                <w:sz w:val="16"/>
                <w:szCs w:val="16"/>
              </w:rPr>
            </w:pPr>
          </w:p>
        </w:tc>
        <w:tc>
          <w:tcPr>
            <w:tcW w:w="146" w:type="dxa"/>
            <w:tcBorders>
              <w:top w:val="nil"/>
              <w:left w:val="nil"/>
              <w:bottom w:val="nil"/>
              <w:right w:val="nil"/>
            </w:tcBorders>
            <w:shd w:val="clear" w:color="auto" w:fill="auto"/>
            <w:noWrap/>
            <w:vAlign w:val="bottom"/>
            <w:hideMark/>
          </w:tcPr>
          <w:p w14:paraId="6B0D20B4" w14:textId="77777777" w:rsidR="007A704A" w:rsidRPr="005C2BE6" w:rsidRDefault="007A704A">
            <w:pPr>
              <w:jc w:val="center"/>
              <w:rPr>
                <w:rFonts w:asciiTheme="minorHAnsi" w:hAnsiTheme="minorHAnsi"/>
                <w:b/>
                <w:bCs/>
                <w:i/>
                <w:iCs/>
                <w:color w:val="000000"/>
                <w:sz w:val="16"/>
                <w:szCs w:val="16"/>
              </w:rPr>
            </w:pPr>
          </w:p>
        </w:tc>
        <w:tc>
          <w:tcPr>
            <w:tcW w:w="1668" w:type="dxa"/>
            <w:vMerge/>
            <w:tcBorders>
              <w:top w:val="single" w:sz="4" w:space="0" w:color="auto"/>
              <w:left w:val="single" w:sz="4" w:space="0" w:color="auto"/>
              <w:bottom w:val="single" w:sz="8" w:space="0" w:color="000000"/>
              <w:right w:val="single" w:sz="4" w:space="0" w:color="808000"/>
            </w:tcBorders>
            <w:vAlign w:val="center"/>
            <w:hideMark/>
          </w:tcPr>
          <w:p w14:paraId="71AC9339" w14:textId="77777777" w:rsidR="007A704A" w:rsidRPr="005C2BE6" w:rsidRDefault="007A704A">
            <w:pPr>
              <w:rPr>
                <w:rFonts w:asciiTheme="minorHAnsi" w:hAnsiTheme="minorHAnsi"/>
                <w:b/>
                <w:bCs/>
                <w:i/>
                <w:iCs/>
                <w:color w:val="000000"/>
                <w:sz w:val="16"/>
                <w:szCs w:val="16"/>
              </w:rPr>
            </w:pPr>
          </w:p>
        </w:tc>
        <w:tc>
          <w:tcPr>
            <w:tcW w:w="788" w:type="dxa"/>
            <w:vMerge/>
            <w:tcBorders>
              <w:top w:val="nil"/>
              <w:left w:val="single" w:sz="4" w:space="0" w:color="808000"/>
              <w:bottom w:val="single" w:sz="8" w:space="0" w:color="000000"/>
              <w:right w:val="single" w:sz="4" w:space="0" w:color="808000"/>
            </w:tcBorders>
            <w:vAlign w:val="center"/>
            <w:hideMark/>
          </w:tcPr>
          <w:p w14:paraId="0498D909" w14:textId="77777777" w:rsidR="007A704A" w:rsidRPr="005C2BE6" w:rsidRDefault="007A704A">
            <w:pPr>
              <w:rPr>
                <w:rFonts w:asciiTheme="minorHAnsi" w:hAnsiTheme="minorHAnsi"/>
                <w:b/>
                <w:bCs/>
                <w:i/>
                <w:iCs/>
                <w:color w:val="000000"/>
                <w:sz w:val="16"/>
                <w:szCs w:val="16"/>
              </w:rPr>
            </w:pPr>
          </w:p>
        </w:tc>
        <w:tc>
          <w:tcPr>
            <w:tcW w:w="788" w:type="dxa"/>
            <w:vMerge/>
            <w:tcBorders>
              <w:top w:val="nil"/>
              <w:left w:val="single" w:sz="4" w:space="0" w:color="808000"/>
              <w:bottom w:val="single" w:sz="8" w:space="0" w:color="000000"/>
              <w:right w:val="single" w:sz="4" w:space="0" w:color="808000"/>
            </w:tcBorders>
            <w:vAlign w:val="center"/>
            <w:hideMark/>
          </w:tcPr>
          <w:p w14:paraId="76CAF453" w14:textId="77777777" w:rsidR="007A704A" w:rsidRPr="005C2BE6" w:rsidRDefault="007A704A">
            <w:pPr>
              <w:rPr>
                <w:rFonts w:asciiTheme="minorHAnsi" w:hAnsiTheme="minorHAnsi"/>
                <w:b/>
                <w:bCs/>
                <w:i/>
                <w:iCs/>
                <w:color w:val="000000"/>
                <w:sz w:val="16"/>
                <w:szCs w:val="16"/>
              </w:rPr>
            </w:pPr>
          </w:p>
        </w:tc>
        <w:tc>
          <w:tcPr>
            <w:tcW w:w="1589" w:type="dxa"/>
            <w:vMerge/>
            <w:tcBorders>
              <w:top w:val="single" w:sz="4" w:space="0" w:color="auto"/>
              <w:left w:val="single" w:sz="4" w:space="0" w:color="808000"/>
              <w:bottom w:val="single" w:sz="8" w:space="0" w:color="000000"/>
              <w:right w:val="single" w:sz="4" w:space="0" w:color="auto"/>
            </w:tcBorders>
            <w:vAlign w:val="center"/>
            <w:hideMark/>
          </w:tcPr>
          <w:p w14:paraId="630C0DFC" w14:textId="77777777" w:rsidR="007A704A" w:rsidRPr="005C2BE6" w:rsidRDefault="007A704A">
            <w:pPr>
              <w:rPr>
                <w:rFonts w:asciiTheme="minorHAnsi" w:hAnsiTheme="minorHAnsi"/>
                <w:b/>
                <w:bCs/>
                <w:i/>
                <w:iCs/>
                <w:color w:val="000000"/>
                <w:sz w:val="16"/>
                <w:szCs w:val="16"/>
              </w:rPr>
            </w:pPr>
          </w:p>
        </w:tc>
      </w:tr>
      <w:tr w:rsidR="007A704A" w:rsidRPr="005C2BE6" w14:paraId="3EB8CEC1" w14:textId="77777777" w:rsidTr="005C2BE6">
        <w:trPr>
          <w:trHeight w:val="20"/>
        </w:trPr>
        <w:tc>
          <w:tcPr>
            <w:tcW w:w="1204" w:type="dxa"/>
            <w:tcBorders>
              <w:top w:val="single" w:sz="4" w:space="0" w:color="808000"/>
              <w:left w:val="single" w:sz="8" w:space="0" w:color="auto"/>
              <w:bottom w:val="nil"/>
              <w:right w:val="single" w:sz="4" w:space="0" w:color="808000"/>
            </w:tcBorders>
            <w:shd w:val="clear" w:color="auto" w:fill="auto"/>
            <w:noWrap/>
            <w:vAlign w:val="center"/>
            <w:hideMark/>
          </w:tcPr>
          <w:p w14:paraId="5EE14E5B"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w:t>
            </w:r>
          </w:p>
        </w:tc>
        <w:tc>
          <w:tcPr>
            <w:tcW w:w="851" w:type="dxa"/>
            <w:tcBorders>
              <w:top w:val="single" w:sz="4" w:space="0" w:color="808000"/>
              <w:left w:val="single" w:sz="4" w:space="0" w:color="808000"/>
              <w:bottom w:val="nil"/>
              <w:right w:val="single" w:sz="4" w:space="0" w:color="808000"/>
            </w:tcBorders>
            <w:shd w:val="clear" w:color="auto" w:fill="auto"/>
            <w:noWrap/>
            <w:vAlign w:val="center"/>
            <w:hideMark/>
          </w:tcPr>
          <w:p w14:paraId="0487EBED"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09-abr-83</w:t>
            </w:r>
          </w:p>
        </w:tc>
        <w:tc>
          <w:tcPr>
            <w:tcW w:w="941" w:type="dxa"/>
            <w:tcBorders>
              <w:top w:val="single" w:sz="4" w:space="0" w:color="808000"/>
              <w:left w:val="single" w:sz="4" w:space="0" w:color="808000"/>
              <w:bottom w:val="nil"/>
              <w:right w:val="single" w:sz="4" w:space="0" w:color="808000"/>
            </w:tcBorders>
            <w:shd w:val="clear" w:color="auto" w:fill="auto"/>
            <w:noWrap/>
            <w:vAlign w:val="center"/>
            <w:hideMark/>
          </w:tcPr>
          <w:p w14:paraId="6D72A807" w14:textId="77777777" w:rsidR="007A704A" w:rsidRPr="005C2BE6" w:rsidRDefault="007A704A">
            <w:pPr>
              <w:jc w:val="right"/>
              <w:rPr>
                <w:rFonts w:asciiTheme="minorHAnsi" w:hAnsiTheme="minorHAnsi"/>
                <w:b/>
                <w:bCs/>
                <w:i/>
                <w:iCs/>
                <w:color w:val="000000"/>
                <w:sz w:val="16"/>
                <w:szCs w:val="16"/>
              </w:rPr>
            </w:pPr>
            <w:r w:rsidRPr="005C2BE6">
              <w:rPr>
                <w:rFonts w:asciiTheme="minorHAnsi" w:hAnsiTheme="minorHAnsi"/>
                <w:b/>
                <w:bCs/>
                <w:i/>
                <w:iCs/>
                <w:color w:val="000000"/>
                <w:sz w:val="16"/>
                <w:szCs w:val="16"/>
              </w:rPr>
              <w:t>31-dic-83</w:t>
            </w:r>
          </w:p>
        </w:tc>
        <w:tc>
          <w:tcPr>
            <w:tcW w:w="93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2A518F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267</w:t>
            </w:r>
          </w:p>
        </w:tc>
        <w:tc>
          <w:tcPr>
            <w:tcW w:w="1380" w:type="dxa"/>
            <w:tcBorders>
              <w:top w:val="single" w:sz="4" w:space="0" w:color="808000"/>
              <w:left w:val="single" w:sz="4" w:space="0" w:color="808000"/>
              <w:bottom w:val="nil"/>
              <w:right w:val="single" w:sz="8" w:space="0" w:color="auto"/>
            </w:tcBorders>
            <w:shd w:val="clear" w:color="auto" w:fill="auto"/>
            <w:noWrap/>
            <w:vAlign w:val="center"/>
            <w:hideMark/>
          </w:tcPr>
          <w:p w14:paraId="72BAADE3"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30.150,00 </w:t>
            </w:r>
          </w:p>
        </w:tc>
        <w:tc>
          <w:tcPr>
            <w:tcW w:w="146" w:type="dxa"/>
            <w:tcBorders>
              <w:top w:val="single" w:sz="4" w:space="0" w:color="808000"/>
              <w:left w:val="nil"/>
              <w:bottom w:val="nil"/>
              <w:right w:val="nil"/>
            </w:tcBorders>
            <w:shd w:val="clear" w:color="auto" w:fill="auto"/>
            <w:noWrap/>
            <w:vAlign w:val="center"/>
            <w:hideMark/>
          </w:tcPr>
          <w:p w14:paraId="7EADE395" w14:textId="77777777" w:rsidR="007A704A" w:rsidRPr="005C2BE6" w:rsidRDefault="007A704A">
            <w:pPr>
              <w:rPr>
                <w:rFonts w:asciiTheme="minorHAnsi" w:hAnsiTheme="minorHAnsi"/>
                <w:b/>
                <w:bCs/>
                <w:i/>
                <w:iCs/>
                <w:color w:val="000000"/>
                <w:sz w:val="16"/>
                <w:szCs w:val="16"/>
              </w:rPr>
            </w:pPr>
          </w:p>
        </w:tc>
        <w:tc>
          <w:tcPr>
            <w:tcW w:w="166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7000D0B9"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389.832,98 </w:t>
            </w:r>
          </w:p>
        </w:tc>
        <w:tc>
          <w:tcPr>
            <w:tcW w:w="7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A544450"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26,15 </w:t>
            </w:r>
          </w:p>
        </w:tc>
        <w:tc>
          <w:tcPr>
            <w:tcW w:w="7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DCD9BB0"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2,02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3DA74A0"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28.913 </w:t>
            </w:r>
          </w:p>
        </w:tc>
      </w:tr>
      <w:tr w:rsidR="007A704A" w:rsidRPr="005C2BE6" w14:paraId="05EB1AB6" w14:textId="77777777" w:rsidTr="005C2BE6">
        <w:trPr>
          <w:trHeight w:val="20"/>
        </w:trPr>
        <w:tc>
          <w:tcPr>
            <w:tcW w:w="1204" w:type="dxa"/>
            <w:tcBorders>
              <w:top w:val="nil"/>
              <w:left w:val="single" w:sz="8" w:space="0" w:color="auto"/>
              <w:bottom w:val="nil"/>
              <w:right w:val="single" w:sz="4" w:space="0" w:color="808000"/>
            </w:tcBorders>
            <w:shd w:val="clear" w:color="auto" w:fill="auto"/>
            <w:noWrap/>
            <w:vAlign w:val="center"/>
            <w:hideMark/>
          </w:tcPr>
          <w:p w14:paraId="52E09788"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w:t>
            </w:r>
          </w:p>
        </w:tc>
        <w:tc>
          <w:tcPr>
            <w:tcW w:w="851" w:type="dxa"/>
            <w:tcBorders>
              <w:top w:val="nil"/>
              <w:left w:val="nil"/>
              <w:bottom w:val="nil"/>
              <w:right w:val="single" w:sz="4" w:space="0" w:color="808000"/>
            </w:tcBorders>
            <w:shd w:val="clear" w:color="auto" w:fill="auto"/>
            <w:noWrap/>
            <w:vAlign w:val="center"/>
            <w:hideMark/>
          </w:tcPr>
          <w:p w14:paraId="0D2218F2"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01-ene-84</w:t>
            </w:r>
          </w:p>
        </w:tc>
        <w:tc>
          <w:tcPr>
            <w:tcW w:w="941" w:type="dxa"/>
            <w:tcBorders>
              <w:top w:val="nil"/>
              <w:left w:val="nil"/>
              <w:bottom w:val="nil"/>
              <w:right w:val="single" w:sz="4" w:space="0" w:color="808000"/>
            </w:tcBorders>
            <w:shd w:val="clear" w:color="auto" w:fill="auto"/>
            <w:noWrap/>
            <w:vAlign w:val="center"/>
            <w:hideMark/>
          </w:tcPr>
          <w:p w14:paraId="7023BBE6" w14:textId="77777777" w:rsidR="007A704A" w:rsidRPr="005C2BE6" w:rsidRDefault="007A704A">
            <w:pPr>
              <w:jc w:val="right"/>
              <w:rPr>
                <w:rFonts w:asciiTheme="minorHAnsi" w:hAnsiTheme="minorHAnsi"/>
                <w:b/>
                <w:bCs/>
                <w:i/>
                <w:iCs/>
                <w:color w:val="000000"/>
                <w:sz w:val="16"/>
                <w:szCs w:val="16"/>
              </w:rPr>
            </w:pPr>
            <w:r w:rsidRPr="005C2BE6">
              <w:rPr>
                <w:rFonts w:asciiTheme="minorHAnsi" w:hAnsiTheme="minorHAnsi"/>
                <w:b/>
                <w:bCs/>
                <w:i/>
                <w:iCs/>
                <w:color w:val="000000"/>
                <w:sz w:val="16"/>
                <w:szCs w:val="16"/>
              </w:rPr>
              <w:t>29-feb-84</w:t>
            </w:r>
          </w:p>
        </w:tc>
        <w:tc>
          <w:tcPr>
            <w:tcW w:w="933" w:type="dxa"/>
            <w:tcBorders>
              <w:top w:val="nil"/>
              <w:left w:val="nil"/>
              <w:bottom w:val="single" w:sz="4" w:space="0" w:color="808000"/>
              <w:right w:val="single" w:sz="4" w:space="0" w:color="808000"/>
            </w:tcBorders>
            <w:shd w:val="clear" w:color="auto" w:fill="auto"/>
            <w:noWrap/>
            <w:vAlign w:val="center"/>
            <w:hideMark/>
          </w:tcPr>
          <w:p w14:paraId="25EC6B68"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60</w:t>
            </w:r>
          </w:p>
        </w:tc>
        <w:tc>
          <w:tcPr>
            <w:tcW w:w="1380" w:type="dxa"/>
            <w:tcBorders>
              <w:top w:val="nil"/>
              <w:left w:val="nil"/>
              <w:bottom w:val="nil"/>
              <w:right w:val="single" w:sz="8" w:space="0" w:color="auto"/>
            </w:tcBorders>
            <w:shd w:val="clear" w:color="auto" w:fill="auto"/>
            <w:noWrap/>
            <w:vAlign w:val="center"/>
            <w:hideMark/>
          </w:tcPr>
          <w:p w14:paraId="79E12A34"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39.310,00 </w:t>
            </w:r>
          </w:p>
        </w:tc>
        <w:tc>
          <w:tcPr>
            <w:tcW w:w="146" w:type="dxa"/>
            <w:tcBorders>
              <w:top w:val="nil"/>
              <w:left w:val="nil"/>
              <w:bottom w:val="nil"/>
              <w:right w:val="nil"/>
            </w:tcBorders>
            <w:shd w:val="clear" w:color="auto" w:fill="auto"/>
            <w:noWrap/>
            <w:vAlign w:val="center"/>
            <w:hideMark/>
          </w:tcPr>
          <w:p w14:paraId="4E1CFA49" w14:textId="77777777" w:rsidR="007A704A" w:rsidRPr="005C2BE6" w:rsidRDefault="007A704A">
            <w:pPr>
              <w:rPr>
                <w:rFonts w:asciiTheme="minorHAnsi" w:hAnsiTheme="minorHAnsi"/>
                <w:b/>
                <w:bCs/>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48BAA3DA"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435.769,94 </w:t>
            </w:r>
          </w:p>
        </w:tc>
        <w:tc>
          <w:tcPr>
            <w:tcW w:w="788" w:type="dxa"/>
            <w:tcBorders>
              <w:top w:val="nil"/>
              <w:left w:val="nil"/>
              <w:bottom w:val="single" w:sz="4" w:space="0" w:color="808000"/>
              <w:right w:val="single" w:sz="4" w:space="0" w:color="808000"/>
            </w:tcBorders>
            <w:shd w:val="clear" w:color="auto" w:fill="auto"/>
            <w:noWrap/>
            <w:vAlign w:val="center"/>
            <w:hideMark/>
          </w:tcPr>
          <w:p w14:paraId="3B2CBA29"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3DEE9A2D"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2,36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59D7DA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7.263 </w:t>
            </w:r>
          </w:p>
        </w:tc>
      </w:tr>
      <w:tr w:rsidR="007A704A" w:rsidRPr="005C2BE6" w14:paraId="58B1AE79" w14:textId="77777777" w:rsidTr="005C2BE6">
        <w:trPr>
          <w:trHeight w:val="20"/>
        </w:trPr>
        <w:tc>
          <w:tcPr>
            <w:tcW w:w="1204"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276C68D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single" w:sz="4" w:space="0" w:color="808000"/>
              <w:left w:val="nil"/>
              <w:bottom w:val="single" w:sz="4" w:space="0" w:color="808000"/>
              <w:right w:val="single" w:sz="4" w:space="0" w:color="808000"/>
            </w:tcBorders>
            <w:shd w:val="clear" w:color="auto" w:fill="auto"/>
            <w:noWrap/>
            <w:vAlign w:val="center"/>
            <w:hideMark/>
          </w:tcPr>
          <w:p w14:paraId="04FE1CA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01-mar-84</w:t>
            </w:r>
          </w:p>
        </w:tc>
        <w:tc>
          <w:tcPr>
            <w:tcW w:w="941" w:type="dxa"/>
            <w:tcBorders>
              <w:top w:val="single" w:sz="4" w:space="0" w:color="808000"/>
              <w:left w:val="nil"/>
              <w:bottom w:val="single" w:sz="4" w:space="0" w:color="808000"/>
              <w:right w:val="single" w:sz="4" w:space="0" w:color="808000"/>
            </w:tcBorders>
            <w:shd w:val="clear" w:color="auto" w:fill="auto"/>
            <w:noWrap/>
            <w:vAlign w:val="center"/>
            <w:hideMark/>
          </w:tcPr>
          <w:p w14:paraId="239EF144"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31-dic-84</w:t>
            </w:r>
          </w:p>
        </w:tc>
        <w:tc>
          <w:tcPr>
            <w:tcW w:w="933" w:type="dxa"/>
            <w:tcBorders>
              <w:top w:val="nil"/>
              <w:left w:val="nil"/>
              <w:bottom w:val="single" w:sz="4" w:space="0" w:color="808000"/>
              <w:right w:val="single" w:sz="4" w:space="0" w:color="808000"/>
            </w:tcBorders>
            <w:shd w:val="clear" w:color="auto" w:fill="auto"/>
            <w:noWrap/>
            <w:vAlign w:val="center"/>
            <w:hideMark/>
          </w:tcPr>
          <w:p w14:paraId="239A7E12"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306</w:t>
            </w:r>
          </w:p>
        </w:tc>
        <w:tc>
          <w:tcPr>
            <w:tcW w:w="1380" w:type="dxa"/>
            <w:tcBorders>
              <w:top w:val="single" w:sz="4" w:space="0" w:color="808000"/>
              <w:left w:val="nil"/>
              <w:bottom w:val="single" w:sz="4" w:space="0" w:color="808000"/>
              <w:right w:val="single" w:sz="8" w:space="0" w:color="auto"/>
            </w:tcBorders>
            <w:shd w:val="clear" w:color="auto" w:fill="auto"/>
            <w:noWrap/>
            <w:vAlign w:val="center"/>
            <w:hideMark/>
          </w:tcPr>
          <w:p w14:paraId="78E32D2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41.040,00 </w:t>
            </w:r>
          </w:p>
        </w:tc>
        <w:tc>
          <w:tcPr>
            <w:tcW w:w="146" w:type="dxa"/>
            <w:tcBorders>
              <w:top w:val="nil"/>
              <w:left w:val="nil"/>
              <w:bottom w:val="nil"/>
              <w:right w:val="nil"/>
            </w:tcBorders>
            <w:shd w:val="clear" w:color="auto" w:fill="auto"/>
            <w:noWrap/>
            <w:vAlign w:val="bottom"/>
            <w:hideMark/>
          </w:tcPr>
          <w:p w14:paraId="3E47852F"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58CD4473"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454.947,81 </w:t>
            </w:r>
          </w:p>
        </w:tc>
        <w:tc>
          <w:tcPr>
            <w:tcW w:w="788" w:type="dxa"/>
            <w:tcBorders>
              <w:top w:val="nil"/>
              <w:left w:val="nil"/>
              <w:bottom w:val="single" w:sz="4" w:space="0" w:color="808000"/>
              <w:right w:val="single" w:sz="4" w:space="0" w:color="808000"/>
            </w:tcBorders>
            <w:shd w:val="clear" w:color="auto" w:fill="auto"/>
            <w:noWrap/>
            <w:vAlign w:val="center"/>
            <w:hideMark/>
          </w:tcPr>
          <w:p w14:paraId="55C7CA9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6CB3E26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2,36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C00E08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38.671 </w:t>
            </w:r>
          </w:p>
        </w:tc>
      </w:tr>
      <w:tr w:rsidR="007A704A" w:rsidRPr="005C2BE6" w14:paraId="2C921569"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337F2A3B"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3083DDD8"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01-ene-85</w:t>
            </w:r>
          </w:p>
        </w:tc>
        <w:tc>
          <w:tcPr>
            <w:tcW w:w="941" w:type="dxa"/>
            <w:tcBorders>
              <w:top w:val="nil"/>
              <w:left w:val="nil"/>
              <w:bottom w:val="single" w:sz="4" w:space="0" w:color="808000"/>
              <w:right w:val="single" w:sz="4" w:space="0" w:color="808000"/>
            </w:tcBorders>
            <w:shd w:val="clear" w:color="auto" w:fill="auto"/>
            <w:noWrap/>
            <w:vAlign w:val="center"/>
            <w:hideMark/>
          </w:tcPr>
          <w:p w14:paraId="4DE27B17"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31-dic-85</w:t>
            </w:r>
          </w:p>
        </w:tc>
        <w:tc>
          <w:tcPr>
            <w:tcW w:w="933" w:type="dxa"/>
            <w:tcBorders>
              <w:top w:val="nil"/>
              <w:left w:val="nil"/>
              <w:bottom w:val="single" w:sz="4" w:space="0" w:color="808000"/>
              <w:right w:val="single" w:sz="4" w:space="0" w:color="808000"/>
            </w:tcBorders>
            <w:shd w:val="clear" w:color="auto" w:fill="auto"/>
            <w:noWrap/>
            <w:vAlign w:val="center"/>
            <w:hideMark/>
          </w:tcPr>
          <w:p w14:paraId="0498F01C"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365</w:t>
            </w:r>
          </w:p>
        </w:tc>
        <w:tc>
          <w:tcPr>
            <w:tcW w:w="1380" w:type="dxa"/>
            <w:tcBorders>
              <w:top w:val="nil"/>
              <w:left w:val="nil"/>
              <w:bottom w:val="single" w:sz="4" w:space="0" w:color="808000"/>
              <w:right w:val="single" w:sz="8" w:space="0" w:color="auto"/>
            </w:tcBorders>
            <w:shd w:val="clear" w:color="auto" w:fill="auto"/>
            <w:noWrap/>
            <w:vAlign w:val="center"/>
            <w:hideMark/>
          </w:tcPr>
          <w:p w14:paraId="7A4011F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47.370,00 </w:t>
            </w:r>
          </w:p>
        </w:tc>
        <w:tc>
          <w:tcPr>
            <w:tcW w:w="146" w:type="dxa"/>
            <w:tcBorders>
              <w:top w:val="nil"/>
              <w:left w:val="nil"/>
              <w:bottom w:val="nil"/>
              <w:right w:val="nil"/>
            </w:tcBorders>
            <w:shd w:val="clear" w:color="auto" w:fill="auto"/>
            <w:noWrap/>
            <w:vAlign w:val="bottom"/>
            <w:hideMark/>
          </w:tcPr>
          <w:p w14:paraId="06FE7951"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6B80D5A4"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443.949,06 </w:t>
            </w:r>
          </w:p>
        </w:tc>
        <w:tc>
          <w:tcPr>
            <w:tcW w:w="788" w:type="dxa"/>
            <w:tcBorders>
              <w:top w:val="nil"/>
              <w:left w:val="nil"/>
              <w:bottom w:val="single" w:sz="4" w:space="0" w:color="808000"/>
              <w:right w:val="single" w:sz="4" w:space="0" w:color="808000"/>
            </w:tcBorders>
            <w:shd w:val="clear" w:color="auto" w:fill="auto"/>
            <w:noWrap/>
            <w:vAlign w:val="center"/>
            <w:hideMark/>
          </w:tcPr>
          <w:p w14:paraId="4890DDC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7898F60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2,79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F23697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45.012 </w:t>
            </w:r>
          </w:p>
        </w:tc>
      </w:tr>
      <w:tr w:rsidR="007A704A" w:rsidRPr="005C2BE6" w14:paraId="0E30CC26"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7B4C176F"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312C09AB"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01-ene-86</w:t>
            </w:r>
          </w:p>
        </w:tc>
        <w:tc>
          <w:tcPr>
            <w:tcW w:w="941" w:type="dxa"/>
            <w:tcBorders>
              <w:top w:val="nil"/>
              <w:left w:val="nil"/>
              <w:bottom w:val="single" w:sz="4" w:space="0" w:color="808000"/>
              <w:right w:val="single" w:sz="4" w:space="0" w:color="808000"/>
            </w:tcBorders>
            <w:shd w:val="clear" w:color="auto" w:fill="auto"/>
            <w:noWrap/>
            <w:vAlign w:val="center"/>
            <w:hideMark/>
          </w:tcPr>
          <w:p w14:paraId="017BA0D8"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31-ene-86</w:t>
            </w:r>
          </w:p>
        </w:tc>
        <w:tc>
          <w:tcPr>
            <w:tcW w:w="933" w:type="dxa"/>
            <w:tcBorders>
              <w:top w:val="nil"/>
              <w:left w:val="nil"/>
              <w:bottom w:val="single" w:sz="4" w:space="0" w:color="808000"/>
              <w:right w:val="single" w:sz="4" w:space="0" w:color="808000"/>
            </w:tcBorders>
            <w:shd w:val="clear" w:color="auto" w:fill="auto"/>
            <w:noWrap/>
            <w:vAlign w:val="center"/>
            <w:hideMark/>
          </w:tcPr>
          <w:p w14:paraId="7ED62906"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78F0D1F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54.630,00 </w:t>
            </w:r>
          </w:p>
        </w:tc>
        <w:tc>
          <w:tcPr>
            <w:tcW w:w="146" w:type="dxa"/>
            <w:tcBorders>
              <w:top w:val="nil"/>
              <w:left w:val="nil"/>
              <w:bottom w:val="nil"/>
              <w:right w:val="nil"/>
            </w:tcBorders>
            <w:shd w:val="clear" w:color="auto" w:fill="auto"/>
            <w:noWrap/>
            <w:vAlign w:val="bottom"/>
            <w:hideMark/>
          </w:tcPr>
          <w:p w14:paraId="49B44082"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231B893B"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418.119,13 </w:t>
            </w:r>
          </w:p>
        </w:tc>
        <w:tc>
          <w:tcPr>
            <w:tcW w:w="788" w:type="dxa"/>
            <w:tcBorders>
              <w:top w:val="nil"/>
              <w:left w:val="nil"/>
              <w:bottom w:val="single" w:sz="4" w:space="0" w:color="808000"/>
              <w:right w:val="single" w:sz="4" w:space="0" w:color="808000"/>
            </w:tcBorders>
            <w:shd w:val="clear" w:color="auto" w:fill="auto"/>
            <w:noWrap/>
            <w:vAlign w:val="center"/>
            <w:hideMark/>
          </w:tcPr>
          <w:p w14:paraId="726C534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40C3C97F"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3,42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215ECF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3.600 </w:t>
            </w:r>
          </w:p>
        </w:tc>
      </w:tr>
      <w:tr w:rsidR="007A704A" w:rsidRPr="005C2BE6" w14:paraId="542135E8"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0114906C"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0CF51EB5"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01-feb-86</w:t>
            </w:r>
          </w:p>
        </w:tc>
        <w:tc>
          <w:tcPr>
            <w:tcW w:w="941" w:type="dxa"/>
            <w:tcBorders>
              <w:top w:val="nil"/>
              <w:left w:val="nil"/>
              <w:bottom w:val="single" w:sz="4" w:space="0" w:color="808000"/>
              <w:right w:val="single" w:sz="4" w:space="0" w:color="808000"/>
            </w:tcBorders>
            <w:shd w:val="clear" w:color="auto" w:fill="auto"/>
            <w:noWrap/>
            <w:vAlign w:val="center"/>
            <w:hideMark/>
          </w:tcPr>
          <w:p w14:paraId="32A7C452"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30-abr-86</w:t>
            </w:r>
          </w:p>
        </w:tc>
        <w:tc>
          <w:tcPr>
            <w:tcW w:w="933" w:type="dxa"/>
            <w:tcBorders>
              <w:top w:val="nil"/>
              <w:left w:val="nil"/>
              <w:bottom w:val="single" w:sz="4" w:space="0" w:color="808000"/>
              <w:right w:val="single" w:sz="4" w:space="0" w:color="808000"/>
            </w:tcBorders>
            <w:shd w:val="clear" w:color="auto" w:fill="auto"/>
            <w:noWrap/>
            <w:vAlign w:val="center"/>
            <w:hideMark/>
          </w:tcPr>
          <w:p w14:paraId="6923567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89</w:t>
            </w:r>
          </w:p>
        </w:tc>
        <w:tc>
          <w:tcPr>
            <w:tcW w:w="1380" w:type="dxa"/>
            <w:tcBorders>
              <w:top w:val="nil"/>
              <w:left w:val="nil"/>
              <w:bottom w:val="single" w:sz="4" w:space="0" w:color="808000"/>
              <w:right w:val="single" w:sz="8" w:space="0" w:color="auto"/>
            </w:tcBorders>
            <w:shd w:val="clear" w:color="auto" w:fill="auto"/>
            <w:noWrap/>
            <w:vAlign w:val="center"/>
            <w:hideMark/>
          </w:tcPr>
          <w:p w14:paraId="0BB8FF2B"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79.290,00 </w:t>
            </w:r>
          </w:p>
        </w:tc>
        <w:tc>
          <w:tcPr>
            <w:tcW w:w="146" w:type="dxa"/>
            <w:tcBorders>
              <w:top w:val="nil"/>
              <w:left w:val="nil"/>
              <w:bottom w:val="nil"/>
              <w:right w:val="nil"/>
            </w:tcBorders>
            <w:shd w:val="clear" w:color="auto" w:fill="auto"/>
            <w:noWrap/>
            <w:vAlign w:val="bottom"/>
            <w:hideMark/>
          </w:tcPr>
          <w:p w14:paraId="5321CE04"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52E94E89"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606.858,25 </w:t>
            </w:r>
          </w:p>
        </w:tc>
        <w:tc>
          <w:tcPr>
            <w:tcW w:w="788" w:type="dxa"/>
            <w:tcBorders>
              <w:top w:val="nil"/>
              <w:left w:val="nil"/>
              <w:bottom w:val="single" w:sz="4" w:space="0" w:color="808000"/>
              <w:right w:val="single" w:sz="4" w:space="0" w:color="808000"/>
            </w:tcBorders>
            <w:shd w:val="clear" w:color="auto" w:fill="auto"/>
            <w:noWrap/>
            <w:vAlign w:val="center"/>
            <w:hideMark/>
          </w:tcPr>
          <w:p w14:paraId="5B76CAD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77516C1B"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3,42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9AD304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15.003 </w:t>
            </w:r>
          </w:p>
        </w:tc>
      </w:tr>
      <w:tr w:rsidR="007A704A" w:rsidRPr="005C2BE6" w14:paraId="5A9B33E5" w14:textId="77777777" w:rsidTr="005C2BE6">
        <w:trPr>
          <w:trHeight w:val="20"/>
        </w:trPr>
        <w:tc>
          <w:tcPr>
            <w:tcW w:w="1204"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14:paraId="191DEEA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single" w:sz="4" w:space="0" w:color="000000"/>
              <w:left w:val="nil"/>
              <w:bottom w:val="single" w:sz="4" w:space="0" w:color="000000"/>
              <w:right w:val="single" w:sz="4" w:space="0" w:color="808000"/>
            </w:tcBorders>
            <w:shd w:val="clear" w:color="auto" w:fill="auto"/>
            <w:noWrap/>
            <w:vAlign w:val="center"/>
            <w:hideMark/>
          </w:tcPr>
          <w:p w14:paraId="2C587F2A"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01-may-86</w:t>
            </w:r>
          </w:p>
        </w:tc>
        <w:tc>
          <w:tcPr>
            <w:tcW w:w="941" w:type="dxa"/>
            <w:tcBorders>
              <w:top w:val="single" w:sz="4" w:space="0" w:color="000000"/>
              <w:left w:val="nil"/>
              <w:bottom w:val="single" w:sz="4" w:space="0" w:color="000000"/>
              <w:right w:val="single" w:sz="4" w:space="0" w:color="808000"/>
            </w:tcBorders>
            <w:shd w:val="clear" w:color="auto" w:fill="auto"/>
            <w:noWrap/>
            <w:vAlign w:val="center"/>
            <w:hideMark/>
          </w:tcPr>
          <w:p w14:paraId="5A133E94"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31-dic-86</w:t>
            </w:r>
          </w:p>
        </w:tc>
        <w:tc>
          <w:tcPr>
            <w:tcW w:w="933" w:type="dxa"/>
            <w:tcBorders>
              <w:top w:val="nil"/>
              <w:left w:val="nil"/>
              <w:bottom w:val="single" w:sz="4" w:space="0" w:color="808000"/>
              <w:right w:val="single" w:sz="4" w:space="0" w:color="808000"/>
            </w:tcBorders>
            <w:shd w:val="clear" w:color="auto" w:fill="auto"/>
            <w:noWrap/>
            <w:vAlign w:val="center"/>
            <w:hideMark/>
          </w:tcPr>
          <w:p w14:paraId="2F54A92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245</w:t>
            </w:r>
          </w:p>
        </w:tc>
        <w:tc>
          <w:tcPr>
            <w:tcW w:w="1380" w:type="dxa"/>
            <w:tcBorders>
              <w:top w:val="single" w:sz="4" w:space="0" w:color="000000"/>
              <w:left w:val="nil"/>
              <w:bottom w:val="single" w:sz="4" w:space="0" w:color="000000"/>
              <w:right w:val="single" w:sz="8" w:space="0" w:color="auto"/>
            </w:tcBorders>
            <w:shd w:val="clear" w:color="auto" w:fill="auto"/>
            <w:noWrap/>
            <w:vAlign w:val="center"/>
            <w:hideMark/>
          </w:tcPr>
          <w:p w14:paraId="5DEB156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54.630,00 </w:t>
            </w:r>
          </w:p>
        </w:tc>
        <w:tc>
          <w:tcPr>
            <w:tcW w:w="146" w:type="dxa"/>
            <w:tcBorders>
              <w:top w:val="nil"/>
              <w:left w:val="nil"/>
              <w:bottom w:val="nil"/>
              <w:right w:val="nil"/>
            </w:tcBorders>
            <w:shd w:val="clear" w:color="auto" w:fill="auto"/>
            <w:noWrap/>
            <w:vAlign w:val="bottom"/>
            <w:hideMark/>
          </w:tcPr>
          <w:p w14:paraId="1EA06257"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nil"/>
              <w:right w:val="single" w:sz="4" w:space="0" w:color="000000"/>
            </w:tcBorders>
            <w:shd w:val="clear" w:color="000000" w:fill="FFFF99"/>
            <w:noWrap/>
            <w:vAlign w:val="center"/>
            <w:hideMark/>
          </w:tcPr>
          <w:p w14:paraId="09E96240"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418.119,13 </w:t>
            </w:r>
          </w:p>
        </w:tc>
        <w:tc>
          <w:tcPr>
            <w:tcW w:w="788" w:type="dxa"/>
            <w:tcBorders>
              <w:top w:val="nil"/>
              <w:left w:val="nil"/>
              <w:bottom w:val="nil"/>
              <w:right w:val="single" w:sz="4" w:space="0" w:color="000000"/>
            </w:tcBorders>
            <w:shd w:val="clear" w:color="auto" w:fill="auto"/>
            <w:noWrap/>
            <w:vAlign w:val="center"/>
            <w:hideMark/>
          </w:tcPr>
          <w:p w14:paraId="596ADF08"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nil"/>
              <w:right w:val="single" w:sz="4" w:space="0" w:color="000000"/>
            </w:tcBorders>
            <w:shd w:val="clear" w:color="auto" w:fill="auto"/>
            <w:noWrap/>
            <w:vAlign w:val="center"/>
            <w:hideMark/>
          </w:tcPr>
          <w:p w14:paraId="73FB0F1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3,42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17E053A"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28.455 </w:t>
            </w:r>
          </w:p>
        </w:tc>
      </w:tr>
      <w:tr w:rsidR="007A704A" w:rsidRPr="005C2BE6" w14:paraId="2F3C06C5" w14:textId="77777777" w:rsidTr="005C2BE6">
        <w:trPr>
          <w:trHeight w:val="20"/>
        </w:trPr>
        <w:tc>
          <w:tcPr>
            <w:tcW w:w="1204"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0F22D061"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single" w:sz="4" w:space="0" w:color="808000"/>
              <w:left w:val="nil"/>
              <w:bottom w:val="single" w:sz="4" w:space="0" w:color="808000"/>
              <w:right w:val="single" w:sz="4" w:space="0" w:color="808000"/>
            </w:tcBorders>
            <w:shd w:val="clear" w:color="auto" w:fill="auto"/>
            <w:noWrap/>
            <w:vAlign w:val="center"/>
            <w:hideMark/>
          </w:tcPr>
          <w:p w14:paraId="45A0E5AA"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01-ene-87</w:t>
            </w:r>
          </w:p>
        </w:tc>
        <w:tc>
          <w:tcPr>
            <w:tcW w:w="941" w:type="dxa"/>
            <w:tcBorders>
              <w:top w:val="single" w:sz="4" w:space="0" w:color="808000"/>
              <w:left w:val="nil"/>
              <w:bottom w:val="single" w:sz="4" w:space="0" w:color="808000"/>
              <w:right w:val="single" w:sz="4" w:space="0" w:color="808000"/>
            </w:tcBorders>
            <w:shd w:val="clear" w:color="auto" w:fill="auto"/>
            <w:noWrap/>
            <w:vAlign w:val="center"/>
            <w:hideMark/>
          </w:tcPr>
          <w:p w14:paraId="48978F16"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31-dic-87</w:t>
            </w:r>
          </w:p>
        </w:tc>
        <w:tc>
          <w:tcPr>
            <w:tcW w:w="933" w:type="dxa"/>
            <w:tcBorders>
              <w:top w:val="nil"/>
              <w:left w:val="nil"/>
              <w:bottom w:val="single" w:sz="4" w:space="0" w:color="808000"/>
              <w:right w:val="single" w:sz="4" w:space="0" w:color="808000"/>
            </w:tcBorders>
            <w:shd w:val="clear" w:color="auto" w:fill="auto"/>
            <w:noWrap/>
            <w:vAlign w:val="center"/>
            <w:hideMark/>
          </w:tcPr>
          <w:p w14:paraId="79592125"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365</w:t>
            </w:r>
          </w:p>
        </w:tc>
        <w:tc>
          <w:tcPr>
            <w:tcW w:w="1380" w:type="dxa"/>
            <w:tcBorders>
              <w:top w:val="single" w:sz="4" w:space="0" w:color="808000"/>
              <w:left w:val="nil"/>
              <w:bottom w:val="single" w:sz="4" w:space="0" w:color="808000"/>
              <w:right w:val="single" w:sz="8" w:space="0" w:color="auto"/>
            </w:tcBorders>
            <w:shd w:val="clear" w:color="auto" w:fill="auto"/>
            <w:noWrap/>
            <w:vAlign w:val="center"/>
            <w:hideMark/>
          </w:tcPr>
          <w:p w14:paraId="6B5986B1"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70.260,00 </w:t>
            </w:r>
          </w:p>
        </w:tc>
        <w:tc>
          <w:tcPr>
            <w:tcW w:w="146" w:type="dxa"/>
            <w:tcBorders>
              <w:top w:val="nil"/>
              <w:left w:val="nil"/>
              <w:bottom w:val="nil"/>
              <w:right w:val="nil"/>
            </w:tcBorders>
            <w:shd w:val="clear" w:color="auto" w:fill="auto"/>
            <w:noWrap/>
            <w:vAlign w:val="bottom"/>
            <w:hideMark/>
          </w:tcPr>
          <w:p w14:paraId="6491370C" w14:textId="77777777" w:rsidR="007A704A" w:rsidRPr="005C2BE6" w:rsidRDefault="007A704A">
            <w:pPr>
              <w:rPr>
                <w:rFonts w:asciiTheme="minorHAnsi" w:hAnsiTheme="minorHAnsi"/>
                <w:i/>
                <w:iCs/>
                <w:color w:val="000000"/>
                <w:sz w:val="16"/>
                <w:szCs w:val="16"/>
              </w:rPr>
            </w:pPr>
          </w:p>
        </w:tc>
        <w:tc>
          <w:tcPr>
            <w:tcW w:w="166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31F9C637"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444.614,03 </w:t>
            </w:r>
          </w:p>
        </w:tc>
        <w:tc>
          <w:tcPr>
            <w:tcW w:w="788" w:type="dxa"/>
            <w:tcBorders>
              <w:top w:val="single" w:sz="4" w:space="0" w:color="808000"/>
              <w:left w:val="nil"/>
              <w:bottom w:val="single" w:sz="4" w:space="0" w:color="808000"/>
              <w:right w:val="single" w:sz="4" w:space="0" w:color="808000"/>
            </w:tcBorders>
            <w:shd w:val="clear" w:color="auto" w:fill="auto"/>
            <w:noWrap/>
            <w:vAlign w:val="center"/>
            <w:hideMark/>
          </w:tcPr>
          <w:p w14:paraId="5635F35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single" w:sz="4" w:space="0" w:color="808000"/>
              <w:left w:val="nil"/>
              <w:bottom w:val="single" w:sz="4" w:space="0" w:color="808000"/>
              <w:right w:val="single" w:sz="4" w:space="0" w:color="808000"/>
            </w:tcBorders>
            <w:shd w:val="clear" w:color="auto" w:fill="auto"/>
            <w:noWrap/>
            <w:vAlign w:val="center"/>
            <w:hideMark/>
          </w:tcPr>
          <w:p w14:paraId="6EC41AE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4,13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448FDC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45.079 </w:t>
            </w:r>
          </w:p>
        </w:tc>
      </w:tr>
      <w:tr w:rsidR="007A704A" w:rsidRPr="005C2BE6" w14:paraId="31609977"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2CDC80D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2246B62F"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01-ene-88</w:t>
            </w:r>
          </w:p>
        </w:tc>
        <w:tc>
          <w:tcPr>
            <w:tcW w:w="941" w:type="dxa"/>
            <w:tcBorders>
              <w:top w:val="nil"/>
              <w:left w:val="nil"/>
              <w:bottom w:val="single" w:sz="4" w:space="0" w:color="808000"/>
              <w:right w:val="single" w:sz="4" w:space="0" w:color="808000"/>
            </w:tcBorders>
            <w:shd w:val="clear" w:color="auto" w:fill="auto"/>
            <w:noWrap/>
            <w:vAlign w:val="center"/>
            <w:hideMark/>
          </w:tcPr>
          <w:p w14:paraId="0DC7DDE7"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31-ene-88</w:t>
            </w:r>
          </w:p>
        </w:tc>
        <w:tc>
          <w:tcPr>
            <w:tcW w:w="933" w:type="dxa"/>
            <w:tcBorders>
              <w:top w:val="nil"/>
              <w:left w:val="nil"/>
              <w:bottom w:val="single" w:sz="4" w:space="0" w:color="808000"/>
              <w:right w:val="single" w:sz="4" w:space="0" w:color="808000"/>
            </w:tcBorders>
            <w:shd w:val="clear" w:color="auto" w:fill="auto"/>
            <w:noWrap/>
            <w:vAlign w:val="center"/>
            <w:hideMark/>
          </w:tcPr>
          <w:p w14:paraId="47989C9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44BB429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70.260,00 </w:t>
            </w:r>
          </w:p>
        </w:tc>
        <w:tc>
          <w:tcPr>
            <w:tcW w:w="146" w:type="dxa"/>
            <w:tcBorders>
              <w:top w:val="nil"/>
              <w:left w:val="nil"/>
              <w:bottom w:val="nil"/>
              <w:right w:val="nil"/>
            </w:tcBorders>
            <w:shd w:val="clear" w:color="auto" w:fill="auto"/>
            <w:noWrap/>
            <w:vAlign w:val="bottom"/>
            <w:hideMark/>
          </w:tcPr>
          <w:p w14:paraId="5EF75601"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51AB3D74"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358.497,13 </w:t>
            </w:r>
          </w:p>
        </w:tc>
        <w:tc>
          <w:tcPr>
            <w:tcW w:w="788" w:type="dxa"/>
            <w:tcBorders>
              <w:top w:val="nil"/>
              <w:left w:val="nil"/>
              <w:bottom w:val="single" w:sz="4" w:space="0" w:color="808000"/>
              <w:right w:val="single" w:sz="4" w:space="0" w:color="808000"/>
            </w:tcBorders>
            <w:shd w:val="clear" w:color="auto" w:fill="auto"/>
            <w:noWrap/>
            <w:vAlign w:val="center"/>
            <w:hideMark/>
          </w:tcPr>
          <w:p w14:paraId="316163DB"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0040A4C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5,12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FEF096"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3.087 </w:t>
            </w:r>
          </w:p>
        </w:tc>
      </w:tr>
      <w:tr w:rsidR="007A704A" w:rsidRPr="005C2BE6" w14:paraId="45F0312D"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61EC2C77"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3C72C0F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01-feb-88</w:t>
            </w:r>
          </w:p>
        </w:tc>
        <w:tc>
          <w:tcPr>
            <w:tcW w:w="941" w:type="dxa"/>
            <w:tcBorders>
              <w:top w:val="nil"/>
              <w:left w:val="nil"/>
              <w:bottom w:val="single" w:sz="4" w:space="0" w:color="808000"/>
              <w:right w:val="single" w:sz="4" w:space="0" w:color="808000"/>
            </w:tcBorders>
            <w:shd w:val="clear" w:color="auto" w:fill="auto"/>
            <w:noWrap/>
            <w:vAlign w:val="center"/>
            <w:hideMark/>
          </w:tcPr>
          <w:p w14:paraId="1960FD73"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29-feb-88</w:t>
            </w:r>
          </w:p>
        </w:tc>
        <w:tc>
          <w:tcPr>
            <w:tcW w:w="933" w:type="dxa"/>
            <w:tcBorders>
              <w:top w:val="nil"/>
              <w:left w:val="nil"/>
              <w:bottom w:val="single" w:sz="4" w:space="0" w:color="808000"/>
              <w:right w:val="single" w:sz="4" w:space="0" w:color="808000"/>
            </w:tcBorders>
            <w:shd w:val="clear" w:color="auto" w:fill="auto"/>
            <w:noWrap/>
            <w:vAlign w:val="center"/>
            <w:hideMark/>
          </w:tcPr>
          <w:p w14:paraId="38E7F015"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29</w:t>
            </w:r>
          </w:p>
        </w:tc>
        <w:tc>
          <w:tcPr>
            <w:tcW w:w="1380" w:type="dxa"/>
            <w:tcBorders>
              <w:top w:val="nil"/>
              <w:left w:val="nil"/>
              <w:bottom w:val="single" w:sz="4" w:space="0" w:color="808000"/>
              <w:right w:val="single" w:sz="8" w:space="0" w:color="auto"/>
            </w:tcBorders>
            <w:shd w:val="clear" w:color="auto" w:fill="auto"/>
            <w:noWrap/>
            <w:vAlign w:val="center"/>
            <w:hideMark/>
          </w:tcPr>
          <w:p w14:paraId="34F21E2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79.290,00 </w:t>
            </w:r>
          </w:p>
        </w:tc>
        <w:tc>
          <w:tcPr>
            <w:tcW w:w="146" w:type="dxa"/>
            <w:tcBorders>
              <w:top w:val="nil"/>
              <w:left w:val="nil"/>
              <w:bottom w:val="nil"/>
              <w:right w:val="nil"/>
            </w:tcBorders>
            <w:shd w:val="clear" w:color="auto" w:fill="auto"/>
            <w:noWrap/>
            <w:vAlign w:val="bottom"/>
            <w:hideMark/>
          </w:tcPr>
          <w:p w14:paraId="477BDE24"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7605DD59"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404.572,12 </w:t>
            </w:r>
          </w:p>
        </w:tc>
        <w:tc>
          <w:tcPr>
            <w:tcW w:w="788" w:type="dxa"/>
            <w:tcBorders>
              <w:top w:val="nil"/>
              <w:left w:val="nil"/>
              <w:bottom w:val="single" w:sz="4" w:space="0" w:color="808000"/>
              <w:right w:val="single" w:sz="4" w:space="0" w:color="808000"/>
            </w:tcBorders>
            <w:shd w:val="clear" w:color="auto" w:fill="auto"/>
            <w:noWrap/>
            <w:vAlign w:val="center"/>
            <w:hideMark/>
          </w:tcPr>
          <w:p w14:paraId="5A098A1B"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3B04018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5,12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3BA8795"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3.259 </w:t>
            </w:r>
          </w:p>
        </w:tc>
      </w:tr>
      <w:tr w:rsidR="007A704A" w:rsidRPr="005C2BE6" w14:paraId="0C915818"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2A9B6138"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25ED5AF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01-mar-88</w:t>
            </w:r>
          </w:p>
        </w:tc>
        <w:tc>
          <w:tcPr>
            <w:tcW w:w="941" w:type="dxa"/>
            <w:tcBorders>
              <w:top w:val="nil"/>
              <w:left w:val="nil"/>
              <w:bottom w:val="single" w:sz="4" w:space="0" w:color="808000"/>
              <w:right w:val="single" w:sz="4" w:space="0" w:color="808000"/>
            </w:tcBorders>
            <w:shd w:val="clear" w:color="auto" w:fill="auto"/>
            <w:noWrap/>
            <w:vAlign w:val="center"/>
            <w:hideMark/>
          </w:tcPr>
          <w:p w14:paraId="1DC7835C"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30-nov-88</w:t>
            </w:r>
          </w:p>
        </w:tc>
        <w:tc>
          <w:tcPr>
            <w:tcW w:w="933" w:type="dxa"/>
            <w:tcBorders>
              <w:top w:val="nil"/>
              <w:left w:val="nil"/>
              <w:bottom w:val="single" w:sz="4" w:space="0" w:color="808000"/>
              <w:right w:val="single" w:sz="4" w:space="0" w:color="808000"/>
            </w:tcBorders>
            <w:shd w:val="clear" w:color="auto" w:fill="auto"/>
            <w:noWrap/>
            <w:vAlign w:val="center"/>
            <w:hideMark/>
          </w:tcPr>
          <w:p w14:paraId="0A071ACB"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275</w:t>
            </w:r>
          </w:p>
        </w:tc>
        <w:tc>
          <w:tcPr>
            <w:tcW w:w="1380" w:type="dxa"/>
            <w:tcBorders>
              <w:top w:val="nil"/>
              <w:left w:val="nil"/>
              <w:bottom w:val="single" w:sz="4" w:space="0" w:color="808000"/>
              <w:right w:val="single" w:sz="8" w:space="0" w:color="auto"/>
            </w:tcBorders>
            <w:shd w:val="clear" w:color="auto" w:fill="auto"/>
            <w:noWrap/>
            <w:vAlign w:val="center"/>
            <w:hideMark/>
          </w:tcPr>
          <w:p w14:paraId="4D9BA454"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89.070,00 </w:t>
            </w:r>
          </w:p>
        </w:tc>
        <w:tc>
          <w:tcPr>
            <w:tcW w:w="146" w:type="dxa"/>
            <w:tcBorders>
              <w:top w:val="nil"/>
              <w:left w:val="nil"/>
              <w:bottom w:val="nil"/>
              <w:right w:val="nil"/>
            </w:tcBorders>
            <w:shd w:val="clear" w:color="auto" w:fill="auto"/>
            <w:noWrap/>
            <w:vAlign w:val="bottom"/>
            <w:hideMark/>
          </w:tcPr>
          <w:p w14:paraId="66FC0866"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6DDB21BF"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454.473,94 </w:t>
            </w:r>
          </w:p>
        </w:tc>
        <w:tc>
          <w:tcPr>
            <w:tcW w:w="788" w:type="dxa"/>
            <w:tcBorders>
              <w:top w:val="nil"/>
              <w:left w:val="nil"/>
              <w:bottom w:val="single" w:sz="4" w:space="0" w:color="808000"/>
              <w:right w:val="single" w:sz="4" w:space="0" w:color="808000"/>
            </w:tcBorders>
            <w:shd w:val="clear" w:color="auto" w:fill="auto"/>
            <w:noWrap/>
            <w:vAlign w:val="center"/>
            <w:hideMark/>
          </w:tcPr>
          <w:p w14:paraId="0AAA7D6C"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499A546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5,12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0A4C7CA"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34.717 </w:t>
            </w:r>
          </w:p>
        </w:tc>
      </w:tr>
      <w:tr w:rsidR="007A704A" w:rsidRPr="005C2BE6" w14:paraId="4CEC79CF"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3EED3DA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2E63EF1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01-dic-88</w:t>
            </w:r>
          </w:p>
        </w:tc>
        <w:tc>
          <w:tcPr>
            <w:tcW w:w="941" w:type="dxa"/>
            <w:tcBorders>
              <w:top w:val="nil"/>
              <w:left w:val="nil"/>
              <w:bottom w:val="single" w:sz="4" w:space="0" w:color="808000"/>
              <w:right w:val="single" w:sz="4" w:space="0" w:color="808000"/>
            </w:tcBorders>
            <w:shd w:val="clear" w:color="auto" w:fill="auto"/>
            <w:noWrap/>
            <w:vAlign w:val="center"/>
            <w:hideMark/>
          </w:tcPr>
          <w:p w14:paraId="4AD805A5"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31-dic-88</w:t>
            </w:r>
          </w:p>
        </w:tc>
        <w:tc>
          <w:tcPr>
            <w:tcW w:w="933" w:type="dxa"/>
            <w:tcBorders>
              <w:top w:val="nil"/>
              <w:left w:val="nil"/>
              <w:bottom w:val="single" w:sz="4" w:space="0" w:color="808000"/>
              <w:right w:val="single" w:sz="4" w:space="0" w:color="808000"/>
            </w:tcBorders>
            <w:shd w:val="clear" w:color="auto" w:fill="auto"/>
            <w:noWrap/>
            <w:vAlign w:val="center"/>
            <w:hideMark/>
          </w:tcPr>
          <w:p w14:paraId="5C5D5EEF"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050FE86B"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111.000,00 </w:t>
            </w:r>
          </w:p>
        </w:tc>
        <w:tc>
          <w:tcPr>
            <w:tcW w:w="146" w:type="dxa"/>
            <w:tcBorders>
              <w:top w:val="nil"/>
              <w:left w:val="nil"/>
              <w:bottom w:val="nil"/>
              <w:right w:val="nil"/>
            </w:tcBorders>
            <w:shd w:val="clear" w:color="auto" w:fill="auto"/>
            <w:noWrap/>
            <w:vAlign w:val="bottom"/>
            <w:hideMark/>
          </w:tcPr>
          <w:p w14:paraId="4E54126F"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0A5403B2"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566.370,36 </w:t>
            </w:r>
          </w:p>
        </w:tc>
        <w:tc>
          <w:tcPr>
            <w:tcW w:w="788" w:type="dxa"/>
            <w:tcBorders>
              <w:top w:val="nil"/>
              <w:left w:val="nil"/>
              <w:bottom w:val="single" w:sz="4" w:space="0" w:color="808000"/>
              <w:right w:val="single" w:sz="4" w:space="0" w:color="808000"/>
            </w:tcBorders>
            <w:shd w:val="clear" w:color="auto" w:fill="auto"/>
            <w:noWrap/>
            <w:vAlign w:val="center"/>
            <w:hideMark/>
          </w:tcPr>
          <w:p w14:paraId="541E6F32"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2E9CBF76"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5,12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E69D3BB"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4.877 </w:t>
            </w:r>
          </w:p>
        </w:tc>
      </w:tr>
      <w:tr w:rsidR="007A704A" w:rsidRPr="005C2BE6" w14:paraId="3E7BBC49"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2709E1FA"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412EFD4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01-ene-89</w:t>
            </w:r>
          </w:p>
        </w:tc>
        <w:tc>
          <w:tcPr>
            <w:tcW w:w="941" w:type="dxa"/>
            <w:tcBorders>
              <w:top w:val="nil"/>
              <w:left w:val="nil"/>
              <w:bottom w:val="single" w:sz="4" w:space="0" w:color="808000"/>
              <w:right w:val="single" w:sz="4" w:space="0" w:color="808000"/>
            </w:tcBorders>
            <w:shd w:val="clear" w:color="auto" w:fill="auto"/>
            <w:noWrap/>
            <w:vAlign w:val="center"/>
            <w:hideMark/>
          </w:tcPr>
          <w:p w14:paraId="42B65A64"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31-ene-89</w:t>
            </w:r>
          </w:p>
        </w:tc>
        <w:tc>
          <w:tcPr>
            <w:tcW w:w="933" w:type="dxa"/>
            <w:tcBorders>
              <w:top w:val="nil"/>
              <w:left w:val="nil"/>
              <w:bottom w:val="single" w:sz="4" w:space="0" w:color="808000"/>
              <w:right w:val="single" w:sz="4" w:space="0" w:color="808000"/>
            </w:tcBorders>
            <w:shd w:val="clear" w:color="auto" w:fill="auto"/>
            <w:noWrap/>
            <w:vAlign w:val="center"/>
            <w:hideMark/>
          </w:tcPr>
          <w:p w14:paraId="68B67582"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3AC6EB7F"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111.000,00 </w:t>
            </w:r>
          </w:p>
        </w:tc>
        <w:tc>
          <w:tcPr>
            <w:tcW w:w="146" w:type="dxa"/>
            <w:tcBorders>
              <w:top w:val="nil"/>
              <w:left w:val="nil"/>
              <w:bottom w:val="nil"/>
              <w:right w:val="nil"/>
            </w:tcBorders>
            <w:shd w:val="clear" w:color="auto" w:fill="auto"/>
            <w:noWrap/>
            <w:vAlign w:val="bottom"/>
            <w:hideMark/>
          </w:tcPr>
          <w:p w14:paraId="7C4536DB"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065679F4"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442.047,19 </w:t>
            </w:r>
          </w:p>
        </w:tc>
        <w:tc>
          <w:tcPr>
            <w:tcW w:w="788" w:type="dxa"/>
            <w:tcBorders>
              <w:top w:val="nil"/>
              <w:left w:val="nil"/>
              <w:bottom w:val="single" w:sz="4" w:space="0" w:color="808000"/>
              <w:right w:val="single" w:sz="4" w:space="0" w:color="808000"/>
            </w:tcBorders>
            <w:shd w:val="clear" w:color="auto" w:fill="auto"/>
            <w:noWrap/>
            <w:vAlign w:val="center"/>
            <w:hideMark/>
          </w:tcPr>
          <w:p w14:paraId="3E914C0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671D64FA"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6,57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DB7C7E0"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3.807 </w:t>
            </w:r>
          </w:p>
        </w:tc>
      </w:tr>
      <w:tr w:rsidR="007A704A" w:rsidRPr="005C2BE6" w14:paraId="78D7C8FF"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2BF3032E"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24CDBA34"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01-feb-89</w:t>
            </w:r>
          </w:p>
        </w:tc>
        <w:tc>
          <w:tcPr>
            <w:tcW w:w="941" w:type="dxa"/>
            <w:tcBorders>
              <w:top w:val="nil"/>
              <w:left w:val="nil"/>
              <w:bottom w:val="single" w:sz="4" w:space="0" w:color="808000"/>
              <w:right w:val="single" w:sz="4" w:space="0" w:color="808000"/>
            </w:tcBorders>
            <w:shd w:val="clear" w:color="auto" w:fill="auto"/>
            <w:noWrap/>
            <w:vAlign w:val="center"/>
            <w:hideMark/>
          </w:tcPr>
          <w:p w14:paraId="036D231A"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31-dic-89</w:t>
            </w:r>
          </w:p>
        </w:tc>
        <w:tc>
          <w:tcPr>
            <w:tcW w:w="933" w:type="dxa"/>
            <w:tcBorders>
              <w:top w:val="nil"/>
              <w:left w:val="nil"/>
              <w:bottom w:val="single" w:sz="4" w:space="0" w:color="808000"/>
              <w:right w:val="single" w:sz="4" w:space="0" w:color="808000"/>
            </w:tcBorders>
            <w:shd w:val="clear" w:color="auto" w:fill="auto"/>
            <w:noWrap/>
            <w:vAlign w:val="center"/>
            <w:hideMark/>
          </w:tcPr>
          <w:p w14:paraId="0CE8577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334</w:t>
            </w:r>
          </w:p>
        </w:tc>
        <w:tc>
          <w:tcPr>
            <w:tcW w:w="1380" w:type="dxa"/>
            <w:tcBorders>
              <w:top w:val="nil"/>
              <w:left w:val="nil"/>
              <w:bottom w:val="single" w:sz="4" w:space="0" w:color="808000"/>
              <w:right w:val="single" w:sz="8" w:space="0" w:color="auto"/>
            </w:tcBorders>
            <w:shd w:val="clear" w:color="auto" w:fill="auto"/>
            <w:noWrap/>
            <w:vAlign w:val="center"/>
            <w:hideMark/>
          </w:tcPr>
          <w:p w14:paraId="48713558"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123.210,00 </w:t>
            </w:r>
          </w:p>
        </w:tc>
        <w:tc>
          <w:tcPr>
            <w:tcW w:w="146" w:type="dxa"/>
            <w:tcBorders>
              <w:top w:val="nil"/>
              <w:left w:val="nil"/>
              <w:bottom w:val="nil"/>
              <w:right w:val="nil"/>
            </w:tcBorders>
            <w:shd w:val="clear" w:color="auto" w:fill="auto"/>
            <w:noWrap/>
            <w:vAlign w:val="bottom"/>
            <w:hideMark/>
          </w:tcPr>
          <w:p w14:paraId="3A185021"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51C6CFB0"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490.672,38 </w:t>
            </w:r>
          </w:p>
        </w:tc>
        <w:tc>
          <w:tcPr>
            <w:tcW w:w="788" w:type="dxa"/>
            <w:tcBorders>
              <w:top w:val="nil"/>
              <w:left w:val="nil"/>
              <w:bottom w:val="single" w:sz="4" w:space="0" w:color="808000"/>
              <w:right w:val="single" w:sz="4" w:space="0" w:color="808000"/>
            </w:tcBorders>
            <w:shd w:val="clear" w:color="auto" w:fill="auto"/>
            <w:noWrap/>
            <w:vAlign w:val="center"/>
            <w:hideMark/>
          </w:tcPr>
          <w:p w14:paraId="531A7AA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39DFA80A"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6,57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43E65E4"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45.523 </w:t>
            </w:r>
          </w:p>
        </w:tc>
      </w:tr>
      <w:tr w:rsidR="007A704A" w:rsidRPr="005C2BE6" w14:paraId="129F1205"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0946D16E"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7CDD26EC"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01-ene-89</w:t>
            </w:r>
          </w:p>
        </w:tc>
        <w:tc>
          <w:tcPr>
            <w:tcW w:w="941" w:type="dxa"/>
            <w:tcBorders>
              <w:top w:val="nil"/>
              <w:left w:val="nil"/>
              <w:bottom w:val="single" w:sz="4" w:space="0" w:color="808000"/>
              <w:right w:val="single" w:sz="4" w:space="0" w:color="808000"/>
            </w:tcBorders>
            <w:shd w:val="clear" w:color="auto" w:fill="auto"/>
            <w:noWrap/>
            <w:vAlign w:val="center"/>
            <w:hideMark/>
          </w:tcPr>
          <w:p w14:paraId="4B2B3441"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31-mar-89</w:t>
            </w:r>
          </w:p>
        </w:tc>
        <w:tc>
          <w:tcPr>
            <w:tcW w:w="933" w:type="dxa"/>
            <w:tcBorders>
              <w:top w:val="nil"/>
              <w:left w:val="nil"/>
              <w:bottom w:val="single" w:sz="4" w:space="0" w:color="808000"/>
              <w:right w:val="single" w:sz="4" w:space="0" w:color="808000"/>
            </w:tcBorders>
            <w:shd w:val="clear" w:color="auto" w:fill="auto"/>
            <w:noWrap/>
            <w:vAlign w:val="center"/>
            <w:hideMark/>
          </w:tcPr>
          <w:p w14:paraId="538079A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90</w:t>
            </w:r>
          </w:p>
        </w:tc>
        <w:tc>
          <w:tcPr>
            <w:tcW w:w="1380" w:type="dxa"/>
            <w:tcBorders>
              <w:top w:val="nil"/>
              <w:left w:val="nil"/>
              <w:bottom w:val="single" w:sz="4" w:space="0" w:color="808000"/>
              <w:right w:val="single" w:sz="8" w:space="0" w:color="auto"/>
            </w:tcBorders>
            <w:shd w:val="clear" w:color="auto" w:fill="auto"/>
            <w:noWrap/>
            <w:vAlign w:val="center"/>
            <w:hideMark/>
          </w:tcPr>
          <w:p w14:paraId="02C7E5EC"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123.210,00 </w:t>
            </w:r>
          </w:p>
        </w:tc>
        <w:tc>
          <w:tcPr>
            <w:tcW w:w="146" w:type="dxa"/>
            <w:tcBorders>
              <w:top w:val="nil"/>
              <w:left w:val="nil"/>
              <w:bottom w:val="nil"/>
              <w:right w:val="nil"/>
            </w:tcBorders>
            <w:shd w:val="clear" w:color="auto" w:fill="auto"/>
            <w:noWrap/>
            <w:vAlign w:val="bottom"/>
            <w:hideMark/>
          </w:tcPr>
          <w:p w14:paraId="49CC3193"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3996C001"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490.672,38 </w:t>
            </w:r>
          </w:p>
        </w:tc>
        <w:tc>
          <w:tcPr>
            <w:tcW w:w="788" w:type="dxa"/>
            <w:tcBorders>
              <w:top w:val="nil"/>
              <w:left w:val="nil"/>
              <w:bottom w:val="single" w:sz="4" w:space="0" w:color="808000"/>
              <w:right w:val="single" w:sz="4" w:space="0" w:color="808000"/>
            </w:tcBorders>
            <w:shd w:val="clear" w:color="auto" w:fill="auto"/>
            <w:noWrap/>
            <w:vAlign w:val="center"/>
            <w:hideMark/>
          </w:tcPr>
          <w:p w14:paraId="6750AA8C"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1CABA1F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6,57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F704F4C"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12.267 </w:t>
            </w:r>
          </w:p>
        </w:tc>
      </w:tr>
      <w:tr w:rsidR="007A704A" w:rsidRPr="005C2BE6" w14:paraId="3508FC56"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7B830395"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6C2D6D0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01-abr-90</w:t>
            </w:r>
          </w:p>
        </w:tc>
        <w:tc>
          <w:tcPr>
            <w:tcW w:w="941" w:type="dxa"/>
            <w:tcBorders>
              <w:top w:val="nil"/>
              <w:left w:val="nil"/>
              <w:bottom w:val="single" w:sz="4" w:space="0" w:color="808000"/>
              <w:right w:val="single" w:sz="4" w:space="0" w:color="808000"/>
            </w:tcBorders>
            <w:shd w:val="clear" w:color="auto" w:fill="auto"/>
            <w:noWrap/>
            <w:vAlign w:val="center"/>
            <w:hideMark/>
          </w:tcPr>
          <w:p w14:paraId="25BD8ABA"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30-nov-90</w:t>
            </w:r>
          </w:p>
        </w:tc>
        <w:tc>
          <w:tcPr>
            <w:tcW w:w="933" w:type="dxa"/>
            <w:tcBorders>
              <w:top w:val="nil"/>
              <w:left w:val="nil"/>
              <w:bottom w:val="single" w:sz="4" w:space="0" w:color="808000"/>
              <w:right w:val="single" w:sz="4" w:space="0" w:color="808000"/>
            </w:tcBorders>
            <w:shd w:val="clear" w:color="auto" w:fill="auto"/>
            <w:noWrap/>
            <w:vAlign w:val="center"/>
            <w:hideMark/>
          </w:tcPr>
          <w:p w14:paraId="737FD6E9"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244</w:t>
            </w:r>
          </w:p>
        </w:tc>
        <w:tc>
          <w:tcPr>
            <w:tcW w:w="1380" w:type="dxa"/>
            <w:tcBorders>
              <w:top w:val="nil"/>
              <w:left w:val="nil"/>
              <w:bottom w:val="single" w:sz="4" w:space="0" w:color="808000"/>
              <w:right w:val="single" w:sz="8" w:space="0" w:color="auto"/>
            </w:tcBorders>
            <w:shd w:val="clear" w:color="auto" w:fill="auto"/>
            <w:noWrap/>
            <w:vAlign w:val="center"/>
            <w:hideMark/>
          </w:tcPr>
          <w:p w14:paraId="0A64A494"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150.270,00 </w:t>
            </w:r>
          </w:p>
        </w:tc>
        <w:tc>
          <w:tcPr>
            <w:tcW w:w="146" w:type="dxa"/>
            <w:tcBorders>
              <w:top w:val="nil"/>
              <w:left w:val="nil"/>
              <w:bottom w:val="nil"/>
              <w:right w:val="nil"/>
            </w:tcBorders>
            <w:shd w:val="clear" w:color="auto" w:fill="auto"/>
            <w:noWrap/>
            <w:vAlign w:val="bottom"/>
            <w:hideMark/>
          </w:tcPr>
          <w:p w14:paraId="520A8606"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78C48039"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474.486,62 </w:t>
            </w:r>
          </w:p>
        </w:tc>
        <w:tc>
          <w:tcPr>
            <w:tcW w:w="788" w:type="dxa"/>
            <w:tcBorders>
              <w:top w:val="nil"/>
              <w:left w:val="nil"/>
              <w:bottom w:val="single" w:sz="4" w:space="0" w:color="808000"/>
              <w:right w:val="single" w:sz="4" w:space="0" w:color="808000"/>
            </w:tcBorders>
            <w:shd w:val="clear" w:color="auto" w:fill="auto"/>
            <w:noWrap/>
            <w:vAlign w:val="center"/>
            <w:hideMark/>
          </w:tcPr>
          <w:p w14:paraId="2578081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08DA234F"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8,28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3894AD7"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32.160 </w:t>
            </w:r>
          </w:p>
        </w:tc>
      </w:tr>
      <w:tr w:rsidR="007A704A" w:rsidRPr="005C2BE6" w14:paraId="7676563A"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34C54E1A"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105213A4"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01-dic-90</w:t>
            </w:r>
          </w:p>
        </w:tc>
        <w:tc>
          <w:tcPr>
            <w:tcW w:w="941" w:type="dxa"/>
            <w:tcBorders>
              <w:top w:val="nil"/>
              <w:left w:val="nil"/>
              <w:bottom w:val="single" w:sz="4" w:space="0" w:color="808000"/>
              <w:right w:val="single" w:sz="4" w:space="0" w:color="808000"/>
            </w:tcBorders>
            <w:shd w:val="clear" w:color="auto" w:fill="auto"/>
            <w:noWrap/>
            <w:vAlign w:val="center"/>
            <w:hideMark/>
          </w:tcPr>
          <w:p w14:paraId="37C8260A"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31-dic-90</w:t>
            </w:r>
          </w:p>
        </w:tc>
        <w:tc>
          <w:tcPr>
            <w:tcW w:w="933" w:type="dxa"/>
            <w:tcBorders>
              <w:top w:val="nil"/>
              <w:left w:val="nil"/>
              <w:bottom w:val="single" w:sz="4" w:space="0" w:color="808000"/>
              <w:right w:val="single" w:sz="4" w:space="0" w:color="808000"/>
            </w:tcBorders>
            <w:shd w:val="clear" w:color="auto" w:fill="auto"/>
            <w:noWrap/>
            <w:vAlign w:val="center"/>
            <w:hideMark/>
          </w:tcPr>
          <w:p w14:paraId="14680E99"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7704C990"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197.910,00 </w:t>
            </w:r>
          </w:p>
        </w:tc>
        <w:tc>
          <w:tcPr>
            <w:tcW w:w="146" w:type="dxa"/>
            <w:tcBorders>
              <w:top w:val="nil"/>
              <w:left w:val="nil"/>
              <w:bottom w:val="nil"/>
              <w:right w:val="nil"/>
            </w:tcBorders>
            <w:shd w:val="clear" w:color="auto" w:fill="auto"/>
            <w:noWrap/>
            <w:vAlign w:val="bottom"/>
            <w:hideMark/>
          </w:tcPr>
          <w:p w14:paraId="0DB58C2E"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08CF85B9"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624.912,80 </w:t>
            </w:r>
          </w:p>
        </w:tc>
        <w:tc>
          <w:tcPr>
            <w:tcW w:w="788" w:type="dxa"/>
            <w:tcBorders>
              <w:top w:val="nil"/>
              <w:left w:val="nil"/>
              <w:bottom w:val="single" w:sz="4" w:space="0" w:color="808000"/>
              <w:right w:val="single" w:sz="4" w:space="0" w:color="808000"/>
            </w:tcBorders>
            <w:shd w:val="clear" w:color="auto" w:fill="auto"/>
            <w:noWrap/>
            <w:vAlign w:val="center"/>
            <w:hideMark/>
          </w:tcPr>
          <w:p w14:paraId="1C49C8D9"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55AB00FA"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8,28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C514FF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5.381 </w:t>
            </w:r>
          </w:p>
        </w:tc>
      </w:tr>
      <w:tr w:rsidR="007A704A" w:rsidRPr="005C2BE6" w14:paraId="559F4E5B"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34D6ED8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34640514"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01-ene-91</w:t>
            </w:r>
          </w:p>
        </w:tc>
        <w:tc>
          <w:tcPr>
            <w:tcW w:w="941" w:type="dxa"/>
            <w:tcBorders>
              <w:top w:val="nil"/>
              <w:left w:val="nil"/>
              <w:bottom w:val="single" w:sz="4" w:space="0" w:color="808000"/>
              <w:right w:val="single" w:sz="4" w:space="0" w:color="808000"/>
            </w:tcBorders>
            <w:shd w:val="clear" w:color="auto" w:fill="auto"/>
            <w:noWrap/>
            <w:vAlign w:val="center"/>
            <w:hideMark/>
          </w:tcPr>
          <w:p w14:paraId="7C239559"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31-dic-91</w:t>
            </w:r>
          </w:p>
        </w:tc>
        <w:tc>
          <w:tcPr>
            <w:tcW w:w="933" w:type="dxa"/>
            <w:tcBorders>
              <w:top w:val="nil"/>
              <w:left w:val="nil"/>
              <w:bottom w:val="single" w:sz="4" w:space="0" w:color="808000"/>
              <w:right w:val="single" w:sz="4" w:space="0" w:color="808000"/>
            </w:tcBorders>
            <w:shd w:val="clear" w:color="auto" w:fill="auto"/>
            <w:noWrap/>
            <w:vAlign w:val="center"/>
            <w:hideMark/>
          </w:tcPr>
          <w:p w14:paraId="7C25634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365</w:t>
            </w:r>
          </w:p>
        </w:tc>
        <w:tc>
          <w:tcPr>
            <w:tcW w:w="1380" w:type="dxa"/>
            <w:tcBorders>
              <w:top w:val="nil"/>
              <w:left w:val="nil"/>
              <w:bottom w:val="single" w:sz="4" w:space="0" w:color="808000"/>
              <w:right w:val="single" w:sz="8" w:space="0" w:color="auto"/>
            </w:tcBorders>
            <w:shd w:val="clear" w:color="auto" w:fill="auto"/>
            <w:noWrap/>
            <w:vAlign w:val="center"/>
            <w:hideMark/>
          </w:tcPr>
          <w:p w14:paraId="415F776F"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197.910,00 </w:t>
            </w:r>
          </w:p>
        </w:tc>
        <w:tc>
          <w:tcPr>
            <w:tcW w:w="146" w:type="dxa"/>
            <w:tcBorders>
              <w:top w:val="nil"/>
              <w:left w:val="nil"/>
              <w:bottom w:val="nil"/>
              <w:right w:val="nil"/>
            </w:tcBorders>
            <w:shd w:val="clear" w:color="auto" w:fill="auto"/>
            <w:noWrap/>
            <w:vAlign w:val="bottom"/>
            <w:hideMark/>
          </w:tcPr>
          <w:p w14:paraId="0675BDE9"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6E034C4A"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472.103,67 </w:t>
            </w:r>
          </w:p>
        </w:tc>
        <w:tc>
          <w:tcPr>
            <w:tcW w:w="788" w:type="dxa"/>
            <w:tcBorders>
              <w:top w:val="nil"/>
              <w:left w:val="nil"/>
              <w:bottom w:val="single" w:sz="4" w:space="0" w:color="808000"/>
              <w:right w:val="single" w:sz="4" w:space="0" w:color="808000"/>
            </w:tcBorders>
            <w:shd w:val="clear" w:color="auto" w:fill="auto"/>
            <w:noWrap/>
            <w:vAlign w:val="center"/>
            <w:hideMark/>
          </w:tcPr>
          <w:p w14:paraId="0F92990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0604D1C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10,96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1EF551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47.866 </w:t>
            </w:r>
          </w:p>
        </w:tc>
      </w:tr>
      <w:tr w:rsidR="007A704A" w:rsidRPr="005C2BE6" w14:paraId="09A9670E"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5B8DE974"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6E41E34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01-ene-92</w:t>
            </w:r>
          </w:p>
        </w:tc>
        <w:tc>
          <w:tcPr>
            <w:tcW w:w="941" w:type="dxa"/>
            <w:tcBorders>
              <w:top w:val="nil"/>
              <w:left w:val="nil"/>
              <w:bottom w:val="single" w:sz="4" w:space="0" w:color="808000"/>
              <w:right w:val="single" w:sz="4" w:space="0" w:color="808000"/>
            </w:tcBorders>
            <w:shd w:val="clear" w:color="auto" w:fill="auto"/>
            <w:noWrap/>
            <w:vAlign w:val="center"/>
            <w:hideMark/>
          </w:tcPr>
          <w:p w14:paraId="70B9EAD8"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31-ene-92</w:t>
            </w:r>
          </w:p>
        </w:tc>
        <w:tc>
          <w:tcPr>
            <w:tcW w:w="933" w:type="dxa"/>
            <w:tcBorders>
              <w:top w:val="nil"/>
              <w:left w:val="nil"/>
              <w:bottom w:val="single" w:sz="4" w:space="0" w:color="808000"/>
              <w:right w:val="single" w:sz="4" w:space="0" w:color="808000"/>
            </w:tcBorders>
            <w:shd w:val="clear" w:color="auto" w:fill="auto"/>
            <w:noWrap/>
            <w:vAlign w:val="center"/>
            <w:hideMark/>
          </w:tcPr>
          <w:p w14:paraId="277353A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31</w:t>
            </w:r>
          </w:p>
        </w:tc>
        <w:tc>
          <w:tcPr>
            <w:tcW w:w="1380" w:type="dxa"/>
            <w:tcBorders>
              <w:top w:val="nil"/>
              <w:left w:val="nil"/>
              <w:bottom w:val="single" w:sz="4" w:space="0" w:color="808000"/>
              <w:right w:val="single" w:sz="8" w:space="0" w:color="auto"/>
            </w:tcBorders>
            <w:shd w:val="clear" w:color="auto" w:fill="auto"/>
            <w:noWrap/>
            <w:vAlign w:val="center"/>
            <w:hideMark/>
          </w:tcPr>
          <w:p w14:paraId="0E5C4EB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197.910,00 </w:t>
            </w:r>
          </w:p>
        </w:tc>
        <w:tc>
          <w:tcPr>
            <w:tcW w:w="146" w:type="dxa"/>
            <w:tcBorders>
              <w:top w:val="nil"/>
              <w:left w:val="nil"/>
              <w:bottom w:val="nil"/>
              <w:right w:val="nil"/>
            </w:tcBorders>
            <w:shd w:val="clear" w:color="auto" w:fill="auto"/>
            <w:noWrap/>
            <w:vAlign w:val="bottom"/>
            <w:hideMark/>
          </w:tcPr>
          <w:p w14:paraId="064556D2"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2D206592"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372.251,73 </w:t>
            </w:r>
          </w:p>
        </w:tc>
        <w:tc>
          <w:tcPr>
            <w:tcW w:w="788" w:type="dxa"/>
            <w:tcBorders>
              <w:top w:val="nil"/>
              <w:left w:val="nil"/>
              <w:bottom w:val="single" w:sz="4" w:space="0" w:color="808000"/>
              <w:right w:val="single" w:sz="4" w:space="0" w:color="808000"/>
            </w:tcBorders>
            <w:shd w:val="clear" w:color="auto" w:fill="auto"/>
            <w:noWrap/>
            <w:vAlign w:val="center"/>
            <w:hideMark/>
          </w:tcPr>
          <w:p w14:paraId="4EE55D1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503221E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13,90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E4AE113"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3.206 </w:t>
            </w:r>
          </w:p>
        </w:tc>
      </w:tr>
      <w:tr w:rsidR="007A704A" w:rsidRPr="005C2BE6" w14:paraId="32FD5B02"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42E32CB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203693BD"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01-feb-92</w:t>
            </w:r>
          </w:p>
        </w:tc>
        <w:tc>
          <w:tcPr>
            <w:tcW w:w="941" w:type="dxa"/>
            <w:tcBorders>
              <w:top w:val="nil"/>
              <w:left w:val="nil"/>
              <w:bottom w:val="single" w:sz="4" w:space="0" w:color="808000"/>
              <w:right w:val="single" w:sz="4" w:space="0" w:color="808000"/>
            </w:tcBorders>
            <w:shd w:val="clear" w:color="auto" w:fill="auto"/>
            <w:noWrap/>
            <w:vAlign w:val="center"/>
            <w:hideMark/>
          </w:tcPr>
          <w:p w14:paraId="68CE82CA"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31-jul-92</w:t>
            </w:r>
          </w:p>
        </w:tc>
        <w:tc>
          <w:tcPr>
            <w:tcW w:w="933" w:type="dxa"/>
            <w:tcBorders>
              <w:top w:val="nil"/>
              <w:left w:val="nil"/>
              <w:bottom w:val="single" w:sz="4" w:space="0" w:color="808000"/>
              <w:right w:val="single" w:sz="4" w:space="0" w:color="808000"/>
            </w:tcBorders>
            <w:shd w:val="clear" w:color="auto" w:fill="auto"/>
            <w:noWrap/>
            <w:vAlign w:val="center"/>
            <w:hideMark/>
          </w:tcPr>
          <w:p w14:paraId="557C640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182</w:t>
            </w:r>
          </w:p>
        </w:tc>
        <w:tc>
          <w:tcPr>
            <w:tcW w:w="1380" w:type="dxa"/>
            <w:tcBorders>
              <w:top w:val="nil"/>
              <w:left w:val="nil"/>
              <w:bottom w:val="single" w:sz="4" w:space="0" w:color="808000"/>
              <w:right w:val="single" w:sz="8" w:space="0" w:color="auto"/>
            </w:tcBorders>
            <w:shd w:val="clear" w:color="auto" w:fill="auto"/>
            <w:noWrap/>
            <w:vAlign w:val="center"/>
            <w:hideMark/>
          </w:tcPr>
          <w:p w14:paraId="20159EC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215.790,00 </w:t>
            </w:r>
          </w:p>
        </w:tc>
        <w:tc>
          <w:tcPr>
            <w:tcW w:w="146" w:type="dxa"/>
            <w:tcBorders>
              <w:top w:val="nil"/>
              <w:left w:val="nil"/>
              <w:bottom w:val="nil"/>
              <w:right w:val="nil"/>
            </w:tcBorders>
            <w:shd w:val="clear" w:color="auto" w:fill="auto"/>
            <w:noWrap/>
            <w:vAlign w:val="bottom"/>
            <w:hideMark/>
          </w:tcPr>
          <w:p w14:paraId="78783FE1"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38379EEA"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405.882,48 </w:t>
            </w:r>
          </w:p>
        </w:tc>
        <w:tc>
          <w:tcPr>
            <w:tcW w:w="788" w:type="dxa"/>
            <w:tcBorders>
              <w:top w:val="nil"/>
              <w:left w:val="nil"/>
              <w:bottom w:val="single" w:sz="4" w:space="0" w:color="808000"/>
              <w:right w:val="single" w:sz="4" w:space="0" w:color="808000"/>
            </w:tcBorders>
            <w:shd w:val="clear" w:color="auto" w:fill="auto"/>
            <w:noWrap/>
            <w:vAlign w:val="center"/>
            <w:hideMark/>
          </w:tcPr>
          <w:p w14:paraId="48D83A5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2A440D4E"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13,90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FBF250F"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20.520 </w:t>
            </w:r>
          </w:p>
        </w:tc>
      </w:tr>
      <w:tr w:rsidR="007A704A" w:rsidRPr="005C2BE6" w14:paraId="14117EDA"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3C993C2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5DA5C1F7"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01-ago-92</w:t>
            </w:r>
          </w:p>
        </w:tc>
        <w:tc>
          <w:tcPr>
            <w:tcW w:w="941" w:type="dxa"/>
            <w:tcBorders>
              <w:top w:val="nil"/>
              <w:left w:val="nil"/>
              <w:bottom w:val="single" w:sz="4" w:space="0" w:color="808000"/>
              <w:right w:val="single" w:sz="4" w:space="0" w:color="808000"/>
            </w:tcBorders>
            <w:shd w:val="clear" w:color="auto" w:fill="auto"/>
            <w:noWrap/>
            <w:vAlign w:val="center"/>
            <w:hideMark/>
          </w:tcPr>
          <w:p w14:paraId="3B0F0F1A"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31-dic-92</w:t>
            </w:r>
          </w:p>
        </w:tc>
        <w:tc>
          <w:tcPr>
            <w:tcW w:w="933" w:type="dxa"/>
            <w:tcBorders>
              <w:top w:val="nil"/>
              <w:left w:val="nil"/>
              <w:bottom w:val="single" w:sz="4" w:space="0" w:color="808000"/>
              <w:right w:val="single" w:sz="4" w:space="0" w:color="808000"/>
            </w:tcBorders>
            <w:shd w:val="clear" w:color="auto" w:fill="auto"/>
            <w:noWrap/>
            <w:vAlign w:val="center"/>
            <w:hideMark/>
          </w:tcPr>
          <w:p w14:paraId="4BC32146"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153</w:t>
            </w:r>
          </w:p>
        </w:tc>
        <w:tc>
          <w:tcPr>
            <w:tcW w:w="1380" w:type="dxa"/>
            <w:tcBorders>
              <w:top w:val="nil"/>
              <w:left w:val="nil"/>
              <w:bottom w:val="single" w:sz="4" w:space="0" w:color="808000"/>
              <w:right w:val="single" w:sz="8" w:space="0" w:color="auto"/>
            </w:tcBorders>
            <w:shd w:val="clear" w:color="auto" w:fill="auto"/>
            <w:noWrap/>
            <w:vAlign w:val="center"/>
            <w:hideMark/>
          </w:tcPr>
          <w:p w14:paraId="17E0698D"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254.730,00 </w:t>
            </w:r>
          </w:p>
        </w:tc>
        <w:tc>
          <w:tcPr>
            <w:tcW w:w="146" w:type="dxa"/>
            <w:tcBorders>
              <w:top w:val="nil"/>
              <w:left w:val="nil"/>
              <w:bottom w:val="nil"/>
              <w:right w:val="nil"/>
            </w:tcBorders>
            <w:shd w:val="clear" w:color="auto" w:fill="auto"/>
            <w:noWrap/>
            <w:vAlign w:val="bottom"/>
            <w:hideMark/>
          </w:tcPr>
          <w:p w14:paraId="173E0803"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41C62100"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479.125,27 </w:t>
            </w:r>
          </w:p>
        </w:tc>
        <w:tc>
          <w:tcPr>
            <w:tcW w:w="788" w:type="dxa"/>
            <w:tcBorders>
              <w:top w:val="nil"/>
              <w:left w:val="nil"/>
              <w:bottom w:val="single" w:sz="4" w:space="0" w:color="808000"/>
              <w:right w:val="single" w:sz="4" w:space="0" w:color="808000"/>
            </w:tcBorders>
            <w:shd w:val="clear" w:color="auto" w:fill="auto"/>
            <w:noWrap/>
            <w:vAlign w:val="center"/>
            <w:hideMark/>
          </w:tcPr>
          <w:p w14:paraId="68ECC288"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5DEFCAD3"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13,90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344DE50"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20.363 </w:t>
            </w:r>
          </w:p>
        </w:tc>
      </w:tr>
      <w:tr w:rsidR="007A704A" w:rsidRPr="005C2BE6" w14:paraId="075318C6" w14:textId="77777777" w:rsidTr="005C2BE6">
        <w:trPr>
          <w:trHeight w:val="20"/>
        </w:trPr>
        <w:tc>
          <w:tcPr>
            <w:tcW w:w="1204" w:type="dxa"/>
            <w:tcBorders>
              <w:top w:val="nil"/>
              <w:left w:val="single" w:sz="8" w:space="0" w:color="auto"/>
              <w:bottom w:val="single" w:sz="4" w:space="0" w:color="808000"/>
              <w:right w:val="single" w:sz="4" w:space="0" w:color="808000"/>
            </w:tcBorders>
            <w:shd w:val="clear" w:color="auto" w:fill="auto"/>
            <w:noWrap/>
            <w:vAlign w:val="center"/>
            <w:hideMark/>
          </w:tcPr>
          <w:p w14:paraId="7E3C3839"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w:t>
            </w:r>
          </w:p>
        </w:tc>
        <w:tc>
          <w:tcPr>
            <w:tcW w:w="851" w:type="dxa"/>
            <w:tcBorders>
              <w:top w:val="nil"/>
              <w:left w:val="nil"/>
              <w:bottom w:val="single" w:sz="4" w:space="0" w:color="808000"/>
              <w:right w:val="single" w:sz="4" w:space="0" w:color="808000"/>
            </w:tcBorders>
            <w:shd w:val="clear" w:color="auto" w:fill="auto"/>
            <w:noWrap/>
            <w:vAlign w:val="center"/>
            <w:hideMark/>
          </w:tcPr>
          <w:p w14:paraId="6745EA66"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01-ene-93</w:t>
            </w:r>
          </w:p>
        </w:tc>
        <w:tc>
          <w:tcPr>
            <w:tcW w:w="941" w:type="dxa"/>
            <w:tcBorders>
              <w:top w:val="nil"/>
              <w:left w:val="nil"/>
              <w:bottom w:val="single" w:sz="4" w:space="0" w:color="808000"/>
              <w:right w:val="single" w:sz="4" w:space="0" w:color="808000"/>
            </w:tcBorders>
            <w:shd w:val="clear" w:color="auto" w:fill="auto"/>
            <w:noWrap/>
            <w:vAlign w:val="center"/>
            <w:hideMark/>
          </w:tcPr>
          <w:p w14:paraId="003E4977" w14:textId="77777777" w:rsidR="007A704A" w:rsidRPr="005C2BE6" w:rsidRDefault="007A704A">
            <w:pPr>
              <w:jc w:val="right"/>
              <w:rPr>
                <w:rFonts w:asciiTheme="minorHAnsi" w:hAnsiTheme="minorHAnsi"/>
                <w:i/>
                <w:iCs/>
                <w:color w:val="000000"/>
                <w:sz w:val="16"/>
                <w:szCs w:val="16"/>
              </w:rPr>
            </w:pPr>
            <w:r w:rsidRPr="005C2BE6">
              <w:rPr>
                <w:rFonts w:asciiTheme="minorHAnsi" w:hAnsiTheme="minorHAnsi"/>
                <w:i/>
                <w:iCs/>
                <w:color w:val="000000"/>
                <w:sz w:val="16"/>
                <w:szCs w:val="16"/>
              </w:rPr>
              <w:t>14-feb-93</w:t>
            </w:r>
          </w:p>
        </w:tc>
        <w:tc>
          <w:tcPr>
            <w:tcW w:w="933" w:type="dxa"/>
            <w:tcBorders>
              <w:top w:val="nil"/>
              <w:left w:val="nil"/>
              <w:bottom w:val="single" w:sz="4" w:space="0" w:color="808000"/>
              <w:right w:val="single" w:sz="4" w:space="0" w:color="808000"/>
            </w:tcBorders>
            <w:shd w:val="clear" w:color="auto" w:fill="auto"/>
            <w:noWrap/>
            <w:vAlign w:val="center"/>
            <w:hideMark/>
          </w:tcPr>
          <w:p w14:paraId="7094F7C0"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45</w:t>
            </w:r>
          </w:p>
        </w:tc>
        <w:tc>
          <w:tcPr>
            <w:tcW w:w="1380" w:type="dxa"/>
            <w:tcBorders>
              <w:top w:val="nil"/>
              <w:left w:val="nil"/>
              <w:bottom w:val="single" w:sz="4" w:space="0" w:color="808000"/>
              <w:right w:val="single" w:sz="8" w:space="0" w:color="auto"/>
            </w:tcBorders>
            <w:shd w:val="clear" w:color="auto" w:fill="auto"/>
            <w:noWrap/>
            <w:vAlign w:val="center"/>
            <w:hideMark/>
          </w:tcPr>
          <w:p w14:paraId="1DF17052"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321.540,00 </w:t>
            </w:r>
          </w:p>
        </w:tc>
        <w:tc>
          <w:tcPr>
            <w:tcW w:w="146" w:type="dxa"/>
            <w:tcBorders>
              <w:top w:val="nil"/>
              <w:left w:val="nil"/>
              <w:bottom w:val="nil"/>
              <w:right w:val="nil"/>
            </w:tcBorders>
            <w:shd w:val="clear" w:color="auto" w:fill="auto"/>
            <w:noWrap/>
            <w:vAlign w:val="bottom"/>
            <w:hideMark/>
          </w:tcPr>
          <w:p w14:paraId="526ECD7C" w14:textId="77777777" w:rsidR="007A704A" w:rsidRPr="005C2BE6" w:rsidRDefault="007A704A">
            <w:pPr>
              <w:rPr>
                <w:rFonts w:asciiTheme="minorHAnsi" w:hAnsiTheme="minorHAnsi"/>
                <w:i/>
                <w:iCs/>
                <w:color w:val="000000"/>
                <w:sz w:val="16"/>
                <w:szCs w:val="16"/>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14:paraId="7FCDE3C3" w14:textId="77777777" w:rsidR="007A704A" w:rsidRPr="005C2BE6" w:rsidRDefault="007A704A">
            <w:pP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483.313,97 </w:t>
            </w:r>
          </w:p>
        </w:tc>
        <w:tc>
          <w:tcPr>
            <w:tcW w:w="788" w:type="dxa"/>
            <w:tcBorders>
              <w:top w:val="nil"/>
              <w:left w:val="nil"/>
              <w:bottom w:val="single" w:sz="4" w:space="0" w:color="808000"/>
              <w:right w:val="single" w:sz="4" w:space="0" w:color="808000"/>
            </w:tcBorders>
            <w:shd w:val="clear" w:color="auto" w:fill="auto"/>
            <w:noWrap/>
            <w:vAlign w:val="center"/>
            <w:hideMark/>
          </w:tcPr>
          <w:p w14:paraId="18A7A84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26,15 </w:t>
            </w:r>
          </w:p>
        </w:tc>
        <w:tc>
          <w:tcPr>
            <w:tcW w:w="788" w:type="dxa"/>
            <w:tcBorders>
              <w:top w:val="nil"/>
              <w:left w:val="nil"/>
              <w:bottom w:val="single" w:sz="4" w:space="0" w:color="808000"/>
              <w:right w:val="single" w:sz="4" w:space="0" w:color="808000"/>
            </w:tcBorders>
            <w:shd w:val="clear" w:color="auto" w:fill="auto"/>
            <w:noWrap/>
            <w:vAlign w:val="center"/>
            <w:hideMark/>
          </w:tcPr>
          <w:p w14:paraId="72EE7531" w14:textId="77777777" w:rsidR="007A704A" w:rsidRPr="005C2BE6" w:rsidRDefault="007A704A">
            <w:pPr>
              <w:jc w:val="center"/>
              <w:rPr>
                <w:rFonts w:asciiTheme="minorHAnsi" w:hAnsiTheme="minorHAnsi"/>
                <w:i/>
                <w:iCs/>
                <w:color w:val="000000"/>
                <w:sz w:val="16"/>
                <w:szCs w:val="16"/>
              </w:rPr>
            </w:pPr>
            <w:r w:rsidRPr="005C2BE6">
              <w:rPr>
                <w:rFonts w:asciiTheme="minorHAnsi" w:hAnsiTheme="minorHAnsi"/>
                <w:i/>
                <w:iCs/>
                <w:color w:val="000000"/>
                <w:sz w:val="16"/>
                <w:szCs w:val="16"/>
              </w:rPr>
              <w:t xml:space="preserve">        17,40 </w:t>
            </w:r>
          </w:p>
        </w:tc>
        <w:tc>
          <w:tcPr>
            <w:tcW w:w="15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112BFC1" w14:textId="77777777" w:rsidR="007A704A" w:rsidRPr="005C2BE6" w:rsidRDefault="007A704A">
            <w:pPr>
              <w:rPr>
                <w:rFonts w:asciiTheme="minorHAnsi" w:hAnsiTheme="minorHAnsi"/>
                <w:i/>
                <w:iCs/>
                <w:color w:val="000000"/>
                <w:sz w:val="16"/>
                <w:szCs w:val="16"/>
              </w:rPr>
            </w:pPr>
            <w:r w:rsidRPr="005C2BE6">
              <w:rPr>
                <w:rFonts w:asciiTheme="minorHAnsi" w:hAnsiTheme="minorHAnsi"/>
                <w:i/>
                <w:iCs/>
                <w:color w:val="000000"/>
                <w:sz w:val="16"/>
                <w:szCs w:val="16"/>
              </w:rPr>
              <w:t xml:space="preserve">                            6.041 </w:t>
            </w:r>
          </w:p>
        </w:tc>
      </w:tr>
      <w:tr w:rsidR="007A704A" w:rsidRPr="005C2BE6" w14:paraId="761D5B44" w14:textId="77777777" w:rsidTr="005C2BE6">
        <w:trPr>
          <w:trHeight w:val="20"/>
        </w:trPr>
        <w:tc>
          <w:tcPr>
            <w:tcW w:w="1204" w:type="dxa"/>
            <w:tcBorders>
              <w:top w:val="nil"/>
              <w:left w:val="nil"/>
              <w:bottom w:val="nil"/>
              <w:right w:val="nil"/>
            </w:tcBorders>
            <w:shd w:val="clear" w:color="auto" w:fill="auto"/>
            <w:noWrap/>
            <w:vAlign w:val="bottom"/>
            <w:hideMark/>
          </w:tcPr>
          <w:p w14:paraId="19EA0640" w14:textId="77777777" w:rsidR="007A704A" w:rsidRPr="005C2BE6" w:rsidRDefault="007A704A">
            <w:pPr>
              <w:rPr>
                <w:rFonts w:asciiTheme="minorHAnsi" w:hAnsiTheme="minorHAnsi"/>
                <w:i/>
                <w:iCs/>
                <w:color w:val="000000"/>
                <w:sz w:val="16"/>
                <w:szCs w:val="16"/>
              </w:rPr>
            </w:pPr>
          </w:p>
        </w:tc>
        <w:tc>
          <w:tcPr>
            <w:tcW w:w="851" w:type="dxa"/>
            <w:tcBorders>
              <w:top w:val="nil"/>
              <w:left w:val="nil"/>
              <w:bottom w:val="nil"/>
              <w:right w:val="nil"/>
            </w:tcBorders>
            <w:shd w:val="clear" w:color="auto" w:fill="auto"/>
            <w:noWrap/>
            <w:vAlign w:val="bottom"/>
            <w:hideMark/>
          </w:tcPr>
          <w:p w14:paraId="41FE8012" w14:textId="77777777" w:rsidR="007A704A" w:rsidRPr="005C2BE6" w:rsidRDefault="007A704A">
            <w:pPr>
              <w:rPr>
                <w:rFonts w:asciiTheme="minorHAnsi" w:hAnsiTheme="minorHAnsi"/>
                <w:sz w:val="16"/>
                <w:szCs w:val="16"/>
              </w:rPr>
            </w:pPr>
          </w:p>
        </w:tc>
        <w:tc>
          <w:tcPr>
            <w:tcW w:w="941" w:type="dxa"/>
            <w:tcBorders>
              <w:top w:val="nil"/>
              <w:left w:val="nil"/>
              <w:bottom w:val="nil"/>
              <w:right w:val="nil"/>
            </w:tcBorders>
            <w:shd w:val="clear" w:color="auto" w:fill="auto"/>
            <w:noWrap/>
            <w:vAlign w:val="bottom"/>
            <w:hideMark/>
          </w:tcPr>
          <w:p w14:paraId="5B83FC91" w14:textId="77777777" w:rsidR="007A704A" w:rsidRPr="005C2BE6" w:rsidRDefault="007A704A">
            <w:pPr>
              <w:rPr>
                <w:rFonts w:asciiTheme="minorHAnsi" w:hAnsiTheme="minorHAnsi"/>
                <w:sz w:val="16"/>
                <w:szCs w:val="16"/>
              </w:rPr>
            </w:pPr>
          </w:p>
        </w:tc>
        <w:tc>
          <w:tcPr>
            <w:tcW w:w="933" w:type="dxa"/>
            <w:tcBorders>
              <w:top w:val="nil"/>
              <w:left w:val="nil"/>
              <w:bottom w:val="nil"/>
              <w:right w:val="nil"/>
            </w:tcBorders>
            <w:shd w:val="clear" w:color="auto" w:fill="auto"/>
            <w:noWrap/>
            <w:vAlign w:val="bottom"/>
            <w:hideMark/>
          </w:tcPr>
          <w:p w14:paraId="717D3232" w14:textId="77777777" w:rsidR="007A704A" w:rsidRPr="005C2BE6" w:rsidRDefault="007A704A">
            <w:pPr>
              <w:rPr>
                <w:rFonts w:asciiTheme="minorHAnsi" w:hAnsiTheme="minorHAnsi"/>
                <w:sz w:val="16"/>
                <w:szCs w:val="16"/>
              </w:rPr>
            </w:pPr>
          </w:p>
        </w:tc>
        <w:tc>
          <w:tcPr>
            <w:tcW w:w="1380" w:type="dxa"/>
            <w:tcBorders>
              <w:top w:val="nil"/>
              <w:left w:val="nil"/>
              <w:bottom w:val="nil"/>
              <w:right w:val="nil"/>
            </w:tcBorders>
            <w:shd w:val="clear" w:color="auto" w:fill="auto"/>
            <w:noWrap/>
            <w:vAlign w:val="bottom"/>
            <w:hideMark/>
          </w:tcPr>
          <w:p w14:paraId="6AFB9B1A" w14:textId="77777777" w:rsidR="007A704A" w:rsidRPr="005C2BE6" w:rsidRDefault="007A704A">
            <w:pPr>
              <w:rPr>
                <w:rFonts w:asciiTheme="minorHAnsi" w:hAnsiTheme="minorHAnsi"/>
                <w:sz w:val="16"/>
                <w:szCs w:val="16"/>
              </w:rPr>
            </w:pPr>
          </w:p>
        </w:tc>
        <w:tc>
          <w:tcPr>
            <w:tcW w:w="146" w:type="dxa"/>
            <w:tcBorders>
              <w:top w:val="nil"/>
              <w:left w:val="nil"/>
              <w:bottom w:val="nil"/>
              <w:right w:val="nil"/>
            </w:tcBorders>
            <w:shd w:val="clear" w:color="auto" w:fill="auto"/>
            <w:noWrap/>
            <w:vAlign w:val="bottom"/>
            <w:hideMark/>
          </w:tcPr>
          <w:p w14:paraId="517A26DC" w14:textId="77777777" w:rsidR="007A704A" w:rsidRPr="005C2BE6" w:rsidRDefault="007A704A">
            <w:pPr>
              <w:rPr>
                <w:rFonts w:asciiTheme="minorHAnsi" w:hAnsiTheme="minorHAnsi"/>
                <w:sz w:val="16"/>
                <w:szCs w:val="16"/>
              </w:rPr>
            </w:pPr>
          </w:p>
        </w:tc>
        <w:tc>
          <w:tcPr>
            <w:tcW w:w="1668" w:type="dxa"/>
            <w:tcBorders>
              <w:top w:val="nil"/>
              <w:left w:val="nil"/>
              <w:bottom w:val="nil"/>
              <w:right w:val="nil"/>
            </w:tcBorders>
            <w:shd w:val="clear" w:color="auto" w:fill="auto"/>
            <w:noWrap/>
            <w:vAlign w:val="bottom"/>
            <w:hideMark/>
          </w:tcPr>
          <w:p w14:paraId="5631ADD9"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4AE73533"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22F0B76D" w14:textId="77777777" w:rsidR="007A704A" w:rsidRPr="005C2BE6" w:rsidRDefault="007A704A">
            <w:pPr>
              <w:rPr>
                <w:rFonts w:asciiTheme="minorHAnsi" w:hAnsiTheme="minorHAnsi"/>
                <w:sz w:val="16"/>
                <w:szCs w:val="16"/>
              </w:rPr>
            </w:pPr>
          </w:p>
        </w:tc>
        <w:tc>
          <w:tcPr>
            <w:tcW w:w="1589" w:type="dxa"/>
            <w:tcBorders>
              <w:top w:val="nil"/>
              <w:left w:val="nil"/>
              <w:bottom w:val="nil"/>
              <w:right w:val="nil"/>
            </w:tcBorders>
            <w:shd w:val="clear" w:color="auto" w:fill="auto"/>
            <w:noWrap/>
            <w:vAlign w:val="bottom"/>
            <w:hideMark/>
          </w:tcPr>
          <w:p w14:paraId="07B99888" w14:textId="77777777" w:rsidR="007A704A" w:rsidRPr="005C2BE6" w:rsidRDefault="007A704A">
            <w:pPr>
              <w:rPr>
                <w:rFonts w:asciiTheme="minorHAnsi" w:hAnsiTheme="minorHAnsi"/>
                <w:sz w:val="16"/>
                <w:szCs w:val="16"/>
              </w:rPr>
            </w:pPr>
          </w:p>
        </w:tc>
      </w:tr>
      <w:tr w:rsidR="007A704A" w:rsidRPr="005C2BE6" w14:paraId="470AF840" w14:textId="77777777" w:rsidTr="005C2BE6">
        <w:trPr>
          <w:trHeight w:val="20"/>
        </w:trPr>
        <w:tc>
          <w:tcPr>
            <w:tcW w:w="2996"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F4332F1"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TOTAL DIAS</w:t>
            </w:r>
          </w:p>
        </w:tc>
        <w:tc>
          <w:tcPr>
            <w:tcW w:w="933" w:type="dxa"/>
            <w:tcBorders>
              <w:top w:val="single" w:sz="4" w:space="0" w:color="333300"/>
              <w:left w:val="nil"/>
              <w:bottom w:val="single" w:sz="4" w:space="0" w:color="333300"/>
              <w:right w:val="single" w:sz="4" w:space="0" w:color="333300"/>
            </w:tcBorders>
            <w:shd w:val="clear" w:color="000000" w:fill="FFFF99"/>
            <w:noWrap/>
            <w:vAlign w:val="center"/>
            <w:hideMark/>
          </w:tcPr>
          <w:p w14:paraId="30062F7A"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3.600</w:t>
            </w:r>
          </w:p>
        </w:tc>
        <w:tc>
          <w:tcPr>
            <w:tcW w:w="1380" w:type="dxa"/>
            <w:tcBorders>
              <w:top w:val="nil"/>
              <w:left w:val="nil"/>
              <w:bottom w:val="nil"/>
              <w:right w:val="nil"/>
            </w:tcBorders>
            <w:shd w:val="clear" w:color="auto" w:fill="auto"/>
            <w:noWrap/>
            <w:vAlign w:val="bottom"/>
            <w:hideMark/>
          </w:tcPr>
          <w:p w14:paraId="785832AF" w14:textId="77777777" w:rsidR="007A704A" w:rsidRPr="005C2BE6" w:rsidRDefault="007A704A">
            <w:pPr>
              <w:jc w:val="center"/>
              <w:rPr>
                <w:rFonts w:asciiTheme="minorHAnsi" w:hAnsiTheme="minorHAnsi"/>
                <w:b/>
                <w:bCs/>
                <w:i/>
                <w:iCs/>
                <w:color w:val="000000"/>
                <w:sz w:val="16"/>
                <w:szCs w:val="16"/>
              </w:rPr>
            </w:pPr>
          </w:p>
        </w:tc>
        <w:tc>
          <w:tcPr>
            <w:tcW w:w="146" w:type="dxa"/>
            <w:tcBorders>
              <w:top w:val="nil"/>
              <w:left w:val="nil"/>
              <w:bottom w:val="nil"/>
              <w:right w:val="nil"/>
            </w:tcBorders>
            <w:shd w:val="clear" w:color="auto" w:fill="auto"/>
            <w:noWrap/>
            <w:vAlign w:val="bottom"/>
            <w:hideMark/>
          </w:tcPr>
          <w:p w14:paraId="6A9D5BD5" w14:textId="77777777" w:rsidR="007A704A" w:rsidRPr="005C2BE6" w:rsidRDefault="007A704A">
            <w:pPr>
              <w:rPr>
                <w:rFonts w:asciiTheme="minorHAnsi" w:hAnsiTheme="minorHAnsi"/>
                <w:sz w:val="16"/>
                <w:szCs w:val="16"/>
              </w:rPr>
            </w:pPr>
          </w:p>
        </w:tc>
        <w:tc>
          <w:tcPr>
            <w:tcW w:w="1668" w:type="dxa"/>
            <w:tcBorders>
              <w:top w:val="nil"/>
              <w:left w:val="nil"/>
              <w:bottom w:val="nil"/>
              <w:right w:val="nil"/>
            </w:tcBorders>
            <w:shd w:val="clear" w:color="auto" w:fill="auto"/>
            <w:noWrap/>
            <w:vAlign w:val="bottom"/>
            <w:hideMark/>
          </w:tcPr>
          <w:p w14:paraId="31D8E8C0" w14:textId="77777777" w:rsidR="007A704A" w:rsidRPr="005C2BE6" w:rsidRDefault="007A704A">
            <w:pPr>
              <w:rPr>
                <w:rFonts w:asciiTheme="minorHAnsi" w:hAnsiTheme="minorHAnsi"/>
                <w:sz w:val="16"/>
                <w:szCs w:val="16"/>
              </w:rPr>
            </w:pPr>
          </w:p>
        </w:tc>
        <w:tc>
          <w:tcPr>
            <w:tcW w:w="157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6965D694"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IBL</w:t>
            </w:r>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14:paraId="02E5DAE3"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455.068,16 </w:t>
            </w:r>
          </w:p>
        </w:tc>
      </w:tr>
      <w:tr w:rsidR="007A704A" w:rsidRPr="005C2BE6" w14:paraId="4C8A819F" w14:textId="77777777" w:rsidTr="005C2BE6">
        <w:trPr>
          <w:trHeight w:val="20"/>
        </w:trPr>
        <w:tc>
          <w:tcPr>
            <w:tcW w:w="1204" w:type="dxa"/>
            <w:tcBorders>
              <w:top w:val="nil"/>
              <w:left w:val="nil"/>
              <w:bottom w:val="nil"/>
              <w:right w:val="nil"/>
            </w:tcBorders>
            <w:shd w:val="clear" w:color="auto" w:fill="auto"/>
            <w:noWrap/>
            <w:vAlign w:val="bottom"/>
            <w:hideMark/>
          </w:tcPr>
          <w:p w14:paraId="0AE29B87" w14:textId="77777777" w:rsidR="007A704A" w:rsidRPr="005C2BE6" w:rsidRDefault="007A704A">
            <w:pPr>
              <w:jc w:val="center"/>
              <w:rPr>
                <w:rFonts w:asciiTheme="minorHAnsi" w:hAnsiTheme="minorHAnsi"/>
                <w:b/>
                <w:bCs/>
                <w:i/>
                <w:iCs/>
                <w:color w:val="000000"/>
                <w:sz w:val="16"/>
                <w:szCs w:val="16"/>
              </w:rPr>
            </w:pPr>
          </w:p>
        </w:tc>
        <w:tc>
          <w:tcPr>
            <w:tcW w:w="851" w:type="dxa"/>
            <w:tcBorders>
              <w:top w:val="nil"/>
              <w:left w:val="nil"/>
              <w:bottom w:val="nil"/>
              <w:right w:val="nil"/>
            </w:tcBorders>
            <w:shd w:val="clear" w:color="auto" w:fill="auto"/>
            <w:noWrap/>
            <w:vAlign w:val="bottom"/>
            <w:hideMark/>
          </w:tcPr>
          <w:p w14:paraId="32754038" w14:textId="77777777" w:rsidR="007A704A" w:rsidRPr="005C2BE6" w:rsidRDefault="007A704A">
            <w:pPr>
              <w:rPr>
                <w:rFonts w:asciiTheme="minorHAnsi" w:hAnsiTheme="minorHAnsi"/>
                <w:sz w:val="16"/>
                <w:szCs w:val="16"/>
              </w:rPr>
            </w:pPr>
          </w:p>
        </w:tc>
        <w:tc>
          <w:tcPr>
            <w:tcW w:w="941" w:type="dxa"/>
            <w:tcBorders>
              <w:top w:val="nil"/>
              <w:left w:val="nil"/>
              <w:bottom w:val="nil"/>
              <w:right w:val="nil"/>
            </w:tcBorders>
            <w:shd w:val="clear" w:color="auto" w:fill="auto"/>
            <w:noWrap/>
            <w:vAlign w:val="bottom"/>
            <w:hideMark/>
          </w:tcPr>
          <w:p w14:paraId="572D6455" w14:textId="77777777" w:rsidR="007A704A" w:rsidRPr="005C2BE6" w:rsidRDefault="007A704A">
            <w:pPr>
              <w:rPr>
                <w:rFonts w:asciiTheme="minorHAnsi" w:hAnsiTheme="minorHAnsi"/>
                <w:sz w:val="16"/>
                <w:szCs w:val="16"/>
              </w:rPr>
            </w:pPr>
          </w:p>
        </w:tc>
        <w:tc>
          <w:tcPr>
            <w:tcW w:w="933" w:type="dxa"/>
            <w:tcBorders>
              <w:top w:val="nil"/>
              <w:left w:val="nil"/>
              <w:bottom w:val="nil"/>
              <w:right w:val="nil"/>
            </w:tcBorders>
            <w:shd w:val="clear" w:color="auto" w:fill="auto"/>
            <w:noWrap/>
            <w:vAlign w:val="bottom"/>
            <w:hideMark/>
          </w:tcPr>
          <w:p w14:paraId="036EEF5E" w14:textId="77777777" w:rsidR="007A704A" w:rsidRPr="005C2BE6" w:rsidRDefault="007A704A">
            <w:pPr>
              <w:rPr>
                <w:rFonts w:asciiTheme="minorHAnsi" w:hAnsiTheme="minorHAnsi"/>
                <w:sz w:val="16"/>
                <w:szCs w:val="16"/>
              </w:rPr>
            </w:pPr>
          </w:p>
        </w:tc>
        <w:tc>
          <w:tcPr>
            <w:tcW w:w="1380" w:type="dxa"/>
            <w:tcBorders>
              <w:top w:val="nil"/>
              <w:left w:val="nil"/>
              <w:bottom w:val="nil"/>
              <w:right w:val="nil"/>
            </w:tcBorders>
            <w:shd w:val="clear" w:color="auto" w:fill="auto"/>
            <w:noWrap/>
            <w:vAlign w:val="bottom"/>
            <w:hideMark/>
          </w:tcPr>
          <w:p w14:paraId="51E19E7F" w14:textId="77777777" w:rsidR="007A704A" w:rsidRPr="005C2BE6" w:rsidRDefault="007A704A">
            <w:pPr>
              <w:rPr>
                <w:rFonts w:asciiTheme="minorHAnsi" w:hAnsiTheme="minorHAnsi"/>
                <w:sz w:val="16"/>
                <w:szCs w:val="16"/>
              </w:rPr>
            </w:pPr>
          </w:p>
        </w:tc>
        <w:tc>
          <w:tcPr>
            <w:tcW w:w="146" w:type="dxa"/>
            <w:tcBorders>
              <w:top w:val="nil"/>
              <w:left w:val="nil"/>
              <w:bottom w:val="nil"/>
              <w:right w:val="nil"/>
            </w:tcBorders>
            <w:shd w:val="clear" w:color="auto" w:fill="auto"/>
            <w:noWrap/>
            <w:vAlign w:val="bottom"/>
            <w:hideMark/>
          </w:tcPr>
          <w:p w14:paraId="578A5490" w14:textId="77777777" w:rsidR="007A704A" w:rsidRPr="005C2BE6" w:rsidRDefault="007A704A">
            <w:pPr>
              <w:rPr>
                <w:rFonts w:asciiTheme="minorHAnsi" w:hAnsiTheme="minorHAnsi"/>
                <w:sz w:val="16"/>
                <w:szCs w:val="16"/>
              </w:rPr>
            </w:pPr>
          </w:p>
        </w:tc>
        <w:tc>
          <w:tcPr>
            <w:tcW w:w="1668" w:type="dxa"/>
            <w:tcBorders>
              <w:top w:val="nil"/>
              <w:left w:val="nil"/>
              <w:bottom w:val="nil"/>
              <w:right w:val="nil"/>
            </w:tcBorders>
            <w:shd w:val="clear" w:color="auto" w:fill="auto"/>
            <w:noWrap/>
            <w:vAlign w:val="bottom"/>
            <w:hideMark/>
          </w:tcPr>
          <w:p w14:paraId="70DAFDC3"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1C461FCC" w14:textId="77777777" w:rsidR="007A704A" w:rsidRPr="005C2BE6" w:rsidRDefault="007A704A">
            <w:pPr>
              <w:rPr>
                <w:rFonts w:asciiTheme="minorHAnsi" w:hAnsiTheme="minorHAnsi"/>
                <w:sz w:val="16"/>
                <w:szCs w:val="16"/>
              </w:rPr>
            </w:pPr>
          </w:p>
        </w:tc>
        <w:tc>
          <w:tcPr>
            <w:tcW w:w="788" w:type="dxa"/>
            <w:tcBorders>
              <w:top w:val="nil"/>
              <w:left w:val="nil"/>
              <w:bottom w:val="nil"/>
              <w:right w:val="nil"/>
            </w:tcBorders>
            <w:shd w:val="clear" w:color="auto" w:fill="auto"/>
            <w:noWrap/>
            <w:vAlign w:val="bottom"/>
            <w:hideMark/>
          </w:tcPr>
          <w:p w14:paraId="493E959F" w14:textId="77777777" w:rsidR="007A704A" w:rsidRPr="005C2BE6" w:rsidRDefault="007A704A">
            <w:pPr>
              <w:rPr>
                <w:rFonts w:asciiTheme="minorHAnsi" w:hAnsiTheme="minorHAnsi"/>
                <w:sz w:val="16"/>
                <w:szCs w:val="16"/>
              </w:rPr>
            </w:pPr>
          </w:p>
        </w:tc>
        <w:tc>
          <w:tcPr>
            <w:tcW w:w="1589" w:type="dxa"/>
            <w:tcBorders>
              <w:top w:val="nil"/>
              <w:left w:val="nil"/>
              <w:bottom w:val="nil"/>
              <w:right w:val="nil"/>
            </w:tcBorders>
            <w:shd w:val="clear" w:color="auto" w:fill="auto"/>
            <w:noWrap/>
            <w:vAlign w:val="bottom"/>
            <w:hideMark/>
          </w:tcPr>
          <w:p w14:paraId="00FEDDAA" w14:textId="77777777" w:rsidR="007A704A" w:rsidRPr="005C2BE6" w:rsidRDefault="007A704A">
            <w:pPr>
              <w:rPr>
                <w:rFonts w:asciiTheme="minorHAnsi" w:hAnsiTheme="minorHAnsi"/>
                <w:sz w:val="16"/>
                <w:szCs w:val="16"/>
              </w:rPr>
            </w:pPr>
          </w:p>
        </w:tc>
      </w:tr>
      <w:tr w:rsidR="007A704A" w:rsidRPr="005C2BE6" w14:paraId="21B3910F" w14:textId="77777777" w:rsidTr="005C2BE6">
        <w:trPr>
          <w:trHeight w:val="20"/>
        </w:trPr>
        <w:tc>
          <w:tcPr>
            <w:tcW w:w="1204" w:type="dxa"/>
            <w:tcBorders>
              <w:top w:val="nil"/>
              <w:left w:val="nil"/>
              <w:bottom w:val="nil"/>
              <w:right w:val="nil"/>
            </w:tcBorders>
            <w:shd w:val="clear" w:color="auto" w:fill="auto"/>
            <w:noWrap/>
            <w:vAlign w:val="bottom"/>
            <w:hideMark/>
          </w:tcPr>
          <w:p w14:paraId="789B99CF" w14:textId="77777777" w:rsidR="007A704A" w:rsidRPr="005C2BE6" w:rsidRDefault="007A704A">
            <w:pPr>
              <w:rPr>
                <w:rFonts w:asciiTheme="minorHAnsi" w:hAnsiTheme="minorHAnsi"/>
                <w:sz w:val="16"/>
                <w:szCs w:val="16"/>
              </w:rPr>
            </w:pPr>
          </w:p>
        </w:tc>
        <w:tc>
          <w:tcPr>
            <w:tcW w:w="851" w:type="dxa"/>
            <w:tcBorders>
              <w:top w:val="nil"/>
              <w:left w:val="nil"/>
              <w:bottom w:val="nil"/>
              <w:right w:val="nil"/>
            </w:tcBorders>
            <w:shd w:val="clear" w:color="auto" w:fill="auto"/>
            <w:noWrap/>
            <w:vAlign w:val="bottom"/>
            <w:hideMark/>
          </w:tcPr>
          <w:p w14:paraId="046898D5" w14:textId="77777777" w:rsidR="007A704A" w:rsidRPr="005C2BE6" w:rsidRDefault="007A704A">
            <w:pPr>
              <w:rPr>
                <w:rFonts w:asciiTheme="minorHAnsi" w:hAnsiTheme="minorHAnsi"/>
                <w:sz w:val="16"/>
                <w:szCs w:val="16"/>
              </w:rPr>
            </w:pPr>
          </w:p>
        </w:tc>
        <w:tc>
          <w:tcPr>
            <w:tcW w:w="941" w:type="dxa"/>
            <w:tcBorders>
              <w:top w:val="nil"/>
              <w:left w:val="nil"/>
              <w:bottom w:val="nil"/>
              <w:right w:val="nil"/>
            </w:tcBorders>
            <w:shd w:val="clear" w:color="auto" w:fill="auto"/>
            <w:noWrap/>
            <w:vAlign w:val="bottom"/>
            <w:hideMark/>
          </w:tcPr>
          <w:p w14:paraId="3BBBD5F5" w14:textId="77777777" w:rsidR="007A704A" w:rsidRPr="005C2BE6" w:rsidRDefault="007A704A">
            <w:pPr>
              <w:rPr>
                <w:rFonts w:asciiTheme="minorHAnsi" w:hAnsiTheme="minorHAnsi"/>
                <w:sz w:val="16"/>
                <w:szCs w:val="16"/>
              </w:rPr>
            </w:pPr>
          </w:p>
        </w:tc>
        <w:tc>
          <w:tcPr>
            <w:tcW w:w="933" w:type="dxa"/>
            <w:tcBorders>
              <w:top w:val="nil"/>
              <w:left w:val="nil"/>
              <w:bottom w:val="nil"/>
              <w:right w:val="nil"/>
            </w:tcBorders>
            <w:shd w:val="clear" w:color="auto" w:fill="auto"/>
            <w:noWrap/>
            <w:vAlign w:val="bottom"/>
            <w:hideMark/>
          </w:tcPr>
          <w:p w14:paraId="300BE2C9" w14:textId="77777777" w:rsidR="007A704A" w:rsidRPr="005C2BE6" w:rsidRDefault="007A704A">
            <w:pPr>
              <w:rPr>
                <w:rFonts w:asciiTheme="minorHAnsi" w:hAnsiTheme="minorHAnsi"/>
                <w:sz w:val="16"/>
                <w:szCs w:val="16"/>
              </w:rPr>
            </w:pPr>
          </w:p>
        </w:tc>
        <w:tc>
          <w:tcPr>
            <w:tcW w:w="1380" w:type="dxa"/>
            <w:tcBorders>
              <w:top w:val="nil"/>
              <w:left w:val="nil"/>
              <w:bottom w:val="nil"/>
              <w:right w:val="nil"/>
            </w:tcBorders>
            <w:shd w:val="clear" w:color="auto" w:fill="auto"/>
            <w:noWrap/>
            <w:vAlign w:val="bottom"/>
            <w:hideMark/>
          </w:tcPr>
          <w:p w14:paraId="5307F722" w14:textId="77777777" w:rsidR="007A704A" w:rsidRPr="005C2BE6" w:rsidRDefault="007A704A">
            <w:pPr>
              <w:rPr>
                <w:rFonts w:asciiTheme="minorHAnsi" w:hAnsiTheme="minorHAnsi"/>
                <w:sz w:val="16"/>
                <w:szCs w:val="16"/>
              </w:rPr>
            </w:pPr>
          </w:p>
        </w:tc>
        <w:tc>
          <w:tcPr>
            <w:tcW w:w="146" w:type="dxa"/>
            <w:tcBorders>
              <w:top w:val="nil"/>
              <w:left w:val="nil"/>
              <w:bottom w:val="nil"/>
              <w:right w:val="nil"/>
            </w:tcBorders>
            <w:shd w:val="clear" w:color="auto" w:fill="auto"/>
            <w:noWrap/>
            <w:vAlign w:val="bottom"/>
            <w:hideMark/>
          </w:tcPr>
          <w:p w14:paraId="73A0C371" w14:textId="77777777" w:rsidR="007A704A" w:rsidRPr="005C2BE6" w:rsidRDefault="007A704A">
            <w:pPr>
              <w:rPr>
                <w:rFonts w:asciiTheme="minorHAnsi" w:hAnsiTheme="minorHAnsi"/>
                <w:sz w:val="16"/>
                <w:szCs w:val="16"/>
              </w:rPr>
            </w:pPr>
          </w:p>
        </w:tc>
        <w:tc>
          <w:tcPr>
            <w:tcW w:w="1668" w:type="dxa"/>
            <w:tcBorders>
              <w:top w:val="nil"/>
              <w:left w:val="nil"/>
              <w:bottom w:val="nil"/>
              <w:right w:val="nil"/>
            </w:tcBorders>
            <w:shd w:val="clear" w:color="auto" w:fill="auto"/>
            <w:noWrap/>
            <w:vAlign w:val="bottom"/>
            <w:hideMark/>
          </w:tcPr>
          <w:p w14:paraId="7976BC0F" w14:textId="77777777" w:rsidR="007A704A" w:rsidRPr="005C2BE6" w:rsidRDefault="007A704A">
            <w:pPr>
              <w:rPr>
                <w:rFonts w:asciiTheme="minorHAnsi" w:hAnsiTheme="minorHAnsi"/>
                <w:sz w:val="16"/>
                <w:szCs w:val="16"/>
              </w:rPr>
            </w:pPr>
          </w:p>
        </w:tc>
        <w:tc>
          <w:tcPr>
            <w:tcW w:w="157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B198EF2"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Mesada</w:t>
            </w:r>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14:paraId="7E8DD1B9" w14:textId="77777777" w:rsidR="007A704A" w:rsidRPr="005C2BE6" w:rsidRDefault="007A704A">
            <w:pPr>
              <w:jc w:val="center"/>
              <w:rPr>
                <w:rFonts w:asciiTheme="minorHAnsi" w:hAnsiTheme="minorHAnsi"/>
                <w:b/>
                <w:bCs/>
                <w:i/>
                <w:iCs/>
                <w:color w:val="000000"/>
                <w:sz w:val="16"/>
                <w:szCs w:val="16"/>
              </w:rPr>
            </w:pPr>
            <w:r w:rsidRPr="005C2BE6">
              <w:rPr>
                <w:rFonts w:asciiTheme="minorHAnsi" w:hAnsiTheme="minorHAnsi"/>
                <w:b/>
                <w:bCs/>
                <w:i/>
                <w:iCs/>
                <w:color w:val="000000"/>
                <w:sz w:val="16"/>
                <w:szCs w:val="16"/>
              </w:rPr>
              <w:t xml:space="preserve">              259.388,85 </w:t>
            </w:r>
          </w:p>
        </w:tc>
      </w:tr>
    </w:tbl>
    <w:p w14:paraId="0A00CEE9" w14:textId="77777777" w:rsidR="00127CC2" w:rsidRDefault="00127CC2" w:rsidP="00F24225">
      <w:pPr>
        <w:rPr>
          <w:rFonts w:ascii="Tahoma" w:hAnsi="Tahoma" w:cs="Tahoma"/>
        </w:rPr>
      </w:pPr>
    </w:p>
    <w:p w14:paraId="0AC7B391" w14:textId="39116A64" w:rsidR="00143E75" w:rsidRPr="00CF444F" w:rsidRDefault="00487AEF" w:rsidP="00E9724F">
      <w:pPr>
        <w:jc w:val="center"/>
        <w:rPr>
          <w:rFonts w:ascii="Tahoma" w:hAnsi="Tahoma" w:cs="Tahoma"/>
          <w:b/>
        </w:rPr>
      </w:pPr>
      <w:r w:rsidRPr="00CF444F">
        <w:rPr>
          <w:rFonts w:ascii="Tahoma" w:hAnsi="Tahoma" w:cs="Tahoma"/>
          <w:b/>
        </w:rPr>
        <w:t xml:space="preserve">RETROACTIVO PENSIONAL DE </w:t>
      </w:r>
      <w:r w:rsidR="000E33B0">
        <w:rPr>
          <w:rFonts w:ascii="Tahoma" w:hAnsi="Tahoma" w:cs="Tahoma"/>
          <w:b/>
        </w:rPr>
        <w:t>LA</w:t>
      </w:r>
      <w:r w:rsidR="001E6B56">
        <w:rPr>
          <w:rFonts w:ascii="Tahoma" w:hAnsi="Tahoma" w:cs="Tahoma"/>
          <w:b/>
        </w:rPr>
        <w:t xml:space="preserve"> SALA </w:t>
      </w:r>
      <w:r w:rsidRPr="00CF444F">
        <w:rPr>
          <w:rFonts w:ascii="Tahoma" w:hAnsi="Tahoma" w:cs="Tahoma"/>
          <w:b/>
        </w:rPr>
        <w:t xml:space="preserve"> </w:t>
      </w:r>
    </w:p>
    <w:p w14:paraId="2A407D8C" w14:textId="77777777" w:rsidR="00143E75" w:rsidRDefault="00143E75" w:rsidP="00E9724F">
      <w:pPr>
        <w:jc w:val="center"/>
        <w:rPr>
          <w:rFonts w:ascii="Tahoma" w:hAnsi="Tahoma" w:cs="Tahoma"/>
        </w:rPr>
      </w:pPr>
    </w:p>
    <w:p w14:paraId="0946539D" w14:textId="77777777" w:rsidR="00434841" w:rsidRDefault="00434841" w:rsidP="00E9724F">
      <w:pPr>
        <w:jc w:val="center"/>
        <w:rPr>
          <w:rFonts w:ascii="Tahoma" w:hAnsi="Tahoma" w:cs="Tahoma"/>
        </w:rPr>
      </w:pPr>
    </w:p>
    <w:tbl>
      <w:tblPr>
        <w:tblW w:w="0" w:type="auto"/>
        <w:tblInd w:w="70" w:type="dxa"/>
        <w:tblCellMar>
          <w:left w:w="70" w:type="dxa"/>
          <w:right w:w="70" w:type="dxa"/>
        </w:tblCellMar>
        <w:tblLook w:val="04A0" w:firstRow="1" w:lastRow="0" w:firstColumn="1" w:lastColumn="0" w:noHBand="0" w:noVBand="1"/>
      </w:tblPr>
      <w:tblGrid>
        <w:gridCol w:w="546"/>
        <w:gridCol w:w="1456"/>
        <w:gridCol w:w="973"/>
        <w:gridCol w:w="994"/>
        <w:gridCol w:w="762"/>
        <w:gridCol w:w="1791"/>
        <w:gridCol w:w="1305"/>
        <w:gridCol w:w="1991"/>
      </w:tblGrid>
      <w:tr w:rsidR="001E6B56" w14:paraId="3B533D88" w14:textId="77777777" w:rsidTr="001E6B56">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60A49406" w14:textId="77777777" w:rsidR="001E6B56" w:rsidRDefault="001E6B56">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14:paraId="24CF9986" w14:textId="77777777" w:rsidR="001E6B56" w:rsidRDefault="001E6B56">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4B41805F" w14:textId="77777777" w:rsidR="001E6B56" w:rsidRDefault="001E6B56">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2AE69C6C" w14:textId="77777777" w:rsidR="001E6B56" w:rsidRDefault="001E6B56">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6C0BA1E4" w14:textId="77777777" w:rsidR="001E6B56" w:rsidRDefault="001E6B56">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154E8CAF" w14:textId="77777777" w:rsidR="001E6B56" w:rsidRDefault="001E6B56">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0177DBF0" w14:textId="77777777" w:rsidR="001E6B56" w:rsidRDefault="001E6B56">
            <w:pPr>
              <w:jc w:val="center"/>
              <w:rPr>
                <w:rFonts w:ascii="Calibri" w:hAnsi="Calibri"/>
                <w:b/>
                <w:bCs/>
                <w:color w:val="000000"/>
                <w:sz w:val="16"/>
                <w:szCs w:val="16"/>
              </w:rPr>
            </w:pPr>
            <w:r>
              <w:rPr>
                <w:rFonts w:ascii="Calibri" w:hAnsi="Calibri"/>
                <w:b/>
                <w:bCs/>
                <w:color w:val="000000"/>
                <w:sz w:val="16"/>
                <w:szCs w:val="16"/>
              </w:rPr>
              <w:t>Prescritas</w:t>
            </w:r>
          </w:p>
        </w:tc>
        <w:tc>
          <w:tcPr>
            <w:tcW w:w="0" w:type="auto"/>
            <w:tcBorders>
              <w:top w:val="single" w:sz="4" w:space="0" w:color="808000"/>
              <w:left w:val="nil"/>
              <w:bottom w:val="nil"/>
              <w:right w:val="single" w:sz="4" w:space="0" w:color="808000"/>
            </w:tcBorders>
            <w:shd w:val="clear" w:color="000000" w:fill="FFFF99"/>
            <w:vAlign w:val="center"/>
            <w:hideMark/>
          </w:tcPr>
          <w:p w14:paraId="6E3D28CD" w14:textId="77777777" w:rsidR="001E6B56" w:rsidRDefault="001E6B56">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1E6B56" w14:paraId="7736E4A4" w14:textId="77777777" w:rsidTr="001E6B56">
        <w:trPr>
          <w:trHeight w:val="270"/>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036C4F92" w14:textId="77777777" w:rsidR="001E6B56" w:rsidRDefault="001E6B56">
            <w:pPr>
              <w:jc w:val="center"/>
              <w:rPr>
                <w:rFonts w:ascii="Calibri" w:hAnsi="Calibri"/>
                <w:sz w:val="20"/>
                <w:szCs w:val="20"/>
              </w:rPr>
            </w:pPr>
            <w:r>
              <w:rPr>
                <w:rFonts w:ascii="Calibri" w:hAnsi="Calibri"/>
                <w:sz w:val="20"/>
                <w:szCs w:val="20"/>
              </w:rPr>
              <w:t>1995</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14:paraId="6D353A40" w14:textId="0C17F78F" w:rsidR="001E6B56" w:rsidRDefault="001E6B56">
            <w:pPr>
              <w:jc w:val="center"/>
              <w:rPr>
                <w:rFonts w:ascii="Calibri" w:hAnsi="Calibri"/>
                <w:sz w:val="20"/>
                <w:szCs w:val="20"/>
              </w:rPr>
            </w:pP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E089B84" w14:textId="77777777" w:rsidR="001E6B56" w:rsidRDefault="001E6B56">
            <w:pPr>
              <w:jc w:val="right"/>
              <w:rPr>
                <w:rFonts w:ascii="Calibri" w:hAnsi="Calibri"/>
                <w:color w:val="000000"/>
                <w:sz w:val="20"/>
                <w:szCs w:val="20"/>
              </w:rPr>
            </w:pPr>
            <w:r>
              <w:rPr>
                <w:rFonts w:ascii="Calibri" w:hAnsi="Calibri"/>
                <w:color w:val="000000"/>
                <w:sz w:val="20"/>
                <w:szCs w:val="20"/>
              </w:rPr>
              <w:t>28-oct-95</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B42F0F2" w14:textId="77777777" w:rsidR="001E6B56" w:rsidRDefault="001E6B56">
            <w:pPr>
              <w:jc w:val="right"/>
              <w:rPr>
                <w:rFonts w:ascii="Calibri" w:hAnsi="Calibri"/>
                <w:color w:val="000000"/>
                <w:sz w:val="20"/>
                <w:szCs w:val="20"/>
              </w:rPr>
            </w:pPr>
            <w:r>
              <w:rPr>
                <w:rFonts w:ascii="Calibri" w:hAnsi="Calibri"/>
                <w:color w:val="000000"/>
                <w:sz w:val="20"/>
                <w:szCs w:val="20"/>
              </w:rPr>
              <w:t>31-dic-95</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72222D28" w14:textId="77777777" w:rsidR="001E6B56" w:rsidRDefault="001E6B56">
            <w:pPr>
              <w:jc w:val="center"/>
              <w:rPr>
                <w:rFonts w:ascii="Calibri" w:hAnsi="Calibri"/>
                <w:sz w:val="20"/>
                <w:szCs w:val="20"/>
              </w:rPr>
            </w:pPr>
            <w:r>
              <w:rPr>
                <w:rFonts w:ascii="Calibri" w:hAnsi="Calibri"/>
                <w:sz w:val="20"/>
                <w:szCs w:val="20"/>
              </w:rPr>
              <w:t>2,00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242B4F0B" w14:textId="77777777" w:rsidR="001E6B56" w:rsidRDefault="001E6B56">
            <w:pPr>
              <w:rPr>
                <w:rFonts w:ascii="Calibri" w:hAnsi="Calibri"/>
                <w:sz w:val="20"/>
                <w:szCs w:val="20"/>
              </w:rPr>
            </w:pPr>
            <w:r>
              <w:rPr>
                <w:rFonts w:ascii="Calibri" w:hAnsi="Calibri"/>
                <w:sz w:val="20"/>
                <w:szCs w:val="20"/>
              </w:rPr>
              <w:t xml:space="preserve">                     259.388,85 </w:t>
            </w:r>
          </w:p>
        </w:tc>
        <w:tc>
          <w:tcPr>
            <w:tcW w:w="0" w:type="auto"/>
            <w:tcBorders>
              <w:top w:val="single" w:sz="4" w:space="0" w:color="003366"/>
              <w:left w:val="nil"/>
              <w:bottom w:val="single" w:sz="4" w:space="0" w:color="003366"/>
              <w:right w:val="single" w:sz="4" w:space="0" w:color="003366"/>
            </w:tcBorders>
            <w:shd w:val="clear" w:color="000000" w:fill="FFFFFF"/>
            <w:noWrap/>
            <w:vAlign w:val="bottom"/>
            <w:hideMark/>
          </w:tcPr>
          <w:p w14:paraId="2C84280C" w14:textId="77777777" w:rsidR="001E6B56" w:rsidRDefault="001E6B56">
            <w:pPr>
              <w:jc w:val="center"/>
              <w:rPr>
                <w:rFonts w:ascii="Calibri" w:hAnsi="Calibri"/>
                <w:sz w:val="20"/>
                <w:szCs w:val="20"/>
              </w:rPr>
            </w:pPr>
            <w:r>
              <w:rPr>
                <w:rFonts w:ascii="Calibri" w:hAnsi="Calibri"/>
                <w:sz w:val="20"/>
                <w:szCs w:val="20"/>
              </w:rPr>
              <w:t>518.777,70</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65012009" w14:textId="77777777" w:rsidR="001E6B56" w:rsidRDefault="001E6B56">
            <w:pPr>
              <w:rPr>
                <w:rFonts w:ascii="Calibri" w:hAnsi="Calibri"/>
                <w:color w:val="000000"/>
                <w:sz w:val="20"/>
                <w:szCs w:val="20"/>
              </w:rPr>
            </w:pPr>
            <w:r>
              <w:rPr>
                <w:rFonts w:ascii="Calibri" w:hAnsi="Calibri"/>
                <w:color w:val="000000"/>
                <w:sz w:val="20"/>
                <w:szCs w:val="20"/>
              </w:rPr>
              <w:t xml:space="preserve">                                      -   </w:t>
            </w:r>
          </w:p>
        </w:tc>
      </w:tr>
      <w:tr w:rsidR="001E6B56" w14:paraId="5B58F098"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FEE4C96" w14:textId="77777777" w:rsidR="001E6B56" w:rsidRDefault="001E6B56" w:rsidP="001E6B56">
            <w:pPr>
              <w:jc w:val="center"/>
              <w:rPr>
                <w:rFonts w:ascii="Calibri" w:hAnsi="Calibri"/>
                <w:sz w:val="20"/>
                <w:szCs w:val="20"/>
              </w:rPr>
            </w:pPr>
            <w:r>
              <w:rPr>
                <w:rFonts w:ascii="Calibri" w:hAnsi="Calibri"/>
                <w:sz w:val="20"/>
                <w:szCs w:val="20"/>
              </w:rPr>
              <w:t>1996</w:t>
            </w:r>
          </w:p>
        </w:tc>
        <w:tc>
          <w:tcPr>
            <w:tcW w:w="0" w:type="auto"/>
            <w:tcBorders>
              <w:top w:val="nil"/>
              <w:left w:val="nil"/>
              <w:bottom w:val="single" w:sz="4" w:space="0" w:color="003366"/>
              <w:right w:val="single" w:sz="4" w:space="0" w:color="003366"/>
            </w:tcBorders>
            <w:shd w:val="clear" w:color="000000" w:fill="FFFFCC"/>
            <w:noWrap/>
            <w:vAlign w:val="bottom"/>
            <w:hideMark/>
          </w:tcPr>
          <w:p w14:paraId="43FCC446" w14:textId="58479EA6" w:rsidR="001E6B56" w:rsidRDefault="001E6B56" w:rsidP="001E6B56">
            <w:pPr>
              <w:jc w:val="center"/>
              <w:rPr>
                <w:rFonts w:ascii="Calibri" w:hAnsi="Calibri"/>
                <w:sz w:val="20"/>
                <w:szCs w:val="20"/>
              </w:rPr>
            </w:pPr>
            <w:r>
              <w:rPr>
                <w:rFonts w:ascii="Calibri" w:hAnsi="Calibri"/>
                <w:sz w:val="20"/>
                <w:szCs w:val="20"/>
              </w:rPr>
              <w:t>19,46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3028A98"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01-ene-96</w:t>
            </w:r>
          </w:p>
        </w:tc>
        <w:tc>
          <w:tcPr>
            <w:tcW w:w="0" w:type="auto"/>
            <w:tcBorders>
              <w:top w:val="nil"/>
              <w:left w:val="nil"/>
              <w:bottom w:val="single" w:sz="4" w:space="0" w:color="808000"/>
              <w:right w:val="single" w:sz="4" w:space="0" w:color="808000"/>
            </w:tcBorders>
            <w:shd w:val="clear" w:color="auto" w:fill="auto"/>
            <w:noWrap/>
            <w:vAlign w:val="center"/>
            <w:hideMark/>
          </w:tcPr>
          <w:p w14:paraId="238BC8E7"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31-dic-96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4A71E09"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5A380A1F" w14:textId="77777777" w:rsidR="001E6B56" w:rsidRDefault="001E6B56" w:rsidP="001E6B56">
            <w:pPr>
              <w:rPr>
                <w:rFonts w:ascii="Calibri" w:hAnsi="Calibri"/>
                <w:sz w:val="20"/>
                <w:szCs w:val="20"/>
              </w:rPr>
            </w:pPr>
            <w:r>
              <w:rPr>
                <w:rFonts w:ascii="Calibri" w:hAnsi="Calibri"/>
                <w:sz w:val="20"/>
                <w:szCs w:val="20"/>
              </w:rPr>
              <w:t xml:space="preserve">                     309.865,92 </w:t>
            </w:r>
          </w:p>
        </w:tc>
        <w:tc>
          <w:tcPr>
            <w:tcW w:w="0" w:type="auto"/>
            <w:tcBorders>
              <w:top w:val="nil"/>
              <w:left w:val="nil"/>
              <w:bottom w:val="single" w:sz="4" w:space="0" w:color="003366"/>
              <w:right w:val="single" w:sz="4" w:space="0" w:color="003366"/>
            </w:tcBorders>
            <w:shd w:val="clear" w:color="000000" w:fill="FFFFFF"/>
            <w:noWrap/>
            <w:vAlign w:val="bottom"/>
            <w:hideMark/>
          </w:tcPr>
          <w:p w14:paraId="32E932B6" w14:textId="77777777" w:rsidR="001E6B56" w:rsidRDefault="001E6B56" w:rsidP="001E6B56">
            <w:pPr>
              <w:jc w:val="center"/>
              <w:rPr>
                <w:rFonts w:ascii="Calibri" w:hAnsi="Calibri"/>
                <w:sz w:val="20"/>
                <w:szCs w:val="20"/>
              </w:rPr>
            </w:pPr>
            <w:r>
              <w:rPr>
                <w:rFonts w:ascii="Calibri" w:hAnsi="Calibri"/>
                <w:sz w:val="20"/>
                <w:szCs w:val="20"/>
              </w:rPr>
              <w:t>4.338.122,90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74B35BA"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1DC48A12"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E12D0C1" w14:textId="77777777" w:rsidR="001E6B56" w:rsidRDefault="001E6B56" w:rsidP="001E6B56">
            <w:pPr>
              <w:jc w:val="center"/>
              <w:rPr>
                <w:rFonts w:ascii="Calibri" w:hAnsi="Calibri"/>
                <w:sz w:val="20"/>
                <w:szCs w:val="20"/>
              </w:rPr>
            </w:pPr>
            <w:r>
              <w:rPr>
                <w:rFonts w:ascii="Calibri" w:hAnsi="Calibri"/>
                <w:sz w:val="20"/>
                <w:szCs w:val="20"/>
              </w:rPr>
              <w:t>1997</w:t>
            </w:r>
          </w:p>
        </w:tc>
        <w:tc>
          <w:tcPr>
            <w:tcW w:w="0" w:type="auto"/>
            <w:tcBorders>
              <w:top w:val="nil"/>
              <w:left w:val="nil"/>
              <w:bottom w:val="single" w:sz="4" w:space="0" w:color="003366"/>
              <w:right w:val="single" w:sz="4" w:space="0" w:color="003366"/>
            </w:tcBorders>
            <w:shd w:val="clear" w:color="000000" w:fill="FFFFCC"/>
            <w:noWrap/>
            <w:vAlign w:val="bottom"/>
            <w:hideMark/>
          </w:tcPr>
          <w:p w14:paraId="32DF7EA4" w14:textId="2734EFB9" w:rsidR="001E6B56" w:rsidRDefault="001E6B56" w:rsidP="001E6B56">
            <w:pPr>
              <w:jc w:val="center"/>
              <w:rPr>
                <w:rFonts w:ascii="Calibri" w:hAnsi="Calibri"/>
                <w:sz w:val="20"/>
                <w:szCs w:val="20"/>
              </w:rPr>
            </w:pPr>
            <w:r>
              <w:rPr>
                <w:rFonts w:ascii="Calibri" w:hAnsi="Calibri"/>
                <w:sz w:val="20"/>
                <w:szCs w:val="20"/>
              </w:rPr>
              <w:t>21,63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30A1D3D"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01-ene-97</w:t>
            </w:r>
          </w:p>
        </w:tc>
        <w:tc>
          <w:tcPr>
            <w:tcW w:w="0" w:type="auto"/>
            <w:tcBorders>
              <w:top w:val="nil"/>
              <w:left w:val="nil"/>
              <w:bottom w:val="single" w:sz="4" w:space="0" w:color="808000"/>
              <w:right w:val="single" w:sz="4" w:space="0" w:color="808000"/>
            </w:tcBorders>
            <w:shd w:val="clear" w:color="auto" w:fill="auto"/>
            <w:noWrap/>
            <w:vAlign w:val="center"/>
            <w:hideMark/>
          </w:tcPr>
          <w:p w14:paraId="761087D2"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31-dic-97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3377B3F"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328018BF" w14:textId="77777777" w:rsidR="001E6B56" w:rsidRDefault="001E6B56" w:rsidP="001E6B56">
            <w:pPr>
              <w:rPr>
                <w:rFonts w:ascii="Calibri" w:hAnsi="Calibri"/>
                <w:sz w:val="20"/>
                <w:szCs w:val="20"/>
              </w:rPr>
            </w:pPr>
            <w:r>
              <w:rPr>
                <w:rFonts w:ascii="Calibri" w:hAnsi="Calibri"/>
                <w:sz w:val="20"/>
                <w:szCs w:val="20"/>
              </w:rPr>
              <w:t xml:space="preserve">                     376.889,92 </w:t>
            </w:r>
          </w:p>
        </w:tc>
        <w:tc>
          <w:tcPr>
            <w:tcW w:w="0" w:type="auto"/>
            <w:tcBorders>
              <w:top w:val="nil"/>
              <w:left w:val="nil"/>
              <w:bottom w:val="single" w:sz="4" w:space="0" w:color="003366"/>
              <w:right w:val="single" w:sz="4" w:space="0" w:color="003366"/>
            </w:tcBorders>
            <w:shd w:val="clear" w:color="000000" w:fill="FFFFFF"/>
            <w:noWrap/>
            <w:vAlign w:val="bottom"/>
            <w:hideMark/>
          </w:tcPr>
          <w:p w14:paraId="774230C6" w14:textId="77777777" w:rsidR="001E6B56" w:rsidRDefault="001E6B56" w:rsidP="001E6B56">
            <w:pPr>
              <w:jc w:val="center"/>
              <w:rPr>
                <w:rFonts w:ascii="Calibri" w:hAnsi="Calibri"/>
                <w:sz w:val="20"/>
                <w:szCs w:val="20"/>
              </w:rPr>
            </w:pPr>
            <w:r>
              <w:rPr>
                <w:rFonts w:ascii="Calibri" w:hAnsi="Calibri"/>
                <w:sz w:val="20"/>
                <w:szCs w:val="20"/>
              </w:rPr>
              <w:t>5.276.458,89</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1561085"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6A333343"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7F1A085" w14:textId="77777777" w:rsidR="001E6B56" w:rsidRDefault="001E6B56" w:rsidP="001E6B56">
            <w:pPr>
              <w:jc w:val="center"/>
              <w:rPr>
                <w:rFonts w:ascii="Calibri" w:hAnsi="Calibri"/>
                <w:sz w:val="20"/>
                <w:szCs w:val="20"/>
              </w:rPr>
            </w:pPr>
            <w:r>
              <w:rPr>
                <w:rFonts w:ascii="Calibri" w:hAnsi="Calibri"/>
                <w:sz w:val="20"/>
                <w:szCs w:val="20"/>
              </w:rPr>
              <w:t>1998</w:t>
            </w:r>
          </w:p>
        </w:tc>
        <w:tc>
          <w:tcPr>
            <w:tcW w:w="0" w:type="auto"/>
            <w:tcBorders>
              <w:top w:val="nil"/>
              <w:left w:val="nil"/>
              <w:bottom w:val="single" w:sz="4" w:space="0" w:color="003366"/>
              <w:right w:val="single" w:sz="4" w:space="0" w:color="003366"/>
            </w:tcBorders>
            <w:shd w:val="clear" w:color="000000" w:fill="FFFFCC"/>
            <w:noWrap/>
            <w:vAlign w:val="bottom"/>
            <w:hideMark/>
          </w:tcPr>
          <w:p w14:paraId="2BA7C8D6" w14:textId="2881BB7F" w:rsidR="001E6B56" w:rsidRDefault="001E6B56" w:rsidP="001E6B56">
            <w:pPr>
              <w:jc w:val="center"/>
              <w:rPr>
                <w:rFonts w:ascii="Calibri" w:hAnsi="Calibri"/>
                <w:sz w:val="20"/>
                <w:szCs w:val="20"/>
              </w:rPr>
            </w:pPr>
            <w:r>
              <w:rPr>
                <w:rFonts w:ascii="Calibri" w:hAnsi="Calibri"/>
                <w:sz w:val="20"/>
                <w:szCs w:val="20"/>
              </w:rPr>
              <w:t>17,68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ED08E42"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01-ene-98</w:t>
            </w:r>
          </w:p>
        </w:tc>
        <w:tc>
          <w:tcPr>
            <w:tcW w:w="0" w:type="auto"/>
            <w:tcBorders>
              <w:top w:val="nil"/>
              <w:left w:val="nil"/>
              <w:bottom w:val="single" w:sz="4" w:space="0" w:color="808000"/>
              <w:right w:val="single" w:sz="4" w:space="0" w:color="808000"/>
            </w:tcBorders>
            <w:shd w:val="clear" w:color="auto" w:fill="auto"/>
            <w:noWrap/>
            <w:vAlign w:val="center"/>
            <w:hideMark/>
          </w:tcPr>
          <w:p w14:paraId="01EE75FD"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31-dic-98</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4310FA0"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5931471D" w14:textId="77777777" w:rsidR="001E6B56" w:rsidRDefault="001E6B56" w:rsidP="001E6B56">
            <w:pPr>
              <w:rPr>
                <w:rFonts w:ascii="Calibri" w:hAnsi="Calibri"/>
                <w:sz w:val="20"/>
                <w:szCs w:val="20"/>
              </w:rPr>
            </w:pPr>
            <w:r>
              <w:rPr>
                <w:rFonts w:ascii="Calibri" w:hAnsi="Calibri"/>
                <w:sz w:val="20"/>
                <w:szCs w:val="20"/>
              </w:rPr>
              <w:t xml:space="preserve">                     443.524,06 </w:t>
            </w:r>
          </w:p>
        </w:tc>
        <w:tc>
          <w:tcPr>
            <w:tcW w:w="0" w:type="auto"/>
            <w:tcBorders>
              <w:top w:val="nil"/>
              <w:left w:val="nil"/>
              <w:bottom w:val="single" w:sz="4" w:space="0" w:color="003366"/>
              <w:right w:val="single" w:sz="4" w:space="0" w:color="003366"/>
            </w:tcBorders>
            <w:shd w:val="clear" w:color="000000" w:fill="FFFFFF"/>
            <w:noWrap/>
            <w:vAlign w:val="bottom"/>
            <w:hideMark/>
          </w:tcPr>
          <w:p w14:paraId="52821A25" w14:textId="77777777" w:rsidR="001E6B56" w:rsidRDefault="001E6B56" w:rsidP="001E6B56">
            <w:pPr>
              <w:jc w:val="center"/>
              <w:rPr>
                <w:rFonts w:ascii="Calibri" w:hAnsi="Calibri"/>
                <w:sz w:val="20"/>
                <w:szCs w:val="20"/>
              </w:rPr>
            </w:pPr>
            <w:r>
              <w:rPr>
                <w:rFonts w:ascii="Calibri" w:hAnsi="Calibri"/>
                <w:sz w:val="20"/>
                <w:szCs w:val="20"/>
              </w:rPr>
              <w:t>6.209.336,82</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431EBE2"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2B568C0F"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9427C56" w14:textId="77777777" w:rsidR="001E6B56" w:rsidRDefault="001E6B56" w:rsidP="001E6B56">
            <w:pPr>
              <w:jc w:val="center"/>
              <w:rPr>
                <w:rFonts w:ascii="Calibri" w:hAnsi="Calibri"/>
                <w:sz w:val="20"/>
                <w:szCs w:val="20"/>
              </w:rPr>
            </w:pPr>
            <w:r>
              <w:rPr>
                <w:rFonts w:ascii="Calibri" w:hAnsi="Calibri"/>
                <w:sz w:val="20"/>
                <w:szCs w:val="20"/>
              </w:rPr>
              <w:t>1999</w:t>
            </w:r>
          </w:p>
        </w:tc>
        <w:tc>
          <w:tcPr>
            <w:tcW w:w="0" w:type="auto"/>
            <w:tcBorders>
              <w:top w:val="nil"/>
              <w:left w:val="nil"/>
              <w:bottom w:val="single" w:sz="4" w:space="0" w:color="003366"/>
              <w:right w:val="single" w:sz="4" w:space="0" w:color="003366"/>
            </w:tcBorders>
            <w:shd w:val="clear" w:color="000000" w:fill="FFFFCC"/>
            <w:noWrap/>
            <w:vAlign w:val="bottom"/>
            <w:hideMark/>
          </w:tcPr>
          <w:p w14:paraId="16A8D7C5" w14:textId="47B69F6B" w:rsidR="001E6B56" w:rsidRDefault="001E6B56" w:rsidP="001E6B56">
            <w:pPr>
              <w:jc w:val="center"/>
              <w:rPr>
                <w:rFonts w:ascii="Calibri" w:hAnsi="Calibri"/>
                <w:sz w:val="20"/>
                <w:szCs w:val="20"/>
              </w:rPr>
            </w:pPr>
            <w:r>
              <w:rPr>
                <w:rFonts w:ascii="Calibri" w:hAnsi="Calibri"/>
                <w:sz w:val="20"/>
                <w:szCs w:val="20"/>
              </w:rPr>
              <w:t>16,70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66A62F3"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01-ene-99</w:t>
            </w:r>
          </w:p>
        </w:tc>
        <w:tc>
          <w:tcPr>
            <w:tcW w:w="0" w:type="auto"/>
            <w:tcBorders>
              <w:top w:val="nil"/>
              <w:left w:val="nil"/>
              <w:bottom w:val="single" w:sz="4" w:space="0" w:color="808000"/>
              <w:right w:val="single" w:sz="4" w:space="0" w:color="808000"/>
            </w:tcBorders>
            <w:shd w:val="clear" w:color="auto" w:fill="auto"/>
            <w:noWrap/>
            <w:vAlign w:val="center"/>
            <w:hideMark/>
          </w:tcPr>
          <w:p w14:paraId="1A6301EF"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31-dic-99</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34DF8C0"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14CD02A" w14:textId="77777777" w:rsidR="001E6B56" w:rsidRDefault="001E6B56" w:rsidP="001E6B56">
            <w:pPr>
              <w:rPr>
                <w:rFonts w:ascii="Calibri" w:hAnsi="Calibri"/>
                <w:sz w:val="20"/>
                <w:szCs w:val="20"/>
              </w:rPr>
            </w:pPr>
            <w:r>
              <w:rPr>
                <w:rFonts w:ascii="Calibri" w:hAnsi="Calibri"/>
                <w:sz w:val="20"/>
                <w:szCs w:val="20"/>
              </w:rPr>
              <w:t xml:space="preserve">                     517.592,58 </w:t>
            </w:r>
          </w:p>
        </w:tc>
        <w:tc>
          <w:tcPr>
            <w:tcW w:w="0" w:type="auto"/>
            <w:tcBorders>
              <w:top w:val="nil"/>
              <w:left w:val="nil"/>
              <w:bottom w:val="single" w:sz="4" w:space="0" w:color="003366"/>
              <w:right w:val="single" w:sz="4" w:space="0" w:color="003366"/>
            </w:tcBorders>
            <w:shd w:val="clear" w:color="000000" w:fill="FFFFFF"/>
            <w:noWrap/>
            <w:vAlign w:val="bottom"/>
            <w:hideMark/>
          </w:tcPr>
          <w:p w14:paraId="3ADAC31C" w14:textId="77777777" w:rsidR="001E6B56" w:rsidRDefault="001E6B56" w:rsidP="001E6B56">
            <w:pPr>
              <w:jc w:val="center"/>
              <w:rPr>
                <w:rFonts w:ascii="Calibri" w:hAnsi="Calibri"/>
                <w:sz w:val="20"/>
                <w:szCs w:val="20"/>
              </w:rPr>
            </w:pPr>
            <w:r>
              <w:rPr>
                <w:rFonts w:ascii="Calibri" w:hAnsi="Calibri"/>
                <w:sz w:val="20"/>
                <w:szCs w:val="20"/>
              </w:rPr>
              <w:t>7.246.296,07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57BD991"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4871714B"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247E302" w14:textId="77777777" w:rsidR="001E6B56" w:rsidRDefault="001E6B56" w:rsidP="001E6B56">
            <w:pPr>
              <w:jc w:val="center"/>
              <w:rPr>
                <w:rFonts w:ascii="Calibri" w:hAnsi="Calibri"/>
                <w:sz w:val="20"/>
                <w:szCs w:val="20"/>
              </w:rPr>
            </w:pPr>
            <w:r>
              <w:rPr>
                <w:rFonts w:ascii="Calibri" w:hAnsi="Calibri"/>
                <w:sz w:val="20"/>
                <w:szCs w:val="20"/>
              </w:rPr>
              <w:t>2000</w:t>
            </w:r>
          </w:p>
        </w:tc>
        <w:tc>
          <w:tcPr>
            <w:tcW w:w="0" w:type="auto"/>
            <w:tcBorders>
              <w:top w:val="nil"/>
              <w:left w:val="nil"/>
              <w:bottom w:val="single" w:sz="4" w:space="0" w:color="003366"/>
              <w:right w:val="single" w:sz="4" w:space="0" w:color="003366"/>
            </w:tcBorders>
            <w:shd w:val="clear" w:color="000000" w:fill="FFFFCC"/>
            <w:noWrap/>
            <w:vAlign w:val="bottom"/>
            <w:hideMark/>
          </w:tcPr>
          <w:p w14:paraId="0ADC891D" w14:textId="02D25374" w:rsidR="001E6B56" w:rsidRDefault="001E6B56" w:rsidP="001E6B56">
            <w:pPr>
              <w:jc w:val="center"/>
              <w:rPr>
                <w:rFonts w:ascii="Calibri" w:hAnsi="Calibri"/>
                <w:sz w:val="20"/>
                <w:szCs w:val="20"/>
              </w:rPr>
            </w:pPr>
            <w:r>
              <w:rPr>
                <w:rFonts w:ascii="Calibri" w:hAnsi="Calibri"/>
                <w:sz w:val="20"/>
                <w:szCs w:val="20"/>
              </w:rPr>
              <w:t>9,23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984D8A7"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01-ene-00</w:t>
            </w:r>
          </w:p>
        </w:tc>
        <w:tc>
          <w:tcPr>
            <w:tcW w:w="0" w:type="auto"/>
            <w:tcBorders>
              <w:top w:val="nil"/>
              <w:left w:val="nil"/>
              <w:bottom w:val="single" w:sz="4" w:space="0" w:color="808000"/>
              <w:right w:val="single" w:sz="4" w:space="0" w:color="808000"/>
            </w:tcBorders>
            <w:shd w:val="clear" w:color="auto" w:fill="auto"/>
            <w:noWrap/>
            <w:vAlign w:val="center"/>
            <w:hideMark/>
          </w:tcPr>
          <w:p w14:paraId="08786493"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31-dic-00</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DB71015"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2F09D57" w14:textId="77777777" w:rsidR="001E6B56" w:rsidRDefault="001E6B56" w:rsidP="001E6B56">
            <w:pPr>
              <w:rPr>
                <w:rFonts w:ascii="Calibri" w:hAnsi="Calibri"/>
                <w:sz w:val="20"/>
                <w:szCs w:val="20"/>
              </w:rPr>
            </w:pPr>
            <w:r>
              <w:rPr>
                <w:rFonts w:ascii="Calibri" w:hAnsi="Calibri"/>
                <w:sz w:val="20"/>
                <w:szCs w:val="20"/>
              </w:rPr>
              <w:t xml:space="preserve">                     565.366,37 </w:t>
            </w:r>
          </w:p>
        </w:tc>
        <w:tc>
          <w:tcPr>
            <w:tcW w:w="0" w:type="auto"/>
            <w:tcBorders>
              <w:top w:val="nil"/>
              <w:left w:val="nil"/>
              <w:bottom w:val="single" w:sz="4" w:space="0" w:color="003366"/>
              <w:right w:val="single" w:sz="4" w:space="0" w:color="003366"/>
            </w:tcBorders>
            <w:shd w:val="clear" w:color="000000" w:fill="FFFFFF"/>
            <w:noWrap/>
            <w:vAlign w:val="bottom"/>
            <w:hideMark/>
          </w:tcPr>
          <w:p w14:paraId="23D0F6C9" w14:textId="77777777" w:rsidR="001E6B56" w:rsidRDefault="001E6B56" w:rsidP="001E6B56">
            <w:pPr>
              <w:jc w:val="center"/>
              <w:rPr>
                <w:rFonts w:ascii="Calibri" w:hAnsi="Calibri"/>
                <w:sz w:val="20"/>
                <w:szCs w:val="20"/>
              </w:rPr>
            </w:pPr>
            <w:r>
              <w:rPr>
                <w:rFonts w:ascii="Calibri" w:hAnsi="Calibri"/>
                <w:sz w:val="20"/>
                <w:szCs w:val="20"/>
              </w:rPr>
              <w:t>7.915.129,20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298513E"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08BF4C18" w14:textId="77777777" w:rsidTr="001E6B56">
        <w:trPr>
          <w:trHeight w:val="270"/>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31425CF" w14:textId="77777777" w:rsidR="001E6B56" w:rsidRDefault="001E6B56" w:rsidP="001E6B56">
            <w:pPr>
              <w:jc w:val="center"/>
              <w:rPr>
                <w:rFonts w:ascii="Calibri" w:hAnsi="Calibri"/>
                <w:sz w:val="20"/>
                <w:szCs w:val="20"/>
              </w:rPr>
            </w:pPr>
            <w:r>
              <w:rPr>
                <w:rFonts w:ascii="Calibri" w:hAnsi="Calibri"/>
                <w:sz w:val="20"/>
                <w:szCs w:val="20"/>
              </w:rPr>
              <w:t>2001</w:t>
            </w:r>
          </w:p>
        </w:tc>
        <w:tc>
          <w:tcPr>
            <w:tcW w:w="0" w:type="auto"/>
            <w:tcBorders>
              <w:top w:val="nil"/>
              <w:left w:val="nil"/>
              <w:bottom w:val="single" w:sz="4" w:space="0" w:color="003366"/>
              <w:right w:val="single" w:sz="4" w:space="0" w:color="003366"/>
            </w:tcBorders>
            <w:shd w:val="clear" w:color="000000" w:fill="FFFFCC"/>
            <w:noWrap/>
            <w:vAlign w:val="bottom"/>
            <w:hideMark/>
          </w:tcPr>
          <w:p w14:paraId="76FB4EB0" w14:textId="591E599D" w:rsidR="001E6B56" w:rsidRDefault="001E6B56" w:rsidP="001E6B56">
            <w:pPr>
              <w:jc w:val="center"/>
              <w:rPr>
                <w:rFonts w:ascii="Calibri" w:hAnsi="Calibri"/>
                <w:sz w:val="20"/>
                <w:szCs w:val="20"/>
              </w:rPr>
            </w:pPr>
            <w:r>
              <w:rPr>
                <w:rFonts w:ascii="Calibri" w:hAnsi="Calibri"/>
                <w:sz w:val="20"/>
                <w:szCs w:val="20"/>
              </w:rPr>
              <w:t>8,75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206A3A2"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01-ene-01</w:t>
            </w:r>
          </w:p>
        </w:tc>
        <w:tc>
          <w:tcPr>
            <w:tcW w:w="0" w:type="auto"/>
            <w:tcBorders>
              <w:top w:val="nil"/>
              <w:left w:val="nil"/>
              <w:bottom w:val="single" w:sz="4" w:space="0" w:color="808000"/>
              <w:right w:val="single" w:sz="4" w:space="0" w:color="808000"/>
            </w:tcBorders>
            <w:shd w:val="clear" w:color="auto" w:fill="auto"/>
            <w:noWrap/>
            <w:vAlign w:val="center"/>
            <w:hideMark/>
          </w:tcPr>
          <w:p w14:paraId="73C054B1"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47DF826"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5FA5885E" w14:textId="77777777" w:rsidR="001E6B56" w:rsidRDefault="001E6B56" w:rsidP="001E6B56">
            <w:pPr>
              <w:rPr>
                <w:rFonts w:ascii="Calibri" w:hAnsi="Calibri"/>
                <w:sz w:val="20"/>
                <w:szCs w:val="20"/>
              </w:rPr>
            </w:pPr>
            <w:r>
              <w:rPr>
                <w:rFonts w:ascii="Calibri" w:hAnsi="Calibri"/>
                <w:sz w:val="20"/>
                <w:szCs w:val="20"/>
              </w:rPr>
              <w:t xml:space="preserve">                     614.835,93 </w:t>
            </w:r>
          </w:p>
        </w:tc>
        <w:tc>
          <w:tcPr>
            <w:tcW w:w="0" w:type="auto"/>
            <w:tcBorders>
              <w:top w:val="nil"/>
              <w:left w:val="nil"/>
              <w:bottom w:val="single" w:sz="4" w:space="0" w:color="003366"/>
              <w:right w:val="single" w:sz="4" w:space="0" w:color="003366"/>
            </w:tcBorders>
            <w:shd w:val="clear" w:color="000000" w:fill="FFFFFF"/>
            <w:noWrap/>
            <w:vAlign w:val="bottom"/>
            <w:hideMark/>
          </w:tcPr>
          <w:p w14:paraId="6C6D71AF" w14:textId="77777777" w:rsidR="001E6B56" w:rsidRDefault="001E6B56" w:rsidP="001E6B56">
            <w:pPr>
              <w:jc w:val="center"/>
              <w:rPr>
                <w:rFonts w:ascii="Calibri" w:hAnsi="Calibri"/>
                <w:sz w:val="20"/>
                <w:szCs w:val="20"/>
              </w:rPr>
            </w:pPr>
            <w:r>
              <w:rPr>
                <w:rFonts w:ascii="Calibri" w:hAnsi="Calibri"/>
                <w:sz w:val="20"/>
                <w:szCs w:val="20"/>
              </w:rPr>
              <w:t>8.607.703,00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DAF4A39"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7FF40249" w14:textId="77777777" w:rsidTr="001E6B56">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DD6F0F6" w14:textId="77777777" w:rsidR="001E6B56" w:rsidRDefault="001E6B56" w:rsidP="001E6B56">
            <w:pPr>
              <w:jc w:val="center"/>
              <w:rPr>
                <w:rFonts w:ascii="Calibri" w:hAnsi="Calibri"/>
                <w:sz w:val="20"/>
                <w:szCs w:val="20"/>
              </w:rPr>
            </w:pPr>
            <w:r>
              <w:rPr>
                <w:rFonts w:ascii="Calibri" w:hAnsi="Calibri"/>
                <w:sz w:val="20"/>
                <w:szCs w:val="20"/>
              </w:rPr>
              <w:t>2002</w:t>
            </w:r>
          </w:p>
        </w:tc>
        <w:tc>
          <w:tcPr>
            <w:tcW w:w="0" w:type="auto"/>
            <w:tcBorders>
              <w:top w:val="nil"/>
              <w:left w:val="nil"/>
              <w:bottom w:val="single" w:sz="4" w:space="0" w:color="003366"/>
              <w:right w:val="single" w:sz="4" w:space="0" w:color="003366"/>
            </w:tcBorders>
            <w:shd w:val="clear" w:color="000000" w:fill="FFFFCC"/>
            <w:noWrap/>
            <w:vAlign w:val="bottom"/>
            <w:hideMark/>
          </w:tcPr>
          <w:p w14:paraId="29E6E8B5" w14:textId="25AC9E5C" w:rsidR="001E6B56" w:rsidRDefault="001E6B56" w:rsidP="001E6B56">
            <w:pPr>
              <w:jc w:val="center"/>
              <w:rPr>
                <w:rFonts w:ascii="Calibri" w:hAnsi="Calibri"/>
                <w:sz w:val="20"/>
                <w:szCs w:val="20"/>
              </w:rPr>
            </w:pPr>
            <w:r>
              <w:rPr>
                <w:rFonts w:ascii="Calibri" w:hAnsi="Calibri"/>
                <w:sz w:val="20"/>
                <w:szCs w:val="20"/>
              </w:rPr>
              <w:t>7,65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A7A2B58"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01-ene-02</w:t>
            </w:r>
          </w:p>
        </w:tc>
        <w:tc>
          <w:tcPr>
            <w:tcW w:w="0" w:type="auto"/>
            <w:tcBorders>
              <w:top w:val="nil"/>
              <w:left w:val="nil"/>
              <w:bottom w:val="single" w:sz="4" w:space="0" w:color="808000"/>
              <w:right w:val="single" w:sz="4" w:space="0" w:color="808000"/>
            </w:tcBorders>
            <w:shd w:val="clear" w:color="auto" w:fill="auto"/>
            <w:noWrap/>
            <w:vAlign w:val="center"/>
            <w:hideMark/>
          </w:tcPr>
          <w:p w14:paraId="5BDD7C4D"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AF66BB0"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3A8E3759" w14:textId="77777777" w:rsidR="001E6B56" w:rsidRDefault="001E6B56" w:rsidP="001E6B56">
            <w:pPr>
              <w:rPr>
                <w:rFonts w:ascii="Calibri" w:hAnsi="Calibri"/>
                <w:sz w:val="20"/>
                <w:szCs w:val="20"/>
              </w:rPr>
            </w:pPr>
            <w:r>
              <w:rPr>
                <w:rFonts w:ascii="Calibri" w:hAnsi="Calibri"/>
                <w:sz w:val="20"/>
                <w:szCs w:val="20"/>
              </w:rPr>
              <w:t xml:space="preserve">                     661.870,88 </w:t>
            </w:r>
          </w:p>
        </w:tc>
        <w:tc>
          <w:tcPr>
            <w:tcW w:w="0" w:type="auto"/>
            <w:tcBorders>
              <w:top w:val="nil"/>
              <w:left w:val="nil"/>
              <w:bottom w:val="single" w:sz="4" w:space="0" w:color="003366"/>
              <w:right w:val="single" w:sz="4" w:space="0" w:color="003366"/>
            </w:tcBorders>
            <w:shd w:val="clear" w:color="000000" w:fill="FFFFFF"/>
            <w:noWrap/>
            <w:vAlign w:val="bottom"/>
            <w:hideMark/>
          </w:tcPr>
          <w:p w14:paraId="7CEE2732" w14:textId="77777777" w:rsidR="001E6B56" w:rsidRDefault="001E6B56" w:rsidP="001E6B56">
            <w:pPr>
              <w:jc w:val="center"/>
              <w:rPr>
                <w:rFonts w:ascii="Calibri" w:hAnsi="Calibri"/>
                <w:sz w:val="20"/>
                <w:szCs w:val="20"/>
              </w:rPr>
            </w:pPr>
            <w:r>
              <w:rPr>
                <w:rFonts w:ascii="Calibri" w:hAnsi="Calibri"/>
                <w:sz w:val="20"/>
                <w:szCs w:val="20"/>
              </w:rPr>
              <w:t>9.266.192,28</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762AF82"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4730DCD5" w14:textId="77777777" w:rsidTr="001E6B56">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F08B895" w14:textId="77777777" w:rsidR="001E6B56" w:rsidRDefault="001E6B56" w:rsidP="001E6B56">
            <w:pPr>
              <w:jc w:val="center"/>
              <w:rPr>
                <w:rFonts w:ascii="Calibri" w:hAnsi="Calibri"/>
                <w:sz w:val="20"/>
                <w:szCs w:val="20"/>
              </w:rPr>
            </w:pPr>
            <w:r>
              <w:rPr>
                <w:rFonts w:ascii="Calibri" w:hAnsi="Calibri"/>
                <w:sz w:val="20"/>
                <w:szCs w:val="20"/>
              </w:rPr>
              <w:t>2003</w:t>
            </w:r>
          </w:p>
        </w:tc>
        <w:tc>
          <w:tcPr>
            <w:tcW w:w="0" w:type="auto"/>
            <w:tcBorders>
              <w:top w:val="nil"/>
              <w:left w:val="nil"/>
              <w:bottom w:val="single" w:sz="4" w:space="0" w:color="003366"/>
              <w:right w:val="single" w:sz="4" w:space="0" w:color="003366"/>
            </w:tcBorders>
            <w:shd w:val="clear" w:color="000000" w:fill="FFFFCC"/>
            <w:noWrap/>
            <w:vAlign w:val="bottom"/>
            <w:hideMark/>
          </w:tcPr>
          <w:p w14:paraId="1C9E14F5" w14:textId="4AEB51A3" w:rsidR="001E6B56" w:rsidRDefault="001E6B56" w:rsidP="001E6B56">
            <w:pPr>
              <w:jc w:val="center"/>
              <w:rPr>
                <w:rFonts w:ascii="Calibri" w:hAnsi="Calibri"/>
                <w:sz w:val="20"/>
                <w:szCs w:val="20"/>
              </w:rPr>
            </w:pPr>
            <w:r>
              <w:rPr>
                <w:rFonts w:ascii="Calibri" w:hAnsi="Calibri"/>
                <w:sz w:val="20"/>
                <w:szCs w:val="20"/>
              </w:rPr>
              <w:t>6,99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796B2E6"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01-ene-03</w:t>
            </w:r>
          </w:p>
        </w:tc>
        <w:tc>
          <w:tcPr>
            <w:tcW w:w="0" w:type="auto"/>
            <w:tcBorders>
              <w:top w:val="nil"/>
              <w:left w:val="nil"/>
              <w:bottom w:val="single" w:sz="4" w:space="0" w:color="808000"/>
              <w:right w:val="single" w:sz="4" w:space="0" w:color="808000"/>
            </w:tcBorders>
            <w:shd w:val="clear" w:color="auto" w:fill="auto"/>
            <w:noWrap/>
            <w:vAlign w:val="center"/>
            <w:hideMark/>
          </w:tcPr>
          <w:p w14:paraId="6B5A0EB9"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8F3C212"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3A6917E9" w14:textId="77777777" w:rsidR="001E6B56" w:rsidRDefault="001E6B56" w:rsidP="001E6B56">
            <w:pPr>
              <w:rPr>
                <w:rFonts w:ascii="Calibri" w:hAnsi="Calibri"/>
                <w:sz w:val="20"/>
                <w:szCs w:val="20"/>
              </w:rPr>
            </w:pPr>
            <w:r>
              <w:rPr>
                <w:rFonts w:ascii="Calibri" w:hAnsi="Calibri"/>
                <w:sz w:val="20"/>
                <w:szCs w:val="20"/>
              </w:rPr>
              <w:t xml:space="preserve">                     708.135,65 </w:t>
            </w:r>
          </w:p>
        </w:tc>
        <w:tc>
          <w:tcPr>
            <w:tcW w:w="0" w:type="auto"/>
            <w:tcBorders>
              <w:top w:val="nil"/>
              <w:left w:val="nil"/>
              <w:bottom w:val="single" w:sz="4" w:space="0" w:color="003366"/>
              <w:right w:val="single" w:sz="4" w:space="0" w:color="003366"/>
            </w:tcBorders>
            <w:shd w:val="clear" w:color="000000" w:fill="FFFFFF"/>
            <w:noWrap/>
            <w:vAlign w:val="bottom"/>
            <w:hideMark/>
          </w:tcPr>
          <w:p w14:paraId="6CC72AB8" w14:textId="77777777" w:rsidR="001E6B56" w:rsidRDefault="001E6B56" w:rsidP="001E6B56">
            <w:pPr>
              <w:jc w:val="center"/>
              <w:rPr>
                <w:rFonts w:ascii="Calibri" w:hAnsi="Calibri"/>
                <w:sz w:val="20"/>
                <w:szCs w:val="20"/>
              </w:rPr>
            </w:pPr>
            <w:r>
              <w:rPr>
                <w:rFonts w:ascii="Calibri" w:hAnsi="Calibri"/>
                <w:sz w:val="20"/>
                <w:szCs w:val="20"/>
              </w:rPr>
              <w:t>9.913.899,12</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FBED652"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43ABF9DD" w14:textId="77777777" w:rsidTr="001E6B56">
        <w:trPr>
          <w:trHeight w:val="255"/>
        </w:trPr>
        <w:tc>
          <w:tcPr>
            <w:tcW w:w="0" w:type="auto"/>
            <w:tcBorders>
              <w:top w:val="nil"/>
              <w:left w:val="single" w:sz="4" w:space="0" w:color="003366"/>
              <w:bottom w:val="nil"/>
              <w:right w:val="single" w:sz="4" w:space="0" w:color="003366"/>
            </w:tcBorders>
            <w:shd w:val="clear" w:color="000000" w:fill="FFFFCC"/>
            <w:noWrap/>
            <w:vAlign w:val="bottom"/>
            <w:hideMark/>
          </w:tcPr>
          <w:p w14:paraId="3894B770" w14:textId="77777777" w:rsidR="001E6B56" w:rsidRDefault="001E6B56" w:rsidP="001E6B56">
            <w:pPr>
              <w:jc w:val="center"/>
              <w:rPr>
                <w:rFonts w:ascii="Calibri" w:hAnsi="Calibri"/>
                <w:sz w:val="20"/>
                <w:szCs w:val="20"/>
              </w:rPr>
            </w:pPr>
            <w:r>
              <w:rPr>
                <w:rFonts w:ascii="Calibri" w:hAnsi="Calibri"/>
                <w:sz w:val="20"/>
                <w:szCs w:val="20"/>
              </w:rPr>
              <w:t>2004</w:t>
            </w:r>
          </w:p>
        </w:tc>
        <w:tc>
          <w:tcPr>
            <w:tcW w:w="0" w:type="auto"/>
            <w:tcBorders>
              <w:top w:val="nil"/>
              <w:left w:val="nil"/>
              <w:bottom w:val="single" w:sz="4" w:space="0" w:color="003366"/>
              <w:right w:val="single" w:sz="4" w:space="0" w:color="003366"/>
            </w:tcBorders>
            <w:shd w:val="clear" w:color="000000" w:fill="FFFFCC"/>
            <w:noWrap/>
            <w:vAlign w:val="bottom"/>
            <w:hideMark/>
          </w:tcPr>
          <w:p w14:paraId="3C4E1848" w14:textId="7EE0F5AA" w:rsidR="001E6B56" w:rsidRDefault="001E6B56" w:rsidP="001E6B56">
            <w:pPr>
              <w:jc w:val="center"/>
              <w:rPr>
                <w:rFonts w:ascii="Calibri" w:hAnsi="Calibri"/>
                <w:sz w:val="20"/>
                <w:szCs w:val="20"/>
              </w:rPr>
            </w:pPr>
            <w:r>
              <w:rPr>
                <w:rFonts w:ascii="Calibri" w:hAnsi="Calibri"/>
                <w:sz w:val="20"/>
                <w:szCs w:val="20"/>
              </w:rPr>
              <w:t>6,49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B065EC5"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01-ene-04</w:t>
            </w:r>
          </w:p>
        </w:tc>
        <w:tc>
          <w:tcPr>
            <w:tcW w:w="0" w:type="auto"/>
            <w:tcBorders>
              <w:top w:val="nil"/>
              <w:left w:val="nil"/>
              <w:bottom w:val="single" w:sz="4" w:space="0" w:color="808000"/>
              <w:right w:val="single" w:sz="4" w:space="0" w:color="808000"/>
            </w:tcBorders>
            <w:shd w:val="clear" w:color="auto" w:fill="auto"/>
            <w:noWrap/>
            <w:vAlign w:val="center"/>
            <w:hideMark/>
          </w:tcPr>
          <w:p w14:paraId="5E6E7286"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E2C590B"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660D716" w14:textId="77777777" w:rsidR="001E6B56" w:rsidRDefault="001E6B56" w:rsidP="001E6B56">
            <w:pPr>
              <w:rPr>
                <w:rFonts w:ascii="Calibri" w:hAnsi="Calibri"/>
                <w:sz w:val="20"/>
                <w:szCs w:val="20"/>
              </w:rPr>
            </w:pPr>
            <w:r>
              <w:rPr>
                <w:rFonts w:ascii="Calibri" w:hAnsi="Calibri"/>
                <w:sz w:val="20"/>
                <w:szCs w:val="20"/>
              </w:rPr>
              <w:t xml:space="preserve">                     754.093,66 </w:t>
            </w:r>
          </w:p>
        </w:tc>
        <w:tc>
          <w:tcPr>
            <w:tcW w:w="0" w:type="auto"/>
            <w:tcBorders>
              <w:top w:val="nil"/>
              <w:left w:val="nil"/>
              <w:bottom w:val="single" w:sz="4" w:space="0" w:color="003366"/>
              <w:right w:val="single" w:sz="4" w:space="0" w:color="003366"/>
            </w:tcBorders>
            <w:shd w:val="clear" w:color="000000" w:fill="FFFFFF"/>
            <w:noWrap/>
            <w:vAlign w:val="bottom"/>
            <w:hideMark/>
          </w:tcPr>
          <w:p w14:paraId="1C282389" w14:textId="77777777" w:rsidR="001E6B56" w:rsidRDefault="001E6B56" w:rsidP="001E6B56">
            <w:pPr>
              <w:jc w:val="center"/>
              <w:rPr>
                <w:rFonts w:ascii="Calibri" w:hAnsi="Calibri"/>
                <w:sz w:val="20"/>
                <w:szCs w:val="20"/>
              </w:rPr>
            </w:pPr>
            <w:r>
              <w:rPr>
                <w:rFonts w:ascii="Calibri" w:hAnsi="Calibri"/>
                <w:sz w:val="20"/>
                <w:szCs w:val="20"/>
              </w:rPr>
              <w:t>10.557.311,17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AE80F9E"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25BFBE16" w14:textId="77777777" w:rsidTr="001E6B5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79D687B" w14:textId="77777777" w:rsidR="001E6B56" w:rsidRDefault="001E6B56" w:rsidP="001E6B56">
            <w:pPr>
              <w:jc w:val="center"/>
              <w:rPr>
                <w:rFonts w:ascii="Calibri" w:hAnsi="Calibri"/>
                <w:sz w:val="20"/>
                <w:szCs w:val="20"/>
              </w:rPr>
            </w:pPr>
            <w:r>
              <w:rPr>
                <w:rFonts w:ascii="Calibri" w:hAnsi="Calibri"/>
                <w:sz w:val="20"/>
                <w:szCs w:val="20"/>
              </w:rPr>
              <w:t>2005</w:t>
            </w:r>
          </w:p>
        </w:tc>
        <w:tc>
          <w:tcPr>
            <w:tcW w:w="0" w:type="auto"/>
            <w:tcBorders>
              <w:top w:val="nil"/>
              <w:left w:val="nil"/>
              <w:bottom w:val="single" w:sz="4" w:space="0" w:color="003366"/>
              <w:right w:val="single" w:sz="4" w:space="0" w:color="003366"/>
            </w:tcBorders>
            <w:shd w:val="clear" w:color="000000" w:fill="FFFFCC"/>
            <w:noWrap/>
            <w:vAlign w:val="bottom"/>
            <w:hideMark/>
          </w:tcPr>
          <w:p w14:paraId="2CBDFE51" w14:textId="2D7D7749" w:rsidR="001E6B56" w:rsidRDefault="001E6B56" w:rsidP="001E6B56">
            <w:pPr>
              <w:jc w:val="center"/>
              <w:rPr>
                <w:rFonts w:ascii="Calibri" w:hAnsi="Calibri"/>
                <w:sz w:val="20"/>
                <w:szCs w:val="20"/>
              </w:rPr>
            </w:pPr>
            <w:r>
              <w:rPr>
                <w:rFonts w:ascii="Calibri" w:hAnsi="Calibri"/>
                <w:sz w:val="20"/>
                <w:szCs w:val="20"/>
              </w:rPr>
              <w:t>5,50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FD235C8"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01-ene-05</w:t>
            </w:r>
          </w:p>
        </w:tc>
        <w:tc>
          <w:tcPr>
            <w:tcW w:w="0" w:type="auto"/>
            <w:tcBorders>
              <w:top w:val="nil"/>
              <w:left w:val="nil"/>
              <w:bottom w:val="single" w:sz="4" w:space="0" w:color="808000"/>
              <w:right w:val="single" w:sz="4" w:space="0" w:color="808000"/>
            </w:tcBorders>
            <w:shd w:val="clear" w:color="auto" w:fill="auto"/>
            <w:noWrap/>
            <w:vAlign w:val="center"/>
            <w:hideMark/>
          </w:tcPr>
          <w:p w14:paraId="0E65F0A8"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7CE1CF1"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3939476E" w14:textId="77777777" w:rsidR="001E6B56" w:rsidRDefault="001E6B56" w:rsidP="001E6B56">
            <w:pPr>
              <w:rPr>
                <w:rFonts w:ascii="Calibri" w:hAnsi="Calibri"/>
                <w:sz w:val="20"/>
                <w:szCs w:val="20"/>
              </w:rPr>
            </w:pPr>
            <w:r>
              <w:rPr>
                <w:rFonts w:ascii="Calibri" w:hAnsi="Calibri"/>
                <w:sz w:val="20"/>
                <w:szCs w:val="20"/>
              </w:rPr>
              <w:t xml:space="preserve">                     795.568,81 </w:t>
            </w:r>
          </w:p>
        </w:tc>
        <w:tc>
          <w:tcPr>
            <w:tcW w:w="0" w:type="auto"/>
            <w:tcBorders>
              <w:top w:val="nil"/>
              <w:left w:val="nil"/>
              <w:bottom w:val="single" w:sz="4" w:space="0" w:color="003366"/>
              <w:right w:val="single" w:sz="4" w:space="0" w:color="003366"/>
            </w:tcBorders>
            <w:shd w:val="clear" w:color="000000" w:fill="FFFFFF"/>
            <w:noWrap/>
            <w:vAlign w:val="bottom"/>
            <w:hideMark/>
          </w:tcPr>
          <w:p w14:paraId="657626CB" w14:textId="77777777" w:rsidR="001E6B56" w:rsidRDefault="001E6B56" w:rsidP="001E6B56">
            <w:pPr>
              <w:jc w:val="center"/>
              <w:rPr>
                <w:rFonts w:ascii="Calibri" w:hAnsi="Calibri"/>
                <w:sz w:val="20"/>
                <w:szCs w:val="20"/>
              </w:rPr>
            </w:pPr>
            <w:r>
              <w:rPr>
                <w:rFonts w:ascii="Calibri" w:hAnsi="Calibri"/>
                <w:sz w:val="20"/>
                <w:szCs w:val="20"/>
              </w:rPr>
              <w:t>11.137.963,29</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0BB1FCD"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0D2DB0E1"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47EC17D4" w14:textId="77777777" w:rsidR="001E6B56" w:rsidRDefault="001E6B56" w:rsidP="001E6B56">
            <w:pPr>
              <w:jc w:val="center"/>
              <w:rPr>
                <w:rFonts w:ascii="Calibri" w:hAnsi="Calibri"/>
                <w:sz w:val="20"/>
                <w:szCs w:val="20"/>
              </w:rPr>
            </w:pPr>
            <w:r>
              <w:rPr>
                <w:rFonts w:ascii="Calibri" w:hAnsi="Calibri"/>
                <w:sz w:val="20"/>
                <w:szCs w:val="20"/>
              </w:rPr>
              <w:t>2006</w:t>
            </w:r>
          </w:p>
        </w:tc>
        <w:tc>
          <w:tcPr>
            <w:tcW w:w="0" w:type="auto"/>
            <w:tcBorders>
              <w:top w:val="nil"/>
              <w:left w:val="nil"/>
              <w:bottom w:val="single" w:sz="4" w:space="0" w:color="003366"/>
              <w:right w:val="single" w:sz="4" w:space="0" w:color="003366"/>
            </w:tcBorders>
            <w:shd w:val="clear" w:color="000000" w:fill="FFFFCC"/>
            <w:noWrap/>
            <w:vAlign w:val="bottom"/>
            <w:hideMark/>
          </w:tcPr>
          <w:p w14:paraId="475AEA15" w14:textId="1C210BB5" w:rsidR="001E6B56" w:rsidRDefault="001E6B56" w:rsidP="001E6B56">
            <w:pPr>
              <w:jc w:val="center"/>
              <w:rPr>
                <w:rFonts w:ascii="Calibri" w:hAnsi="Calibri"/>
                <w:sz w:val="20"/>
                <w:szCs w:val="20"/>
              </w:rPr>
            </w:pPr>
            <w:r>
              <w:rPr>
                <w:rFonts w:ascii="Calibri" w:hAnsi="Calibri"/>
                <w:sz w:val="20"/>
                <w:szCs w:val="20"/>
              </w:rPr>
              <w:t>4,85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D3037F"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01-ene-06</w:t>
            </w:r>
          </w:p>
        </w:tc>
        <w:tc>
          <w:tcPr>
            <w:tcW w:w="0" w:type="auto"/>
            <w:tcBorders>
              <w:top w:val="nil"/>
              <w:left w:val="nil"/>
              <w:bottom w:val="single" w:sz="4" w:space="0" w:color="808000"/>
              <w:right w:val="single" w:sz="4" w:space="0" w:color="808000"/>
            </w:tcBorders>
            <w:shd w:val="clear" w:color="auto" w:fill="auto"/>
            <w:noWrap/>
            <w:vAlign w:val="center"/>
            <w:hideMark/>
          </w:tcPr>
          <w:p w14:paraId="0B39C6C7"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28B7724"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7B66786A" w14:textId="77777777" w:rsidR="001E6B56" w:rsidRDefault="001E6B56" w:rsidP="001E6B56">
            <w:pPr>
              <w:rPr>
                <w:rFonts w:ascii="Calibri" w:hAnsi="Calibri"/>
                <w:sz w:val="20"/>
                <w:szCs w:val="20"/>
              </w:rPr>
            </w:pPr>
            <w:r>
              <w:rPr>
                <w:rFonts w:ascii="Calibri" w:hAnsi="Calibri"/>
                <w:sz w:val="20"/>
                <w:szCs w:val="20"/>
              </w:rPr>
              <w:t xml:space="preserve">                     834.153,89 </w:t>
            </w:r>
          </w:p>
        </w:tc>
        <w:tc>
          <w:tcPr>
            <w:tcW w:w="0" w:type="auto"/>
            <w:tcBorders>
              <w:top w:val="nil"/>
              <w:left w:val="nil"/>
              <w:bottom w:val="single" w:sz="4" w:space="0" w:color="003366"/>
              <w:right w:val="single" w:sz="4" w:space="0" w:color="003366"/>
            </w:tcBorders>
            <w:shd w:val="clear" w:color="000000" w:fill="FFFFFF"/>
            <w:noWrap/>
            <w:vAlign w:val="bottom"/>
            <w:hideMark/>
          </w:tcPr>
          <w:p w14:paraId="252680A2" w14:textId="77777777" w:rsidR="001E6B56" w:rsidRDefault="001E6B56" w:rsidP="001E6B56">
            <w:pPr>
              <w:jc w:val="center"/>
              <w:rPr>
                <w:rFonts w:ascii="Calibri" w:hAnsi="Calibri"/>
                <w:sz w:val="20"/>
                <w:szCs w:val="20"/>
              </w:rPr>
            </w:pPr>
            <w:r>
              <w:rPr>
                <w:rFonts w:ascii="Calibri" w:hAnsi="Calibri"/>
                <w:sz w:val="20"/>
                <w:szCs w:val="20"/>
              </w:rPr>
              <w:t>11.678.154,51</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1217FB9"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1ECD3BBC"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2CE764F5" w14:textId="77777777" w:rsidR="001E6B56" w:rsidRDefault="001E6B56" w:rsidP="001E6B56">
            <w:pPr>
              <w:jc w:val="center"/>
              <w:rPr>
                <w:rFonts w:ascii="Calibri" w:hAnsi="Calibri"/>
                <w:sz w:val="20"/>
                <w:szCs w:val="20"/>
              </w:rPr>
            </w:pPr>
            <w:r>
              <w:rPr>
                <w:rFonts w:ascii="Calibri" w:hAnsi="Calibri"/>
                <w:sz w:val="20"/>
                <w:szCs w:val="20"/>
              </w:rPr>
              <w:t>2007</w:t>
            </w:r>
          </w:p>
        </w:tc>
        <w:tc>
          <w:tcPr>
            <w:tcW w:w="0" w:type="auto"/>
            <w:tcBorders>
              <w:top w:val="nil"/>
              <w:left w:val="nil"/>
              <w:bottom w:val="single" w:sz="4" w:space="0" w:color="003366"/>
              <w:right w:val="single" w:sz="4" w:space="0" w:color="003366"/>
            </w:tcBorders>
            <w:shd w:val="clear" w:color="000000" w:fill="FFFFCC"/>
            <w:noWrap/>
            <w:vAlign w:val="bottom"/>
            <w:hideMark/>
          </w:tcPr>
          <w:p w14:paraId="4418CDD7" w14:textId="15C42702" w:rsidR="001E6B56" w:rsidRDefault="001E6B56" w:rsidP="001E6B56">
            <w:pPr>
              <w:jc w:val="center"/>
              <w:rPr>
                <w:rFonts w:ascii="Calibri" w:hAnsi="Calibri"/>
                <w:sz w:val="20"/>
                <w:szCs w:val="20"/>
              </w:rPr>
            </w:pPr>
            <w:r>
              <w:rPr>
                <w:rFonts w:ascii="Calibri" w:hAnsi="Calibri"/>
                <w:sz w:val="20"/>
                <w:szCs w:val="20"/>
              </w:rPr>
              <w:t>4,48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69D8BD9"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01-ene-07</w:t>
            </w:r>
          </w:p>
        </w:tc>
        <w:tc>
          <w:tcPr>
            <w:tcW w:w="0" w:type="auto"/>
            <w:tcBorders>
              <w:top w:val="nil"/>
              <w:left w:val="nil"/>
              <w:bottom w:val="single" w:sz="4" w:space="0" w:color="808000"/>
              <w:right w:val="single" w:sz="4" w:space="0" w:color="808000"/>
            </w:tcBorders>
            <w:shd w:val="clear" w:color="auto" w:fill="auto"/>
            <w:noWrap/>
            <w:vAlign w:val="center"/>
            <w:hideMark/>
          </w:tcPr>
          <w:p w14:paraId="650AB608"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6F64591"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0D7C4C3" w14:textId="77777777" w:rsidR="001E6B56" w:rsidRDefault="001E6B56" w:rsidP="001E6B56">
            <w:pPr>
              <w:rPr>
                <w:rFonts w:ascii="Calibri" w:hAnsi="Calibri"/>
                <w:sz w:val="20"/>
                <w:szCs w:val="20"/>
              </w:rPr>
            </w:pPr>
            <w:r>
              <w:rPr>
                <w:rFonts w:ascii="Calibri" w:hAnsi="Calibri"/>
                <w:sz w:val="20"/>
                <w:szCs w:val="20"/>
              </w:rPr>
              <w:t xml:space="preserve">                     871.523,99 </w:t>
            </w:r>
          </w:p>
        </w:tc>
        <w:tc>
          <w:tcPr>
            <w:tcW w:w="0" w:type="auto"/>
            <w:tcBorders>
              <w:top w:val="nil"/>
              <w:left w:val="nil"/>
              <w:bottom w:val="single" w:sz="4" w:space="0" w:color="003366"/>
              <w:right w:val="single" w:sz="4" w:space="0" w:color="003366"/>
            </w:tcBorders>
            <w:shd w:val="clear" w:color="000000" w:fill="FFFFFF"/>
            <w:noWrap/>
            <w:vAlign w:val="bottom"/>
            <w:hideMark/>
          </w:tcPr>
          <w:p w14:paraId="40A434B2" w14:textId="77777777" w:rsidR="001E6B56" w:rsidRDefault="001E6B56" w:rsidP="001E6B56">
            <w:pPr>
              <w:jc w:val="center"/>
              <w:rPr>
                <w:rFonts w:ascii="Calibri" w:hAnsi="Calibri"/>
                <w:sz w:val="20"/>
                <w:szCs w:val="20"/>
              </w:rPr>
            </w:pPr>
            <w:r>
              <w:rPr>
                <w:rFonts w:ascii="Calibri" w:hAnsi="Calibri"/>
                <w:sz w:val="20"/>
                <w:szCs w:val="20"/>
              </w:rPr>
              <w:t>12.201.335,83</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68671EB"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48FA0E6E"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42795C69" w14:textId="77777777" w:rsidR="001E6B56" w:rsidRDefault="001E6B56" w:rsidP="001E6B56">
            <w:pPr>
              <w:jc w:val="center"/>
              <w:rPr>
                <w:rFonts w:ascii="Calibri" w:hAnsi="Calibri"/>
                <w:sz w:val="20"/>
                <w:szCs w:val="20"/>
              </w:rPr>
            </w:pPr>
            <w:r>
              <w:rPr>
                <w:rFonts w:ascii="Calibri" w:hAnsi="Calibri"/>
                <w:sz w:val="20"/>
                <w:szCs w:val="20"/>
              </w:rPr>
              <w:t>2008</w:t>
            </w:r>
          </w:p>
        </w:tc>
        <w:tc>
          <w:tcPr>
            <w:tcW w:w="0" w:type="auto"/>
            <w:tcBorders>
              <w:top w:val="nil"/>
              <w:left w:val="nil"/>
              <w:bottom w:val="single" w:sz="4" w:space="0" w:color="003366"/>
              <w:right w:val="single" w:sz="4" w:space="0" w:color="003366"/>
            </w:tcBorders>
            <w:shd w:val="clear" w:color="000000" w:fill="FFFFCC"/>
            <w:noWrap/>
            <w:vAlign w:val="bottom"/>
            <w:hideMark/>
          </w:tcPr>
          <w:p w14:paraId="44DAFC10" w14:textId="5FA943E5" w:rsidR="001E6B56" w:rsidRDefault="001E6B56" w:rsidP="001E6B56">
            <w:pPr>
              <w:jc w:val="center"/>
              <w:rPr>
                <w:rFonts w:ascii="Calibri" w:hAnsi="Calibri"/>
                <w:sz w:val="20"/>
                <w:szCs w:val="20"/>
              </w:rPr>
            </w:pPr>
            <w:r>
              <w:rPr>
                <w:rFonts w:ascii="Calibri" w:hAnsi="Calibri"/>
                <w:sz w:val="20"/>
                <w:szCs w:val="20"/>
              </w:rPr>
              <w:t>5,69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004DC70"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01-ene-08</w:t>
            </w:r>
          </w:p>
        </w:tc>
        <w:tc>
          <w:tcPr>
            <w:tcW w:w="0" w:type="auto"/>
            <w:tcBorders>
              <w:top w:val="nil"/>
              <w:left w:val="nil"/>
              <w:bottom w:val="single" w:sz="4" w:space="0" w:color="808000"/>
              <w:right w:val="single" w:sz="4" w:space="0" w:color="808000"/>
            </w:tcBorders>
            <w:shd w:val="clear" w:color="auto" w:fill="auto"/>
            <w:noWrap/>
            <w:vAlign w:val="center"/>
            <w:hideMark/>
          </w:tcPr>
          <w:p w14:paraId="75897A5E"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31-dic-08</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6286581"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6CADB5B" w14:textId="77777777" w:rsidR="001E6B56" w:rsidRDefault="001E6B56" w:rsidP="001E6B56">
            <w:pPr>
              <w:rPr>
                <w:rFonts w:ascii="Calibri" w:hAnsi="Calibri"/>
                <w:sz w:val="20"/>
                <w:szCs w:val="20"/>
              </w:rPr>
            </w:pPr>
            <w:r>
              <w:rPr>
                <w:rFonts w:ascii="Calibri" w:hAnsi="Calibri"/>
                <w:sz w:val="20"/>
                <w:szCs w:val="20"/>
              </w:rPr>
              <w:t xml:space="preserve">                     921.113,70 </w:t>
            </w:r>
          </w:p>
        </w:tc>
        <w:tc>
          <w:tcPr>
            <w:tcW w:w="0" w:type="auto"/>
            <w:tcBorders>
              <w:top w:val="nil"/>
              <w:left w:val="nil"/>
              <w:bottom w:val="single" w:sz="4" w:space="0" w:color="003366"/>
              <w:right w:val="single" w:sz="4" w:space="0" w:color="003366"/>
            </w:tcBorders>
            <w:shd w:val="clear" w:color="000000" w:fill="FFFFFF"/>
            <w:noWrap/>
            <w:vAlign w:val="bottom"/>
            <w:hideMark/>
          </w:tcPr>
          <w:p w14:paraId="6F4E1590" w14:textId="77777777" w:rsidR="001E6B56" w:rsidRDefault="001E6B56" w:rsidP="001E6B56">
            <w:pPr>
              <w:jc w:val="center"/>
              <w:rPr>
                <w:rFonts w:ascii="Calibri" w:hAnsi="Calibri"/>
                <w:sz w:val="20"/>
                <w:szCs w:val="20"/>
              </w:rPr>
            </w:pPr>
            <w:r>
              <w:rPr>
                <w:rFonts w:ascii="Calibri" w:hAnsi="Calibri"/>
                <w:sz w:val="20"/>
                <w:szCs w:val="20"/>
              </w:rPr>
              <w:t>12.895.591,84</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19E178C"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4E334E4B"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3C08711F" w14:textId="77777777" w:rsidR="001E6B56" w:rsidRDefault="001E6B56" w:rsidP="001E6B56">
            <w:pPr>
              <w:jc w:val="center"/>
              <w:rPr>
                <w:rFonts w:ascii="Calibri" w:hAnsi="Calibri"/>
                <w:sz w:val="20"/>
                <w:szCs w:val="20"/>
              </w:rPr>
            </w:pPr>
            <w:r>
              <w:rPr>
                <w:rFonts w:ascii="Calibri" w:hAnsi="Calibri"/>
                <w:sz w:val="20"/>
                <w:szCs w:val="20"/>
              </w:rPr>
              <w:t>2009</w:t>
            </w:r>
          </w:p>
        </w:tc>
        <w:tc>
          <w:tcPr>
            <w:tcW w:w="0" w:type="auto"/>
            <w:tcBorders>
              <w:top w:val="nil"/>
              <w:left w:val="nil"/>
              <w:bottom w:val="single" w:sz="4" w:space="0" w:color="003366"/>
              <w:right w:val="single" w:sz="4" w:space="0" w:color="003366"/>
            </w:tcBorders>
            <w:shd w:val="clear" w:color="000000" w:fill="FFFFCC"/>
            <w:noWrap/>
            <w:vAlign w:val="bottom"/>
            <w:hideMark/>
          </w:tcPr>
          <w:p w14:paraId="2AE87FF7" w14:textId="0CD508BA" w:rsidR="001E6B56" w:rsidRDefault="001E6B56" w:rsidP="001E6B56">
            <w:pPr>
              <w:jc w:val="center"/>
              <w:rPr>
                <w:rFonts w:ascii="Calibri" w:hAnsi="Calibri"/>
                <w:sz w:val="20"/>
                <w:szCs w:val="20"/>
              </w:rPr>
            </w:pPr>
            <w:r>
              <w:rPr>
                <w:rFonts w:ascii="Calibri" w:hAnsi="Calibri"/>
                <w:sz w:val="20"/>
                <w:szCs w:val="20"/>
              </w:rPr>
              <w:t>7,67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481E812"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01-ene-09</w:t>
            </w:r>
          </w:p>
        </w:tc>
        <w:tc>
          <w:tcPr>
            <w:tcW w:w="0" w:type="auto"/>
            <w:tcBorders>
              <w:top w:val="nil"/>
              <w:left w:val="nil"/>
              <w:bottom w:val="single" w:sz="4" w:space="0" w:color="808000"/>
              <w:right w:val="single" w:sz="4" w:space="0" w:color="808000"/>
            </w:tcBorders>
            <w:shd w:val="clear" w:color="auto" w:fill="auto"/>
            <w:noWrap/>
            <w:vAlign w:val="center"/>
            <w:hideMark/>
          </w:tcPr>
          <w:p w14:paraId="76B0BCFF"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31-dic-09</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54F8742"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0704DC4D" w14:textId="77777777" w:rsidR="001E6B56" w:rsidRDefault="001E6B56" w:rsidP="001E6B56">
            <w:pPr>
              <w:rPr>
                <w:rFonts w:ascii="Calibri" w:hAnsi="Calibri"/>
                <w:sz w:val="20"/>
                <w:szCs w:val="20"/>
              </w:rPr>
            </w:pPr>
            <w:r>
              <w:rPr>
                <w:rFonts w:ascii="Calibri" w:hAnsi="Calibri"/>
                <w:sz w:val="20"/>
                <w:szCs w:val="20"/>
              </w:rPr>
              <w:t xml:space="preserve">                     991.763,12 </w:t>
            </w:r>
          </w:p>
        </w:tc>
        <w:tc>
          <w:tcPr>
            <w:tcW w:w="0" w:type="auto"/>
            <w:tcBorders>
              <w:top w:val="nil"/>
              <w:left w:val="nil"/>
              <w:bottom w:val="single" w:sz="4" w:space="0" w:color="003366"/>
              <w:right w:val="single" w:sz="4" w:space="0" w:color="003366"/>
            </w:tcBorders>
            <w:shd w:val="clear" w:color="000000" w:fill="FFFFFF"/>
            <w:noWrap/>
            <w:vAlign w:val="bottom"/>
            <w:hideMark/>
          </w:tcPr>
          <w:p w14:paraId="60842A0C" w14:textId="77777777" w:rsidR="001E6B56" w:rsidRDefault="001E6B56" w:rsidP="001E6B56">
            <w:pPr>
              <w:jc w:val="center"/>
              <w:rPr>
                <w:rFonts w:ascii="Calibri" w:hAnsi="Calibri"/>
                <w:sz w:val="20"/>
                <w:szCs w:val="20"/>
              </w:rPr>
            </w:pPr>
            <w:r>
              <w:rPr>
                <w:rFonts w:ascii="Calibri" w:hAnsi="Calibri"/>
                <w:sz w:val="20"/>
                <w:szCs w:val="20"/>
              </w:rPr>
              <w:t>13.884.683,73</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94DF16A"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2158DABB"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214F6478" w14:textId="77777777" w:rsidR="001E6B56" w:rsidRDefault="001E6B56" w:rsidP="001E6B56">
            <w:pPr>
              <w:jc w:val="center"/>
              <w:rPr>
                <w:rFonts w:ascii="Calibri" w:hAnsi="Calibri"/>
                <w:sz w:val="20"/>
                <w:szCs w:val="20"/>
              </w:rPr>
            </w:pPr>
            <w:r>
              <w:rPr>
                <w:rFonts w:ascii="Calibri" w:hAnsi="Calibri"/>
                <w:sz w:val="20"/>
                <w:szCs w:val="20"/>
              </w:rPr>
              <w:t>2010</w:t>
            </w:r>
          </w:p>
        </w:tc>
        <w:tc>
          <w:tcPr>
            <w:tcW w:w="0" w:type="auto"/>
            <w:tcBorders>
              <w:top w:val="nil"/>
              <w:left w:val="nil"/>
              <w:bottom w:val="single" w:sz="4" w:space="0" w:color="003366"/>
              <w:right w:val="single" w:sz="4" w:space="0" w:color="003366"/>
            </w:tcBorders>
            <w:shd w:val="clear" w:color="000000" w:fill="FFFFCC"/>
            <w:noWrap/>
            <w:vAlign w:val="bottom"/>
            <w:hideMark/>
          </w:tcPr>
          <w:p w14:paraId="7DCE2588" w14:textId="4FD7D7E5" w:rsidR="001E6B56" w:rsidRDefault="001E6B56" w:rsidP="001E6B56">
            <w:pPr>
              <w:jc w:val="center"/>
              <w:rPr>
                <w:rFonts w:ascii="Calibri" w:hAnsi="Calibri"/>
                <w:sz w:val="20"/>
                <w:szCs w:val="20"/>
              </w:rPr>
            </w:pPr>
            <w:r>
              <w:rPr>
                <w:rFonts w:ascii="Calibri" w:hAnsi="Calibri"/>
                <w:sz w:val="20"/>
                <w:szCs w:val="20"/>
              </w:rPr>
              <w:t>2,00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882DFB8"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01-ene-10</w:t>
            </w:r>
          </w:p>
        </w:tc>
        <w:tc>
          <w:tcPr>
            <w:tcW w:w="0" w:type="auto"/>
            <w:tcBorders>
              <w:top w:val="nil"/>
              <w:left w:val="nil"/>
              <w:bottom w:val="single" w:sz="4" w:space="0" w:color="808000"/>
              <w:right w:val="single" w:sz="4" w:space="0" w:color="808000"/>
            </w:tcBorders>
            <w:shd w:val="clear" w:color="auto" w:fill="auto"/>
            <w:noWrap/>
            <w:vAlign w:val="center"/>
            <w:hideMark/>
          </w:tcPr>
          <w:p w14:paraId="7FCD85DC"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31-dic-10</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A9537F8"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990E011" w14:textId="77777777" w:rsidR="001E6B56" w:rsidRDefault="001E6B56" w:rsidP="001E6B56">
            <w:pPr>
              <w:rPr>
                <w:rFonts w:ascii="Calibri" w:hAnsi="Calibri"/>
                <w:sz w:val="20"/>
                <w:szCs w:val="20"/>
              </w:rPr>
            </w:pPr>
            <w:r>
              <w:rPr>
                <w:rFonts w:ascii="Calibri" w:hAnsi="Calibri"/>
                <w:sz w:val="20"/>
                <w:szCs w:val="20"/>
              </w:rPr>
              <w:t xml:space="preserve">                 1.011.598,39 </w:t>
            </w:r>
          </w:p>
        </w:tc>
        <w:tc>
          <w:tcPr>
            <w:tcW w:w="0" w:type="auto"/>
            <w:tcBorders>
              <w:top w:val="nil"/>
              <w:left w:val="nil"/>
              <w:bottom w:val="single" w:sz="4" w:space="0" w:color="003366"/>
              <w:right w:val="single" w:sz="4" w:space="0" w:color="003366"/>
            </w:tcBorders>
            <w:shd w:val="clear" w:color="000000" w:fill="FFFFFF"/>
            <w:noWrap/>
            <w:vAlign w:val="bottom"/>
            <w:hideMark/>
          </w:tcPr>
          <w:p w14:paraId="65F09DC7" w14:textId="77777777" w:rsidR="001E6B56" w:rsidRDefault="001E6B56" w:rsidP="001E6B56">
            <w:pPr>
              <w:jc w:val="center"/>
              <w:rPr>
                <w:rFonts w:ascii="Calibri" w:hAnsi="Calibri"/>
                <w:sz w:val="20"/>
                <w:szCs w:val="20"/>
              </w:rPr>
            </w:pPr>
            <w:r>
              <w:rPr>
                <w:rFonts w:ascii="Calibri" w:hAnsi="Calibri"/>
                <w:sz w:val="20"/>
                <w:szCs w:val="20"/>
              </w:rPr>
              <w:t>14.162.377,41</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AE1BE92"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5001ED76"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68CBFCCA" w14:textId="2C2B659E" w:rsidR="001E6B56" w:rsidRDefault="001E6B56" w:rsidP="001E6B56">
            <w:pPr>
              <w:jc w:val="center"/>
              <w:rPr>
                <w:rFonts w:ascii="Calibri" w:hAnsi="Calibri"/>
                <w:sz w:val="20"/>
                <w:szCs w:val="20"/>
              </w:rPr>
            </w:pPr>
            <w:r>
              <w:rPr>
                <w:rFonts w:ascii="Calibri" w:hAnsi="Calibri"/>
                <w:sz w:val="20"/>
                <w:szCs w:val="20"/>
              </w:rPr>
              <w:t>2011</w:t>
            </w:r>
          </w:p>
        </w:tc>
        <w:tc>
          <w:tcPr>
            <w:tcW w:w="0" w:type="auto"/>
            <w:tcBorders>
              <w:top w:val="nil"/>
              <w:left w:val="nil"/>
              <w:bottom w:val="single" w:sz="4" w:space="0" w:color="003366"/>
              <w:right w:val="single" w:sz="4" w:space="0" w:color="003366"/>
            </w:tcBorders>
            <w:shd w:val="clear" w:color="000000" w:fill="FFFFCC"/>
            <w:noWrap/>
            <w:vAlign w:val="bottom"/>
            <w:hideMark/>
          </w:tcPr>
          <w:p w14:paraId="74ADCECF" w14:textId="6ED6B1CD" w:rsidR="001E6B56" w:rsidRDefault="001E6B56" w:rsidP="001E6B56">
            <w:pPr>
              <w:jc w:val="center"/>
              <w:rPr>
                <w:rFonts w:ascii="Calibri" w:hAnsi="Calibri"/>
                <w:sz w:val="20"/>
                <w:szCs w:val="20"/>
              </w:rPr>
            </w:pPr>
            <w:r>
              <w:rPr>
                <w:rFonts w:ascii="Calibri" w:hAnsi="Calibri"/>
                <w:sz w:val="20"/>
                <w:szCs w:val="20"/>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AE3DDF3"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14:paraId="22C68BC5" w14:textId="77777777" w:rsidR="001E6B56" w:rsidRDefault="001E6B56" w:rsidP="001E6B56">
            <w:pPr>
              <w:jc w:val="right"/>
              <w:rPr>
                <w:rFonts w:ascii="Calibri" w:hAnsi="Calibri"/>
                <w:color w:val="000000"/>
                <w:sz w:val="20"/>
                <w:szCs w:val="20"/>
              </w:rPr>
            </w:pPr>
            <w:r>
              <w:rPr>
                <w:rFonts w:ascii="Calibri" w:hAnsi="Calibri"/>
                <w:color w:val="000000"/>
                <w:sz w:val="20"/>
                <w:szCs w:val="20"/>
              </w:rPr>
              <w:t>01-jul-11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5ECCBE6" w14:textId="77777777" w:rsidR="001E6B56" w:rsidRDefault="001E6B56" w:rsidP="001E6B56">
            <w:pPr>
              <w:jc w:val="center"/>
              <w:rPr>
                <w:rFonts w:ascii="Calibri" w:hAnsi="Calibri"/>
                <w:sz w:val="20"/>
                <w:szCs w:val="20"/>
              </w:rPr>
            </w:pPr>
            <w:r>
              <w:rPr>
                <w:rFonts w:ascii="Calibri" w:hAnsi="Calibri"/>
                <w:sz w:val="20"/>
                <w:szCs w:val="20"/>
              </w:rPr>
              <w:t>7,04</w:t>
            </w:r>
          </w:p>
        </w:tc>
        <w:tc>
          <w:tcPr>
            <w:tcW w:w="0" w:type="auto"/>
            <w:tcBorders>
              <w:top w:val="nil"/>
              <w:left w:val="nil"/>
              <w:bottom w:val="single" w:sz="4" w:space="0" w:color="003366"/>
              <w:right w:val="single" w:sz="4" w:space="0" w:color="003366"/>
            </w:tcBorders>
            <w:shd w:val="clear" w:color="000000" w:fill="FFFFCC"/>
            <w:vAlign w:val="bottom"/>
            <w:hideMark/>
          </w:tcPr>
          <w:p w14:paraId="58570D65" w14:textId="77777777" w:rsidR="001E6B56" w:rsidRDefault="001E6B56" w:rsidP="001E6B56">
            <w:pPr>
              <w:rPr>
                <w:rFonts w:ascii="Calibri" w:hAnsi="Calibri"/>
                <w:sz w:val="20"/>
                <w:szCs w:val="20"/>
              </w:rPr>
            </w:pPr>
            <w:r>
              <w:rPr>
                <w:rFonts w:ascii="Calibri" w:hAnsi="Calibri"/>
                <w:sz w:val="20"/>
                <w:szCs w:val="20"/>
              </w:rPr>
              <w:t xml:space="preserve">                 1.043.678,42 </w:t>
            </w:r>
          </w:p>
        </w:tc>
        <w:tc>
          <w:tcPr>
            <w:tcW w:w="0" w:type="auto"/>
            <w:tcBorders>
              <w:top w:val="nil"/>
              <w:left w:val="nil"/>
              <w:bottom w:val="single" w:sz="4" w:space="0" w:color="003366"/>
              <w:right w:val="single" w:sz="4" w:space="0" w:color="003366"/>
            </w:tcBorders>
            <w:shd w:val="clear" w:color="000000" w:fill="FFFFFF"/>
            <w:noWrap/>
            <w:vAlign w:val="bottom"/>
            <w:hideMark/>
          </w:tcPr>
          <w:p w14:paraId="1EA9C98A" w14:textId="77777777" w:rsidR="001E6B56" w:rsidRDefault="001E6B56" w:rsidP="001E6B56">
            <w:pPr>
              <w:jc w:val="center"/>
              <w:rPr>
                <w:rFonts w:ascii="Calibri" w:hAnsi="Calibri"/>
                <w:sz w:val="20"/>
                <w:szCs w:val="20"/>
              </w:rPr>
            </w:pPr>
            <w:r>
              <w:rPr>
                <w:rFonts w:ascii="Calibri" w:hAnsi="Calibri"/>
                <w:sz w:val="20"/>
                <w:szCs w:val="20"/>
              </w:rPr>
              <w:t>7.347.496,07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2A5718C"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   </w:t>
            </w:r>
          </w:p>
        </w:tc>
      </w:tr>
      <w:tr w:rsidR="001E6B56" w14:paraId="24F597E6"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74FFAD64" w14:textId="77777777" w:rsidR="001E6B56" w:rsidRDefault="001E6B56" w:rsidP="001E6B56">
            <w:pPr>
              <w:jc w:val="center"/>
              <w:rPr>
                <w:rFonts w:ascii="Calibri" w:hAnsi="Calibri"/>
                <w:sz w:val="20"/>
                <w:szCs w:val="20"/>
              </w:rPr>
            </w:pPr>
            <w:r>
              <w:rPr>
                <w:rFonts w:ascii="Calibri" w:hAnsi="Calibri"/>
                <w:sz w:val="20"/>
                <w:szCs w:val="20"/>
              </w:rPr>
              <w:t>2011</w:t>
            </w:r>
          </w:p>
        </w:tc>
        <w:tc>
          <w:tcPr>
            <w:tcW w:w="0" w:type="auto"/>
            <w:tcBorders>
              <w:top w:val="nil"/>
              <w:left w:val="nil"/>
              <w:bottom w:val="single" w:sz="4" w:space="0" w:color="003366"/>
              <w:right w:val="single" w:sz="4" w:space="0" w:color="003366"/>
            </w:tcBorders>
            <w:shd w:val="clear" w:color="000000" w:fill="FFFFCC"/>
            <w:noWrap/>
            <w:vAlign w:val="bottom"/>
            <w:hideMark/>
          </w:tcPr>
          <w:p w14:paraId="0FABDA41" w14:textId="09D0BB0D" w:rsidR="001E6B56" w:rsidRDefault="001E6B56" w:rsidP="001E6B56">
            <w:pPr>
              <w:jc w:val="center"/>
              <w:rPr>
                <w:rFonts w:ascii="Calibri" w:hAnsi="Calibri"/>
                <w:sz w:val="20"/>
                <w:szCs w:val="20"/>
              </w:rPr>
            </w:pPr>
            <w:r>
              <w:rPr>
                <w:rFonts w:ascii="Calibri" w:hAnsi="Calibri"/>
                <w:sz w:val="20"/>
                <w:szCs w:val="20"/>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EE0AC14" w14:textId="77777777" w:rsidR="001E6B56" w:rsidRDefault="001E6B56" w:rsidP="001E6B56">
            <w:pPr>
              <w:jc w:val="right"/>
              <w:rPr>
                <w:rFonts w:ascii="Calibri" w:hAnsi="Calibri"/>
                <w:color w:val="000000"/>
                <w:sz w:val="20"/>
                <w:szCs w:val="20"/>
              </w:rPr>
            </w:pPr>
            <w:r>
              <w:rPr>
                <w:rFonts w:ascii="Calibri" w:hAnsi="Calibri"/>
                <w:color w:val="000000"/>
                <w:sz w:val="20"/>
                <w:szCs w:val="20"/>
              </w:rPr>
              <w:t>02-jul-11</w:t>
            </w:r>
          </w:p>
        </w:tc>
        <w:tc>
          <w:tcPr>
            <w:tcW w:w="0" w:type="auto"/>
            <w:tcBorders>
              <w:top w:val="nil"/>
              <w:left w:val="nil"/>
              <w:bottom w:val="single" w:sz="4" w:space="0" w:color="808000"/>
              <w:right w:val="single" w:sz="4" w:space="0" w:color="808000"/>
            </w:tcBorders>
            <w:shd w:val="clear" w:color="auto" w:fill="auto"/>
            <w:noWrap/>
            <w:vAlign w:val="center"/>
            <w:hideMark/>
          </w:tcPr>
          <w:p w14:paraId="1C366B83"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EC737CF" w14:textId="77777777" w:rsidR="001E6B56" w:rsidRDefault="001E6B56" w:rsidP="001E6B56">
            <w:pPr>
              <w:jc w:val="center"/>
              <w:rPr>
                <w:rFonts w:ascii="Calibri" w:hAnsi="Calibri"/>
                <w:sz w:val="20"/>
                <w:szCs w:val="20"/>
              </w:rPr>
            </w:pPr>
            <w:r>
              <w:rPr>
                <w:rFonts w:ascii="Calibri" w:hAnsi="Calibri"/>
                <w:sz w:val="20"/>
                <w:szCs w:val="20"/>
              </w:rPr>
              <w:t>6,96</w:t>
            </w:r>
          </w:p>
        </w:tc>
        <w:tc>
          <w:tcPr>
            <w:tcW w:w="0" w:type="auto"/>
            <w:tcBorders>
              <w:top w:val="nil"/>
              <w:left w:val="nil"/>
              <w:bottom w:val="single" w:sz="4" w:space="0" w:color="003366"/>
              <w:right w:val="single" w:sz="4" w:space="0" w:color="003366"/>
            </w:tcBorders>
            <w:shd w:val="clear" w:color="000000" w:fill="FFFFCC"/>
            <w:vAlign w:val="bottom"/>
            <w:hideMark/>
          </w:tcPr>
          <w:p w14:paraId="6BB4FB61" w14:textId="77777777" w:rsidR="001E6B56" w:rsidRDefault="001E6B56" w:rsidP="001E6B56">
            <w:pPr>
              <w:rPr>
                <w:rFonts w:ascii="Calibri" w:hAnsi="Calibri"/>
                <w:sz w:val="20"/>
                <w:szCs w:val="20"/>
              </w:rPr>
            </w:pPr>
            <w:r>
              <w:rPr>
                <w:rFonts w:ascii="Calibri" w:hAnsi="Calibri"/>
                <w:sz w:val="20"/>
                <w:szCs w:val="20"/>
              </w:rPr>
              <w:t xml:space="preserve">                 1.076.775,78 </w:t>
            </w:r>
          </w:p>
        </w:tc>
        <w:tc>
          <w:tcPr>
            <w:tcW w:w="0" w:type="auto"/>
            <w:tcBorders>
              <w:top w:val="nil"/>
              <w:left w:val="nil"/>
              <w:bottom w:val="single" w:sz="4" w:space="0" w:color="003366"/>
              <w:right w:val="single" w:sz="4" w:space="0" w:color="003366"/>
            </w:tcBorders>
            <w:shd w:val="clear" w:color="000000" w:fill="FFFFFF"/>
            <w:noWrap/>
            <w:vAlign w:val="bottom"/>
            <w:hideMark/>
          </w:tcPr>
          <w:p w14:paraId="191CA9C2"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BA93224"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7.494.359 </w:t>
            </w:r>
          </w:p>
        </w:tc>
      </w:tr>
      <w:tr w:rsidR="001E6B56" w14:paraId="38367451"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7CD1201A" w14:textId="77777777" w:rsidR="001E6B56" w:rsidRDefault="001E6B56" w:rsidP="001E6B56">
            <w:pPr>
              <w:jc w:val="center"/>
              <w:rPr>
                <w:rFonts w:ascii="Calibri" w:hAnsi="Calibri"/>
                <w:sz w:val="20"/>
                <w:szCs w:val="20"/>
              </w:rPr>
            </w:pPr>
            <w:r>
              <w:rPr>
                <w:rFonts w:ascii="Calibri" w:hAnsi="Calibri"/>
                <w:sz w:val="20"/>
                <w:szCs w:val="20"/>
              </w:rPr>
              <w:t>2012</w:t>
            </w:r>
          </w:p>
        </w:tc>
        <w:tc>
          <w:tcPr>
            <w:tcW w:w="0" w:type="auto"/>
            <w:tcBorders>
              <w:top w:val="nil"/>
              <w:left w:val="nil"/>
              <w:bottom w:val="single" w:sz="4" w:space="0" w:color="003366"/>
              <w:right w:val="single" w:sz="4" w:space="0" w:color="003366"/>
            </w:tcBorders>
            <w:shd w:val="clear" w:color="000000" w:fill="FFFFCC"/>
            <w:noWrap/>
            <w:vAlign w:val="bottom"/>
            <w:hideMark/>
          </w:tcPr>
          <w:p w14:paraId="7DC98592" w14:textId="7180A5BD" w:rsidR="001E6B56" w:rsidRDefault="001E6B56" w:rsidP="001E6B56">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7162342"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67536022"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49BEB4C"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C9E6825" w14:textId="77777777" w:rsidR="001E6B56" w:rsidRDefault="001E6B56" w:rsidP="001E6B56">
            <w:pPr>
              <w:rPr>
                <w:rFonts w:ascii="Calibri" w:hAnsi="Calibri"/>
                <w:sz w:val="20"/>
                <w:szCs w:val="20"/>
              </w:rPr>
            </w:pPr>
            <w:r>
              <w:rPr>
                <w:rFonts w:ascii="Calibri" w:hAnsi="Calibri"/>
                <w:sz w:val="20"/>
                <w:szCs w:val="20"/>
              </w:rPr>
              <w:t xml:space="preserve">                 1.116.939,52 </w:t>
            </w:r>
          </w:p>
        </w:tc>
        <w:tc>
          <w:tcPr>
            <w:tcW w:w="0" w:type="auto"/>
            <w:tcBorders>
              <w:top w:val="nil"/>
              <w:left w:val="nil"/>
              <w:bottom w:val="single" w:sz="4" w:space="0" w:color="003366"/>
              <w:right w:val="single" w:sz="4" w:space="0" w:color="003366"/>
            </w:tcBorders>
            <w:shd w:val="clear" w:color="000000" w:fill="FFFFFF"/>
            <w:noWrap/>
            <w:vAlign w:val="bottom"/>
            <w:hideMark/>
          </w:tcPr>
          <w:p w14:paraId="140E53B9"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4AE927D"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15.637.153 </w:t>
            </w:r>
          </w:p>
        </w:tc>
      </w:tr>
      <w:tr w:rsidR="001E6B56" w14:paraId="3DEDED09"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1C191607" w14:textId="77777777" w:rsidR="001E6B56" w:rsidRDefault="001E6B56" w:rsidP="001E6B56">
            <w:pPr>
              <w:jc w:val="center"/>
              <w:rPr>
                <w:rFonts w:ascii="Calibri" w:hAnsi="Calibri"/>
                <w:sz w:val="20"/>
                <w:szCs w:val="20"/>
              </w:rPr>
            </w:pPr>
            <w:r>
              <w:rPr>
                <w:rFonts w:ascii="Calibri" w:hAnsi="Calibri"/>
                <w:sz w:val="20"/>
                <w:szCs w:val="20"/>
              </w:rPr>
              <w:t>2013</w:t>
            </w:r>
          </w:p>
        </w:tc>
        <w:tc>
          <w:tcPr>
            <w:tcW w:w="0" w:type="auto"/>
            <w:tcBorders>
              <w:top w:val="nil"/>
              <w:left w:val="nil"/>
              <w:bottom w:val="single" w:sz="4" w:space="0" w:color="003366"/>
              <w:right w:val="single" w:sz="4" w:space="0" w:color="003366"/>
            </w:tcBorders>
            <w:shd w:val="clear" w:color="000000" w:fill="FFFFCC"/>
            <w:noWrap/>
            <w:vAlign w:val="bottom"/>
            <w:hideMark/>
          </w:tcPr>
          <w:p w14:paraId="096ED2C7" w14:textId="4B3B48F8" w:rsidR="001E6B56" w:rsidRDefault="001E6B56" w:rsidP="001E6B56">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B98D3A9"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30FD0384"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57CA203"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9603CBC" w14:textId="77777777" w:rsidR="001E6B56" w:rsidRDefault="001E6B56" w:rsidP="001E6B56">
            <w:pPr>
              <w:rPr>
                <w:rFonts w:ascii="Calibri" w:hAnsi="Calibri"/>
                <w:sz w:val="20"/>
                <w:szCs w:val="20"/>
              </w:rPr>
            </w:pPr>
            <w:r>
              <w:rPr>
                <w:rFonts w:ascii="Calibri" w:hAnsi="Calibri"/>
                <w:sz w:val="20"/>
                <w:szCs w:val="20"/>
              </w:rPr>
              <w:t xml:space="preserve">                 1.144.192,84 </w:t>
            </w:r>
          </w:p>
        </w:tc>
        <w:tc>
          <w:tcPr>
            <w:tcW w:w="0" w:type="auto"/>
            <w:tcBorders>
              <w:top w:val="nil"/>
              <w:left w:val="nil"/>
              <w:bottom w:val="single" w:sz="4" w:space="0" w:color="003366"/>
              <w:right w:val="single" w:sz="4" w:space="0" w:color="003366"/>
            </w:tcBorders>
            <w:shd w:val="clear" w:color="000000" w:fill="FFFFFF"/>
            <w:noWrap/>
            <w:vAlign w:val="bottom"/>
            <w:hideMark/>
          </w:tcPr>
          <w:p w14:paraId="0C06C4A7"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AB2F1A9"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16.018.700 </w:t>
            </w:r>
          </w:p>
        </w:tc>
      </w:tr>
      <w:tr w:rsidR="001E6B56" w14:paraId="2F22A44E"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6BAB49DC" w14:textId="77777777" w:rsidR="001E6B56" w:rsidRDefault="001E6B56" w:rsidP="001E6B56">
            <w:pPr>
              <w:jc w:val="center"/>
              <w:rPr>
                <w:rFonts w:ascii="Calibri" w:hAnsi="Calibri"/>
                <w:sz w:val="20"/>
                <w:szCs w:val="20"/>
              </w:rPr>
            </w:pPr>
            <w:r>
              <w:rPr>
                <w:rFonts w:ascii="Calibri" w:hAnsi="Calibri"/>
                <w:sz w:val="20"/>
                <w:szCs w:val="20"/>
              </w:rPr>
              <w:t>2014</w:t>
            </w:r>
          </w:p>
        </w:tc>
        <w:tc>
          <w:tcPr>
            <w:tcW w:w="0" w:type="auto"/>
            <w:tcBorders>
              <w:top w:val="nil"/>
              <w:left w:val="nil"/>
              <w:bottom w:val="single" w:sz="4" w:space="0" w:color="003366"/>
              <w:right w:val="single" w:sz="4" w:space="0" w:color="003366"/>
            </w:tcBorders>
            <w:shd w:val="clear" w:color="000000" w:fill="FFFFCC"/>
            <w:noWrap/>
            <w:vAlign w:val="bottom"/>
            <w:hideMark/>
          </w:tcPr>
          <w:p w14:paraId="253D63BA" w14:textId="77E5B175" w:rsidR="001E6B56" w:rsidRDefault="001E6B56" w:rsidP="001E6B56">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F279224"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6C1E3210"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D73787C"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31E223CF" w14:textId="77777777" w:rsidR="001E6B56" w:rsidRDefault="001E6B56" w:rsidP="001E6B56">
            <w:pPr>
              <w:rPr>
                <w:rFonts w:ascii="Calibri" w:hAnsi="Calibri"/>
                <w:sz w:val="20"/>
                <w:szCs w:val="20"/>
              </w:rPr>
            </w:pPr>
            <w:r>
              <w:rPr>
                <w:rFonts w:ascii="Calibri" w:hAnsi="Calibri"/>
                <w:sz w:val="20"/>
                <w:szCs w:val="20"/>
              </w:rPr>
              <w:t xml:space="preserve">                 1.166.390,18 </w:t>
            </w:r>
          </w:p>
        </w:tc>
        <w:tc>
          <w:tcPr>
            <w:tcW w:w="0" w:type="auto"/>
            <w:tcBorders>
              <w:top w:val="nil"/>
              <w:left w:val="nil"/>
              <w:bottom w:val="single" w:sz="4" w:space="0" w:color="003366"/>
              <w:right w:val="single" w:sz="4" w:space="0" w:color="003366"/>
            </w:tcBorders>
            <w:shd w:val="clear" w:color="000000" w:fill="FFFFFF"/>
            <w:noWrap/>
            <w:vAlign w:val="bottom"/>
            <w:hideMark/>
          </w:tcPr>
          <w:p w14:paraId="4B849237"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7EA35E7"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16.329.463 </w:t>
            </w:r>
          </w:p>
        </w:tc>
      </w:tr>
      <w:tr w:rsidR="001E6B56" w14:paraId="4636AD9E"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5F05FF74" w14:textId="77777777" w:rsidR="001E6B56" w:rsidRDefault="001E6B56" w:rsidP="001E6B56">
            <w:pPr>
              <w:jc w:val="center"/>
              <w:rPr>
                <w:rFonts w:ascii="Calibri" w:hAnsi="Calibri"/>
                <w:sz w:val="20"/>
                <w:szCs w:val="20"/>
              </w:rPr>
            </w:pPr>
            <w:r>
              <w:rPr>
                <w:rFonts w:ascii="Calibri" w:hAnsi="Calibri"/>
                <w:sz w:val="20"/>
                <w:szCs w:val="20"/>
              </w:rPr>
              <w:t>2015</w:t>
            </w:r>
          </w:p>
        </w:tc>
        <w:tc>
          <w:tcPr>
            <w:tcW w:w="0" w:type="auto"/>
            <w:tcBorders>
              <w:top w:val="nil"/>
              <w:left w:val="nil"/>
              <w:bottom w:val="single" w:sz="4" w:space="0" w:color="003366"/>
              <w:right w:val="single" w:sz="4" w:space="0" w:color="003366"/>
            </w:tcBorders>
            <w:shd w:val="clear" w:color="000000" w:fill="FFFFCC"/>
            <w:noWrap/>
            <w:vAlign w:val="bottom"/>
            <w:hideMark/>
          </w:tcPr>
          <w:p w14:paraId="0425EB0C" w14:textId="418BA87C" w:rsidR="001E6B56" w:rsidRDefault="001E6B56" w:rsidP="001E6B56">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B6E009"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2BBD8759" w14:textId="77777777" w:rsidR="001E6B56" w:rsidRDefault="001E6B56" w:rsidP="001E6B56">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0FE1F26" w14:textId="77777777" w:rsidR="001E6B56" w:rsidRDefault="001E6B56" w:rsidP="001E6B5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FFDC906" w14:textId="77777777" w:rsidR="001E6B56" w:rsidRDefault="001E6B56" w:rsidP="001E6B56">
            <w:pPr>
              <w:rPr>
                <w:rFonts w:ascii="Calibri" w:hAnsi="Calibri"/>
                <w:sz w:val="20"/>
                <w:szCs w:val="20"/>
              </w:rPr>
            </w:pPr>
            <w:r>
              <w:rPr>
                <w:rFonts w:ascii="Calibri" w:hAnsi="Calibri"/>
                <w:sz w:val="20"/>
                <w:szCs w:val="20"/>
              </w:rPr>
              <w:t xml:space="preserve">                 1.209.080,06 </w:t>
            </w:r>
          </w:p>
        </w:tc>
        <w:tc>
          <w:tcPr>
            <w:tcW w:w="0" w:type="auto"/>
            <w:tcBorders>
              <w:top w:val="nil"/>
              <w:left w:val="nil"/>
              <w:bottom w:val="single" w:sz="4" w:space="0" w:color="003366"/>
              <w:right w:val="single" w:sz="4" w:space="0" w:color="003366"/>
            </w:tcBorders>
            <w:shd w:val="clear" w:color="000000" w:fill="FFFFFF"/>
            <w:noWrap/>
            <w:vAlign w:val="bottom"/>
            <w:hideMark/>
          </w:tcPr>
          <w:p w14:paraId="5615CB50"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2597A1"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16.927.121 </w:t>
            </w:r>
          </w:p>
        </w:tc>
      </w:tr>
      <w:tr w:rsidR="001E6B56" w14:paraId="40D6B81C" w14:textId="77777777" w:rsidTr="001E6B56">
        <w:trPr>
          <w:trHeight w:val="25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14:paraId="3AAF4DBB" w14:textId="77777777" w:rsidR="001E6B56" w:rsidRDefault="001E6B56" w:rsidP="001E6B56">
            <w:pPr>
              <w:jc w:val="center"/>
              <w:rPr>
                <w:rFonts w:ascii="Calibri" w:hAnsi="Calibri"/>
                <w:sz w:val="20"/>
                <w:szCs w:val="20"/>
              </w:rPr>
            </w:pPr>
            <w:r>
              <w:rPr>
                <w:rFonts w:ascii="Calibri" w:hAnsi="Calibri"/>
                <w:sz w:val="20"/>
                <w:szCs w:val="20"/>
              </w:rPr>
              <w:t>2016</w:t>
            </w:r>
          </w:p>
        </w:tc>
        <w:tc>
          <w:tcPr>
            <w:tcW w:w="0" w:type="auto"/>
            <w:tcBorders>
              <w:top w:val="nil"/>
              <w:left w:val="nil"/>
              <w:bottom w:val="single" w:sz="4" w:space="0" w:color="003366"/>
              <w:right w:val="single" w:sz="4" w:space="0" w:color="003366"/>
            </w:tcBorders>
            <w:shd w:val="clear" w:color="000000" w:fill="FFFFCC"/>
            <w:noWrap/>
            <w:vAlign w:val="bottom"/>
            <w:hideMark/>
          </w:tcPr>
          <w:p w14:paraId="7245D5C6" w14:textId="25CB8772" w:rsidR="001E6B56" w:rsidRDefault="001E6B56" w:rsidP="001E6B56">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C26FAC5" w14:textId="77777777" w:rsidR="001E6B56" w:rsidRDefault="001E6B56" w:rsidP="001E6B56">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7E6F62DB" w14:textId="77777777" w:rsidR="001E6B56" w:rsidRDefault="001E6B56" w:rsidP="001E6B56">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12305F2D" w14:textId="77777777" w:rsidR="001E6B56" w:rsidRDefault="001E6B56" w:rsidP="001E6B56">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14:paraId="64BFFF50" w14:textId="77777777" w:rsidR="001E6B56" w:rsidRDefault="001E6B56" w:rsidP="001E6B56">
            <w:pPr>
              <w:rPr>
                <w:rFonts w:ascii="Calibri" w:hAnsi="Calibri"/>
                <w:sz w:val="20"/>
                <w:szCs w:val="20"/>
              </w:rPr>
            </w:pPr>
            <w:r>
              <w:rPr>
                <w:rFonts w:ascii="Calibri" w:hAnsi="Calibri"/>
                <w:sz w:val="20"/>
                <w:szCs w:val="20"/>
              </w:rPr>
              <w:t xml:space="preserve">                 1.290.934,78 </w:t>
            </w:r>
          </w:p>
        </w:tc>
        <w:tc>
          <w:tcPr>
            <w:tcW w:w="0" w:type="auto"/>
            <w:tcBorders>
              <w:top w:val="nil"/>
              <w:left w:val="nil"/>
              <w:bottom w:val="single" w:sz="4" w:space="0" w:color="003366"/>
              <w:right w:val="single" w:sz="4" w:space="0" w:color="003366"/>
            </w:tcBorders>
            <w:shd w:val="clear" w:color="000000" w:fill="FFFFFF"/>
            <w:noWrap/>
            <w:vAlign w:val="bottom"/>
            <w:hideMark/>
          </w:tcPr>
          <w:p w14:paraId="34B28238" w14:textId="77777777" w:rsidR="001E6B56" w:rsidRDefault="001E6B56" w:rsidP="001E6B5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F3A763C" w14:textId="77777777" w:rsidR="001E6B56" w:rsidRDefault="001E6B56" w:rsidP="001E6B56">
            <w:pPr>
              <w:rPr>
                <w:rFonts w:ascii="Calibri" w:hAnsi="Calibri"/>
                <w:color w:val="000000"/>
                <w:sz w:val="20"/>
                <w:szCs w:val="20"/>
              </w:rPr>
            </w:pPr>
            <w:r>
              <w:rPr>
                <w:rFonts w:ascii="Calibri" w:hAnsi="Calibri"/>
                <w:color w:val="000000"/>
                <w:sz w:val="20"/>
                <w:szCs w:val="20"/>
              </w:rPr>
              <w:t xml:space="preserve">                       3.872.804 </w:t>
            </w:r>
          </w:p>
        </w:tc>
      </w:tr>
      <w:tr w:rsidR="001E6B56" w14:paraId="64F92743" w14:textId="77777777" w:rsidTr="001E6B56">
        <w:trPr>
          <w:trHeight w:val="255"/>
        </w:trPr>
        <w:tc>
          <w:tcPr>
            <w:tcW w:w="0" w:type="auto"/>
            <w:tcBorders>
              <w:top w:val="nil"/>
              <w:left w:val="nil"/>
              <w:bottom w:val="nil"/>
              <w:right w:val="nil"/>
            </w:tcBorders>
            <w:shd w:val="clear" w:color="auto" w:fill="auto"/>
            <w:noWrap/>
            <w:vAlign w:val="bottom"/>
            <w:hideMark/>
          </w:tcPr>
          <w:p w14:paraId="0861DB9F" w14:textId="77777777" w:rsidR="001E6B56" w:rsidRDefault="001E6B56">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2D33273F" w14:textId="77777777" w:rsidR="001E6B56" w:rsidRDefault="001E6B56">
            <w:pPr>
              <w:rPr>
                <w:sz w:val="20"/>
                <w:szCs w:val="20"/>
              </w:rPr>
            </w:pPr>
          </w:p>
        </w:tc>
        <w:tc>
          <w:tcPr>
            <w:tcW w:w="0" w:type="auto"/>
            <w:tcBorders>
              <w:top w:val="nil"/>
              <w:left w:val="nil"/>
              <w:bottom w:val="nil"/>
              <w:right w:val="nil"/>
            </w:tcBorders>
            <w:shd w:val="clear" w:color="auto" w:fill="auto"/>
            <w:noWrap/>
            <w:vAlign w:val="bottom"/>
            <w:hideMark/>
          </w:tcPr>
          <w:p w14:paraId="1E75767A" w14:textId="77777777" w:rsidR="001E6B56" w:rsidRDefault="001E6B56">
            <w:pPr>
              <w:rPr>
                <w:sz w:val="20"/>
                <w:szCs w:val="20"/>
              </w:rPr>
            </w:pPr>
          </w:p>
        </w:tc>
        <w:tc>
          <w:tcPr>
            <w:tcW w:w="0" w:type="auto"/>
            <w:tcBorders>
              <w:top w:val="nil"/>
              <w:left w:val="nil"/>
              <w:bottom w:val="nil"/>
              <w:right w:val="nil"/>
            </w:tcBorders>
            <w:shd w:val="clear" w:color="auto" w:fill="auto"/>
            <w:noWrap/>
            <w:vAlign w:val="bottom"/>
            <w:hideMark/>
          </w:tcPr>
          <w:p w14:paraId="1B4EF0F4" w14:textId="77777777" w:rsidR="001E6B56" w:rsidRDefault="001E6B56">
            <w:pPr>
              <w:rPr>
                <w:sz w:val="20"/>
                <w:szCs w:val="20"/>
              </w:rPr>
            </w:pPr>
          </w:p>
        </w:tc>
        <w:tc>
          <w:tcPr>
            <w:tcW w:w="0" w:type="auto"/>
            <w:tcBorders>
              <w:top w:val="nil"/>
              <w:left w:val="nil"/>
              <w:bottom w:val="nil"/>
              <w:right w:val="nil"/>
            </w:tcBorders>
            <w:shd w:val="clear" w:color="auto" w:fill="auto"/>
            <w:noWrap/>
            <w:vAlign w:val="bottom"/>
            <w:hideMark/>
          </w:tcPr>
          <w:p w14:paraId="3E7E70D2" w14:textId="77777777" w:rsidR="001E6B56" w:rsidRDefault="001E6B56">
            <w:pPr>
              <w:rPr>
                <w:sz w:val="20"/>
                <w:szCs w:val="20"/>
              </w:rPr>
            </w:pPr>
          </w:p>
        </w:tc>
        <w:tc>
          <w:tcPr>
            <w:tcW w:w="0" w:type="auto"/>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14:paraId="13BAFA43" w14:textId="77777777" w:rsidR="001E6B56" w:rsidRDefault="001E6B56">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071FAB3E" w14:textId="77777777" w:rsidR="001E6B56" w:rsidRDefault="001E6B56">
            <w:pPr>
              <w:rPr>
                <w:rFonts w:ascii="Calibri" w:hAnsi="Calibri"/>
                <w:b/>
                <w:bCs/>
                <w:color w:val="000000"/>
                <w:sz w:val="20"/>
                <w:szCs w:val="20"/>
              </w:rPr>
            </w:pPr>
            <w:r>
              <w:rPr>
                <w:rFonts w:ascii="Calibri" w:hAnsi="Calibri"/>
                <w:b/>
                <w:bCs/>
                <w:color w:val="000000"/>
                <w:sz w:val="20"/>
                <w:szCs w:val="20"/>
              </w:rPr>
              <w:t xml:space="preserve">                    76.279.600 </w:t>
            </w:r>
          </w:p>
        </w:tc>
      </w:tr>
    </w:tbl>
    <w:p w14:paraId="071D1C5C" w14:textId="77777777" w:rsidR="00143E75" w:rsidRDefault="00143E75" w:rsidP="00E9724F">
      <w:pPr>
        <w:jc w:val="center"/>
        <w:rPr>
          <w:rFonts w:ascii="Tahoma" w:hAnsi="Tahoma" w:cs="Tahoma"/>
        </w:rPr>
      </w:pPr>
    </w:p>
    <w:p w14:paraId="02D5A741" w14:textId="77777777" w:rsidR="00143E75" w:rsidRDefault="00143E75" w:rsidP="00E9724F">
      <w:pPr>
        <w:jc w:val="center"/>
        <w:rPr>
          <w:rFonts w:ascii="Tahoma" w:hAnsi="Tahoma" w:cs="Tahoma"/>
        </w:rPr>
      </w:pPr>
    </w:p>
    <w:p w14:paraId="597E1412" w14:textId="77777777" w:rsidR="00143E75" w:rsidRDefault="00143E75" w:rsidP="00E9724F">
      <w:pPr>
        <w:jc w:val="center"/>
        <w:rPr>
          <w:rFonts w:ascii="Tahoma" w:hAnsi="Tahoma" w:cs="Tahoma"/>
        </w:rPr>
      </w:pPr>
    </w:p>
    <w:p w14:paraId="54D4DDDE" w14:textId="77777777" w:rsidR="00143E75" w:rsidRDefault="00143E75" w:rsidP="00E9724F">
      <w:pPr>
        <w:jc w:val="center"/>
        <w:rPr>
          <w:rFonts w:ascii="Tahoma" w:hAnsi="Tahoma" w:cs="Tahoma"/>
        </w:rPr>
      </w:pPr>
    </w:p>
    <w:p w14:paraId="583C2AAB" w14:textId="77777777" w:rsidR="00487AEF" w:rsidRPr="007A704A" w:rsidRDefault="00487AEF" w:rsidP="00487AEF">
      <w:pPr>
        <w:pStyle w:val="Ttulo3"/>
        <w:spacing w:before="0" w:after="0"/>
        <w:jc w:val="center"/>
        <w:rPr>
          <w:rFonts w:ascii="Tahoma" w:hAnsi="Tahoma" w:cs="Tahoma"/>
          <w:bCs w:val="0"/>
          <w:sz w:val="24"/>
          <w:szCs w:val="24"/>
        </w:rPr>
      </w:pPr>
      <w:r w:rsidRPr="007A704A">
        <w:rPr>
          <w:rFonts w:ascii="Tahoma" w:hAnsi="Tahoma" w:cs="Tahoma"/>
          <w:bCs w:val="0"/>
          <w:sz w:val="24"/>
          <w:szCs w:val="24"/>
        </w:rPr>
        <w:t>ANA LUCÍA CAICEDO CALDERÓN</w:t>
      </w:r>
    </w:p>
    <w:p w14:paraId="173DC9D3" w14:textId="77777777" w:rsidR="00487AEF" w:rsidRDefault="00487AEF" w:rsidP="00487AEF">
      <w:pPr>
        <w:jc w:val="center"/>
        <w:rPr>
          <w:rFonts w:ascii="Tahoma" w:hAnsi="Tahoma" w:cs="Tahoma"/>
        </w:rPr>
      </w:pPr>
      <w:r w:rsidRPr="007A704A">
        <w:rPr>
          <w:rFonts w:ascii="Tahoma" w:hAnsi="Tahoma" w:cs="Tahoma"/>
        </w:rPr>
        <w:t>Magistrada Ponente</w:t>
      </w:r>
    </w:p>
    <w:p w14:paraId="1DB5AB30" w14:textId="77777777" w:rsidR="00B71679" w:rsidRDefault="00B71679" w:rsidP="00487AEF">
      <w:pPr>
        <w:jc w:val="center"/>
        <w:rPr>
          <w:rFonts w:ascii="Tahoma" w:hAnsi="Tahoma" w:cs="Tahoma"/>
        </w:rPr>
      </w:pPr>
    </w:p>
    <w:p w14:paraId="5D75088F" w14:textId="77777777" w:rsidR="00B71679" w:rsidRDefault="00B71679" w:rsidP="00487AEF">
      <w:pPr>
        <w:jc w:val="center"/>
        <w:rPr>
          <w:rFonts w:ascii="Tahoma" w:hAnsi="Tahoma" w:cs="Tahoma"/>
        </w:rPr>
      </w:pPr>
    </w:p>
    <w:p w14:paraId="3F75FEDA" w14:textId="77777777" w:rsidR="00B71679" w:rsidRDefault="00B71679" w:rsidP="00F24225">
      <w:pPr>
        <w:rPr>
          <w:rFonts w:ascii="Tahoma" w:hAnsi="Tahoma" w:cs="Tahoma"/>
        </w:rPr>
      </w:pPr>
    </w:p>
    <w:p w14:paraId="4CDA3E23" w14:textId="77777777" w:rsidR="00B71679" w:rsidRPr="00B71679" w:rsidRDefault="00B71679" w:rsidP="00B71679">
      <w:pPr>
        <w:spacing w:line="360" w:lineRule="auto"/>
        <w:jc w:val="center"/>
        <w:rPr>
          <w:rFonts w:ascii="Arial" w:hAnsi="Arial" w:cs="Arial"/>
          <w:b/>
          <w:i/>
          <w:sz w:val="22"/>
          <w:szCs w:val="22"/>
        </w:rPr>
      </w:pPr>
      <w:r w:rsidRPr="00B71679">
        <w:rPr>
          <w:rFonts w:ascii="Arial" w:hAnsi="Arial" w:cs="Arial"/>
          <w:i/>
          <w:sz w:val="22"/>
          <w:szCs w:val="22"/>
        </w:rPr>
        <w:t xml:space="preserve">MAGISTRADO: </w:t>
      </w:r>
      <w:r w:rsidRPr="00B71679">
        <w:rPr>
          <w:rFonts w:ascii="Arial" w:hAnsi="Arial" w:cs="Arial"/>
          <w:i/>
          <w:sz w:val="22"/>
          <w:szCs w:val="22"/>
        </w:rPr>
        <w:tab/>
      </w:r>
      <w:r w:rsidRPr="00B71679">
        <w:rPr>
          <w:rFonts w:ascii="Arial" w:hAnsi="Arial" w:cs="Arial"/>
          <w:b/>
          <w:i/>
          <w:sz w:val="22"/>
          <w:szCs w:val="22"/>
        </w:rPr>
        <w:t>JULIO CÉSAR SALAZAR MUÑOZ</w:t>
      </w:r>
    </w:p>
    <w:p w14:paraId="6B8EA43F" w14:textId="77777777" w:rsidR="00B71679" w:rsidRPr="00B71679" w:rsidRDefault="00B71679" w:rsidP="00B71679">
      <w:pPr>
        <w:spacing w:line="360" w:lineRule="auto"/>
        <w:jc w:val="both"/>
        <w:rPr>
          <w:rFonts w:ascii="Arial" w:hAnsi="Arial" w:cs="Arial"/>
          <w:b/>
          <w:i/>
          <w:sz w:val="22"/>
          <w:szCs w:val="22"/>
        </w:rPr>
      </w:pPr>
      <w:r w:rsidRPr="00B71679">
        <w:rPr>
          <w:rFonts w:ascii="Arial" w:hAnsi="Arial" w:cs="Arial"/>
          <w:b/>
          <w:i/>
          <w:sz w:val="22"/>
          <w:szCs w:val="22"/>
        </w:rPr>
        <w:tab/>
      </w:r>
      <w:r w:rsidRPr="00B71679">
        <w:rPr>
          <w:rFonts w:ascii="Arial" w:hAnsi="Arial" w:cs="Arial"/>
          <w:b/>
          <w:i/>
          <w:sz w:val="22"/>
          <w:szCs w:val="22"/>
        </w:rPr>
        <w:tab/>
      </w:r>
    </w:p>
    <w:p w14:paraId="5A3FF56E" w14:textId="77777777" w:rsidR="00B71679" w:rsidRPr="00B71679" w:rsidRDefault="00B71679" w:rsidP="00B71679">
      <w:pPr>
        <w:spacing w:line="360" w:lineRule="auto"/>
        <w:jc w:val="center"/>
        <w:rPr>
          <w:rFonts w:ascii="Arial" w:hAnsi="Arial" w:cs="Arial"/>
          <w:i/>
          <w:sz w:val="22"/>
          <w:szCs w:val="22"/>
        </w:rPr>
      </w:pPr>
      <w:r w:rsidRPr="00B71679">
        <w:rPr>
          <w:rFonts w:ascii="Arial" w:hAnsi="Arial" w:cs="Arial"/>
          <w:i/>
          <w:sz w:val="22"/>
          <w:szCs w:val="22"/>
        </w:rPr>
        <w:t>Pereira, ocho [08] de abril de dos mil dieciséis [2016].</w:t>
      </w:r>
    </w:p>
    <w:p w14:paraId="62B75034" w14:textId="77777777" w:rsidR="00B71679" w:rsidRPr="00B71679" w:rsidRDefault="00B71679" w:rsidP="00B71679">
      <w:pPr>
        <w:spacing w:line="360" w:lineRule="auto"/>
        <w:jc w:val="center"/>
        <w:rPr>
          <w:rFonts w:ascii="Arial" w:hAnsi="Arial" w:cs="Arial"/>
          <w:b/>
          <w:i/>
          <w:sz w:val="22"/>
          <w:szCs w:val="22"/>
        </w:rPr>
      </w:pPr>
    </w:p>
    <w:p w14:paraId="2D8CD387" w14:textId="77777777" w:rsidR="00B71679" w:rsidRPr="00B71679" w:rsidRDefault="00B71679" w:rsidP="00B71679">
      <w:pPr>
        <w:spacing w:line="360" w:lineRule="auto"/>
        <w:jc w:val="center"/>
        <w:rPr>
          <w:rFonts w:ascii="Arial" w:hAnsi="Arial" w:cs="Arial"/>
          <w:b/>
          <w:i/>
          <w:sz w:val="22"/>
          <w:szCs w:val="22"/>
        </w:rPr>
      </w:pPr>
      <w:r w:rsidRPr="00B71679">
        <w:rPr>
          <w:rFonts w:ascii="Arial" w:hAnsi="Arial" w:cs="Arial"/>
          <w:b/>
          <w:i/>
          <w:sz w:val="22"/>
          <w:szCs w:val="22"/>
        </w:rPr>
        <w:t>ACLARACIÓN DE VOTO:</w:t>
      </w:r>
    </w:p>
    <w:p w14:paraId="0E9BA675" w14:textId="77777777" w:rsidR="00B71679" w:rsidRPr="00B71679" w:rsidRDefault="00B71679" w:rsidP="00B71679">
      <w:pPr>
        <w:spacing w:line="360" w:lineRule="auto"/>
        <w:jc w:val="both"/>
        <w:rPr>
          <w:rFonts w:ascii="Arial" w:hAnsi="Arial" w:cs="Arial"/>
          <w:iCs/>
          <w:sz w:val="22"/>
          <w:szCs w:val="22"/>
        </w:rPr>
      </w:pPr>
    </w:p>
    <w:p w14:paraId="044D83C4" w14:textId="77777777" w:rsidR="00B71679" w:rsidRPr="00B71679" w:rsidRDefault="00B71679" w:rsidP="00B71679">
      <w:pPr>
        <w:spacing w:line="360" w:lineRule="auto"/>
        <w:jc w:val="both"/>
        <w:rPr>
          <w:rFonts w:ascii="Arial" w:hAnsi="Arial" w:cs="Arial"/>
          <w:iCs/>
          <w:lang w:val="es-ES_tradnl"/>
        </w:rPr>
      </w:pPr>
      <w:r w:rsidRPr="00B71679">
        <w:rPr>
          <w:rFonts w:ascii="Arial" w:hAnsi="Arial" w:cs="Arial"/>
          <w:iCs/>
          <w:lang w:val="es-ES_tradnl"/>
        </w:rPr>
        <w:t>De tiempo atrás ha sostenido que la normatividad aplicable para regular las pensiones de invalidez y sobrevivientes es aquella que se encontraba vigente al momento en el que se produjo la pérdida de la capacidad laboral o el deceso del afiliado, sin que hubiere lugar a estudiar los requisitos establecidos en otros cuerpos normativos en aplicación del principio de la condición más beneficiosa; sin embargo, la Sala de Casación Laboral reiteradamente ha considerado que hay lugar a la aplicación del mismo con ocasión del principio de progresividad y en razón a que no existe un régimen de transición en materia de pensiones de sobrevivientes e invalidez, pero que en todo caso esa aplicación debe hacerse respecto de las normas previstas en el régimen inmediatamente anterior al que gobernaba la situación originalmente, bajo el entendido que no es posible habilitar a quien no cumple con los requisitos de la normatividad que le era aplicable, para pasar a hacer una búsqueda histórica de la legislación que se ajuste a su situación.</w:t>
      </w:r>
    </w:p>
    <w:p w14:paraId="2CC49E97" w14:textId="77777777" w:rsidR="00B71679" w:rsidRPr="00B71679" w:rsidRDefault="00B71679" w:rsidP="00B71679">
      <w:pPr>
        <w:spacing w:line="360" w:lineRule="auto"/>
        <w:jc w:val="both"/>
        <w:rPr>
          <w:rFonts w:ascii="Arial" w:hAnsi="Arial" w:cs="Arial"/>
          <w:iCs/>
          <w:lang w:val="es-ES_tradnl"/>
        </w:rPr>
      </w:pPr>
    </w:p>
    <w:p w14:paraId="0E04DD07" w14:textId="77777777" w:rsidR="00B71679" w:rsidRPr="00B71679" w:rsidRDefault="00B71679" w:rsidP="00B71679">
      <w:pPr>
        <w:spacing w:line="360" w:lineRule="auto"/>
        <w:jc w:val="both"/>
        <w:rPr>
          <w:rFonts w:ascii="Arial" w:hAnsi="Arial" w:cs="Arial"/>
          <w:iCs/>
          <w:lang w:val="es-ES_tradnl"/>
        </w:rPr>
      </w:pPr>
      <w:r w:rsidRPr="00B71679">
        <w:rPr>
          <w:rFonts w:ascii="Arial" w:hAnsi="Arial" w:cs="Arial"/>
          <w:iCs/>
          <w:lang w:val="es-ES_tradnl"/>
        </w:rPr>
        <w:t xml:space="preserve">En este sentido en sentencias 29.042 de 26 de septiembre de 2006, </w:t>
      </w:r>
      <w:proofErr w:type="spellStart"/>
      <w:r w:rsidRPr="00B71679">
        <w:rPr>
          <w:rFonts w:ascii="Arial" w:hAnsi="Arial" w:cs="Arial"/>
          <w:iCs/>
          <w:lang w:val="es-ES_tradnl"/>
        </w:rPr>
        <w:t>SL</w:t>
      </w:r>
      <w:proofErr w:type="spellEnd"/>
      <w:r w:rsidRPr="00B71679">
        <w:rPr>
          <w:rFonts w:ascii="Arial" w:hAnsi="Arial" w:cs="Arial"/>
          <w:iCs/>
          <w:lang w:val="es-ES_tradnl"/>
        </w:rPr>
        <w:t xml:space="preserve">-7205 con radicación Nº 47.708 de 2015 y </w:t>
      </w:r>
      <w:proofErr w:type="spellStart"/>
      <w:r w:rsidRPr="00B71679">
        <w:rPr>
          <w:rFonts w:ascii="Arial" w:hAnsi="Arial" w:cs="Arial"/>
          <w:iCs/>
          <w:lang w:val="es-ES_tradnl"/>
        </w:rPr>
        <w:t>SL</w:t>
      </w:r>
      <w:proofErr w:type="spellEnd"/>
      <w:r w:rsidRPr="00B71679">
        <w:rPr>
          <w:rFonts w:ascii="Arial" w:hAnsi="Arial" w:cs="Arial"/>
          <w:iCs/>
          <w:lang w:val="es-ES_tradnl"/>
        </w:rPr>
        <w:t xml:space="preserve">-6371 con radicación Nº 50.251 de 2015, en la última de las cuales recordando la línea trazada en la </w:t>
      </w:r>
      <w:proofErr w:type="spellStart"/>
      <w:r w:rsidRPr="00B71679">
        <w:rPr>
          <w:rFonts w:ascii="Arial" w:hAnsi="Arial" w:cs="Arial"/>
          <w:iCs/>
          <w:lang w:val="es-ES_tradnl"/>
        </w:rPr>
        <w:t>SL</w:t>
      </w:r>
      <w:proofErr w:type="spellEnd"/>
      <w:r w:rsidRPr="00B71679">
        <w:rPr>
          <w:rFonts w:ascii="Arial" w:hAnsi="Arial" w:cs="Arial"/>
          <w:iCs/>
          <w:lang w:val="es-ES_tradnl"/>
        </w:rPr>
        <w:t xml:space="preserve">-789 de 2013 se dijo: </w:t>
      </w:r>
      <w:r w:rsidRPr="00B71679">
        <w:rPr>
          <w:rFonts w:ascii="Arial" w:hAnsi="Arial" w:cs="Arial"/>
          <w:i/>
          <w:iCs/>
          <w:lang w:val="es-ES_tradnl"/>
        </w:rPr>
        <w:t xml:space="preserve">“Ahora bien, en tratándose de la pensión de sobrevivientes por la muerte de un afiliado al régimen de prima media, cuando ella acontezca en vigencia de la </w:t>
      </w:r>
      <w:proofErr w:type="spellStart"/>
      <w:r w:rsidRPr="00B71679">
        <w:rPr>
          <w:rFonts w:ascii="Arial" w:hAnsi="Arial" w:cs="Arial"/>
          <w:i/>
          <w:iCs/>
          <w:lang w:val="es-ES_tradnl"/>
        </w:rPr>
        <w:t>L.100</w:t>
      </w:r>
      <w:proofErr w:type="spellEnd"/>
      <w:r w:rsidRPr="00B71679">
        <w:rPr>
          <w:rFonts w:ascii="Arial" w:hAnsi="Arial" w:cs="Arial"/>
          <w:i/>
          <w:iCs/>
          <w:lang w:val="es-ES_tradnl"/>
        </w:rPr>
        <w:t xml:space="preserve">/1993, la aplicación del principio de la condición más beneficiosa busca resguardar las prerrogativas de los derechohabientes, otorgándoles la prestación por muerte, aunque el causante no hubiera cotizado 26 semanas al momento del deceso (afiliado cotizante) o en el año inmediatamente anterior (afiliado no cotizante), exigidas por el artículo 46 de dicha ley -en su versión original-. Pero para hacer efectivo tal principio, el causante deberá haber reunido –al momento de entrar en vigencia la </w:t>
      </w:r>
      <w:proofErr w:type="spellStart"/>
      <w:r w:rsidRPr="00B71679">
        <w:rPr>
          <w:rFonts w:ascii="Arial" w:hAnsi="Arial" w:cs="Arial"/>
          <w:i/>
          <w:iCs/>
          <w:lang w:val="es-ES_tradnl"/>
        </w:rPr>
        <w:t>L.100</w:t>
      </w:r>
      <w:proofErr w:type="spellEnd"/>
      <w:r w:rsidRPr="00B71679">
        <w:rPr>
          <w:rFonts w:ascii="Arial" w:hAnsi="Arial" w:cs="Arial"/>
          <w:i/>
          <w:iCs/>
          <w:lang w:val="es-ES_tradnl"/>
        </w:rPr>
        <w:t xml:space="preserve">/1993-, las condiciones (semanas cotizadas) exigidas por los artículos 6° y 25° del </w:t>
      </w:r>
      <w:proofErr w:type="spellStart"/>
      <w:r w:rsidRPr="00B71679">
        <w:rPr>
          <w:rFonts w:ascii="Arial" w:hAnsi="Arial" w:cs="Arial"/>
          <w:i/>
          <w:iCs/>
          <w:lang w:val="es-ES_tradnl"/>
        </w:rPr>
        <w:t>A.049</w:t>
      </w:r>
      <w:proofErr w:type="spellEnd"/>
      <w:r w:rsidRPr="00B71679">
        <w:rPr>
          <w:rFonts w:ascii="Arial" w:hAnsi="Arial" w:cs="Arial"/>
          <w:i/>
          <w:iCs/>
          <w:lang w:val="es-ES_tradnl"/>
        </w:rPr>
        <w:t xml:space="preserve">/1990, aprobado por el </w:t>
      </w:r>
      <w:proofErr w:type="spellStart"/>
      <w:r w:rsidRPr="00B71679">
        <w:rPr>
          <w:rFonts w:ascii="Arial" w:hAnsi="Arial" w:cs="Arial"/>
          <w:i/>
          <w:iCs/>
          <w:lang w:val="es-ES_tradnl"/>
        </w:rPr>
        <w:t>D.758</w:t>
      </w:r>
      <w:proofErr w:type="spellEnd"/>
      <w:r w:rsidRPr="00B71679">
        <w:rPr>
          <w:rFonts w:ascii="Arial" w:hAnsi="Arial" w:cs="Arial"/>
          <w:i/>
          <w:iCs/>
          <w:lang w:val="es-ES_tradnl"/>
        </w:rPr>
        <w:t xml:space="preserve"> del mismo año, o sea, las requeridas por el régimen inmediatamente anterior a la citada ley. En concreto, la Sala ha establecido que, para considerar viable la aplicación del principio de la condición más beneficiosa en el evento de una pensión de sobrevivientes, el causante debió haber reunido una de las siguientes condiciones: 1) Al momento de entrar en vigencia la </w:t>
      </w:r>
      <w:proofErr w:type="spellStart"/>
      <w:r w:rsidRPr="00B71679">
        <w:rPr>
          <w:rFonts w:ascii="Arial" w:hAnsi="Arial" w:cs="Arial"/>
          <w:i/>
          <w:iCs/>
          <w:lang w:val="es-ES_tradnl"/>
        </w:rPr>
        <w:t>L.100</w:t>
      </w:r>
      <w:proofErr w:type="spellEnd"/>
      <w:r w:rsidRPr="00B71679">
        <w:rPr>
          <w:rFonts w:ascii="Arial" w:hAnsi="Arial" w:cs="Arial"/>
          <w:i/>
          <w:iCs/>
          <w:lang w:val="es-ES_tradnl"/>
        </w:rPr>
        <w:t>/1993, haber cotizado al menos 300 semanas en cualquier tiempo; o 2) Haber cotizado al menos 150 semanas dentro de los seis años anteriores a la entrada en vigencia de la citada ley (es decir, entre el 1º de abril de 1988 y la misma fecha de 1994) y otro tanto dentro de los seis años posteriores a tal vigencia (o sea, entre el 1º de abril de 1994 y el 1º de abril de 2000).”.</w:t>
      </w:r>
    </w:p>
    <w:p w14:paraId="6BA004AC" w14:textId="77777777" w:rsidR="00B71679" w:rsidRPr="00B71679" w:rsidRDefault="00B71679" w:rsidP="00B71679">
      <w:pPr>
        <w:spacing w:line="360" w:lineRule="auto"/>
        <w:jc w:val="both"/>
        <w:rPr>
          <w:rFonts w:ascii="Arial" w:hAnsi="Arial" w:cs="Arial"/>
          <w:iCs/>
          <w:lang w:val="es-ES_tradnl"/>
        </w:rPr>
      </w:pPr>
    </w:p>
    <w:p w14:paraId="74E01DFC" w14:textId="77777777" w:rsidR="00B71679" w:rsidRPr="00B71679" w:rsidRDefault="00B71679" w:rsidP="00B71679">
      <w:pPr>
        <w:spacing w:line="360" w:lineRule="auto"/>
        <w:jc w:val="both"/>
        <w:rPr>
          <w:rFonts w:ascii="Arial" w:hAnsi="Arial" w:cs="Arial"/>
          <w:iCs/>
        </w:rPr>
      </w:pPr>
      <w:r w:rsidRPr="00B71679">
        <w:rPr>
          <w:rFonts w:ascii="Arial" w:hAnsi="Arial" w:cs="Arial"/>
          <w:iCs/>
          <w:lang w:val="es-ES_tradnl"/>
        </w:rPr>
        <w:t xml:space="preserve">De allí que siendo permanente y sin discusión la postura del máximo órgano de la jurisdicción laboral ordinaria y teniendo en cuenta incluso que </w:t>
      </w:r>
      <w:proofErr w:type="spellStart"/>
      <w:r w:rsidRPr="00B71679">
        <w:rPr>
          <w:rFonts w:ascii="Arial" w:hAnsi="Arial" w:cs="Arial"/>
          <w:iCs/>
          <w:lang w:val="es-ES_tradnl"/>
        </w:rPr>
        <w:t>Colpensiones</w:t>
      </w:r>
      <w:proofErr w:type="spellEnd"/>
      <w:r w:rsidRPr="00B71679">
        <w:rPr>
          <w:rFonts w:ascii="Arial" w:hAnsi="Arial" w:cs="Arial"/>
          <w:iCs/>
          <w:lang w:val="es-ES_tradnl"/>
        </w:rPr>
        <w:t xml:space="preserve"> la ha acogido, tal como da cuenta la circular 1 de 2012, </w:t>
      </w:r>
      <w:r w:rsidRPr="00B71679">
        <w:rPr>
          <w:rFonts w:ascii="Arial" w:hAnsi="Arial" w:cs="Arial"/>
          <w:iCs/>
        </w:rPr>
        <w:t xml:space="preserve"> es que a partir de la Sentencia de 17 de </w:t>
      </w:r>
      <w:r w:rsidRPr="00B71679">
        <w:rPr>
          <w:rFonts w:ascii="Arial" w:hAnsi="Arial" w:cs="Arial"/>
          <w:iCs/>
          <w:lang w:val="es-CO"/>
        </w:rPr>
        <w:t xml:space="preserve">febrero </w:t>
      </w:r>
      <w:r w:rsidRPr="00B71679">
        <w:rPr>
          <w:rFonts w:ascii="Arial" w:hAnsi="Arial" w:cs="Arial"/>
          <w:iCs/>
        </w:rPr>
        <w:t>de 2016, Radicación Nro. 66001-31-05-003-2014-00391-01, proferida en el Proceso  Ordinario Laboral en el que fue demandante la señora Edelmira Pabón Cortés y Demandada</w:t>
      </w:r>
      <w:r w:rsidRPr="00B71679">
        <w:rPr>
          <w:rFonts w:ascii="Arial" w:hAnsi="Arial" w:cs="Arial"/>
          <w:iCs/>
        </w:rPr>
        <w:tab/>
      </w:r>
      <w:proofErr w:type="spellStart"/>
      <w:r w:rsidRPr="00B71679">
        <w:rPr>
          <w:rFonts w:ascii="Arial" w:hAnsi="Arial" w:cs="Arial"/>
          <w:iCs/>
        </w:rPr>
        <w:t>Colpensiones</w:t>
      </w:r>
      <w:proofErr w:type="spellEnd"/>
      <w:r w:rsidRPr="00B71679">
        <w:rPr>
          <w:rFonts w:ascii="Arial" w:hAnsi="Arial" w:cs="Arial"/>
          <w:iCs/>
        </w:rPr>
        <w:t>, en virtud de la doctrina probable que ella implica, me he adherido a tal posición.</w:t>
      </w:r>
    </w:p>
    <w:p w14:paraId="54EB5524" w14:textId="77777777" w:rsidR="00B71679" w:rsidRPr="00B71679" w:rsidRDefault="00B71679" w:rsidP="00B71679">
      <w:pPr>
        <w:spacing w:line="360" w:lineRule="auto"/>
        <w:jc w:val="both"/>
        <w:rPr>
          <w:rFonts w:ascii="Arial" w:hAnsi="Arial" w:cs="Arial"/>
          <w:iCs/>
          <w:sz w:val="22"/>
          <w:szCs w:val="22"/>
        </w:rPr>
      </w:pPr>
    </w:p>
    <w:p w14:paraId="632E2503" w14:textId="77777777" w:rsidR="00B71679" w:rsidRPr="00B71679" w:rsidRDefault="00B71679" w:rsidP="00B71679">
      <w:pPr>
        <w:spacing w:line="360" w:lineRule="auto"/>
        <w:jc w:val="both"/>
        <w:rPr>
          <w:rFonts w:ascii="Arial" w:hAnsi="Arial" w:cs="Arial"/>
          <w:iCs/>
        </w:rPr>
      </w:pPr>
      <w:r w:rsidRPr="00B71679">
        <w:rPr>
          <w:rFonts w:ascii="Arial" w:hAnsi="Arial" w:cs="Arial"/>
          <w:iCs/>
        </w:rPr>
        <w:t>Es por lo anterior, que en el presente asunto, cumplidos como se encuentran los requisitos establecidos por la Sala de Casación Laboral de la Corte Suprema de Justicia, acompaño la decisión.</w:t>
      </w:r>
    </w:p>
    <w:p w14:paraId="7C4EC33F" w14:textId="77777777" w:rsidR="00B71679" w:rsidRPr="00B71679" w:rsidRDefault="00B71679" w:rsidP="00B71679">
      <w:pPr>
        <w:spacing w:line="360" w:lineRule="auto"/>
        <w:jc w:val="both"/>
        <w:rPr>
          <w:rFonts w:ascii="Arial" w:hAnsi="Arial" w:cs="Arial"/>
          <w:iCs/>
          <w:sz w:val="22"/>
          <w:szCs w:val="22"/>
        </w:rPr>
      </w:pPr>
    </w:p>
    <w:p w14:paraId="74A53BF3" w14:textId="77777777" w:rsidR="00B71679" w:rsidRPr="00B71679" w:rsidRDefault="00B71679" w:rsidP="00B71679">
      <w:pPr>
        <w:spacing w:line="360" w:lineRule="auto"/>
        <w:jc w:val="both"/>
        <w:rPr>
          <w:rFonts w:ascii="Arial" w:hAnsi="Arial" w:cs="Arial"/>
          <w:iCs/>
        </w:rPr>
      </w:pPr>
      <w:r w:rsidRPr="00B71679">
        <w:rPr>
          <w:rFonts w:ascii="Arial" w:hAnsi="Arial" w:cs="Arial"/>
          <w:iCs/>
        </w:rPr>
        <w:t xml:space="preserve">En estos términos dejo aclarado mi voto. </w:t>
      </w:r>
    </w:p>
    <w:p w14:paraId="01F9C10F" w14:textId="77777777" w:rsidR="00B71679" w:rsidRPr="00B71679" w:rsidRDefault="00B71679" w:rsidP="00B71679">
      <w:pPr>
        <w:spacing w:line="360" w:lineRule="auto"/>
        <w:jc w:val="both"/>
        <w:rPr>
          <w:rFonts w:ascii="Arial" w:hAnsi="Arial" w:cs="Arial"/>
          <w:iCs/>
        </w:rPr>
      </w:pPr>
    </w:p>
    <w:p w14:paraId="656FFF97" w14:textId="77777777" w:rsidR="00B71679" w:rsidRPr="00B71679" w:rsidRDefault="00B71679" w:rsidP="00B71679">
      <w:pPr>
        <w:spacing w:line="360" w:lineRule="auto"/>
        <w:jc w:val="both"/>
        <w:rPr>
          <w:rFonts w:ascii="Arial" w:hAnsi="Arial" w:cs="Arial"/>
          <w:iCs/>
        </w:rPr>
      </w:pPr>
    </w:p>
    <w:p w14:paraId="14AD24F8" w14:textId="77777777" w:rsidR="00B71679" w:rsidRPr="00B71679" w:rsidRDefault="00B71679" w:rsidP="00B71679">
      <w:pPr>
        <w:spacing w:line="360" w:lineRule="auto"/>
        <w:jc w:val="both"/>
        <w:rPr>
          <w:rFonts w:ascii="Arial" w:hAnsi="Arial" w:cs="Arial"/>
          <w:iCs/>
        </w:rPr>
      </w:pPr>
    </w:p>
    <w:p w14:paraId="516FF1CB" w14:textId="77777777" w:rsidR="00B71679" w:rsidRPr="00B71679" w:rsidRDefault="00B71679" w:rsidP="00B71679">
      <w:pPr>
        <w:keepNext/>
        <w:spacing w:line="360" w:lineRule="auto"/>
        <w:jc w:val="center"/>
        <w:outlineLvl w:val="3"/>
        <w:rPr>
          <w:rFonts w:ascii="Arial" w:hAnsi="Arial" w:cs="Arial"/>
          <w:b/>
          <w:i/>
        </w:rPr>
      </w:pPr>
      <w:r w:rsidRPr="00B71679">
        <w:rPr>
          <w:rFonts w:ascii="Arial" w:hAnsi="Arial" w:cs="Arial"/>
          <w:b/>
          <w:i/>
        </w:rPr>
        <w:t>JULIO CÉSAR SALAZAR MUÑOZ</w:t>
      </w:r>
    </w:p>
    <w:p w14:paraId="4E9BDF53" w14:textId="77777777" w:rsidR="00B71679" w:rsidRPr="00B71679" w:rsidRDefault="00B71679" w:rsidP="00B71679">
      <w:pPr>
        <w:jc w:val="center"/>
        <w:rPr>
          <w:rFonts w:ascii="Arial" w:hAnsi="Arial" w:cs="Arial"/>
        </w:rPr>
      </w:pPr>
      <w:r w:rsidRPr="00B71679">
        <w:rPr>
          <w:rFonts w:ascii="Arial" w:hAnsi="Arial" w:cs="Arial"/>
        </w:rPr>
        <w:t xml:space="preserve">Magistrado </w:t>
      </w:r>
    </w:p>
    <w:p w14:paraId="2D69167D" w14:textId="77777777" w:rsidR="00B71679" w:rsidRPr="007A704A" w:rsidRDefault="00B71679" w:rsidP="00487AEF">
      <w:pPr>
        <w:jc w:val="center"/>
        <w:rPr>
          <w:rFonts w:ascii="Tahoma" w:hAnsi="Tahoma" w:cs="Tahoma"/>
        </w:rPr>
      </w:pPr>
    </w:p>
    <w:sectPr w:rsidR="00B71679" w:rsidRPr="007A704A"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9994" w14:textId="77777777" w:rsidR="00AA2A3C" w:rsidRDefault="00AA2A3C">
      <w:r>
        <w:separator/>
      </w:r>
    </w:p>
  </w:endnote>
  <w:endnote w:type="continuationSeparator" w:id="0">
    <w:p w14:paraId="0891C86D" w14:textId="77777777" w:rsidR="00AA2A3C" w:rsidRDefault="00AA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3144" w14:textId="77777777" w:rsidR="00AA2A3C" w:rsidRDefault="00AA2A3C">
      <w:r>
        <w:separator/>
      </w:r>
    </w:p>
  </w:footnote>
  <w:footnote w:type="continuationSeparator" w:id="0">
    <w:p w14:paraId="141DE264" w14:textId="77777777" w:rsidR="00AA2A3C" w:rsidRDefault="00AA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940DCD" w:rsidRDefault="00940DC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940DCD" w:rsidRDefault="00940D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940DCD" w:rsidRPr="005F30DD" w:rsidRDefault="00940DCD">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66769A">
      <w:rPr>
        <w:rStyle w:val="Nmerodepgina"/>
        <w:noProof/>
      </w:rPr>
      <w:t>9</w:t>
    </w:r>
    <w:r w:rsidRPr="005F30DD">
      <w:rPr>
        <w:rStyle w:val="Nmerodepgina"/>
      </w:rPr>
      <w:fldChar w:fldCharType="end"/>
    </w:r>
  </w:p>
  <w:p w14:paraId="4D583AF5" w14:textId="67D8B4E8" w:rsidR="00940DCD" w:rsidRPr="005F30DD" w:rsidRDefault="00940DCD"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66001-31-05-004</w:t>
    </w:r>
    <w:r w:rsidRPr="005F30DD">
      <w:rPr>
        <w:rFonts w:ascii="Tahoma" w:hAnsi="Tahoma" w:cs="Tahoma"/>
        <w:b w:val="0"/>
        <w:sz w:val="14"/>
        <w:szCs w:val="14"/>
      </w:rPr>
      <w:t>-201</w:t>
    </w:r>
    <w:r>
      <w:rPr>
        <w:rFonts w:ascii="Tahoma" w:hAnsi="Tahoma" w:cs="Tahoma"/>
        <w:b w:val="0"/>
        <w:sz w:val="14"/>
        <w:szCs w:val="14"/>
      </w:rPr>
      <w:t>4-00355</w:t>
    </w:r>
    <w:r w:rsidRPr="005F30DD">
      <w:rPr>
        <w:rFonts w:ascii="Tahoma" w:hAnsi="Tahoma" w:cs="Tahoma"/>
        <w:b w:val="0"/>
        <w:sz w:val="14"/>
        <w:szCs w:val="14"/>
      </w:rPr>
      <w:t>-01</w:t>
    </w:r>
  </w:p>
  <w:p w14:paraId="4CDAA10B" w14:textId="61F48D3D" w:rsidR="00940DCD" w:rsidRPr="005F30DD" w:rsidRDefault="00940DCD"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Dem</w:t>
    </w:r>
    <w:r>
      <w:rPr>
        <w:rFonts w:ascii="Tahoma" w:hAnsi="Tahoma" w:cs="Tahoma"/>
        <w:b w:val="0"/>
        <w:sz w:val="14"/>
        <w:szCs w:val="14"/>
      </w:rPr>
      <w:t xml:space="preserve">andante: Martha Cecilia Sierra de Villa </w:t>
    </w:r>
  </w:p>
  <w:p w14:paraId="7A610D3E" w14:textId="73D1884C" w:rsidR="00940DCD" w:rsidRPr="005F30DD" w:rsidRDefault="00940DCD"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940DCD" w:rsidRPr="005F30DD" w:rsidRDefault="00940D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8"/>
  </w:num>
  <w:num w:numId="4">
    <w:abstractNumId w:val="0"/>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300"/>
    <w:rsid w:val="000014C1"/>
    <w:rsid w:val="00004B85"/>
    <w:rsid w:val="00007D41"/>
    <w:rsid w:val="00012DB5"/>
    <w:rsid w:val="00013C46"/>
    <w:rsid w:val="000203F6"/>
    <w:rsid w:val="00020603"/>
    <w:rsid w:val="00024982"/>
    <w:rsid w:val="00026F7F"/>
    <w:rsid w:val="00031A14"/>
    <w:rsid w:val="00034407"/>
    <w:rsid w:val="0003464F"/>
    <w:rsid w:val="00036C6C"/>
    <w:rsid w:val="00040A54"/>
    <w:rsid w:val="000414D9"/>
    <w:rsid w:val="00044F60"/>
    <w:rsid w:val="000509AC"/>
    <w:rsid w:val="000571D6"/>
    <w:rsid w:val="00060000"/>
    <w:rsid w:val="00060BA9"/>
    <w:rsid w:val="00063238"/>
    <w:rsid w:val="000633AC"/>
    <w:rsid w:val="00066A9C"/>
    <w:rsid w:val="00067A93"/>
    <w:rsid w:val="00073D25"/>
    <w:rsid w:val="000809AA"/>
    <w:rsid w:val="00080D19"/>
    <w:rsid w:val="00083031"/>
    <w:rsid w:val="00084711"/>
    <w:rsid w:val="00086572"/>
    <w:rsid w:val="00090AD2"/>
    <w:rsid w:val="000921F9"/>
    <w:rsid w:val="00092DE0"/>
    <w:rsid w:val="00094F30"/>
    <w:rsid w:val="00095F3A"/>
    <w:rsid w:val="000973FA"/>
    <w:rsid w:val="000A0AFA"/>
    <w:rsid w:val="000A174A"/>
    <w:rsid w:val="000B0AAB"/>
    <w:rsid w:val="000B5F35"/>
    <w:rsid w:val="000B6A20"/>
    <w:rsid w:val="000B6A24"/>
    <w:rsid w:val="000B6D69"/>
    <w:rsid w:val="000B72EC"/>
    <w:rsid w:val="000C72D6"/>
    <w:rsid w:val="000D25EC"/>
    <w:rsid w:val="000D54F9"/>
    <w:rsid w:val="000D6285"/>
    <w:rsid w:val="000D6DC3"/>
    <w:rsid w:val="000D7F81"/>
    <w:rsid w:val="000E02D0"/>
    <w:rsid w:val="000E1A83"/>
    <w:rsid w:val="000E33B0"/>
    <w:rsid w:val="000E6166"/>
    <w:rsid w:val="000F0BF3"/>
    <w:rsid w:val="000F3C74"/>
    <w:rsid w:val="000F456C"/>
    <w:rsid w:val="000F54B9"/>
    <w:rsid w:val="000F67F1"/>
    <w:rsid w:val="00100C29"/>
    <w:rsid w:val="00105AB4"/>
    <w:rsid w:val="001073E8"/>
    <w:rsid w:val="0010792F"/>
    <w:rsid w:val="0011099F"/>
    <w:rsid w:val="00111670"/>
    <w:rsid w:val="001124D2"/>
    <w:rsid w:val="00112949"/>
    <w:rsid w:val="00112FDA"/>
    <w:rsid w:val="0012246B"/>
    <w:rsid w:val="00122FC8"/>
    <w:rsid w:val="00123C66"/>
    <w:rsid w:val="0012436C"/>
    <w:rsid w:val="00127CC2"/>
    <w:rsid w:val="0013008E"/>
    <w:rsid w:val="00135300"/>
    <w:rsid w:val="00135805"/>
    <w:rsid w:val="00135BFA"/>
    <w:rsid w:val="001366A4"/>
    <w:rsid w:val="00137DEF"/>
    <w:rsid w:val="001406DC"/>
    <w:rsid w:val="0014139B"/>
    <w:rsid w:val="00143E75"/>
    <w:rsid w:val="0014590F"/>
    <w:rsid w:val="00145A7C"/>
    <w:rsid w:val="001460B1"/>
    <w:rsid w:val="00147837"/>
    <w:rsid w:val="0015194E"/>
    <w:rsid w:val="00152E81"/>
    <w:rsid w:val="00153691"/>
    <w:rsid w:val="0015678E"/>
    <w:rsid w:val="0015714C"/>
    <w:rsid w:val="001630F2"/>
    <w:rsid w:val="00163CAF"/>
    <w:rsid w:val="0017141B"/>
    <w:rsid w:val="0017161D"/>
    <w:rsid w:val="0017311A"/>
    <w:rsid w:val="0017333E"/>
    <w:rsid w:val="00175149"/>
    <w:rsid w:val="001766A0"/>
    <w:rsid w:val="00185933"/>
    <w:rsid w:val="00187141"/>
    <w:rsid w:val="00191E34"/>
    <w:rsid w:val="00193BEA"/>
    <w:rsid w:val="00193C24"/>
    <w:rsid w:val="00194A2A"/>
    <w:rsid w:val="0019546F"/>
    <w:rsid w:val="001A029F"/>
    <w:rsid w:val="001B1969"/>
    <w:rsid w:val="001B6341"/>
    <w:rsid w:val="001B6BB3"/>
    <w:rsid w:val="001B71BE"/>
    <w:rsid w:val="001C4F71"/>
    <w:rsid w:val="001D0F4B"/>
    <w:rsid w:val="001D3F42"/>
    <w:rsid w:val="001D5AFE"/>
    <w:rsid w:val="001D77FA"/>
    <w:rsid w:val="001E2836"/>
    <w:rsid w:val="001E320A"/>
    <w:rsid w:val="001E4329"/>
    <w:rsid w:val="001E4A76"/>
    <w:rsid w:val="001E4F25"/>
    <w:rsid w:val="001E5F13"/>
    <w:rsid w:val="001E662C"/>
    <w:rsid w:val="001E6B56"/>
    <w:rsid w:val="001E6C21"/>
    <w:rsid w:val="001E782B"/>
    <w:rsid w:val="001F10CC"/>
    <w:rsid w:val="001F2136"/>
    <w:rsid w:val="001F2407"/>
    <w:rsid w:val="001F30B1"/>
    <w:rsid w:val="001F3549"/>
    <w:rsid w:val="001F581F"/>
    <w:rsid w:val="002026C2"/>
    <w:rsid w:val="002047F0"/>
    <w:rsid w:val="002108C4"/>
    <w:rsid w:val="00212C99"/>
    <w:rsid w:val="002133DC"/>
    <w:rsid w:val="002150F3"/>
    <w:rsid w:val="00216E05"/>
    <w:rsid w:val="0022667D"/>
    <w:rsid w:val="002349B6"/>
    <w:rsid w:val="00236F5B"/>
    <w:rsid w:val="00237416"/>
    <w:rsid w:val="002405E7"/>
    <w:rsid w:val="002405F7"/>
    <w:rsid w:val="00240606"/>
    <w:rsid w:val="0024296A"/>
    <w:rsid w:val="00246892"/>
    <w:rsid w:val="00246D63"/>
    <w:rsid w:val="00260404"/>
    <w:rsid w:val="002611B0"/>
    <w:rsid w:val="0026255C"/>
    <w:rsid w:val="00263317"/>
    <w:rsid w:val="00264D93"/>
    <w:rsid w:val="00271256"/>
    <w:rsid w:val="00273088"/>
    <w:rsid w:val="00274936"/>
    <w:rsid w:val="002759FE"/>
    <w:rsid w:val="002805A9"/>
    <w:rsid w:val="00284E7D"/>
    <w:rsid w:val="00286870"/>
    <w:rsid w:val="0028780E"/>
    <w:rsid w:val="00293216"/>
    <w:rsid w:val="002A2D5B"/>
    <w:rsid w:val="002A60CF"/>
    <w:rsid w:val="002A7033"/>
    <w:rsid w:val="002A7C4F"/>
    <w:rsid w:val="002B4ADF"/>
    <w:rsid w:val="002B7B53"/>
    <w:rsid w:val="002C2FEC"/>
    <w:rsid w:val="002C5F28"/>
    <w:rsid w:val="002C6B17"/>
    <w:rsid w:val="002C7790"/>
    <w:rsid w:val="002D7EE7"/>
    <w:rsid w:val="002E3D6C"/>
    <w:rsid w:val="002E54DE"/>
    <w:rsid w:val="002E7568"/>
    <w:rsid w:val="002E7E3B"/>
    <w:rsid w:val="002F12F5"/>
    <w:rsid w:val="002F2301"/>
    <w:rsid w:val="002F4505"/>
    <w:rsid w:val="002F58D6"/>
    <w:rsid w:val="002F700C"/>
    <w:rsid w:val="00303C61"/>
    <w:rsid w:val="00304C37"/>
    <w:rsid w:val="00307906"/>
    <w:rsid w:val="00313ECB"/>
    <w:rsid w:val="00317EDD"/>
    <w:rsid w:val="00317F2A"/>
    <w:rsid w:val="003204B5"/>
    <w:rsid w:val="00321053"/>
    <w:rsid w:val="003233B1"/>
    <w:rsid w:val="00324119"/>
    <w:rsid w:val="00332A0C"/>
    <w:rsid w:val="00334230"/>
    <w:rsid w:val="00343375"/>
    <w:rsid w:val="00344A67"/>
    <w:rsid w:val="00346A42"/>
    <w:rsid w:val="00354339"/>
    <w:rsid w:val="003547A0"/>
    <w:rsid w:val="00355A36"/>
    <w:rsid w:val="0036013A"/>
    <w:rsid w:val="00363101"/>
    <w:rsid w:val="00363949"/>
    <w:rsid w:val="00363EB5"/>
    <w:rsid w:val="003646D3"/>
    <w:rsid w:val="00372B34"/>
    <w:rsid w:val="003733B3"/>
    <w:rsid w:val="00373B73"/>
    <w:rsid w:val="003741A0"/>
    <w:rsid w:val="00375007"/>
    <w:rsid w:val="003763B5"/>
    <w:rsid w:val="00376CE9"/>
    <w:rsid w:val="003775DF"/>
    <w:rsid w:val="0038279C"/>
    <w:rsid w:val="00384A70"/>
    <w:rsid w:val="00385863"/>
    <w:rsid w:val="00387181"/>
    <w:rsid w:val="00393E2F"/>
    <w:rsid w:val="00393FCA"/>
    <w:rsid w:val="00396F97"/>
    <w:rsid w:val="003A0E29"/>
    <w:rsid w:val="003A274B"/>
    <w:rsid w:val="003A55A8"/>
    <w:rsid w:val="003A727A"/>
    <w:rsid w:val="003A7AB2"/>
    <w:rsid w:val="003C3C56"/>
    <w:rsid w:val="003C4B0C"/>
    <w:rsid w:val="003C57EB"/>
    <w:rsid w:val="003C628A"/>
    <w:rsid w:val="003E0B20"/>
    <w:rsid w:val="003E1280"/>
    <w:rsid w:val="003F0B87"/>
    <w:rsid w:val="003F4632"/>
    <w:rsid w:val="004036A0"/>
    <w:rsid w:val="00404698"/>
    <w:rsid w:val="00410778"/>
    <w:rsid w:val="00410EB2"/>
    <w:rsid w:val="00422612"/>
    <w:rsid w:val="00422E6E"/>
    <w:rsid w:val="00422E74"/>
    <w:rsid w:val="004230D6"/>
    <w:rsid w:val="0042440F"/>
    <w:rsid w:val="004269C9"/>
    <w:rsid w:val="00426A27"/>
    <w:rsid w:val="00426A89"/>
    <w:rsid w:val="004303BF"/>
    <w:rsid w:val="00431010"/>
    <w:rsid w:val="00434695"/>
    <w:rsid w:val="00434841"/>
    <w:rsid w:val="0043557F"/>
    <w:rsid w:val="004379EC"/>
    <w:rsid w:val="00437AF7"/>
    <w:rsid w:val="00440972"/>
    <w:rsid w:val="00440A70"/>
    <w:rsid w:val="00441417"/>
    <w:rsid w:val="0044398F"/>
    <w:rsid w:val="00443DEE"/>
    <w:rsid w:val="00444DBD"/>
    <w:rsid w:val="004470B8"/>
    <w:rsid w:val="0044717D"/>
    <w:rsid w:val="004471DD"/>
    <w:rsid w:val="00453839"/>
    <w:rsid w:val="00464838"/>
    <w:rsid w:val="00465A32"/>
    <w:rsid w:val="00471C5D"/>
    <w:rsid w:val="00474334"/>
    <w:rsid w:val="004807E4"/>
    <w:rsid w:val="004826C6"/>
    <w:rsid w:val="00483B41"/>
    <w:rsid w:val="00484D64"/>
    <w:rsid w:val="00487AEF"/>
    <w:rsid w:val="004904A5"/>
    <w:rsid w:val="00493CA8"/>
    <w:rsid w:val="00494A43"/>
    <w:rsid w:val="004A0AAF"/>
    <w:rsid w:val="004A4332"/>
    <w:rsid w:val="004A43E7"/>
    <w:rsid w:val="004A4728"/>
    <w:rsid w:val="004A788C"/>
    <w:rsid w:val="004B2204"/>
    <w:rsid w:val="004B2A64"/>
    <w:rsid w:val="004B3514"/>
    <w:rsid w:val="004B6B5B"/>
    <w:rsid w:val="004B741F"/>
    <w:rsid w:val="004C1635"/>
    <w:rsid w:val="004C38F9"/>
    <w:rsid w:val="004C474B"/>
    <w:rsid w:val="004D1F25"/>
    <w:rsid w:val="004D23FB"/>
    <w:rsid w:val="004D32ED"/>
    <w:rsid w:val="004D5406"/>
    <w:rsid w:val="004D6EC4"/>
    <w:rsid w:val="004D7FBE"/>
    <w:rsid w:val="004E1860"/>
    <w:rsid w:val="004E6866"/>
    <w:rsid w:val="004F1A32"/>
    <w:rsid w:val="004F1D2D"/>
    <w:rsid w:val="004F4E62"/>
    <w:rsid w:val="00501D35"/>
    <w:rsid w:val="00504707"/>
    <w:rsid w:val="005050FE"/>
    <w:rsid w:val="00510D66"/>
    <w:rsid w:val="005139F2"/>
    <w:rsid w:val="005144AC"/>
    <w:rsid w:val="0052015E"/>
    <w:rsid w:val="00520BE2"/>
    <w:rsid w:val="00520F2F"/>
    <w:rsid w:val="00523102"/>
    <w:rsid w:val="00523662"/>
    <w:rsid w:val="00524BE9"/>
    <w:rsid w:val="00527639"/>
    <w:rsid w:val="00530D41"/>
    <w:rsid w:val="00531779"/>
    <w:rsid w:val="0053245F"/>
    <w:rsid w:val="0054088D"/>
    <w:rsid w:val="00552FB0"/>
    <w:rsid w:val="00554C8B"/>
    <w:rsid w:val="00554F1C"/>
    <w:rsid w:val="005620B2"/>
    <w:rsid w:val="00564C48"/>
    <w:rsid w:val="00574641"/>
    <w:rsid w:val="0057601B"/>
    <w:rsid w:val="00577DD0"/>
    <w:rsid w:val="005810F9"/>
    <w:rsid w:val="00582ABD"/>
    <w:rsid w:val="00583F83"/>
    <w:rsid w:val="00587857"/>
    <w:rsid w:val="00587FDA"/>
    <w:rsid w:val="005A2280"/>
    <w:rsid w:val="005A45B1"/>
    <w:rsid w:val="005A7CB6"/>
    <w:rsid w:val="005B0581"/>
    <w:rsid w:val="005B2066"/>
    <w:rsid w:val="005B21B7"/>
    <w:rsid w:val="005B3E8E"/>
    <w:rsid w:val="005B4946"/>
    <w:rsid w:val="005C21B1"/>
    <w:rsid w:val="005C2BE6"/>
    <w:rsid w:val="005C47A8"/>
    <w:rsid w:val="005C5CB5"/>
    <w:rsid w:val="005C7BE4"/>
    <w:rsid w:val="005D0DC7"/>
    <w:rsid w:val="005D1952"/>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3E1B"/>
    <w:rsid w:val="00604B14"/>
    <w:rsid w:val="0060503B"/>
    <w:rsid w:val="00607149"/>
    <w:rsid w:val="0061581E"/>
    <w:rsid w:val="0061584A"/>
    <w:rsid w:val="00616F3F"/>
    <w:rsid w:val="00617150"/>
    <w:rsid w:val="00620D17"/>
    <w:rsid w:val="0062158A"/>
    <w:rsid w:val="00626628"/>
    <w:rsid w:val="006268F9"/>
    <w:rsid w:val="006305E4"/>
    <w:rsid w:val="00632E6F"/>
    <w:rsid w:val="00633D46"/>
    <w:rsid w:val="0063505B"/>
    <w:rsid w:val="0064007B"/>
    <w:rsid w:val="0064155A"/>
    <w:rsid w:val="00642FA4"/>
    <w:rsid w:val="00644CAA"/>
    <w:rsid w:val="00652A50"/>
    <w:rsid w:val="00665477"/>
    <w:rsid w:val="00665F8F"/>
    <w:rsid w:val="0066769A"/>
    <w:rsid w:val="0067096B"/>
    <w:rsid w:val="00670E29"/>
    <w:rsid w:val="006740AB"/>
    <w:rsid w:val="00674579"/>
    <w:rsid w:val="00676B61"/>
    <w:rsid w:val="00677340"/>
    <w:rsid w:val="00680DE3"/>
    <w:rsid w:val="00680EEE"/>
    <w:rsid w:val="00681318"/>
    <w:rsid w:val="00681F26"/>
    <w:rsid w:val="00686189"/>
    <w:rsid w:val="006879DE"/>
    <w:rsid w:val="006A141E"/>
    <w:rsid w:val="006A1E2F"/>
    <w:rsid w:val="006A2B76"/>
    <w:rsid w:val="006B0498"/>
    <w:rsid w:val="006B3E8D"/>
    <w:rsid w:val="006B70FD"/>
    <w:rsid w:val="006B71A1"/>
    <w:rsid w:val="006C72F8"/>
    <w:rsid w:val="006D0471"/>
    <w:rsid w:val="006D0CD9"/>
    <w:rsid w:val="006D0DA4"/>
    <w:rsid w:val="006D1C85"/>
    <w:rsid w:val="006D4B20"/>
    <w:rsid w:val="006D5CA2"/>
    <w:rsid w:val="006D64B3"/>
    <w:rsid w:val="006D790F"/>
    <w:rsid w:val="006E2486"/>
    <w:rsid w:val="006E2DDE"/>
    <w:rsid w:val="006E374D"/>
    <w:rsid w:val="006E715D"/>
    <w:rsid w:val="006E78E8"/>
    <w:rsid w:val="006E7C2D"/>
    <w:rsid w:val="006F1619"/>
    <w:rsid w:val="006F29C8"/>
    <w:rsid w:val="00702240"/>
    <w:rsid w:val="007028F1"/>
    <w:rsid w:val="00705A6C"/>
    <w:rsid w:val="007064B0"/>
    <w:rsid w:val="00707162"/>
    <w:rsid w:val="00713FA1"/>
    <w:rsid w:val="007142EA"/>
    <w:rsid w:val="00723025"/>
    <w:rsid w:val="00723B92"/>
    <w:rsid w:val="00725A45"/>
    <w:rsid w:val="00726DCF"/>
    <w:rsid w:val="007305F3"/>
    <w:rsid w:val="007318E8"/>
    <w:rsid w:val="00731B22"/>
    <w:rsid w:val="00731BDE"/>
    <w:rsid w:val="007331F6"/>
    <w:rsid w:val="00736E0C"/>
    <w:rsid w:val="00740218"/>
    <w:rsid w:val="00740D65"/>
    <w:rsid w:val="00741DFF"/>
    <w:rsid w:val="00741E19"/>
    <w:rsid w:val="00747BE3"/>
    <w:rsid w:val="00752954"/>
    <w:rsid w:val="00753464"/>
    <w:rsid w:val="00755A0C"/>
    <w:rsid w:val="00766560"/>
    <w:rsid w:val="007667DF"/>
    <w:rsid w:val="007747AE"/>
    <w:rsid w:val="00775D84"/>
    <w:rsid w:val="007773D0"/>
    <w:rsid w:val="00781178"/>
    <w:rsid w:val="00783996"/>
    <w:rsid w:val="00794A40"/>
    <w:rsid w:val="00794F03"/>
    <w:rsid w:val="00795713"/>
    <w:rsid w:val="00796460"/>
    <w:rsid w:val="007A0D6B"/>
    <w:rsid w:val="007A12DD"/>
    <w:rsid w:val="007A479B"/>
    <w:rsid w:val="007A5829"/>
    <w:rsid w:val="007A704A"/>
    <w:rsid w:val="007B002F"/>
    <w:rsid w:val="007B1755"/>
    <w:rsid w:val="007B5B37"/>
    <w:rsid w:val="007B712E"/>
    <w:rsid w:val="007C22CF"/>
    <w:rsid w:val="007C46DD"/>
    <w:rsid w:val="007D0E2C"/>
    <w:rsid w:val="007D15D1"/>
    <w:rsid w:val="007D1FFB"/>
    <w:rsid w:val="007D3556"/>
    <w:rsid w:val="007E2121"/>
    <w:rsid w:val="007E550E"/>
    <w:rsid w:val="007E5A2D"/>
    <w:rsid w:val="007E769F"/>
    <w:rsid w:val="007F1847"/>
    <w:rsid w:val="007F5254"/>
    <w:rsid w:val="007F7A0D"/>
    <w:rsid w:val="0080025B"/>
    <w:rsid w:val="008010A1"/>
    <w:rsid w:val="00805336"/>
    <w:rsid w:val="00805D8D"/>
    <w:rsid w:val="00812D77"/>
    <w:rsid w:val="0081336D"/>
    <w:rsid w:val="00813FA7"/>
    <w:rsid w:val="00814CCB"/>
    <w:rsid w:val="0082096F"/>
    <w:rsid w:val="00820E3B"/>
    <w:rsid w:val="00821023"/>
    <w:rsid w:val="00821189"/>
    <w:rsid w:val="00821719"/>
    <w:rsid w:val="0082271F"/>
    <w:rsid w:val="00822D5F"/>
    <w:rsid w:val="00824FCB"/>
    <w:rsid w:val="00827B95"/>
    <w:rsid w:val="00831631"/>
    <w:rsid w:val="0084104B"/>
    <w:rsid w:val="00841DA5"/>
    <w:rsid w:val="008422C1"/>
    <w:rsid w:val="00842538"/>
    <w:rsid w:val="0084452E"/>
    <w:rsid w:val="00846621"/>
    <w:rsid w:val="0084767D"/>
    <w:rsid w:val="00847FBB"/>
    <w:rsid w:val="00861E9E"/>
    <w:rsid w:val="008639C6"/>
    <w:rsid w:val="008643BA"/>
    <w:rsid w:val="00866024"/>
    <w:rsid w:val="00866D3F"/>
    <w:rsid w:val="008707D9"/>
    <w:rsid w:val="00871E94"/>
    <w:rsid w:val="00876304"/>
    <w:rsid w:val="00876491"/>
    <w:rsid w:val="00876E35"/>
    <w:rsid w:val="008772AA"/>
    <w:rsid w:val="00877A9C"/>
    <w:rsid w:val="008802D1"/>
    <w:rsid w:val="0088082B"/>
    <w:rsid w:val="00880D1A"/>
    <w:rsid w:val="00881E96"/>
    <w:rsid w:val="00882D6A"/>
    <w:rsid w:val="008943D7"/>
    <w:rsid w:val="008943FE"/>
    <w:rsid w:val="00896011"/>
    <w:rsid w:val="008B1E89"/>
    <w:rsid w:val="008D149B"/>
    <w:rsid w:val="008D319E"/>
    <w:rsid w:val="008E0F46"/>
    <w:rsid w:val="008E17BD"/>
    <w:rsid w:val="008F2512"/>
    <w:rsid w:val="008F28D8"/>
    <w:rsid w:val="008F6797"/>
    <w:rsid w:val="009026CF"/>
    <w:rsid w:val="00903C1D"/>
    <w:rsid w:val="0090458E"/>
    <w:rsid w:val="00907272"/>
    <w:rsid w:val="00910F1A"/>
    <w:rsid w:val="0091175F"/>
    <w:rsid w:val="0091375E"/>
    <w:rsid w:val="00913C3C"/>
    <w:rsid w:val="0091448D"/>
    <w:rsid w:val="009156BA"/>
    <w:rsid w:val="00915FDE"/>
    <w:rsid w:val="00920F05"/>
    <w:rsid w:val="00931AF2"/>
    <w:rsid w:val="00937C8A"/>
    <w:rsid w:val="00940DCD"/>
    <w:rsid w:val="00941B5C"/>
    <w:rsid w:val="00941D3B"/>
    <w:rsid w:val="00947664"/>
    <w:rsid w:val="009477B7"/>
    <w:rsid w:val="00950969"/>
    <w:rsid w:val="00956DBB"/>
    <w:rsid w:val="00957E5E"/>
    <w:rsid w:val="00960114"/>
    <w:rsid w:val="0096113F"/>
    <w:rsid w:val="009617A3"/>
    <w:rsid w:val="009638A9"/>
    <w:rsid w:val="009676A3"/>
    <w:rsid w:val="00970BB6"/>
    <w:rsid w:val="00972BBF"/>
    <w:rsid w:val="009750A9"/>
    <w:rsid w:val="0097610E"/>
    <w:rsid w:val="009768DE"/>
    <w:rsid w:val="0097769B"/>
    <w:rsid w:val="00985255"/>
    <w:rsid w:val="00985F49"/>
    <w:rsid w:val="0098712E"/>
    <w:rsid w:val="00992A1D"/>
    <w:rsid w:val="00997B7B"/>
    <w:rsid w:val="009A33C7"/>
    <w:rsid w:val="009A3EDB"/>
    <w:rsid w:val="009A4059"/>
    <w:rsid w:val="009A6FC0"/>
    <w:rsid w:val="009B1C64"/>
    <w:rsid w:val="009B6567"/>
    <w:rsid w:val="009B73BD"/>
    <w:rsid w:val="009B7E62"/>
    <w:rsid w:val="009C29D3"/>
    <w:rsid w:val="009C30B5"/>
    <w:rsid w:val="009C3992"/>
    <w:rsid w:val="009C6CCA"/>
    <w:rsid w:val="009C72CF"/>
    <w:rsid w:val="009C7CEA"/>
    <w:rsid w:val="009D7B4A"/>
    <w:rsid w:val="009E0590"/>
    <w:rsid w:val="009E2CE9"/>
    <w:rsid w:val="009E7143"/>
    <w:rsid w:val="009F2AE3"/>
    <w:rsid w:val="009F52A4"/>
    <w:rsid w:val="009F6BD3"/>
    <w:rsid w:val="00A0080A"/>
    <w:rsid w:val="00A01D9E"/>
    <w:rsid w:val="00A111FA"/>
    <w:rsid w:val="00A113B0"/>
    <w:rsid w:val="00A12A26"/>
    <w:rsid w:val="00A147BB"/>
    <w:rsid w:val="00A1731C"/>
    <w:rsid w:val="00A2022C"/>
    <w:rsid w:val="00A226E5"/>
    <w:rsid w:val="00A26F16"/>
    <w:rsid w:val="00A3423A"/>
    <w:rsid w:val="00A355DC"/>
    <w:rsid w:val="00A40E3C"/>
    <w:rsid w:val="00A40FE7"/>
    <w:rsid w:val="00A43854"/>
    <w:rsid w:val="00A44283"/>
    <w:rsid w:val="00A44585"/>
    <w:rsid w:val="00A4593F"/>
    <w:rsid w:val="00A463C4"/>
    <w:rsid w:val="00A46EBD"/>
    <w:rsid w:val="00A5007C"/>
    <w:rsid w:val="00A50D03"/>
    <w:rsid w:val="00A52B4D"/>
    <w:rsid w:val="00A53B13"/>
    <w:rsid w:val="00A561C3"/>
    <w:rsid w:val="00A565C4"/>
    <w:rsid w:val="00A57848"/>
    <w:rsid w:val="00A6237C"/>
    <w:rsid w:val="00A6619E"/>
    <w:rsid w:val="00A72C5C"/>
    <w:rsid w:val="00A73810"/>
    <w:rsid w:val="00A76C95"/>
    <w:rsid w:val="00A83080"/>
    <w:rsid w:val="00A866D0"/>
    <w:rsid w:val="00A912DF"/>
    <w:rsid w:val="00AA05DF"/>
    <w:rsid w:val="00AA1037"/>
    <w:rsid w:val="00AA1FF0"/>
    <w:rsid w:val="00AA2A3C"/>
    <w:rsid w:val="00AA407F"/>
    <w:rsid w:val="00AA6971"/>
    <w:rsid w:val="00AB34E3"/>
    <w:rsid w:val="00AB5BC8"/>
    <w:rsid w:val="00AB7A2F"/>
    <w:rsid w:val="00AC4184"/>
    <w:rsid w:val="00AD58A6"/>
    <w:rsid w:val="00AE103C"/>
    <w:rsid w:val="00AF2681"/>
    <w:rsid w:val="00AF37C3"/>
    <w:rsid w:val="00B003F1"/>
    <w:rsid w:val="00B01DEC"/>
    <w:rsid w:val="00B02817"/>
    <w:rsid w:val="00B02E21"/>
    <w:rsid w:val="00B04CE1"/>
    <w:rsid w:val="00B059D1"/>
    <w:rsid w:val="00B078D3"/>
    <w:rsid w:val="00B12EB7"/>
    <w:rsid w:val="00B15DC8"/>
    <w:rsid w:val="00B1619D"/>
    <w:rsid w:val="00B16FEA"/>
    <w:rsid w:val="00B17684"/>
    <w:rsid w:val="00B202BE"/>
    <w:rsid w:val="00B22B3B"/>
    <w:rsid w:val="00B23567"/>
    <w:rsid w:val="00B23640"/>
    <w:rsid w:val="00B23BA7"/>
    <w:rsid w:val="00B246D4"/>
    <w:rsid w:val="00B24808"/>
    <w:rsid w:val="00B25944"/>
    <w:rsid w:val="00B30067"/>
    <w:rsid w:val="00B304A0"/>
    <w:rsid w:val="00B30E20"/>
    <w:rsid w:val="00B3433D"/>
    <w:rsid w:val="00B37F4F"/>
    <w:rsid w:val="00B4239D"/>
    <w:rsid w:val="00B44497"/>
    <w:rsid w:val="00B4484D"/>
    <w:rsid w:val="00B454FF"/>
    <w:rsid w:val="00B47552"/>
    <w:rsid w:val="00B47E25"/>
    <w:rsid w:val="00B503FA"/>
    <w:rsid w:val="00B539B3"/>
    <w:rsid w:val="00B647EE"/>
    <w:rsid w:val="00B660AE"/>
    <w:rsid w:val="00B66A97"/>
    <w:rsid w:val="00B67A12"/>
    <w:rsid w:val="00B70BC1"/>
    <w:rsid w:val="00B71679"/>
    <w:rsid w:val="00B71C1F"/>
    <w:rsid w:val="00B72282"/>
    <w:rsid w:val="00B76B89"/>
    <w:rsid w:val="00B80804"/>
    <w:rsid w:val="00B836FB"/>
    <w:rsid w:val="00B86F89"/>
    <w:rsid w:val="00B870FC"/>
    <w:rsid w:val="00B915E1"/>
    <w:rsid w:val="00B926F5"/>
    <w:rsid w:val="00BA1C09"/>
    <w:rsid w:val="00BA3DE3"/>
    <w:rsid w:val="00BB3A8B"/>
    <w:rsid w:val="00BC0060"/>
    <w:rsid w:val="00BC3710"/>
    <w:rsid w:val="00BC5024"/>
    <w:rsid w:val="00BC62EF"/>
    <w:rsid w:val="00BD42A2"/>
    <w:rsid w:val="00BD6352"/>
    <w:rsid w:val="00BD6904"/>
    <w:rsid w:val="00BD7903"/>
    <w:rsid w:val="00BE4374"/>
    <w:rsid w:val="00BF0FC3"/>
    <w:rsid w:val="00BF3B8F"/>
    <w:rsid w:val="00BF70E8"/>
    <w:rsid w:val="00C03C43"/>
    <w:rsid w:val="00C03F4A"/>
    <w:rsid w:val="00C05F69"/>
    <w:rsid w:val="00C135E1"/>
    <w:rsid w:val="00C141B3"/>
    <w:rsid w:val="00C154B9"/>
    <w:rsid w:val="00C16548"/>
    <w:rsid w:val="00C21A2F"/>
    <w:rsid w:val="00C24558"/>
    <w:rsid w:val="00C2605A"/>
    <w:rsid w:val="00C26D09"/>
    <w:rsid w:val="00C30D72"/>
    <w:rsid w:val="00C313FE"/>
    <w:rsid w:val="00C32647"/>
    <w:rsid w:val="00C360BB"/>
    <w:rsid w:val="00C40D90"/>
    <w:rsid w:val="00C4251D"/>
    <w:rsid w:val="00C47C71"/>
    <w:rsid w:val="00C521B0"/>
    <w:rsid w:val="00C52AB3"/>
    <w:rsid w:val="00C56292"/>
    <w:rsid w:val="00C61A77"/>
    <w:rsid w:val="00C64F60"/>
    <w:rsid w:val="00C65305"/>
    <w:rsid w:val="00C714A0"/>
    <w:rsid w:val="00C72024"/>
    <w:rsid w:val="00C74739"/>
    <w:rsid w:val="00C74A18"/>
    <w:rsid w:val="00C758FB"/>
    <w:rsid w:val="00C75AA9"/>
    <w:rsid w:val="00C80188"/>
    <w:rsid w:val="00C81169"/>
    <w:rsid w:val="00C83808"/>
    <w:rsid w:val="00C84642"/>
    <w:rsid w:val="00C8527A"/>
    <w:rsid w:val="00C87532"/>
    <w:rsid w:val="00C90795"/>
    <w:rsid w:val="00C93C87"/>
    <w:rsid w:val="00C96EB6"/>
    <w:rsid w:val="00CA310A"/>
    <w:rsid w:val="00CA5FE4"/>
    <w:rsid w:val="00CB30F6"/>
    <w:rsid w:val="00CB3A9E"/>
    <w:rsid w:val="00CC14F5"/>
    <w:rsid w:val="00CD05C1"/>
    <w:rsid w:val="00CD3541"/>
    <w:rsid w:val="00CD4B55"/>
    <w:rsid w:val="00CD7C37"/>
    <w:rsid w:val="00CE02F8"/>
    <w:rsid w:val="00CE0D35"/>
    <w:rsid w:val="00CE0F94"/>
    <w:rsid w:val="00CE48AF"/>
    <w:rsid w:val="00CE4A89"/>
    <w:rsid w:val="00CE5269"/>
    <w:rsid w:val="00CE6F4C"/>
    <w:rsid w:val="00CE719F"/>
    <w:rsid w:val="00CF00BA"/>
    <w:rsid w:val="00CF0A2C"/>
    <w:rsid w:val="00CF193B"/>
    <w:rsid w:val="00CF444F"/>
    <w:rsid w:val="00CF6476"/>
    <w:rsid w:val="00D001D9"/>
    <w:rsid w:val="00D01A77"/>
    <w:rsid w:val="00D03EDB"/>
    <w:rsid w:val="00D04522"/>
    <w:rsid w:val="00D12FDF"/>
    <w:rsid w:val="00D25AC6"/>
    <w:rsid w:val="00D265F2"/>
    <w:rsid w:val="00D277E9"/>
    <w:rsid w:val="00D31C80"/>
    <w:rsid w:val="00D347C4"/>
    <w:rsid w:val="00D34818"/>
    <w:rsid w:val="00D35B73"/>
    <w:rsid w:val="00D36A75"/>
    <w:rsid w:val="00D40A51"/>
    <w:rsid w:val="00D436A6"/>
    <w:rsid w:val="00D444BF"/>
    <w:rsid w:val="00D45CF5"/>
    <w:rsid w:val="00D50BC7"/>
    <w:rsid w:val="00D52475"/>
    <w:rsid w:val="00D524E2"/>
    <w:rsid w:val="00D57FAC"/>
    <w:rsid w:val="00D60597"/>
    <w:rsid w:val="00D609CF"/>
    <w:rsid w:val="00D64222"/>
    <w:rsid w:val="00D726D0"/>
    <w:rsid w:val="00D73198"/>
    <w:rsid w:val="00D73A8A"/>
    <w:rsid w:val="00D73B30"/>
    <w:rsid w:val="00D749EF"/>
    <w:rsid w:val="00D75703"/>
    <w:rsid w:val="00D7714B"/>
    <w:rsid w:val="00D77B1A"/>
    <w:rsid w:val="00D8346D"/>
    <w:rsid w:val="00D83F33"/>
    <w:rsid w:val="00D84D76"/>
    <w:rsid w:val="00D85EEC"/>
    <w:rsid w:val="00D8628F"/>
    <w:rsid w:val="00D90180"/>
    <w:rsid w:val="00D9299C"/>
    <w:rsid w:val="00D929CB"/>
    <w:rsid w:val="00D92E29"/>
    <w:rsid w:val="00D943F7"/>
    <w:rsid w:val="00D97C0D"/>
    <w:rsid w:val="00DA0D50"/>
    <w:rsid w:val="00DA18EA"/>
    <w:rsid w:val="00DA3BE3"/>
    <w:rsid w:val="00DA4AE4"/>
    <w:rsid w:val="00DA5B4B"/>
    <w:rsid w:val="00DB2B94"/>
    <w:rsid w:val="00DB6A92"/>
    <w:rsid w:val="00DC36D4"/>
    <w:rsid w:val="00DC4A55"/>
    <w:rsid w:val="00DC513F"/>
    <w:rsid w:val="00DD19DB"/>
    <w:rsid w:val="00DD22B3"/>
    <w:rsid w:val="00DD2B8C"/>
    <w:rsid w:val="00DD6F17"/>
    <w:rsid w:val="00DE29CD"/>
    <w:rsid w:val="00DF3175"/>
    <w:rsid w:val="00DF4C31"/>
    <w:rsid w:val="00DF4FF0"/>
    <w:rsid w:val="00DF64E3"/>
    <w:rsid w:val="00E00D95"/>
    <w:rsid w:val="00E073A2"/>
    <w:rsid w:val="00E1276E"/>
    <w:rsid w:val="00E131D2"/>
    <w:rsid w:val="00E1749E"/>
    <w:rsid w:val="00E21AB6"/>
    <w:rsid w:val="00E234DC"/>
    <w:rsid w:val="00E2535D"/>
    <w:rsid w:val="00E35029"/>
    <w:rsid w:val="00E35E46"/>
    <w:rsid w:val="00E36C81"/>
    <w:rsid w:val="00E40E54"/>
    <w:rsid w:val="00E41811"/>
    <w:rsid w:val="00E42849"/>
    <w:rsid w:val="00E4447C"/>
    <w:rsid w:val="00E445E2"/>
    <w:rsid w:val="00E46003"/>
    <w:rsid w:val="00E46E2C"/>
    <w:rsid w:val="00E5032B"/>
    <w:rsid w:val="00E526FB"/>
    <w:rsid w:val="00E52C11"/>
    <w:rsid w:val="00E621CA"/>
    <w:rsid w:val="00E62A49"/>
    <w:rsid w:val="00E65B09"/>
    <w:rsid w:val="00E65DDC"/>
    <w:rsid w:val="00E672D3"/>
    <w:rsid w:val="00E676B2"/>
    <w:rsid w:val="00E70D00"/>
    <w:rsid w:val="00E80074"/>
    <w:rsid w:val="00E851A0"/>
    <w:rsid w:val="00E85619"/>
    <w:rsid w:val="00E90014"/>
    <w:rsid w:val="00E945CA"/>
    <w:rsid w:val="00E9724F"/>
    <w:rsid w:val="00EA1292"/>
    <w:rsid w:val="00EA12F2"/>
    <w:rsid w:val="00EA1312"/>
    <w:rsid w:val="00EA3B25"/>
    <w:rsid w:val="00EA56D6"/>
    <w:rsid w:val="00EA764E"/>
    <w:rsid w:val="00EA77EE"/>
    <w:rsid w:val="00EA7AD9"/>
    <w:rsid w:val="00EB0716"/>
    <w:rsid w:val="00EB1EA8"/>
    <w:rsid w:val="00EB2DB6"/>
    <w:rsid w:val="00EB474A"/>
    <w:rsid w:val="00EB62BC"/>
    <w:rsid w:val="00EC7E81"/>
    <w:rsid w:val="00ED0D6F"/>
    <w:rsid w:val="00ED17B2"/>
    <w:rsid w:val="00ED6E5F"/>
    <w:rsid w:val="00ED731C"/>
    <w:rsid w:val="00EE09BF"/>
    <w:rsid w:val="00EE1CD0"/>
    <w:rsid w:val="00EE5F1E"/>
    <w:rsid w:val="00EF49BC"/>
    <w:rsid w:val="00F013B8"/>
    <w:rsid w:val="00F0144A"/>
    <w:rsid w:val="00F2087F"/>
    <w:rsid w:val="00F2093D"/>
    <w:rsid w:val="00F22BD0"/>
    <w:rsid w:val="00F24225"/>
    <w:rsid w:val="00F310ED"/>
    <w:rsid w:val="00F35D35"/>
    <w:rsid w:val="00F41A6B"/>
    <w:rsid w:val="00F42839"/>
    <w:rsid w:val="00F50C8C"/>
    <w:rsid w:val="00F51547"/>
    <w:rsid w:val="00F559DA"/>
    <w:rsid w:val="00F56080"/>
    <w:rsid w:val="00F56C84"/>
    <w:rsid w:val="00F6255F"/>
    <w:rsid w:val="00F628C2"/>
    <w:rsid w:val="00F62B16"/>
    <w:rsid w:val="00F649A6"/>
    <w:rsid w:val="00F67BDF"/>
    <w:rsid w:val="00F70DB2"/>
    <w:rsid w:val="00F70EF6"/>
    <w:rsid w:val="00F732E3"/>
    <w:rsid w:val="00F73B81"/>
    <w:rsid w:val="00F75697"/>
    <w:rsid w:val="00F76301"/>
    <w:rsid w:val="00F7690A"/>
    <w:rsid w:val="00F77CD6"/>
    <w:rsid w:val="00F80278"/>
    <w:rsid w:val="00F81435"/>
    <w:rsid w:val="00F96FDC"/>
    <w:rsid w:val="00FA3E6D"/>
    <w:rsid w:val="00FA5074"/>
    <w:rsid w:val="00FA6AA2"/>
    <w:rsid w:val="00FB093A"/>
    <w:rsid w:val="00FB2BDC"/>
    <w:rsid w:val="00FB468D"/>
    <w:rsid w:val="00FC0A99"/>
    <w:rsid w:val="00FC1107"/>
    <w:rsid w:val="00FC3EBD"/>
    <w:rsid w:val="00FC45E4"/>
    <w:rsid w:val="00FC6270"/>
    <w:rsid w:val="00FC6763"/>
    <w:rsid w:val="00FD18DD"/>
    <w:rsid w:val="00FD1B6C"/>
    <w:rsid w:val="00FD294B"/>
    <w:rsid w:val="00FD3065"/>
    <w:rsid w:val="00FD313A"/>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DDCAC697-D108-4B2B-8936-C40C751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14139B"/>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841">
      <w:bodyDiv w:val="1"/>
      <w:marLeft w:val="0"/>
      <w:marRight w:val="0"/>
      <w:marTop w:val="0"/>
      <w:marBottom w:val="0"/>
      <w:divBdr>
        <w:top w:val="none" w:sz="0" w:space="0" w:color="auto"/>
        <w:left w:val="none" w:sz="0" w:space="0" w:color="auto"/>
        <w:bottom w:val="none" w:sz="0" w:space="0" w:color="auto"/>
        <w:right w:val="none" w:sz="0" w:space="0" w:color="auto"/>
      </w:divBdr>
    </w:div>
    <w:div w:id="63570950">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32449014">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30743846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78636588">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3271736">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49211363">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516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ADF-0252-4086-A124-121651EC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10</Pages>
  <Words>4582</Words>
  <Characters>25201</Characters>
  <Application>Microsoft Office Word</Application>
  <DocSecurity>0</DocSecurity>
  <Lines>210</Lines>
  <Paragraphs>59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siguiente es el documento presentado por la Magistrada ponente que sirvió de base para proferir en audiencia la sentencia de segunda instancia dentro del presente proceso</vt:lpstr>
      <vt:lpstr>        ANA LUCÍA CAICEDO CALDERÓN</vt:lpstr>
      <vt:lpstr>        ANA LUCÍA CAICEDO CALDERÓN</vt:lpstr>
    </vt:vector>
  </TitlesOfParts>
  <Company/>
  <LinksUpToDate>false</LinksUpToDate>
  <CharactersWithSpaces>29724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42</cp:revision>
  <cp:lastPrinted>2016-03-11T12:49:00Z</cp:lastPrinted>
  <dcterms:created xsi:type="dcterms:W3CDTF">2016-03-03T18:28:00Z</dcterms:created>
  <dcterms:modified xsi:type="dcterms:W3CDTF">2016-09-02T16:37:00Z</dcterms:modified>
</cp:coreProperties>
</file>