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A3" w:rsidRPr="0001208F" w:rsidRDefault="003838A3" w:rsidP="003838A3">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w:t>
      </w:r>
      <w:r>
        <w:rPr>
          <w:rFonts w:ascii="Arial Narrow" w:hAnsi="Arial Narrow" w:cs="Tahoma"/>
          <w:sz w:val="16"/>
          <w:szCs w:val="16"/>
        </w:rPr>
        <w:t>Secretaría de esta Corporación.</w:t>
      </w:r>
    </w:p>
    <w:p w:rsidR="003838A3" w:rsidRDefault="003838A3" w:rsidP="003838A3">
      <w:pPr>
        <w:spacing w:line="240" w:lineRule="auto"/>
        <w:jc w:val="both"/>
        <w:rPr>
          <w:rFonts w:ascii="Tahoma" w:hAnsi="Tahoma" w:cs="Tahoma"/>
          <w:sz w:val="18"/>
          <w:szCs w:val="18"/>
        </w:rPr>
      </w:pPr>
    </w:p>
    <w:p w:rsidR="003838A3" w:rsidRPr="002B7B53" w:rsidRDefault="003838A3" w:rsidP="003838A3">
      <w:pPr>
        <w:spacing w:line="240" w:lineRule="auto"/>
        <w:jc w:val="both"/>
        <w:rPr>
          <w:rFonts w:ascii="Tahoma" w:hAnsi="Tahoma" w:cs="Tahoma"/>
          <w:b/>
          <w:sz w:val="18"/>
          <w:szCs w:val="18"/>
        </w:rPr>
      </w:pPr>
      <w:r w:rsidRPr="002B7B53">
        <w:rPr>
          <w:rFonts w:ascii="Tahoma" w:hAnsi="Tahoma" w:cs="Tahoma"/>
          <w:sz w:val="18"/>
          <w:szCs w:val="18"/>
        </w:rPr>
        <w:t>Providencia:</w:t>
      </w:r>
      <w:r w:rsidRPr="002B7B53">
        <w:rPr>
          <w:rFonts w:ascii="Tahoma" w:hAnsi="Tahoma" w:cs="Tahoma"/>
          <w:sz w:val="18"/>
          <w:szCs w:val="18"/>
        </w:rPr>
        <w:tab/>
      </w:r>
      <w:r w:rsidRPr="002B7B53">
        <w:rPr>
          <w:rFonts w:ascii="Tahoma" w:hAnsi="Tahoma" w:cs="Tahoma"/>
          <w:sz w:val="18"/>
          <w:szCs w:val="18"/>
        </w:rPr>
        <w:tab/>
      </w:r>
      <w:r w:rsidRPr="002B7B53">
        <w:rPr>
          <w:rFonts w:ascii="Tahoma" w:hAnsi="Tahoma" w:cs="Tahoma"/>
          <w:bCs/>
          <w:sz w:val="18"/>
          <w:szCs w:val="18"/>
        </w:rPr>
        <w:t xml:space="preserve">Sentencia del </w:t>
      </w:r>
      <w:r>
        <w:rPr>
          <w:rFonts w:ascii="Tahoma" w:hAnsi="Tahoma" w:cs="Tahoma"/>
          <w:bCs/>
          <w:sz w:val="18"/>
          <w:szCs w:val="18"/>
        </w:rPr>
        <w:t xml:space="preserve">10 de junio </w:t>
      </w:r>
      <w:r w:rsidRPr="002B7B53">
        <w:rPr>
          <w:rFonts w:ascii="Tahoma" w:hAnsi="Tahoma" w:cs="Tahoma"/>
          <w:bCs/>
          <w:sz w:val="18"/>
          <w:szCs w:val="18"/>
        </w:rPr>
        <w:t>de 201</w:t>
      </w:r>
      <w:r>
        <w:rPr>
          <w:rFonts w:ascii="Tahoma" w:hAnsi="Tahoma" w:cs="Tahoma"/>
          <w:bCs/>
          <w:sz w:val="18"/>
          <w:szCs w:val="18"/>
        </w:rPr>
        <w:t>6</w:t>
      </w:r>
    </w:p>
    <w:p w:rsidR="003838A3" w:rsidRPr="002B7B53" w:rsidRDefault="003838A3" w:rsidP="003838A3">
      <w:pPr>
        <w:spacing w:line="240" w:lineRule="auto"/>
        <w:jc w:val="both"/>
        <w:rPr>
          <w:rFonts w:ascii="Tahoma" w:hAnsi="Tahoma" w:cs="Tahoma"/>
          <w:b/>
          <w:sz w:val="18"/>
          <w:szCs w:val="18"/>
        </w:rPr>
      </w:pPr>
      <w:r w:rsidRPr="002B7B53">
        <w:rPr>
          <w:rFonts w:ascii="Tahoma" w:hAnsi="Tahoma" w:cs="Tahoma"/>
          <w:sz w:val="18"/>
          <w:szCs w:val="18"/>
        </w:rPr>
        <w:t>Radicación No.:</w:t>
      </w:r>
      <w:r>
        <w:rPr>
          <w:rFonts w:ascii="Tahoma" w:hAnsi="Tahoma" w:cs="Tahoma"/>
          <w:sz w:val="18"/>
          <w:szCs w:val="18"/>
        </w:rPr>
        <w:tab/>
      </w:r>
      <w:r>
        <w:rPr>
          <w:rFonts w:ascii="Tahoma" w:hAnsi="Tahoma" w:cs="Tahoma"/>
          <w:sz w:val="18"/>
          <w:szCs w:val="18"/>
        </w:rPr>
        <w:tab/>
        <w:t>660013105</w:t>
      </w:r>
      <w:r w:rsidRPr="002B7B53">
        <w:rPr>
          <w:rFonts w:ascii="Tahoma" w:hAnsi="Tahoma" w:cs="Tahoma"/>
          <w:sz w:val="18"/>
          <w:szCs w:val="18"/>
        </w:rPr>
        <w:t>00</w:t>
      </w:r>
      <w:r>
        <w:rPr>
          <w:rFonts w:ascii="Tahoma" w:hAnsi="Tahoma" w:cs="Tahoma"/>
          <w:sz w:val="18"/>
          <w:szCs w:val="18"/>
        </w:rPr>
        <w:t>2</w:t>
      </w:r>
      <w:r w:rsidRPr="002B7B53">
        <w:rPr>
          <w:rFonts w:ascii="Tahoma" w:hAnsi="Tahoma" w:cs="Tahoma"/>
          <w:sz w:val="18"/>
          <w:szCs w:val="18"/>
        </w:rPr>
        <w:t>-201</w:t>
      </w:r>
      <w:r>
        <w:rPr>
          <w:rFonts w:ascii="Tahoma" w:hAnsi="Tahoma" w:cs="Tahoma"/>
          <w:sz w:val="18"/>
          <w:szCs w:val="18"/>
        </w:rPr>
        <w:t>3</w:t>
      </w:r>
      <w:r w:rsidRPr="002B7B53">
        <w:rPr>
          <w:rFonts w:ascii="Tahoma" w:hAnsi="Tahoma" w:cs="Tahoma"/>
          <w:sz w:val="18"/>
          <w:szCs w:val="18"/>
        </w:rPr>
        <w:t>-00</w:t>
      </w:r>
      <w:r>
        <w:rPr>
          <w:rFonts w:ascii="Tahoma" w:hAnsi="Tahoma" w:cs="Tahoma"/>
          <w:sz w:val="18"/>
          <w:szCs w:val="18"/>
        </w:rPr>
        <w:t>610</w:t>
      </w:r>
      <w:r w:rsidRPr="002B7B53">
        <w:rPr>
          <w:rFonts w:ascii="Tahoma" w:hAnsi="Tahoma" w:cs="Tahoma"/>
          <w:sz w:val="18"/>
          <w:szCs w:val="18"/>
        </w:rPr>
        <w:t>-01</w:t>
      </w:r>
    </w:p>
    <w:p w:rsidR="003838A3" w:rsidRPr="002B7B53" w:rsidRDefault="003838A3" w:rsidP="003838A3">
      <w:pPr>
        <w:spacing w:line="240" w:lineRule="auto"/>
        <w:jc w:val="both"/>
        <w:rPr>
          <w:rFonts w:ascii="Tahoma" w:hAnsi="Tahoma" w:cs="Tahoma"/>
          <w:b/>
          <w:sz w:val="18"/>
          <w:szCs w:val="18"/>
        </w:rPr>
      </w:pPr>
      <w:r w:rsidRPr="002B7B53">
        <w:rPr>
          <w:rFonts w:ascii="Tahoma" w:hAnsi="Tahoma" w:cs="Tahoma"/>
          <w:sz w:val="18"/>
          <w:szCs w:val="18"/>
        </w:rPr>
        <w:t>Proceso:</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ab/>
      </w:r>
      <w:r w:rsidRPr="002B7B53">
        <w:rPr>
          <w:rFonts w:ascii="Tahoma" w:hAnsi="Tahoma" w:cs="Tahoma"/>
          <w:sz w:val="18"/>
          <w:szCs w:val="18"/>
        </w:rPr>
        <w:t xml:space="preserve">Ordinario laboral </w:t>
      </w:r>
    </w:p>
    <w:p w:rsidR="003838A3" w:rsidRPr="002B7B53" w:rsidRDefault="003838A3" w:rsidP="003838A3">
      <w:pPr>
        <w:spacing w:line="240" w:lineRule="auto"/>
        <w:jc w:val="both"/>
        <w:rPr>
          <w:rFonts w:ascii="Tahoma" w:hAnsi="Tahoma" w:cs="Tahoma"/>
          <w:b/>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Martha Lucia Quirama Echeverry</w:t>
      </w:r>
    </w:p>
    <w:p w:rsidR="003838A3" w:rsidRPr="002B7B53" w:rsidRDefault="003838A3" w:rsidP="003838A3">
      <w:pPr>
        <w:spacing w:line="240" w:lineRule="auto"/>
        <w:jc w:val="both"/>
        <w:rPr>
          <w:rFonts w:ascii="Tahoma" w:hAnsi="Tahoma" w:cs="Tahoma"/>
          <w:b/>
          <w:sz w:val="18"/>
          <w:szCs w:val="18"/>
        </w:rPr>
      </w:pPr>
      <w:r w:rsidRPr="002B7B53">
        <w:rPr>
          <w:rFonts w:ascii="Tahoma" w:hAnsi="Tahoma" w:cs="Tahoma"/>
          <w:sz w:val="18"/>
          <w:szCs w:val="18"/>
        </w:rPr>
        <w:t>Juzgado de origen:</w:t>
      </w:r>
      <w:r w:rsidRPr="002B7B53">
        <w:rPr>
          <w:rFonts w:ascii="Tahoma" w:hAnsi="Tahoma" w:cs="Tahoma"/>
          <w:sz w:val="18"/>
          <w:szCs w:val="18"/>
        </w:rPr>
        <w:tab/>
      </w:r>
      <w:r>
        <w:rPr>
          <w:rFonts w:ascii="Tahoma" w:hAnsi="Tahoma" w:cs="Tahoma"/>
          <w:sz w:val="18"/>
          <w:szCs w:val="18"/>
        </w:rPr>
        <w:t xml:space="preserve">Tercero </w:t>
      </w:r>
      <w:r w:rsidRPr="002B7B53">
        <w:rPr>
          <w:rFonts w:ascii="Tahoma" w:hAnsi="Tahoma" w:cs="Tahoma"/>
          <w:sz w:val="18"/>
          <w:szCs w:val="18"/>
        </w:rPr>
        <w:t>Laboral del Circuito de Pereira</w:t>
      </w:r>
    </w:p>
    <w:p w:rsidR="003838A3" w:rsidRPr="002B7B53" w:rsidRDefault="003838A3" w:rsidP="003838A3">
      <w:pPr>
        <w:spacing w:line="240" w:lineRule="auto"/>
        <w:jc w:val="both"/>
        <w:rPr>
          <w:rFonts w:ascii="Tahoma" w:hAnsi="Tahoma" w:cs="Tahoma"/>
          <w:b/>
          <w:sz w:val="18"/>
          <w:szCs w:val="18"/>
        </w:rPr>
      </w:pPr>
      <w:r w:rsidRPr="002B7B53">
        <w:rPr>
          <w:rFonts w:ascii="Tahoma" w:hAnsi="Tahoma" w:cs="Tahoma"/>
          <w:sz w:val="18"/>
          <w:szCs w:val="18"/>
        </w:rPr>
        <w:t>Magistrada ponente:</w:t>
      </w:r>
      <w:r w:rsidRPr="002B7B53">
        <w:rPr>
          <w:rFonts w:ascii="Tahoma" w:hAnsi="Tahoma" w:cs="Tahoma"/>
          <w:sz w:val="18"/>
          <w:szCs w:val="18"/>
        </w:rPr>
        <w:tab/>
        <w:t>Dra. Ana Lucía Caicedo Calderón</w:t>
      </w:r>
    </w:p>
    <w:p w:rsidR="003838A3" w:rsidRDefault="003838A3" w:rsidP="003838A3">
      <w:pPr>
        <w:spacing w:line="240" w:lineRule="auto"/>
        <w:ind w:left="2127" w:hanging="2127"/>
        <w:jc w:val="both"/>
        <w:rPr>
          <w:rFonts w:ascii="Tahoma" w:hAnsi="Tahoma" w:cs="Tahoma"/>
          <w:b/>
          <w:iCs/>
          <w:sz w:val="18"/>
          <w:szCs w:val="18"/>
        </w:rPr>
      </w:pPr>
      <w:r w:rsidRPr="00094ED8">
        <w:rPr>
          <w:rFonts w:ascii="Tahoma" w:hAnsi="Tahoma" w:cs="Tahoma"/>
          <w:sz w:val="18"/>
          <w:szCs w:val="18"/>
        </w:rPr>
        <w:t>Tema:</w:t>
      </w:r>
      <w:r w:rsidRPr="00094ED8">
        <w:rPr>
          <w:rFonts w:ascii="Tahoma" w:hAnsi="Tahoma" w:cs="Tahoma"/>
          <w:sz w:val="18"/>
          <w:szCs w:val="18"/>
        </w:rPr>
        <w:tab/>
      </w:r>
      <w:r w:rsidRPr="003838A3">
        <w:rPr>
          <w:rFonts w:ascii="Tahoma" w:hAnsi="Tahoma" w:cs="Tahoma"/>
          <w:b/>
          <w:sz w:val="18"/>
          <w:szCs w:val="18"/>
          <w:u w:val="single"/>
        </w:rPr>
        <w:t>Fecha de disfrute de la pensión de vejez:</w:t>
      </w:r>
      <w:r>
        <w:rPr>
          <w:rFonts w:ascii="Tahoma" w:hAnsi="Tahoma" w:cs="Tahoma"/>
          <w:sz w:val="18"/>
          <w:szCs w:val="18"/>
        </w:rPr>
        <w:t xml:space="preserve"> </w:t>
      </w:r>
      <w:r w:rsidRPr="00EC1480">
        <w:rPr>
          <w:rFonts w:ascii="Tahoma" w:hAnsi="Tahoma" w:cs="Tahoma"/>
          <w:sz w:val="18"/>
          <w:szCs w:val="18"/>
        </w:rPr>
        <w:t xml:space="preserve">Como regla general, </w:t>
      </w:r>
      <w:r w:rsidRPr="00EC1480">
        <w:rPr>
          <w:rFonts w:ascii="Tahoma" w:hAnsi="Tahoma" w:cs="Tahoma"/>
          <w:iCs/>
          <w:sz w:val="18"/>
          <w:szCs w:val="18"/>
        </w:rPr>
        <w:t>el criterio determinante para analizar el momento desde el cual procede el reconocimiento de la pensión, de conformidad con el artículo 13 del Acuerdo 049 de 1990, es la de desafiliación del sistema. En estas condicio</w:t>
      </w:r>
      <w:r>
        <w:rPr>
          <w:rFonts w:ascii="Tahoma" w:hAnsi="Tahoma" w:cs="Tahoma"/>
          <w:iCs/>
          <w:sz w:val="18"/>
          <w:szCs w:val="18"/>
        </w:rPr>
        <w:t>nes, la demandante únicamente se hace</w:t>
      </w:r>
      <w:r w:rsidRPr="00EC1480">
        <w:rPr>
          <w:rFonts w:ascii="Tahoma" w:hAnsi="Tahoma" w:cs="Tahoma"/>
          <w:iCs/>
          <w:sz w:val="18"/>
          <w:szCs w:val="18"/>
        </w:rPr>
        <w:t xml:space="preserve"> acreedora a la prestación económica por vejez desde la fecha señalada en que r</w:t>
      </w:r>
      <w:r>
        <w:rPr>
          <w:rFonts w:ascii="Tahoma" w:hAnsi="Tahoma" w:cs="Tahoma"/>
          <w:iCs/>
          <w:sz w:val="18"/>
          <w:szCs w:val="18"/>
        </w:rPr>
        <w:t>eportó tal novedad o en que suspendió definitivamente</w:t>
      </w:r>
      <w:r w:rsidRPr="00EC1480">
        <w:rPr>
          <w:rFonts w:ascii="Tahoma" w:hAnsi="Tahoma" w:cs="Tahoma"/>
          <w:iCs/>
          <w:sz w:val="18"/>
          <w:szCs w:val="18"/>
        </w:rPr>
        <w:t xml:space="preserve"> el </w:t>
      </w:r>
      <w:r>
        <w:rPr>
          <w:rFonts w:ascii="Tahoma" w:hAnsi="Tahoma" w:cs="Tahoma"/>
          <w:iCs/>
          <w:sz w:val="18"/>
          <w:szCs w:val="18"/>
        </w:rPr>
        <w:t>pago de sus aportes pensionales, cuando a la par presenta solicitud pensional.</w:t>
      </w:r>
    </w:p>
    <w:p w:rsidR="003838A3" w:rsidRDefault="003838A3" w:rsidP="003838A3">
      <w:pPr>
        <w:spacing w:line="240" w:lineRule="auto"/>
        <w:ind w:left="2127" w:hanging="2127"/>
        <w:rPr>
          <w:rFonts w:ascii="Tahoma" w:hAnsi="Tahoma" w:cs="Tahoma"/>
          <w:bCs/>
          <w:lang w:eastAsia="es-MX"/>
        </w:rPr>
      </w:pPr>
    </w:p>
    <w:p w:rsidR="003838A3" w:rsidRPr="003838A3" w:rsidRDefault="003838A3" w:rsidP="003838A3">
      <w:pPr>
        <w:spacing w:line="240" w:lineRule="auto"/>
        <w:ind w:left="2127" w:hanging="2127"/>
        <w:jc w:val="center"/>
        <w:rPr>
          <w:rFonts w:ascii="Tahoma" w:hAnsi="Tahoma" w:cs="Tahoma"/>
          <w:b/>
          <w:bCs/>
          <w:lang w:eastAsia="es-MX"/>
        </w:rPr>
      </w:pPr>
      <w:r w:rsidRPr="003838A3">
        <w:rPr>
          <w:rFonts w:ascii="Tahoma" w:hAnsi="Tahoma" w:cs="Tahoma"/>
          <w:b/>
          <w:bCs/>
          <w:lang w:eastAsia="es-MX"/>
        </w:rPr>
        <w:t>TRIBUNAL SUPERIOR DEL DISTRITO JUDICIAL DE PEREIRA</w:t>
      </w:r>
    </w:p>
    <w:p w:rsidR="003838A3" w:rsidRPr="003838A3" w:rsidRDefault="003838A3" w:rsidP="003838A3">
      <w:pPr>
        <w:pStyle w:val="Ttulo4"/>
        <w:widowControl w:val="0"/>
        <w:tabs>
          <w:tab w:val="clear" w:pos="0"/>
        </w:tabs>
        <w:spacing w:line="276" w:lineRule="auto"/>
        <w:rPr>
          <w:rFonts w:ascii="Tahoma" w:hAnsi="Tahoma" w:cs="Tahoma"/>
          <w:bCs/>
          <w:szCs w:val="24"/>
          <w:lang w:eastAsia="es-MX"/>
        </w:rPr>
      </w:pPr>
      <w:r w:rsidRPr="003838A3">
        <w:rPr>
          <w:rFonts w:ascii="Tahoma" w:hAnsi="Tahoma" w:cs="Tahoma"/>
          <w:bCs/>
          <w:szCs w:val="24"/>
          <w:lang w:eastAsia="es-MX"/>
        </w:rPr>
        <w:t>SALA LABORAL</w:t>
      </w:r>
    </w:p>
    <w:p w:rsidR="003838A3" w:rsidRPr="0062147A" w:rsidRDefault="003838A3" w:rsidP="003838A3">
      <w:pPr>
        <w:spacing w:line="240" w:lineRule="auto"/>
        <w:rPr>
          <w:lang w:eastAsia="es-MX"/>
        </w:rPr>
      </w:pPr>
    </w:p>
    <w:p w:rsidR="003838A3" w:rsidRPr="00EC1480" w:rsidRDefault="003838A3" w:rsidP="003838A3">
      <w:pPr>
        <w:jc w:val="center"/>
        <w:rPr>
          <w:rFonts w:ascii="Tahoma" w:hAnsi="Tahoma" w:cs="Tahoma"/>
          <w:b/>
          <w:bCs/>
          <w:sz w:val="24"/>
          <w:szCs w:val="24"/>
        </w:rPr>
      </w:pPr>
      <w:r w:rsidRPr="00EC1480">
        <w:rPr>
          <w:rFonts w:ascii="Tahoma" w:hAnsi="Tahoma" w:cs="Tahoma"/>
          <w:bCs/>
          <w:sz w:val="24"/>
          <w:szCs w:val="24"/>
        </w:rPr>
        <w:t>Magistrada Ponente:</w:t>
      </w:r>
      <w:r w:rsidRPr="00EC1480">
        <w:rPr>
          <w:rFonts w:ascii="Tahoma" w:hAnsi="Tahoma" w:cs="Tahoma"/>
          <w:b/>
          <w:bCs/>
          <w:sz w:val="24"/>
          <w:szCs w:val="24"/>
        </w:rPr>
        <w:t xml:space="preserve"> Ana Lucía Caicedo Calderón</w:t>
      </w:r>
    </w:p>
    <w:p w:rsidR="003838A3" w:rsidRPr="00EC1480" w:rsidRDefault="003838A3" w:rsidP="003838A3">
      <w:pPr>
        <w:jc w:val="center"/>
        <w:rPr>
          <w:rFonts w:ascii="Tahoma" w:hAnsi="Tahoma" w:cs="Tahoma"/>
          <w:b/>
          <w:sz w:val="24"/>
          <w:szCs w:val="24"/>
        </w:rPr>
      </w:pPr>
      <w:r w:rsidRPr="00EC1480">
        <w:rPr>
          <w:rFonts w:ascii="Tahoma" w:hAnsi="Tahoma" w:cs="Tahoma"/>
          <w:b/>
          <w:sz w:val="24"/>
          <w:szCs w:val="24"/>
        </w:rPr>
        <w:t>Acta No. ____</w:t>
      </w:r>
    </w:p>
    <w:p w:rsidR="003838A3" w:rsidRDefault="003838A3" w:rsidP="003838A3">
      <w:pPr>
        <w:jc w:val="center"/>
        <w:rPr>
          <w:rFonts w:ascii="Tahoma" w:hAnsi="Tahoma" w:cs="Tahoma"/>
          <w:b/>
          <w:sz w:val="24"/>
          <w:szCs w:val="24"/>
        </w:rPr>
      </w:pPr>
      <w:r>
        <w:rPr>
          <w:rFonts w:ascii="Tahoma" w:hAnsi="Tahoma" w:cs="Tahoma"/>
          <w:b/>
          <w:sz w:val="24"/>
          <w:szCs w:val="24"/>
        </w:rPr>
        <w:t>(Junio</w:t>
      </w:r>
      <w:r w:rsidRPr="00EC1480">
        <w:rPr>
          <w:rFonts w:ascii="Tahoma" w:hAnsi="Tahoma" w:cs="Tahoma"/>
          <w:b/>
          <w:sz w:val="24"/>
          <w:szCs w:val="24"/>
        </w:rPr>
        <w:t xml:space="preserve"> </w:t>
      </w:r>
      <w:r>
        <w:rPr>
          <w:rFonts w:ascii="Tahoma" w:hAnsi="Tahoma" w:cs="Tahoma"/>
          <w:b/>
          <w:sz w:val="24"/>
          <w:szCs w:val="24"/>
        </w:rPr>
        <w:t>10</w:t>
      </w:r>
      <w:r w:rsidRPr="00EC1480">
        <w:rPr>
          <w:rFonts w:ascii="Tahoma" w:hAnsi="Tahoma" w:cs="Tahoma"/>
          <w:b/>
          <w:sz w:val="24"/>
          <w:szCs w:val="24"/>
        </w:rPr>
        <w:t xml:space="preserve"> </w:t>
      </w:r>
      <w:r>
        <w:rPr>
          <w:rFonts w:ascii="Tahoma" w:hAnsi="Tahoma" w:cs="Tahoma"/>
          <w:b/>
          <w:sz w:val="24"/>
          <w:szCs w:val="24"/>
        </w:rPr>
        <w:t>de 2016</w:t>
      </w:r>
      <w:r w:rsidRPr="00EC1480">
        <w:rPr>
          <w:rFonts w:ascii="Tahoma" w:hAnsi="Tahoma" w:cs="Tahoma"/>
          <w:b/>
          <w:sz w:val="24"/>
          <w:szCs w:val="24"/>
        </w:rPr>
        <w:t>)</w:t>
      </w:r>
    </w:p>
    <w:p w:rsidR="003838A3" w:rsidRPr="00EC1480" w:rsidRDefault="003838A3" w:rsidP="003838A3">
      <w:pPr>
        <w:spacing w:line="240" w:lineRule="auto"/>
        <w:jc w:val="center"/>
        <w:rPr>
          <w:rFonts w:ascii="Tahoma" w:hAnsi="Tahoma" w:cs="Tahoma"/>
          <w:b/>
          <w:sz w:val="24"/>
          <w:szCs w:val="24"/>
        </w:rPr>
      </w:pPr>
    </w:p>
    <w:p w:rsidR="003838A3" w:rsidRPr="0062147A" w:rsidRDefault="003838A3" w:rsidP="003838A3">
      <w:pPr>
        <w:pStyle w:val="Ttulo5"/>
        <w:spacing w:line="276" w:lineRule="auto"/>
        <w:ind w:firstLine="0"/>
        <w:jc w:val="center"/>
        <w:rPr>
          <w:rFonts w:ascii="Tahoma" w:hAnsi="Tahoma" w:cs="Tahoma"/>
          <w:b w:val="0"/>
        </w:rPr>
      </w:pPr>
      <w:r w:rsidRPr="0062147A">
        <w:rPr>
          <w:rFonts w:ascii="Tahoma" w:hAnsi="Tahoma" w:cs="Tahoma"/>
          <w:b w:val="0"/>
        </w:rPr>
        <w:t>Sistema oral - Audiencia de juzgamiento</w:t>
      </w:r>
    </w:p>
    <w:p w:rsidR="003838A3" w:rsidRDefault="003838A3" w:rsidP="003838A3">
      <w:pPr>
        <w:spacing w:line="240" w:lineRule="auto"/>
        <w:jc w:val="both"/>
        <w:rPr>
          <w:rFonts w:ascii="Tahoma" w:hAnsi="Tahoma" w:cs="Tahoma"/>
          <w:b/>
          <w:sz w:val="24"/>
          <w:szCs w:val="24"/>
        </w:rPr>
      </w:pPr>
      <w:r w:rsidRPr="00EC1480">
        <w:rPr>
          <w:rFonts w:ascii="Tahoma" w:hAnsi="Tahoma" w:cs="Tahoma"/>
          <w:b/>
          <w:sz w:val="24"/>
          <w:szCs w:val="24"/>
        </w:rPr>
        <w:tab/>
      </w:r>
    </w:p>
    <w:p w:rsidR="003838A3" w:rsidRPr="003838A3" w:rsidRDefault="003838A3" w:rsidP="003838A3">
      <w:pPr>
        <w:jc w:val="both"/>
        <w:rPr>
          <w:rFonts w:ascii="Tahoma" w:hAnsi="Tahoma" w:cs="Tahoma"/>
          <w:b/>
          <w:sz w:val="24"/>
          <w:szCs w:val="24"/>
        </w:rPr>
      </w:pPr>
      <w:r>
        <w:rPr>
          <w:rFonts w:ascii="Tahoma" w:hAnsi="Tahoma" w:cs="Tahoma"/>
          <w:b/>
          <w:sz w:val="24"/>
          <w:szCs w:val="24"/>
        </w:rPr>
        <w:tab/>
      </w:r>
      <w:r>
        <w:rPr>
          <w:rFonts w:ascii="Tahoma" w:hAnsi="Tahoma" w:cs="Tahoma"/>
          <w:sz w:val="24"/>
          <w:szCs w:val="24"/>
        </w:rPr>
        <w:t>Siendo</w:t>
      </w:r>
      <w:r w:rsidRPr="00EC1480">
        <w:rPr>
          <w:rFonts w:ascii="Tahoma" w:hAnsi="Tahoma" w:cs="Tahoma"/>
          <w:sz w:val="24"/>
          <w:szCs w:val="24"/>
          <w:lang w:val="es-ES_tradnl"/>
        </w:rPr>
        <w:t xml:space="preserve"> las 10:20 a.m. de hoy, </w:t>
      </w:r>
      <w:r>
        <w:rPr>
          <w:rFonts w:ascii="Tahoma" w:hAnsi="Tahoma" w:cs="Tahoma"/>
          <w:sz w:val="24"/>
          <w:szCs w:val="24"/>
          <w:lang w:val="es-ES_tradnl"/>
        </w:rPr>
        <w:t>viernes 10</w:t>
      </w:r>
      <w:r w:rsidRPr="00EC1480">
        <w:rPr>
          <w:rFonts w:ascii="Tahoma" w:hAnsi="Tahoma" w:cs="Tahoma"/>
          <w:sz w:val="24"/>
          <w:szCs w:val="24"/>
          <w:lang w:val="es-ES_tradnl"/>
        </w:rPr>
        <w:t xml:space="preserve"> de </w:t>
      </w:r>
      <w:r>
        <w:rPr>
          <w:rFonts w:ascii="Tahoma" w:hAnsi="Tahoma" w:cs="Tahoma"/>
          <w:sz w:val="24"/>
          <w:szCs w:val="24"/>
          <w:lang w:val="es-ES_tradnl"/>
        </w:rPr>
        <w:t>junio de 2016</w:t>
      </w:r>
      <w:r w:rsidRPr="00EC1480">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Pr>
          <w:rFonts w:ascii="Tahoma" w:hAnsi="Tahoma" w:cs="Tahoma"/>
          <w:b/>
          <w:sz w:val="24"/>
          <w:szCs w:val="24"/>
          <w:lang w:val="es-ES_tradnl"/>
        </w:rPr>
        <w:t xml:space="preserve">MARTHA LUCIA QUIRAMA ECHEVERRY </w:t>
      </w:r>
      <w:r w:rsidRPr="00EC1480">
        <w:rPr>
          <w:rFonts w:ascii="Tahoma" w:hAnsi="Tahoma" w:cs="Tahoma"/>
          <w:sz w:val="24"/>
          <w:szCs w:val="24"/>
          <w:lang w:val="es-ES_tradnl"/>
        </w:rPr>
        <w:t xml:space="preserve">en contra de la </w:t>
      </w:r>
      <w:r w:rsidRPr="00EC1480">
        <w:rPr>
          <w:rFonts w:ascii="Tahoma" w:hAnsi="Tahoma" w:cs="Tahoma"/>
          <w:b/>
          <w:sz w:val="24"/>
          <w:szCs w:val="24"/>
          <w:lang w:val="es-ES_tradnl"/>
        </w:rPr>
        <w:t>ADMINISTRADORA COLOMBIANA DE PENSIONES –COLPENSIONES-</w:t>
      </w:r>
      <w:r w:rsidRPr="00EC1480">
        <w:rPr>
          <w:rFonts w:ascii="Tahoma" w:hAnsi="Tahoma" w:cs="Tahoma"/>
          <w:sz w:val="24"/>
          <w:szCs w:val="24"/>
        </w:rPr>
        <w:t xml:space="preserve"> </w:t>
      </w:r>
      <w:r w:rsidRPr="00EC1480">
        <w:rPr>
          <w:rFonts w:ascii="Tahoma" w:hAnsi="Tahoma" w:cs="Tahoma"/>
          <w:sz w:val="24"/>
          <w:szCs w:val="24"/>
          <w:lang w:val="es-ES_tradnl"/>
        </w:rPr>
        <w:t>Para el efecto, se verifica la asistencia de las partes a la presente diligencia: Por la parte demandante… Por la demandada…</w:t>
      </w:r>
    </w:p>
    <w:p w:rsidR="003838A3" w:rsidRPr="00EC1480" w:rsidRDefault="003838A3" w:rsidP="003838A3">
      <w:pPr>
        <w:spacing w:line="240" w:lineRule="auto"/>
        <w:ind w:firstLine="1122"/>
        <w:jc w:val="both"/>
        <w:rPr>
          <w:rFonts w:ascii="Tahoma" w:hAnsi="Tahoma" w:cs="Tahoma"/>
          <w:caps/>
          <w:sz w:val="24"/>
          <w:szCs w:val="24"/>
          <w:lang w:val="es-ES_tradnl"/>
        </w:rPr>
      </w:pPr>
    </w:p>
    <w:p w:rsidR="003838A3" w:rsidRPr="00EC1480" w:rsidRDefault="003838A3" w:rsidP="003838A3">
      <w:pPr>
        <w:widowControl w:val="0"/>
        <w:autoSpaceDE w:val="0"/>
        <w:autoSpaceDN w:val="0"/>
        <w:adjustRightInd w:val="0"/>
        <w:jc w:val="center"/>
        <w:rPr>
          <w:rFonts w:ascii="Tahoma" w:hAnsi="Tahoma" w:cs="Tahoma"/>
          <w:b/>
          <w:caps/>
          <w:sz w:val="24"/>
          <w:szCs w:val="24"/>
        </w:rPr>
      </w:pPr>
      <w:r w:rsidRPr="00EC1480">
        <w:rPr>
          <w:rFonts w:ascii="Tahoma" w:hAnsi="Tahoma" w:cs="Tahoma"/>
          <w:b/>
          <w:caps/>
          <w:sz w:val="24"/>
          <w:szCs w:val="24"/>
        </w:rPr>
        <w:t>Alegatos de conclusión</w:t>
      </w:r>
    </w:p>
    <w:p w:rsidR="003838A3" w:rsidRPr="00EC1480" w:rsidRDefault="003838A3" w:rsidP="003838A3">
      <w:pPr>
        <w:widowControl w:val="0"/>
        <w:autoSpaceDE w:val="0"/>
        <w:autoSpaceDN w:val="0"/>
        <w:adjustRightInd w:val="0"/>
        <w:spacing w:line="240" w:lineRule="auto"/>
        <w:jc w:val="both"/>
        <w:rPr>
          <w:rFonts w:ascii="Tahoma" w:hAnsi="Tahoma" w:cs="Tahoma"/>
          <w:sz w:val="24"/>
          <w:szCs w:val="24"/>
        </w:rPr>
      </w:pPr>
    </w:p>
    <w:p w:rsidR="003838A3" w:rsidRPr="00EC1480" w:rsidRDefault="003838A3" w:rsidP="003838A3">
      <w:pPr>
        <w:ind w:firstLine="708"/>
        <w:jc w:val="both"/>
        <w:rPr>
          <w:rFonts w:ascii="Tahoma" w:hAnsi="Tahoma" w:cs="Tahoma"/>
          <w:sz w:val="24"/>
          <w:szCs w:val="24"/>
          <w:lang w:val="es-ES_tradnl"/>
        </w:rPr>
      </w:pPr>
      <w:r w:rsidRPr="00EC1480">
        <w:rPr>
          <w:rFonts w:ascii="Tahoma" w:hAnsi="Tahoma" w:cs="Tahoma"/>
          <w:sz w:val="24"/>
          <w:szCs w:val="24"/>
          <w:lang w:val="es-ES_tradnl"/>
        </w:rPr>
        <w:t>De conformidad con el artículo 82 del C.P.T y de la s.s., modificado por el artículo 13 de la Ley 1149 de 2007, se concede el uso de la palabra</w:t>
      </w:r>
      <w:r>
        <w:rPr>
          <w:rFonts w:ascii="Tahoma" w:hAnsi="Tahoma" w:cs="Tahoma"/>
          <w:sz w:val="24"/>
          <w:szCs w:val="24"/>
          <w:lang w:val="es-ES_tradnl"/>
        </w:rPr>
        <w:t xml:space="preserve"> a las partes para que expongan</w:t>
      </w:r>
      <w:r w:rsidRPr="00EC1480">
        <w:rPr>
          <w:rFonts w:ascii="Tahoma" w:hAnsi="Tahoma" w:cs="Tahoma"/>
          <w:sz w:val="24"/>
          <w:szCs w:val="24"/>
          <w:lang w:val="es-ES_tradnl"/>
        </w:rPr>
        <w:t xml:space="preserve"> sus alegatos de conclusión. Por la parte demandante… Por la parte demandada…</w:t>
      </w:r>
    </w:p>
    <w:p w:rsidR="003838A3" w:rsidRPr="00EC1480" w:rsidRDefault="003838A3" w:rsidP="003838A3">
      <w:pPr>
        <w:spacing w:line="240" w:lineRule="auto"/>
        <w:ind w:firstLine="708"/>
        <w:jc w:val="both"/>
        <w:rPr>
          <w:rFonts w:ascii="Tahoma" w:hAnsi="Tahoma" w:cs="Tahoma"/>
          <w:sz w:val="24"/>
          <w:szCs w:val="24"/>
          <w:lang w:val="es-ES_tradnl"/>
        </w:rPr>
      </w:pPr>
    </w:p>
    <w:p w:rsidR="003838A3" w:rsidRPr="00EC1480" w:rsidRDefault="003838A3" w:rsidP="003838A3">
      <w:pPr>
        <w:widowControl w:val="0"/>
        <w:autoSpaceDE w:val="0"/>
        <w:autoSpaceDN w:val="0"/>
        <w:adjustRightInd w:val="0"/>
        <w:jc w:val="center"/>
        <w:rPr>
          <w:rFonts w:ascii="Tahoma" w:hAnsi="Tahoma" w:cs="Tahoma"/>
          <w:b/>
          <w:sz w:val="24"/>
          <w:szCs w:val="24"/>
        </w:rPr>
      </w:pPr>
      <w:r w:rsidRPr="00EC1480">
        <w:rPr>
          <w:rFonts w:ascii="Tahoma" w:hAnsi="Tahoma" w:cs="Tahoma"/>
          <w:b/>
          <w:sz w:val="24"/>
          <w:szCs w:val="24"/>
        </w:rPr>
        <w:t>SENTENCIA</w:t>
      </w:r>
    </w:p>
    <w:p w:rsidR="003838A3" w:rsidRPr="00EC1480" w:rsidRDefault="003838A3" w:rsidP="003838A3">
      <w:pPr>
        <w:widowControl w:val="0"/>
        <w:autoSpaceDE w:val="0"/>
        <w:autoSpaceDN w:val="0"/>
        <w:adjustRightInd w:val="0"/>
        <w:spacing w:line="240" w:lineRule="auto"/>
        <w:jc w:val="center"/>
        <w:rPr>
          <w:rFonts w:ascii="Tahoma" w:hAnsi="Tahoma" w:cs="Tahoma"/>
          <w:b/>
          <w:sz w:val="24"/>
          <w:szCs w:val="24"/>
        </w:rPr>
      </w:pPr>
    </w:p>
    <w:p w:rsidR="003838A3" w:rsidRPr="003838A3" w:rsidRDefault="003838A3" w:rsidP="003838A3">
      <w:pPr>
        <w:widowControl w:val="0"/>
        <w:autoSpaceDE w:val="0"/>
        <w:autoSpaceDN w:val="0"/>
        <w:adjustRightInd w:val="0"/>
        <w:ind w:firstLine="708"/>
        <w:jc w:val="both"/>
        <w:rPr>
          <w:rFonts w:ascii="Tahoma" w:hAnsi="Tahoma" w:cs="Tahoma"/>
          <w:sz w:val="24"/>
          <w:szCs w:val="24"/>
        </w:rPr>
      </w:pPr>
      <w:r w:rsidRPr="003838A3">
        <w:rPr>
          <w:rFonts w:ascii="Tahoma" w:hAnsi="Tahoma" w:cs="Tahoma"/>
          <w:sz w:val="24"/>
          <w:szCs w:val="24"/>
        </w:rPr>
        <w:t xml:space="preserve">Como quiera que los alegatos coinciden a cabalidad con los puntos fácticos y jurídicos objeto de discusión en </w:t>
      </w:r>
      <w:r>
        <w:rPr>
          <w:rFonts w:ascii="Tahoma" w:hAnsi="Tahoma" w:cs="Tahoma"/>
          <w:sz w:val="24"/>
          <w:szCs w:val="24"/>
        </w:rPr>
        <w:t>esta instancia, procede la Sala, constituida en sede consulta, a examinar la legalidad de la decisión proferida por e</w:t>
      </w:r>
      <w:r w:rsidRPr="003838A3">
        <w:rPr>
          <w:rFonts w:ascii="Tahoma" w:hAnsi="Tahoma" w:cs="Tahoma"/>
          <w:sz w:val="24"/>
          <w:szCs w:val="24"/>
        </w:rPr>
        <w:t>l Juzgado Segundo Laboral del Circuito de Pereira el día 20 de febrero de 2015, dentro del</w:t>
      </w:r>
      <w:r>
        <w:rPr>
          <w:rFonts w:ascii="Tahoma" w:hAnsi="Tahoma" w:cs="Tahoma"/>
          <w:sz w:val="24"/>
          <w:szCs w:val="24"/>
        </w:rPr>
        <w:t xml:space="preserve"> Proceso Ordinario L</w:t>
      </w:r>
      <w:r w:rsidRPr="003838A3">
        <w:rPr>
          <w:rFonts w:ascii="Tahoma" w:hAnsi="Tahoma" w:cs="Tahoma"/>
          <w:sz w:val="24"/>
          <w:szCs w:val="24"/>
        </w:rPr>
        <w:t>a</w:t>
      </w:r>
      <w:r>
        <w:rPr>
          <w:rFonts w:ascii="Tahoma" w:hAnsi="Tahoma" w:cs="Tahoma"/>
          <w:sz w:val="24"/>
          <w:szCs w:val="24"/>
        </w:rPr>
        <w:t xml:space="preserve">boral reseñado con anterioridad, en razón a que la entidad pública demandada resultó condenada en primera instancia. </w:t>
      </w:r>
    </w:p>
    <w:p w:rsidR="003838A3" w:rsidRPr="00EC1480" w:rsidRDefault="003838A3" w:rsidP="003838A3">
      <w:pPr>
        <w:widowControl w:val="0"/>
        <w:autoSpaceDE w:val="0"/>
        <w:autoSpaceDN w:val="0"/>
        <w:adjustRightInd w:val="0"/>
        <w:spacing w:line="240" w:lineRule="auto"/>
        <w:ind w:firstLine="708"/>
        <w:jc w:val="both"/>
        <w:rPr>
          <w:rFonts w:ascii="Tahoma" w:hAnsi="Tahoma" w:cs="Tahoma"/>
          <w:caps/>
          <w:sz w:val="24"/>
          <w:szCs w:val="24"/>
        </w:rPr>
      </w:pPr>
    </w:p>
    <w:p w:rsidR="003838A3" w:rsidRPr="00EC1480" w:rsidRDefault="003838A3" w:rsidP="003838A3">
      <w:pPr>
        <w:widowControl w:val="0"/>
        <w:autoSpaceDE w:val="0"/>
        <w:autoSpaceDN w:val="0"/>
        <w:adjustRightInd w:val="0"/>
        <w:jc w:val="center"/>
        <w:rPr>
          <w:rFonts w:ascii="Tahoma" w:hAnsi="Tahoma" w:cs="Tahoma"/>
          <w:b/>
          <w:bCs/>
          <w:caps/>
          <w:sz w:val="24"/>
          <w:szCs w:val="24"/>
        </w:rPr>
      </w:pPr>
      <w:r w:rsidRPr="00EC1480">
        <w:rPr>
          <w:rFonts w:ascii="Tahoma" w:hAnsi="Tahoma" w:cs="Tahoma"/>
          <w:b/>
          <w:bCs/>
          <w:caps/>
          <w:sz w:val="24"/>
          <w:szCs w:val="24"/>
        </w:rPr>
        <w:t>Problema jurídico por resolver</w:t>
      </w:r>
    </w:p>
    <w:p w:rsidR="003838A3" w:rsidRPr="00EC1480" w:rsidRDefault="003838A3" w:rsidP="003838A3">
      <w:pPr>
        <w:widowControl w:val="0"/>
        <w:tabs>
          <w:tab w:val="left" w:pos="748"/>
        </w:tabs>
        <w:autoSpaceDE w:val="0"/>
        <w:autoSpaceDN w:val="0"/>
        <w:adjustRightInd w:val="0"/>
        <w:spacing w:line="240" w:lineRule="auto"/>
        <w:ind w:left="748"/>
        <w:jc w:val="center"/>
        <w:rPr>
          <w:rFonts w:ascii="Tahoma" w:hAnsi="Tahoma" w:cs="Tahoma"/>
          <w:b/>
          <w:bCs/>
          <w:sz w:val="24"/>
          <w:szCs w:val="24"/>
        </w:rPr>
      </w:pPr>
    </w:p>
    <w:p w:rsidR="004370AF" w:rsidRDefault="003838A3" w:rsidP="003838A3">
      <w:pPr>
        <w:tabs>
          <w:tab w:val="left" w:pos="567"/>
        </w:tabs>
        <w:jc w:val="both"/>
        <w:rPr>
          <w:rFonts w:ascii="Tahoma" w:hAnsi="Tahoma" w:cs="Tahoma"/>
          <w:sz w:val="24"/>
          <w:szCs w:val="24"/>
        </w:rPr>
      </w:pPr>
      <w:r w:rsidRPr="00EC1480">
        <w:rPr>
          <w:rFonts w:ascii="Tahoma" w:hAnsi="Tahoma" w:cs="Tahoma"/>
          <w:sz w:val="24"/>
          <w:szCs w:val="24"/>
        </w:rPr>
        <w:tab/>
      </w:r>
      <w:r>
        <w:rPr>
          <w:rFonts w:ascii="Tahoma" w:hAnsi="Tahoma" w:cs="Tahoma"/>
          <w:sz w:val="24"/>
          <w:szCs w:val="24"/>
        </w:rPr>
        <w:t>De acuerdo a lo expuesto en la sentencia de primera instancia le corre</w:t>
      </w:r>
      <w:r w:rsidR="004370AF">
        <w:rPr>
          <w:rFonts w:ascii="Tahoma" w:hAnsi="Tahoma" w:cs="Tahoma"/>
          <w:sz w:val="24"/>
          <w:szCs w:val="24"/>
        </w:rPr>
        <w:t xml:space="preserve">sponde a la sala determinar: 1) </w:t>
      </w:r>
      <w:r w:rsidRPr="00187D44">
        <w:rPr>
          <w:rFonts w:ascii="Tahoma" w:hAnsi="Tahoma" w:cs="Tahoma"/>
          <w:sz w:val="24"/>
          <w:szCs w:val="24"/>
        </w:rPr>
        <w:t>¿q</w:t>
      </w:r>
      <w:r w:rsidR="00137335">
        <w:rPr>
          <w:rFonts w:ascii="Tahoma" w:hAnsi="Tahoma" w:cs="Tahoma"/>
          <w:sz w:val="24"/>
          <w:szCs w:val="24"/>
        </w:rPr>
        <w:t>ué  tasa de re</w:t>
      </w:r>
      <w:r w:rsidR="004370AF">
        <w:rPr>
          <w:rFonts w:ascii="Tahoma" w:hAnsi="Tahoma" w:cs="Tahoma"/>
          <w:sz w:val="24"/>
          <w:szCs w:val="24"/>
        </w:rPr>
        <w:t>e</w:t>
      </w:r>
      <w:r w:rsidR="00137335">
        <w:rPr>
          <w:rFonts w:ascii="Tahoma" w:hAnsi="Tahoma" w:cs="Tahoma"/>
          <w:sz w:val="24"/>
          <w:szCs w:val="24"/>
        </w:rPr>
        <w:t xml:space="preserve">mplazo se debe </w:t>
      </w:r>
      <w:r w:rsidRPr="00187D44">
        <w:rPr>
          <w:rFonts w:ascii="Tahoma" w:hAnsi="Tahoma" w:cs="Tahoma"/>
          <w:sz w:val="24"/>
          <w:szCs w:val="24"/>
        </w:rPr>
        <w:t>aplicar</w:t>
      </w:r>
      <w:r w:rsidR="00137335">
        <w:rPr>
          <w:rFonts w:ascii="Tahoma" w:hAnsi="Tahoma" w:cs="Tahoma"/>
          <w:sz w:val="24"/>
          <w:szCs w:val="24"/>
        </w:rPr>
        <w:t xml:space="preserve"> de</w:t>
      </w:r>
      <w:r w:rsidRPr="00187D44">
        <w:rPr>
          <w:rFonts w:ascii="Tahoma" w:hAnsi="Tahoma" w:cs="Tahoma"/>
          <w:sz w:val="24"/>
          <w:szCs w:val="24"/>
        </w:rPr>
        <w:t xml:space="preserve"> acuerdo al número de semanas cotizadas</w:t>
      </w:r>
      <w:r w:rsidR="00137335">
        <w:rPr>
          <w:rFonts w:ascii="Tahoma" w:hAnsi="Tahoma" w:cs="Tahoma"/>
          <w:sz w:val="24"/>
          <w:szCs w:val="24"/>
        </w:rPr>
        <w:t xml:space="preserve"> por la demandante</w:t>
      </w:r>
      <w:r w:rsidR="004370AF">
        <w:rPr>
          <w:rFonts w:ascii="Tahoma" w:hAnsi="Tahoma" w:cs="Tahoma"/>
          <w:sz w:val="24"/>
          <w:szCs w:val="24"/>
        </w:rPr>
        <w:t>?, ¿en</w:t>
      </w:r>
      <w:r w:rsidRPr="00187D44">
        <w:rPr>
          <w:rFonts w:ascii="Tahoma" w:hAnsi="Tahoma" w:cs="Tahoma"/>
          <w:sz w:val="24"/>
          <w:szCs w:val="24"/>
        </w:rPr>
        <w:t xml:space="preserve"> qué momento se hace efectivo</w:t>
      </w:r>
      <w:r w:rsidR="004370AF">
        <w:rPr>
          <w:rFonts w:ascii="Tahoma" w:hAnsi="Tahoma" w:cs="Tahoma"/>
          <w:sz w:val="24"/>
          <w:szCs w:val="24"/>
        </w:rPr>
        <w:t xml:space="preserve"> el goce de la pensión de vejez?</w:t>
      </w:r>
    </w:p>
    <w:p w:rsidR="004370AF" w:rsidRDefault="004370AF" w:rsidP="004370AF">
      <w:pPr>
        <w:tabs>
          <w:tab w:val="left" w:pos="567"/>
        </w:tabs>
        <w:spacing w:line="240" w:lineRule="auto"/>
        <w:jc w:val="both"/>
        <w:rPr>
          <w:rFonts w:ascii="Tahoma" w:hAnsi="Tahoma" w:cs="Tahoma"/>
          <w:sz w:val="24"/>
          <w:szCs w:val="24"/>
        </w:rPr>
      </w:pPr>
    </w:p>
    <w:p w:rsidR="004370AF" w:rsidRDefault="004370AF" w:rsidP="004370AF">
      <w:pPr>
        <w:tabs>
          <w:tab w:val="left" w:pos="567"/>
        </w:tabs>
        <w:spacing w:line="240" w:lineRule="auto"/>
        <w:jc w:val="both"/>
        <w:rPr>
          <w:rFonts w:ascii="Tahoma" w:hAnsi="Tahoma" w:cs="Tahoma"/>
          <w:sz w:val="24"/>
          <w:szCs w:val="24"/>
        </w:rPr>
      </w:pPr>
    </w:p>
    <w:p w:rsidR="00844458" w:rsidRPr="00844458" w:rsidRDefault="00844458" w:rsidP="00844458">
      <w:pPr>
        <w:pStyle w:val="Prrafodelista"/>
        <w:numPr>
          <w:ilvl w:val="0"/>
          <w:numId w:val="2"/>
        </w:numPr>
        <w:tabs>
          <w:tab w:val="left" w:pos="0"/>
        </w:tabs>
        <w:ind w:left="0" w:firstLine="0"/>
        <w:jc w:val="center"/>
        <w:rPr>
          <w:rFonts w:ascii="Tahoma" w:hAnsi="Tahoma" w:cs="Tahoma"/>
          <w:b/>
          <w:sz w:val="24"/>
          <w:szCs w:val="24"/>
        </w:rPr>
      </w:pPr>
      <w:r w:rsidRPr="00844458">
        <w:rPr>
          <w:rFonts w:ascii="Tahoma" w:hAnsi="Tahoma" w:cs="Tahoma"/>
          <w:b/>
          <w:sz w:val="24"/>
          <w:szCs w:val="24"/>
        </w:rPr>
        <w:lastRenderedPageBreak/>
        <w:t>DEMANDA, CONTESTACIÓN</w:t>
      </w:r>
    </w:p>
    <w:p w:rsidR="003838A3" w:rsidRDefault="003838A3" w:rsidP="004370AF">
      <w:pPr>
        <w:tabs>
          <w:tab w:val="left" w:pos="567"/>
        </w:tabs>
        <w:spacing w:line="240" w:lineRule="auto"/>
        <w:jc w:val="both"/>
        <w:rPr>
          <w:rFonts w:ascii="Tahoma" w:hAnsi="Tahoma" w:cs="Tahoma"/>
          <w:sz w:val="24"/>
          <w:szCs w:val="24"/>
        </w:rPr>
      </w:pPr>
    </w:p>
    <w:p w:rsidR="004447B1" w:rsidRPr="00844458" w:rsidRDefault="00370040" w:rsidP="006D5062">
      <w:pPr>
        <w:jc w:val="both"/>
        <w:rPr>
          <w:lang w:val="es-CO"/>
        </w:rPr>
      </w:pPr>
      <w:r>
        <w:rPr>
          <w:lang w:val="es-CO"/>
        </w:rPr>
        <w:tab/>
      </w:r>
      <w:r w:rsidR="00705743">
        <w:rPr>
          <w:rFonts w:ascii="Tahoma" w:hAnsi="Tahoma" w:cs="Tahoma"/>
          <w:sz w:val="24"/>
          <w:szCs w:val="24"/>
          <w:lang w:val="es-CO"/>
        </w:rPr>
        <w:t>La promotora del litigio</w:t>
      </w:r>
      <w:r w:rsidR="004F4748">
        <w:rPr>
          <w:rFonts w:ascii="Tahoma" w:hAnsi="Tahoma" w:cs="Tahoma"/>
          <w:sz w:val="24"/>
          <w:szCs w:val="24"/>
          <w:lang w:val="es-CO"/>
        </w:rPr>
        <w:t xml:space="preserve"> aduce que </w:t>
      </w:r>
      <w:r w:rsidR="00705743">
        <w:rPr>
          <w:rFonts w:ascii="Tahoma" w:hAnsi="Tahoma" w:cs="Tahoma"/>
          <w:sz w:val="24"/>
          <w:szCs w:val="24"/>
          <w:lang w:val="es-CO"/>
        </w:rPr>
        <w:t>su contraparte,</w:t>
      </w:r>
      <w:r w:rsidRPr="006D5062">
        <w:rPr>
          <w:rFonts w:ascii="Tahoma" w:hAnsi="Tahoma" w:cs="Tahoma"/>
          <w:sz w:val="24"/>
          <w:szCs w:val="24"/>
          <w:lang w:val="es-CO"/>
        </w:rPr>
        <w:t xml:space="preserve"> mediante Resolución No. </w:t>
      </w:r>
      <w:r w:rsidRPr="002B6AB9">
        <w:rPr>
          <w:rFonts w:ascii="Tahoma" w:hAnsi="Tahoma" w:cs="Tahoma"/>
          <w:sz w:val="24"/>
          <w:szCs w:val="24"/>
          <w:u w:val="single"/>
          <w:lang w:val="es-CO"/>
        </w:rPr>
        <w:t>VPB 6220 del 30 de abril de 2014</w:t>
      </w:r>
      <w:r w:rsidRPr="006D5062">
        <w:rPr>
          <w:rFonts w:ascii="Tahoma" w:hAnsi="Tahoma" w:cs="Tahoma"/>
          <w:sz w:val="24"/>
          <w:szCs w:val="24"/>
          <w:lang w:val="es-CO"/>
        </w:rPr>
        <w:t xml:space="preserve"> </w:t>
      </w:r>
      <w:r w:rsidR="006D5062" w:rsidRPr="006D5062">
        <w:rPr>
          <w:rFonts w:ascii="Tahoma" w:hAnsi="Tahoma" w:cs="Tahoma"/>
          <w:sz w:val="24"/>
          <w:szCs w:val="24"/>
          <w:lang w:val="es-CO"/>
        </w:rPr>
        <w:t xml:space="preserve">(Fl. 12 y s.s.) </w:t>
      </w:r>
      <w:r w:rsidRPr="006D5062">
        <w:rPr>
          <w:rFonts w:ascii="Tahoma" w:hAnsi="Tahoma" w:cs="Tahoma"/>
          <w:sz w:val="24"/>
          <w:szCs w:val="24"/>
          <w:lang w:val="es-CO"/>
        </w:rPr>
        <w:t xml:space="preserve">confirmó en todas sus partes la Resolución No. </w:t>
      </w:r>
      <w:r w:rsidR="006D5062" w:rsidRPr="002B6AB9">
        <w:rPr>
          <w:rFonts w:ascii="Tahoma" w:hAnsi="Tahoma" w:cs="Tahoma"/>
          <w:sz w:val="24"/>
          <w:szCs w:val="24"/>
          <w:u w:val="single"/>
          <w:lang w:val="es-CO"/>
        </w:rPr>
        <w:t>GNR del 30 de abril de 2013</w:t>
      </w:r>
      <w:r w:rsidR="006D5062" w:rsidRPr="006D5062">
        <w:rPr>
          <w:rFonts w:ascii="Tahoma" w:hAnsi="Tahoma" w:cs="Tahoma"/>
          <w:sz w:val="24"/>
          <w:szCs w:val="24"/>
          <w:lang w:val="es-CO"/>
        </w:rPr>
        <w:t xml:space="preserve"> (Fl. 23 y s.s.), </w:t>
      </w:r>
      <w:r w:rsidR="00705743">
        <w:rPr>
          <w:rFonts w:ascii="Tahoma" w:hAnsi="Tahoma" w:cs="Tahoma"/>
          <w:sz w:val="24"/>
          <w:szCs w:val="24"/>
          <w:lang w:val="es-CO"/>
        </w:rPr>
        <w:t>p</w:t>
      </w:r>
      <w:r w:rsidR="004370AF">
        <w:rPr>
          <w:rFonts w:ascii="Tahoma" w:hAnsi="Tahoma" w:cs="Tahoma"/>
          <w:sz w:val="24"/>
          <w:szCs w:val="24"/>
          <w:lang w:val="es-CO"/>
        </w:rPr>
        <w:t>or medio de la cual le reconocieron</w:t>
      </w:r>
      <w:r w:rsidR="00705743">
        <w:rPr>
          <w:rFonts w:ascii="Tahoma" w:hAnsi="Tahoma" w:cs="Tahoma"/>
          <w:sz w:val="24"/>
          <w:szCs w:val="24"/>
          <w:lang w:val="es-CO"/>
        </w:rPr>
        <w:t xml:space="preserve"> </w:t>
      </w:r>
      <w:r w:rsidRPr="006D5062">
        <w:rPr>
          <w:rFonts w:ascii="Tahoma" w:hAnsi="Tahoma" w:cs="Tahoma"/>
          <w:sz w:val="24"/>
          <w:szCs w:val="24"/>
          <w:lang w:val="es-CO"/>
        </w:rPr>
        <w:t xml:space="preserve">pensión de vejez a partir del 1º de mayo de 2013, en cuantía de </w:t>
      </w:r>
      <w:r w:rsidRPr="006D5062">
        <w:rPr>
          <w:rFonts w:ascii="Tahoma" w:hAnsi="Tahoma" w:cs="Tahoma"/>
          <w:b/>
          <w:caps/>
          <w:sz w:val="24"/>
          <w:szCs w:val="24"/>
          <w:lang w:val="es-CO"/>
        </w:rPr>
        <w:t>$1.748.302</w:t>
      </w:r>
      <w:r w:rsidRPr="006D5062">
        <w:rPr>
          <w:rFonts w:ascii="Tahoma" w:hAnsi="Tahoma" w:cs="Tahoma"/>
          <w:sz w:val="24"/>
          <w:szCs w:val="24"/>
          <w:lang w:val="es-CO"/>
        </w:rPr>
        <w:t>, correspondiente a un IBL de</w:t>
      </w:r>
      <w:r w:rsidR="006D5062" w:rsidRPr="006D5062">
        <w:rPr>
          <w:rFonts w:ascii="Tahoma" w:hAnsi="Tahoma" w:cs="Tahoma"/>
          <w:sz w:val="24"/>
          <w:szCs w:val="24"/>
          <w:lang w:val="es-CO"/>
        </w:rPr>
        <w:t xml:space="preserve"> $2.009.543, sobre el cual aplicó una tasa de reemplazo de 87%</w:t>
      </w:r>
      <w:r w:rsidR="006D5062">
        <w:rPr>
          <w:rFonts w:ascii="Tahoma" w:hAnsi="Tahoma" w:cs="Tahoma"/>
          <w:sz w:val="24"/>
          <w:szCs w:val="24"/>
          <w:lang w:val="es-CO"/>
        </w:rPr>
        <w:t>, correspondiente a 1219 semanas cotizadas.</w:t>
      </w:r>
    </w:p>
    <w:p w:rsidR="006D5062" w:rsidRDefault="006D5062" w:rsidP="004370AF">
      <w:pPr>
        <w:spacing w:line="240" w:lineRule="auto"/>
        <w:jc w:val="both"/>
        <w:rPr>
          <w:rFonts w:ascii="Tahoma" w:hAnsi="Tahoma" w:cs="Tahoma"/>
          <w:sz w:val="24"/>
          <w:szCs w:val="24"/>
          <w:lang w:val="es-CO"/>
        </w:rPr>
      </w:pPr>
    </w:p>
    <w:p w:rsidR="00705743" w:rsidRDefault="006D5062" w:rsidP="006D5062">
      <w:pPr>
        <w:jc w:val="both"/>
        <w:rPr>
          <w:rFonts w:ascii="Tahoma" w:hAnsi="Tahoma" w:cs="Tahoma"/>
          <w:sz w:val="24"/>
          <w:szCs w:val="24"/>
          <w:lang w:val="es-CO"/>
        </w:rPr>
      </w:pPr>
      <w:r>
        <w:rPr>
          <w:rFonts w:ascii="Tahoma" w:hAnsi="Tahoma" w:cs="Tahoma"/>
          <w:sz w:val="24"/>
          <w:szCs w:val="24"/>
          <w:lang w:val="es-CO"/>
        </w:rPr>
        <w:tab/>
      </w:r>
      <w:r w:rsidR="00273C21">
        <w:rPr>
          <w:rFonts w:ascii="Tahoma" w:hAnsi="Tahoma" w:cs="Tahoma"/>
          <w:sz w:val="24"/>
          <w:szCs w:val="24"/>
          <w:lang w:val="es-CO"/>
        </w:rPr>
        <w:t>Co</w:t>
      </w:r>
      <w:r w:rsidR="00705743">
        <w:rPr>
          <w:rFonts w:ascii="Tahoma" w:hAnsi="Tahoma" w:cs="Tahoma"/>
          <w:sz w:val="24"/>
          <w:szCs w:val="24"/>
          <w:lang w:val="es-CO"/>
        </w:rPr>
        <w:t>nsidera la actora</w:t>
      </w:r>
      <w:r w:rsidR="00273C21">
        <w:rPr>
          <w:rFonts w:ascii="Tahoma" w:hAnsi="Tahoma" w:cs="Tahoma"/>
          <w:sz w:val="24"/>
          <w:szCs w:val="24"/>
          <w:lang w:val="es-CO"/>
        </w:rPr>
        <w:t xml:space="preserve"> que tiene derecho al </w:t>
      </w:r>
      <w:r>
        <w:rPr>
          <w:rFonts w:ascii="Tahoma" w:hAnsi="Tahoma" w:cs="Tahoma"/>
          <w:sz w:val="24"/>
          <w:szCs w:val="24"/>
          <w:lang w:val="es-CO"/>
        </w:rPr>
        <w:t>reconocimiento</w:t>
      </w:r>
      <w:r w:rsidR="002B6AB9">
        <w:rPr>
          <w:rFonts w:ascii="Tahoma" w:hAnsi="Tahoma" w:cs="Tahoma"/>
          <w:sz w:val="24"/>
          <w:szCs w:val="24"/>
          <w:lang w:val="es-CO"/>
        </w:rPr>
        <w:t xml:space="preserve"> y pago</w:t>
      </w:r>
      <w:r>
        <w:rPr>
          <w:rFonts w:ascii="Tahoma" w:hAnsi="Tahoma" w:cs="Tahoma"/>
          <w:sz w:val="24"/>
          <w:szCs w:val="24"/>
          <w:lang w:val="es-CO"/>
        </w:rPr>
        <w:t xml:space="preserve"> de la pensión de vejez desde el 7 de junio de 2012, puesto que</w:t>
      </w:r>
      <w:r w:rsidR="002B6AB9">
        <w:rPr>
          <w:rFonts w:ascii="Tahoma" w:hAnsi="Tahoma" w:cs="Tahoma"/>
          <w:sz w:val="24"/>
          <w:szCs w:val="24"/>
          <w:lang w:val="es-CO"/>
        </w:rPr>
        <w:t xml:space="preserve"> desde</w:t>
      </w:r>
      <w:r w:rsidR="004370AF">
        <w:rPr>
          <w:rFonts w:ascii="Tahoma" w:hAnsi="Tahoma" w:cs="Tahoma"/>
          <w:sz w:val="24"/>
          <w:szCs w:val="24"/>
          <w:lang w:val="es-CO"/>
        </w:rPr>
        <w:t xml:space="preserve"> ese día arribó</w:t>
      </w:r>
      <w:r>
        <w:rPr>
          <w:rFonts w:ascii="Tahoma" w:hAnsi="Tahoma" w:cs="Tahoma"/>
          <w:sz w:val="24"/>
          <w:szCs w:val="24"/>
          <w:lang w:val="es-CO"/>
        </w:rPr>
        <w:t xml:space="preserve"> a la edad mínima de cincuenta y cinco (55) años</w:t>
      </w:r>
      <w:r w:rsidR="00273C21">
        <w:rPr>
          <w:rFonts w:ascii="Tahoma" w:hAnsi="Tahoma" w:cs="Tahoma"/>
          <w:sz w:val="24"/>
          <w:szCs w:val="24"/>
          <w:lang w:val="es-CO"/>
        </w:rPr>
        <w:t xml:space="preserve"> de edad</w:t>
      </w:r>
      <w:r w:rsidR="00855FF7">
        <w:rPr>
          <w:rFonts w:ascii="Tahoma" w:hAnsi="Tahoma" w:cs="Tahoma"/>
          <w:sz w:val="24"/>
          <w:szCs w:val="24"/>
          <w:lang w:val="es-CO"/>
        </w:rPr>
        <w:t>, no volvió a cotizar y elevó solicitud pensional el 4 de abril de 2013</w:t>
      </w:r>
      <w:r>
        <w:rPr>
          <w:rFonts w:ascii="Tahoma" w:hAnsi="Tahoma" w:cs="Tahoma"/>
          <w:sz w:val="24"/>
          <w:szCs w:val="24"/>
          <w:lang w:val="es-CO"/>
        </w:rPr>
        <w:t xml:space="preserve">. </w:t>
      </w:r>
    </w:p>
    <w:p w:rsidR="00705743" w:rsidRDefault="00705743" w:rsidP="004370AF">
      <w:pPr>
        <w:spacing w:line="240" w:lineRule="auto"/>
        <w:jc w:val="both"/>
        <w:rPr>
          <w:rFonts w:ascii="Tahoma" w:hAnsi="Tahoma" w:cs="Tahoma"/>
          <w:sz w:val="24"/>
          <w:szCs w:val="24"/>
          <w:lang w:val="es-CO"/>
        </w:rPr>
      </w:pPr>
    </w:p>
    <w:p w:rsidR="002B6AB9" w:rsidRDefault="00705743" w:rsidP="006D5062">
      <w:pPr>
        <w:jc w:val="both"/>
        <w:rPr>
          <w:rFonts w:ascii="Tahoma" w:hAnsi="Tahoma" w:cs="Tahoma"/>
          <w:sz w:val="24"/>
          <w:szCs w:val="24"/>
          <w:lang w:val="es-CO"/>
        </w:rPr>
      </w:pPr>
      <w:r>
        <w:rPr>
          <w:rFonts w:ascii="Tahoma" w:hAnsi="Tahoma" w:cs="Tahoma"/>
          <w:sz w:val="24"/>
          <w:szCs w:val="24"/>
          <w:lang w:val="es-CO"/>
        </w:rPr>
        <w:tab/>
      </w:r>
      <w:r w:rsidR="006D5062">
        <w:rPr>
          <w:rFonts w:ascii="Tahoma" w:hAnsi="Tahoma" w:cs="Tahoma"/>
          <w:sz w:val="24"/>
          <w:szCs w:val="24"/>
          <w:lang w:val="es-CO"/>
        </w:rPr>
        <w:t>Asimismo</w:t>
      </w:r>
      <w:r w:rsidR="00855FF7">
        <w:rPr>
          <w:rFonts w:ascii="Tahoma" w:hAnsi="Tahoma" w:cs="Tahoma"/>
          <w:sz w:val="24"/>
          <w:szCs w:val="24"/>
          <w:lang w:val="es-CO"/>
        </w:rPr>
        <w:t>, pretende el</w:t>
      </w:r>
      <w:r w:rsidR="002B6AB9">
        <w:rPr>
          <w:rFonts w:ascii="Tahoma" w:hAnsi="Tahoma" w:cs="Tahoma"/>
          <w:sz w:val="24"/>
          <w:szCs w:val="24"/>
          <w:lang w:val="es-CO"/>
        </w:rPr>
        <w:t xml:space="preserve"> reajuste </w:t>
      </w:r>
      <w:r w:rsidR="00855FF7">
        <w:rPr>
          <w:rFonts w:ascii="Tahoma" w:hAnsi="Tahoma" w:cs="Tahoma"/>
          <w:sz w:val="24"/>
          <w:szCs w:val="24"/>
          <w:lang w:val="es-CO"/>
        </w:rPr>
        <w:t>d</w:t>
      </w:r>
      <w:r w:rsidR="002B6AB9">
        <w:rPr>
          <w:rFonts w:ascii="Tahoma" w:hAnsi="Tahoma" w:cs="Tahoma"/>
          <w:sz w:val="24"/>
          <w:szCs w:val="24"/>
          <w:lang w:val="es-CO"/>
        </w:rPr>
        <w:t>el monto de su mesada pensional, aplicando sobre el Ingreso Base de Liquidación</w:t>
      </w:r>
      <w:r w:rsidR="00855FF7">
        <w:rPr>
          <w:rFonts w:ascii="Tahoma" w:hAnsi="Tahoma" w:cs="Tahoma"/>
          <w:sz w:val="24"/>
          <w:szCs w:val="24"/>
          <w:lang w:val="es-CO"/>
        </w:rPr>
        <w:t xml:space="preserve"> (IBL)</w:t>
      </w:r>
      <w:r w:rsidR="002B6AB9">
        <w:rPr>
          <w:rFonts w:ascii="Tahoma" w:hAnsi="Tahoma" w:cs="Tahoma"/>
          <w:sz w:val="24"/>
          <w:szCs w:val="24"/>
          <w:lang w:val="es-CO"/>
        </w:rPr>
        <w:t xml:space="preserve"> obtenido por Colpensiones una tasa de reemplazo equivalente al 90%, como quiera que cotizó más de 1250 semanas en tod</w:t>
      </w:r>
      <w:r w:rsidR="004F4748">
        <w:rPr>
          <w:rFonts w:ascii="Tahoma" w:hAnsi="Tahoma" w:cs="Tahoma"/>
          <w:sz w:val="24"/>
          <w:szCs w:val="24"/>
          <w:lang w:val="es-CO"/>
        </w:rPr>
        <w:t>a su vida laboral, tal y como</w:t>
      </w:r>
      <w:r w:rsidR="002B6AB9">
        <w:rPr>
          <w:rFonts w:ascii="Tahoma" w:hAnsi="Tahoma" w:cs="Tahoma"/>
          <w:sz w:val="24"/>
          <w:szCs w:val="24"/>
          <w:lang w:val="es-CO"/>
        </w:rPr>
        <w:t xml:space="preserve"> </w:t>
      </w:r>
      <w:r w:rsidR="004F4748">
        <w:rPr>
          <w:rFonts w:ascii="Tahoma" w:hAnsi="Tahoma" w:cs="Tahoma"/>
          <w:sz w:val="24"/>
          <w:szCs w:val="24"/>
          <w:lang w:val="es-CO"/>
        </w:rPr>
        <w:t>puede verificarse en su</w:t>
      </w:r>
      <w:r w:rsidR="002B6AB9">
        <w:rPr>
          <w:rFonts w:ascii="Tahoma" w:hAnsi="Tahoma" w:cs="Tahoma"/>
          <w:sz w:val="24"/>
          <w:szCs w:val="24"/>
          <w:lang w:val="es-CO"/>
        </w:rPr>
        <w:t xml:space="preserve"> reporte de semanas cotizadas</w:t>
      </w:r>
      <w:r w:rsidR="004F4748">
        <w:rPr>
          <w:rFonts w:ascii="Tahoma" w:hAnsi="Tahoma" w:cs="Tahoma"/>
          <w:sz w:val="24"/>
          <w:szCs w:val="24"/>
          <w:lang w:val="es-CO"/>
        </w:rPr>
        <w:t>,</w:t>
      </w:r>
      <w:r w:rsidR="002B6AB9">
        <w:rPr>
          <w:rFonts w:ascii="Tahoma" w:hAnsi="Tahoma" w:cs="Tahoma"/>
          <w:sz w:val="24"/>
          <w:szCs w:val="24"/>
          <w:lang w:val="es-CO"/>
        </w:rPr>
        <w:t xml:space="preserve"> expedido por la entidad demandada, en el cual se aprecia que cotizó</w:t>
      </w:r>
      <w:r w:rsidR="00273C21">
        <w:rPr>
          <w:rFonts w:ascii="Tahoma" w:hAnsi="Tahoma" w:cs="Tahoma"/>
          <w:sz w:val="24"/>
          <w:szCs w:val="24"/>
          <w:lang w:val="es-CO"/>
        </w:rPr>
        <w:t xml:space="preserve"> exactamente</w:t>
      </w:r>
      <w:r w:rsidR="002B6AB9">
        <w:rPr>
          <w:rFonts w:ascii="Tahoma" w:hAnsi="Tahoma" w:cs="Tahoma"/>
          <w:sz w:val="24"/>
          <w:szCs w:val="24"/>
          <w:lang w:val="es-CO"/>
        </w:rPr>
        <w:t xml:space="preserve"> 1.454,14 sem</w:t>
      </w:r>
      <w:r w:rsidR="00137335">
        <w:rPr>
          <w:rFonts w:ascii="Tahoma" w:hAnsi="Tahoma" w:cs="Tahoma"/>
          <w:sz w:val="24"/>
          <w:szCs w:val="24"/>
          <w:lang w:val="es-CO"/>
        </w:rPr>
        <w:t>anas hasta el 31 de mayo de 2012</w:t>
      </w:r>
      <w:r w:rsidR="002B6AB9">
        <w:rPr>
          <w:rFonts w:ascii="Tahoma" w:hAnsi="Tahoma" w:cs="Tahoma"/>
          <w:sz w:val="24"/>
          <w:szCs w:val="24"/>
          <w:lang w:val="es-CO"/>
        </w:rPr>
        <w:t xml:space="preserve"> (Fl. 58).</w:t>
      </w:r>
    </w:p>
    <w:p w:rsidR="004F4748" w:rsidRDefault="004F4748" w:rsidP="004370AF">
      <w:pPr>
        <w:spacing w:line="240" w:lineRule="auto"/>
        <w:jc w:val="both"/>
        <w:rPr>
          <w:rFonts w:ascii="Tahoma" w:hAnsi="Tahoma" w:cs="Tahoma"/>
          <w:sz w:val="24"/>
          <w:szCs w:val="24"/>
          <w:lang w:val="es-CO"/>
        </w:rPr>
      </w:pPr>
    </w:p>
    <w:p w:rsidR="00705743" w:rsidRDefault="004F4748" w:rsidP="006D5062">
      <w:pPr>
        <w:jc w:val="both"/>
        <w:rPr>
          <w:rFonts w:ascii="Tahoma" w:hAnsi="Tahoma" w:cs="Tahoma"/>
          <w:sz w:val="24"/>
          <w:szCs w:val="24"/>
          <w:lang w:val="es-CO"/>
        </w:rPr>
      </w:pPr>
      <w:r>
        <w:rPr>
          <w:rFonts w:ascii="Tahoma" w:hAnsi="Tahoma" w:cs="Tahoma"/>
          <w:sz w:val="24"/>
          <w:szCs w:val="24"/>
          <w:lang w:val="es-CO"/>
        </w:rPr>
        <w:tab/>
        <w:t xml:space="preserve">La entidad demandada no niega la veracidad de los hechos objeto de la demandada, pero se opone a la </w:t>
      </w:r>
      <w:r w:rsidR="004370AF">
        <w:rPr>
          <w:rFonts w:ascii="Tahoma" w:hAnsi="Tahoma" w:cs="Tahoma"/>
          <w:sz w:val="24"/>
          <w:szCs w:val="24"/>
          <w:lang w:val="es-CO"/>
        </w:rPr>
        <w:t>prosperidad de las pretensiones</w:t>
      </w:r>
      <w:r>
        <w:rPr>
          <w:rFonts w:ascii="Tahoma" w:hAnsi="Tahoma" w:cs="Tahoma"/>
          <w:sz w:val="24"/>
          <w:szCs w:val="24"/>
          <w:lang w:val="es-CO"/>
        </w:rPr>
        <w:t xml:space="preserve"> </w:t>
      </w:r>
      <w:r w:rsidR="004370AF">
        <w:rPr>
          <w:rFonts w:ascii="Tahoma" w:hAnsi="Tahoma" w:cs="Tahoma"/>
          <w:sz w:val="24"/>
          <w:szCs w:val="24"/>
          <w:lang w:val="es-CO"/>
        </w:rPr>
        <w:t>argumentando</w:t>
      </w:r>
      <w:r>
        <w:rPr>
          <w:rFonts w:ascii="Tahoma" w:hAnsi="Tahoma" w:cs="Tahoma"/>
          <w:sz w:val="24"/>
          <w:szCs w:val="24"/>
          <w:lang w:val="es-CO"/>
        </w:rPr>
        <w:t xml:space="preserve"> </w:t>
      </w:r>
      <w:r w:rsidR="00273C21">
        <w:rPr>
          <w:rFonts w:ascii="Tahoma" w:hAnsi="Tahoma" w:cs="Tahoma"/>
          <w:sz w:val="24"/>
          <w:szCs w:val="24"/>
          <w:lang w:val="es-CO"/>
        </w:rPr>
        <w:t>que la</w:t>
      </w:r>
      <w:r>
        <w:rPr>
          <w:rFonts w:ascii="Tahoma" w:hAnsi="Tahoma" w:cs="Tahoma"/>
          <w:sz w:val="24"/>
          <w:szCs w:val="24"/>
          <w:lang w:val="es-CO"/>
        </w:rPr>
        <w:t xml:space="preserve"> demandante no</w:t>
      </w:r>
      <w:r w:rsidR="00273C21">
        <w:rPr>
          <w:rFonts w:ascii="Tahoma" w:hAnsi="Tahoma" w:cs="Tahoma"/>
          <w:sz w:val="24"/>
          <w:szCs w:val="24"/>
          <w:lang w:val="es-CO"/>
        </w:rPr>
        <w:t xml:space="preserve"> se ocupó de aclarar en la demanda la naturaleza jurídica del supuesto error</w:t>
      </w:r>
      <w:r w:rsidR="00705743">
        <w:rPr>
          <w:rFonts w:ascii="Tahoma" w:hAnsi="Tahoma" w:cs="Tahoma"/>
          <w:sz w:val="24"/>
          <w:szCs w:val="24"/>
          <w:lang w:val="es-CO"/>
        </w:rPr>
        <w:t xml:space="preserve"> aritmético atribuido</w:t>
      </w:r>
      <w:r w:rsidR="00273C21">
        <w:rPr>
          <w:rFonts w:ascii="Tahoma" w:hAnsi="Tahoma" w:cs="Tahoma"/>
          <w:sz w:val="24"/>
          <w:szCs w:val="24"/>
          <w:lang w:val="es-CO"/>
        </w:rPr>
        <w:t xml:space="preserve"> a su prohijada</w:t>
      </w:r>
      <w:r w:rsidR="00705743">
        <w:rPr>
          <w:rFonts w:ascii="Tahoma" w:hAnsi="Tahoma" w:cs="Tahoma"/>
          <w:sz w:val="24"/>
          <w:szCs w:val="24"/>
          <w:lang w:val="es-CO"/>
        </w:rPr>
        <w:t xml:space="preserve">, por lo que debe partirse de la presunción de acierto de la liquidación pensional </w:t>
      </w:r>
      <w:r w:rsidR="004370AF">
        <w:rPr>
          <w:rFonts w:ascii="Tahoma" w:hAnsi="Tahoma" w:cs="Tahoma"/>
          <w:sz w:val="24"/>
          <w:szCs w:val="24"/>
          <w:lang w:val="es-CO"/>
        </w:rPr>
        <w:t>que en su momento efectuó</w:t>
      </w:r>
      <w:r w:rsidR="00705743">
        <w:rPr>
          <w:rFonts w:ascii="Tahoma" w:hAnsi="Tahoma" w:cs="Tahoma"/>
          <w:sz w:val="24"/>
          <w:szCs w:val="24"/>
          <w:lang w:val="es-CO"/>
        </w:rPr>
        <w:t xml:space="preserve"> COLPENSIONES.</w:t>
      </w:r>
      <w:r w:rsidR="00273C21">
        <w:rPr>
          <w:rFonts w:ascii="Tahoma" w:hAnsi="Tahoma" w:cs="Tahoma"/>
          <w:sz w:val="24"/>
          <w:szCs w:val="24"/>
          <w:lang w:val="es-CO"/>
        </w:rPr>
        <w:t xml:space="preserve"> En ese orden, propone como excepciones de mérito las que denomina “</w:t>
      </w:r>
      <w:r w:rsidR="00705743">
        <w:rPr>
          <w:rFonts w:ascii="Tahoma" w:hAnsi="Tahoma" w:cs="Tahoma"/>
          <w:sz w:val="24"/>
          <w:szCs w:val="24"/>
          <w:lang w:val="es-CO"/>
        </w:rPr>
        <w:t>deber del demandante de demostrar los supuestos de hecho” y “prescripción”.</w:t>
      </w:r>
    </w:p>
    <w:p w:rsidR="00705743" w:rsidRDefault="00705743" w:rsidP="004370AF">
      <w:pPr>
        <w:spacing w:line="240" w:lineRule="auto"/>
        <w:jc w:val="both"/>
        <w:rPr>
          <w:rFonts w:ascii="Tahoma" w:hAnsi="Tahoma" w:cs="Tahoma"/>
          <w:sz w:val="24"/>
          <w:szCs w:val="24"/>
          <w:lang w:val="es-CO"/>
        </w:rPr>
      </w:pPr>
    </w:p>
    <w:p w:rsidR="00705743" w:rsidRPr="00844458" w:rsidRDefault="00705743" w:rsidP="00844458">
      <w:pPr>
        <w:pStyle w:val="Prrafodelista"/>
        <w:numPr>
          <w:ilvl w:val="0"/>
          <w:numId w:val="2"/>
        </w:numPr>
        <w:jc w:val="center"/>
        <w:rPr>
          <w:rFonts w:ascii="Tahoma" w:hAnsi="Tahoma" w:cs="Tahoma"/>
          <w:b/>
          <w:sz w:val="24"/>
          <w:szCs w:val="24"/>
          <w:lang w:val="es-CO"/>
        </w:rPr>
      </w:pPr>
      <w:r w:rsidRPr="00844458">
        <w:rPr>
          <w:rFonts w:ascii="Tahoma" w:hAnsi="Tahoma" w:cs="Tahoma"/>
          <w:b/>
          <w:sz w:val="24"/>
          <w:szCs w:val="24"/>
          <w:lang w:val="es-CO"/>
        </w:rPr>
        <w:t>SENTENCIA DE PRIMERA INSTANCIA</w:t>
      </w:r>
    </w:p>
    <w:p w:rsidR="00705743" w:rsidRPr="00705743" w:rsidRDefault="00705743" w:rsidP="004370AF">
      <w:pPr>
        <w:spacing w:line="240" w:lineRule="auto"/>
        <w:jc w:val="both"/>
        <w:rPr>
          <w:rFonts w:ascii="Tahoma" w:hAnsi="Tahoma" w:cs="Tahoma"/>
          <w:sz w:val="24"/>
          <w:szCs w:val="24"/>
          <w:lang w:val="es-CO"/>
        </w:rPr>
      </w:pPr>
    </w:p>
    <w:p w:rsidR="00705743" w:rsidRDefault="00705743" w:rsidP="00705743">
      <w:pPr>
        <w:jc w:val="both"/>
        <w:rPr>
          <w:rFonts w:ascii="Tahoma" w:hAnsi="Tahoma" w:cs="Tahoma"/>
          <w:sz w:val="24"/>
          <w:szCs w:val="24"/>
          <w:lang w:val="es-CO"/>
        </w:rPr>
      </w:pPr>
      <w:r>
        <w:rPr>
          <w:rFonts w:ascii="Tahoma" w:hAnsi="Tahoma" w:cs="Tahoma"/>
          <w:sz w:val="24"/>
          <w:szCs w:val="24"/>
          <w:lang w:val="es-CO"/>
        </w:rPr>
        <w:tab/>
      </w:r>
      <w:r w:rsidRPr="00705743">
        <w:rPr>
          <w:rFonts w:ascii="Tahoma" w:hAnsi="Tahoma" w:cs="Tahoma"/>
          <w:sz w:val="24"/>
          <w:szCs w:val="24"/>
          <w:lang w:val="es-CO"/>
        </w:rPr>
        <w:t>En sede de primera instancia se accedió al pedido de la demanda, condenando a la demandada al reajuste de la mesada pensional reconocida a la demandante, aplicando sobre su IBL una tasa de reemplazo del 90%, conforme a las previsiones del artículo 20 del Acuerdo 049 de 1990, aprobado por el Decreto 758 del mismo año, por haber cotizado más de 1250 semanas, -1.454,14 para ser exactos-</w:t>
      </w:r>
    </w:p>
    <w:p w:rsidR="00705743" w:rsidRDefault="00705743" w:rsidP="004370AF">
      <w:pPr>
        <w:spacing w:line="240" w:lineRule="auto"/>
        <w:jc w:val="both"/>
        <w:rPr>
          <w:rFonts w:ascii="Tahoma" w:hAnsi="Tahoma" w:cs="Tahoma"/>
          <w:sz w:val="24"/>
          <w:szCs w:val="24"/>
          <w:lang w:val="es-CO"/>
        </w:rPr>
      </w:pPr>
    </w:p>
    <w:p w:rsidR="00944A80" w:rsidRDefault="00705743" w:rsidP="00844458">
      <w:pPr>
        <w:jc w:val="both"/>
        <w:rPr>
          <w:rFonts w:ascii="Tahoma" w:hAnsi="Tahoma" w:cs="Tahoma"/>
          <w:sz w:val="24"/>
          <w:szCs w:val="24"/>
          <w:lang w:val="es-CO"/>
        </w:rPr>
      </w:pPr>
      <w:r>
        <w:rPr>
          <w:rFonts w:ascii="Tahoma" w:hAnsi="Tahoma" w:cs="Tahoma"/>
          <w:sz w:val="24"/>
          <w:szCs w:val="24"/>
          <w:lang w:val="es-CO"/>
        </w:rPr>
        <w:tab/>
        <w:t>Asimismo, condenó al pago del retroactivo pensional de</w:t>
      </w:r>
      <w:r w:rsidR="003838A3">
        <w:rPr>
          <w:rFonts w:ascii="Tahoma" w:hAnsi="Tahoma" w:cs="Tahoma"/>
          <w:sz w:val="24"/>
          <w:szCs w:val="24"/>
          <w:lang w:val="es-CO"/>
        </w:rPr>
        <w:t>sde el 7 de junio de 2012 y hasta el 31 de marzo de 2013, puesto que la demandante demostró que</w:t>
      </w:r>
      <w:r w:rsidR="00944A80">
        <w:rPr>
          <w:rFonts w:ascii="Tahoma" w:hAnsi="Tahoma" w:cs="Tahoma"/>
          <w:sz w:val="24"/>
          <w:szCs w:val="24"/>
          <w:lang w:val="es-CO"/>
        </w:rPr>
        <w:t>,</w:t>
      </w:r>
      <w:r w:rsidR="003838A3">
        <w:rPr>
          <w:rFonts w:ascii="Tahoma" w:hAnsi="Tahoma" w:cs="Tahoma"/>
          <w:sz w:val="24"/>
          <w:szCs w:val="24"/>
          <w:lang w:val="es-CO"/>
        </w:rPr>
        <w:t xml:space="preserve"> una vez llegó a la edad mínima de pensión, es decir, 55 años de edad, suspendió el pago de aportes pensionales, y, unos meses después, elevó solicitud formal de pensión ante la entidad demandada, lo cual le permite disfrutar de su mesada pensional desde el mismo momento en que colmó los requisitos para obtener la prestación económica por vejez, de acuerdo a lo previsto en el artículo 13 del Acuerdo 049 de 1990.</w:t>
      </w:r>
      <w:r w:rsidR="00944A80">
        <w:rPr>
          <w:rFonts w:ascii="Tahoma" w:hAnsi="Tahoma" w:cs="Tahoma"/>
          <w:sz w:val="24"/>
          <w:szCs w:val="24"/>
          <w:lang w:val="es-CO"/>
        </w:rPr>
        <w:t xml:space="preserve"> Cuantificó las condenas en la suma de $23.187.834 por concepto del retroactivo pensional y $1.629.697 por concepto de la diferencia producto del reajuste de la mesada pensional.</w:t>
      </w:r>
    </w:p>
    <w:p w:rsidR="00944A80" w:rsidRDefault="00944A80" w:rsidP="00844458">
      <w:pPr>
        <w:jc w:val="both"/>
        <w:rPr>
          <w:rFonts w:ascii="Tahoma" w:hAnsi="Tahoma" w:cs="Tahoma"/>
          <w:sz w:val="24"/>
          <w:szCs w:val="24"/>
          <w:lang w:val="es-CO"/>
        </w:rPr>
      </w:pPr>
    </w:p>
    <w:p w:rsidR="00944A80" w:rsidRDefault="00944A80" w:rsidP="00844458">
      <w:pPr>
        <w:jc w:val="both"/>
        <w:rPr>
          <w:rFonts w:ascii="Tahoma" w:hAnsi="Tahoma" w:cs="Tahoma"/>
          <w:sz w:val="24"/>
          <w:szCs w:val="24"/>
          <w:lang w:val="es-CO"/>
        </w:rPr>
      </w:pPr>
    </w:p>
    <w:p w:rsidR="00844458" w:rsidRDefault="00844458" w:rsidP="00844458">
      <w:pPr>
        <w:jc w:val="both"/>
        <w:rPr>
          <w:rFonts w:ascii="Tahoma" w:hAnsi="Tahoma" w:cs="Tahoma"/>
          <w:sz w:val="24"/>
          <w:szCs w:val="24"/>
          <w:lang w:val="es-CO"/>
        </w:rPr>
      </w:pPr>
    </w:p>
    <w:p w:rsidR="003838A3" w:rsidRPr="00844458" w:rsidRDefault="003838A3" w:rsidP="00844458">
      <w:pPr>
        <w:pStyle w:val="Prrafodelista"/>
        <w:numPr>
          <w:ilvl w:val="0"/>
          <w:numId w:val="2"/>
        </w:numPr>
        <w:ind w:left="0" w:firstLine="0"/>
        <w:jc w:val="center"/>
        <w:rPr>
          <w:rFonts w:ascii="Tahoma" w:hAnsi="Tahoma" w:cs="Tahoma"/>
          <w:sz w:val="24"/>
          <w:szCs w:val="24"/>
          <w:lang w:val="es-CO"/>
        </w:rPr>
      </w:pPr>
      <w:r w:rsidRPr="00844458">
        <w:rPr>
          <w:rFonts w:ascii="Tahoma" w:hAnsi="Tahoma" w:cs="Tahoma"/>
          <w:b/>
          <w:sz w:val="24"/>
          <w:szCs w:val="24"/>
          <w:lang w:val="es-CO"/>
        </w:rPr>
        <w:lastRenderedPageBreak/>
        <w:t>CONSIDERACIONES</w:t>
      </w:r>
    </w:p>
    <w:p w:rsidR="00705743" w:rsidRDefault="00705743" w:rsidP="006D5062">
      <w:pPr>
        <w:jc w:val="both"/>
        <w:rPr>
          <w:rFonts w:ascii="Tahoma" w:hAnsi="Tahoma" w:cs="Tahoma"/>
          <w:sz w:val="24"/>
          <w:szCs w:val="24"/>
          <w:lang w:val="es-CO"/>
        </w:rPr>
      </w:pPr>
    </w:p>
    <w:p w:rsidR="00705743" w:rsidRDefault="00844458" w:rsidP="00844458">
      <w:pPr>
        <w:jc w:val="both"/>
        <w:rPr>
          <w:rFonts w:ascii="Tahoma" w:hAnsi="Tahoma" w:cs="Tahoma"/>
          <w:sz w:val="24"/>
          <w:szCs w:val="24"/>
          <w:lang w:val="es-CO"/>
        </w:rPr>
      </w:pPr>
      <w:r>
        <w:rPr>
          <w:rFonts w:ascii="Tahoma" w:hAnsi="Tahoma" w:cs="Tahoma"/>
          <w:sz w:val="24"/>
          <w:szCs w:val="24"/>
          <w:lang w:val="es-CO"/>
        </w:rPr>
        <w:tab/>
      </w:r>
      <w:r w:rsidR="004370AF">
        <w:rPr>
          <w:rFonts w:ascii="Tahoma" w:hAnsi="Tahoma" w:cs="Tahoma"/>
          <w:sz w:val="24"/>
          <w:szCs w:val="24"/>
          <w:lang w:val="es-CO"/>
        </w:rPr>
        <w:t>Sea lo primero advertir que s</w:t>
      </w:r>
      <w:r>
        <w:rPr>
          <w:rFonts w:ascii="Tahoma" w:hAnsi="Tahoma" w:cs="Tahoma"/>
          <w:sz w:val="24"/>
          <w:szCs w:val="24"/>
          <w:lang w:val="es-CO"/>
        </w:rPr>
        <w:t>e juzga acertada la decisión de primera instancia, por cuanto la demandante es beneficiaria del régimen de transición</w:t>
      </w:r>
      <w:r w:rsidR="00E81DA7">
        <w:rPr>
          <w:rFonts w:ascii="Tahoma" w:hAnsi="Tahoma" w:cs="Tahoma"/>
          <w:sz w:val="24"/>
          <w:szCs w:val="24"/>
          <w:lang w:val="es-CO"/>
        </w:rPr>
        <w:t xml:space="preserve"> previsto en el artículo 36 de la Ley 100 de 1993</w:t>
      </w:r>
      <w:r>
        <w:rPr>
          <w:rFonts w:ascii="Tahoma" w:hAnsi="Tahoma" w:cs="Tahoma"/>
          <w:sz w:val="24"/>
          <w:szCs w:val="24"/>
          <w:lang w:val="es-CO"/>
        </w:rPr>
        <w:t xml:space="preserve">, lo cual le permite pensionarse bajo la egida del régimen anterior al </w:t>
      </w:r>
      <w:r w:rsidR="004370AF">
        <w:rPr>
          <w:rFonts w:ascii="Tahoma" w:hAnsi="Tahoma" w:cs="Tahoma"/>
          <w:sz w:val="24"/>
          <w:szCs w:val="24"/>
          <w:lang w:val="es-CO"/>
        </w:rPr>
        <w:t>cual se encontraba</w:t>
      </w:r>
      <w:r>
        <w:rPr>
          <w:rFonts w:ascii="Tahoma" w:hAnsi="Tahoma" w:cs="Tahoma"/>
          <w:sz w:val="24"/>
          <w:szCs w:val="24"/>
          <w:lang w:val="es-CO"/>
        </w:rPr>
        <w:t xml:space="preserve"> afiliada antes de la </w:t>
      </w:r>
      <w:r w:rsidR="00E81DA7">
        <w:rPr>
          <w:rFonts w:ascii="Tahoma" w:hAnsi="Tahoma" w:cs="Tahoma"/>
          <w:sz w:val="24"/>
          <w:szCs w:val="24"/>
          <w:lang w:val="es-CO"/>
        </w:rPr>
        <w:t>irrupción de la Ley 100 de 1993, esto es,</w:t>
      </w:r>
      <w:r w:rsidR="004370AF">
        <w:rPr>
          <w:rFonts w:ascii="Tahoma" w:hAnsi="Tahoma" w:cs="Tahoma"/>
          <w:sz w:val="24"/>
          <w:szCs w:val="24"/>
          <w:lang w:val="es-CO"/>
        </w:rPr>
        <w:t xml:space="preserve"> en su caso,</w:t>
      </w:r>
      <w:r w:rsidR="00E81DA7">
        <w:rPr>
          <w:rFonts w:ascii="Tahoma" w:hAnsi="Tahoma" w:cs="Tahoma"/>
          <w:sz w:val="24"/>
          <w:szCs w:val="24"/>
          <w:lang w:val="es-CO"/>
        </w:rPr>
        <w:t xml:space="preserve"> el Acuerdo 049 de 1990 (aprobado por el Decreto 758 de 1990), que en su artículo 20 señala que quienes coticen más de 1250 semanas, tendrán derecho a </w:t>
      </w:r>
      <w:r w:rsidR="004370AF">
        <w:rPr>
          <w:rFonts w:ascii="Tahoma" w:hAnsi="Tahoma" w:cs="Tahoma"/>
          <w:sz w:val="24"/>
          <w:szCs w:val="24"/>
          <w:lang w:val="es-CO"/>
        </w:rPr>
        <w:t xml:space="preserve">que sobre su IBL se aplique la </w:t>
      </w:r>
      <w:r w:rsidR="00E81DA7">
        <w:rPr>
          <w:rFonts w:ascii="Tahoma" w:hAnsi="Tahoma" w:cs="Tahoma"/>
          <w:sz w:val="24"/>
          <w:szCs w:val="24"/>
          <w:lang w:val="es-CO"/>
        </w:rPr>
        <w:t>tasa</w:t>
      </w:r>
      <w:r w:rsidR="004370AF">
        <w:rPr>
          <w:rFonts w:ascii="Tahoma" w:hAnsi="Tahoma" w:cs="Tahoma"/>
          <w:sz w:val="24"/>
          <w:szCs w:val="24"/>
          <w:lang w:val="es-CO"/>
        </w:rPr>
        <w:t xml:space="preserve"> máximo</w:t>
      </w:r>
      <w:r w:rsidR="00E81DA7">
        <w:rPr>
          <w:rFonts w:ascii="Tahoma" w:hAnsi="Tahoma" w:cs="Tahoma"/>
          <w:sz w:val="24"/>
          <w:szCs w:val="24"/>
          <w:lang w:val="es-CO"/>
        </w:rPr>
        <w:t xml:space="preserve"> de reemplazo del 90%.</w:t>
      </w:r>
    </w:p>
    <w:p w:rsidR="00E81DA7" w:rsidRPr="00E81DA7" w:rsidRDefault="00E81DA7" w:rsidP="00844458">
      <w:pPr>
        <w:jc w:val="both"/>
        <w:rPr>
          <w:rFonts w:ascii="Tahoma" w:hAnsi="Tahoma" w:cs="Tahoma"/>
          <w:sz w:val="24"/>
          <w:szCs w:val="24"/>
          <w:lang w:val="es-CO"/>
        </w:rPr>
      </w:pPr>
    </w:p>
    <w:p w:rsidR="00E81DA7" w:rsidRDefault="00E81DA7" w:rsidP="00E81DA7">
      <w:pPr>
        <w:jc w:val="both"/>
        <w:rPr>
          <w:rFonts w:ascii="Tahoma" w:hAnsi="Tahoma" w:cs="Tahoma"/>
          <w:iCs/>
          <w:sz w:val="24"/>
          <w:szCs w:val="24"/>
        </w:rPr>
      </w:pPr>
      <w:r w:rsidRPr="00E81DA7">
        <w:rPr>
          <w:rFonts w:ascii="Tahoma" w:hAnsi="Tahoma" w:cs="Tahoma"/>
          <w:sz w:val="24"/>
          <w:szCs w:val="24"/>
          <w:lang w:val="es-CO"/>
        </w:rPr>
        <w:tab/>
        <w:t>Además,</w:t>
      </w:r>
      <w:r>
        <w:rPr>
          <w:rFonts w:ascii="Tahoma" w:hAnsi="Tahoma" w:cs="Tahoma"/>
          <w:sz w:val="24"/>
          <w:szCs w:val="24"/>
          <w:lang w:val="es-CO"/>
        </w:rPr>
        <w:t xml:space="preserve"> habida c</w:t>
      </w:r>
      <w:r w:rsidR="00030E54">
        <w:rPr>
          <w:rFonts w:ascii="Tahoma" w:hAnsi="Tahoma" w:cs="Tahoma"/>
          <w:sz w:val="24"/>
          <w:szCs w:val="24"/>
          <w:lang w:val="es-CO"/>
        </w:rPr>
        <w:t>uenta de que la demandante llegó</w:t>
      </w:r>
      <w:r>
        <w:rPr>
          <w:rFonts w:ascii="Tahoma" w:hAnsi="Tahoma" w:cs="Tahoma"/>
          <w:sz w:val="24"/>
          <w:szCs w:val="24"/>
          <w:lang w:val="es-CO"/>
        </w:rPr>
        <w:t xml:space="preserve"> a la edad mínima de pensión e inmediatamente dejó de cotizar,</w:t>
      </w:r>
      <w:r w:rsidR="00030E54">
        <w:rPr>
          <w:rFonts w:ascii="Tahoma" w:hAnsi="Tahoma" w:cs="Tahoma"/>
          <w:sz w:val="24"/>
          <w:szCs w:val="24"/>
          <w:lang w:val="es-CO"/>
        </w:rPr>
        <w:t xml:space="preserve"> tras lo cual elevó solicitud formal pensión,</w:t>
      </w:r>
      <w:r>
        <w:rPr>
          <w:rFonts w:ascii="Tahoma" w:hAnsi="Tahoma" w:cs="Tahoma"/>
          <w:sz w:val="24"/>
          <w:szCs w:val="24"/>
          <w:lang w:val="es-CO"/>
        </w:rPr>
        <w:t xml:space="preserve"> n</w:t>
      </w:r>
      <w:r w:rsidR="00030E54">
        <w:rPr>
          <w:rFonts w:ascii="Tahoma" w:hAnsi="Tahoma" w:cs="Tahoma"/>
          <w:sz w:val="24"/>
          <w:szCs w:val="24"/>
          <w:lang w:val="es-CO"/>
        </w:rPr>
        <w:t xml:space="preserve">o hay duda de que </w:t>
      </w:r>
      <w:r>
        <w:rPr>
          <w:rFonts w:ascii="Tahoma" w:hAnsi="Tahoma" w:cs="Tahoma"/>
          <w:sz w:val="24"/>
          <w:szCs w:val="24"/>
          <w:lang w:val="es-CO"/>
        </w:rPr>
        <w:t>tiene derecho al pago de su pensión de vejez desde el 7 de junio de 2012,</w:t>
      </w:r>
      <w:r w:rsidR="00030E54">
        <w:rPr>
          <w:rFonts w:ascii="Tahoma" w:hAnsi="Tahoma" w:cs="Tahoma"/>
          <w:sz w:val="24"/>
          <w:szCs w:val="24"/>
          <w:lang w:val="es-CO"/>
        </w:rPr>
        <w:t xml:space="preserve"> fecha que arribó a los cincuenta y cinco (</w:t>
      </w:r>
      <w:r>
        <w:rPr>
          <w:rFonts w:ascii="Tahoma" w:hAnsi="Tahoma" w:cs="Tahoma"/>
          <w:sz w:val="24"/>
          <w:szCs w:val="24"/>
          <w:lang w:val="es-CO"/>
        </w:rPr>
        <w:t>55</w:t>
      </w:r>
      <w:r w:rsidR="00030E54">
        <w:rPr>
          <w:rFonts w:ascii="Tahoma" w:hAnsi="Tahoma" w:cs="Tahoma"/>
          <w:sz w:val="24"/>
          <w:szCs w:val="24"/>
          <w:lang w:val="es-CO"/>
        </w:rPr>
        <w:t>)</w:t>
      </w:r>
      <w:r>
        <w:rPr>
          <w:rFonts w:ascii="Tahoma" w:hAnsi="Tahoma" w:cs="Tahoma"/>
          <w:sz w:val="24"/>
          <w:szCs w:val="24"/>
          <w:lang w:val="es-CO"/>
        </w:rPr>
        <w:t xml:space="preserve"> años</w:t>
      </w:r>
      <w:r w:rsidR="00030E54">
        <w:rPr>
          <w:rFonts w:ascii="Tahoma" w:hAnsi="Tahoma" w:cs="Tahoma"/>
          <w:sz w:val="24"/>
          <w:szCs w:val="24"/>
          <w:lang w:val="es-CO"/>
        </w:rPr>
        <w:t xml:space="preserve"> de edad</w:t>
      </w:r>
      <w:r>
        <w:rPr>
          <w:rFonts w:ascii="Tahoma" w:hAnsi="Tahoma" w:cs="Tahoma"/>
          <w:sz w:val="24"/>
          <w:szCs w:val="24"/>
          <w:lang w:val="es-CO"/>
        </w:rPr>
        <w:t xml:space="preserve">, </w:t>
      </w:r>
      <w:r w:rsidRPr="00E81DA7">
        <w:rPr>
          <w:rFonts w:ascii="Tahoma" w:hAnsi="Tahoma" w:cs="Tahoma"/>
          <w:sz w:val="24"/>
          <w:szCs w:val="24"/>
          <w:lang w:val="es-CO"/>
        </w:rPr>
        <w:t>teniendo en cuenta que</w:t>
      </w:r>
      <w:r w:rsidRPr="00E81DA7">
        <w:rPr>
          <w:rFonts w:ascii="Tahoma" w:hAnsi="Tahoma" w:cs="Tahoma"/>
          <w:sz w:val="24"/>
          <w:szCs w:val="24"/>
        </w:rPr>
        <w:t xml:space="preserve"> </w:t>
      </w:r>
      <w:r w:rsidRPr="00E81DA7">
        <w:rPr>
          <w:rFonts w:ascii="Tahoma" w:hAnsi="Tahoma" w:cs="Tahoma"/>
          <w:iCs/>
          <w:sz w:val="24"/>
          <w:szCs w:val="24"/>
        </w:rPr>
        <w:t>el criterio determinante para analizar el momento desde el cual procede el reconocimiento de la pensión, de conformidad con el artículo 13 del Acuerdo 049 de 1990, es la de</w:t>
      </w:r>
      <w:r>
        <w:rPr>
          <w:rFonts w:ascii="Tahoma" w:hAnsi="Tahoma" w:cs="Tahoma"/>
          <w:iCs/>
          <w:sz w:val="24"/>
          <w:szCs w:val="24"/>
        </w:rPr>
        <w:t xml:space="preserve"> la desafiliación</w:t>
      </w:r>
      <w:r w:rsidR="00030E54">
        <w:rPr>
          <w:rFonts w:ascii="Tahoma" w:hAnsi="Tahoma" w:cs="Tahoma"/>
          <w:iCs/>
          <w:sz w:val="24"/>
          <w:szCs w:val="24"/>
        </w:rPr>
        <w:t xml:space="preserve"> al sistema</w:t>
      </w:r>
      <w:r w:rsidRPr="00E81DA7">
        <w:rPr>
          <w:rFonts w:ascii="Tahoma" w:hAnsi="Tahoma" w:cs="Tahoma"/>
          <w:iCs/>
          <w:sz w:val="24"/>
          <w:szCs w:val="24"/>
        </w:rPr>
        <w:t>, entendida</w:t>
      </w:r>
      <w:r w:rsidR="00030E54">
        <w:rPr>
          <w:rFonts w:ascii="Tahoma" w:hAnsi="Tahoma" w:cs="Tahoma"/>
          <w:iCs/>
          <w:sz w:val="24"/>
          <w:szCs w:val="24"/>
        </w:rPr>
        <w:t xml:space="preserve"> esta</w:t>
      </w:r>
      <w:r w:rsidRPr="00E81DA7">
        <w:rPr>
          <w:rFonts w:ascii="Tahoma" w:hAnsi="Tahoma" w:cs="Tahoma"/>
          <w:iCs/>
          <w:sz w:val="24"/>
          <w:szCs w:val="24"/>
        </w:rPr>
        <w:t xml:space="preserve"> como la fecha en que se reporta tal novedad</w:t>
      </w:r>
      <w:r>
        <w:rPr>
          <w:rFonts w:ascii="Tahoma" w:hAnsi="Tahoma" w:cs="Tahoma"/>
          <w:iCs/>
          <w:sz w:val="24"/>
          <w:szCs w:val="24"/>
        </w:rPr>
        <w:t xml:space="preserve"> en el Sistema</w:t>
      </w:r>
      <w:r w:rsidRPr="00E81DA7">
        <w:rPr>
          <w:rFonts w:ascii="Tahoma" w:hAnsi="Tahoma" w:cs="Tahoma"/>
          <w:iCs/>
          <w:sz w:val="24"/>
          <w:szCs w:val="24"/>
        </w:rPr>
        <w:t xml:space="preserve"> o en que se suspende definitivamente el </w:t>
      </w:r>
      <w:r>
        <w:rPr>
          <w:rFonts w:ascii="Tahoma" w:hAnsi="Tahoma" w:cs="Tahoma"/>
          <w:iCs/>
          <w:sz w:val="24"/>
          <w:szCs w:val="24"/>
        </w:rPr>
        <w:t>pago de los</w:t>
      </w:r>
      <w:r w:rsidRPr="00E81DA7">
        <w:rPr>
          <w:rFonts w:ascii="Tahoma" w:hAnsi="Tahoma" w:cs="Tahoma"/>
          <w:iCs/>
          <w:sz w:val="24"/>
          <w:szCs w:val="24"/>
        </w:rPr>
        <w:t xml:space="preserve"> aportes pensionales, cuando a la par</w:t>
      </w:r>
      <w:r>
        <w:rPr>
          <w:rFonts w:ascii="Tahoma" w:hAnsi="Tahoma" w:cs="Tahoma"/>
          <w:iCs/>
          <w:sz w:val="24"/>
          <w:szCs w:val="24"/>
        </w:rPr>
        <w:t xml:space="preserve"> el interesado</w:t>
      </w:r>
      <w:r w:rsidRPr="00E81DA7">
        <w:rPr>
          <w:rFonts w:ascii="Tahoma" w:hAnsi="Tahoma" w:cs="Tahoma"/>
          <w:iCs/>
          <w:sz w:val="24"/>
          <w:szCs w:val="24"/>
        </w:rPr>
        <w:t xml:space="preserve"> presenta solicitud pensional.</w:t>
      </w:r>
    </w:p>
    <w:p w:rsidR="00E81DA7" w:rsidRDefault="00E81DA7" w:rsidP="00E81DA7">
      <w:pPr>
        <w:jc w:val="both"/>
        <w:rPr>
          <w:rFonts w:ascii="Tahoma" w:hAnsi="Tahoma" w:cs="Tahoma"/>
          <w:iCs/>
          <w:sz w:val="24"/>
          <w:szCs w:val="24"/>
        </w:rPr>
      </w:pPr>
    </w:p>
    <w:p w:rsidR="00030E54" w:rsidRDefault="00E81DA7" w:rsidP="00E81DA7">
      <w:pPr>
        <w:jc w:val="both"/>
        <w:rPr>
          <w:rFonts w:ascii="Tahoma" w:hAnsi="Tahoma" w:cs="Tahoma"/>
          <w:iCs/>
          <w:sz w:val="24"/>
          <w:szCs w:val="24"/>
        </w:rPr>
      </w:pPr>
      <w:r>
        <w:rPr>
          <w:rFonts w:ascii="Tahoma" w:hAnsi="Tahoma" w:cs="Tahoma"/>
          <w:iCs/>
          <w:sz w:val="24"/>
          <w:szCs w:val="24"/>
        </w:rPr>
        <w:tab/>
        <w:t xml:space="preserve">En ese </w:t>
      </w:r>
      <w:r w:rsidR="00030E54">
        <w:rPr>
          <w:rFonts w:ascii="Tahoma" w:hAnsi="Tahoma" w:cs="Tahoma"/>
          <w:iCs/>
          <w:sz w:val="24"/>
          <w:szCs w:val="24"/>
        </w:rPr>
        <w:t>orden</w:t>
      </w:r>
      <w:r w:rsidR="004F314A">
        <w:rPr>
          <w:rFonts w:ascii="Tahoma" w:hAnsi="Tahoma" w:cs="Tahoma"/>
          <w:iCs/>
          <w:sz w:val="24"/>
          <w:szCs w:val="24"/>
        </w:rPr>
        <w:t xml:space="preserve"> de ideas</w:t>
      </w:r>
      <w:r w:rsidR="00030E54">
        <w:rPr>
          <w:rFonts w:ascii="Tahoma" w:hAnsi="Tahoma" w:cs="Tahoma"/>
          <w:iCs/>
          <w:sz w:val="24"/>
          <w:szCs w:val="24"/>
        </w:rPr>
        <w:t xml:space="preserve">, se confirmará la sentencia de primera instancia, actualizando la condena a la fecha de emisión de la presente providencia, tal y como lo ordena el artículo 283 del C.G.P. </w:t>
      </w:r>
    </w:p>
    <w:p w:rsidR="00030E54" w:rsidRDefault="00030E54" w:rsidP="00E81DA7">
      <w:pPr>
        <w:jc w:val="both"/>
        <w:rPr>
          <w:rFonts w:ascii="Tahoma" w:hAnsi="Tahoma" w:cs="Tahoma"/>
          <w:iCs/>
          <w:sz w:val="24"/>
          <w:szCs w:val="24"/>
        </w:rPr>
      </w:pPr>
    </w:p>
    <w:p w:rsidR="004370AF" w:rsidRDefault="00030E54" w:rsidP="00E81DA7">
      <w:pPr>
        <w:jc w:val="both"/>
        <w:rPr>
          <w:rFonts w:ascii="Tahoma" w:hAnsi="Tahoma" w:cs="Tahoma"/>
          <w:iCs/>
          <w:sz w:val="24"/>
          <w:szCs w:val="24"/>
        </w:rPr>
      </w:pPr>
      <w:r>
        <w:rPr>
          <w:rFonts w:ascii="Tahoma" w:hAnsi="Tahoma" w:cs="Tahoma"/>
          <w:iCs/>
          <w:sz w:val="24"/>
          <w:szCs w:val="24"/>
        </w:rPr>
        <w:tab/>
        <w:t>Así, de acuerdo a los cálculos efectuados en sede de consulta, el valor del retroactivo pensional conformado entre el 7 de junio de 2012 y el 31 de marzo de 2013</w:t>
      </w:r>
      <w:r w:rsidR="008578B5">
        <w:rPr>
          <w:rFonts w:ascii="Tahoma" w:hAnsi="Tahoma" w:cs="Tahoma"/>
          <w:iCs/>
          <w:sz w:val="24"/>
          <w:szCs w:val="24"/>
        </w:rPr>
        <w:t>, es por la suma de $20.582.647</w:t>
      </w:r>
      <w:r w:rsidR="004370AF">
        <w:rPr>
          <w:rFonts w:ascii="Tahoma" w:hAnsi="Tahoma" w:cs="Tahoma"/>
          <w:iCs/>
          <w:sz w:val="24"/>
          <w:szCs w:val="24"/>
        </w:rPr>
        <w:t>,</w:t>
      </w:r>
      <w:r w:rsidR="008578B5">
        <w:rPr>
          <w:rFonts w:ascii="Tahoma" w:hAnsi="Tahoma" w:cs="Tahoma"/>
          <w:iCs/>
          <w:sz w:val="24"/>
          <w:szCs w:val="24"/>
        </w:rPr>
        <w:t xml:space="preserve"> que indexados a la fecha ascienden a la suma total de $22.945.395. </w:t>
      </w:r>
    </w:p>
    <w:p w:rsidR="004370AF" w:rsidRDefault="004370AF" w:rsidP="00E81DA7">
      <w:pPr>
        <w:jc w:val="both"/>
        <w:rPr>
          <w:rFonts w:ascii="Tahoma" w:hAnsi="Tahoma" w:cs="Tahoma"/>
          <w:iCs/>
          <w:sz w:val="24"/>
          <w:szCs w:val="24"/>
        </w:rPr>
      </w:pPr>
    </w:p>
    <w:p w:rsidR="009005E7" w:rsidRDefault="004370AF" w:rsidP="00E81DA7">
      <w:pPr>
        <w:jc w:val="both"/>
        <w:rPr>
          <w:rFonts w:ascii="Tahoma" w:hAnsi="Tahoma" w:cs="Tahoma"/>
          <w:iCs/>
          <w:sz w:val="24"/>
          <w:szCs w:val="24"/>
        </w:rPr>
      </w:pPr>
      <w:r>
        <w:rPr>
          <w:rFonts w:ascii="Tahoma" w:hAnsi="Tahoma" w:cs="Tahoma"/>
          <w:iCs/>
          <w:sz w:val="24"/>
          <w:szCs w:val="24"/>
        </w:rPr>
        <w:tab/>
      </w:r>
      <w:r w:rsidR="008578B5">
        <w:rPr>
          <w:rFonts w:ascii="Tahoma" w:hAnsi="Tahoma" w:cs="Tahoma"/>
          <w:iCs/>
          <w:sz w:val="24"/>
          <w:szCs w:val="24"/>
        </w:rPr>
        <w:t>Asimismo,</w:t>
      </w:r>
      <w:r w:rsidR="00030E54">
        <w:rPr>
          <w:rFonts w:ascii="Tahoma" w:hAnsi="Tahoma" w:cs="Tahoma"/>
          <w:iCs/>
          <w:sz w:val="24"/>
          <w:szCs w:val="24"/>
        </w:rPr>
        <w:t xml:space="preserve"> el valor de la diferencia pensional entre </w:t>
      </w:r>
      <w:r w:rsidR="004E27E5">
        <w:rPr>
          <w:rFonts w:ascii="Tahoma" w:hAnsi="Tahoma" w:cs="Tahoma"/>
          <w:iCs/>
          <w:sz w:val="24"/>
          <w:szCs w:val="24"/>
        </w:rPr>
        <w:t>esta última fecha y el 31 de mayo de 201</w:t>
      </w:r>
      <w:r w:rsidR="009005E7">
        <w:rPr>
          <w:rFonts w:ascii="Tahoma" w:hAnsi="Tahoma" w:cs="Tahoma"/>
          <w:iCs/>
          <w:sz w:val="24"/>
          <w:szCs w:val="24"/>
        </w:rPr>
        <w:t xml:space="preserve">6, asciende a la suma </w:t>
      </w:r>
      <w:r>
        <w:rPr>
          <w:rFonts w:ascii="Tahoma" w:hAnsi="Tahoma" w:cs="Tahoma"/>
          <w:iCs/>
          <w:sz w:val="24"/>
          <w:szCs w:val="24"/>
        </w:rPr>
        <w:t>de</w:t>
      </w:r>
      <w:r w:rsidR="009005E7">
        <w:rPr>
          <w:rFonts w:ascii="Tahoma" w:eastAsia="Times New Roman" w:hAnsi="Tahoma" w:cs="Tahoma"/>
          <w:bCs/>
          <w:sz w:val="24"/>
          <w:szCs w:val="24"/>
          <w:lang w:eastAsia="es-ES"/>
        </w:rPr>
        <w:t xml:space="preserve"> $</w:t>
      </w:r>
      <w:r w:rsidR="009005E7" w:rsidRPr="008578B5">
        <w:rPr>
          <w:rFonts w:ascii="Tahoma" w:eastAsia="Times New Roman" w:hAnsi="Tahoma" w:cs="Tahoma"/>
          <w:bCs/>
          <w:sz w:val="24"/>
          <w:szCs w:val="24"/>
          <w:lang w:eastAsia="es-ES"/>
        </w:rPr>
        <w:t>3.638.563,33</w:t>
      </w:r>
      <w:r w:rsidR="009005E7">
        <w:rPr>
          <w:rFonts w:ascii="Tahoma" w:eastAsia="Times New Roman" w:hAnsi="Tahoma" w:cs="Tahoma"/>
          <w:bCs/>
          <w:sz w:val="24"/>
          <w:szCs w:val="24"/>
          <w:lang w:eastAsia="es-ES"/>
        </w:rPr>
        <w:t xml:space="preserve"> (cifra que incluye el valor de la indexación)</w:t>
      </w:r>
      <w:r>
        <w:rPr>
          <w:rFonts w:ascii="Tahoma" w:hAnsi="Tahoma" w:cs="Tahoma"/>
          <w:iCs/>
          <w:sz w:val="24"/>
          <w:szCs w:val="24"/>
        </w:rPr>
        <w:t>. A</w:t>
      </w:r>
      <w:r w:rsidR="004E27E5" w:rsidRPr="009005E7">
        <w:rPr>
          <w:rFonts w:ascii="Tahoma" w:hAnsi="Tahoma" w:cs="Tahoma"/>
          <w:iCs/>
          <w:sz w:val="24"/>
          <w:szCs w:val="24"/>
        </w:rPr>
        <w:t xml:space="preserve"> partir del 1º de junio</w:t>
      </w:r>
      <w:r>
        <w:rPr>
          <w:rFonts w:ascii="Tahoma" w:hAnsi="Tahoma" w:cs="Tahoma"/>
          <w:iCs/>
          <w:sz w:val="24"/>
          <w:szCs w:val="24"/>
        </w:rPr>
        <w:t xml:space="preserve"> de 2016</w:t>
      </w:r>
      <w:r w:rsidR="004E27E5" w:rsidRPr="009005E7">
        <w:rPr>
          <w:rFonts w:ascii="Tahoma" w:hAnsi="Tahoma" w:cs="Tahoma"/>
          <w:iCs/>
          <w:sz w:val="24"/>
          <w:szCs w:val="24"/>
        </w:rPr>
        <w:t>,</w:t>
      </w:r>
      <w:r w:rsidR="009005E7">
        <w:rPr>
          <w:rFonts w:ascii="Tahoma" w:hAnsi="Tahoma" w:cs="Tahoma"/>
          <w:iCs/>
          <w:sz w:val="24"/>
          <w:szCs w:val="24"/>
        </w:rPr>
        <w:t xml:space="preserve"> la entidad continuará pagando una mesada pensional de $1.966.408 mensuales. </w:t>
      </w:r>
    </w:p>
    <w:p w:rsidR="009005E7" w:rsidRDefault="009005E7" w:rsidP="00E81DA7">
      <w:pPr>
        <w:jc w:val="both"/>
        <w:rPr>
          <w:rFonts w:ascii="Tahoma" w:hAnsi="Tahoma" w:cs="Tahoma"/>
          <w:iCs/>
          <w:sz w:val="24"/>
          <w:szCs w:val="24"/>
        </w:rPr>
      </w:pPr>
    </w:p>
    <w:p w:rsidR="00E81DA7" w:rsidRPr="009005E7" w:rsidRDefault="009005E7" w:rsidP="00E81DA7">
      <w:pPr>
        <w:jc w:val="both"/>
        <w:rPr>
          <w:rFonts w:ascii="Tahoma" w:hAnsi="Tahoma" w:cs="Tahoma"/>
          <w:sz w:val="24"/>
          <w:szCs w:val="24"/>
          <w:lang w:val="es-CO"/>
        </w:rPr>
      </w:pPr>
      <w:r>
        <w:rPr>
          <w:rFonts w:ascii="Tahoma" w:hAnsi="Tahoma" w:cs="Tahoma"/>
          <w:iCs/>
          <w:sz w:val="24"/>
          <w:szCs w:val="24"/>
        </w:rPr>
        <w:tab/>
      </w:r>
      <w:r w:rsidR="004370AF" w:rsidRPr="004F314A">
        <w:rPr>
          <w:rFonts w:ascii="Tahoma" w:hAnsi="Tahoma" w:cs="Tahoma"/>
          <w:b/>
          <w:iCs/>
          <w:sz w:val="24"/>
          <w:szCs w:val="24"/>
        </w:rPr>
        <w:t>NOTA:</w:t>
      </w:r>
      <w:r w:rsidR="004370AF">
        <w:rPr>
          <w:rFonts w:ascii="Tahoma" w:hAnsi="Tahoma" w:cs="Tahoma"/>
          <w:iCs/>
          <w:sz w:val="24"/>
          <w:szCs w:val="24"/>
        </w:rPr>
        <w:t xml:space="preserve"> </w:t>
      </w:r>
      <w:r>
        <w:rPr>
          <w:rFonts w:ascii="Tahoma" w:hAnsi="Tahoma" w:cs="Tahoma"/>
          <w:iCs/>
          <w:sz w:val="24"/>
          <w:szCs w:val="24"/>
        </w:rPr>
        <w:t>Las operaciones aritméticas que derivaron en estos resultados, se aprecian en los cuadros que se ponen de presente a las partes y que además se incorporan al acta que se levante con ocasión de la presente audiencia.</w:t>
      </w:r>
      <w:r w:rsidR="004E27E5" w:rsidRPr="009005E7">
        <w:rPr>
          <w:rFonts w:ascii="Tahoma" w:hAnsi="Tahoma" w:cs="Tahoma"/>
          <w:iCs/>
          <w:sz w:val="24"/>
          <w:szCs w:val="24"/>
        </w:rPr>
        <w:t xml:space="preserve"> </w:t>
      </w:r>
    </w:p>
    <w:p w:rsidR="004F314A" w:rsidRDefault="004F314A" w:rsidP="00844458">
      <w:pPr>
        <w:jc w:val="both"/>
        <w:rPr>
          <w:rFonts w:ascii="Tahoma" w:hAnsi="Tahoma" w:cs="Tahoma"/>
          <w:sz w:val="24"/>
          <w:szCs w:val="24"/>
          <w:lang w:val="es-CO"/>
        </w:rPr>
      </w:pPr>
    </w:p>
    <w:p w:rsidR="009005E7" w:rsidRPr="009005E7" w:rsidRDefault="009005E7" w:rsidP="009005E7">
      <w:pPr>
        <w:jc w:val="center"/>
        <w:rPr>
          <w:rFonts w:ascii="Tahoma" w:hAnsi="Tahoma" w:cs="Tahoma"/>
          <w:b/>
          <w:sz w:val="24"/>
          <w:szCs w:val="24"/>
          <w:lang w:val="es-CO"/>
        </w:rPr>
      </w:pPr>
      <w:r w:rsidRPr="009005E7">
        <w:rPr>
          <w:rFonts w:ascii="Tahoma" w:hAnsi="Tahoma" w:cs="Tahoma"/>
          <w:b/>
          <w:sz w:val="24"/>
          <w:szCs w:val="24"/>
          <w:lang w:val="es-CO"/>
        </w:rPr>
        <w:t>RETROACTIVO</w:t>
      </w:r>
    </w:p>
    <w:p w:rsidR="009005E7" w:rsidRDefault="009005E7" w:rsidP="00844458">
      <w:pPr>
        <w:jc w:val="both"/>
        <w:rPr>
          <w:rFonts w:ascii="Tahoma" w:hAnsi="Tahoma" w:cs="Tahoma"/>
          <w:sz w:val="24"/>
          <w:szCs w:val="24"/>
          <w:lang w:val="es-CO"/>
        </w:rPr>
      </w:pPr>
    </w:p>
    <w:tbl>
      <w:tblPr>
        <w:tblW w:w="8704" w:type="dxa"/>
        <w:jc w:val="center"/>
        <w:tblCellMar>
          <w:left w:w="70" w:type="dxa"/>
          <w:right w:w="70" w:type="dxa"/>
        </w:tblCellMar>
        <w:tblLook w:val="04A0" w:firstRow="1" w:lastRow="0" w:firstColumn="1" w:lastColumn="0" w:noHBand="0" w:noVBand="1"/>
      </w:tblPr>
      <w:tblGrid>
        <w:gridCol w:w="1025"/>
        <w:gridCol w:w="1095"/>
        <w:gridCol w:w="1322"/>
        <w:gridCol w:w="1322"/>
        <w:gridCol w:w="1322"/>
        <w:gridCol w:w="2618"/>
      </w:tblGrid>
      <w:tr w:rsidR="004F314A" w:rsidRPr="00A2595B" w:rsidTr="004F314A">
        <w:trPr>
          <w:trHeight w:val="473"/>
          <w:jc w:val="center"/>
        </w:trPr>
        <w:tc>
          <w:tcPr>
            <w:tcW w:w="1025" w:type="dxa"/>
            <w:tcBorders>
              <w:top w:val="single" w:sz="8" w:space="0" w:color="auto"/>
              <w:left w:val="single" w:sz="8" w:space="0" w:color="auto"/>
              <w:bottom w:val="single" w:sz="8" w:space="0" w:color="auto"/>
              <w:right w:val="single" w:sz="4" w:space="0" w:color="808000"/>
            </w:tcBorders>
            <w:shd w:val="clear" w:color="000000" w:fill="FFFF99"/>
            <w:vAlign w:val="bottom"/>
            <w:hideMark/>
          </w:tcPr>
          <w:p w:rsidR="004F314A" w:rsidRPr="00A2595B" w:rsidRDefault="004F314A" w:rsidP="009005E7">
            <w:pPr>
              <w:spacing w:line="240" w:lineRule="auto"/>
              <w:jc w:val="center"/>
              <w:rPr>
                <w:rFonts w:ascii="Calibri" w:eastAsia="Times New Roman" w:hAnsi="Calibri" w:cs="Times New Roman"/>
                <w:b/>
                <w:bCs/>
                <w:color w:val="000000"/>
                <w:sz w:val="16"/>
                <w:szCs w:val="16"/>
                <w:lang w:eastAsia="es-ES"/>
              </w:rPr>
            </w:pPr>
            <w:r w:rsidRPr="00A2595B">
              <w:rPr>
                <w:rFonts w:ascii="Calibri" w:eastAsia="Times New Roman" w:hAnsi="Calibri" w:cs="Times New Roman"/>
                <w:b/>
                <w:bCs/>
                <w:color w:val="000000"/>
                <w:sz w:val="16"/>
                <w:szCs w:val="16"/>
                <w:lang w:eastAsia="es-ES"/>
              </w:rPr>
              <w:t>Desde</w:t>
            </w:r>
          </w:p>
        </w:tc>
        <w:tc>
          <w:tcPr>
            <w:tcW w:w="1095" w:type="dxa"/>
            <w:tcBorders>
              <w:top w:val="single" w:sz="8" w:space="0" w:color="auto"/>
              <w:left w:val="nil"/>
              <w:bottom w:val="single" w:sz="8" w:space="0" w:color="auto"/>
              <w:right w:val="single" w:sz="4" w:space="0" w:color="808000"/>
            </w:tcBorders>
            <w:shd w:val="clear" w:color="000000" w:fill="FFFF99"/>
            <w:vAlign w:val="bottom"/>
            <w:hideMark/>
          </w:tcPr>
          <w:p w:rsidR="004F314A" w:rsidRPr="00A2595B" w:rsidRDefault="004F314A" w:rsidP="009005E7">
            <w:pPr>
              <w:spacing w:line="240" w:lineRule="auto"/>
              <w:jc w:val="center"/>
              <w:rPr>
                <w:rFonts w:ascii="Calibri" w:eastAsia="Times New Roman" w:hAnsi="Calibri" w:cs="Times New Roman"/>
                <w:b/>
                <w:bCs/>
                <w:color w:val="000000"/>
                <w:sz w:val="16"/>
                <w:szCs w:val="16"/>
                <w:lang w:eastAsia="es-ES"/>
              </w:rPr>
            </w:pPr>
            <w:r w:rsidRPr="00A2595B">
              <w:rPr>
                <w:rFonts w:ascii="Calibri" w:eastAsia="Times New Roman" w:hAnsi="Calibri" w:cs="Times New Roman"/>
                <w:b/>
                <w:bCs/>
                <w:color w:val="000000"/>
                <w:sz w:val="16"/>
                <w:szCs w:val="16"/>
                <w:lang w:eastAsia="es-ES"/>
              </w:rPr>
              <w:t>Hasta</w:t>
            </w:r>
          </w:p>
        </w:tc>
        <w:tc>
          <w:tcPr>
            <w:tcW w:w="1322" w:type="dxa"/>
            <w:tcBorders>
              <w:top w:val="single" w:sz="8" w:space="0" w:color="auto"/>
              <w:left w:val="nil"/>
              <w:bottom w:val="single" w:sz="8" w:space="0" w:color="auto"/>
              <w:right w:val="nil"/>
            </w:tcBorders>
            <w:shd w:val="clear" w:color="000000" w:fill="FFFF99"/>
          </w:tcPr>
          <w:p w:rsidR="004F314A" w:rsidRDefault="004F314A" w:rsidP="009005E7">
            <w:pPr>
              <w:spacing w:line="240" w:lineRule="auto"/>
              <w:jc w:val="center"/>
              <w:rPr>
                <w:rFonts w:ascii="Calibri" w:eastAsia="Times New Roman" w:hAnsi="Calibri" w:cs="Times New Roman"/>
                <w:b/>
                <w:bCs/>
                <w:color w:val="000000"/>
                <w:sz w:val="16"/>
                <w:szCs w:val="16"/>
                <w:lang w:eastAsia="es-ES"/>
              </w:rPr>
            </w:pPr>
          </w:p>
        </w:tc>
        <w:tc>
          <w:tcPr>
            <w:tcW w:w="1322" w:type="dxa"/>
            <w:tcBorders>
              <w:top w:val="single" w:sz="8" w:space="0" w:color="auto"/>
              <w:left w:val="nil"/>
              <w:bottom w:val="single" w:sz="8" w:space="0" w:color="auto"/>
              <w:right w:val="single" w:sz="8" w:space="0" w:color="auto"/>
            </w:tcBorders>
            <w:shd w:val="clear" w:color="000000" w:fill="FFFF99"/>
            <w:vAlign w:val="bottom"/>
          </w:tcPr>
          <w:p w:rsidR="004F314A" w:rsidRPr="00A2595B" w:rsidRDefault="004F314A" w:rsidP="009005E7">
            <w:pPr>
              <w:spacing w:line="240" w:lineRule="auto"/>
              <w:jc w:val="center"/>
              <w:rPr>
                <w:rFonts w:ascii="Calibri" w:eastAsia="Times New Roman" w:hAnsi="Calibri" w:cs="Times New Roman"/>
                <w:b/>
                <w:bCs/>
                <w:color w:val="000000"/>
                <w:sz w:val="16"/>
                <w:szCs w:val="16"/>
                <w:lang w:eastAsia="es-ES"/>
              </w:rPr>
            </w:pPr>
            <w:r>
              <w:rPr>
                <w:rFonts w:ascii="Calibri" w:eastAsia="Times New Roman" w:hAnsi="Calibri" w:cs="Times New Roman"/>
                <w:b/>
                <w:bCs/>
                <w:color w:val="000000"/>
                <w:sz w:val="16"/>
                <w:szCs w:val="16"/>
                <w:lang w:eastAsia="es-ES"/>
              </w:rPr>
              <w:t>MESADA</w:t>
            </w:r>
          </w:p>
        </w:tc>
        <w:tc>
          <w:tcPr>
            <w:tcW w:w="1322" w:type="dxa"/>
            <w:tcBorders>
              <w:top w:val="single" w:sz="8" w:space="0" w:color="auto"/>
              <w:left w:val="single" w:sz="8" w:space="0" w:color="auto"/>
              <w:bottom w:val="single" w:sz="8" w:space="0" w:color="auto"/>
              <w:right w:val="single" w:sz="4" w:space="0" w:color="808000"/>
            </w:tcBorders>
            <w:shd w:val="clear" w:color="000000" w:fill="FFFF99"/>
            <w:vAlign w:val="bottom"/>
            <w:hideMark/>
          </w:tcPr>
          <w:p w:rsidR="004F314A" w:rsidRPr="00A2595B" w:rsidRDefault="004F314A" w:rsidP="009005E7">
            <w:pPr>
              <w:spacing w:line="240" w:lineRule="auto"/>
              <w:jc w:val="center"/>
              <w:rPr>
                <w:rFonts w:ascii="Calibri" w:eastAsia="Times New Roman" w:hAnsi="Calibri" w:cs="Times New Roman"/>
                <w:b/>
                <w:bCs/>
                <w:color w:val="000000"/>
                <w:sz w:val="16"/>
                <w:szCs w:val="16"/>
                <w:lang w:eastAsia="es-ES"/>
              </w:rPr>
            </w:pPr>
            <w:r w:rsidRPr="00A2595B">
              <w:rPr>
                <w:rFonts w:ascii="Calibri" w:eastAsia="Times New Roman" w:hAnsi="Calibri" w:cs="Times New Roman"/>
                <w:b/>
                <w:bCs/>
                <w:color w:val="000000"/>
                <w:sz w:val="16"/>
                <w:szCs w:val="16"/>
                <w:lang w:eastAsia="es-ES"/>
              </w:rPr>
              <w:t>Causadas</w:t>
            </w:r>
          </w:p>
        </w:tc>
        <w:tc>
          <w:tcPr>
            <w:tcW w:w="2618" w:type="dxa"/>
            <w:tcBorders>
              <w:top w:val="single" w:sz="8" w:space="0" w:color="auto"/>
              <w:left w:val="nil"/>
              <w:bottom w:val="single" w:sz="8" w:space="0" w:color="auto"/>
              <w:right w:val="single" w:sz="4" w:space="0" w:color="808000"/>
            </w:tcBorders>
            <w:shd w:val="clear" w:color="000000" w:fill="FFFF99"/>
            <w:vAlign w:val="bottom"/>
            <w:hideMark/>
          </w:tcPr>
          <w:p w:rsidR="004F314A" w:rsidRPr="00A2595B" w:rsidRDefault="004F314A" w:rsidP="009005E7">
            <w:pPr>
              <w:spacing w:line="240" w:lineRule="auto"/>
              <w:jc w:val="center"/>
              <w:rPr>
                <w:rFonts w:ascii="Calibri" w:eastAsia="Times New Roman" w:hAnsi="Calibri" w:cs="Times New Roman"/>
                <w:b/>
                <w:bCs/>
                <w:color w:val="000000"/>
                <w:sz w:val="16"/>
                <w:szCs w:val="16"/>
                <w:lang w:eastAsia="es-ES"/>
              </w:rPr>
            </w:pPr>
            <w:r w:rsidRPr="00A2595B">
              <w:rPr>
                <w:rFonts w:ascii="Calibri" w:eastAsia="Times New Roman" w:hAnsi="Calibri" w:cs="Times New Roman"/>
                <w:b/>
                <w:bCs/>
                <w:color w:val="000000"/>
                <w:sz w:val="16"/>
                <w:szCs w:val="16"/>
                <w:lang w:eastAsia="es-ES"/>
              </w:rPr>
              <w:t>Mesada reliquidada</w:t>
            </w:r>
          </w:p>
        </w:tc>
      </w:tr>
      <w:tr w:rsidR="004F314A" w:rsidRPr="00A2595B" w:rsidTr="004F314A">
        <w:trPr>
          <w:trHeight w:hRule="exact" w:val="284"/>
          <w:jc w:val="center"/>
        </w:trPr>
        <w:tc>
          <w:tcPr>
            <w:tcW w:w="1025" w:type="dxa"/>
            <w:tcBorders>
              <w:top w:val="nil"/>
              <w:left w:val="single" w:sz="8" w:space="0" w:color="auto"/>
              <w:bottom w:val="single" w:sz="4" w:space="0" w:color="808000"/>
              <w:right w:val="single" w:sz="4" w:space="0" w:color="808000"/>
            </w:tcBorders>
            <w:shd w:val="clear" w:color="auto" w:fill="auto"/>
            <w:noWrap/>
            <w:vAlign w:val="bottom"/>
            <w:hideMark/>
          </w:tcPr>
          <w:p w:rsidR="004F314A" w:rsidRPr="00A2595B" w:rsidRDefault="004F314A" w:rsidP="009005E7">
            <w:pPr>
              <w:spacing w:line="240" w:lineRule="auto"/>
              <w:jc w:val="center"/>
              <w:rPr>
                <w:rFonts w:ascii="Calibri" w:eastAsia="Times New Roman" w:hAnsi="Calibri" w:cs="Times New Roman"/>
                <w:color w:val="000000"/>
                <w:lang w:eastAsia="es-ES"/>
              </w:rPr>
            </w:pPr>
            <w:r w:rsidRPr="00A2595B">
              <w:rPr>
                <w:rFonts w:ascii="Calibri" w:eastAsia="Times New Roman" w:hAnsi="Calibri" w:cs="Times New Roman"/>
                <w:color w:val="000000"/>
                <w:lang w:eastAsia="es-ES"/>
              </w:rPr>
              <w:t>07-jun-12</w:t>
            </w:r>
          </w:p>
        </w:tc>
        <w:tc>
          <w:tcPr>
            <w:tcW w:w="1095" w:type="dxa"/>
            <w:tcBorders>
              <w:top w:val="nil"/>
              <w:left w:val="nil"/>
              <w:bottom w:val="single" w:sz="4" w:space="0" w:color="808000"/>
              <w:right w:val="single" w:sz="4" w:space="0" w:color="808000"/>
            </w:tcBorders>
            <w:shd w:val="clear" w:color="auto" w:fill="auto"/>
            <w:noWrap/>
            <w:vAlign w:val="bottom"/>
            <w:hideMark/>
          </w:tcPr>
          <w:p w:rsidR="004F314A" w:rsidRPr="00A2595B" w:rsidRDefault="004F314A" w:rsidP="009005E7">
            <w:pPr>
              <w:spacing w:line="240" w:lineRule="auto"/>
              <w:jc w:val="center"/>
              <w:rPr>
                <w:rFonts w:ascii="Calibri" w:eastAsia="Times New Roman" w:hAnsi="Calibri" w:cs="Times New Roman"/>
                <w:color w:val="000000"/>
                <w:lang w:eastAsia="es-ES"/>
              </w:rPr>
            </w:pPr>
            <w:r w:rsidRPr="00A2595B">
              <w:rPr>
                <w:rFonts w:ascii="Calibri" w:eastAsia="Times New Roman" w:hAnsi="Calibri" w:cs="Times New Roman"/>
                <w:color w:val="000000"/>
                <w:lang w:eastAsia="es-ES"/>
              </w:rPr>
              <w:t>31-dic-12</w:t>
            </w:r>
          </w:p>
        </w:tc>
        <w:tc>
          <w:tcPr>
            <w:tcW w:w="1322" w:type="dxa"/>
            <w:tcBorders>
              <w:top w:val="nil"/>
              <w:left w:val="single" w:sz="4" w:space="0" w:color="003366"/>
              <w:bottom w:val="single" w:sz="4" w:space="0" w:color="003366"/>
              <w:right w:val="single" w:sz="4" w:space="0" w:color="003366"/>
            </w:tcBorders>
          </w:tcPr>
          <w:p w:rsidR="004F314A" w:rsidRPr="009005E7" w:rsidRDefault="004F314A" w:rsidP="009005E7">
            <w:pPr>
              <w:spacing w:line="240" w:lineRule="auto"/>
              <w:jc w:val="center"/>
              <w:rPr>
                <w:rFonts w:ascii="Calibri" w:eastAsia="Times New Roman" w:hAnsi="Calibri" w:cs="Times New Roman"/>
                <w:lang w:eastAsia="es-ES"/>
              </w:rPr>
            </w:pPr>
          </w:p>
        </w:tc>
        <w:tc>
          <w:tcPr>
            <w:tcW w:w="1322" w:type="dxa"/>
            <w:tcBorders>
              <w:top w:val="nil"/>
              <w:left w:val="single" w:sz="4" w:space="0" w:color="003366"/>
              <w:bottom w:val="single" w:sz="4" w:space="0" w:color="003366"/>
              <w:right w:val="single" w:sz="8" w:space="0" w:color="auto"/>
            </w:tcBorders>
            <w:vAlign w:val="bottom"/>
          </w:tcPr>
          <w:p w:rsidR="004F314A" w:rsidRPr="009005E7" w:rsidRDefault="004F314A" w:rsidP="009005E7">
            <w:pPr>
              <w:spacing w:line="240" w:lineRule="auto"/>
              <w:jc w:val="center"/>
              <w:rPr>
                <w:rFonts w:ascii="Calibri" w:eastAsia="Times New Roman" w:hAnsi="Calibri" w:cs="Times New Roman"/>
                <w:lang w:eastAsia="es-ES"/>
              </w:rPr>
            </w:pPr>
            <w:r w:rsidRPr="009005E7">
              <w:rPr>
                <w:rFonts w:ascii="Calibri" w:eastAsia="Times New Roman" w:hAnsi="Calibri" w:cs="Times New Roman"/>
                <w:lang w:eastAsia="es-ES"/>
              </w:rPr>
              <w:t>$1.816.554</w:t>
            </w:r>
          </w:p>
        </w:tc>
        <w:tc>
          <w:tcPr>
            <w:tcW w:w="1322" w:type="dxa"/>
            <w:tcBorders>
              <w:top w:val="nil"/>
              <w:left w:val="single" w:sz="8" w:space="0" w:color="auto"/>
              <w:bottom w:val="single" w:sz="4" w:space="0" w:color="003366"/>
              <w:right w:val="single" w:sz="4" w:space="0" w:color="003366"/>
            </w:tcBorders>
            <w:shd w:val="clear" w:color="000000" w:fill="FFFFCC"/>
            <w:noWrap/>
            <w:vAlign w:val="bottom"/>
            <w:hideMark/>
          </w:tcPr>
          <w:p w:rsidR="004F314A" w:rsidRPr="00A2595B" w:rsidRDefault="004F314A" w:rsidP="009005E7">
            <w:pPr>
              <w:spacing w:line="240" w:lineRule="auto"/>
              <w:jc w:val="center"/>
              <w:rPr>
                <w:rFonts w:ascii="Calibri" w:eastAsia="Times New Roman" w:hAnsi="Calibri" w:cs="Times New Roman"/>
                <w:lang w:eastAsia="es-ES"/>
              </w:rPr>
            </w:pPr>
            <w:r w:rsidRPr="00A2595B">
              <w:rPr>
                <w:rFonts w:ascii="Calibri" w:eastAsia="Times New Roman" w:hAnsi="Calibri" w:cs="Times New Roman"/>
                <w:lang w:eastAsia="es-ES"/>
              </w:rPr>
              <w:t>7,23</w:t>
            </w:r>
          </w:p>
        </w:tc>
        <w:tc>
          <w:tcPr>
            <w:tcW w:w="2618" w:type="dxa"/>
            <w:tcBorders>
              <w:top w:val="nil"/>
              <w:left w:val="nil"/>
              <w:bottom w:val="single" w:sz="4" w:space="0" w:color="003366"/>
              <w:right w:val="single" w:sz="4" w:space="0" w:color="003366"/>
            </w:tcBorders>
            <w:shd w:val="clear" w:color="000000" w:fill="FFFFCC"/>
            <w:vAlign w:val="bottom"/>
            <w:hideMark/>
          </w:tcPr>
          <w:p w:rsidR="004F314A" w:rsidRPr="009005E7" w:rsidRDefault="004F314A" w:rsidP="009005E7">
            <w:pPr>
              <w:jc w:val="center"/>
              <w:rPr>
                <w:rFonts w:ascii="Calibri" w:hAnsi="Calibri"/>
                <w:color w:val="000000"/>
              </w:rPr>
            </w:pPr>
            <w:r w:rsidRPr="009005E7">
              <w:rPr>
                <w:rFonts w:ascii="Calibri" w:hAnsi="Calibri"/>
                <w:color w:val="000000"/>
              </w:rPr>
              <w:t>$13.139.135,08</w:t>
            </w:r>
          </w:p>
        </w:tc>
      </w:tr>
      <w:tr w:rsidR="004F314A" w:rsidRPr="00A2595B" w:rsidTr="004F314A">
        <w:trPr>
          <w:trHeight w:hRule="exact" w:val="284"/>
          <w:jc w:val="center"/>
        </w:trPr>
        <w:tc>
          <w:tcPr>
            <w:tcW w:w="1025" w:type="dxa"/>
            <w:tcBorders>
              <w:top w:val="nil"/>
              <w:left w:val="single" w:sz="8" w:space="0" w:color="auto"/>
              <w:bottom w:val="single" w:sz="4" w:space="0" w:color="808000"/>
              <w:right w:val="single" w:sz="4" w:space="0" w:color="808000"/>
            </w:tcBorders>
            <w:shd w:val="clear" w:color="auto" w:fill="auto"/>
            <w:noWrap/>
            <w:vAlign w:val="bottom"/>
            <w:hideMark/>
          </w:tcPr>
          <w:p w:rsidR="004F314A" w:rsidRPr="00A2595B" w:rsidRDefault="004F314A" w:rsidP="009005E7">
            <w:pPr>
              <w:spacing w:line="240" w:lineRule="auto"/>
              <w:jc w:val="center"/>
              <w:rPr>
                <w:rFonts w:ascii="Calibri" w:eastAsia="Times New Roman" w:hAnsi="Calibri" w:cs="Times New Roman"/>
                <w:color w:val="000000"/>
                <w:lang w:eastAsia="es-ES"/>
              </w:rPr>
            </w:pPr>
            <w:r w:rsidRPr="00A2595B">
              <w:rPr>
                <w:rFonts w:ascii="Calibri" w:eastAsia="Times New Roman" w:hAnsi="Calibri" w:cs="Times New Roman"/>
                <w:color w:val="000000"/>
                <w:lang w:eastAsia="es-ES"/>
              </w:rPr>
              <w:t>01-ene-13</w:t>
            </w:r>
          </w:p>
        </w:tc>
        <w:tc>
          <w:tcPr>
            <w:tcW w:w="1095" w:type="dxa"/>
            <w:tcBorders>
              <w:top w:val="nil"/>
              <w:left w:val="nil"/>
              <w:bottom w:val="single" w:sz="4" w:space="0" w:color="808000"/>
              <w:right w:val="single" w:sz="4" w:space="0" w:color="808000"/>
            </w:tcBorders>
            <w:shd w:val="clear" w:color="auto" w:fill="auto"/>
            <w:noWrap/>
            <w:vAlign w:val="bottom"/>
            <w:hideMark/>
          </w:tcPr>
          <w:p w:rsidR="004F314A" w:rsidRPr="00A2595B" w:rsidRDefault="004F314A" w:rsidP="009005E7">
            <w:pPr>
              <w:spacing w:line="240" w:lineRule="auto"/>
              <w:jc w:val="center"/>
              <w:rPr>
                <w:rFonts w:ascii="Calibri" w:eastAsia="Times New Roman" w:hAnsi="Calibri" w:cs="Times New Roman"/>
                <w:color w:val="000000"/>
                <w:lang w:eastAsia="es-ES"/>
              </w:rPr>
            </w:pPr>
            <w:r w:rsidRPr="00A2595B">
              <w:rPr>
                <w:rFonts w:ascii="Calibri" w:eastAsia="Times New Roman" w:hAnsi="Calibri" w:cs="Times New Roman"/>
                <w:color w:val="000000"/>
                <w:lang w:eastAsia="es-ES"/>
              </w:rPr>
              <w:t>30-abr-13</w:t>
            </w:r>
          </w:p>
        </w:tc>
        <w:tc>
          <w:tcPr>
            <w:tcW w:w="1322" w:type="dxa"/>
            <w:tcBorders>
              <w:top w:val="nil"/>
              <w:left w:val="single" w:sz="4" w:space="0" w:color="003366"/>
              <w:bottom w:val="single" w:sz="4" w:space="0" w:color="003366"/>
              <w:right w:val="single" w:sz="4" w:space="0" w:color="003366"/>
            </w:tcBorders>
          </w:tcPr>
          <w:p w:rsidR="004F314A" w:rsidRPr="009005E7" w:rsidRDefault="004F314A" w:rsidP="009005E7">
            <w:pPr>
              <w:spacing w:line="240" w:lineRule="auto"/>
              <w:jc w:val="center"/>
              <w:rPr>
                <w:rFonts w:ascii="Calibri" w:eastAsia="Times New Roman" w:hAnsi="Calibri" w:cs="Times New Roman"/>
                <w:lang w:eastAsia="es-ES"/>
              </w:rPr>
            </w:pPr>
          </w:p>
        </w:tc>
        <w:tc>
          <w:tcPr>
            <w:tcW w:w="1322" w:type="dxa"/>
            <w:tcBorders>
              <w:top w:val="nil"/>
              <w:left w:val="single" w:sz="4" w:space="0" w:color="003366"/>
              <w:bottom w:val="single" w:sz="4" w:space="0" w:color="003366"/>
              <w:right w:val="single" w:sz="8" w:space="0" w:color="auto"/>
            </w:tcBorders>
            <w:vAlign w:val="bottom"/>
          </w:tcPr>
          <w:p w:rsidR="004F314A" w:rsidRPr="009005E7" w:rsidRDefault="004F314A" w:rsidP="009005E7">
            <w:pPr>
              <w:spacing w:line="240" w:lineRule="auto"/>
              <w:jc w:val="center"/>
              <w:rPr>
                <w:rFonts w:ascii="Calibri" w:eastAsia="Times New Roman" w:hAnsi="Calibri" w:cs="Times New Roman"/>
                <w:lang w:eastAsia="es-ES"/>
              </w:rPr>
            </w:pPr>
            <w:r w:rsidRPr="009005E7">
              <w:rPr>
                <w:rFonts w:ascii="Calibri" w:eastAsia="Times New Roman" w:hAnsi="Calibri" w:cs="Times New Roman"/>
                <w:lang w:eastAsia="es-ES"/>
              </w:rPr>
              <w:t>$</w:t>
            </w:r>
            <w:r w:rsidRPr="008578B5">
              <w:rPr>
                <w:rFonts w:ascii="Calibri" w:eastAsia="Times New Roman" w:hAnsi="Calibri" w:cs="Times New Roman"/>
                <w:lang w:eastAsia="es-ES"/>
              </w:rPr>
              <w:t>1.860.878</w:t>
            </w:r>
          </w:p>
        </w:tc>
        <w:tc>
          <w:tcPr>
            <w:tcW w:w="1322" w:type="dxa"/>
            <w:tcBorders>
              <w:top w:val="nil"/>
              <w:left w:val="single" w:sz="8" w:space="0" w:color="auto"/>
              <w:bottom w:val="single" w:sz="4" w:space="0" w:color="003366"/>
              <w:right w:val="single" w:sz="4" w:space="0" w:color="003366"/>
            </w:tcBorders>
            <w:shd w:val="clear" w:color="000000" w:fill="FFFFCC"/>
            <w:noWrap/>
            <w:vAlign w:val="bottom"/>
            <w:hideMark/>
          </w:tcPr>
          <w:p w:rsidR="004F314A" w:rsidRPr="00A2595B" w:rsidRDefault="004F314A" w:rsidP="009005E7">
            <w:pPr>
              <w:spacing w:line="240" w:lineRule="auto"/>
              <w:jc w:val="center"/>
              <w:rPr>
                <w:rFonts w:ascii="Calibri" w:eastAsia="Times New Roman" w:hAnsi="Calibri" w:cs="Times New Roman"/>
                <w:lang w:eastAsia="es-ES"/>
              </w:rPr>
            </w:pPr>
            <w:r w:rsidRPr="00A2595B">
              <w:rPr>
                <w:rFonts w:ascii="Calibri" w:eastAsia="Times New Roman" w:hAnsi="Calibri" w:cs="Times New Roman"/>
                <w:lang w:eastAsia="es-ES"/>
              </w:rPr>
              <w:t>4,00</w:t>
            </w:r>
          </w:p>
        </w:tc>
        <w:tc>
          <w:tcPr>
            <w:tcW w:w="2618" w:type="dxa"/>
            <w:tcBorders>
              <w:top w:val="nil"/>
              <w:left w:val="nil"/>
              <w:bottom w:val="single" w:sz="4" w:space="0" w:color="003366"/>
              <w:right w:val="single" w:sz="4" w:space="0" w:color="003366"/>
            </w:tcBorders>
            <w:shd w:val="clear" w:color="000000" w:fill="FFFFCC"/>
            <w:vAlign w:val="bottom"/>
            <w:hideMark/>
          </w:tcPr>
          <w:p w:rsidR="004F314A" w:rsidRPr="009005E7" w:rsidRDefault="004F314A" w:rsidP="009005E7">
            <w:pPr>
              <w:jc w:val="center"/>
              <w:rPr>
                <w:rFonts w:ascii="Calibri" w:hAnsi="Calibri"/>
                <w:color w:val="000000"/>
              </w:rPr>
            </w:pPr>
            <w:r w:rsidRPr="009005E7">
              <w:rPr>
                <w:rFonts w:ascii="Calibri" w:hAnsi="Calibri"/>
                <w:color w:val="000000"/>
              </w:rPr>
              <w:t>$ 7.443.511,67</w:t>
            </w:r>
          </w:p>
        </w:tc>
      </w:tr>
    </w:tbl>
    <w:p w:rsidR="00A2595B" w:rsidRDefault="00A2595B" w:rsidP="00844458">
      <w:pPr>
        <w:jc w:val="both"/>
        <w:rPr>
          <w:rFonts w:ascii="Tahoma" w:hAnsi="Tahoma" w:cs="Tahoma"/>
          <w:sz w:val="24"/>
          <w:szCs w:val="24"/>
          <w:lang w:val="es-CO"/>
        </w:rPr>
      </w:pPr>
    </w:p>
    <w:p w:rsidR="009005E7" w:rsidRPr="004F314A" w:rsidRDefault="009005E7" w:rsidP="009005E7">
      <w:pPr>
        <w:jc w:val="center"/>
        <w:rPr>
          <w:rFonts w:ascii="Tahoma" w:hAnsi="Tahoma" w:cs="Tahoma"/>
          <w:iCs/>
        </w:rPr>
      </w:pPr>
      <w:r w:rsidRPr="004F314A">
        <w:rPr>
          <w:rFonts w:ascii="Tahoma" w:hAnsi="Tahoma" w:cs="Tahoma"/>
          <w:b/>
          <w:lang w:val="es-CO"/>
        </w:rPr>
        <w:t>TOTAL RETROACTIVO</w:t>
      </w:r>
      <w:r w:rsidRPr="004F314A">
        <w:rPr>
          <w:rFonts w:ascii="Tahoma" w:hAnsi="Tahoma" w:cs="Tahoma"/>
          <w:lang w:val="es-CO"/>
        </w:rPr>
        <w:t xml:space="preserve">: </w:t>
      </w:r>
      <w:r w:rsidRPr="004F314A">
        <w:rPr>
          <w:rFonts w:ascii="Tahoma" w:hAnsi="Tahoma" w:cs="Tahoma"/>
          <w:iCs/>
        </w:rPr>
        <w:t>$20.582.647</w:t>
      </w:r>
    </w:p>
    <w:p w:rsidR="009005E7" w:rsidRPr="004F314A" w:rsidRDefault="009005E7" w:rsidP="009005E7">
      <w:pPr>
        <w:jc w:val="center"/>
        <w:rPr>
          <w:rFonts w:ascii="Tahoma" w:hAnsi="Tahoma" w:cs="Tahoma"/>
          <w:iCs/>
        </w:rPr>
      </w:pPr>
      <w:r w:rsidRPr="004F314A">
        <w:rPr>
          <w:rFonts w:ascii="Tahoma" w:hAnsi="Tahoma" w:cs="Tahoma"/>
          <w:b/>
          <w:iCs/>
        </w:rPr>
        <w:t xml:space="preserve">INDEXACIÓN </w:t>
      </w:r>
      <w:r w:rsidRPr="004F314A">
        <w:rPr>
          <w:rFonts w:ascii="Tahoma" w:hAnsi="Tahoma" w:cs="Tahoma"/>
          <w:iCs/>
        </w:rPr>
        <w:t>= $20.582.647 * 126,15/113,16 = $2.362.747</w:t>
      </w:r>
    </w:p>
    <w:p w:rsidR="009005E7" w:rsidRPr="004F314A" w:rsidRDefault="009005E7" w:rsidP="009005E7">
      <w:pPr>
        <w:jc w:val="center"/>
        <w:rPr>
          <w:rFonts w:ascii="Tahoma" w:hAnsi="Tahoma" w:cs="Tahoma"/>
          <w:b/>
          <w:iCs/>
        </w:rPr>
      </w:pPr>
    </w:p>
    <w:p w:rsidR="004F314A" w:rsidRPr="00944A80" w:rsidRDefault="009005E7" w:rsidP="009005E7">
      <w:pPr>
        <w:jc w:val="center"/>
        <w:rPr>
          <w:rFonts w:ascii="Tahoma" w:hAnsi="Tahoma" w:cs="Tahoma"/>
          <w:lang w:val="es-CO"/>
        </w:rPr>
      </w:pPr>
      <w:r w:rsidRPr="004F314A">
        <w:rPr>
          <w:rFonts w:ascii="Tahoma" w:hAnsi="Tahoma" w:cs="Tahoma"/>
          <w:b/>
          <w:iCs/>
        </w:rPr>
        <w:t>RETROACTIVO + INDEXACIÓN</w:t>
      </w:r>
      <w:r w:rsidRPr="004F314A">
        <w:rPr>
          <w:rFonts w:ascii="Tahoma" w:hAnsi="Tahoma" w:cs="Tahoma"/>
          <w:iCs/>
        </w:rPr>
        <w:t xml:space="preserve"> = $22.945.395 </w:t>
      </w:r>
      <w:bookmarkStart w:id="0" w:name="_GoBack"/>
      <w:bookmarkEnd w:id="0"/>
    </w:p>
    <w:p w:rsidR="004F314A" w:rsidRPr="004F314A" w:rsidRDefault="004F314A" w:rsidP="009005E7">
      <w:pPr>
        <w:jc w:val="center"/>
        <w:rPr>
          <w:rFonts w:ascii="Tahoma" w:hAnsi="Tahoma" w:cs="Tahoma"/>
          <w:b/>
          <w:sz w:val="24"/>
          <w:szCs w:val="24"/>
          <w:lang w:val="es-CO"/>
        </w:rPr>
      </w:pPr>
    </w:p>
    <w:p w:rsidR="009005E7" w:rsidRPr="004F314A" w:rsidRDefault="009005E7" w:rsidP="009005E7">
      <w:pPr>
        <w:jc w:val="center"/>
        <w:rPr>
          <w:rFonts w:ascii="Tahoma" w:hAnsi="Tahoma" w:cs="Tahoma"/>
          <w:b/>
          <w:sz w:val="24"/>
          <w:szCs w:val="24"/>
          <w:lang w:val="es-CO"/>
        </w:rPr>
      </w:pPr>
      <w:r w:rsidRPr="004F314A">
        <w:rPr>
          <w:rFonts w:ascii="Tahoma" w:hAnsi="Tahoma" w:cs="Tahoma"/>
          <w:b/>
          <w:sz w:val="24"/>
          <w:szCs w:val="24"/>
          <w:lang w:val="es-CO"/>
        </w:rPr>
        <w:t>DIFERENCIA DE LA MESADA</w:t>
      </w:r>
      <w:r w:rsidR="004370AF" w:rsidRPr="004F314A">
        <w:rPr>
          <w:rFonts w:ascii="Tahoma" w:hAnsi="Tahoma" w:cs="Tahoma"/>
          <w:b/>
          <w:sz w:val="24"/>
          <w:szCs w:val="24"/>
          <w:lang w:val="es-CO"/>
        </w:rPr>
        <w:t xml:space="preserve"> PENSIONAL</w:t>
      </w:r>
    </w:p>
    <w:p w:rsidR="009005E7" w:rsidRDefault="009005E7" w:rsidP="004F314A">
      <w:pPr>
        <w:spacing w:line="240" w:lineRule="auto"/>
        <w:jc w:val="both"/>
        <w:rPr>
          <w:rFonts w:ascii="Tahoma" w:hAnsi="Tahoma" w:cs="Tahoma"/>
          <w:sz w:val="24"/>
          <w:szCs w:val="24"/>
          <w:lang w:val="es-CO"/>
        </w:rPr>
      </w:pPr>
    </w:p>
    <w:tbl>
      <w:tblPr>
        <w:tblW w:w="4709" w:type="pct"/>
        <w:jc w:val="center"/>
        <w:tblLayout w:type="fixed"/>
        <w:tblCellMar>
          <w:left w:w="70" w:type="dxa"/>
          <w:right w:w="70" w:type="dxa"/>
        </w:tblCellMar>
        <w:tblLook w:val="04A0" w:firstRow="1" w:lastRow="0" w:firstColumn="1" w:lastColumn="0" w:noHBand="0" w:noVBand="1"/>
      </w:tblPr>
      <w:tblGrid>
        <w:gridCol w:w="589"/>
        <w:gridCol w:w="891"/>
        <w:gridCol w:w="854"/>
        <w:gridCol w:w="694"/>
        <w:gridCol w:w="1135"/>
        <w:gridCol w:w="1279"/>
        <w:gridCol w:w="1135"/>
        <w:gridCol w:w="999"/>
        <w:gridCol w:w="1279"/>
      </w:tblGrid>
      <w:tr w:rsidR="008578B5" w:rsidRPr="008578B5" w:rsidTr="009005E7">
        <w:trPr>
          <w:trHeight w:val="283"/>
          <w:jc w:val="center"/>
        </w:trPr>
        <w:tc>
          <w:tcPr>
            <w:tcW w:w="333" w:type="pct"/>
            <w:tcBorders>
              <w:top w:val="single" w:sz="4" w:space="0" w:color="808000"/>
              <w:left w:val="single" w:sz="4" w:space="0" w:color="808000"/>
              <w:bottom w:val="nil"/>
              <w:right w:val="single" w:sz="4" w:space="0" w:color="808000"/>
            </w:tcBorders>
            <w:shd w:val="clear" w:color="000000" w:fill="FFFF99"/>
            <w:vAlign w:val="bottom"/>
            <w:hideMark/>
          </w:tcPr>
          <w:p w:rsidR="008578B5" w:rsidRPr="008578B5" w:rsidRDefault="008578B5" w:rsidP="009005E7">
            <w:pPr>
              <w:spacing w:line="240" w:lineRule="auto"/>
              <w:jc w:val="center"/>
              <w:rPr>
                <w:rFonts w:ascii="Calibri" w:eastAsia="Times New Roman" w:hAnsi="Calibri" w:cs="Times New Roman"/>
                <w:b/>
                <w:bCs/>
                <w:color w:val="000000"/>
                <w:sz w:val="16"/>
                <w:szCs w:val="16"/>
                <w:lang w:eastAsia="es-ES"/>
              </w:rPr>
            </w:pPr>
            <w:r w:rsidRPr="008578B5">
              <w:rPr>
                <w:rFonts w:ascii="Calibri" w:eastAsia="Times New Roman" w:hAnsi="Calibri" w:cs="Times New Roman"/>
                <w:b/>
                <w:bCs/>
                <w:color w:val="000000"/>
                <w:sz w:val="16"/>
                <w:szCs w:val="16"/>
                <w:lang w:eastAsia="es-ES"/>
              </w:rPr>
              <w:t>IPC</w:t>
            </w:r>
            <w:r w:rsidR="009005E7">
              <w:rPr>
                <w:rStyle w:val="Refdenotaalpie"/>
                <w:rFonts w:ascii="Calibri" w:eastAsia="Times New Roman" w:hAnsi="Calibri" w:cs="Times New Roman"/>
                <w:b/>
                <w:bCs/>
                <w:color w:val="000000"/>
                <w:sz w:val="16"/>
                <w:szCs w:val="16"/>
                <w:lang w:eastAsia="es-ES"/>
              </w:rPr>
              <w:footnoteReference w:id="1"/>
            </w:r>
          </w:p>
        </w:tc>
        <w:tc>
          <w:tcPr>
            <w:tcW w:w="503" w:type="pct"/>
            <w:tcBorders>
              <w:top w:val="single" w:sz="4" w:space="0" w:color="808000"/>
              <w:left w:val="nil"/>
              <w:bottom w:val="nil"/>
              <w:right w:val="single" w:sz="4" w:space="0" w:color="808000"/>
            </w:tcBorders>
            <w:shd w:val="clear" w:color="000000" w:fill="FFFF99"/>
            <w:vAlign w:val="bottom"/>
            <w:hideMark/>
          </w:tcPr>
          <w:p w:rsidR="008578B5" w:rsidRPr="008578B5" w:rsidRDefault="008578B5" w:rsidP="008578B5">
            <w:pPr>
              <w:spacing w:line="240" w:lineRule="auto"/>
              <w:jc w:val="center"/>
              <w:rPr>
                <w:rFonts w:ascii="Calibri" w:eastAsia="Times New Roman" w:hAnsi="Calibri" w:cs="Times New Roman"/>
                <w:b/>
                <w:bCs/>
                <w:color w:val="000000"/>
                <w:sz w:val="16"/>
                <w:szCs w:val="16"/>
                <w:lang w:eastAsia="es-ES"/>
              </w:rPr>
            </w:pPr>
            <w:r w:rsidRPr="008578B5">
              <w:rPr>
                <w:rFonts w:ascii="Calibri" w:eastAsia="Times New Roman" w:hAnsi="Calibri" w:cs="Times New Roman"/>
                <w:b/>
                <w:bCs/>
                <w:color w:val="000000"/>
                <w:sz w:val="16"/>
                <w:szCs w:val="16"/>
                <w:lang w:eastAsia="es-ES"/>
              </w:rPr>
              <w:t>Desde</w:t>
            </w:r>
          </w:p>
        </w:tc>
        <w:tc>
          <w:tcPr>
            <w:tcW w:w="482" w:type="pct"/>
            <w:tcBorders>
              <w:top w:val="single" w:sz="4" w:space="0" w:color="808000"/>
              <w:left w:val="nil"/>
              <w:bottom w:val="nil"/>
              <w:right w:val="single" w:sz="4" w:space="0" w:color="808000"/>
            </w:tcBorders>
            <w:shd w:val="clear" w:color="000000" w:fill="FFFF99"/>
            <w:vAlign w:val="bottom"/>
            <w:hideMark/>
          </w:tcPr>
          <w:p w:rsidR="008578B5" w:rsidRPr="008578B5" w:rsidRDefault="008578B5" w:rsidP="008578B5">
            <w:pPr>
              <w:spacing w:line="240" w:lineRule="auto"/>
              <w:jc w:val="center"/>
              <w:rPr>
                <w:rFonts w:ascii="Calibri" w:eastAsia="Times New Roman" w:hAnsi="Calibri" w:cs="Times New Roman"/>
                <w:b/>
                <w:bCs/>
                <w:color w:val="000000"/>
                <w:sz w:val="16"/>
                <w:szCs w:val="16"/>
                <w:lang w:eastAsia="es-ES"/>
              </w:rPr>
            </w:pPr>
            <w:r w:rsidRPr="008578B5">
              <w:rPr>
                <w:rFonts w:ascii="Calibri" w:eastAsia="Times New Roman" w:hAnsi="Calibri" w:cs="Times New Roman"/>
                <w:b/>
                <w:bCs/>
                <w:color w:val="000000"/>
                <w:sz w:val="16"/>
                <w:szCs w:val="16"/>
                <w:lang w:eastAsia="es-ES"/>
              </w:rPr>
              <w:t>Hasta</w:t>
            </w:r>
          </w:p>
        </w:tc>
        <w:tc>
          <w:tcPr>
            <w:tcW w:w="392" w:type="pct"/>
            <w:tcBorders>
              <w:top w:val="single" w:sz="4" w:space="0" w:color="808000"/>
              <w:left w:val="nil"/>
              <w:bottom w:val="nil"/>
              <w:right w:val="single" w:sz="4" w:space="0" w:color="808000"/>
            </w:tcBorders>
            <w:shd w:val="clear" w:color="000000" w:fill="FFFF99"/>
            <w:vAlign w:val="bottom"/>
            <w:hideMark/>
          </w:tcPr>
          <w:p w:rsidR="008578B5" w:rsidRPr="008578B5" w:rsidRDefault="008578B5" w:rsidP="008578B5">
            <w:pPr>
              <w:spacing w:line="240" w:lineRule="auto"/>
              <w:jc w:val="center"/>
              <w:rPr>
                <w:rFonts w:ascii="Calibri" w:eastAsia="Times New Roman" w:hAnsi="Calibri" w:cs="Times New Roman"/>
                <w:b/>
                <w:bCs/>
                <w:color w:val="000000"/>
                <w:sz w:val="16"/>
                <w:szCs w:val="16"/>
                <w:lang w:eastAsia="es-ES"/>
              </w:rPr>
            </w:pPr>
            <w:r>
              <w:rPr>
                <w:rFonts w:ascii="Calibri" w:eastAsia="Times New Roman" w:hAnsi="Calibri" w:cs="Times New Roman"/>
                <w:b/>
                <w:bCs/>
                <w:color w:val="000000"/>
                <w:sz w:val="16"/>
                <w:szCs w:val="16"/>
                <w:lang w:eastAsia="es-ES"/>
              </w:rPr>
              <w:t>Causd</w:t>
            </w:r>
            <w:r w:rsidRPr="008578B5">
              <w:rPr>
                <w:rFonts w:ascii="Calibri" w:eastAsia="Times New Roman" w:hAnsi="Calibri" w:cs="Times New Roman"/>
                <w:b/>
                <w:bCs/>
                <w:color w:val="000000"/>
                <w:sz w:val="16"/>
                <w:szCs w:val="16"/>
                <w:lang w:eastAsia="es-ES"/>
              </w:rPr>
              <w:t>as</w:t>
            </w:r>
          </w:p>
        </w:tc>
        <w:tc>
          <w:tcPr>
            <w:tcW w:w="641" w:type="pct"/>
            <w:tcBorders>
              <w:top w:val="single" w:sz="4" w:space="0" w:color="808000"/>
              <w:left w:val="nil"/>
              <w:bottom w:val="nil"/>
              <w:right w:val="single" w:sz="4" w:space="0" w:color="808000"/>
            </w:tcBorders>
            <w:shd w:val="clear" w:color="000000" w:fill="FFFF99"/>
            <w:vAlign w:val="bottom"/>
            <w:hideMark/>
          </w:tcPr>
          <w:p w:rsidR="008578B5" w:rsidRPr="008578B5" w:rsidRDefault="008578B5" w:rsidP="008578B5">
            <w:pPr>
              <w:spacing w:line="240" w:lineRule="auto"/>
              <w:jc w:val="center"/>
              <w:rPr>
                <w:rFonts w:ascii="Calibri" w:eastAsia="Times New Roman" w:hAnsi="Calibri" w:cs="Times New Roman"/>
                <w:b/>
                <w:bCs/>
                <w:color w:val="000000"/>
                <w:sz w:val="16"/>
                <w:szCs w:val="16"/>
                <w:lang w:eastAsia="es-ES"/>
              </w:rPr>
            </w:pPr>
            <w:r w:rsidRPr="008578B5">
              <w:rPr>
                <w:rFonts w:ascii="Calibri" w:eastAsia="Times New Roman" w:hAnsi="Calibri" w:cs="Times New Roman"/>
                <w:b/>
                <w:bCs/>
                <w:color w:val="000000"/>
                <w:sz w:val="16"/>
                <w:szCs w:val="16"/>
                <w:lang w:eastAsia="es-ES"/>
              </w:rPr>
              <w:t>Mesada reliquidada</w:t>
            </w:r>
          </w:p>
        </w:tc>
        <w:tc>
          <w:tcPr>
            <w:tcW w:w="722" w:type="pct"/>
            <w:tcBorders>
              <w:top w:val="single" w:sz="4" w:space="0" w:color="808000"/>
              <w:left w:val="nil"/>
              <w:bottom w:val="nil"/>
              <w:right w:val="single" w:sz="4" w:space="0" w:color="808000"/>
            </w:tcBorders>
            <w:shd w:val="clear" w:color="000000" w:fill="FFFF99"/>
            <w:vAlign w:val="bottom"/>
            <w:hideMark/>
          </w:tcPr>
          <w:p w:rsidR="008578B5" w:rsidRPr="008578B5" w:rsidRDefault="008578B5" w:rsidP="008578B5">
            <w:pPr>
              <w:spacing w:line="240" w:lineRule="auto"/>
              <w:jc w:val="center"/>
              <w:rPr>
                <w:rFonts w:ascii="Calibri" w:eastAsia="Times New Roman" w:hAnsi="Calibri" w:cs="Times New Roman"/>
                <w:b/>
                <w:bCs/>
                <w:color w:val="000000"/>
                <w:sz w:val="16"/>
                <w:szCs w:val="16"/>
                <w:lang w:eastAsia="es-ES"/>
              </w:rPr>
            </w:pPr>
            <w:r w:rsidRPr="008578B5">
              <w:rPr>
                <w:rFonts w:ascii="Calibri" w:eastAsia="Times New Roman" w:hAnsi="Calibri" w:cs="Times New Roman"/>
                <w:b/>
                <w:bCs/>
                <w:color w:val="000000"/>
                <w:sz w:val="16"/>
                <w:szCs w:val="16"/>
                <w:lang w:eastAsia="es-ES"/>
              </w:rPr>
              <w:t>Mesada anterior</w:t>
            </w:r>
          </w:p>
        </w:tc>
        <w:tc>
          <w:tcPr>
            <w:tcW w:w="641" w:type="pct"/>
            <w:tcBorders>
              <w:top w:val="single" w:sz="4" w:space="0" w:color="808000"/>
              <w:left w:val="nil"/>
              <w:bottom w:val="nil"/>
              <w:right w:val="single" w:sz="4" w:space="0" w:color="808000"/>
            </w:tcBorders>
            <w:shd w:val="clear" w:color="000000" w:fill="FFFF99"/>
            <w:vAlign w:val="bottom"/>
            <w:hideMark/>
          </w:tcPr>
          <w:p w:rsidR="008578B5" w:rsidRPr="008578B5" w:rsidRDefault="008578B5" w:rsidP="008578B5">
            <w:pPr>
              <w:spacing w:line="240" w:lineRule="auto"/>
              <w:jc w:val="center"/>
              <w:rPr>
                <w:rFonts w:ascii="Calibri" w:eastAsia="Times New Roman" w:hAnsi="Calibri" w:cs="Times New Roman"/>
                <w:b/>
                <w:bCs/>
                <w:color w:val="000000"/>
                <w:sz w:val="16"/>
                <w:szCs w:val="16"/>
                <w:lang w:eastAsia="es-ES"/>
              </w:rPr>
            </w:pPr>
            <w:r w:rsidRPr="008578B5">
              <w:rPr>
                <w:rFonts w:ascii="Calibri" w:eastAsia="Times New Roman" w:hAnsi="Calibri" w:cs="Times New Roman"/>
                <w:b/>
                <w:bCs/>
                <w:color w:val="000000"/>
                <w:sz w:val="16"/>
                <w:szCs w:val="16"/>
                <w:lang w:eastAsia="es-ES"/>
              </w:rPr>
              <w:t>Diferencias a cancelar</w:t>
            </w:r>
          </w:p>
        </w:tc>
        <w:tc>
          <w:tcPr>
            <w:tcW w:w="564" w:type="pct"/>
            <w:tcBorders>
              <w:top w:val="single" w:sz="4" w:space="0" w:color="808000"/>
              <w:left w:val="nil"/>
              <w:bottom w:val="nil"/>
              <w:right w:val="single" w:sz="4" w:space="0" w:color="808000"/>
            </w:tcBorders>
            <w:shd w:val="clear" w:color="000000" w:fill="FFFF99"/>
            <w:vAlign w:val="bottom"/>
            <w:hideMark/>
          </w:tcPr>
          <w:p w:rsidR="008578B5" w:rsidRPr="008578B5" w:rsidRDefault="008578B5" w:rsidP="008578B5">
            <w:pPr>
              <w:spacing w:line="240" w:lineRule="auto"/>
              <w:jc w:val="center"/>
              <w:rPr>
                <w:rFonts w:ascii="Calibri" w:eastAsia="Times New Roman" w:hAnsi="Calibri" w:cs="Times New Roman"/>
                <w:b/>
                <w:bCs/>
                <w:color w:val="000000"/>
                <w:sz w:val="16"/>
                <w:szCs w:val="16"/>
                <w:lang w:eastAsia="es-ES"/>
              </w:rPr>
            </w:pPr>
            <w:r w:rsidRPr="008578B5">
              <w:rPr>
                <w:rFonts w:ascii="Calibri" w:eastAsia="Times New Roman" w:hAnsi="Calibri" w:cs="Times New Roman"/>
                <w:b/>
                <w:bCs/>
                <w:color w:val="000000"/>
                <w:sz w:val="16"/>
                <w:szCs w:val="16"/>
                <w:lang w:eastAsia="es-ES"/>
              </w:rPr>
              <w:t>IPC Vo</w:t>
            </w:r>
          </w:p>
        </w:tc>
        <w:tc>
          <w:tcPr>
            <w:tcW w:w="722" w:type="pct"/>
            <w:tcBorders>
              <w:top w:val="single" w:sz="4" w:space="0" w:color="808000"/>
              <w:left w:val="nil"/>
              <w:bottom w:val="nil"/>
              <w:right w:val="single" w:sz="4" w:space="0" w:color="808000"/>
            </w:tcBorders>
            <w:shd w:val="clear" w:color="000000" w:fill="FFFF99"/>
            <w:vAlign w:val="bottom"/>
            <w:hideMark/>
          </w:tcPr>
          <w:p w:rsidR="008578B5" w:rsidRPr="008578B5" w:rsidRDefault="008578B5" w:rsidP="008578B5">
            <w:pPr>
              <w:spacing w:line="240" w:lineRule="auto"/>
              <w:jc w:val="center"/>
              <w:rPr>
                <w:rFonts w:ascii="Calibri" w:eastAsia="Times New Roman" w:hAnsi="Calibri" w:cs="Times New Roman"/>
                <w:b/>
                <w:bCs/>
                <w:color w:val="000000"/>
                <w:sz w:val="16"/>
                <w:szCs w:val="16"/>
                <w:lang w:eastAsia="es-ES"/>
              </w:rPr>
            </w:pPr>
            <w:r w:rsidRPr="008578B5">
              <w:rPr>
                <w:rFonts w:ascii="Calibri" w:eastAsia="Times New Roman" w:hAnsi="Calibri" w:cs="Times New Roman"/>
                <w:b/>
                <w:bCs/>
                <w:color w:val="000000"/>
                <w:sz w:val="16"/>
                <w:szCs w:val="16"/>
                <w:lang w:eastAsia="es-ES"/>
              </w:rPr>
              <w:t>Diferencia indexada</w:t>
            </w:r>
          </w:p>
        </w:tc>
      </w:tr>
      <w:tr w:rsidR="008578B5" w:rsidRPr="008578B5" w:rsidTr="009005E7">
        <w:trPr>
          <w:trHeight w:val="283"/>
          <w:jc w:val="center"/>
        </w:trPr>
        <w:tc>
          <w:tcPr>
            <w:tcW w:w="333" w:type="pct"/>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1,94</w:t>
            </w:r>
          </w:p>
        </w:tc>
        <w:tc>
          <w:tcPr>
            <w:tcW w:w="503" w:type="pct"/>
            <w:tcBorders>
              <w:top w:val="single" w:sz="4" w:space="0" w:color="808000"/>
              <w:left w:val="single" w:sz="4" w:space="0" w:color="808000"/>
              <w:bottom w:val="single" w:sz="4" w:space="0" w:color="808000"/>
              <w:right w:val="single" w:sz="4" w:space="0" w:color="808000"/>
            </w:tcBorders>
            <w:shd w:val="clear" w:color="auto" w:fill="auto"/>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01-may-13</w:t>
            </w:r>
          </w:p>
        </w:tc>
        <w:tc>
          <w:tcPr>
            <w:tcW w:w="482" w:type="pct"/>
            <w:tcBorders>
              <w:top w:val="single" w:sz="4" w:space="0" w:color="808000"/>
              <w:left w:val="nil"/>
              <w:bottom w:val="single" w:sz="4" w:space="0" w:color="808000"/>
              <w:right w:val="single" w:sz="4" w:space="0" w:color="808000"/>
            </w:tcBorders>
            <w:shd w:val="clear" w:color="auto" w:fill="auto"/>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31-dic-13</w:t>
            </w:r>
          </w:p>
        </w:tc>
        <w:tc>
          <w:tcPr>
            <w:tcW w:w="392" w:type="pct"/>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9,00</w:t>
            </w:r>
          </w:p>
        </w:tc>
        <w:tc>
          <w:tcPr>
            <w:tcW w:w="641" w:type="pct"/>
            <w:tcBorders>
              <w:top w:val="single" w:sz="4" w:space="0" w:color="003366"/>
              <w:left w:val="nil"/>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1.860.878</w:t>
            </w:r>
          </w:p>
        </w:tc>
        <w:tc>
          <w:tcPr>
            <w:tcW w:w="722" w:type="pct"/>
            <w:tcBorders>
              <w:top w:val="single" w:sz="4" w:space="0" w:color="003366"/>
              <w:left w:val="nil"/>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1.782.219</w:t>
            </w:r>
          </w:p>
        </w:tc>
        <w:tc>
          <w:tcPr>
            <w:tcW w:w="641" w:type="pct"/>
            <w:tcBorders>
              <w:top w:val="single" w:sz="4" w:space="0" w:color="808000"/>
              <w:left w:val="single" w:sz="4" w:space="0" w:color="808000"/>
              <w:bottom w:val="single" w:sz="4" w:space="0" w:color="808000"/>
              <w:right w:val="single" w:sz="4" w:space="0" w:color="808000"/>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707.931,00</w:t>
            </w:r>
          </w:p>
        </w:tc>
        <w:tc>
          <w:tcPr>
            <w:tcW w:w="564" w:type="pct"/>
            <w:tcBorders>
              <w:top w:val="nil"/>
              <w:left w:val="nil"/>
              <w:bottom w:val="nil"/>
              <w:right w:val="nil"/>
            </w:tcBorders>
            <w:shd w:val="clear" w:color="FFFFFF" w:fill="33CC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111,82</w:t>
            </w:r>
          </w:p>
        </w:tc>
        <w:tc>
          <w:tcPr>
            <w:tcW w:w="722" w:type="pct"/>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90.723</w:t>
            </w:r>
          </w:p>
        </w:tc>
      </w:tr>
      <w:tr w:rsidR="008578B5" w:rsidRPr="008578B5" w:rsidTr="009005E7">
        <w:trPr>
          <w:trHeight w:val="283"/>
          <w:jc w:val="center"/>
        </w:trPr>
        <w:tc>
          <w:tcPr>
            <w:tcW w:w="333" w:type="pct"/>
            <w:tcBorders>
              <w:top w:val="nil"/>
              <w:left w:val="single" w:sz="4" w:space="0" w:color="003366"/>
              <w:bottom w:val="single" w:sz="4" w:space="0" w:color="003366"/>
              <w:right w:val="single" w:sz="4" w:space="0" w:color="003366"/>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3,66</w:t>
            </w:r>
          </w:p>
        </w:tc>
        <w:tc>
          <w:tcPr>
            <w:tcW w:w="503" w:type="pct"/>
            <w:tcBorders>
              <w:top w:val="nil"/>
              <w:left w:val="single" w:sz="4" w:space="0" w:color="808000"/>
              <w:bottom w:val="single" w:sz="4" w:space="0" w:color="808000"/>
              <w:right w:val="single" w:sz="4" w:space="0" w:color="808000"/>
            </w:tcBorders>
            <w:shd w:val="clear" w:color="auto" w:fill="auto"/>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01-ene-14</w:t>
            </w:r>
          </w:p>
        </w:tc>
        <w:tc>
          <w:tcPr>
            <w:tcW w:w="482" w:type="pct"/>
            <w:tcBorders>
              <w:top w:val="nil"/>
              <w:left w:val="nil"/>
              <w:bottom w:val="single" w:sz="4" w:space="0" w:color="808000"/>
              <w:right w:val="single" w:sz="4" w:space="0" w:color="808000"/>
            </w:tcBorders>
            <w:shd w:val="clear" w:color="auto" w:fill="auto"/>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31-dic-14</w:t>
            </w:r>
          </w:p>
        </w:tc>
        <w:tc>
          <w:tcPr>
            <w:tcW w:w="392" w:type="pct"/>
            <w:tcBorders>
              <w:top w:val="nil"/>
              <w:left w:val="single" w:sz="4" w:space="0" w:color="003366"/>
              <w:bottom w:val="single" w:sz="4" w:space="0" w:color="003366"/>
              <w:right w:val="single" w:sz="4" w:space="0" w:color="003366"/>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13,00</w:t>
            </w:r>
          </w:p>
        </w:tc>
        <w:tc>
          <w:tcPr>
            <w:tcW w:w="641" w:type="pct"/>
            <w:tcBorders>
              <w:top w:val="nil"/>
              <w:left w:val="nil"/>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1.896.979</w:t>
            </w:r>
          </w:p>
        </w:tc>
        <w:tc>
          <w:tcPr>
            <w:tcW w:w="722" w:type="pct"/>
            <w:tcBorders>
              <w:top w:val="nil"/>
              <w:left w:val="nil"/>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1.816.794</w:t>
            </w:r>
          </w:p>
        </w:tc>
        <w:tc>
          <w:tcPr>
            <w:tcW w:w="641" w:type="pct"/>
            <w:tcBorders>
              <w:top w:val="nil"/>
              <w:left w:val="single" w:sz="4" w:space="0" w:color="808000"/>
              <w:bottom w:val="single" w:sz="4" w:space="0" w:color="808000"/>
              <w:right w:val="single" w:sz="4" w:space="0" w:color="808000"/>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1.042.404,80</w:t>
            </w:r>
          </w:p>
        </w:tc>
        <w:tc>
          <w:tcPr>
            <w:tcW w:w="564" w:type="pct"/>
            <w:tcBorders>
              <w:top w:val="nil"/>
              <w:left w:val="nil"/>
              <w:bottom w:val="nil"/>
              <w:right w:val="nil"/>
            </w:tcBorders>
            <w:shd w:val="clear" w:color="FFFFFF" w:fill="33CC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113,98</w:t>
            </w:r>
          </w:p>
        </w:tc>
        <w:tc>
          <w:tcPr>
            <w:tcW w:w="722" w:type="pct"/>
            <w:tcBorders>
              <w:top w:val="nil"/>
              <w:left w:val="single" w:sz="4" w:space="0" w:color="003366"/>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111.301</w:t>
            </w:r>
          </w:p>
        </w:tc>
      </w:tr>
      <w:tr w:rsidR="008578B5" w:rsidRPr="008578B5" w:rsidTr="009005E7">
        <w:trPr>
          <w:trHeight w:val="283"/>
          <w:jc w:val="center"/>
        </w:trPr>
        <w:tc>
          <w:tcPr>
            <w:tcW w:w="333" w:type="pct"/>
            <w:tcBorders>
              <w:top w:val="nil"/>
              <w:left w:val="single" w:sz="4" w:space="0" w:color="003366"/>
              <w:bottom w:val="single" w:sz="4" w:space="0" w:color="003366"/>
              <w:right w:val="single" w:sz="4" w:space="0" w:color="003366"/>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6,77</w:t>
            </w:r>
          </w:p>
        </w:tc>
        <w:tc>
          <w:tcPr>
            <w:tcW w:w="503" w:type="pct"/>
            <w:tcBorders>
              <w:top w:val="nil"/>
              <w:left w:val="single" w:sz="4" w:space="0" w:color="808000"/>
              <w:bottom w:val="single" w:sz="4" w:space="0" w:color="808000"/>
              <w:right w:val="single" w:sz="4" w:space="0" w:color="808000"/>
            </w:tcBorders>
            <w:shd w:val="clear" w:color="auto" w:fill="auto"/>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01-ene-15</w:t>
            </w:r>
          </w:p>
        </w:tc>
        <w:tc>
          <w:tcPr>
            <w:tcW w:w="482" w:type="pct"/>
            <w:tcBorders>
              <w:top w:val="nil"/>
              <w:left w:val="nil"/>
              <w:bottom w:val="single" w:sz="4" w:space="0" w:color="808000"/>
              <w:right w:val="single" w:sz="4" w:space="0" w:color="808000"/>
            </w:tcBorders>
            <w:shd w:val="clear" w:color="auto" w:fill="auto"/>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31-dic-15</w:t>
            </w:r>
          </w:p>
        </w:tc>
        <w:tc>
          <w:tcPr>
            <w:tcW w:w="392" w:type="pct"/>
            <w:tcBorders>
              <w:top w:val="nil"/>
              <w:left w:val="single" w:sz="4" w:space="0" w:color="003366"/>
              <w:bottom w:val="single" w:sz="4" w:space="0" w:color="003366"/>
              <w:right w:val="single" w:sz="4" w:space="0" w:color="003366"/>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13,00</w:t>
            </w:r>
          </w:p>
        </w:tc>
        <w:tc>
          <w:tcPr>
            <w:tcW w:w="641" w:type="pct"/>
            <w:tcBorders>
              <w:top w:val="nil"/>
              <w:left w:val="nil"/>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1.966.408</w:t>
            </w:r>
          </w:p>
        </w:tc>
        <w:tc>
          <w:tcPr>
            <w:tcW w:w="722" w:type="pct"/>
            <w:tcBorders>
              <w:top w:val="nil"/>
              <w:left w:val="nil"/>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1.883.289</w:t>
            </w:r>
          </w:p>
        </w:tc>
        <w:tc>
          <w:tcPr>
            <w:tcW w:w="641" w:type="pct"/>
            <w:tcBorders>
              <w:top w:val="nil"/>
              <w:left w:val="single" w:sz="4" w:space="0" w:color="808000"/>
              <w:bottom w:val="single" w:sz="4" w:space="0" w:color="808000"/>
              <w:right w:val="single" w:sz="4" w:space="0" w:color="808000"/>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1.080.556,82</w:t>
            </w:r>
          </w:p>
        </w:tc>
        <w:tc>
          <w:tcPr>
            <w:tcW w:w="564" w:type="pct"/>
            <w:tcBorders>
              <w:top w:val="nil"/>
              <w:left w:val="nil"/>
              <w:bottom w:val="nil"/>
              <w:right w:val="nil"/>
            </w:tcBorders>
            <w:shd w:val="clear" w:color="FFFFFF" w:fill="33CC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118,15</w:t>
            </w:r>
          </w:p>
        </w:tc>
        <w:tc>
          <w:tcPr>
            <w:tcW w:w="722" w:type="pct"/>
            <w:tcBorders>
              <w:top w:val="nil"/>
              <w:left w:val="single" w:sz="4" w:space="0" w:color="003366"/>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73.165</w:t>
            </w:r>
          </w:p>
        </w:tc>
      </w:tr>
      <w:tr w:rsidR="008578B5" w:rsidRPr="008578B5" w:rsidTr="009005E7">
        <w:trPr>
          <w:trHeight w:val="283"/>
          <w:jc w:val="center"/>
        </w:trPr>
        <w:tc>
          <w:tcPr>
            <w:tcW w:w="333" w:type="pct"/>
            <w:tcBorders>
              <w:top w:val="nil"/>
              <w:left w:val="single" w:sz="4" w:space="0" w:color="003366"/>
              <w:bottom w:val="single" w:sz="4" w:space="0" w:color="003366"/>
              <w:right w:val="single" w:sz="4" w:space="0" w:color="003366"/>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0,00</w:t>
            </w:r>
          </w:p>
        </w:tc>
        <w:tc>
          <w:tcPr>
            <w:tcW w:w="503" w:type="pct"/>
            <w:tcBorders>
              <w:top w:val="nil"/>
              <w:left w:val="single" w:sz="4" w:space="0" w:color="808000"/>
              <w:bottom w:val="single" w:sz="4" w:space="0" w:color="808000"/>
              <w:right w:val="single" w:sz="4" w:space="0" w:color="808000"/>
            </w:tcBorders>
            <w:shd w:val="clear" w:color="auto" w:fill="auto"/>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01-ene-16</w:t>
            </w:r>
          </w:p>
        </w:tc>
        <w:tc>
          <w:tcPr>
            <w:tcW w:w="482" w:type="pct"/>
            <w:tcBorders>
              <w:top w:val="nil"/>
              <w:left w:val="nil"/>
              <w:bottom w:val="single" w:sz="4" w:space="0" w:color="808000"/>
              <w:right w:val="single" w:sz="4" w:space="0" w:color="808000"/>
            </w:tcBorders>
            <w:shd w:val="clear" w:color="auto" w:fill="auto"/>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30-jun-16</w:t>
            </w:r>
          </w:p>
        </w:tc>
        <w:tc>
          <w:tcPr>
            <w:tcW w:w="392" w:type="pct"/>
            <w:tcBorders>
              <w:top w:val="nil"/>
              <w:left w:val="single" w:sz="4" w:space="0" w:color="003366"/>
              <w:bottom w:val="single" w:sz="4" w:space="0" w:color="003366"/>
              <w:right w:val="single" w:sz="4" w:space="0" w:color="003366"/>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6,00</w:t>
            </w:r>
          </w:p>
        </w:tc>
        <w:tc>
          <w:tcPr>
            <w:tcW w:w="641" w:type="pct"/>
            <w:tcBorders>
              <w:top w:val="nil"/>
              <w:left w:val="nil"/>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2.099.534</w:t>
            </w:r>
          </w:p>
        </w:tc>
        <w:tc>
          <w:tcPr>
            <w:tcW w:w="722" w:type="pct"/>
            <w:tcBorders>
              <w:top w:val="nil"/>
              <w:left w:val="nil"/>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2.010.787</w:t>
            </w:r>
          </w:p>
        </w:tc>
        <w:tc>
          <w:tcPr>
            <w:tcW w:w="641" w:type="pct"/>
            <w:tcBorders>
              <w:top w:val="nil"/>
              <w:left w:val="single" w:sz="4" w:space="0" w:color="808000"/>
              <w:bottom w:val="single" w:sz="4" w:space="0" w:color="808000"/>
              <w:right w:val="single" w:sz="4" w:space="0" w:color="808000"/>
            </w:tcBorders>
            <w:shd w:val="clear" w:color="000000" w:fill="FFFFCC"/>
            <w:noWrap/>
            <w:vAlign w:val="bottom"/>
            <w:hideMark/>
          </w:tcPr>
          <w:p w:rsidR="008578B5" w:rsidRPr="008578B5" w:rsidRDefault="008578B5" w:rsidP="008578B5">
            <w:pPr>
              <w:spacing w:line="240" w:lineRule="auto"/>
              <w:jc w:val="center"/>
              <w:rPr>
                <w:rFonts w:ascii="Calibri" w:eastAsia="Times New Roman" w:hAnsi="Calibri" w:cs="Times New Roman"/>
                <w:color w:val="000000"/>
                <w:sz w:val="16"/>
                <w:szCs w:val="16"/>
                <w:lang w:eastAsia="es-ES"/>
              </w:rPr>
            </w:pPr>
            <w:r w:rsidRPr="008578B5">
              <w:rPr>
                <w:rFonts w:ascii="Calibri" w:eastAsia="Times New Roman" w:hAnsi="Calibri" w:cs="Times New Roman"/>
                <w:color w:val="000000"/>
                <w:sz w:val="16"/>
                <w:szCs w:val="16"/>
                <w:lang w:eastAsia="es-ES"/>
              </w:rPr>
              <w:t>532.481,77</w:t>
            </w:r>
          </w:p>
        </w:tc>
        <w:tc>
          <w:tcPr>
            <w:tcW w:w="564" w:type="pct"/>
            <w:tcBorders>
              <w:top w:val="nil"/>
              <w:left w:val="nil"/>
              <w:bottom w:val="nil"/>
              <w:right w:val="nil"/>
            </w:tcBorders>
            <w:shd w:val="clear" w:color="FFFFFF" w:fill="33CC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126,15</w:t>
            </w:r>
          </w:p>
        </w:tc>
        <w:tc>
          <w:tcPr>
            <w:tcW w:w="722" w:type="pct"/>
            <w:tcBorders>
              <w:top w:val="nil"/>
              <w:left w:val="single" w:sz="4" w:space="0" w:color="003366"/>
              <w:bottom w:val="single" w:sz="4" w:space="0" w:color="003366"/>
              <w:right w:val="single" w:sz="4" w:space="0" w:color="003366"/>
            </w:tcBorders>
            <w:shd w:val="clear" w:color="000000" w:fill="FFFFCC"/>
            <w:vAlign w:val="bottom"/>
            <w:hideMark/>
          </w:tcPr>
          <w:p w:rsidR="008578B5" w:rsidRPr="008578B5" w:rsidRDefault="008578B5" w:rsidP="008578B5">
            <w:pPr>
              <w:spacing w:line="240" w:lineRule="auto"/>
              <w:jc w:val="center"/>
              <w:rPr>
                <w:rFonts w:ascii="Calibri" w:eastAsia="Times New Roman" w:hAnsi="Calibri" w:cs="Times New Roman"/>
                <w:sz w:val="16"/>
                <w:szCs w:val="16"/>
                <w:lang w:eastAsia="es-ES"/>
              </w:rPr>
            </w:pPr>
            <w:r w:rsidRPr="008578B5">
              <w:rPr>
                <w:rFonts w:ascii="Calibri" w:eastAsia="Times New Roman" w:hAnsi="Calibri" w:cs="Times New Roman"/>
                <w:sz w:val="16"/>
                <w:szCs w:val="16"/>
                <w:lang w:eastAsia="es-ES"/>
              </w:rPr>
              <w:t>-</w:t>
            </w:r>
          </w:p>
        </w:tc>
      </w:tr>
      <w:tr w:rsidR="008578B5" w:rsidRPr="008578B5" w:rsidTr="009005E7">
        <w:trPr>
          <w:trHeight w:val="283"/>
          <w:jc w:val="center"/>
        </w:trPr>
        <w:tc>
          <w:tcPr>
            <w:tcW w:w="333" w:type="pct"/>
            <w:tcBorders>
              <w:top w:val="nil"/>
              <w:left w:val="nil"/>
              <w:bottom w:val="nil"/>
              <w:right w:val="nil"/>
            </w:tcBorders>
            <w:shd w:val="clear" w:color="auto" w:fill="auto"/>
            <w:noWrap/>
            <w:vAlign w:val="bottom"/>
            <w:hideMark/>
          </w:tcPr>
          <w:p w:rsidR="008578B5" w:rsidRPr="008578B5" w:rsidRDefault="008578B5" w:rsidP="008578B5">
            <w:pPr>
              <w:spacing w:line="240" w:lineRule="auto"/>
              <w:jc w:val="right"/>
              <w:rPr>
                <w:rFonts w:ascii="Calibri" w:eastAsia="Times New Roman" w:hAnsi="Calibri" w:cs="Times New Roman"/>
                <w:sz w:val="16"/>
                <w:szCs w:val="16"/>
                <w:lang w:eastAsia="es-ES"/>
              </w:rPr>
            </w:pPr>
          </w:p>
        </w:tc>
        <w:tc>
          <w:tcPr>
            <w:tcW w:w="503"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482"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392"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641" w:type="pct"/>
            <w:tcBorders>
              <w:top w:val="nil"/>
              <w:left w:val="single" w:sz="4" w:space="0" w:color="003366"/>
              <w:bottom w:val="single" w:sz="4" w:space="0" w:color="003366"/>
              <w:right w:val="single" w:sz="4" w:space="0" w:color="003366"/>
            </w:tcBorders>
            <w:shd w:val="clear" w:color="000000" w:fill="FFFF99"/>
            <w:noWrap/>
            <w:vAlign w:val="center"/>
            <w:hideMark/>
          </w:tcPr>
          <w:p w:rsidR="008578B5" w:rsidRPr="008578B5" w:rsidRDefault="008578B5" w:rsidP="008578B5">
            <w:pPr>
              <w:spacing w:line="240" w:lineRule="auto"/>
              <w:rPr>
                <w:rFonts w:ascii="Calibri" w:eastAsia="Times New Roman" w:hAnsi="Calibri" w:cs="Times New Roman"/>
                <w:b/>
                <w:bCs/>
                <w:sz w:val="16"/>
                <w:szCs w:val="16"/>
                <w:lang w:eastAsia="es-ES"/>
              </w:rPr>
            </w:pPr>
            <w:r w:rsidRPr="008578B5">
              <w:rPr>
                <w:rFonts w:ascii="Calibri" w:eastAsia="Times New Roman" w:hAnsi="Calibri" w:cs="Times New Roman"/>
                <w:b/>
                <w:bCs/>
                <w:sz w:val="16"/>
                <w:szCs w:val="16"/>
                <w:lang w:eastAsia="es-ES"/>
              </w:rPr>
              <w:t xml:space="preserve"> Valores a cancelar ===&gt; </w:t>
            </w:r>
          </w:p>
        </w:tc>
        <w:tc>
          <w:tcPr>
            <w:tcW w:w="722" w:type="pct"/>
            <w:tcBorders>
              <w:top w:val="nil"/>
              <w:left w:val="nil"/>
              <w:bottom w:val="single" w:sz="4" w:space="0" w:color="003366"/>
              <w:right w:val="single" w:sz="4" w:space="0" w:color="003366"/>
            </w:tcBorders>
            <w:shd w:val="clear" w:color="000000" w:fill="FFFF99"/>
            <w:noWrap/>
            <w:vAlign w:val="center"/>
            <w:hideMark/>
          </w:tcPr>
          <w:p w:rsidR="008578B5" w:rsidRPr="008578B5" w:rsidRDefault="008578B5" w:rsidP="008578B5">
            <w:pPr>
              <w:spacing w:line="240" w:lineRule="auto"/>
              <w:rPr>
                <w:rFonts w:ascii="Calibri" w:eastAsia="Times New Roman" w:hAnsi="Calibri" w:cs="Times New Roman"/>
                <w:b/>
                <w:bCs/>
                <w:sz w:val="16"/>
                <w:szCs w:val="16"/>
                <w:lang w:eastAsia="es-ES"/>
              </w:rPr>
            </w:pPr>
            <w:r w:rsidRPr="008578B5">
              <w:rPr>
                <w:rFonts w:ascii="Calibri" w:eastAsia="Times New Roman" w:hAnsi="Calibri" w:cs="Times New Roman"/>
                <w:b/>
                <w:bCs/>
                <w:sz w:val="16"/>
                <w:szCs w:val="16"/>
                <w:lang w:eastAsia="es-ES"/>
              </w:rPr>
              <w:t> </w:t>
            </w:r>
          </w:p>
        </w:tc>
        <w:tc>
          <w:tcPr>
            <w:tcW w:w="641" w:type="pct"/>
            <w:tcBorders>
              <w:top w:val="nil"/>
              <w:left w:val="single" w:sz="4" w:space="0" w:color="808000"/>
              <w:bottom w:val="single" w:sz="4" w:space="0" w:color="808000"/>
              <w:right w:val="single" w:sz="4" w:space="0" w:color="808000"/>
            </w:tcBorders>
            <w:shd w:val="clear" w:color="000000" w:fill="FFFF99"/>
            <w:noWrap/>
            <w:vAlign w:val="center"/>
            <w:hideMark/>
          </w:tcPr>
          <w:p w:rsidR="008578B5" w:rsidRPr="008578B5" w:rsidRDefault="008578B5" w:rsidP="008578B5">
            <w:pPr>
              <w:spacing w:line="240" w:lineRule="auto"/>
              <w:rPr>
                <w:rFonts w:ascii="Calibri" w:eastAsia="Times New Roman" w:hAnsi="Calibri" w:cs="Times New Roman"/>
                <w:b/>
                <w:bCs/>
                <w:color w:val="000000"/>
                <w:sz w:val="16"/>
                <w:szCs w:val="16"/>
                <w:lang w:eastAsia="es-ES"/>
              </w:rPr>
            </w:pPr>
            <w:r w:rsidRPr="008578B5">
              <w:rPr>
                <w:rFonts w:ascii="Calibri" w:eastAsia="Times New Roman" w:hAnsi="Calibri" w:cs="Times New Roman"/>
                <w:b/>
                <w:bCs/>
                <w:color w:val="000000"/>
                <w:sz w:val="16"/>
                <w:szCs w:val="16"/>
                <w:lang w:eastAsia="es-ES"/>
              </w:rPr>
              <w:t xml:space="preserve">        </w:t>
            </w:r>
            <w:r>
              <w:rPr>
                <w:rFonts w:ascii="Calibri" w:eastAsia="Times New Roman" w:hAnsi="Calibri" w:cs="Times New Roman"/>
                <w:b/>
                <w:bCs/>
                <w:color w:val="000000"/>
                <w:sz w:val="16"/>
                <w:szCs w:val="16"/>
                <w:lang w:eastAsia="es-ES"/>
              </w:rPr>
              <w:t>$</w:t>
            </w:r>
            <w:r w:rsidRPr="008578B5">
              <w:rPr>
                <w:rFonts w:ascii="Calibri" w:eastAsia="Times New Roman" w:hAnsi="Calibri" w:cs="Times New Roman"/>
                <w:b/>
                <w:bCs/>
                <w:color w:val="000000"/>
                <w:sz w:val="16"/>
                <w:szCs w:val="16"/>
                <w:lang w:eastAsia="es-ES"/>
              </w:rPr>
              <w:t xml:space="preserve">3.363.374,39 </w:t>
            </w:r>
          </w:p>
        </w:tc>
        <w:tc>
          <w:tcPr>
            <w:tcW w:w="564" w:type="pct"/>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8578B5" w:rsidRPr="008578B5" w:rsidRDefault="008578B5" w:rsidP="008578B5">
            <w:pPr>
              <w:spacing w:line="240" w:lineRule="auto"/>
              <w:jc w:val="right"/>
              <w:rPr>
                <w:rFonts w:ascii="Calibri" w:eastAsia="Times New Roman" w:hAnsi="Calibri" w:cs="Times New Roman"/>
                <w:b/>
                <w:bCs/>
                <w:sz w:val="16"/>
                <w:szCs w:val="16"/>
                <w:lang w:eastAsia="es-ES"/>
              </w:rPr>
            </w:pPr>
            <w:r w:rsidRPr="008578B5">
              <w:rPr>
                <w:rFonts w:ascii="Calibri" w:eastAsia="Times New Roman" w:hAnsi="Calibri" w:cs="Times New Roman"/>
                <w:b/>
                <w:bCs/>
                <w:sz w:val="16"/>
                <w:szCs w:val="16"/>
                <w:lang w:eastAsia="es-ES"/>
              </w:rPr>
              <w:t xml:space="preserve"> Indexado=&gt; </w:t>
            </w:r>
          </w:p>
        </w:tc>
        <w:tc>
          <w:tcPr>
            <w:tcW w:w="722" w:type="pct"/>
            <w:tcBorders>
              <w:top w:val="single" w:sz="4" w:space="0" w:color="808000"/>
              <w:left w:val="single" w:sz="4" w:space="0" w:color="808000"/>
              <w:bottom w:val="single" w:sz="4" w:space="0" w:color="808000"/>
              <w:right w:val="single" w:sz="4" w:space="0" w:color="808000"/>
            </w:tcBorders>
            <w:shd w:val="clear" w:color="000000" w:fill="FFFF99"/>
            <w:noWrap/>
            <w:vAlign w:val="center"/>
            <w:hideMark/>
          </w:tcPr>
          <w:p w:rsidR="008578B5" w:rsidRPr="008578B5" w:rsidRDefault="008578B5" w:rsidP="008578B5">
            <w:pPr>
              <w:spacing w:line="240" w:lineRule="auto"/>
              <w:jc w:val="right"/>
              <w:rPr>
                <w:rFonts w:ascii="Calibri" w:eastAsia="Times New Roman" w:hAnsi="Calibri" w:cs="Times New Roman"/>
                <w:b/>
                <w:bCs/>
                <w:color w:val="000000"/>
                <w:sz w:val="16"/>
                <w:szCs w:val="16"/>
                <w:lang w:eastAsia="es-ES"/>
              </w:rPr>
            </w:pPr>
            <w:r>
              <w:rPr>
                <w:rFonts w:ascii="Calibri" w:eastAsia="Times New Roman" w:hAnsi="Calibri" w:cs="Times New Roman"/>
                <w:b/>
                <w:bCs/>
                <w:color w:val="000000"/>
                <w:sz w:val="16"/>
                <w:szCs w:val="16"/>
                <w:lang w:eastAsia="es-ES"/>
              </w:rPr>
              <w:t>$</w:t>
            </w:r>
            <w:r w:rsidRPr="008578B5">
              <w:rPr>
                <w:rFonts w:ascii="Calibri" w:eastAsia="Times New Roman" w:hAnsi="Calibri" w:cs="Times New Roman"/>
                <w:b/>
                <w:bCs/>
                <w:color w:val="000000"/>
                <w:sz w:val="16"/>
                <w:szCs w:val="16"/>
                <w:lang w:eastAsia="es-ES"/>
              </w:rPr>
              <w:t>275.189</w:t>
            </w:r>
          </w:p>
        </w:tc>
      </w:tr>
      <w:tr w:rsidR="009005E7" w:rsidRPr="008578B5" w:rsidTr="009005E7">
        <w:trPr>
          <w:trHeight w:val="283"/>
          <w:jc w:val="center"/>
        </w:trPr>
        <w:tc>
          <w:tcPr>
            <w:tcW w:w="333"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Calibri" w:eastAsia="Times New Roman" w:hAnsi="Calibri" w:cs="Times New Roman"/>
                <w:b/>
                <w:bCs/>
                <w:color w:val="000000"/>
                <w:sz w:val="16"/>
                <w:szCs w:val="16"/>
                <w:lang w:eastAsia="es-ES"/>
              </w:rPr>
            </w:pPr>
          </w:p>
        </w:tc>
        <w:tc>
          <w:tcPr>
            <w:tcW w:w="503"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482"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392"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641"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722"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641"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564"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722"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r>
      <w:tr w:rsidR="009005E7" w:rsidRPr="008578B5" w:rsidTr="009005E7">
        <w:trPr>
          <w:trHeight w:val="283"/>
          <w:jc w:val="center"/>
        </w:trPr>
        <w:tc>
          <w:tcPr>
            <w:tcW w:w="333"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503"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482"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lang w:eastAsia="es-ES"/>
              </w:rPr>
            </w:pPr>
          </w:p>
        </w:tc>
        <w:tc>
          <w:tcPr>
            <w:tcW w:w="392" w:type="pct"/>
            <w:tcBorders>
              <w:top w:val="nil"/>
              <w:left w:val="nil"/>
              <w:bottom w:val="nil"/>
              <w:right w:val="nil"/>
            </w:tcBorders>
            <w:shd w:val="clear" w:color="auto" w:fill="auto"/>
            <w:noWrap/>
            <w:vAlign w:val="bottom"/>
            <w:hideMark/>
          </w:tcPr>
          <w:p w:rsidR="008578B5" w:rsidRPr="008578B5" w:rsidRDefault="008578B5" w:rsidP="008578B5">
            <w:pPr>
              <w:spacing w:line="240" w:lineRule="auto"/>
              <w:rPr>
                <w:rFonts w:ascii="Times New Roman" w:eastAsia="Times New Roman" w:hAnsi="Times New Roman" w:cs="Times New Roman"/>
                <w:sz w:val="16"/>
                <w:szCs w:val="16"/>
                <w:vertAlign w:val="superscript"/>
                <w:lang w:eastAsia="es-ES"/>
              </w:rPr>
            </w:pPr>
          </w:p>
        </w:tc>
        <w:tc>
          <w:tcPr>
            <w:tcW w:w="1363" w:type="pct"/>
            <w:gridSpan w:val="2"/>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8578B5" w:rsidRPr="008578B5" w:rsidRDefault="008578B5" w:rsidP="008578B5">
            <w:pPr>
              <w:spacing w:line="240" w:lineRule="auto"/>
              <w:rPr>
                <w:rFonts w:ascii="Calibri" w:eastAsia="Times New Roman" w:hAnsi="Calibri" w:cs="Times New Roman"/>
                <w:b/>
                <w:bCs/>
                <w:sz w:val="16"/>
                <w:szCs w:val="16"/>
                <w:lang w:eastAsia="es-ES"/>
              </w:rPr>
            </w:pPr>
            <w:r w:rsidRPr="008578B5">
              <w:rPr>
                <w:rFonts w:ascii="Calibri" w:eastAsia="Times New Roman" w:hAnsi="Calibri" w:cs="Times New Roman"/>
                <w:b/>
                <w:bCs/>
                <w:sz w:val="16"/>
                <w:szCs w:val="16"/>
                <w:lang w:eastAsia="es-ES"/>
              </w:rPr>
              <w:t xml:space="preserve"> Valores a cancelar Diferencia mesada</w:t>
            </w:r>
            <w:r>
              <w:rPr>
                <w:rFonts w:ascii="Calibri" w:eastAsia="Times New Roman" w:hAnsi="Calibri" w:cs="Times New Roman"/>
                <w:b/>
                <w:bCs/>
                <w:sz w:val="16"/>
                <w:szCs w:val="16"/>
                <w:lang w:eastAsia="es-ES"/>
              </w:rPr>
              <w:t xml:space="preserve"> </w:t>
            </w:r>
            <w:r w:rsidRPr="008578B5">
              <w:rPr>
                <w:rFonts w:ascii="Calibri" w:eastAsia="Times New Roman" w:hAnsi="Calibri" w:cs="Times New Roman"/>
                <w:b/>
                <w:bCs/>
                <w:sz w:val="16"/>
                <w:szCs w:val="16"/>
                <w:lang w:eastAsia="es-ES"/>
              </w:rPr>
              <w:t>+</w:t>
            </w:r>
            <w:r>
              <w:rPr>
                <w:rFonts w:ascii="Calibri" w:eastAsia="Times New Roman" w:hAnsi="Calibri" w:cs="Times New Roman"/>
                <w:b/>
                <w:bCs/>
                <w:sz w:val="16"/>
                <w:szCs w:val="16"/>
                <w:lang w:eastAsia="es-ES"/>
              </w:rPr>
              <w:t xml:space="preserve"> </w:t>
            </w:r>
            <w:r w:rsidRPr="008578B5">
              <w:rPr>
                <w:rFonts w:ascii="Calibri" w:eastAsia="Times New Roman" w:hAnsi="Calibri" w:cs="Times New Roman"/>
                <w:b/>
                <w:bCs/>
                <w:sz w:val="16"/>
                <w:szCs w:val="16"/>
                <w:lang w:eastAsia="es-ES"/>
              </w:rPr>
              <w:t xml:space="preserve">indexación ===&gt; </w:t>
            </w:r>
          </w:p>
          <w:p w:rsidR="008578B5" w:rsidRPr="008578B5" w:rsidRDefault="008578B5" w:rsidP="008578B5">
            <w:pPr>
              <w:spacing w:line="240" w:lineRule="auto"/>
              <w:rPr>
                <w:rFonts w:ascii="Calibri" w:eastAsia="Times New Roman" w:hAnsi="Calibri" w:cs="Times New Roman"/>
                <w:b/>
                <w:bCs/>
                <w:sz w:val="16"/>
                <w:szCs w:val="16"/>
                <w:lang w:eastAsia="es-ES"/>
              </w:rPr>
            </w:pPr>
            <w:r w:rsidRPr="008578B5">
              <w:rPr>
                <w:rFonts w:ascii="Calibri" w:eastAsia="Times New Roman" w:hAnsi="Calibri" w:cs="Times New Roman"/>
                <w:b/>
                <w:bCs/>
                <w:sz w:val="16"/>
                <w:szCs w:val="16"/>
                <w:lang w:eastAsia="es-ES"/>
              </w:rPr>
              <w:t> </w:t>
            </w:r>
          </w:p>
        </w:tc>
        <w:tc>
          <w:tcPr>
            <w:tcW w:w="1927" w:type="pct"/>
            <w:gridSpan w:val="3"/>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8578B5" w:rsidRPr="008578B5" w:rsidRDefault="008578B5" w:rsidP="008578B5">
            <w:pPr>
              <w:spacing w:line="240" w:lineRule="auto"/>
              <w:jc w:val="center"/>
              <w:rPr>
                <w:rFonts w:ascii="Calibri" w:eastAsia="Times New Roman" w:hAnsi="Calibri" w:cs="Times New Roman"/>
                <w:b/>
                <w:bCs/>
                <w:sz w:val="20"/>
                <w:szCs w:val="20"/>
                <w:lang w:eastAsia="es-ES"/>
              </w:rPr>
            </w:pPr>
            <w:r w:rsidRPr="008578B5">
              <w:rPr>
                <w:rFonts w:ascii="Calibri" w:eastAsia="Times New Roman" w:hAnsi="Calibri" w:cs="Times New Roman"/>
                <w:b/>
                <w:bCs/>
                <w:sz w:val="20"/>
                <w:szCs w:val="20"/>
                <w:lang w:eastAsia="es-ES"/>
              </w:rPr>
              <w:t xml:space="preserve"> $  3.638.563,33 </w:t>
            </w:r>
          </w:p>
        </w:tc>
      </w:tr>
    </w:tbl>
    <w:p w:rsidR="004F314A" w:rsidRDefault="004F314A" w:rsidP="004F314A">
      <w:pPr>
        <w:spacing w:line="240" w:lineRule="auto"/>
        <w:jc w:val="both"/>
        <w:rPr>
          <w:rFonts w:ascii="Tahoma" w:hAnsi="Tahoma" w:cs="Tahoma"/>
          <w:sz w:val="24"/>
          <w:szCs w:val="24"/>
          <w:lang w:val="es-CO"/>
        </w:rPr>
      </w:pPr>
    </w:p>
    <w:p w:rsidR="008578B5" w:rsidRPr="004F314A" w:rsidRDefault="004F314A" w:rsidP="004F314A">
      <w:pPr>
        <w:jc w:val="both"/>
        <w:rPr>
          <w:rFonts w:ascii="Tahoma" w:hAnsi="Tahoma" w:cs="Tahoma"/>
          <w:sz w:val="24"/>
          <w:szCs w:val="24"/>
          <w:lang w:val="es-CO"/>
        </w:rPr>
      </w:pPr>
      <w:r>
        <w:rPr>
          <w:rFonts w:ascii="Tahoma" w:hAnsi="Tahoma" w:cs="Tahoma"/>
          <w:sz w:val="24"/>
          <w:szCs w:val="24"/>
          <w:lang w:val="es-CO"/>
        </w:rPr>
        <w:tab/>
      </w:r>
      <w:r w:rsidRPr="004F314A">
        <w:rPr>
          <w:rFonts w:ascii="Tahoma" w:hAnsi="Tahoma" w:cs="Tahoma"/>
          <w:sz w:val="24"/>
          <w:szCs w:val="24"/>
          <w:lang w:val="es-CO"/>
        </w:rPr>
        <w:t>Sin costas en esta sede de consulta</w:t>
      </w:r>
    </w:p>
    <w:p w:rsidR="008578B5" w:rsidRPr="004F314A" w:rsidRDefault="008578B5" w:rsidP="004F314A">
      <w:pPr>
        <w:spacing w:line="240" w:lineRule="auto"/>
        <w:jc w:val="both"/>
        <w:rPr>
          <w:rFonts w:ascii="Tahoma" w:hAnsi="Tahoma" w:cs="Tahoma"/>
          <w:sz w:val="24"/>
          <w:szCs w:val="24"/>
          <w:lang w:val="es-CO"/>
        </w:rPr>
      </w:pPr>
    </w:p>
    <w:p w:rsidR="004F314A" w:rsidRPr="004F314A" w:rsidRDefault="004F314A" w:rsidP="004F314A">
      <w:pPr>
        <w:pStyle w:val="Sangradetextonormal"/>
        <w:spacing w:after="0" w:line="276" w:lineRule="auto"/>
        <w:ind w:left="0"/>
        <w:jc w:val="both"/>
        <w:rPr>
          <w:rFonts w:ascii="Tahoma" w:hAnsi="Tahoma" w:cs="Tahoma"/>
          <w:sz w:val="24"/>
          <w:szCs w:val="24"/>
        </w:rPr>
      </w:pPr>
      <w:r w:rsidRPr="004F314A">
        <w:rPr>
          <w:rFonts w:ascii="Tahoma" w:hAnsi="Tahoma" w:cs="Tahoma"/>
          <w:sz w:val="24"/>
          <w:szCs w:val="24"/>
        </w:rPr>
        <w:tab/>
        <w:t xml:space="preserve">En mérito de  lo expuesto, el </w:t>
      </w:r>
      <w:r w:rsidRPr="004F314A">
        <w:rPr>
          <w:rFonts w:ascii="Tahoma" w:hAnsi="Tahoma" w:cs="Tahoma"/>
          <w:b/>
          <w:sz w:val="24"/>
          <w:szCs w:val="24"/>
        </w:rPr>
        <w:t>TRIBUNAL SUPERIOR DEL DISTRITO JUDICIAL DE PEREIRA (RISARALDA)</w:t>
      </w:r>
      <w:r w:rsidRPr="004F314A">
        <w:rPr>
          <w:rFonts w:ascii="Tahoma" w:hAnsi="Tahoma" w:cs="Tahoma"/>
          <w:sz w:val="24"/>
          <w:szCs w:val="24"/>
        </w:rPr>
        <w:t xml:space="preserve">, </w:t>
      </w:r>
      <w:r w:rsidRPr="004F314A">
        <w:rPr>
          <w:rFonts w:ascii="Tahoma" w:hAnsi="Tahoma" w:cs="Tahoma"/>
          <w:b/>
          <w:sz w:val="24"/>
          <w:szCs w:val="24"/>
        </w:rPr>
        <w:t>SALA LABORAL</w:t>
      </w:r>
      <w:r w:rsidRPr="004F314A">
        <w:rPr>
          <w:rFonts w:ascii="Tahoma" w:hAnsi="Tahoma" w:cs="Tahoma"/>
          <w:sz w:val="24"/>
          <w:szCs w:val="24"/>
        </w:rPr>
        <w:t>, Administrando Justicia en Nombre de la República  y por autoridad de la Ley,</w:t>
      </w:r>
    </w:p>
    <w:p w:rsidR="004F314A" w:rsidRPr="004F314A" w:rsidRDefault="004F314A" w:rsidP="004F314A">
      <w:pPr>
        <w:pStyle w:val="Sangradetextonormal"/>
        <w:spacing w:after="0" w:line="240" w:lineRule="auto"/>
        <w:ind w:left="0"/>
        <w:jc w:val="both"/>
        <w:rPr>
          <w:rFonts w:ascii="Tahoma" w:hAnsi="Tahoma" w:cs="Tahoma"/>
          <w:sz w:val="24"/>
          <w:szCs w:val="24"/>
        </w:rPr>
      </w:pPr>
    </w:p>
    <w:p w:rsidR="004F314A" w:rsidRPr="004F314A" w:rsidRDefault="004F314A" w:rsidP="004F314A">
      <w:pPr>
        <w:autoSpaceDE w:val="0"/>
        <w:autoSpaceDN w:val="0"/>
        <w:adjustRightInd w:val="0"/>
        <w:jc w:val="center"/>
        <w:rPr>
          <w:rFonts w:ascii="Tahoma" w:hAnsi="Tahoma" w:cs="Tahoma"/>
          <w:b/>
          <w:sz w:val="24"/>
          <w:szCs w:val="24"/>
        </w:rPr>
      </w:pPr>
      <w:r w:rsidRPr="004F314A">
        <w:rPr>
          <w:rFonts w:ascii="Tahoma" w:hAnsi="Tahoma" w:cs="Tahoma"/>
          <w:b/>
          <w:sz w:val="24"/>
          <w:szCs w:val="24"/>
        </w:rPr>
        <w:t>R E S U E L V E:</w:t>
      </w:r>
    </w:p>
    <w:p w:rsidR="004F314A" w:rsidRPr="004F314A" w:rsidRDefault="004F314A" w:rsidP="004F314A">
      <w:pPr>
        <w:widowControl w:val="0"/>
        <w:autoSpaceDE w:val="0"/>
        <w:autoSpaceDN w:val="0"/>
        <w:adjustRightInd w:val="0"/>
        <w:spacing w:line="240" w:lineRule="auto"/>
        <w:jc w:val="both"/>
        <w:rPr>
          <w:rFonts w:ascii="Tahoma" w:hAnsi="Tahoma" w:cs="Tahoma"/>
          <w:sz w:val="24"/>
          <w:szCs w:val="24"/>
        </w:rPr>
      </w:pPr>
    </w:p>
    <w:p w:rsidR="004F314A" w:rsidRPr="004F314A" w:rsidRDefault="004F314A" w:rsidP="004F314A">
      <w:pPr>
        <w:jc w:val="both"/>
        <w:rPr>
          <w:rFonts w:ascii="Tahoma" w:hAnsi="Tahoma" w:cs="Tahoma"/>
          <w:sz w:val="24"/>
          <w:szCs w:val="24"/>
        </w:rPr>
      </w:pPr>
      <w:r w:rsidRPr="004F314A">
        <w:rPr>
          <w:rFonts w:ascii="Tahoma" w:hAnsi="Tahoma" w:cs="Tahoma"/>
          <w:b/>
          <w:sz w:val="24"/>
          <w:szCs w:val="24"/>
        </w:rPr>
        <w:tab/>
      </w:r>
      <w:r w:rsidRPr="004F314A">
        <w:rPr>
          <w:rFonts w:ascii="Tahoma" w:hAnsi="Tahoma" w:cs="Tahoma"/>
          <w:b/>
          <w:sz w:val="24"/>
          <w:szCs w:val="24"/>
          <w:u w:val="single"/>
        </w:rPr>
        <w:t>PRIMERO</w:t>
      </w:r>
      <w:r w:rsidRPr="004F314A">
        <w:rPr>
          <w:rFonts w:ascii="Tahoma" w:hAnsi="Tahoma" w:cs="Tahoma"/>
          <w:sz w:val="24"/>
          <w:szCs w:val="24"/>
        </w:rPr>
        <w:t xml:space="preserve">:- </w:t>
      </w:r>
      <w:r w:rsidRPr="004F314A">
        <w:rPr>
          <w:rFonts w:ascii="Tahoma" w:hAnsi="Tahoma" w:cs="Tahoma"/>
          <w:b/>
          <w:sz w:val="24"/>
          <w:szCs w:val="24"/>
        </w:rPr>
        <w:t>CONFIRMAR</w:t>
      </w:r>
      <w:r w:rsidRPr="004F314A">
        <w:rPr>
          <w:rFonts w:ascii="Tahoma" w:hAnsi="Tahoma" w:cs="Tahoma"/>
          <w:sz w:val="24"/>
          <w:szCs w:val="24"/>
        </w:rPr>
        <w:t xml:space="preserve"> la sentencia objeto de examen en sede jurisdiccional de consulta.</w:t>
      </w:r>
      <w:r>
        <w:rPr>
          <w:rFonts w:ascii="Tahoma" w:hAnsi="Tahoma" w:cs="Tahoma"/>
          <w:sz w:val="24"/>
          <w:szCs w:val="24"/>
        </w:rPr>
        <w:t xml:space="preserve"> Sin costas en sede de consulta.</w:t>
      </w:r>
    </w:p>
    <w:p w:rsidR="004F314A" w:rsidRPr="004F314A" w:rsidRDefault="004F314A" w:rsidP="004F314A">
      <w:pPr>
        <w:spacing w:line="240" w:lineRule="auto"/>
        <w:jc w:val="both"/>
        <w:rPr>
          <w:rFonts w:ascii="Tahoma" w:hAnsi="Tahoma" w:cs="Tahoma"/>
          <w:sz w:val="24"/>
          <w:szCs w:val="24"/>
        </w:rPr>
      </w:pPr>
    </w:p>
    <w:p w:rsidR="004F314A" w:rsidRPr="004F314A" w:rsidRDefault="004F314A" w:rsidP="004F314A">
      <w:pPr>
        <w:jc w:val="both"/>
        <w:rPr>
          <w:rFonts w:ascii="Tahoma" w:hAnsi="Tahoma" w:cs="Tahoma"/>
          <w:iCs/>
          <w:sz w:val="24"/>
          <w:szCs w:val="24"/>
        </w:rPr>
      </w:pPr>
      <w:r w:rsidRPr="004F314A">
        <w:rPr>
          <w:rFonts w:ascii="Tahoma" w:hAnsi="Tahoma" w:cs="Tahoma"/>
          <w:sz w:val="24"/>
          <w:szCs w:val="24"/>
        </w:rPr>
        <w:tab/>
      </w:r>
      <w:r w:rsidRPr="004F314A">
        <w:rPr>
          <w:rFonts w:ascii="Tahoma" w:hAnsi="Tahoma" w:cs="Tahoma"/>
          <w:b/>
          <w:sz w:val="24"/>
          <w:szCs w:val="24"/>
          <w:u w:val="single"/>
        </w:rPr>
        <w:t>SEGUNDO:</w:t>
      </w:r>
      <w:r w:rsidRPr="004F314A">
        <w:rPr>
          <w:rFonts w:ascii="Tahoma" w:hAnsi="Tahoma" w:cs="Tahoma"/>
          <w:b/>
          <w:sz w:val="24"/>
          <w:szCs w:val="24"/>
        </w:rPr>
        <w:t xml:space="preserve"> </w:t>
      </w:r>
      <w:r w:rsidRPr="004F314A">
        <w:rPr>
          <w:rFonts w:ascii="Tahoma" w:hAnsi="Tahoma" w:cs="Tahoma"/>
          <w:b/>
          <w:iCs/>
          <w:sz w:val="24"/>
          <w:szCs w:val="24"/>
        </w:rPr>
        <w:t>ACTUALIZAR</w:t>
      </w:r>
      <w:r w:rsidRPr="004F314A">
        <w:rPr>
          <w:rFonts w:ascii="Tahoma" w:hAnsi="Tahoma" w:cs="Tahoma"/>
          <w:iCs/>
          <w:sz w:val="24"/>
          <w:szCs w:val="24"/>
        </w:rPr>
        <w:t xml:space="preserve"> la condena a la fecha de emisión de la presente providencia, tal y como lo ordena el artículo 283 del C.G.P. En tal sentido: de acuerdo a los cálculos efectuados en sede de consulta, el valor del retroactivo pensional conformado entre el 7 de junio de 2012 y el 31 de marzo de 2013, es por la suma de $20.582.647, que indexados a la fecha ascienden a la suma total de $22.945.395. Asimismo, el valor de la diferencia pensional entre esta última fecha y el 31 de mayo de 2016, asciende a la suma de</w:t>
      </w:r>
      <w:r w:rsidRPr="004F314A">
        <w:rPr>
          <w:rFonts w:ascii="Tahoma" w:eastAsia="Times New Roman" w:hAnsi="Tahoma" w:cs="Tahoma"/>
          <w:bCs/>
          <w:sz w:val="24"/>
          <w:szCs w:val="24"/>
          <w:lang w:eastAsia="es-ES"/>
        </w:rPr>
        <w:t xml:space="preserve"> $</w:t>
      </w:r>
      <w:r w:rsidRPr="008578B5">
        <w:rPr>
          <w:rFonts w:ascii="Tahoma" w:eastAsia="Times New Roman" w:hAnsi="Tahoma" w:cs="Tahoma"/>
          <w:bCs/>
          <w:sz w:val="24"/>
          <w:szCs w:val="24"/>
          <w:lang w:eastAsia="es-ES"/>
        </w:rPr>
        <w:t>3.638.563,33</w:t>
      </w:r>
      <w:r w:rsidRPr="004F314A">
        <w:rPr>
          <w:rFonts w:ascii="Tahoma" w:eastAsia="Times New Roman" w:hAnsi="Tahoma" w:cs="Tahoma"/>
          <w:bCs/>
          <w:sz w:val="24"/>
          <w:szCs w:val="24"/>
          <w:lang w:eastAsia="es-ES"/>
        </w:rPr>
        <w:t xml:space="preserve"> (cifra que incluye el valor de la indexación)</w:t>
      </w:r>
      <w:r w:rsidRPr="004F314A">
        <w:rPr>
          <w:rFonts w:ascii="Tahoma" w:hAnsi="Tahoma" w:cs="Tahoma"/>
          <w:iCs/>
          <w:sz w:val="24"/>
          <w:szCs w:val="24"/>
        </w:rPr>
        <w:t xml:space="preserve">. A partir del 1º de junio de 2016, la entidad continuará pagando una mesada pensional de $1.966.408 mensuales. </w:t>
      </w:r>
    </w:p>
    <w:p w:rsidR="004F314A" w:rsidRPr="004F314A" w:rsidRDefault="004F314A" w:rsidP="004F314A">
      <w:pPr>
        <w:jc w:val="both"/>
        <w:rPr>
          <w:rFonts w:ascii="Tahoma" w:hAnsi="Tahoma" w:cs="Tahoma"/>
          <w:iCs/>
          <w:sz w:val="24"/>
          <w:szCs w:val="24"/>
        </w:rPr>
      </w:pPr>
    </w:p>
    <w:p w:rsidR="004F314A" w:rsidRPr="004F314A" w:rsidRDefault="004F314A" w:rsidP="004F314A">
      <w:pPr>
        <w:widowControl w:val="0"/>
        <w:autoSpaceDE w:val="0"/>
        <w:autoSpaceDN w:val="0"/>
        <w:adjustRightInd w:val="0"/>
        <w:ind w:firstLine="708"/>
        <w:jc w:val="both"/>
        <w:rPr>
          <w:rFonts w:ascii="Tahoma" w:hAnsi="Tahoma" w:cs="Tahoma"/>
          <w:b/>
          <w:bCs/>
        </w:rPr>
      </w:pPr>
      <w:r w:rsidRPr="004F314A">
        <w:rPr>
          <w:rFonts w:ascii="Tahoma" w:hAnsi="Tahoma" w:cs="Tahoma"/>
          <w:b/>
          <w:bCs/>
        </w:rPr>
        <w:t xml:space="preserve">NOTIFICACIÓN SURTIDA EN ESTRADOS. </w:t>
      </w:r>
      <w:r w:rsidRPr="004F314A">
        <w:rPr>
          <w:rFonts w:ascii="Tahoma" w:hAnsi="Tahoma" w:cs="Tahoma"/>
          <w:b/>
        </w:rPr>
        <w:t>CÚMPLASE</w:t>
      </w:r>
      <w:r w:rsidRPr="004F314A">
        <w:rPr>
          <w:rFonts w:ascii="Tahoma" w:hAnsi="Tahoma" w:cs="Tahoma"/>
        </w:rPr>
        <w:t xml:space="preserve"> y </w:t>
      </w:r>
      <w:r w:rsidRPr="004F314A">
        <w:rPr>
          <w:rFonts w:ascii="Tahoma" w:hAnsi="Tahoma" w:cs="Tahoma"/>
          <w:b/>
        </w:rPr>
        <w:t>DEVUÉLVASE</w:t>
      </w:r>
      <w:r w:rsidRPr="004F314A">
        <w:rPr>
          <w:rFonts w:ascii="Tahoma" w:hAnsi="Tahoma" w:cs="Tahoma"/>
        </w:rPr>
        <w:t xml:space="preserve"> el expediente al Juzgado de origen.</w:t>
      </w:r>
    </w:p>
    <w:p w:rsidR="004F314A" w:rsidRPr="004F314A" w:rsidRDefault="004F314A" w:rsidP="004F314A">
      <w:pPr>
        <w:spacing w:line="240" w:lineRule="auto"/>
        <w:jc w:val="both"/>
        <w:rPr>
          <w:rFonts w:ascii="Tahoma" w:hAnsi="Tahoma" w:cs="Tahoma"/>
          <w:sz w:val="24"/>
          <w:szCs w:val="24"/>
        </w:rPr>
      </w:pPr>
    </w:p>
    <w:p w:rsidR="004F314A" w:rsidRPr="004F314A" w:rsidRDefault="004F314A" w:rsidP="004F314A">
      <w:pPr>
        <w:jc w:val="both"/>
        <w:rPr>
          <w:rFonts w:ascii="Tahoma" w:hAnsi="Tahoma" w:cs="Tahoma"/>
        </w:rPr>
      </w:pPr>
      <w:r w:rsidRPr="004F314A">
        <w:rPr>
          <w:rFonts w:ascii="Tahoma" w:hAnsi="Tahoma" w:cs="Tahoma"/>
        </w:rPr>
        <w:t>La Magistrada,</w:t>
      </w:r>
    </w:p>
    <w:p w:rsidR="004F314A" w:rsidRPr="004F314A" w:rsidRDefault="004F314A" w:rsidP="004F314A">
      <w:pPr>
        <w:pStyle w:val="Ttulo3"/>
        <w:spacing w:before="0" w:line="276" w:lineRule="auto"/>
        <w:jc w:val="center"/>
        <w:rPr>
          <w:rFonts w:ascii="Tahoma" w:hAnsi="Tahoma" w:cs="Tahoma"/>
          <w:b/>
          <w:color w:val="auto"/>
          <w:sz w:val="22"/>
          <w:szCs w:val="22"/>
        </w:rPr>
      </w:pPr>
    </w:p>
    <w:p w:rsidR="004F314A" w:rsidRPr="004F314A" w:rsidRDefault="004F314A" w:rsidP="004F314A">
      <w:pPr>
        <w:pStyle w:val="Ttulo3"/>
        <w:spacing w:before="0" w:line="276" w:lineRule="auto"/>
        <w:jc w:val="center"/>
        <w:rPr>
          <w:rFonts w:ascii="Tahoma" w:hAnsi="Tahoma" w:cs="Tahoma"/>
          <w:b/>
          <w:bCs/>
          <w:color w:val="auto"/>
          <w:sz w:val="22"/>
          <w:szCs w:val="22"/>
        </w:rPr>
      </w:pPr>
      <w:r w:rsidRPr="004F314A">
        <w:rPr>
          <w:rFonts w:ascii="Tahoma" w:hAnsi="Tahoma" w:cs="Tahoma"/>
          <w:b/>
          <w:color w:val="auto"/>
          <w:sz w:val="22"/>
          <w:szCs w:val="22"/>
        </w:rPr>
        <w:t>ANA LUCÍA CAICEDO CALDERÓN</w:t>
      </w:r>
    </w:p>
    <w:p w:rsidR="004F314A" w:rsidRPr="004F314A" w:rsidRDefault="004F314A" w:rsidP="004F314A">
      <w:pPr>
        <w:rPr>
          <w:rFonts w:ascii="Tahoma" w:hAnsi="Tahoma" w:cs="Tahoma"/>
          <w:b/>
        </w:rPr>
      </w:pPr>
    </w:p>
    <w:p w:rsidR="004F314A" w:rsidRPr="004F314A" w:rsidRDefault="004F314A" w:rsidP="004F314A">
      <w:pPr>
        <w:rPr>
          <w:rFonts w:ascii="Tahoma" w:hAnsi="Tahoma" w:cs="Tahoma"/>
        </w:rPr>
      </w:pPr>
      <w:r w:rsidRPr="004F314A">
        <w:rPr>
          <w:rFonts w:ascii="Tahoma" w:hAnsi="Tahoma" w:cs="Tahoma"/>
        </w:rPr>
        <w:t>Los Magistrados,</w:t>
      </w:r>
    </w:p>
    <w:p w:rsidR="004F314A" w:rsidRPr="004F314A" w:rsidRDefault="004F314A" w:rsidP="004F314A">
      <w:pPr>
        <w:rPr>
          <w:rFonts w:ascii="Tahoma" w:hAnsi="Tahoma" w:cs="Tahoma"/>
          <w:b/>
        </w:rPr>
      </w:pPr>
    </w:p>
    <w:p w:rsidR="004F314A" w:rsidRPr="004F314A" w:rsidRDefault="004F314A" w:rsidP="004F314A">
      <w:pPr>
        <w:rPr>
          <w:rFonts w:ascii="Tahoma" w:hAnsi="Tahoma" w:cs="Tahoma"/>
          <w:b/>
        </w:rPr>
      </w:pPr>
    </w:p>
    <w:p w:rsidR="004F314A" w:rsidRPr="004F314A" w:rsidRDefault="004F314A" w:rsidP="004F314A">
      <w:pPr>
        <w:rPr>
          <w:rFonts w:ascii="Tahoma" w:hAnsi="Tahoma" w:cs="Tahoma"/>
          <w:b/>
        </w:rPr>
      </w:pPr>
      <w:r w:rsidRPr="004F314A">
        <w:rPr>
          <w:rFonts w:ascii="Tahoma" w:hAnsi="Tahoma" w:cs="Tahoma"/>
          <w:b/>
        </w:rPr>
        <w:t>JULIO CÉSAR SALAZAR MUÑOZ             FRANCISCO JAVIER TAMAYO TABARES</w:t>
      </w:r>
    </w:p>
    <w:p w:rsidR="004F314A" w:rsidRPr="004F314A" w:rsidRDefault="004F314A" w:rsidP="004F314A">
      <w:pPr>
        <w:rPr>
          <w:rFonts w:ascii="Tahoma" w:hAnsi="Tahoma" w:cs="Tahoma"/>
          <w:b/>
          <w:sz w:val="24"/>
          <w:szCs w:val="24"/>
        </w:rPr>
      </w:pPr>
    </w:p>
    <w:p w:rsidR="004F314A" w:rsidRPr="009750A9" w:rsidRDefault="004F314A" w:rsidP="004F314A">
      <w:pPr>
        <w:jc w:val="center"/>
        <w:rPr>
          <w:rFonts w:ascii="Tahoma" w:hAnsi="Tahoma" w:cs="Tahoma"/>
          <w:b/>
        </w:rPr>
      </w:pPr>
    </w:p>
    <w:p w:rsidR="004F314A" w:rsidRPr="009750A9" w:rsidRDefault="004F314A" w:rsidP="004F314A">
      <w:pPr>
        <w:jc w:val="center"/>
        <w:rPr>
          <w:rFonts w:ascii="Tahoma" w:hAnsi="Tahoma" w:cs="Tahoma"/>
          <w:b/>
        </w:rPr>
      </w:pPr>
      <w:r>
        <w:rPr>
          <w:rFonts w:ascii="Tahoma" w:hAnsi="Tahoma" w:cs="Tahoma"/>
          <w:b/>
        </w:rPr>
        <w:t>JUAN DIEGO DÍAZ ECHEVERRI</w:t>
      </w:r>
    </w:p>
    <w:p w:rsidR="006D5062" w:rsidRPr="006D5062" w:rsidRDefault="004F314A" w:rsidP="004F314A">
      <w:pPr>
        <w:jc w:val="center"/>
        <w:rPr>
          <w:rFonts w:ascii="Tahoma" w:hAnsi="Tahoma" w:cs="Tahoma"/>
          <w:sz w:val="24"/>
          <w:szCs w:val="24"/>
          <w:lang w:val="es-CO"/>
        </w:rPr>
      </w:pPr>
      <w:r w:rsidRPr="009750A9">
        <w:rPr>
          <w:rFonts w:ascii="Tahoma" w:hAnsi="Tahoma" w:cs="Tahoma"/>
        </w:rPr>
        <w:t>Secretari</w:t>
      </w:r>
      <w:r>
        <w:rPr>
          <w:rFonts w:ascii="Tahoma" w:hAnsi="Tahoma" w:cs="Tahoma"/>
        </w:rPr>
        <w:t>o Ad-h</w:t>
      </w:r>
      <w:r w:rsidRPr="009750A9">
        <w:rPr>
          <w:rFonts w:ascii="Tahoma" w:hAnsi="Tahoma" w:cs="Tahoma"/>
        </w:rPr>
        <w:t>oc</w:t>
      </w:r>
      <w:r>
        <w:rPr>
          <w:rFonts w:ascii="Tahoma" w:hAnsi="Tahoma" w:cs="Tahoma"/>
        </w:rPr>
        <w:t>.</w:t>
      </w:r>
    </w:p>
    <w:sectPr w:rsidR="006D5062" w:rsidRPr="006D5062" w:rsidSect="004F314A">
      <w:headerReference w:type="default" r:id="rId8"/>
      <w:footerReference w:type="default" r:id="rId9"/>
      <w:pgSz w:w="12242" w:h="18722" w:code="14"/>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72" w:rsidRDefault="00557772" w:rsidP="009005E7">
      <w:pPr>
        <w:spacing w:line="240" w:lineRule="auto"/>
      </w:pPr>
      <w:r>
        <w:separator/>
      </w:r>
    </w:p>
  </w:endnote>
  <w:endnote w:type="continuationSeparator" w:id="0">
    <w:p w:rsidR="00557772" w:rsidRDefault="00557772" w:rsidP="0090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332419"/>
      <w:docPartObj>
        <w:docPartGallery w:val="Page Numbers (Bottom of Page)"/>
        <w:docPartUnique/>
      </w:docPartObj>
    </w:sdtPr>
    <w:sdtEndPr/>
    <w:sdtContent>
      <w:p w:rsidR="004F314A" w:rsidRDefault="004F314A">
        <w:pPr>
          <w:pStyle w:val="Piedepgina"/>
          <w:jc w:val="right"/>
        </w:pPr>
        <w:r>
          <w:fldChar w:fldCharType="begin"/>
        </w:r>
        <w:r>
          <w:instrText>PAGE   \* MERGEFORMAT</w:instrText>
        </w:r>
        <w:r>
          <w:fldChar w:fldCharType="separate"/>
        </w:r>
        <w:r w:rsidR="00944A80">
          <w:rPr>
            <w:noProof/>
          </w:rPr>
          <w:t>4</w:t>
        </w:r>
        <w:r>
          <w:fldChar w:fldCharType="end"/>
        </w:r>
      </w:p>
    </w:sdtContent>
  </w:sdt>
  <w:p w:rsidR="004F314A" w:rsidRDefault="004F31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72" w:rsidRDefault="00557772" w:rsidP="009005E7">
      <w:pPr>
        <w:spacing w:line="240" w:lineRule="auto"/>
      </w:pPr>
      <w:r>
        <w:separator/>
      </w:r>
    </w:p>
  </w:footnote>
  <w:footnote w:type="continuationSeparator" w:id="0">
    <w:p w:rsidR="00557772" w:rsidRDefault="00557772" w:rsidP="009005E7">
      <w:pPr>
        <w:spacing w:line="240" w:lineRule="auto"/>
      </w:pPr>
      <w:r>
        <w:continuationSeparator/>
      </w:r>
    </w:p>
  </w:footnote>
  <w:footnote w:id="1">
    <w:p w:rsidR="009005E7" w:rsidRPr="009005E7" w:rsidRDefault="009005E7">
      <w:pPr>
        <w:pStyle w:val="Textonotapie"/>
        <w:rPr>
          <w:lang w:val="es-CO"/>
        </w:rPr>
      </w:pPr>
      <w:r>
        <w:rPr>
          <w:rStyle w:val="Refdenotaalpie"/>
        </w:rPr>
        <w:footnoteRef/>
      </w:r>
      <w:r>
        <w:t xml:space="preserve"> </w:t>
      </w:r>
      <w:r w:rsidR="004370AF" w:rsidRPr="008578B5">
        <w:rPr>
          <w:rFonts w:ascii="Calibri" w:eastAsia="Times New Roman" w:hAnsi="Calibri" w:cs="Times New Roman"/>
          <w:b/>
          <w:bCs/>
          <w:sz w:val="16"/>
          <w:szCs w:val="16"/>
          <w:lang w:eastAsia="es-ES"/>
        </w:rPr>
        <w:t>(Var. Año anterior)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4A" w:rsidRPr="004F314A" w:rsidRDefault="004F314A">
    <w:pPr>
      <w:pStyle w:val="Encabezado"/>
      <w:rPr>
        <w:i/>
        <w:sz w:val="16"/>
        <w:szCs w:val="16"/>
        <w:lang w:val="es-CO"/>
      </w:rPr>
    </w:pPr>
    <w:r w:rsidRPr="004F314A">
      <w:rPr>
        <w:i/>
        <w:sz w:val="16"/>
        <w:szCs w:val="16"/>
        <w:lang w:val="es-CO"/>
      </w:rPr>
      <w:t>Demandante: Martha Lucia Quirama Echeverry</w:t>
    </w:r>
  </w:p>
  <w:p w:rsidR="004F314A" w:rsidRPr="004F314A" w:rsidRDefault="004F314A">
    <w:pPr>
      <w:pStyle w:val="Encabezado"/>
      <w:rPr>
        <w:i/>
        <w:sz w:val="16"/>
        <w:szCs w:val="16"/>
        <w:lang w:val="es-CO"/>
      </w:rPr>
    </w:pPr>
    <w:r w:rsidRPr="004F314A">
      <w:rPr>
        <w:i/>
        <w:sz w:val="16"/>
        <w:szCs w:val="16"/>
        <w:lang w:val="es-CO"/>
      </w:rPr>
      <w:t>Demandado: Colpensiones</w:t>
    </w:r>
  </w:p>
  <w:p w:rsidR="004F314A" w:rsidRPr="004F314A" w:rsidRDefault="004F314A">
    <w:pPr>
      <w:pStyle w:val="Encabezado"/>
      <w:rPr>
        <w:i/>
        <w:sz w:val="16"/>
        <w:szCs w:val="16"/>
        <w:lang w:val="es-CO"/>
      </w:rPr>
    </w:pPr>
    <w:r w:rsidRPr="004F314A">
      <w:rPr>
        <w:i/>
        <w:sz w:val="16"/>
        <w:szCs w:val="16"/>
        <w:lang w:val="es-CO"/>
      </w:rPr>
      <w:t>Rad. 2014-000460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1801"/>
    <w:multiLevelType w:val="hybridMultilevel"/>
    <w:tmpl w:val="185C0492"/>
    <w:lvl w:ilvl="0" w:tplc="B150B8C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9A7C15"/>
    <w:multiLevelType w:val="hybridMultilevel"/>
    <w:tmpl w:val="F6385F14"/>
    <w:lvl w:ilvl="0" w:tplc="C2DCED9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E5F5240"/>
    <w:multiLevelType w:val="hybridMultilevel"/>
    <w:tmpl w:val="6B121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40"/>
    <w:rsid w:val="00030E54"/>
    <w:rsid w:val="00137335"/>
    <w:rsid w:val="00273C21"/>
    <w:rsid w:val="002B6AB9"/>
    <w:rsid w:val="00370040"/>
    <w:rsid w:val="003838A3"/>
    <w:rsid w:val="004370AF"/>
    <w:rsid w:val="004447B1"/>
    <w:rsid w:val="004E27E5"/>
    <w:rsid w:val="004F314A"/>
    <w:rsid w:val="004F4748"/>
    <w:rsid w:val="00557772"/>
    <w:rsid w:val="006D5062"/>
    <w:rsid w:val="00705743"/>
    <w:rsid w:val="00807F7C"/>
    <w:rsid w:val="00844458"/>
    <w:rsid w:val="00855FF7"/>
    <w:rsid w:val="008578B5"/>
    <w:rsid w:val="009005E7"/>
    <w:rsid w:val="00944A80"/>
    <w:rsid w:val="00A2595B"/>
    <w:rsid w:val="00B97BDA"/>
    <w:rsid w:val="00C2202C"/>
    <w:rsid w:val="00E81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522C5-944D-4310-ABCE-F502737B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4F314A"/>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838A3"/>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3838A3"/>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838A3"/>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838A3"/>
    <w:rPr>
      <w:rFonts w:ascii="Arial" w:eastAsia="Times New Roman" w:hAnsi="Arial" w:cs="Arial"/>
      <w:b/>
      <w:bCs/>
      <w:sz w:val="24"/>
      <w:szCs w:val="24"/>
      <w:lang w:eastAsia="es-ES"/>
    </w:rPr>
  </w:style>
  <w:style w:type="paragraph" w:styleId="Prrafodelista">
    <w:name w:val="List Paragraph"/>
    <w:basedOn w:val="Normal"/>
    <w:uiPriority w:val="34"/>
    <w:qFormat/>
    <w:rsid w:val="00844458"/>
    <w:pPr>
      <w:ind w:left="720"/>
      <w:contextualSpacing/>
    </w:pPr>
  </w:style>
  <w:style w:type="paragraph" w:styleId="Textonotapie">
    <w:name w:val="footnote text"/>
    <w:basedOn w:val="Normal"/>
    <w:link w:val="TextonotapieCar"/>
    <w:uiPriority w:val="99"/>
    <w:semiHidden/>
    <w:unhideWhenUsed/>
    <w:rsid w:val="009005E7"/>
    <w:pPr>
      <w:spacing w:line="240" w:lineRule="auto"/>
    </w:pPr>
    <w:rPr>
      <w:sz w:val="20"/>
      <w:szCs w:val="20"/>
    </w:rPr>
  </w:style>
  <w:style w:type="character" w:customStyle="1" w:styleId="TextonotapieCar">
    <w:name w:val="Texto nota pie Car"/>
    <w:basedOn w:val="Fuentedeprrafopredeter"/>
    <w:link w:val="Textonotapie"/>
    <w:uiPriority w:val="99"/>
    <w:semiHidden/>
    <w:rsid w:val="009005E7"/>
    <w:rPr>
      <w:sz w:val="20"/>
      <w:szCs w:val="20"/>
    </w:rPr>
  </w:style>
  <w:style w:type="character" w:styleId="Refdenotaalpie">
    <w:name w:val="footnote reference"/>
    <w:basedOn w:val="Fuentedeprrafopredeter"/>
    <w:uiPriority w:val="99"/>
    <w:semiHidden/>
    <w:unhideWhenUsed/>
    <w:rsid w:val="009005E7"/>
    <w:rPr>
      <w:vertAlign w:val="superscript"/>
    </w:rPr>
  </w:style>
  <w:style w:type="character" w:customStyle="1" w:styleId="Ttulo3Car">
    <w:name w:val="Título 3 Car"/>
    <w:basedOn w:val="Fuentedeprrafopredeter"/>
    <w:link w:val="Ttulo3"/>
    <w:uiPriority w:val="9"/>
    <w:rsid w:val="004F314A"/>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4F314A"/>
    <w:pPr>
      <w:spacing w:after="120" w:line="360" w:lineRule="auto"/>
      <w:ind w:left="283"/>
    </w:pPr>
  </w:style>
  <w:style w:type="character" w:customStyle="1" w:styleId="SangradetextonormalCar">
    <w:name w:val="Sangría de texto normal Car"/>
    <w:basedOn w:val="Fuentedeprrafopredeter"/>
    <w:link w:val="Sangradetextonormal"/>
    <w:uiPriority w:val="99"/>
    <w:semiHidden/>
    <w:rsid w:val="004F314A"/>
  </w:style>
  <w:style w:type="paragraph" w:styleId="Encabezado">
    <w:name w:val="header"/>
    <w:basedOn w:val="Normal"/>
    <w:link w:val="EncabezadoCar"/>
    <w:uiPriority w:val="99"/>
    <w:unhideWhenUsed/>
    <w:rsid w:val="004F314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F314A"/>
  </w:style>
  <w:style w:type="paragraph" w:styleId="Piedepgina">
    <w:name w:val="footer"/>
    <w:basedOn w:val="Normal"/>
    <w:link w:val="PiedepginaCar"/>
    <w:uiPriority w:val="99"/>
    <w:unhideWhenUsed/>
    <w:rsid w:val="004F314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F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0531">
      <w:bodyDiv w:val="1"/>
      <w:marLeft w:val="0"/>
      <w:marRight w:val="0"/>
      <w:marTop w:val="0"/>
      <w:marBottom w:val="0"/>
      <w:divBdr>
        <w:top w:val="none" w:sz="0" w:space="0" w:color="auto"/>
        <w:left w:val="none" w:sz="0" w:space="0" w:color="auto"/>
        <w:bottom w:val="none" w:sz="0" w:space="0" w:color="auto"/>
        <w:right w:val="none" w:sz="0" w:space="0" w:color="auto"/>
      </w:divBdr>
    </w:div>
    <w:div w:id="799960559">
      <w:bodyDiv w:val="1"/>
      <w:marLeft w:val="0"/>
      <w:marRight w:val="0"/>
      <w:marTop w:val="0"/>
      <w:marBottom w:val="0"/>
      <w:divBdr>
        <w:top w:val="none" w:sz="0" w:space="0" w:color="auto"/>
        <w:left w:val="none" w:sz="0" w:space="0" w:color="auto"/>
        <w:bottom w:val="none" w:sz="0" w:space="0" w:color="auto"/>
        <w:right w:val="none" w:sz="0" w:space="0" w:color="auto"/>
      </w:divBdr>
    </w:div>
    <w:div w:id="1420523026">
      <w:bodyDiv w:val="1"/>
      <w:marLeft w:val="0"/>
      <w:marRight w:val="0"/>
      <w:marTop w:val="0"/>
      <w:marBottom w:val="0"/>
      <w:divBdr>
        <w:top w:val="none" w:sz="0" w:space="0" w:color="auto"/>
        <w:left w:val="none" w:sz="0" w:space="0" w:color="auto"/>
        <w:bottom w:val="none" w:sz="0" w:space="0" w:color="auto"/>
        <w:right w:val="none" w:sz="0" w:space="0" w:color="auto"/>
      </w:divBdr>
    </w:div>
    <w:div w:id="20044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16CD-EF0D-46C7-B42C-E5FD3A09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8708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2</cp:revision>
  <dcterms:created xsi:type="dcterms:W3CDTF">2016-06-03T20:05:00Z</dcterms:created>
  <dcterms:modified xsi:type="dcterms:W3CDTF">2016-06-03T20:05:00Z</dcterms:modified>
</cp:coreProperties>
</file>