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3366"/>
  <w:body>
    <w:p w14:paraId="0F20C851" w14:textId="03DBEB2B" w:rsidR="003029BA" w:rsidRPr="003029BA" w:rsidRDefault="003029BA" w:rsidP="003029BA">
      <w:pPr>
        <w:pStyle w:val="Puesto"/>
        <w:spacing w:line="240" w:lineRule="auto"/>
        <w:jc w:val="both"/>
        <w:rPr>
          <w:rFonts w:ascii="Tahoma" w:hAnsi="Tahoma" w:cs="Tahoma"/>
          <w:b w:val="0"/>
          <w:sz w:val="18"/>
          <w:szCs w:val="18"/>
        </w:rPr>
      </w:pPr>
      <w:r w:rsidRPr="003029BA">
        <w:rPr>
          <w:rFonts w:ascii="Tahoma" w:hAnsi="Tahoma" w:cs="Tahoma"/>
          <w:sz w:val="18"/>
          <w:szCs w:val="18"/>
        </w:rPr>
        <w:t>Providencia:</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sidR="00992742">
        <w:rPr>
          <w:rFonts w:ascii="Tahoma" w:hAnsi="Tahoma" w:cs="Tahoma"/>
          <w:b w:val="0"/>
          <w:sz w:val="18"/>
          <w:szCs w:val="18"/>
        </w:rPr>
        <w:t>Sentencia</w:t>
      </w:r>
      <w:r w:rsidRPr="003029BA">
        <w:rPr>
          <w:rFonts w:ascii="Tahoma" w:hAnsi="Tahoma" w:cs="Tahoma"/>
          <w:b w:val="0"/>
          <w:sz w:val="18"/>
          <w:szCs w:val="18"/>
        </w:rPr>
        <w:t xml:space="preserve"> del </w:t>
      </w:r>
      <w:r w:rsidR="000B05A2">
        <w:rPr>
          <w:rFonts w:ascii="Tahoma" w:hAnsi="Tahoma" w:cs="Tahoma"/>
          <w:b w:val="0"/>
          <w:sz w:val="18"/>
          <w:szCs w:val="18"/>
        </w:rPr>
        <w:t>06</w:t>
      </w:r>
      <w:r w:rsidR="00FE45B0">
        <w:rPr>
          <w:rFonts w:ascii="Tahoma" w:hAnsi="Tahoma" w:cs="Tahoma"/>
          <w:b w:val="0"/>
          <w:sz w:val="18"/>
          <w:szCs w:val="18"/>
        </w:rPr>
        <w:t xml:space="preserve"> de </w:t>
      </w:r>
      <w:r w:rsidR="000B05A2">
        <w:rPr>
          <w:rFonts w:ascii="Tahoma" w:hAnsi="Tahoma" w:cs="Tahoma"/>
          <w:b w:val="0"/>
          <w:sz w:val="18"/>
          <w:szCs w:val="18"/>
        </w:rPr>
        <w:t>septiembre</w:t>
      </w:r>
      <w:r w:rsidR="00DF245C">
        <w:rPr>
          <w:rFonts w:ascii="Tahoma" w:hAnsi="Tahoma" w:cs="Tahoma"/>
          <w:b w:val="0"/>
          <w:sz w:val="18"/>
          <w:szCs w:val="18"/>
        </w:rPr>
        <w:t xml:space="preserve"> de 2016</w:t>
      </w:r>
    </w:p>
    <w:p w14:paraId="77B181F8" w14:textId="399A27EE" w:rsidR="003029BA" w:rsidRPr="003029BA" w:rsidRDefault="003029BA" w:rsidP="003029BA">
      <w:pPr>
        <w:pStyle w:val="Puesto"/>
        <w:spacing w:line="240" w:lineRule="auto"/>
        <w:jc w:val="both"/>
        <w:rPr>
          <w:rFonts w:ascii="Tahoma" w:hAnsi="Tahoma" w:cs="Tahoma"/>
          <w:b w:val="0"/>
          <w:sz w:val="18"/>
          <w:szCs w:val="18"/>
        </w:rPr>
      </w:pPr>
      <w:r w:rsidRPr="003029BA">
        <w:rPr>
          <w:rFonts w:ascii="Tahoma" w:hAnsi="Tahoma" w:cs="Tahoma"/>
          <w:sz w:val="18"/>
          <w:szCs w:val="18"/>
        </w:rPr>
        <w:t>Radicación No. :</w:t>
      </w:r>
      <w:r w:rsidRPr="003029BA">
        <w:rPr>
          <w:rFonts w:ascii="Tahoma" w:hAnsi="Tahoma" w:cs="Tahoma"/>
          <w:b w:val="0"/>
          <w:sz w:val="18"/>
          <w:szCs w:val="18"/>
        </w:rPr>
        <w:tab/>
        <w:t>66</w:t>
      </w:r>
      <w:r w:rsidR="00B5134B">
        <w:rPr>
          <w:rFonts w:ascii="Tahoma" w:hAnsi="Tahoma" w:cs="Tahoma"/>
          <w:b w:val="0"/>
          <w:sz w:val="18"/>
          <w:szCs w:val="18"/>
        </w:rPr>
        <w:t>0</w:t>
      </w:r>
      <w:r w:rsidR="000B05A2">
        <w:rPr>
          <w:rFonts w:ascii="Tahoma" w:hAnsi="Tahoma" w:cs="Tahoma"/>
          <w:b w:val="0"/>
          <w:sz w:val="18"/>
          <w:szCs w:val="18"/>
        </w:rPr>
        <w:t>88</w:t>
      </w:r>
      <w:r w:rsidR="00B5134B">
        <w:rPr>
          <w:rFonts w:ascii="Tahoma" w:hAnsi="Tahoma" w:cs="Tahoma"/>
          <w:b w:val="0"/>
          <w:sz w:val="18"/>
          <w:szCs w:val="18"/>
        </w:rPr>
        <w:t>-</w:t>
      </w:r>
      <w:r w:rsidR="000B05A2">
        <w:rPr>
          <w:rFonts w:ascii="Tahoma" w:hAnsi="Tahoma" w:cs="Tahoma"/>
          <w:b w:val="0"/>
          <w:sz w:val="18"/>
          <w:szCs w:val="18"/>
        </w:rPr>
        <w:t>31</w:t>
      </w:r>
      <w:r w:rsidR="00B5134B">
        <w:rPr>
          <w:rFonts w:ascii="Tahoma" w:hAnsi="Tahoma" w:cs="Tahoma"/>
          <w:b w:val="0"/>
          <w:sz w:val="18"/>
          <w:szCs w:val="18"/>
        </w:rPr>
        <w:t>-</w:t>
      </w:r>
      <w:r w:rsidR="000B05A2">
        <w:rPr>
          <w:rFonts w:ascii="Tahoma" w:hAnsi="Tahoma" w:cs="Tahoma"/>
          <w:b w:val="0"/>
          <w:sz w:val="18"/>
          <w:szCs w:val="18"/>
        </w:rPr>
        <w:t>89</w:t>
      </w:r>
      <w:r w:rsidR="00B5134B">
        <w:rPr>
          <w:rFonts w:ascii="Tahoma" w:hAnsi="Tahoma" w:cs="Tahoma"/>
          <w:b w:val="0"/>
          <w:sz w:val="18"/>
          <w:szCs w:val="18"/>
        </w:rPr>
        <w:t>-00</w:t>
      </w:r>
      <w:r w:rsidR="000B05A2">
        <w:rPr>
          <w:rFonts w:ascii="Tahoma" w:hAnsi="Tahoma" w:cs="Tahoma"/>
          <w:b w:val="0"/>
          <w:sz w:val="18"/>
          <w:szCs w:val="18"/>
        </w:rPr>
        <w:t>1</w:t>
      </w:r>
      <w:r w:rsidR="00B5134B">
        <w:rPr>
          <w:rFonts w:ascii="Tahoma" w:hAnsi="Tahoma" w:cs="Tahoma"/>
          <w:b w:val="0"/>
          <w:sz w:val="18"/>
          <w:szCs w:val="18"/>
        </w:rPr>
        <w:t>-201</w:t>
      </w:r>
      <w:r w:rsidR="00FE45B0">
        <w:rPr>
          <w:rFonts w:ascii="Tahoma" w:hAnsi="Tahoma" w:cs="Tahoma"/>
          <w:b w:val="0"/>
          <w:sz w:val="18"/>
          <w:szCs w:val="18"/>
        </w:rPr>
        <w:t>6</w:t>
      </w:r>
      <w:r w:rsidR="00B5134B">
        <w:rPr>
          <w:rFonts w:ascii="Tahoma" w:hAnsi="Tahoma" w:cs="Tahoma"/>
          <w:b w:val="0"/>
          <w:sz w:val="18"/>
          <w:szCs w:val="18"/>
        </w:rPr>
        <w:t>-00</w:t>
      </w:r>
      <w:r w:rsidR="00FE45B0">
        <w:rPr>
          <w:rFonts w:ascii="Tahoma" w:hAnsi="Tahoma" w:cs="Tahoma"/>
          <w:b w:val="0"/>
          <w:sz w:val="18"/>
          <w:szCs w:val="18"/>
        </w:rPr>
        <w:t>1</w:t>
      </w:r>
      <w:r w:rsidR="000B05A2">
        <w:rPr>
          <w:rFonts w:ascii="Tahoma" w:hAnsi="Tahoma" w:cs="Tahoma"/>
          <w:b w:val="0"/>
          <w:sz w:val="18"/>
          <w:szCs w:val="18"/>
        </w:rPr>
        <w:t>40-01</w:t>
      </w:r>
      <w:r w:rsidRPr="003029BA">
        <w:rPr>
          <w:rFonts w:ascii="Tahoma" w:hAnsi="Tahoma" w:cs="Tahoma"/>
          <w:b w:val="0"/>
          <w:sz w:val="18"/>
          <w:szCs w:val="18"/>
        </w:rPr>
        <w:t xml:space="preserve"> </w:t>
      </w:r>
    </w:p>
    <w:p w14:paraId="6FD41049" w14:textId="77777777" w:rsidR="003029BA" w:rsidRPr="003029BA" w:rsidRDefault="003029BA" w:rsidP="003029BA">
      <w:pPr>
        <w:pStyle w:val="Puesto"/>
        <w:spacing w:line="240" w:lineRule="auto"/>
        <w:jc w:val="both"/>
        <w:rPr>
          <w:rFonts w:ascii="Tahoma" w:hAnsi="Tahoma" w:cs="Tahoma"/>
          <w:b w:val="0"/>
          <w:sz w:val="18"/>
          <w:szCs w:val="18"/>
        </w:rPr>
      </w:pPr>
      <w:r w:rsidRPr="003029BA">
        <w:rPr>
          <w:rFonts w:ascii="Tahoma" w:hAnsi="Tahoma" w:cs="Tahoma"/>
          <w:sz w:val="18"/>
          <w:szCs w:val="18"/>
        </w:rPr>
        <w:t>Proceso:</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sidR="00232A16">
        <w:rPr>
          <w:rFonts w:ascii="Tahoma" w:hAnsi="Tahoma" w:cs="Tahoma"/>
          <w:b w:val="0"/>
          <w:sz w:val="18"/>
          <w:szCs w:val="18"/>
        </w:rPr>
        <w:t>ACCIÓN DE TUTELA</w:t>
      </w:r>
    </w:p>
    <w:p w14:paraId="3581B0D7" w14:textId="510A0FCF" w:rsidR="003029BA" w:rsidRPr="003029BA" w:rsidRDefault="00232A16" w:rsidP="003029BA">
      <w:pPr>
        <w:pStyle w:val="Puesto"/>
        <w:spacing w:line="240" w:lineRule="auto"/>
        <w:jc w:val="both"/>
        <w:rPr>
          <w:rFonts w:ascii="Tahoma" w:hAnsi="Tahoma" w:cs="Tahoma"/>
          <w:b w:val="0"/>
          <w:sz w:val="18"/>
          <w:szCs w:val="18"/>
        </w:rPr>
      </w:pPr>
      <w:r>
        <w:rPr>
          <w:rFonts w:ascii="Tahoma" w:hAnsi="Tahoma" w:cs="Tahoma"/>
          <w:sz w:val="18"/>
          <w:szCs w:val="18"/>
        </w:rPr>
        <w:t>Accion</w:t>
      </w:r>
      <w:r w:rsidR="003029BA" w:rsidRPr="003029BA">
        <w:rPr>
          <w:rFonts w:ascii="Tahoma" w:hAnsi="Tahoma" w:cs="Tahoma"/>
          <w:sz w:val="18"/>
          <w:szCs w:val="18"/>
        </w:rPr>
        <w:t>ante</w:t>
      </w:r>
      <w:r>
        <w:rPr>
          <w:rFonts w:ascii="Tahoma" w:hAnsi="Tahoma" w:cs="Tahoma"/>
          <w:sz w:val="18"/>
          <w:szCs w:val="18"/>
        </w:rPr>
        <w:t>:</w:t>
      </w:r>
      <w:r w:rsidR="003029BA" w:rsidRPr="003029BA">
        <w:rPr>
          <w:rFonts w:ascii="Tahoma" w:hAnsi="Tahoma" w:cs="Tahoma"/>
          <w:b w:val="0"/>
          <w:sz w:val="18"/>
          <w:szCs w:val="18"/>
        </w:rPr>
        <w:tab/>
      </w:r>
      <w:r w:rsidR="003029BA" w:rsidRPr="003029BA">
        <w:rPr>
          <w:rFonts w:ascii="Tahoma" w:hAnsi="Tahoma" w:cs="Tahoma"/>
          <w:b w:val="0"/>
          <w:sz w:val="18"/>
          <w:szCs w:val="18"/>
        </w:rPr>
        <w:tab/>
      </w:r>
      <w:r w:rsidR="000B05A2">
        <w:rPr>
          <w:rFonts w:ascii="Tahoma" w:hAnsi="Tahoma" w:cs="Tahoma"/>
          <w:b w:val="0"/>
          <w:sz w:val="18"/>
          <w:szCs w:val="18"/>
        </w:rPr>
        <w:t>LUIS FERNANDO OLARTE RAMIREZ</w:t>
      </w:r>
    </w:p>
    <w:p w14:paraId="4B69E65F" w14:textId="373F52A4" w:rsidR="003029BA" w:rsidRPr="003029BA" w:rsidRDefault="00232A16" w:rsidP="003029BA">
      <w:pPr>
        <w:pStyle w:val="Puesto"/>
        <w:spacing w:line="240" w:lineRule="auto"/>
        <w:ind w:left="1410" w:hanging="1410"/>
        <w:jc w:val="both"/>
        <w:rPr>
          <w:rFonts w:ascii="Tahoma" w:hAnsi="Tahoma" w:cs="Tahoma"/>
          <w:b w:val="0"/>
          <w:sz w:val="18"/>
          <w:szCs w:val="18"/>
        </w:rPr>
      </w:pPr>
      <w:r>
        <w:rPr>
          <w:rFonts w:ascii="Tahoma" w:hAnsi="Tahoma" w:cs="Tahoma"/>
          <w:sz w:val="18"/>
          <w:szCs w:val="18"/>
        </w:rPr>
        <w:t>Accionado</w:t>
      </w:r>
      <w:r w:rsidR="003029BA" w:rsidRPr="003029BA">
        <w:rPr>
          <w:rFonts w:ascii="Tahoma" w:hAnsi="Tahoma" w:cs="Tahoma"/>
          <w:sz w:val="18"/>
          <w:szCs w:val="18"/>
        </w:rPr>
        <w:t>:</w:t>
      </w:r>
      <w:r w:rsidR="003029BA" w:rsidRPr="003029BA">
        <w:rPr>
          <w:rFonts w:ascii="Tahoma" w:hAnsi="Tahoma" w:cs="Tahoma"/>
          <w:b w:val="0"/>
          <w:sz w:val="18"/>
          <w:szCs w:val="18"/>
        </w:rPr>
        <w:tab/>
      </w:r>
      <w:r w:rsidR="003029BA" w:rsidRPr="003029BA">
        <w:rPr>
          <w:rFonts w:ascii="Tahoma" w:hAnsi="Tahoma" w:cs="Tahoma"/>
          <w:b w:val="0"/>
          <w:sz w:val="18"/>
          <w:szCs w:val="18"/>
        </w:rPr>
        <w:tab/>
      </w:r>
      <w:r w:rsidR="003029BA" w:rsidRPr="003029BA">
        <w:rPr>
          <w:rFonts w:ascii="Tahoma" w:hAnsi="Tahoma" w:cs="Tahoma"/>
          <w:b w:val="0"/>
          <w:sz w:val="18"/>
          <w:szCs w:val="18"/>
        </w:rPr>
        <w:tab/>
      </w:r>
      <w:r w:rsidR="000B05A2">
        <w:rPr>
          <w:rFonts w:ascii="Tahoma" w:hAnsi="Tahoma" w:cs="Tahoma"/>
          <w:b w:val="0"/>
          <w:sz w:val="18"/>
          <w:szCs w:val="18"/>
        </w:rPr>
        <w:t xml:space="preserve">DIRECCIÓN ADMINISTRATIVA SECRETARÍA DE EDUCACIÓN DE RISARALDA Y OTROS  </w:t>
      </w:r>
    </w:p>
    <w:p w14:paraId="38B7A22E" w14:textId="77777777" w:rsidR="003029BA" w:rsidRPr="003029BA" w:rsidRDefault="003029BA" w:rsidP="003029BA">
      <w:pPr>
        <w:pStyle w:val="Puesto"/>
        <w:spacing w:line="240" w:lineRule="auto"/>
        <w:jc w:val="both"/>
        <w:rPr>
          <w:rFonts w:ascii="Tahoma" w:hAnsi="Tahoma" w:cs="Tahoma"/>
          <w:b w:val="0"/>
          <w:sz w:val="18"/>
          <w:szCs w:val="18"/>
        </w:rPr>
      </w:pPr>
      <w:r w:rsidRPr="003029BA">
        <w:rPr>
          <w:rFonts w:ascii="Tahoma" w:hAnsi="Tahoma" w:cs="Tahoma"/>
          <w:sz w:val="18"/>
          <w:szCs w:val="18"/>
        </w:rPr>
        <w:t>Magistrado Ponente:</w:t>
      </w:r>
      <w:r w:rsidR="00FE45B0">
        <w:rPr>
          <w:rFonts w:ascii="Tahoma" w:hAnsi="Tahoma" w:cs="Tahoma"/>
          <w:b w:val="0"/>
          <w:sz w:val="18"/>
          <w:szCs w:val="18"/>
        </w:rPr>
        <w:tab/>
        <w:t>Dra. OLGA LUCÍA HOYOS SEPÚLVEDA</w:t>
      </w:r>
    </w:p>
    <w:p w14:paraId="77D5861D" w14:textId="77777777" w:rsidR="00424857" w:rsidRDefault="00424857" w:rsidP="00BF334B">
      <w:pPr>
        <w:pStyle w:val="Puesto"/>
        <w:spacing w:line="240" w:lineRule="auto"/>
        <w:ind w:left="2124" w:hanging="2124"/>
        <w:jc w:val="both"/>
        <w:rPr>
          <w:rFonts w:ascii="Tahoma" w:hAnsi="Tahoma" w:cs="Tahoma"/>
          <w:sz w:val="18"/>
          <w:szCs w:val="18"/>
        </w:rPr>
      </w:pPr>
      <w:r>
        <w:rPr>
          <w:rFonts w:ascii="Tahoma" w:hAnsi="Tahoma" w:cs="Tahoma"/>
          <w:sz w:val="18"/>
          <w:szCs w:val="18"/>
        </w:rPr>
        <w:t>SALVAMENTO DE VOTO: Dra. ANA LUCÍA CAICEDO CALDERÓN</w:t>
      </w:r>
    </w:p>
    <w:p w14:paraId="432C63A6" w14:textId="37C61542" w:rsidR="00B357D3" w:rsidRDefault="00A65979" w:rsidP="00B357D3">
      <w:pPr>
        <w:pStyle w:val="Puesto"/>
        <w:spacing w:line="240" w:lineRule="auto"/>
        <w:ind w:left="2124" w:hanging="2124"/>
        <w:jc w:val="both"/>
        <w:rPr>
          <w:rFonts w:ascii="Tahoma" w:hAnsi="Tahoma" w:cs="Tahoma"/>
          <w:b w:val="0"/>
          <w:sz w:val="18"/>
          <w:szCs w:val="18"/>
        </w:rPr>
      </w:pPr>
      <w:r w:rsidRPr="003029BA">
        <w:rPr>
          <w:rFonts w:ascii="Tahoma" w:hAnsi="Tahoma" w:cs="Tahoma"/>
          <w:sz w:val="18"/>
          <w:szCs w:val="18"/>
        </w:rPr>
        <w:t>Tema:</w:t>
      </w:r>
      <w:r w:rsidR="003029BA" w:rsidRPr="003029BA">
        <w:rPr>
          <w:rFonts w:ascii="Tahoma" w:hAnsi="Tahoma" w:cs="Tahoma"/>
          <w:sz w:val="18"/>
          <w:szCs w:val="18"/>
        </w:rPr>
        <w:t xml:space="preserve"> </w:t>
      </w:r>
      <w:r w:rsidR="003029BA" w:rsidRPr="003029BA">
        <w:rPr>
          <w:rFonts w:ascii="Tahoma" w:hAnsi="Tahoma" w:cs="Tahoma"/>
          <w:sz w:val="18"/>
          <w:szCs w:val="18"/>
        </w:rPr>
        <w:tab/>
      </w:r>
      <w:r w:rsidR="00B357D3">
        <w:rPr>
          <w:rFonts w:ascii="Tahoma" w:hAnsi="Tahoma" w:cs="Tahoma"/>
          <w:sz w:val="18"/>
          <w:szCs w:val="18"/>
          <w:u w:val="single"/>
        </w:rPr>
        <w:t>RETIRO FORZOSO VIOLA ESTABILIDAD LABORAL REFORZADA EN ESTE CASO</w:t>
      </w:r>
      <w:r w:rsidR="00FE45B0" w:rsidRPr="00005627">
        <w:rPr>
          <w:rFonts w:ascii="Tahoma" w:hAnsi="Tahoma" w:cs="Tahoma"/>
          <w:sz w:val="18"/>
          <w:szCs w:val="18"/>
          <w:u w:val="single"/>
        </w:rPr>
        <w:t xml:space="preserve">: </w:t>
      </w:r>
      <w:r w:rsidR="00B357D3" w:rsidRPr="00B357D3">
        <w:rPr>
          <w:rFonts w:ascii="Tahoma" w:hAnsi="Tahoma" w:cs="Tahoma"/>
          <w:b w:val="0"/>
          <w:sz w:val="18"/>
          <w:szCs w:val="18"/>
        </w:rPr>
        <w:t xml:space="preserve">Disiento de esos dos argumentos </w:t>
      </w:r>
      <w:r w:rsidR="00B357D3">
        <w:rPr>
          <w:rFonts w:ascii="Tahoma" w:hAnsi="Tahoma" w:cs="Tahoma"/>
          <w:b w:val="0"/>
          <w:i/>
          <w:sz w:val="18"/>
          <w:szCs w:val="18"/>
        </w:rPr>
        <w:t xml:space="preserve">–los que niegan el amparo- </w:t>
      </w:r>
      <w:r w:rsidR="00B357D3" w:rsidRPr="00B357D3">
        <w:rPr>
          <w:rFonts w:ascii="Tahoma" w:hAnsi="Tahoma" w:cs="Tahoma"/>
          <w:b w:val="0"/>
          <w:sz w:val="18"/>
          <w:szCs w:val="18"/>
        </w:rPr>
        <w:t xml:space="preserve">por las siguientes razones: 1) No es cierto que la pensión de jubilación sea suficiente para solventar las necesidades básicas del actor y su familia, por cuanto a ese monto hay que restarle la cuota del crédito que aún tiene vigente y que muy seguramente tendrá que solventar con la pensión de jubilación a la cual deberá descontarse $884.317 quedando un saldo insoluto de $815.683. Dicha suma si bien supera en muy poco el salario mínimo, es obvio que no alcanza para sostener cuatro hijos, dos de los cuales cursan estudios universitarios por fuera del Municipio de </w:t>
      </w:r>
      <w:proofErr w:type="spellStart"/>
      <w:r w:rsidR="00B357D3" w:rsidRPr="00B357D3">
        <w:rPr>
          <w:rFonts w:ascii="Tahoma" w:hAnsi="Tahoma" w:cs="Tahoma"/>
          <w:b w:val="0"/>
          <w:sz w:val="18"/>
          <w:szCs w:val="18"/>
        </w:rPr>
        <w:t>Mistrató</w:t>
      </w:r>
      <w:proofErr w:type="spellEnd"/>
      <w:r w:rsidR="00B357D3" w:rsidRPr="00B357D3">
        <w:rPr>
          <w:rFonts w:ascii="Tahoma" w:hAnsi="Tahoma" w:cs="Tahoma"/>
          <w:b w:val="0"/>
          <w:sz w:val="18"/>
          <w:szCs w:val="18"/>
        </w:rPr>
        <w:t xml:space="preserve"> por cuanto allá no hay universidades, lo que hace más gravosa la situación del actor. En consecuencia, es una falacia afirmar que el actor cuenta con $1.700.000 para solventar sus necesidades básicas, porque a lo sumo recibirá menos de la mi</w:t>
      </w:r>
      <w:bookmarkStart w:id="0" w:name="_GoBack"/>
      <w:bookmarkEnd w:id="0"/>
      <w:r w:rsidR="00B357D3" w:rsidRPr="00B357D3">
        <w:rPr>
          <w:rFonts w:ascii="Tahoma" w:hAnsi="Tahoma" w:cs="Tahoma"/>
          <w:b w:val="0"/>
          <w:sz w:val="18"/>
          <w:szCs w:val="18"/>
        </w:rPr>
        <w:t>tad de ese valor. 2) No puede aseverarse que el actor ya tramitó ante la autoridad competente la pensión gracia, por cuanto está pendiente de la vía gubernativa y ello significa que no está resuelta dicha situación. 3) La tesis de la Corte Constitucional puede aplicarse a este caso porque en ella se sugiere que se analice cada caso concreto y en éste se ve que la situación del actor variará notoriamente con la terminación de su vinculación laboral con la Secretaría de Educación del Departamento de Risaralda, afectándose su derecho a vivir en condiciones dignas por cuenta de la violación de su derecho a la estabilidad laboral reforzada</w:t>
      </w:r>
      <w:r w:rsidR="00B357D3">
        <w:rPr>
          <w:rFonts w:ascii="Tahoma" w:hAnsi="Tahoma" w:cs="Tahoma"/>
          <w:b w:val="0"/>
          <w:sz w:val="18"/>
          <w:szCs w:val="18"/>
        </w:rPr>
        <w:t>.</w:t>
      </w:r>
    </w:p>
    <w:p w14:paraId="400FC359" w14:textId="77777777" w:rsidR="00B357D3" w:rsidRPr="00B357D3" w:rsidRDefault="00B357D3" w:rsidP="00B357D3">
      <w:pPr>
        <w:pStyle w:val="Puesto"/>
        <w:spacing w:line="240" w:lineRule="auto"/>
        <w:ind w:left="2124" w:hanging="2124"/>
        <w:jc w:val="both"/>
        <w:rPr>
          <w:rFonts w:ascii="Tahoma" w:hAnsi="Tahoma" w:cs="Tahoma"/>
          <w:b w:val="0"/>
          <w:sz w:val="18"/>
          <w:szCs w:val="18"/>
        </w:rPr>
      </w:pPr>
    </w:p>
    <w:p w14:paraId="1F1429A5" w14:textId="77777777" w:rsidR="00005627" w:rsidRDefault="00005627" w:rsidP="00B357D3">
      <w:pPr>
        <w:pStyle w:val="Puesto"/>
        <w:spacing w:line="240" w:lineRule="auto"/>
        <w:ind w:left="2124" w:hanging="2124"/>
        <w:jc w:val="both"/>
        <w:rPr>
          <w:rFonts w:ascii="Tahoma" w:hAnsi="Tahoma" w:cs="Tahoma"/>
          <w:b w:val="0"/>
          <w:sz w:val="18"/>
          <w:szCs w:val="18"/>
        </w:rPr>
      </w:pPr>
    </w:p>
    <w:p w14:paraId="05256DDF" w14:textId="77777777" w:rsidR="00B357D3" w:rsidRPr="00B357D3" w:rsidRDefault="00B357D3" w:rsidP="00B357D3">
      <w:pPr>
        <w:pStyle w:val="Puesto"/>
        <w:spacing w:line="240" w:lineRule="auto"/>
        <w:ind w:left="2124" w:hanging="2124"/>
        <w:jc w:val="both"/>
        <w:rPr>
          <w:rFonts w:ascii="Tahoma" w:hAnsi="Tahoma" w:cs="Tahoma"/>
          <w:b w:val="0"/>
          <w:sz w:val="18"/>
          <w:szCs w:val="18"/>
        </w:rPr>
      </w:pPr>
    </w:p>
    <w:p w14:paraId="17A7A00A" w14:textId="77777777" w:rsidR="003029BA" w:rsidRPr="007D0499" w:rsidRDefault="003029BA" w:rsidP="007D0499">
      <w:pPr>
        <w:pStyle w:val="Ttulo1"/>
        <w:widowControl/>
        <w:autoSpaceDE/>
        <w:autoSpaceDN/>
        <w:adjustRightInd/>
        <w:spacing w:line="276" w:lineRule="auto"/>
        <w:rPr>
          <w:rFonts w:ascii="Tahoma" w:hAnsi="Tahoma" w:cs="Tahoma"/>
          <w:bCs/>
          <w:sz w:val="22"/>
          <w:szCs w:val="22"/>
          <w:u w:val="single"/>
        </w:rPr>
      </w:pPr>
      <w:r w:rsidRPr="007D0499">
        <w:rPr>
          <w:rFonts w:ascii="Tahoma" w:hAnsi="Tahoma" w:cs="Tahoma"/>
          <w:bCs/>
          <w:sz w:val="22"/>
          <w:szCs w:val="22"/>
          <w:u w:val="single"/>
        </w:rPr>
        <w:t>SALVAMENTO DE VOTO</w:t>
      </w:r>
    </w:p>
    <w:p w14:paraId="14B3708F" w14:textId="77777777" w:rsidR="00A24782" w:rsidRDefault="00A24782" w:rsidP="007D0499">
      <w:pPr>
        <w:spacing w:line="276" w:lineRule="auto"/>
        <w:jc w:val="both"/>
        <w:rPr>
          <w:rFonts w:ascii="Tahoma" w:hAnsi="Tahoma" w:cs="Tahoma"/>
          <w:sz w:val="22"/>
          <w:szCs w:val="22"/>
        </w:rPr>
      </w:pPr>
    </w:p>
    <w:p w14:paraId="452A5C58" w14:textId="77777777" w:rsidR="00B357D3" w:rsidRPr="007D0499" w:rsidRDefault="00B357D3" w:rsidP="007D0499">
      <w:pPr>
        <w:spacing w:line="276" w:lineRule="auto"/>
        <w:jc w:val="both"/>
        <w:rPr>
          <w:rFonts w:ascii="Tahoma" w:hAnsi="Tahoma" w:cs="Tahoma"/>
          <w:sz w:val="22"/>
          <w:szCs w:val="22"/>
        </w:rPr>
      </w:pPr>
    </w:p>
    <w:p w14:paraId="42F1D805" w14:textId="77777777" w:rsidR="00AC4A2C" w:rsidRPr="007D0499" w:rsidRDefault="003029BA" w:rsidP="000F1CF7">
      <w:pPr>
        <w:spacing w:line="276" w:lineRule="auto"/>
        <w:ind w:firstLine="360"/>
        <w:jc w:val="both"/>
        <w:rPr>
          <w:rFonts w:ascii="Tahoma" w:hAnsi="Tahoma" w:cs="Tahoma"/>
          <w:sz w:val="22"/>
          <w:szCs w:val="22"/>
        </w:rPr>
      </w:pPr>
      <w:r w:rsidRPr="007D0499">
        <w:rPr>
          <w:rFonts w:ascii="Tahoma" w:hAnsi="Tahoma" w:cs="Tahoma"/>
          <w:sz w:val="22"/>
          <w:szCs w:val="22"/>
        </w:rPr>
        <w:t>Frente al</w:t>
      </w:r>
      <w:r w:rsidR="00F62107" w:rsidRPr="007D0499">
        <w:rPr>
          <w:rFonts w:ascii="Tahoma" w:hAnsi="Tahoma" w:cs="Tahoma"/>
          <w:sz w:val="22"/>
          <w:szCs w:val="22"/>
        </w:rPr>
        <w:t xml:space="preserve"> proyecto aprobado </w:t>
      </w:r>
      <w:r w:rsidR="00BE2677" w:rsidRPr="007D0499">
        <w:rPr>
          <w:rFonts w:ascii="Tahoma" w:hAnsi="Tahoma" w:cs="Tahoma"/>
          <w:sz w:val="22"/>
          <w:szCs w:val="22"/>
        </w:rPr>
        <w:t>p</w:t>
      </w:r>
      <w:r w:rsidRPr="007D0499">
        <w:rPr>
          <w:rFonts w:ascii="Tahoma" w:hAnsi="Tahoma" w:cs="Tahoma"/>
          <w:sz w:val="22"/>
          <w:szCs w:val="22"/>
        </w:rPr>
        <w:t xml:space="preserve">or la Sala </w:t>
      </w:r>
      <w:r w:rsidR="00BE2677" w:rsidRPr="007D0499">
        <w:rPr>
          <w:rFonts w:ascii="Tahoma" w:hAnsi="Tahoma" w:cs="Tahoma"/>
          <w:sz w:val="22"/>
          <w:szCs w:val="22"/>
        </w:rPr>
        <w:t xml:space="preserve">mayoritaria </w:t>
      </w:r>
      <w:r w:rsidRPr="007D0499">
        <w:rPr>
          <w:rFonts w:ascii="Tahoma" w:hAnsi="Tahoma" w:cs="Tahoma"/>
          <w:sz w:val="22"/>
          <w:szCs w:val="22"/>
        </w:rPr>
        <w:t>manifiesto mi inconformidad total</w:t>
      </w:r>
      <w:r w:rsidR="00AC4A2C" w:rsidRPr="007D0499">
        <w:rPr>
          <w:rFonts w:ascii="Tahoma" w:hAnsi="Tahoma" w:cs="Tahoma"/>
          <w:sz w:val="22"/>
          <w:szCs w:val="22"/>
        </w:rPr>
        <w:t xml:space="preserve">, por las </w:t>
      </w:r>
      <w:r w:rsidR="00232A16" w:rsidRPr="007D0499">
        <w:rPr>
          <w:rFonts w:ascii="Tahoma" w:hAnsi="Tahoma" w:cs="Tahoma"/>
          <w:sz w:val="22"/>
          <w:szCs w:val="22"/>
        </w:rPr>
        <w:t xml:space="preserve">siguientes </w:t>
      </w:r>
      <w:r w:rsidR="00AC4A2C" w:rsidRPr="007D0499">
        <w:rPr>
          <w:rFonts w:ascii="Tahoma" w:hAnsi="Tahoma" w:cs="Tahoma"/>
          <w:sz w:val="22"/>
          <w:szCs w:val="22"/>
        </w:rPr>
        <w:t>razones</w:t>
      </w:r>
      <w:r w:rsidR="008E2187" w:rsidRPr="007D0499">
        <w:rPr>
          <w:rFonts w:ascii="Tahoma" w:hAnsi="Tahoma" w:cs="Tahoma"/>
          <w:sz w:val="22"/>
          <w:szCs w:val="22"/>
        </w:rPr>
        <w:t>:</w:t>
      </w:r>
      <w:r w:rsidR="008F3355" w:rsidRPr="007D0499">
        <w:rPr>
          <w:rFonts w:ascii="Tahoma" w:hAnsi="Tahoma" w:cs="Tahoma"/>
          <w:sz w:val="22"/>
          <w:szCs w:val="22"/>
        </w:rPr>
        <w:t xml:space="preserve"> </w:t>
      </w:r>
    </w:p>
    <w:p w14:paraId="52F908E3" w14:textId="77777777" w:rsidR="008F3355" w:rsidRPr="007D0499" w:rsidRDefault="008F3355" w:rsidP="007D0499">
      <w:pPr>
        <w:spacing w:line="276" w:lineRule="auto"/>
        <w:jc w:val="both"/>
        <w:rPr>
          <w:rFonts w:ascii="Tahoma" w:hAnsi="Tahoma" w:cs="Tahoma"/>
          <w:sz w:val="22"/>
          <w:szCs w:val="22"/>
        </w:rPr>
      </w:pPr>
    </w:p>
    <w:p w14:paraId="166549E7" w14:textId="45B7D085" w:rsidR="0089071C" w:rsidRDefault="00FE45B0" w:rsidP="00FE45B0">
      <w:pPr>
        <w:pStyle w:val="Textoindependiente"/>
        <w:spacing w:line="276" w:lineRule="auto"/>
        <w:ind w:right="51"/>
        <w:rPr>
          <w:rFonts w:ascii="Tahoma" w:hAnsi="Tahoma" w:cs="Tahoma"/>
          <w:sz w:val="22"/>
          <w:szCs w:val="22"/>
        </w:rPr>
      </w:pPr>
      <w:r>
        <w:rPr>
          <w:rFonts w:ascii="Tahoma" w:hAnsi="Tahoma" w:cs="Tahoma"/>
          <w:sz w:val="22"/>
          <w:szCs w:val="22"/>
        </w:rPr>
        <w:t xml:space="preserve">     </w:t>
      </w:r>
      <w:r w:rsidR="00776F1A">
        <w:rPr>
          <w:rFonts w:ascii="Tahoma" w:hAnsi="Tahoma" w:cs="Tahoma"/>
          <w:sz w:val="22"/>
          <w:szCs w:val="22"/>
        </w:rPr>
        <w:t xml:space="preserve">Para ponernos en contexto, hay que recordar que en este caso el actor se desempeña como </w:t>
      </w:r>
      <w:r w:rsidR="001D5714">
        <w:rPr>
          <w:rFonts w:ascii="Tahoma" w:hAnsi="Tahoma" w:cs="Tahoma"/>
          <w:sz w:val="22"/>
          <w:szCs w:val="22"/>
        </w:rPr>
        <w:t>Rector</w:t>
      </w:r>
      <w:r w:rsidR="00776F1A">
        <w:rPr>
          <w:rFonts w:ascii="Tahoma" w:hAnsi="Tahoma" w:cs="Tahoma"/>
          <w:sz w:val="22"/>
          <w:szCs w:val="22"/>
        </w:rPr>
        <w:t xml:space="preserve"> del Instituto Mistrató del municipio que lleva el </w:t>
      </w:r>
      <w:r w:rsidR="001D5714">
        <w:rPr>
          <w:rFonts w:ascii="Tahoma" w:hAnsi="Tahoma" w:cs="Tahoma"/>
          <w:sz w:val="22"/>
          <w:szCs w:val="22"/>
        </w:rPr>
        <w:t>mismo</w:t>
      </w:r>
      <w:r w:rsidR="00776F1A">
        <w:rPr>
          <w:rFonts w:ascii="Tahoma" w:hAnsi="Tahoma" w:cs="Tahoma"/>
          <w:sz w:val="22"/>
          <w:szCs w:val="22"/>
        </w:rPr>
        <w:t xml:space="preserve"> nombre y cumplió los 65 años de edad, razón por la cual la Dirección Administrativa de la Secretaría de Educación del Departamento de Risaralda le anunció que adelantará el acto administrativo de retiro forzoso a partir del 1º de julio de este año. Con la presente acción de tutela pretende el actor que se le conceda hasta el 31 de diciembre de este año para gestionar lo</w:t>
      </w:r>
      <w:r w:rsidR="00174315">
        <w:rPr>
          <w:rFonts w:ascii="Tahoma" w:hAnsi="Tahoma" w:cs="Tahoma"/>
          <w:sz w:val="22"/>
          <w:szCs w:val="22"/>
        </w:rPr>
        <w:t xml:space="preserve"> </w:t>
      </w:r>
      <w:r w:rsidR="00776F1A">
        <w:rPr>
          <w:rFonts w:ascii="Tahoma" w:hAnsi="Tahoma" w:cs="Tahoma"/>
          <w:sz w:val="22"/>
          <w:szCs w:val="22"/>
        </w:rPr>
        <w:t xml:space="preserve">pertinente respecto a la pensión gracia a la que tiene derecho </w:t>
      </w:r>
      <w:r w:rsidR="00174315">
        <w:rPr>
          <w:rFonts w:ascii="Tahoma" w:hAnsi="Tahoma" w:cs="Tahoma"/>
          <w:sz w:val="22"/>
          <w:szCs w:val="22"/>
        </w:rPr>
        <w:t xml:space="preserve">alegando que si bien disfruta en la actualidad de una pensión de jubilación, </w:t>
      </w:r>
      <w:r w:rsidR="00776F1A">
        <w:rPr>
          <w:rFonts w:ascii="Tahoma" w:hAnsi="Tahoma" w:cs="Tahoma"/>
          <w:sz w:val="22"/>
          <w:szCs w:val="22"/>
        </w:rPr>
        <w:t>ese ingreso no es suficiente t</w:t>
      </w:r>
      <w:r w:rsidR="00174315">
        <w:rPr>
          <w:rFonts w:ascii="Tahoma" w:hAnsi="Tahoma" w:cs="Tahoma"/>
          <w:sz w:val="22"/>
          <w:szCs w:val="22"/>
        </w:rPr>
        <w:t xml:space="preserve">oda vez que es cabeza de hogar y </w:t>
      </w:r>
      <w:r w:rsidR="00776F1A">
        <w:rPr>
          <w:rFonts w:ascii="Tahoma" w:hAnsi="Tahoma" w:cs="Tahoma"/>
          <w:sz w:val="22"/>
          <w:szCs w:val="22"/>
        </w:rPr>
        <w:t>tiene 4 hijos, dos de los cuales r</w:t>
      </w:r>
      <w:r w:rsidR="00174315">
        <w:rPr>
          <w:rFonts w:ascii="Tahoma" w:hAnsi="Tahoma" w:cs="Tahoma"/>
          <w:sz w:val="22"/>
          <w:szCs w:val="22"/>
        </w:rPr>
        <w:t xml:space="preserve">ealizan estudios universitarios. El juzgado de primera instancia accedió al amparo y ordenó que suspenda el retiro forzoso del actor durante 6 meses. La Sala mayoritaria revoca  esa decisión básicamente bajo dos argumentos: </w:t>
      </w:r>
      <w:r w:rsidR="00174315">
        <w:rPr>
          <w:rFonts w:ascii="Tahoma" w:hAnsi="Tahoma" w:cs="Tahoma"/>
          <w:i/>
          <w:sz w:val="22"/>
          <w:szCs w:val="22"/>
        </w:rPr>
        <w:t xml:space="preserve">i) </w:t>
      </w:r>
      <w:r w:rsidR="00174315">
        <w:rPr>
          <w:rFonts w:ascii="Tahoma" w:hAnsi="Tahoma" w:cs="Tahoma"/>
          <w:sz w:val="22"/>
          <w:szCs w:val="22"/>
        </w:rPr>
        <w:t>Que el actor disfruta de</w:t>
      </w:r>
      <w:r w:rsidR="0027571F">
        <w:rPr>
          <w:rFonts w:ascii="Tahoma" w:hAnsi="Tahoma" w:cs="Tahoma"/>
          <w:sz w:val="22"/>
          <w:szCs w:val="22"/>
        </w:rPr>
        <w:t xml:space="preserve"> </w:t>
      </w:r>
      <w:r w:rsidR="00174315">
        <w:rPr>
          <w:rFonts w:ascii="Tahoma" w:hAnsi="Tahoma" w:cs="Tahoma"/>
          <w:sz w:val="22"/>
          <w:szCs w:val="22"/>
        </w:rPr>
        <w:t>una pensión de jubilación equivalente a $1.700.000 mensuales</w:t>
      </w:r>
      <w:r w:rsidR="0089071C">
        <w:rPr>
          <w:rFonts w:ascii="Tahoma" w:hAnsi="Tahoma" w:cs="Tahoma"/>
          <w:sz w:val="22"/>
          <w:szCs w:val="22"/>
        </w:rPr>
        <w:t xml:space="preserve"> con la cual puede solventar sus necesidades básicas y las de su familia</w:t>
      </w:r>
      <w:r w:rsidR="00174315">
        <w:rPr>
          <w:rFonts w:ascii="Tahoma" w:hAnsi="Tahoma" w:cs="Tahoma"/>
          <w:sz w:val="22"/>
          <w:szCs w:val="22"/>
        </w:rPr>
        <w:t xml:space="preserve">; y , </w:t>
      </w:r>
      <w:r w:rsidR="00174315">
        <w:rPr>
          <w:rFonts w:ascii="Tahoma" w:hAnsi="Tahoma" w:cs="Tahoma"/>
          <w:i/>
          <w:sz w:val="22"/>
          <w:szCs w:val="22"/>
        </w:rPr>
        <w:t xml:space="preserve">ii) </w:t>
      </w:r>
      <w:r w:rsidR="0027571F">
        <w:rPr>
          <w:rFonts w:ascii="Tahoma" w:hAnsi="Tahoma" w:cs="Tahoma"/>
          <w:sz w:val="22"/>
          <w:szCs w:val="22"/>
        </w:rPr>
        <w:t xml:space="preserve"> </w:t>
      </w:r>
      <w:r w:rsidR="00174315">
        <w:rPr>
          <w:rFonts w:ascii="Tahoma" w:hAnsi="Tahoma" w:cs="Tahoma"/>
          <w:sz w:val="22"/>
          <w:szCs w:val="22"/>
        </w:rPr>
        <w:t>que</w:t>
      </w:r>
      <w:r w:rsidR="0089071C">
        <w:rPr>
          <w:rFonts w:ascii="Tahoma" w:hAnsi="Tahoma" w:cs="Tahoma"/>
          <w:sz w:val="22"/>
          <w:szCs w:val="22"/>
        </w:rPr>
        <w:t xml:space="preserve"> ya tramitó la pensión gracia y le fue negada por las autoridades competentes.</w:t>
      </w:r>
    </w:p>
    <w:p w14:paraId="562DA1CF" w14:textId="77777777" w:rsidR="0089071C" w:rsidRDefault="0089071C" w:rsidP="00FE45B0">
      <w:pPr>
        <w:pStyle w:val="Textoindependiente"/>
        <w:spacing w:line="276" w:lineRule="auto"/>
        <w:ind w:right="51"/>
        <w:rPr>
          <w:rFonts w:ascii="Tahoma" w:hAnsi="Tahoma" w:cs="Tahoma"/>
          <w:sz w:val="22"/>
          <w:szCs w:val="22"/>
        </w:rPr>
      </w:pPr>
    </w:p>
    <w:p w14:paraId="7CF72398" w14:textId="4CC8218B" w:rsidR="00035904" w:rsidRDefault="0089071C" w:rsidP="00FE45B0">
      <w:pPr>
        <w:pStyle w:val="Textoindependiente"/>
        <w:spacing w:line="276" w:lineRule="auto"/>
        <w:ind w:right="51"/>
        <w:rPr>
          <w:rFonts w:ascii="Tahoma" w:hAnsi="Tahoma" w:cs="Tahoma"/>
          <w:sz w:val="22"/>
          <w:szCs w:val="22"/>
        </w:rPr>
      </w:pPr>
      <w:r>
        <w:rPr>
          <w:rFonts w:ascii="Tahoma" w:hAnsi="Tahoma" w:cs="Tahoma"/>
          <w:sz w:val="22"/>
          <w:szCs w:val="22"/>
        </w:rPr>
        <w:t xml:space="preserve">Disiento de esos dos argumentos por las siguientes razones: 1) No es cierto que la pensión de jubilación sea suficiente para solventar las necesidades </w:t>
      </w:r>
      <w:r w:rsidR="001D5714">
        <w:rPr>
          <w:rFonts w:ascii="Tahoma" w:hAnsi="Tahoma" w:cs="Tahoma"/>
          <w:sz w:val="22"/>
          <w:szCs w:val="22"/>
        </w:rPr>
        <w:t>básicas</w:t>
      </w:r>
      <w:r>
        <w:rPr>
          <w:rFonts w:ascii="Tahoma" w:hAnsi="Tahoma" w:cs="Tahoma"/>
          <w:sz w:val="22"/>
          <w:szCs w:val="22"/>
        </w:rPr>
        <w:t xml:space="preserve"> del actor y su familia, por cuanto a ese monto hay </w:t>
      </w:r>
      <w:r w:rsidR="001D5714">
        <w:rPr>
          <w:rFonts w:ascii="Tahoma" w:hAnsi="Tahoma" w:cs="Tahoma"/>
          <w:sz w:val="22"/>
          <w:szCs w:val="22"/>
        </w:rPr>
        <w:t>que</w:t>
      </w:r>
      <w:r>
        <w:rPr>
          <w:rFonts w:ascii="Tahoma" w:hAnsi="Tahoma" w:cs="Tahoma"/>
          <w:sz w:val="22"/>
          <w:szCs w:val="22"/>
        </w:rPr>
        <w:t xml:space="preserve"> restarle la cuota del </w:t>
      </w:r>
      <w:r w:rsidR="001D5714">
        <w:rPr>
          <w:rFonts w:ascii="Tahoma" w:hAnsi="Tahoma" w:cs="Tahoma"/>
          <w:sz w:val="22"/>
          <w:szCs w:val="22"/>
        </w:rPr>
        <w:t>crédito</w:t>
      </w:r>
      <w:r>
        <w:rPr>
          <w:rFonts w:ascii="Tahoma" w:hAnsi="Tahoma" w:cs="Tahoma"/>
          <w:sz w:val="22"/>
          <w:szCs w:val="22"/>
        </w:rPr>
        <w:t xml:space="preserve"> que aún tiene vigente y que muy seguramente tendrá que solventar con la pensión de jubilación a la cual deberá descontarse $884.317 quedando un saldo insoluto de $815.683</w:t>
      </w:r>
      <w:r w:rsidR="00035904">
        <w:rPr>
          <w:rFonts w:ascii="Tahoma" w:hAnsi="Tahoma" w:cs="Tahoma"/>
          <w:sz w:val="22"/>
          <w:szCs w:val="22"/>
        </w:rPr>
        <w:t xml:space="preserve">. Dicha suma </w:t>
      </w:r>
      <w:r>
        <w:rPr>
          <w:rFonts w:ascii="Tahoma" w:hAnsi="Tahoma" w:cs="Tahoma"/>
          <w:sz w:val="22"/>
          <w:szCs w:val="22"/>
        </w:rPr>
        <w:t>si bien supera en muy poco el salario mínimo</w:t>
      </w:r>
      <w:r w:rsidR="00035904">
        <w:rPr>
          <w:rFonts w:ascii="Tahoma" w:hAnsi="Tahoma" w:cs="Tahoma"/>
          <w:sz w:val="22"/>
          <w:szCs w:val="22"/>
        </w:rPr>
        <w:t>,</w:t>
      </w:r>
      <w:r>
        <w:rPr>
          <w:rFonts w:ascii="Tahoma" w:hAnsi="Tahoma" w:cs="Tahoma"/>
          <w:sz w:val="22"/>
          <w:szCs w:val="22"/>
        </w:rPr>
        <w:t xml:space="preserve"> es obvio que no alcanza para sostener cuatro hijos, dos de los cuales cursan estudios universitari</w:t>
      </w:r>
      <w:r w:rsidR="001D5714">
        <w:rPr>
          <w:rFonts w:ascii="Tahoma" w:hAnsi="Tahoma" w:cs="Tahoma"/>
          <w:sz w:val="22"/>
          <w:szCs w:val="22"/>
        </w:rPr>
        <w:t>os por fuera del Municipio de Mi</w:t>
      </w:r>
      <w:r>
        <w:rPr>
          <w:rFonts w:ascii="Tahoma" w:hAnsi="Tahoma" w:cs="Tahoma"/>
          <w:sz w:val="22"/>
          <w:szCs w:val="22"/>
        </w:rPr>
        <w:t>strató por cuanto allá no hay universidades, lo que hace más gravosa la situación del actor. En consecuencia, es una falacia afirmar que el actor cuenta con $1.700.000 para solventar sus necesidades básicas,</w:t>
      </w:r>
      <w:r w:rsidR="00174315">
        <w:rPr>
          <w:rFonts w:ascii="Tahoma" w:hAnsi="Tahoma" w:cs="Tahoma"/>
          <w:sz w:val="22"/>
          <w:szCs w:val="22"/>
        </w:rPr>
        <w:t xml:space="preserve"> </w:t>
      </w:r>
      <w:r w:rsidR="00035904">
        <w:rPr>
          <w:rFonts w:ascii="Tahoma" w:hAnsi="Tahoma" w:cs="Tahoma"/>
          <w:sz w:val="22"/>
          <w:szCs w:val="22"/>
        </w:rPr>
        <w:t xml:space="preserve">porque a lo sumo recibirá menos de la mitad de ese valor. 2) No puede aseverarse que el actor ya tramitó ante la autoridad </w:t>
      </w:r>
      <w:r w:rsidR="001D5714">
        <w:rPr>
          <w:rFonts w:ascii="Tahoma" w:hAnsi="Tahoma" w:cs="Tahoma"/>
          <w:sz w:val="22"/>
          <w:szCs w:val="22"/>
        </w:rPr>
        <w:t>competente</w:t>
      </w:r>
      <w:r w:rsidR="00035904">
        <w:rPr>
          <w:rFonts w:ascii="Tahoma" w:hAnsi="Tahoma" w:cs="Tahoma"/>
          <w:sz w:val="22"/>
          <w:szCs w:val="22"/>
        </w:rPr>
        <w:t xml:space="preserve"> la pensión gracia, por cuanto está pendiente de la vía </w:t>
      </w:r>
      <w:r w:rsidR="00035904">
        <w:rPr>
          <w:rFonts w:ascii="Tahoma" w:hAnsi="Tahoma" w:cs="Tahoma"/>
          <w:sz w:val="22"/>
          <w:szCs w:val="22"/>
        </w:rPr>
        <w:lastRenderedPageBreak/>
        <w:t xml:space="preserve">gubernativa y ello </w:t>
      </w:r>
      <w:r w:rsidR="001D5714">
        <w:rPr>
          <w:rFonts w:ascii="Tahoma" w:hAnsi="Tahoma" w:cs="Tahoma"/>
          <w:sz w:val="22"/>
          <w:szCs w:val="22"/>
        </w:rPr>
        <w:t>significa</w:t>
      </w:r>
      <w:r w:rsidR="00035904">
        <w:rPr>
          <w:rFonts w:ascii="Tahoma" w:hAnsi="Tahoma" w:cs="Tahoma"/>
          <w:sz w:val="22"/>
          <w:szCs w:val="22"/>
        </w:rPr>
        <w:t xml:space="preserve"> que no está resuelta dicha situación. 3) La tesis de la Corte Constitucional puede aplicarse a este caso porque en ella se sugiere que se analice cada caso concreto y en éste se ve que la situación del actor variará notoriamente con la terminación de su vinculación laboral con la Secretaría de Educación del </w:t>
      </w:r>
      <w:r w:rsidR="001D5714">
        <w:rPr>
          <w:rFonts w:ascii="Tahoma" w:hAnsi="Tahoma" w:cs="Tahoma"/>
          <w:sz w:val="22"/>
          <w:szCs w:val="22"/>
        </w:rPr>
        <w:t>Departamento</w:t>
      </w:r>
      <w:r w:rsidR="00035904">
        <w:rPr>
          <w:rFonts w:ascii="Tahoma" w:hAnsi="Tahoma" w:cs="Tahoma"/>
          <w:sz w:val="22"/>
          <w:szCs w:val="22"/>
        </w:rPr>
        <w:t xml:space="preserve"> de Risaralda, afect</w:t>
      </w:r>
      <w:r w:rsidR="001D5714">
        <w:rPr>
          <w:rFonts w:ascii="Tahoma" w:hAnsi="Tahoma" w:cs="Tahoma"/>
          <w:sz w:val="22"/>
          <w:szCs w:val="22"/>
        </w:rPr>
        <w:t>ándose su derecho a vivir en condiciones dignas por cuenta de la violación de su derecho a la estabilidad laboral reforzada</w:t>
      </w:r>
      <w:r w:rsidR="00035904">
        <w:rPr>
          <w:rFonts w:ascii="Tahoma" w:hAnsi="Tahoma" w:cs="Tahoma"/>
          <w:sz w:val="22"/>
          <w:szCs w:val="22"/>
        </w:rPr>
        <w:t>.</w:t>
      </w:r>
    </w:p>
    <w:p w14:paraId="78147522" w14:textId="77777777" w:rsidR="00035904" w:rsidRDefault="00035904" w:rsidP="00FE45B0">
      <w:pPr>
        <w:pStyle w:val="Textoindependiente"/>
        <w:spacing w:line="276" w:lineRule="auto"/>
        <w:ind w:right="51"/>
        <w:rPr>
          <w:rFonts w:ascii="Tahoma" w:hAnsi="Tahoma" w:cs="Tahoma"/>
          <w:sz w:val="22"/>
          <w:szCs w:val="22"/>
        </w:rPr>
      </w:pPr>
    </w:p>
    <w:p w14:paraId="59E9B7C1" w14:textId="1A65F688" w:rsidR="00035904" w:rsidRDefault="00035904" w:rsidP="00FE45B0">
      <w:pPr>
        <w:pStyle w:val="Textoindependiente"/>
        <w:spacing w:line="276" w:lineRule="auto"/>
        <w:ind w:right="51"/>
        <w:rPr>
          <w:rFonts w:ascii="Tahoma" w:hAnsi="Tahoma" w:cs="Tahoma"/>
          <w:sz w:val="22"/>
          <w:szCs w:val="22"/>
        </w:rPr>
      </w:pPr>
      <w:r>
        <w:rPr>
          <w:rFonts w:ascii="Tahoma" w:hAnsi="Tahoma" w:cs="Tahoma"/>
          <w:sz w:val="22"/>
          <w:szCs w:val="22"/>
        </w:rPr>
        <w:t xml:space="preserve">Por lo anteriormente expuesto considero que debió confirmarse la sentencia de primera instancia porque se acompasa al precedente de la corte Constitucional al otorgar un plazo razonable de 6 meses para que se defina por la autoridad administrativa competente lo relacionado con la </w:t>
      </w:r>
      <w:r w:rsidR="001D5714">
        <w:rPr>
          <w:rFonts w:ascii="Tahoma" w:hAnsi="Tahoma" w:cs="Tahoma"/>
          <w:sz w:val="22"/>
          <w:szCs w:val="22"/>
        </w:rPr>
        <w:t>pensión</w:t>
      </w:r>
      <w:r>
        <w:rPr>
          <w:rFonts w:ascii="Tahoma" w:hAnsi="Tahoma" w:cs="Tahoma"/>
          <w:sz w:val="22"/>
          <w:szCs w:val="22"/>
        </w:rPr>
        <w:t xml:space="preserve"> gracia. </w:t>
      </w:r>
    </w:p>
    <w:p w14:paraId="59A508E8" w14:textId="77777777" w:rsidR="00035904" w:rsidRDefault="00035904" w:rsidP="00FE45B0">
      <w:pPr>
        <w:pStyle w:val="Textoindependiente"/>
        <w:spacing w:line="276" w:lineRule="auto"/>
        <w:ind w:right="51"/>
        <w:rPr>
          <w:rFonts w:ascii="Tahoma" w:hAnsi="Tahoma" w:cs="Tahoma"/>
          <w:sz w:val="22"/>
          <w:szCs w:val="22"/>
        </w:rPr>
      </w:pPr>
    </w:p>
    <w:p w14:paraId="626893AB" w14:textId="77777777" w:rsidR="00A740FD" w:rsidRDefault="00A740FD" w:rsidP="00FE45B0">
      <w:pPr>
        <w:pStyle w:val="Textoindependiente"/>
        <w:spacing w:line="276" w:lineRule="auto"/>
        <w:ind w:right="51"/>
        <w:rPr>
          <w:rFonts w:ascii="Tahoma" w:hAnsi="Tahoma" w:cs="Tahoma"/>
          <w:sz w:val="22"/>
          <w:szCs w:val="22"/>
        </w:rPr>
      </w:pPr>
    </w:p>
    <w:p w14:paraId="37BE0D7D" w14:textId="77777777" w:rsidR="00DF245C" w:rsidRDefault="00DF245C" w:rsidP="007D0499">
      <w:pPr>
        <w:spacing w:line="276" w:lineRule="auto"/>
        <w:jc w:val="both"/>
        <w:rPr>
          <w:rFonts w:ascii="Tahoma" w:hAnsi="Tahoma" w:cs="Tahoma"/>
          <w:sz w:val="22"/>
          <w:szCs w:val="22"/>
        </w:rPr>
      </w:pPr>
    </w:p>
    <w:p w14:paraId="1118470F" w14:textId="77777777" w:rsidR="00DF245C" w:rsidRDefault="00DF245C" w:rsidP="007D0499">
      <w:pPr>
        <w:spacing w:line="276" w:lineRule="auto"/>
        <w:jc w:val="both"/>
        <w:rPr>
          <w:rFonts w:ascii="Tahoma" w:hAnsi="Tahoma" w:cs="Tahoma"/>
          <w:sz w:val="22"/>
          <w:szCs w:val="22"/>
        </w:rPr>
      </w:pPr>
      <w:r>
        <w:rPr>
          <w:rFonts w:ascii="Tahoma" w:hAnsi="Tahoma" w:cs="Tahoma"/>
          <w:sz w:val="22"/>
          <w:szCs w:val="22"/>
        </w:rPr>
        <w:t>En estos términos sustento mi salvamento de voto</w:t>
      </w:r>
    </w:p>
    <w:p w14:paraId="6B6ACB56" w14:textId="77777777" w:rsidR="00DF245C" w:rsidRDefault="00DF245C" w:rsidP="007D0499">
      <w:pPr>
        <w:spacing w:line="276" w:lineRule="auto"/>
        <w:jc w:val="both"/>
        <w:rPr>
          <w:rFonts w:ascii="Tahoma" w:hAnsi="Tahoma" w:cs="Tahoma"/>
          <w:sz w:val="22"/>
          <w:szCs w:val="22"/>
        </w:rPr>
      </w:pPr>
    </w:p>
    <w:p w14:paraId="5F37DD1D" w14:textId="77777777" w:rsidR="00A740FD" w:rsidRDefault="00A740FD" w:rsidP="007D0499">
      <w:pPr>
        <w:spacing w:line="276" w:lineRule="auto"/>
        <w:jc w:val="both"/>
        <w:rPr>
          <w:rFonts w:ascii="Tahoma" w:hAnsi="Tahoma" w:cs="Tahoma"/>
          <w:sz w:val="22"/>
          <w:szCs w:val="22"/>
        </w:rPr>
      </w:pPr>
    </w:p>
    <w:p w14:paraId="7D2A9C57" w14:textId="77777777" w:rsidR="00A740FD" w:rsidRDefault="00A740FD" w:rsidP="007D0499">
      <w:pPr>
        <w:spacing w:line="276" w:lineRule="auto"/>
        <w:jc w:val="both"/>
        <w:rPr>
          <w:rFonts w:ascii="Tahoma" w:hAnsi="Tahoma" w:cs="Tahoma"/>
          <w:sz w:val="22"/>
          <w:szCs w:val="22"/>
        </w:rPr>
      </w:pPr>
    </w:p>
    <w:p w14:paraId="2ACDC5B5" w14:textId="77777777" w:rsidR="00005627" w:rsidRDefault="00005627" w:rsidP="007D0499">
      <w:pPr>
        <w:spacing w:line="276" w:lineRule="auto"/>
        <w:jc w:val="both"/>
        <w:rPr>
          <w:rFonts w:ascii="Tahoma" w:hAnsi="Tahoma" w:cs="Tahoma"/>
          <w:sz w:val="22"/>
          <w:szCs w:val="22"/>
        </w:rPr>
      </w:pPr>
    </w:p>
    <w:p w14:paraId="7B07879E" w14:textId="77777777" w:rsidR="00A24782" w:rsidRPr="007D0499" w:rsidRDefault="00A24782" w:rsidP="007D0499">
      <w:pPr>
        <w:pStyle w:val="Textoindependiente"/>
        <w:autoSpaceDE/>
        <w:autoSpaceDN/>
        <w:adjustRightInd/>
        <w:spacing w:line="276" w:lineRule="auto"/>
        <w:rPr>
          <w:rFonts w:ascii="Tahoma" w:hAnsi="Tahoma" w:cs="Tahoma"/>
          <w:sz w:val="22"/>
          <w:szCs w:val="22"/>
          <w:lang w:val="es-ES"/>
        </w:rPr>
      </w:pPr>
    </w:p>
    <w:p w14:paraId="6AEAAF75" w14:textId="77777777" w:rsidR="003029BA" w:rsidRPr="007D0499" w:rsidRDefault="003029BA" w:rsidP="007D0499">
      <w:pPr>
        <w:pStyle w:val="Ttulo3"/>
        <w:spacing w:line="276" w:lineRule="auto"/>
        <w:rPr>
          <w:rFonts w:ascii="Tahoma" w:hAnsi="Tahoma" w:cs="Tahoma"/>
          <w:sz w:val="22"/>
          <w:szCs w:val="22"/>
        </w:rPr>
      </w:pPr>
      <w:r w:rsidRPr="007D0499">
        <w:rPr>
          <w:rFonts w:ascii="Tahoma" w:hAnsi="Tahoma" w:cs="Tahoma"/>
          <w:sz w:val="22"/>
          <w:szCs w:val="22"/>
        </w:rPr>
        <w:t>ANA LUCÍA CAICEDO CALDERÓN</w:t>
      </w:r>
    </w:p>
    <w:p w14:paraId="485A0D78" w14:textId="77777777" w:rsidR="0047358A" w:rsidRPr="007D0499" w:rsidRDefault="0047358A" w:rsidP="007D0499">
      <w:pPr>
        <w:spacing w:line="276" w:lineRule="auto"/>
        <w:rPr>
          <w:sz w:val="22"/>
          <w:szCs w:val="22"/>
        </w:rPr>
      </w:pPr>
    </w:p>
    <w:sectPr w:rsidR="0047358A" w:rsidRPr="007D0499" w:rsidSect="00006310">
      <w:footerReference w:type="even" r:id="rId8"/>
      <w:footerReference w:type="default" r:id="rId9"/>
      <w:pgSz w:w="12242" w:h="18722" w:code="121"/>
      <w:pgMar w:top="1418"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1BA4" w14:textId="77777777" w:rsidR="00E74E26" w:rsidRDefault="00E74E26">
      <w:r>
        <w:separator/>
      </w:r>
    </w:p>
  </w:endnote>
  <w:endnote w:type="continuationSeparator" w:id="0">
    <w:p w14:paraId="43FB8FAB" w14:textId="77777777" w:rsidR="00E74E26" w:rsidRDefault="00E7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5EE3" w14:textId="77777777" w:rsidR="00CC3230" w:rsidRDefault="00CC32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401EE7" w14:textId="77777777" w:rsidR="00CC3230" w:rsidRDefault="00CC32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5B4E" w14:textId="77777777" w:rsidR="00CC3230" w:rsidRDefault="00CC32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4ACF">
      <w:rPr>
        <w:rStyle w:val="Nmerodepgina"/>
        <w:noProof/>
      </w:rPr>
      <w:t>2</w:t>
    </w:r>
    <w:r>
      <w:rPr>
        <w:rStyle w:val="Nmerodepgina"/>
      </w:rPr>
      <w:fldChar w:fldCharType="end"/>
    </w:r>
  </w:p>
  <w:p w14:paraId="40E7791B" w14:textId="77777777" w:rsidR="00CC3230" w:rsidRDefault="00CC3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1E89" w14:textId="77777777" w:rsidR="00E74E26" w:rsidRDefault="00E74E26">
      <w:r>
        <w:separator/>
      </w:r>
    </w:p>
  </w:footnote>
  <w:footnote w:type="continuationSeparator" w:id="0">
    <w:p w14:paraId="187E185C" w14:textId="77777777" w:rsidR="00E74E26" w:rsidRDefault="00E7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1AB"/>
    <w:multiLevelType w:val="hybridMultilevel"/>
    <w:tmpl w:val="612AE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E3E94"/>
    <w:multiLevelType w:val="hybridMultilevel"/>
    <w:tmpl w:val="72582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720922"/>
    <w:multiLevelType w:val="hybridMultilevel"/>
    <w:tmpl w:val="161C8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7D6EA3"/>
    <w:multiLevelType w:val="hybridMultilevel"/>
    <w:tmpl w:val="E53CAAB2"/>
    <w:lvl w:ilvl="0" w:tplc="0E2E49BC">
      <w:start w:val="1"/>
      <w:numFmt w:val="decimal"/>
      <w:lvlText w:val="%1."/>
      <w:lvlJc w:val="left"/>
      <w:pPr>
        <w:ind w:left="720" w:hanging="360"/>
      </w:pPr>
      <w:rPr>
        <w:rFonts w:ascii="Tahoma" w:eastAsia="Times New Roman"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BA"/>
    <w:rsid w:val="00005627"/>
    <w:rsid w:val="00006310"/>
    <w:rsid w:val="00023139"/>
    <w:rsid w:val="00035904"/>
    <w:rsid w:val="0006543F"/>
    <w:rsid w:val="0006666C"/>
    <w:rsid w:val="000B05A2"/>
    <w:rsid w:val="000C6724"/>
    <w:rsid w:val="000E21ED"/>
    <w:rsid w:val="000F1CF7"/>
    <w:rsid w:val="000F5229"/>
    <w:rsid w:val="001171DA"/>
    <w:rsid w:val="00124591"/>
    <w:rsid w:val="00137BD2"/>
    <w:rsid w:val="00165C93"/>
    <w:rsid w:val="0017333E"/>
    <w:rsid w:val="00174315"/>
    <w:rsid w:val="00185BF8"/>
    <w:rsid w:val="00195BBD"/>
    <w:rsid w:val="001B5C3D"/>
    <w:rsid w:val="001D3F21"/>
    <w:rsid w:val="001D5714"/>
    <w:rsid w:val="0021246C"/>
    <w:rsid w:val="00232A16"/>
    <w:rsid w:val="002560A8"/>
    <w:rsid w:val="0027571F"/>
    <w:rsid w:val="00277590"/>
    <w:rsid w:val="002C3F54"/>
    <w:rsid w:val="002D164B"/>
    <w:rsid w:val="002E7BF8"/>
    <w:rsid w:val="002F1941"/>
    <w:rsid w:val="002F6F5F"/>
    <w:rsid w:val="003029BA"/>
    <w:rsid w:val="00317246"/>
    <w:rsid w:val="00317E84"/>
    <w:rsid w:val="00325014"/>
    <w:rsid w:val="0036013A"/>
    <w:rsid w:val="00375CED"/>
    <w:rsid w:val="00382AA1"/>
    <w:rsid w:val="003B2696"/>
    <w:rsid w:val="003C2B71"/>
    <w:rsid w:val="003E3111"/>
    <w:rsid w:val="003E70A9"/>
    <w:rsid w:val="00402DF5"/>
    <w:rsid w:val="004103E1"/>
    <w:rsid w:val="0041594A"/>
    <w:rsid w:val="00424857"/>
    <w:rsid w:val="0042723A"/>
    <w:rsid w:val="00442929"/>
    <w:rsid w:val="00463CBF"/>
    <w:rsid w:val="004702B6"/>
    <w:rsid w:val="0047358A"/>
    <w:rsid w:val="00486D48"/>
    <w:rsid w:val="00490572"/>
    <w:rsid w:val="004941ED"/>
    <w:rsid w:val="00495EF8"/>
    <w:rsid w:val="004A089F"/>
    <w:rsid w:val="004B74CF"/>
    <w:rsid w:val="004C32A4"/>
    <w:rsid w:val="004D20A4"/>
    <w:rsid w:val="004F4A88"/>
    <w:rsid w:val="00503B39"/>
    <w:rsid w:val="00513C2E"/>
    <w:rsid w:val="00526052"/>
    <w:rsid w:val="00541004"/>
    <w:rsid w:val="005645FC"/>
    <w:rsid w:val="00576AD1"/>
    <w:rsid w:val="005862BB"/>
    <w:rsid w:val="005A0349"/>
    <w:rsid w:val="005B57BF"/>
    <w:rsid w:val="005C6986"/>
    <w:rsid w:val="005C6CCD"/>
    <w:rsid w:val="005F534D"/>
    <w:rsid w:val="005F690F"/>
    <w:rsid w:val="006003FF"/>
    <w:rsid w:val="006006E3"/>
    <w:rsid w:val="00600FB9"/>
    <w:rsid w:val="0061231B"/>
    <w:rsid w:val="00612BF0"/>
    <w:rsid w:val="006164FC"/>
    <w:rsid w:val="00624CC5"/>
    <w:rsid w:val="00635BBB"/>
    <w:rsid w:val="006433A7"/>
    <w:rsid w:val="00656440"/>
    <w:rsid w:val="00663824"/>
    <w:rsid w:val="0068319B"/>
    <w:rsid w:val="00684ACF"/>
    <w:rsid w:val="0069236D"/>
    <w:rsid w:val="00692B1B"/>
    <w:rsid w:val="006A793D"/>
    <w:rsid w:val="006B39DD"/>
    <w:rsid w:val="006B5DAC"/>
    <w:rsid w:val="006D3376"/>
    <w:rsid w:val="006D5352"/>
    <w:rsid w:val="006E0E44"/>
    <w:rsid w:val="006E3262"/>
    <w:rsid w:val="006F7CAD"/>
    <w:rsid w:val="007172B6"/>
    <w:rsid w:val="007223FA"/>
    <w:rsid w:val="007474DE"/>
    <w:rsid w:val="00753623"/>
    <w:rsid w:val="00754F40"/>
    <w:rsid w:val="00773BD2"/>
    <w:rsid w:val="00775981"/>
    <w:rsid w:val="00776F1A"/>
    <w:rsid w:val="0077766D"/>
    <w:rsid w:val="007B587E"/>
    <w:rsid w:val="007D0499"/>
    <w:rsid w:val="007F397D"/>
    <w:rsid w:val="00811CCA"/>
    <w:rsid w:val="00812AAC"/>
    <w:rsid w:val="00813719"/>
    <w:rsid w:val="0081655E"/>
    <w:rsid w:val="00837284"/>
    <w:rsid w:val="00863592"/>
    <w:rsid w:val="00866520"/>
    <w:rsid w:val="0089071C"/>
    <w:rsid w:val="00895FBB"/>
    <w:rsid w:val="008A3266"/>
    <w:rsid w:val="008B2D2A"/>
    <w:rsid w:val="008C619A"/>
    <w:rsid w:val="008D2EB8"/>
    <w:rsid w:val="008E2187"/>
    <w:rsid w:val="008F3355"/>
    <w:rsid w:val="008F4B5F"/>
    <w:rsid w:val="00921995"/>
    <w:rsid w:val="00980954"/>
    <w:rsid w:val="00992742"/>
    <w:rsid w:val="009A36F2"/>
    <w:rsid w:val="009A3B75"/>
    <w:rsid w:val="009C751B"/>
    <w:rsid w:val="00A06477"/>
    <w:rsid w:val="00A2397B"/>
    <w:rsid w:val="00A24782"/>
    <w:rsid w:val="00A3467A"/>
    <w:rsid w:val="00A42C92"/>
    <w:rsid w:val="00A65979"/>
    <w:rsid w:val="00A740FD"/>
    <w:rsid w:val="00A95CD9"/>
    <w:rsid w:val="00AC46D0"/>
    <w:rsid w:val="00AC4A2C"/>
    <w:rsid w:val="00AC5EB9"/>
    <w:rsid w:val="00AD05D3"/>
    <w:rsid w:val="00AD4C98"/>
    <w:rsid w:val="00B0421B"/>
    <w:rsid w:val="00B068E6"/>
    <w:rsid w:val="00B357D3"/>
    <w:rsid w:val="00B5134B"/>
    <w:rsid w:val="00B528BF"/>
    <w:rsid w:val="00B607D8"/>
    <w:rsid w:val="00B63CE8"/>
    <w:rsid w:val="00B768E1"/>
    <w:rsid w:val="00B818E3"/>
    <w:rsid w:val="00BB3884"/>
    <w:rsid w:val="00BE2677"/>
    <w:rsid w:val="00BF334B"/>
    <w:rsid w:val="00BF4F6F"/>
    <w:rsid w:val="00C00AA4"/>
    <w:rsid w:val="00C62707"/>
    <w:rsid w:val="00C64DE6"/>
    <w:rsid w:val="00C72EE1"/>
    <w:rsid w:val="00CA2A0D"/>
    <w:rsid w:val="00CB47FA"/>
    <w:rsid w:val="00CC3230"/>
    <w:rsid w:val="00CE52FC"/>
    <w:rsid w:val="00D26E4A"/>
    <w:rsid w:val="00D369A9"/>
    <w:rsid w:val="00D53459"/>
    <w:rsid w:val="00D5767E"/>
    <w:rsid w:val="00D74E20"/>
    <w:rsid w:val="00D97A61"/>
    <w:rsid w:val="00DA46A9"/>
    <w:rsid w:val="00DB414C"/>
    <w:rsid w:val="00DC0A8D"/>
    <w:rsid w:val="00DC7A21"/>
    <w:rsid w:val="00DD191A"/>
    <w:rsid w:val="00DF1BC1"/>
    <w:rsid w:val="00DF245C"/>
    <w:rsid w:val="00E341CB"/>
    <w:rsid w:val="00E54CB9"/>
    <w:rsid w:val="00E5544C"/>
    <w:rsid w:val="00E747E5"/>
    <w:rsid w:val="00E74E26"/>
    <w:rsid w:val="00E77302"/>
    <w:rsid w:val="00E8713D"/>
    <w:rsid w:val="00EB2735"/>
    <w:rsid w:val="00EB4321"/>
    <w:rsid w:val="00EB7DA2"/>
    <w:rsid w:val="00EC1757"/>
    <w:rsid w:val="00ED0CC2"/>
    <w:rsid w:val="00ED3815"/>
    <w:rsid w:val="00ED573C"/>
    <w:rsid w:val="00EE2852"/>
    <w:rsid w:val="00F12605"/>
    <w:rsid w:val="00F274A2"/>
    <w:rsid w:val="00F338C4"/>
    <w:rsid w:val="00F564E4"/>
    <w:rsid w:val="00F62107"/>
    <w:rsid w:val="00F80479"/>
    <w:rsid w:val="00F93296"/>
    <w:rsid w:val="00FA04C7"/>
    <w:rsid w:val="00FB401D"/>
    <w:rsid w:val="00FE45B0"/>
    <w:rsid w:val="00FE4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6582"/>
  <w15:chartTrackingRefBased/>
  <w15:docId w15:val="{4B90015F-FF7C-4156-877B-A3D46031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BA"/>
    <w:rPr>
      <w:sz w:val="24"/>
      <w:szCs w:val="24"/>
    </w:rPr>
  </w:style>
  <w:style w:type="paragraph" w:styleId="Ttulo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ootnotes refss,Appel note de bas de page,Fago Fußnotenzeichen,Footnote number,BVI fnr,f,4_G,16 Point,Superscript 6 Point,Ref. de nota al pie 2,Nota a pie,Ref,de nota al pie"/>
    <w:basedOn w:val="Normal"/>
    <w:link w:val="TextonotapieCar"/>
    <w:uiPriority w:val="99"/>
    <w:qFormat/>
    <w:rsid w:val="003029BA"/>
    <w:rPr>
      <w:sz w:val="20"/>
      <w:szCs w:val="20"/>
    </w:rPr>
  </w:style>
  <w:style w:type="character" w:styleId="Refdenotaalpie">
    <w:name w:val="footnote reference"/>
    <w:semiHidden/>
    <w:rsid w:val="003029BA"/>
    <w:rPr>
      <w:vertAlign w:val="superscript"/>
    </w:rPr>
  </w:style>
  <w:style w:type="paragraph" w:styleId="Textoindependiente">
    <w:name w:val="Body Text"/>
    <w:basedOn w:val="Normal"/>
    <w:rsid w:val="003029BA"/>
    <w:pPr>
      <w:autoSpaceDE w:val="0"/>
      <w:autoSpaceDN w:val="0"/>
      <w:adjustRightInd w:val="0"/>
      <w:jc w:val="both"/>
    </w:pPr>
    <w:rPr>
      <w:lang w:val="es-CO"/>
    </w:rPr>
  </w:style>
  <w:style w:type="paragraph" w:styleId="Puesto">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epgina">
    <w:name w:val="footer"/>
    <w:basedOn w:val="Normal"/>
    <w:rsid w:val="003029BA"/>
    <w:pPr>
      <w:tabs>
        <w:tab w:val="center" w:pos="4419"/>
        <w:tab w:val="right" w:pos="8838"/>
      </w:tabs>
    </w:pPr>
  </w:style>
  <w:style w:type="character" w:styleId="Nmerodepgina">
    <w:name w:val="page number"/>
    <w:basedOn w:val="Fuentedeprrafopredeter"/>
    <w:rsid w:val="003029BA"/>
  </w:style>
  <w:style w:type="character" w:customStyle="1" w:styleId="TextonotapieCar">
    <w:name w:val="Texto nota pie Car"/>
    <w:aliases w:val="Ref. de nota al pie1 Car1,Texto de nota al pie Car1,referencia nota al pie Car1,Footnotes refss Car1,Appel note de bas de page Car1,Fago Fußnotenzeichen Car1,Footnote number Car1,BVI fnr Car1,f Car1,4_G Car1,16 Point Car1,Ref Car1"/>
    <w:link w:val="Textonotapie"/>
    <w:rsid w:val="003029BA"/>
    <w:rPr>
      <w:lang w:val="es-ES" w:eastAsia="es-ES" w:bidi="ar-SA"/>
    </w:rPr>
  </w:style>
  <w:style w:type="paragraph" w:styleId="Textodeglobo">
    <w:name w:val="Balloon Text"/>
    <w:basedOn w:val="Normal"/>
    <w:semiHidden/>
    <w:rsid w:val="003029BA"/>
    <w:rPr>
      <w:rFonts w:ascii="Tahoma" w:hAnsi="Tahoma" w:cs="Tahoma"/>
      <w:sz w:val="16"/>
      <w:szCs w:val="16"/>
    </w:rPr>
  </w:style>
  <w:style w:type="paragraph" w:styleId="Prrafodelista">
    <w:name w:val="List Paragraph"/>
    <w:basedOn w:val="Normal"/>
    <w:uiPriority w:val="34"/>
    <w:qFormat/>
    <w:rsid w:val="00AC4A2C"/>
    <w:pPr>
      <w:ind w:left="720"/>
      <w:contextualSpacing/>
    </w:pPr>
  </w:style>
  <w:style w:type="paragraph" w:styleId="Sinespaciado">
    <w:name w:val="No Spacing"/>
    <w:link w:val="SinespaciadoCar"/>
    <w:uiPriority w:val="99"/>
    <w:qFormat/>
    <w:rsid w:val="00F274A2"/>
    <w:rPr>
      <w:sz w:val="24"/>
      <w:lang w:val="es-ES_tradnl"/>
    </w:rPr>
  </w:style>
  <w:style w:type="paragraph" w:customStyle="1" w:styleId="Textoindependiente31">
    <w:name w:val="Texto independiente 31"/>
    <w:basedOn w:val="Normal"/>
    <w:rsid w:val="00F274A2"/>
    <w:pPr>
      <w:spacing w:line="360" w:lineRule="auto"/>
      <w:jc w:val="both"/>
    </w:pPr>
    <w:rPr>
      <w:rFonts w:ascii="Arial" w:hAnsi="Arial"/>
      <w:szCs w:val="20"/>
      <w:lang w:val="es-ES_tradnl"/>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uiPriority w:val="99"/>
    <w:locked/>
    <w:rsid w:val="000F1CF7"/>
    <w:rPr>
      <w:rFonts w:ascii="Times New Roman" w:eastAsia="SimSun" w:hAnsi="Times New Roman" w:cs="Times New Roman"/>
      <w:sz w:val="20"/>
      <w:szCs w:val="20"/>
      <w:lang w:val="es-MX" w:eastAsia="es-ES"/>
    </w:rPr>
  </w:style>
  <w:style w:type="character" w:customStyle="1" w:styleId="SinespaciadoCar">
    <w:name w:val="Sin espaciado Car"/>
    <w:link w:val="Sinespaciado"/>
    <w:uiPriority w:val="99"/>
    <w:locked/>
    <w:rsid w:val="000F1CF7"/>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99B2-0CE4-44FF-A9A9-3083AB0B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Ana Lucia Caicedo Calderon</cp:lastModifiedBy>
  <cp:revision>2</cp:revision>
  <cp:lastPrinted>2016-09-14T14:33:00Z</cp:lastPrinted>
  <dcterms:created xsi:type="dcterms:W3CDTF">2016-09-14T14:34:00Z</dcterms:created>
  <dcterms:modified xsi:type="dcterms:W3CDTF">2016-09-14T14:34:00Z</dcterms:modified>
</cp:coreProperties>
</file>