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FF0A79">
        <w:rPr>
          <w:rFonts w:ascii="Tahoma" w:hAnsi="Tahoma" w:cs="Tahoma"/>
          <w:b w:val="0"/>
          <w:sz w:val="18"/>
          <w:szCs w:val="18"/>
        </w:rPr>
        <w:t xml:space="preserve">Providencia: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FF0A79">
        <w:rPr>
          <w:rFonts w:ascii="Tahoma" w:hAnsi="Tahoma" w:cs="Tahoma"/>
          <w:b w:val="0"/>
          <w:sz w:val="18"/>
          <w:szCs w:val="18"/>
        </w:rPr>
        <w:t>20</w:t>
      </w:r>
      <w:r w:rsidRPr="00FF0A79">
        <w:rPr>
          <w:rFonts w:ascii="Tahoma" w:hAnsi="Tahoma" w:cs="Tahoma"/>
          <w:b w:val="0"/>
          <w:sz w:val="18"/>
          <w:szCs w:val="18"/>
        </w:rPr>
        <w:t xml:space="preserve"> de </w:t>
      </w:r>
      <w:r w:rsidR="00FF0A79">
        <w:rPr>
          <w:rFonts w:ascii="Tahoma" w:hAnsi="Tahoma" w:cs="Tahoma"/>
          <w:b w:val="0"/>
          <w:sz w:val="18"/>
          <w:szCs w:val="18"/>
        </w:rPr>
        <w:t>septiembre</w:t>
      </w:r>
      <w:r w:rsidR="002E6083" w:rsidRPr="00FF0A79">
        <w:rPr>
          <w:rFonts w:ascii="Tahoma" w:hAnsi="Tahoma" w:cs="Tahoma"/>
          <w:b w:val="0"/>
          <w:sz w:val="18"/>
          <w:szCs w:val="18"/>
        </w:rPr>
        <w:t xml:space="preserve"> </w:t>
      </w:r>
      <w:r w:rsidRPr="00FF0A79">
        <w:rPr>
          <w:rFonts w:ascii="Tahoma" w:hAnsi="Tahoma" w:cs="Tahoma"/>
          <w:b w:val="0"/>
          <w:sz w:val="18"/>
          <w:szCs w:val="18"/>
        </w:rPr>
        <w:t>de 2016</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Radicación No. :</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FF0A79">
        <w:rPr>
          <w:rFonts w:ascii="Tahoma" w:hAnsi="Tahoma" w:cs="Tahoma"/>
          <w:b w:val="0"/>
          <w:sz w:val="18"/>
          <w:szCs w:val="18"/>
        </w:rPr>
        <w:t>2</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FF0A79">
        <w:rPr>
          <w:rFonts w:ascii="Tahoma" w:hAnsi="Tahoma" w:cs="Tahoma"/>
          <w:b w:val="0"/>
          <w:sz w:val="18"/>
          <w:szCs w:val="18"/>
        </w:rPr>
        <w:t>049</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 xml:space="preserve">Proceso: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Demandante</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Germán de Jesús Ospina Granada</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FF0A79">
        <w:rPr>
          <w:rFonts w:ascii="Tahoma" w:hAnsi="Tahoma" w:cs="Tahoma"/>
          <w:b w:val="0"/>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Magistrado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FF0A79">
        <w:rPr>
          <w:rFonts w:ascii="Tahoma" w:hAnsi="Tahoma" w:cs="Tahoma"/>
          <w:b w:val="0"/>
          <w:sz w:val="18"/>
          <w:szCs w:val="18"/>
        </w:rPr>
        <w:t>Magistrada que salva voto:</w:t>
      </w:r>
      <w:r w:rsidRPr="00FF0A79">
        <w:rPr>
          <w:rFonts w:ascii="Tahoma" w:hAnsi="Tahoma" w:cs="Tahoma"/>
          <w:b w:val="0"/>
          <w:sz w:val="18"/>
          <w:szCs w:val="18"/>
        </w:rPr>
        <w:tab/>
        <w:t>Dra. Ana Lucia Caicedo Calderón</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FF0A79">
        <w:rPr>
          <w:rFonts w:ascii="Tahoma" w:hAnsi="Tahoma" w:cs="Tahoma"/>
          <w:b w:val="0"/>
          <w:sz w:val="18"/>
          <w:szCs w:val="18"/>
        </w:rPr>
        <w:t>Tema</w:t>
      </w:r>
      <w:r w:rsidRPr="00FF0A79">
        <w:rPr>
          <w:rFonts w:ascii="Tahoma" w:hAnsi="Tahoma" w:cs="Tahoma"/>
          <w:sz w:val="18"/>
          <w:szCs w:val="18"/>
        </w:rPr>
        <w:t xml:space="preserve">: </w:t>
      </w:r>
      <w:r w:rsidRPr="00FF0A79">
        <w:rPr>
          <w:rFonts w:ascii="Tahoma" w:hAnsi="Tahoma" w:cs="Tahoma"/>
          <w:sz w:val="18"/>
          <w:szCs w:val="18"/>
        </w:rPr>
        <w:tab/>
      </w:r>
      <w:r w:rsidRPr="00FF0A79">
        <w:rPr>
          <w:rFonts w:ascii="Tahoma" w:hAnsi="Tahoma" w:cs="Tahoma"/>
          <w:sz w:val="18"/>
          <w:szCs w:val="18"/>
          <w:u w:val="single"/>
        </w:rPr>
        <w:t>INTERPRETACIÓN MÁS FAVORABLE RESPECTO A LA APLICACIÓN DEL PRINCIPIO DE LA CONDICIÓN MÁS BENEFICIOSA</w:t>
      </w:r>
      <w:r w:rsidRPr="00FF0A79">
        <w:rPr>
          <w:rFonts w:ascii="Tahoma" w:hAnsi="Tahoma" w:cs="Tahoma"/>
          <w:b w:val="0"/>
          <w:sz w:val="18"/>
          <w:szCs w:val="18"/>
        </w:rPr>
        <w:t>:</w:t>
      </w:r>
      <w:r w:rsidRPr="00FF0A79">
        <w:rPr>
          <w:rFonts w:ascii="Tahoma" w:hAnsi="Tahoma" w:cs="Tahoma"/>
          <w:sz w:val="18"/>
          <w:szCs w:val="18"/>
        </w:rPr>
        <w:t xml:space="preserve"> </w:t>
      </w:r>
      <w:r w:rsidRPr="00FF0A79">
        <w:rPr>
          <w:rFonts w:ascii="Tahoma" w:hAnsi="Tahoma" w:cs="Tahoma"/>
          <w:b w:val="0"/>
          <w:sz w:val="18"/>
          <w:szCs w:val="18"/>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FF0A79">
        <w:rPr>
          <w:rFonts w:ascii="Tahoma" w:hAnsi="Tahoma" w:cs="Tahoma"/>
          <w:b w:val="0"/>
          <w:spacing w:val="-2"/>
          <w:sz w:val="18"/>
          <w:szCs w:val="18"/>
        </w:rPr>
        <w:t>el artículo 53 de la Constitución no restringe la aplicación de la condición más beneficiosa a sólo 2 normas aplicables al caso. Así lo estipuló en la sentencia T-566 de 2014 (…)</w:t>
      </w:r>
    </w:p>
    <w:p w:rsidR="008F2D96" w:rsidRPr="00FF0A79" w:rsidRDefault="008F2D96" w:rsidP="008F2D96">
      <w:pPr>
        <w:pStyle w:val="Textoindependiente"/>
        <w:ind w:left="2805"/>
        <w:rPr>
          <w:rFonts w:ascii="Tahoma" w:hAnsi="Tahoma" w:cs="Tahoma"/>
          <w:sz w:val="18"/>
          <w:szCs w:val="18"/>
          <w:lang w:val="es-ES"/>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Tal como lo han sostenido las Salas Laborales de Decisión No. 1 y 3 de esta Corporación en asuntos similares al que se analiza –</w:t>
      </w:r>
      <w:r w:rsidRPr="00FF0A79">
        <w:rPr>
          <w:rFonts w:ascii="Tahoma" w:hAnsi="Tahoma" w:cs="Tahoma"/>
          <w:i/>
          <w:sz w:val="18"/>
          <w:szCs w:val="18"/>
        </w:rPr>
        <w:t>en las cuales se acoge por sus mayorías la tesis de la Corte Constitucional-</w:t>
      </w:r>
      <w:r w:rsidRPr="00FF0A79">
        <w:rPr>
          <w:rFonts w:ascii="Tahoma" w:hAnsi="Tahoma" w:cs="Tahoma"/>
          <w:sz w:val="18"/>
          <w:szCs w:val="18"/>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FF0A79" w:rsidRDefault="008F2D96" w:rsidP="008F2D96">
      <w:pPr>
        <w:pStyle w:val="Textoindependiente31"/>
        <w:spacing w:line="240" w:lineRule="auto"/>
        <w:ind w:left="2805" w:firstLine="851"/>
        <w:rPr>
          <w:rFonts w:ascii="Tahoma" w:hAnsi="Tahoma" w:cs="Tahoma"/>
          <w:sz w:val="18"/>
          <w:szCs w:val="18"/>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FF0A79" w:rsidRDefault="008F2D96" w:rsidP="008F2D96">
      <w:pPr>
        <w:pStyle w:val="Textoindependiente31"/>
        <w:spacing w:line="240" w:lineRule="auto"/>
        <w:ind w:left="2124" w:firstLine="851"/>
        <w:rPr>
          <w:rFonts w:ascii="Tahoma" w:hAnsi="Tahoma" w:cs="Tahoma"/>
          <w:sz w:val="18"/>
          <w:szCs w:val="18"/>
        </w:rPr>
      </w:pPr>
    </w:p>
    <w:p w:rsidR="008F2D96" w:rsidRPr="00FF0A79" w:rsidRDefault="008F2D96" w:rsidP="008F2D96">
      <w:pPr>
        <w:pStyle w:val="Textoindependiente31"/>
        <w:spacing w:line="240" w:lineRule="auto"/>
        <w:ind w:left="2832"/>
        <w:rPr>
          <w:rFonts w:ascii="Tahoma" w:hAnsi="Tahoma" w:cs="Tahoma"/>
          <w:sz w:val="18"/>
          <w:szCs w:val="18"/>
        </w:rPr>
      </w:pPr>
      <w:r w:rsidRPr="00FF0A79">
        <w:rPr>
          <w:rFonts w:ascii="Tahoma" w:hAnsi="Tahoma" w:cs="Tahoma"/>
          <w:sz w:val="18"/>
          <w:szCs w:val="18"/>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FF0A79" w:rsidRDefault="008F2D96" w:rsidP="008F2D96">
      <w:pPr>
        <w:ind w:firstLine="708"/>
        <w:jc w:val="both"/>
        <w:rPr>
          <w:rFonts w:ascii="Tahoma" w:hAnsi="Tahoma" w:cs="Tahoma"/>
          <w:spacing w:val="-2"/>
          <w:sz w:val="18"/>
          <w:szCs w:val="18"/>
        </w:rPr>
      </w:pPr>
    </w:p>
    <w:p w:rsidR="008F2D96" w:rsidRPr="00FF0A79" w:rsidRDefault="008F2D96" w:rsidP="008F2D96">
      <w:pPr>
        <w:pStyle w:val="Prrafodelista"/>
        <w:ind w:left="2844"/>
        <w:jc w:val="both"/>
        <w:rPr>
          <w:rFonts w:ascii="Tahoma" w:hAnsi="Tahoma" w:cs="Tahoma"/>
          <w:spacing w:val="-2"/>
          <w:sz w:val="18"/>
          <w:szCs w:val="18"/>
        </w:rPr>
      </w:pPr>
      <w:r w:rsidRPr="00FF0A79">
        <w:rPr>
          <w:rFonts w:ascii="Tahoma" w:hAnsi="Tahoma" w:cs="Tahoma"/>
          <w:b/>
          <w:sz w:val="18"/>
          <w:szCs w:val="18"/>
          <w:u w:val="single"/>
        </w:rPr>
        <w:t>VIOLACIÓN DEL DERECHO A LA IGUALDAD DE LA PARTE DEMANDANTE</w:t>
      </w:r>
      <w:r w:rsidRPr="00FF0A79">
        <w:rPr>
          <w:rFonts w:ascii="Tahoma" w:hAnsi="Tahoma" w:cs="Tahoma"/>
          <w:b/>
          <w:sz w:val="18"/>
          <w:szCs w:val="18"/>
        </w:rPr>
        <w:t xml:space="preserve">: </w:t>
      </w:r>
      <w:r w:rsidRPr="00FF0A79">
        <w:rPr>
          <w:rFonts w:ascii="Tahoma" w:hAnsi="Tahoma" w:cs="Tahoma"/>
          <w:sz w:val="18"/>
          <w:szCs w:val="18"/>
        </w:rPr>
        <w:t>Debemos empezar por iterar que el derecho a la seguridad social en pensiones e</w:t>
      </w:r>
      <w:r w:rsidR="002E6083" w:rsidRPr="00FF0A79">
        <w:rPr>
          <w:rFonts w:ascii="Tahoma" w:hAnsi="Tahoma" w:cs="Tahoma"/>
          <w:sz w:val="18"/>
          <w:szCs w:val="18"/>
        </w:rPr>
        <w:t>s</w:t>
      </w:r>
      <w:r w:rsidRPr="00FF0A79">
        <w:rPr>
          <w:rFonts w:ascii="Tahoma" w:hAnsi="Tahoma" w:cs="Tahoma"/>
          <w:sz w:val="18"/>
          <w:szCs w:val="18"/>
        </w:rPr>
        <w:t xml:space="preserve"> un </w:t>
      </w:r>
      <w:r w:rsidRPr="00FF0A79">
        <w:rPr>
          <w:rFonts w:ascii="Tahoma" w:hAnsi="Tahoma" w:cs="Tahoma"/>
          <w:b/>
          <w:sz w:val="18"/>
          <w:szCs w:val="18"/>
        </w:rPr>
        <w:t xml:space="preserve">derecho fundamental </w:t>
      </w:r>
      <w:r w:rsidRPr="00FF0A79">
        <w:rPr>
          <w:rFonts w:ascii="Tahoma" w:hAnsi="Tahoma" w:cs="Tahoma"/>
          <w:sz w:val="18"/>
          <w:szCs w:val="18"/>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FF0A79" w:rsidRDefault="008F2D96" w:rsidP="008F2D96">
      <w:pPr>
        <w:pStyle w:val="Prrafodelista"/>
        <w:ind w:left="2844"/>
        <w:jc w:val="both"/>
        <w:rPr>
          <w:rFonts w:ascii="Tahoma" w:hAnsi="Tahoma" w:cs="Tahoma"/>
          <w:b/>
          <w:sz w:val="18"/>
          <w:szCs w:val="18"/>
        </w:rPr>
      </w:pPr>
    </w:p>
    <w:p w:rsidR="008F2D96" w:rsidRPr="00FF0A79" w:rsidRDefault="008F2D96" w:rsidP="008F2D96">
      <w:pPr>
        <w:pStyle w:val="Prrafodelista"/>
        <w:ind w:left="2844"/>
        <w:jc w:val="both"/>
        <w:rPr>
          <w:rFonts w:ascii="Tahoma" w:hAnsi="Tahoma" w:cs="Tahoma"/>
          <w:sz w:val="18"/>
          <w:szCs w:val="18"/>
        </w:rPr>
      </w:pPr>
      <w:r w:rsidRPr="00FF0A79">
        <w:rPr>
          <w:rFonts w:ascii="Tahoma" w:hAnsi="Tahoma" w:cs="Tahoma"/>
          <w:sz w:val="18"/>
          <w:szCs w:val="18"/>
        </w:rPr>
        <w:t xml:space="preserve">Por esa razón y por todo lo explicado líneas atrás,  antes de la integración del cuarto Magistrado a la Sala Laboral de este Tribunal </w:t>
      </w:r>
      <w:r w:rsidRPr="00FF0A79">
        <w:rPr>
          <w:rFonts w:ascii="Tahoma" w:hAnsi="Tahoma" w:cs="Tahoma"/>
          <w:i/>
          <w:sz w:val="18"/>
          <w:szCs w:val="18"/>
        </w:rPr>
        <w:t xml:space="preserve">–situación que ocurrió a partir del 1º de febrero de este año- </w:t>
      </w:r>
      <w:r w:rsidRPr="00FF0A79">
        <w:rPr>
          <w:rFonts w:ascii="Tahoma" w:hAnsi="Tahoma" w:cs="Tahoma"/>
          <w:sz w:val="18"/>
          <w:szCs w:val="18"/>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FF0A79">
        <w:rPr>
          <w:rFonts w:ascii="Tahoma" w:hAnsi="Tahoma" w:cs="Tahoma"/>
          <w:i/>
          <w:sz w:val="18"/>
          <w:szCs w:val="18"/>
        </w:rPr>
        <w:softHyphen/>
        <w:t>–en este caso la Sala de Decisión No. 4- se</w:t>
      </w:r>
      <w:r w:rsidRPr="00FF0A79">
        <w:rPr>
          <w:rFonts w:ascii="Tahoma" w:hAnsi="Tahoma" w:cs="Tahoma"/>
          <w:sz w:val="18"/>
          <w:szCs w:val="18"/>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8F2D96" w:rsidRPr="00FF0A79" w:rsidRDefault="008F2D96" w:rsidP="008F2D96">
      <w:pPr>
        <w:pStyle w:val="Prrafodelista"/>
        <w:ind w:left="2844" w:firstLine="696"/>
        <w:jc w:val="both"/>
        <w:rPr>
          <w:rFonts w:ascii="Tahoma" w:hAnsi="Tahoma" w:cs="Tahoma"/>
          <w:sz w:val="18"/>
          <w:szCs w:val="18"/>
        </w:rPr>
      </w:pPr>
    </w:p>
    <w:p w:rsidR="008F2D96" w:rsidRPr="00FF0A79" w:rsidRDefault="008F2D96" w:rsidP="008F2D96">
      <w:pPr>
        <w:pStyle w:val="Prrafodelista"/>
        <w:ind w:left="2844"/>
        <w:jc w:val="both"/>
        <w:rPr>
          <w:rFonts w:ascii="Tahoma" w:hAnsi="Tahoma" w:cs="Tahoma"/>
          <w:spacing w:val="-2"/>
          <w:sz w:val="18"/>
          <w:szCs w:val="18"/>
        </w:rPr>
      </w:pPr>
      <w:r w:rsidRPr="00FF0A79">
        <w:rPr>
          <w:rFonts w:ascii="Tahoma" w:hAnsi="Tahoma" w:cs="Tahoma"/>
          <w:sz w:val="18"/>
          <w:szCs w:val="18"/>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FF0A79" w:rsidRDefault="00FF0A79" w:rsidP="008F2D96">
      <w:pPr>
        <w:rPr>
          <w:lang w:val="es-CO" w:eastAsia="es-MX"/>
        </w:rPr>
      </w:pPr>
    </w:p>
    <w:p w:rsidR="00FF0A79" w:rsidRPr="00C76801" w:rsidRDefault="00FF0A79" w:rsidP="008F2D96">
      <w:pPr>
        <w:rPr>
          <w:lang w:val="es-CO" w:eastAsia="es-MX"/>
        </w:rPr>
      </w:pPr>
    </w:p>
    <w:p w:rsidR="008F2D96" w:rsidRPr="00C76801" w:rsidRDefault="008F2D96" w:rsidP="008F2D96">
      <w:pPr>
        <w:pStyle w:val="Ttulo1"/>
        <w:widowControl/>
        <w:autoSpaceDE/>
        <w:autoSpaceDN/>
        <w:adjustRightInd/>
        <w:spacing w:line="276" w:lineRule="auto"/>
        <w:rPr>
          <w:rFonts w:ascii="Tahoma" w:hAnsi="Tahoma" w:cs="Tahoma"/>
          <w:bCs/>
          <w:u w:val="single"/>
        </w:rPr>
      </w:pPr>
      <w:r>
        <w:rPr>
          <w:rFonts w:ascii="Tahoma" w:hAnsi="Tahoma" w:cs="Tahoma"/>
          <w:bCs/>
          <w:u w:val="single"/>
        </w:rPr>
        <w:t>SALVAMENTO</w:t>
      </w:r>
      <w:r w:rsidRPr="00C76801">
        <w:rPr>
          <w:rFonts w:ascii="Tahoma" w:hAnsi="Tahoma" w:cs="Tahoma"/>
          <w:bCs/>
          <w:u w:val="single"/>
        </w:rPr>
        <w:t xml:space="preserve"> DE VOTO</w:t>
      </w:r>
    </w:p>
    <w:p w:rsidR="008F2D96" w:rsidRPr="00C76801" w:rsidRDefault="008F2D96" w:rsidP="008F2D96">
      <w:pPr>
        <w:spacing w:line="276" w:lineRule="auto"/>
        <w:jc w:val="both"/>
        <w:rPr>
          <w:rFonts w:ascii="Tahoma" w:hAnsi="Tahoma" w:cs="Tahoma"/>
          <w:b/>
          <w:bCs/>
          <w:sz w:val="28"/>
        </w:rPr>
      </w:pPr>
    </w:p>
    <w:p w:rsidR="008F2D96" w:rsidRDefault="008F2D96" w:rsidP="008B4BD9">
      <w:pPr>
        <w:spacing w:line="276" w:lineRule="auto"/>
        <w:ind w:firstLine="851"/>
        <w:jc w:val="both"/>
        <w:rPr>
          <w:rFonts w:ascii="Tahoma" w:hAnsi="Tahoma" w:cs="Tahoma"/>
          <w:sz w:val="22"/>
          <w:szCs w:val="22"/>
        </w:rPr>
      </w:pPr>
      <w:r w:rsidRPr="00F81906">
        <w:rPr>
          <w:rFonts w:ascii="Tahoma" w:hAnsi="Tahoma" w:cs="Tahoma"/>
          <w:sz w:val="22"/>
          <w:szCs w:val="22"/>
        </w:rPr>
        <w:t xml:space="preserve">Con mi acostumbrado respeto, manifiesto mi inconformidad frente </w:t>
      </w:r>
      <w:r>
        <w:rPr>
          <w:rFonts w:ascii="Tahoma" w:hAnsi="Tahoma" w:cs="Tahoma"/>
          <w:sz w:val="22"/>
          <w:szCs w:val="22"/>
        </w:rPr>
        <w:t xml:space="preserve">a la sentencia </w:t>
      </w:r>
      <w:r w:rsidRPr="00F81906">
        <w:rPr>
          <w:rFonts w:ascii="Tahoma" w:hAnsi="Tahoma" w:cs="Tahoma"/>
          <w:sz w:val="22"/>
          <w:szCs w:val="22"/>
        </w:rPr>
        <w:t xml:space="preserve">mayoritaria, </w:t>
      </w:r>
      <w:r>
        <w:rPr>
          <w:rFonts w:ascii="Tahoma" w:hAnsi="Tahoma" w:cs="Tahoma"/>
          <w:sz w:val="22"/>
          <w:szCs w:val="22"/>
        </w:rPr>
        <w:t xml:space="preserve">por cuanto </w:t>
      </w:r>
      <w:r w:rsidRPr="00F81906">
        <w:rPr>
          <w:rFonts w:ascii="Tahoma" w:hAnsi="Tahoma" w:cs="Tahoma"/>
          <w:sz w:val="22"/>
          <w:szCs w:val="22"/>
        </w:rPr>
        <w:t xml:space="preserve">considero que en el presente caso </w:t>
      </w:r>
      <w:r>
        <w:rPr>
          <w:rFonts w:ascii="Tahoma" w:hAnsi="Tahoma" w:cs="Tahoma"/>
          <w:sz w:val="22"/>
          <w:szCs w:val="22"/>
        </w:rPr>
        <w:t>h</w:t>
      </w:r>
      <w:r w:rsidRPr="00F81906">
        <w:rPr>
          <w:rFonts w:ascii="Tahoma" w:hAnsi="Tahoma" w:cs="Tahoma"/>
          <w:sz w:val="22"/>
          <w:szCs w:val="22"/>
        </w:rPr>
        <w:t xml:space="preserve">abía lugar a </w:t>
      </w:r>
      <w:r>
        <w:rPr>
          <w:rFonts w:ascii="Tahoma" w:hAnsi="Tahoma" w:cs="Tahoma"/>
          <w:sz w:val="22"/>
          <w:szCs w:val="22"/>
        </w:rPr>
        <w:t>aplicar el principio de condición más beneficiosa a efectos de conceder la pensión de invalidez deprecada en la demanda</w:t>
      </w:r>
      <w:r w:rsidRPr="00F81906">
        <w:rPr>
          <w:rFonts w:ascii="Tahoma" w:hAnsi="Tahoma" w:cs="Tahoma"/>
          <w:sz w:val="22"/>
          <w:szCs w:val="22"/>
        </w:rPr>
        <w:t xml:space="preserve"> </w:t>
      </w:r>
      <w:r>
        <w:rPr>
          <w:rFonts w:ascii="Tahoma" w:hAnsi="Tahoma" w:cs="Tahoma"/>
          <w:sz w:val="22"/>
          <w:szCs w:val="22"/>
        </w:rPr>
        <w:t>por las siguientes razones</w:t>
      </w:r>
      <w:r w:rsidRPr="00F81906">
        <w:rPr>
          <w:rFonts w:ascii="Tahoma" w:hAnsi="Tahoma" w:cs="Tahoma"/>
          <w:sz w:val="22"/>
          <w:szCs w:val="22"/>
        </w:rPr>
        <w:t xml:space="preserve">: </w:t>
      </w:r>
    </w:p>
    <w:p w:rsidR="008F2D96" w:rsidRPr="00A22CC1" w:rsidRDefault="008F2D96" w:rsidP="008B4BD9">
      <w:pPr>
        <w:pStyle w:val="Prrafodelista"/>
        <w:numPr>
          <w:ilvl w:val="0"/>
          <w:numId w:val="1"/>
        </w:numPr>
        <w:tabs>
          <w:tab w:val="left" w:pos="993"/>
        </w:tabs>
        <w:spacing w:line="276" w:lineRule="auto"/>
        <w:jc w:val="both"/>
        <w:rPr>
          <w:rFonts w:ascii="Tahoma" w:hAnsi="Tahoma" w:cs="Tahoma"/>
          <w:spacing w:val="-2"/>
          <w:sz w:val="22"/>
          <w:szCs w:val="22"/>
        </w:rPr>
      </w:pPr>
      <w:r w:rsidRPr="00A22CC1">
        <w:rPr>
          <w:rFonts w:ascii="Tahoma" w:hAnsi="Tahoma" w:cs="Tahoma"/>
          <w:b/>
          <w:sz w:val="22"/>
          <w:szCs w:val="22"/>
        </w:rPr>
        <w:lastRenderedPageBreak/>
        <w:t xml:space="preserve">Interpretación más favorable respecto a la aplicación del principio de la condición más beneficiosa: </w:t>
      </w:r>
      <w:r w:rsidRPr="00A22CC1">
        <w:rPr>
          <w:rFonts w:ascii="Tahoma" w:hAnsi="Tahoma" w:cs="Tahoma"/>
          <w:sz w:val="22"/>
          <w:szCs w:val="22"/>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A22CC1">
        <w:rPr>
          <w:rFonts w:ascii="Tahoma" w:hAnsi="Tahoma" w:cs="Tahoma"/>
          <w:spacing w:val="-2"/>
          <w:sz w:val="22"/>
          <w:szCs w:val="22"/>
        </w:rPr>
        <w:t>el artículo 53 de la Constitución no restringe la aplicación de la condición más beneficiosa a sólo 2 normas aplicables al caso. Así lo estipuló en la sentencia T-566 de 2014:</w:t>
      </w:r>
    </w:p>
    <w:p w:rsidR="008F2D96" w:rsidRPr="0083571A" w:rsidRDefault="008F2D96" w:rsidP="008B4BD9">
      <w:pPr>
        <w:spacing w:line="276" w:lineRule="auto"/>
        <w:ind w:firstLine="708"/>
        <w:jc w:val="both"/>
        <w:rPr>
          <w:rFonts w:ascii="Tahoma" w:hAnsi="Tahoma" w:cs="Tahoma"/>
          <w:spacing w:val="-2"/>
          <w:sz w:val="22"/>
          <w:szCs w:val="22"/>
        </w:rPr>
      </w:pPr>
    </w:p>
    <w:p w:rsidR="008F2D96" w:rsidRPr="0083571A" w:rsidRDefault="008F2D96" w:rsidP="008B4BD9">
      <w:pPr>
        <w:overflowPunct w:val="0"/>
        <w:autoSpaceDE w:val="0"/>
        <w:autoSpaceDN w:val="0"/>
        <w:adjustRightInd w:val="0"/>
        <w:ind w:left="708"/>
        <w:jc w:val="both"/>
        <w:textAlignment w:val="baseline"/>
        <w:rPr>
          <w:rFonts w:ascii="Arial Narrow" w:eastAsia="MS Mincho" w:hAnsi="Arial Narrow"/>
          <w:i/>
          <w:sz w:val="22"/>
          <w:szCs w:val="22"/>
          <w:lang w:val="es-CO"/>
        </w:rPr>
      </w:pPr>
      <w:r w:rsidRPr="0083571A">
        <w:rPr>
          <w:rFonts w:ascii="Arial Narrow" w:eastAsia="MS Mincho" w:hAnsi="Arial Narrow"/>
          <w:i/>
          <w:sz w:val="22"/>
          <w:szCs w:val="22"/>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8F2D96" w:rsidRPr="0083571A" w:rsidRDefault="008F2D96" w:rsidP="008B4BD9">
      <w:pPr>
        <w:overflowPunct w:val="0"/>
        <w:autoSpaceDE w:val="0"/>
        <w:autoSpaceDN w:val="0"/>
        <w:adjustRightInd w:val="0"/>
        <w:ind w:left="708"/>
        <w:jc w:val="both"/>
        <w:textAlignment w:val="baseline"/>
        <w:rPr>
          <w:rFonts w:ascii="Arial Narrow" w:eastAsia="MS Mincho" w:hAnsi="Arial Narrow"/>
          <w:i/>
          <w:sz w:val="22"/>
          <w:szCs w:val="22"/>
          <w:lang w:val="es-CO"/>
        </w:rPr>
      </w:pPr>
    </w:p>
    <w:p w:rsidR="008F2D96" w:rsidRPr="0083571A" w:rsidRDefault="008F2D96" w:rsidP="008B4BD9">
      <w:pPr>
        <w:ind w:left="709"/>
        <w:jc w:val="both"/>
        <w:rPr>
          <w:rFonts w:ascii="Arial Narrow" w:eastAsia="MS Mincho" w:hAnsi="Arial Narrow"/>
          <w:b/>
          <w:sz w:val="22"/>
          <w:szCs w:val="22"/>
          <w:lang w:val="es-CO"/>
        </w:rPr>
      </w:pPr>
      <w:r w:rsidRPr="0083571A">
        <w:rPr>
          <w:rFonts w:ascii="Arial Narrow" w:eastAsia="MS Mincho" w:hAnsi="Arial Narrow"/>
          <w:b/>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r w:rsidRPr="0083571A">
        <w:rPr>
          <w:rFonts w:ascii="Arial Narrow" w:eastAsia="MS Mincho" w:hAnsi="Arial Narrow"/>
          <w:i/>
          <w:sz w:val="22"/>
          <w:szCs w:val="22"/>
          <w:lang w:val="es-CO"/>
        </w:rPr>
        <w:t xml:space="preserve"> </w:t>
      </w:r>
      <w:r w:rsidRPr="0083571A">
        <w:rPr>
          <w:rFonts w:ascii="Arial Narrow" w:eastAsia="MS Mincho" w:hAnsi="Arial Narrow"/>
          <w:sz w:val="22"/>
          <w:szCs w:val="22"/>
          <w:lang w:val="es-CO"/>
        </w:rPr>
        <w:t>(Negrilla fuera de texto)</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spacing w:line="276" w:lineRule="auto"/>
        <w:jc w:val="both"/>
        <w:rPr>
          <w:rFonts w:ascii="Tahoma" w:hAnsi="Tahoma" w:cs="Tahoma"/>
          <w:spacing w:val="-2"/>
          <w:sz w:val="22"/>
          <w:szCs w:val="22"/>
        </w:rPr>
      </w:pPr>
      <w:r w:rsidRPr="0083571A">
        <w:rPr>
          <w:rFonts w:ascii="Tahoma" w:hAnsi="Tahoma" w:cs="Tahoma"/>
          <w:spacing w:val="-2"/>
          <w:sz w:val="22"/>
          <w:szCs w:val="22"/>
        </w:rPr>
        <w:tab/>
        <w:t>Más adelante expresó:</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shd w:val="clear" w:color="auto" w:fill="FFFFFF"/>
        <w:tabs>
          <w:tab w:val="left" w:pos="8789"/>
        </w:tabs>
        <w:ind w:left="708" w:right="51"/>
        <w:jc w:val="both"/>
        <w:rPr>
          <w:rFonts w:ascii="Arial Narrow" w:hAnsi="Arial Narrow"/>
          <w:iCs/>
          <w:color w:val="000000"/>
          <w:sz w:val="22"/>
          <w:szCs w:val="22"/>
        </w:rPr>
      </w:pPr>
      <w:r w:rsidRPr="0083571A">
        <w:rPr>
          <w:rFonts w:ascii="Arial Narrow" w:hAnsi="Arial Narrow"/>
          <w:i/>
          <w:iCs/>
          <w:color w:val="000000"/>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83571A">
        <w:rPr>
          <w:rFonts w:ascii="Arial Narrow" w:hAnsi="Arial Narrow"/>
          <w:i/>
          <w:iCs/>
          <w:color w:val="000000"/>
          <w:sz w:val="22"/>
          <w:szCs w:val="22"/>
        </w:rPr>
        <w:t>aún</w:t>
      </w:r>
      <w:proofErr w:type="spellEnd"/>
      <w:r w:rsidRPr="0083571A">
        <w:rPr>
          <w:rFonts w:ascii="Arial Narrow" w:hAnsi="Arial Narrow"/>
          <w:i/>
          <w:iCs/>
          <w:color w:val="000000"/>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w:t>
      </w:r>
      <w:r w:rsidRPr="0083571A">
        <w:rPr>
          <w:rFonts w:ascii="Arial Narrow" w:hAnsi="Arial Narrow"/>
          <w:b/>
          <w:i/>
          <w:iCs/>
          <w:color w:val="000000"/>
          <w:sz w:val="22"/>
          <w:szCs w:val="22"/>
        </w:rPr>
        <w:t xml:space="preserve">en razón a que esta última tesis es la que ha acogido la jurisprudencia constitucional y, en efecto, es la que más garantiza los derechos fundamentales a la seguridad social y al mínimo de los ciudadanos, la Sala optará por aplicarla.” </w:t>
      </w:r>
      <w:r w:rsidRPr="0083571A">
        <w:rPr>
          <w:rFonts w:ascii="Arial Narrow" w:hAnsi="Arial Narrow"/>
          <w:iCs/>
          <w:color w:val="000000"/>
          <w:sz w:val="22"/>
          <w:szCs w:val="22"/>
        </w:rPr>
        <w:t>(Negrilla fuera de texto)</w:t>
      </w:r>
    </w:p>
    <w:p w:rsidR="008F2D96" w:rsidRPr="0083571A" w:rsidRDefault="008F2D96" w:rsidP="008B4BD9">
      <w:pPr>
        <w:spacing w:line="276" w:lineRule="auto"/>
        <w:jc w:val="both"/>
        <w:rPr>
          <w:rFonts w:ascii="Tahoma" w:hAnsi="Tahoma" w:cs="Tahoma"/>
          <w:spacing w:val="-2"/>
          <w:sz w:val="22"/>
          <w:szCs w:val="22"/>
        </w:rPr>
      </w:pPr>
    </w:p>
    <w:p w:rsidR="008F2D96" w:rsidRPr="0083571A" w:rsidRDefault="008F2D96" w:rsidP="008B4BD9">
      <w:pPr>
        <w:widowControl w:val="0"/>
        <w:autoSpaceDE w:val="0"/>
        <w:autoSpaceDN w:val="0"/>
        <w:adjustRightInd w:val="0"/>
        <w:spacing w:line="276" w:lineRule="auto"/>
        <w:ind w:left="708"/>
        <w:jc w:val="both"/>
        <w:rPr>
          <w:rFonts w:ascii="Tahoma" w:hAnsi="Tahoma" w:cs="Tahoma"/>
          <w:sz w:val="22"/>
          <w:szCs w:val="22"/>
        </w:rPr>
      </w:pPr>
      <w:r w:rsidRPr="0083571A">
        <w:rPr>
          <w:rFonts w:ascii="Tahoma" w:hAnsi="Tahoma" w:cs="Tahoma"/>
          <w:sz w:val="22"/>
          <w:szCs w:val="22"/>
        </w:rPr>
        <w:t xml:space="preserve">Con fundamento en lo anterior la Corte Constitucional en sede de tutela ha ordenado la aplicación del Acuerdo 049 de 1990 en casos en los cuales la invalidez se dio en vigencia de la Ley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83571A">
        <w:rPr>
          <w:rFonts w:ascii="Tahoma" w:hAnsi="Tahoma" w:cs="Tahoma"/>
          <w:sz w:val="22"/>
          <w:szCs w:val="22"/>
        </w:rPr>
        <w:t>inaplicando</w:t>
      </w:r>
      <w:proofErr w:type="spellEnd"/>
      <w:r w:rsidRPr="0083571A">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83571A">
          <w:rPr>
            <w:rFonts w:ascii="Tahoma" w:hAnsi="Tahoma" w:cs="Tahoma"/>
            <w:sz w:val="22"/>
            <w:szCs w:val="22"/>
          </w:rPr>
          <w:t>062</w:t>
        </w:r>
      </w:smartTag>
      <w:r w:rsidRPr="0083571A">
        <w:rPr>
          <w:rFonts w:ascii="Tahoma" w:hAnsi="Tahoma" w:cs="Tahoma"/>
          <w:sz w:val="22"/>
          <w:szCs w:val="22"/>
        </w:rPr>
        <w:t xml:space="preserve"> A del 4 de febrero de 2011, en la que reprodujo lo dicho en las sentencias T-383 de 2009 y T-628 de 2007.</w:t>
      </w:r>
    </w:p>
    <w:p w:rsidR="008F2D96" w:rsidRPr="0083571A" w:rsidRDefault="008F2D96" w:rsidP="008B4BD9">
      <w:pPr>
        <w:widowControl w:val="0"/>
        <w:autoSpaceDE w:val="0"/>
        <w:autoSpaceDN w:val="0"/>
        <w:adjustRightInd w:val="0"/>
        <w:spacing w:line="276" w:lineRule="auto"/>
        <w:ind w:left="708" w:firstLine="708"/>
        <w:jc w:val="both"/>
        <w:rPr>
          <w:rFonts w:ascii="Tahoma" w:hAnsi="Tahoma" w:cs="Tahoma"/>
          <w:sz w:val="22"/>
          <w:szCs w:val="22"/>
        </w:rPr>
      </w:pPr>
    </w:p>
    <w:p w:rsidR="008F2D96" w:rsidRPr="0083571A" w:rsidRDefault="008F2D96" w:rsidP="008B4BD9">
      <w:pPr>
        <w:autoSpaceDE w:val="0"/>
        <w:autoSpaceDN w:val="0"/>
        <w:adjustRightInd w:val="0"/>
        <w:spacing w:line="276" w:lineRule="auto"/>
        <w:ind w:left="708"/>
        <w:jc w:val="both"/>
        <w:rPr>
          <w:rFonts w:ascii="Tahoma" w:hAnsi="Tahoma" w:cs="Tahoma"/>
          <w:sz w:val="22"/>
          <w:szCs w:val="22"/>
        </w:rPr>
      </w:pPr>
      <w:r w:rsidRPr="0083571A">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26 semanas en ese mismo periodo conforme al parágrafo 2º del artículo 1º de la Ley 860 de 2003), en el cual concluyó la Corte lo siguiente: </w:t>
      </w:r>
      <w:r w:rsidRPr="0083571A">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83571A">
        <w:rPr>
          <w:rFonts w:ascii="Tahoma" w:hAnsi="Tahoma" w:cs="Tahoma"/>
          <w:sz w:val="22"/>
          <w:szCs w:val="22"/>
        </w:rPr>
        <w:t>.</w:t>
      </w:r>
      <w:r>
        <w:rPr>
          <w:rFonts w:ascii="Tahoma" w:hAnsi="Tahoma" w:cs="Tahoma"/>
          <w:sz w:val="22"/>
          <w:szCs w:val="22"/>
        </w:rPr>
        <w:t xml:space="preserve"> Estos mismos criterios son perfectamente aplicables a los casos de pensión de sobrevivientes. </w:t>
      </w:r>
    </w:p>
    <w:p w:rsidR="008F2D96" w:rsidRPr="0083571A" w:rsidRDefault="008F2D96" w:rsidP="008B4BD9">
      <w:pPr>
        <w:spacing w:line="276" w:lineRule="auto"/>
        <w:jc w:val="both"/>
        <w:rPr>
          <w:rFonts w:ascii="Tahoma" w:hAnsi="Tahoma" w:cs="Tahoma"/>
          <w:spacing w:val="-2"/>
          <w:sz w:val="22"/>
          <w:szCs w:val="22"/>
        </w:rPr>
      </w:pPr>
    </w:p>
    <w:p w:rsidR="00D1601F" w:rsidRDefault="00D1601F" w:rsidP="008B4BD9">
      <w:pPr>
        <w:pStyle w:val="Textoindependiente31"/>
        <w:spacing w:line="276" w:lineRule="auto"/>
        <w:ind w:left="708"/>
        <w:rPr>
          <w:rFonts w:ascii="Tahoma" w:hAnsi="Tahoma" w:cs="Tahoma"/>
          <w:sz w:val="22"/>
          <w:szCs w:val="22"/>
        </w:rPr>
      </w:pPr>
    </w:p>
    <w:p w:rsidR="00E709F2" w:rsidRPr="008B4BD9" w:rsidRDefault="00D1601F" w:rsidP="008B4BD9">
      <w:pPr>
        <w:pStyle w:val="NormalWeb"/>
        <w:spacing w:before="0" w:beforeAutospacing="0" w:after="0" w:afterAutospacing="0" w:line="276" w:lineRule="auto"/>
        <w:ind w:left="709"/>
        <w:jc w:val="both"/>
        <w:rPr>
          <w:rFonts w:ascii="Tahoma" w:hAnsi="Tahoma" w:cs="Tahoma"/>
          <w:sz w:val="22"/>
          <w:szCs w:val="22"/>
          <w:lang w:val="es-ES_tradnl"/>
        </w:rPr>
      </w:pPr>
      <w:r w:rsidRPr="008B4BD9">
        <w:rPr>
          <w:rFonts w:ascii="Tahoma" w:hAnsi="Tahoma" w:cs="Tahoma"/>
          <w:sz w:val="22"/>
          <w:szCs w:val="22"/>
          <w:lang w:val="es-ES_tradnl"/>
        </w:rPr>
        <w:lastRenderedPageBreak/>
        <w:t>Hace poco la Corte Constitucional</w:t>
      </w:r>
      <w:r w:rsidR="00E709F2" w:rsidRPr="008B4BD9">
        <w:rPr>
          <w:rFonts w:ascii="Tahoma" w:hAnsi="Tahoma" w:cs="Tahoma"/>
          <w:sz w:val="22"/>
          <w:szCs w:val="22"/>
          <w:lang w:val="es-ES_tradnl"/>
        </w:rPr>
        <w:t xml:space="preserve">, a través de </w:t>
      </w:r>
      <w:r w:rsidR="00E709F2" w:rsidRPr="008B4BD9">
        <w:rPr>
          <w:rFonts w:ascii="Tahoma" w:hAnsi="Tahoma" w:cs="Tahoma"/>
          <w:sz w:val="22"/>
          <w:szCs w:val="22"/>
          <w:lang w:val="es-ES_tradnl"/>
        </w:rPr>
        <w:t>la sentencia SU-442 del 18 de agosto de 2016</w:t>
      </w:r>
      <w:r w:rsidR="00E709F2" w:rsidRPr="008B4BD9">
        <w:rPr>
          <w:rFonts w:ascii="Tahoma" w:hAnsi="Tahoma" w:cs="Tahoma"/>
          <w:sz w:val="22"/>
          <w:szCs w:val="22"/>
          <w:lang w:val="es-ES_tradnl"/>
        </w:rPr>
        <w:t xml:space="preserve">, </w:t>
      </w:r>
      <w:r w:rsidRPr="008B4BD9">
        <w:rPr>
          <w:rFonts w:ascii="Tahoma" w:hAnsi="Tahoma" w:cs="Tahoma"/>
          <w:sz w:val="22"/>
          <w:szCs w:val="22"/>
          <w:lang w:val="es-ES_tradnl"/>
        </w:rPr>
        <w:t>unificó los criterios</w:t>
      </w:r>
      <w:r w:rsidR="00E709F2" w:rsidRPr="008B4BD9">
        <w:rPr>
          <w:rFonts w:ascii="Tahoma" w:hAnsi="Tahoma" w:cs="Tahoma"/>
          <w:sz w:val="22"/>
          <w:szCs w:val="22"/>
          <w:lang w:val="es-ES_tradnl"/>
        </w:rPr>
        <w:t xml:space="preserve"> en relación con la </w:t>
      </w:r>
      <w:r w:rsidRPr="008B4BD9">
        <w:rPr>
          <w:rFonts w:ascii="Tahoma" w:hAnsi="Tahoma" w:cs="Tahoma"/>
          <w:sz w:val="22"/>
          <w:szCs w:val="22"/>
          <w:lang w:val="es-ES_tradnl"/>
        </w:rPr>
        <w:t xml:space="preserve">aplicación </w:t>
      </w:r>
      <w:r w:rsidR="00E709F2" w:rsidRPr="008B4BD9">
        <w:rPr>
          <w:rFonts w:ascii="Tahoma" w:hAnsi="Tahoma" w:cs="Tahoma"/>
          <w:sz w:val="22"/>
          <w:szCs w:val="22"/>
          <w:lang w:val="es-ES_tradnl"/>
        </w:rPr>
        <w:t>de la condición más beneficiosa</w:t>
      </w:r>
      <w:r w:rsidR="008B4BD9" w:rsidRPr="008B4BD9">
        <w:rPr>
          <w:rFonts w:ascii="Tahoma" w:hAnsi="Tahoma" w:cs="Tahoma"/>
          <w:sz w:val="22"/>
          <w:szCs w:val="22"/>
          <w:lang w:val="es-ES_tradnl"/>
        </w:rPr>
        <w:t>,</w:t>
      </w:r>
      <w:r w:rsidR="00E709F2" w:rsidRPr="008B4BD9">
        <w:rPr>
          <w:rFonts w:ascii="Tahoma" w:hAnsi="Tahoma" w:cs="Tahoma"/>
          <w:sz w:val="22"/>
          <w:szCs w:val="22"/>
          <w:lang w:val="es-ES_tradnl"/>
        </w:rPr>
        <w:t xml:space="preserve"> reiterando </w:t>
      </w:r>
      <w:r w:rsidRPr="008B4BD9">
        <w:rPr>
          <w:rFonts w:ascii="Tahoma" w:hAnsi="Tahoma" w:cs="Tahoma"/>
          <w:sz w:val="22"/>
          <w:szCs w:val="22"/>
          <w:lang w:val="es-ES_tradnl"/>
        </w:rPr>
        <w:t>los precedentes anteriores</w:t>
      </w:r>
      <w:r w:rsidR="00E709F2" w:rsidRPr="008B4BD9">
        <w:rPr>
          <w:rFonts w:ascii="Tahoma" w:hAnsi="Tahoma" w:cs="Tahoma"/>
          <w:sz w:val="22"/>
          <w:szCs w:val="22"/>
          <w:lang w:val="es-ES_tradnl"/>
        </w:rPr>
        <w:t xml:space="preserve"> y precisando que </w:t>
      </w:r>
      <w:r w:rsidR="00E709F2" w:rsidRPr="008B4BD9">
        <w:rPr>
          <w:rFonts w:ascii="Tahoma" w:hAnsi="Tahoma" w:cs="Tahoma"/>
          <w:sz w:val="22"/>
          <w:szCs w:val="22"/>
          <w:lang w:val="es-ES_tradnl"/>
        </w:rPr>
        <w:t xml:space="preserve">“Si bien el legislador podía introducir ajustes o incluso reformas estructurales al sistema </w:t>
      </w:r>
      <w:r w:rsidR="00E709F2" w:rsidRPr="008B4BD9">
        <w:rPr>
          <w:rFonts w:ascii="Tahoma" w:hAnsi="Tahoma" w:cs="Tahoma"/>
          <w:sz w:val="22"/>
          <w:szCs w:val="22"/>
          <w:lang w:val="es-ES_tradnl"/>
        </w:rPr>
        <w:t xml:space="preserve">pensional, debía hacerlo en un marco de respeto por los derechos adquiridos y las expectativas legítimas” y que, </w:t>
      </w:r>
      <w:r w:rsidR="00E709F2" w:rsidRPr="008B4BD9">
        <w:rPr>
          <w:rFonts w:ascii="Tahoma" w:hAnsi="Tahoma" w:cs="Tahoma"/>
          <w:sz w:val="22"/>
          <w:szCs w:val="22"/>
          <w:lang w:val="es-ES_tradnl"/>
        </w:rPr>
        <w:t xml:space="preserve">en vista de que la ley no contempló un régimen de transición </w:t>
      </w:r>
      <w:r w:rsidR="00E709F2" w:rsidRPr="008B4BD9">
        <w:rPr>
          <w:rFonts w:ascii="Tahoma" w:hAnsi="Tahoma" w:cs="Tahoma"/>
          <w:sz w:val="22"/>
          <w:szCs w:val="22"/>
          <w:lang w:val="es-ES_tradnl"/>
        </w:rPr>
        <w:t>que garantizara las pensiones de invalidez</w:t>
      </w:r>
      <w:r w:rsidR="00E709F2" w:rsidRPr="008B4BD9">
        <w:rPr>
          <w:rFonts w:ascii="Tahoma" w:hAnsi="Tahoma" w:cs="Tahoma"/>
          <w:sz w:val="22"/>
          <w:szCs w:val="22"/>
          <w:lang w:val="es-ES_tradnl"/>
        </w:rPr>
        <w:t>, deb</w:t>
      </w:r>
      <w:r w:rsidR="00E709F2" w:rsidRPr="008B4BD9">
        <w:rPr>
          <w:rFonts w:ascii="Tahoma" w:hAnsi="Tahoma" w:cs="Tahoma"/>
          <w:sz w:val="22"/>
          <w:szCs w:val="22"/>
          <w:lang w:val="es-ES_tradnl"/>
        </w:rPr>
        <w:t>ía</w:t>
      </w:r>
      <w:r w:rsidR="00E709F2" w:rsidRPr="008B4BD9">
        <w:rPr>
          <w:rFonts w:ascii="Tahoma" w:hAnsi="Tahoma" w:cs="Tahoma"/>
          <w:sz w:val="22"/>
          <w:szCs w:val="22"/>
          <w:lang w:val="es-ES_tradnl"/>
        </w:rPr>
        <w:t xml:space="preserve"> preservarse para quien cumplió oportunamente uno de los requisitos relevantes para pensionarse</w:t>
      </w:r>
      <w:r w:rsidR="00E709F2" w:rsidRPr="008B4BD9">
        <w:rPr>
          <w:rFonts w:ascii="Tahoma" w:hAnsi="Tahoma" w:cs="Tahoma"/>
          <w:sz w:val="22"/>
          <w:szCs w:val="22"/>
          <w:lang w:val="es-ES_tradnl"/>
        </w:rPr>
        <w:t xml:space="preserve"> el derecho a que ese aspecto no le fuera cambiado drásticamente, en la medida en que resultara beneficioso para su seguridad social. Resaltó igualmente que </w:t>
      </w:r>
      <w:r w:rsidR="008B4BD9" w:rsidRPr="008B4BD9">
        <w:rPr>
          <w:rFonts w:ascii="Tahoma" w:hAnsi="Tahoma" w:cs="Tahoma"/>
          <w:sz w:val="22"/>
          <w:szCs w:val="22"/>
          <w:lang w:val="es-ES_tradnl"/>
        </w:rPr>
        <w:t xml:space="preserve">el accionante en dicha acción </w:t>
      </w:r>
      <w:r w:rsidR="00E709F2" w:rsidRPr="008B4BD9">
        <w:rPr>
          <w:rFonts w:ascii="Tahoma" w:hAnsi="Tahoma" w:cs="Tahoma"/>
          <w:sz w:val="22"/>
          <w:szCs w:val="22"/>
          <w:lang w:val="es-ES_tradnl"/>
        </w:rPr>
        <w:t>aportó un total de 653 semanas en su historia labora</w:t>
      </w:r>
      <w:r w:rsidR="008B4BD9" w:rsidRPr="008B4BD9">
        <w:rPr>
          <w:rFonts w:ascii="Tahoma" w:hAnsi="Tahoma" w:cs="Tahoma"/>
          <w:sz w:val="22"/>
          <w:szCs w:val="22"/>
          <w:lang w:val="es-ES_tradnl"/>
        </w:rPr>
        <w:t>l, por lo cual</w:t>
      </w:r>
      <w:r w:rsidR="00E709F2" w:rsidRPr="008B4BD9">
        <w:rPr>
          <w:rFonts w:ascii="Tahoma" w:hAnsi="Tahoma" w:cs="Tahoma"/>
          <w:sz w:val="22"/>
          <w:szCs w:val="22"/>
          <w:lang w:val="es-ES_tradnl"/>
        </w:rPr>
        <w:t xml:space="preserve"> “</w:t>
      </w:r>
      <w:r w:rsidR="00E709F2" w:rsidRPr="008B4BD9">
        <w:rPr>
          <w:rFonts w:ascii="Tahoma" w:hAnsi="Tahoma" w:cs="Tahoma"/>
          <w:sz w:val="22"/>
          <w:szCs w:val="22"/>
          <w:lang w:val="es-ES_tradnl"/>
        </w:rPr>
        <w:t>no puede hablarse de un detrimento para la sostenibilidad financiera del sistema pensional”</w:t>
      </w:r>
      <w:r w:rsidR="00E709F2" w:rsidRPr="008B4BD9">
        <w:rPr>
          <w:rFonts w:ascii="Tahoma" w:hAnsi="Tahoma" w:cs="Tahoma"/>
          <w:sz w:val="22"/>
          <w:szCs w:val="22"/>
          <w:lang w:val="es-ES_tradnl"/>
        </w:rPr>
        <w:t>.</w:t>
      </w:r>
    </w:p>
    <w:p w:rsidR="00E709F2" w:rsidRPr="008B4BD9" w:rsidRDefault="00E709F2" w:rsidP="008B4BD9">
      <w:pPr>
        <w:pStyle w:val="NormalWeb"/>
        <w:spacing w:before="0" w:beforeAutospacing="0" w:after="0" w:afterAutospacing="0" w:line="276" w:lineRule="auto"/>
        <w:jc w:val="both"/>
        <w:rPr>
          <w:rFonts w:ascii="Tahoma" w:hAnsi="Tahoma" w:cs="Tahoma"/>
          <w:color w:val="333333"/>
          <w:sz w:val="22"/>
          <w:szCs w:val="22"/>
        </w:rPr>
      </w:pPr>
      <w:r w:rsidRPr="008B4BD9">
        <w:rPr>
          <w:rFonts w:ascii="Tahoma" w:hAnsi="Tahoma" w:cs="Tahoma"/>
          <w:color w:val="333333"/>
          <w:sz w:val="22"/>
          <w:szCs w:val="22"/>
        </w:rPr>
        <w:t> </w:t>
      </w:r>
    </w:p>
    <w:p w:rsidR="008F2D96" w:rsidRPr="008B4BD9" w:rsidRDefault="008F2D96" w:rsidP="008B4BD9">
      <w:pPr>
        <w:pStyle w:val="Textoindependiente31"/>
        <w:spacing w:line="276" w:lineRule="auto"/>
        <w:ind w:left="708"/>
        <w:rPr>
          <w:rFonts w:ascii="Tahoma" w:hAnsi="Tahoma" w:cs="Tahoma"/>
          <w:sz w:val="22"/>
          <w:szCs w:val="22"/>
        </w:rPr>
      </w:pPr>
      <w:r w:rsidRPr="008B4BD9">
        <w:rPr>
          <w:rFonts w:ascii="Tahoma" w:hAnsi="Tahoma" w:cs="Tahoma"/>
          <w:sz w:val="22"/>
          <w:szCs w:val="22"/>
        </w:rPr>
        <w:t>Tal como lo han sostenido las Salas Laborales de Decisión No. 1 y 3 de esta Corporación en asuntos similares al que se analiza –</w:t>
      </w:r>
      <w:r w:rsidRPr="008B4BD9">
        <w:rPr>
          <w:rFonts w:ascii="Tahoma" w:hAnsi="Tahoma" w:cs="Tahoma"/>
          <w:i/>
          <w:sz w:val="22"/>
          <w:szCs w:val="22"/>
        </w:rPr>
        <w:t>en las cuales se acoge por sus mayorías la tesis de la Corte Constitucional-</w:t>
      </w:r>
      <w:r w:rsidRPr="008B4BD9">
        <w:rPr>
          <w:rFonts w:ascii="Tahoma" w:hAnsi="Tahoma" w:cs="Tahoma"/>
          <w:sz w:val="22"/>
          <w:szCs w:val="22"/>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8B4BD9" w:rsidRDefault="008F2D96" w:rsidP="008B4BD9">
      <w:pPr>
        <w:pStyle w:val="Textoindependiente31"/>
        <w:spacing w:line="276" w:lineRule="auto"/>
        <w:ind w:left="708"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B4BD9">
        <w:rPr>
          <w:rFonts w:ascii="Tahoma" w:hAnsi="Tahoma" w:cs="Tahoma"/>
          <w:sz w:val="22"/>
          <w:szCs w:val="22"/>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w:t>
      </w:r>
      <w:r w:rsidRPr="0083571A">
        <w:rPr>
          <w:rFonts w:ascii="Tahoma" w:hAnsi="Tahoma" w:cs="Tahoma"/>
          <w:sz w:val="22"/>
          <w:szCs w:val="22"/>
        </w:rPr>
        <w:t>liado realizó cotizaciones en vigencia de dicha disposición, siempre que una norma posterior resulte ser desfavorable a su derecho pensional.</w:t>
      </w:r>
    </w:p>
    <w:p w:rsidR="008F2D96" w:rsidRPr="0083571A" w:rsidRDefault="008F2D96" w:rsidP="008B4BD9">
      <w:pPr>
        <w:pStyle w:val="Textoindependiente31"/>
        <w:spacing w:line="276" w:lineRule="auto"/>
        <w:ind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De </w:t>
      </w:r>
      <w:r>
        <w:rPr>
          <w:rFonts w:ascii="Tahoma" w:hAnsi="Tahoma" w:cs="Tahoma"/>
          <w:sz w:val="22"/>
          <w:szCs w:val="22"/>
        </w:rPr>
        <w:t xml:space="preserve">esa manera se </w:t>
      </w:r>
      <w:r w:rsidRPr="0083571A">
        <w:rPr>
          <w:rFonts w:ascii="Tahoma" w:hAnsi="Tahoma" w:cs="Tahoma"/>
          <w:sz w:val="22"/>
          <w:szCs w:val="22"/>
        </w:rPr>
        <w:t>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83571A" w:rsidRDefault="008F2D96" w:rsidP="008B4BD9">
      <w:pPr>
        <w:pStyle w:val="Textoindependiente31"/>
        <w:spacing w:line="276" w:lineRule="auto"/>
        <w:ind w:left="708" w:firstLine="851"/>
        <w:rPr>
          <w:rFonts w:ascii="Tahoma" w:hAnsi="Tahoma" w:cs="Tahoma"/>
          <w:sz w:val="22"/>
          <w:szCs w:val="22"/>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Es que sobre cada uno de estos principios, inmersos en esta controversia pensional, se ha pronunciado la propia Sala Laboral de la Corte Suprema, quien de entrada, descarta que se atente en contra del principio de la sostenibilidad financiera de la seguridad social, al asumirse una postura favorable al reconocimiento pensional con apoyo en el principio de la condición más beneficiosa. Estas son sus palabras en tal sentido:</w:t>
      </w:r>
    </w:p>
    <w:p w:rsidR="008F2D96" w:rsidRPr="0083571A" w:rsidRDefault="008F2D96" w:rsidP="008B4BD9">
      <w:pPr>
        <w:pStyle w:val="Textoindependiente31"/>
        <w:spacing w:line="276" w:lineRule="auto"/>
        <w:ind w:left="708" w:firstLine="851"/>
        <w:rPr>
          <w:rFonts w:ascii="Tahoma" w:hAnsi="Tahoma" w:cs="Tahoma"/>
          <w:szCs w:val="28"/>
        </w:rPr>
      </w:pPr>
    </w:p>
    <w:p w:rsidR="008F2D96" w:rsidRPr="0083571A" w:rsidRDefault="008F2D96" w:rsidP="008B4BD9">
      <w:pPr>
        <w:pStyle w:val="Textoindependiente31"/>
        <w:spacing w:line="276" w:lineRule="auto"/>
        <w:ind w:left="708"/>
        <w:rPr>
          <w:rFonts w:ascii="Arial Narrow" w:hAnsi="Arial Narrow" w:cs="Tahoma"/>
          <w:i/>
          <w:szCs w:val="28"/>
        </w:rPr>
      </w:pPr>
      <w:r w:rsidRPr="0083571A">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8F2D96" w:rsidRPr="0083571A" w:rsidRDefault="008F2D96" w:rsidP="008B4BD9">
      <w:pPr>
        <w:pStyle w:val="Textoindependiente31"/>
        <w:spacing w:line="276" w:lineRule="auto"/>
        <w:ind w:left="708" w:firstLine="851"/>
        <w:rPr>
          <w:rFonts w:ascii="Tahoma" w:hAnsi="Tahoma" w:cs="Tahoma"/>
          <w:sz w:val="28"/>
          <w:szCs w:val="28"/>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lastRenderedPageBreak/>
        <w:t xml:space="preserve">Entorno a los principios de las expectativas legítimas y condición más beneficiosa, apuntó el mismo órgano de cierre de la especialidad laboral en sus sentencias: 22 de octubre de 2013, 8 de mayo y 25 de julio de 2012, radicaciones: 39229, 35319 y 38674, entre otras.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594BBA">
        <w:rPr>
          <w:rFonts w:ascii="Arial Narrow" w:hAnsi="Arial Narrow" w:cs="Tahoma"/>
          <w:i/>
          <w:sz w:val="22"/>
          <w:szCs w:val="22"/>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83571A">
        <w:rPr>
          <w:rFonts w:ascii="Tahoma" w:hAnsi="Tahoma" w:cs="Tahoma"/>
          <w:sz w:val="22"/>
          <w:szCs w:val="22"/>
        </w:rPr>
        <w:t xml:space="preserve"> (sentencia de 25 de julio de 2012 atrás reseñada).</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En estos fallos cita el alto Tribunal para apoyar la doctrina anterior el artículo 19-8 de la Constitución de la OIT, el Convenio 128 de la OIT, relativo a las prestaciones de invalidez, vejez y sobrevivientes, que dispone: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firstLine="709"/>
        <w:rPr>
          <w:rFonts w:ascii="Tahoma" w:hAnsi="Tahoma" w:cs="Tahoma"/>
          <w:sz w:val="22"/>
          <w:szCs w:val="22"/>
        </w:rPr>
      </w:pPr>
      <w:r w:rsidRPr="0083571A">
        <w:rPr>
          <w:rFonts w:ascii="Tahoma" w:hAnsi="Tahoma" w:cs="Tahoma"/>
          <w:sz w:val="22"/>
          <w:szCs w:val="22"/>
        </w:rPr>
        <w:t>“</w:t>
      </w:r>
      <w:r w:rsidRPr="0083571A">
        <w:rPr>
          <w:rFonts w:ascii="Tahoma" w:hAnsi="Tahoma" w:cs="Tahoma"/>
          <w:i/>
          <w:sz w:val="22"/>
          <w:szCs w:val="22"/>
        </w:rPr>
        <w:t>ART. 30. —La legislación nacional deberá, bajo condiciones prescritas, prever la conservación de los derechos en curso de adquisición respecto de las prestaciones contributivas de invalidez, vejez y sobrevivientes</w:t>
      </w:r>
      <w:r w:rsidRPr="0083571A">
        <w:rPr>
          <w:rFonts w:ascii="Tahoma" w:hAnsi="Tahoma" w:cs="Tahoma"/>
          <w:sz w:val="22"/>
          <w:szCs w:val="22"/>
        </w:rPr>
        <w:t xml:space="preserve">”.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594BBA" w:rsidRDefault="008F2D96" w:rsidP="008B4BD9">
      <w:pPr>
        <w:pStyle w:val="Textoindependiente32"/>
        <w:spacing w:line="276" w:lineRule="auto"/>
        <w:ind w:left="708"/>
        <w:rPr>
          <w:rFonts w:ascii="Tahoma" w:hAnsi="Tahoma" w:cs="Tahoma"/>
          <w:i/>
          <w:sz w:val="22"/>
          <w:szCs w:val="22"/>
        </w:rPr>
      </w:pPr>
      <w:r w:rsidRPr="0083571A">
        <w:rPr>
          <w:rFonts w:ascii="Tahoma" w:hAnsi="Tahoma" w:cs="Tahoma"/>
          <w:sz w:val="22"/>
          <w:szCs w:val="22"/>
        </w:rPr>
        <w:t>Recalca, entonces, la alta Corporación</w:t>
      </w:r>
      <w:r w:rsidRPr="00594BBA">
        <w:rPr>
          <w:rFonts w:ascii="Tahoma" w:hAnsi="Tahoma" w:cs="Tahoma"/>
          <w:i/>
          <w:sz w:val="22"/>
          <w:szCs w:val="22"/>
        </w:rPr>
        <w:t xml:space="preserve"> “que este convenio confiere un valor relevante a la preservación de “los derechos en curso de adquisición”</w:t>
      </w:r>
      <w:r w:rsidRPr="0083571A">
        <w:rPr>
          <w:rFonts w:ascii="Tahoma" w:hAnsi="Tahoma" w:cs="Tahoma"/>
          <w:sz w:val="22"/>
          <w:szCs w:val="22"/>
        </w:rPr>
        <w:t xml:space="preserve">, </w:t>
      </w:r>
      <w:r w:rsidRPr="00594BBA">
        <w:rPr>
          <w:rFonts w:ascii="Tahoma" w:hAnsi="Tahoma" w:cs="Tahoma"/>
          <w:i/>
          <w:sz w:val="22"/>
          <w:szCs w:val="22"/>
        </w:rPr>
        <w:t xml:space="preserve">destacando con ello la obligación estatal de respetar aquellos requisitos que ya han sido consolidados por una persona, con miras a la obtención de un derecho en materia de pensiones, cuya efectividad se subordina al cumplimiento ulterior de una condición”.  </w:t>
      </w:r>
    </w:p>
    <w:p w:rsidR="008F2D96" w:rsidRPr="00594BBA" w:rsidRDefault="008F2D96" w:rsidP="008B4BD9">
      <w:pPr>
        <w:pStyle w:val="Textoindependiente32"/>
        <w:spacing w:line="276" w:lineRule="auto"/>
        <w:ind w:left="708" w:firstLine="708"/>
        <w:rPr>
          <w:rFonts w:ascii="Tahoma" w:hAnsi="Tahoma" w:cs="Tahoma"/>
          <w:i/>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Ello, también lo ilustra, con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Así mismo, trae a cuento el artículo 2 de la declaración universal de los derechos humanos, y los convenios 100 y 101 sobre factores ilegítimos de discriminación, y remata con la legislación interna, artículo 13 superior, y 272 de la Ley 100 de 1993.</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83571A" w:rsidRDefault="008F2D96" w:rsidP="008B4BD9">
      <w:pPr>
        <w:pStyle w:val="Textoindependiente32"/>
        <w:spacing w:line="276" w:lineRule="auto"/>
        <w:ind w:left="708"/>
        <w:rPr>
          <w:rFonts w:ascii="Tahoma" w:hAnsi="Tahoma" w:cs="Tahoma"/>
          <w:sz w:val="22"/>
          <w:szCs w:val="22"/>
        </w:rPr>
      </w:pPr>
      <w:r w:rsidRPr="0083571A">
        <w:rPr>
          <w:rFonts w:ascii="Tahoma" w:hAnsi="Tahoma" w:cs="Tahoma"/>
          <w:sz w:val="22"/>
          <w:szCs w:val="22"/>
        </w:rPr>
        <w:t>En cuanto al primero, predica:</w:t>
      </w:r>
    </w:p>
    <w:p w:rsidR="008F2D96" w:rsidRPr="0083571A" w:rsidRDefault="008F2D96" w:rsidP="008B4BD9">
      <w:pPr>
        <w:pStyle w:val="Textoindependiente32"/>
        <w:spacing w:line="276" w:lineRule="auto"/>
        <w:ind w:left="708" w:firstLine="708"/>
        <w:rPr>
          <w:rFonts w:ascii="Tahoma" w:hAnsi="Tahoma" w:cs="Tahoma"/>
          <w:sz w:val="22"/>
          <w:szCs w:val="22"/>
        </w:rPr>
      </w:pPr>
    </w:p>
    <w:p w:rsidR="008F2D96" w:rsidRPr="00594BBA" w:rsidRDefault="008F2D96" w:rsidP="008B4BD9">
      <w:pPr>
        <w:pStyle w:val="Textoindependiente32"/>
        <w:spacing w:line="276" w:lineRule="auto"/>
        <w:ind w:left="708" w:firstLine="709"/>
        <w:rPr>
          <w:rFonts w:ascii="Arial Narrow" w:hAnsi="Arial Narrow" w:cs="Tahoma"/>
          <w:i/>
          <w:sz w:val="22"/>
          <w:szCs w:val="22"/>
        </w:rPr>
      </w:pPr>
      <w:r w:rsidRPr="00594BBA">
        <w:rPr>
          <w:rFonts w:ascii="Arial Narrow" w:hAnsi="Arial Narrow" w:cs="Tahoma"/>
          <w:sz w:val="22"/>
          <w:szCs w:val="22"/>
        </w:rPr>
        <w:t xml:space="preserve"> </w:t>
      </w:r>
      <w:r w:rsidRPr="00594BBA">
        <w:rPr>
          <w:rFonts w:ascii="Arial Narrow" w:hAnsi="Arial Narrow" w:cs="Tahoma"/>
          <w:i/>
          <w:sz w:val="22"/>
          <w:szCs w:val="22"/>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e estaría contraviniendo lo proclamado por el artículo 53 superior, que ordena reconocer “la situación más favorable</w:t>
      </w:r>
      <w:proofErr w:type="gramStart"/>
      <w:r w:rsidRPr="00594BBA">
        <w:rPr>
          <w:rFonts w:ascii="Arial Narrow" w:hAnsi="Arial Narrow" w:cs="Tahoma"/>
          <w:i/>
          <w:sz w:val="22"/>
          <w:szCs w:val="22"/>
        </w:rPr>
        <w:t>” …</w:t>
      </w:r>
      <w:proofErr w:type="gramEnd"/>
      <w:r w:rsidRPr="00594BBA">
        <w:rPr>
          <w:rFonts w:ascii="Arial Narrow" w:hAnsi="Arial Narrow" w:cs="Tahoma"/>
          <w:i/>
          <w:sz w:val="22"/>
          <w:szCs w:val="22"/>
        </w:rPr>
        <w:t>”.</w:t>
      </w:r>
    </w:p>
    <w:p w:rsidR="008F2D96" w:rsidRPr="00594BBA" w:rsidRDefault="008F2D96" w:rsidP="008B4BD9">
      <w:pPr>
        <w:pStyle w:val="Sinespaciado"/>
        <w:spacing w:line="276" w:lineRule="auto"/>
        <w:ind w:left="708"/>
        <w:rPr>
          <w:rFonts w:ascii="Arial Narrow" w:hAnsi="Arial Narrow" w:cs="Tahoma"/>
          <w:i/>
        </w:rPr>
      </w:pPr>
    </w:p>
    <w:p w:rsidR="008F2D96" w:rsidRPr="0083571A" w:rsidRDefault="008F2D96" w:rsidP="008B4BD9">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Finalmente,  trae a cuento el artículo 272 de la Ley 100 de 1993, el cual establece que: </w:t>
      </w:r>
    </w:p>
    <w:p w:rsidR="008F2D96" w:rsidRPr="0083571A" w:rsidRDefault="008F2D96" w:rsidP="008B4BD9">
      <w:pPr>
        <w:pStyle w:val="Textoindependiente31"/>
        <w:spacing w:line="276" w:lineRule="auto"/>
        <w:ind w:left="708" w:firstLine="851"/>
        <w:rPr>
          <w:rFonts w:ascii="Tahoma" w:hAnsi="Tahoma" w:cs="Tahoma"/>
          <w:sz w:val="22"/>
          <w:szCs w:val="22"/>
        </w:rPr>
      </w:pPr>
    </w:p>
    <w:p w:rsidR="008F2D96" w:rsidRPr="00594BBA" w:rsidRDefault="008F2D96" w:rsidP="008B4BD9">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lastRenderedPageBreak/>
        <w:t xml:space="preserve">“[l]os principios mínimos fundamentales consagrados en el artículo 53 de la Constitución Política tendrán plena validez y eficacia”. Y que: </w:t>
      </w:r>
    </w:p>
    <w:p w:rsidR="008F2D96" w:rsidRPr="00594BBA" w:rsidRDefault="008F2D96" w:rsidP="008B4BD9">
      <w:pPr>
        <w:pStyle w:val="Textoindependiente31"/>
        <w:spacing w:line="276" w:lineRule="auto"/>
        <w:ind w:left="708" w:firstLine="851"/>
        <w:rPr>
          <w:rFonts w:ascii="Arial Narrow" w:hAnsi="Arial Narrow" w:cs="Tahoma"/>
          <w:i/>
          <w:sz w:val="22"/>
          <w:szCs w:val="22"/>
        </w:rPr>
      </w:pPr>
    </w:p>
    <w:p w:rsidR="008F2D96" w:rsidRPr="00594BBA" w:rsidRDefault="008F2D96" w:rsidP="008B4BD9">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t xml:space="preserve"> “[l]a propia Carta Fundamental extiende a la seguridad social, sin ninguna duda, los principios que, en su origen, son propios del derecho laboral”.</w:t>
      </w:r>
    </w:p>
    <w:p w:rsidR="008F2D96" w:rsidRPr="0083571A" w:rsidRDefault="008F2D96" w:rsidP="008B4BD9">
      <w:pPr>
        <w:pStyle w:val="Sinespaciado"/>
        <w:spacing w:line="276" w:lineRule="auto"/>
        <w:ind w:left="708"/>
        <w:rPr>
          <w:rFonts w:ascii="Tahoma" w:hAnsi="Tahoma" w:cs="Tahoma"/>
        </w:rPr>
      </w:pPr>
    </w:p>
    <w:p w:rsidR="008F2D96" w:rsidRPr="0083571A" w:rsidRDefault="008F2D96" w:rsidP="008B4BD9">
      <w:pPr>
        <w:pStyle w:val="Textoindependiente31"/>
        <w:spacing w:line="276" w:lineRule="auto"/>
        <w:rPr>
          <w:rFonts w:ascii="Tahoma" w:hAnsi="Tahoma" w:cs="Tahoma"/>
          <w:sz w:val="22"/>
          <w:szCs w:val="22"/>
        </w:rPr>
      </w:pPr>
      <w:r w:rsidRPr="0083571A">
        <w:rPr>
          <w:rFonts w:ascii="Tahoma" w:hAnsi="Tahoma" w:cs="Tahoma"/>
          <w:sz w:val="22"/>
          <w:szCs w:val="22"/>
        </w:rPr>
        <w:t xml:space="preserve">En conclusión como lo enseña el alto Tribunal Constitucional, que ante la inexistencia de un régimen de transición para las pensiones de sobrevivencia e invalidez, en atención a los principios de buena fe, confianza legítima y favorabilidad, es dable, en el sub-lite, dar aplicación a una norma anterior, como es el Acuerdo 049 de 1990, puesto que dicha regla, se estatuye con el fin de proteger el principio de favorabilidad que en materia laboral ha reconocido el artículo 53 del ordenamiento superior, el cual patentiza la realización de los demás principios que se traen a cuento. </w:t>
      </w:r>
    </w:p>
    <w:p w:rsidR="008F2D96" w:rsidRDefault="008F2D96" w:rsidP="008B4BD9">
      <w:pPr>
        <w:spacing w:line="276" w:lineRule="auto"/>
        <w:ind w:firstLine="708"/>
        <w:jc w:val="both"/>
        <w:rPr>
          <w:rFonts w:ascii="Tahoma" w:hAnsi="Tahoma" w:cs="Tahoma"/>
          <w:spacing w:val="-2"/>
        </w:rPr>
      </w:pPr>
    </w:p>
    <w:p w:rsidR="008F2D96" w:rsidRPr="00EB3E16" w:rsidRDefault="008F2D96" w:rsidP="008B4BD9">
      <w:pPr>
        <w:pStyle w:val="Prrafodelista"/>
        <w:numPr>
          <w:ilvl w:val="0"/>
          <w:numId w:val="1"/>
        </w:numPr>
        <w:spacing w:line="276" w:lineRule="auto"/>
        <w:jc w:val="both"/>
        <w:rPr>
          <w:rFonts w:ascii="Tahoma" w:hAnsi="Tahoma" w:cs="Tahoma"/>
          <w:spacing w:val="-2"/>
        </w:rPr>
      </w:pPr>
      <w:r>
        <w:rPr>
          <w:rFonts w:ascii="Tahoma" w:hAnsi="Tahoma" w:cs="Tahoma"/>
          <w:b/>
          <w:sz w:val="22"/>
          <w:szCs w:val="22"/>
        </w:rPr>
        <w:t xml:space="preserve">Violación del derecho a la igualdad de la parte demandante: </w:t>
      </w:r>
      <w:r>
        <w:rPr>
          <w:rFonts w:ascii="Tahoma" w:hAnsi="Tahoma" w:cs="Tahoma"/>
          <w:sz w:val="22"/>
          <w:szCs w:val="22"/>
        </w:rPr>
        <w:t xml:space="preserve">Debemos empezar por iterar que el derecho a la </w:t>
      </w:r>
      <w:r w:rsidR="002E6083">
        <w:rPr>
          <w:rFonts w:ascii="Tahoma" w:hAnsi="Tahoma" w:cs="Tahoma"/>
          <w:sz w:val="22"/>
          <w:szCs w:val="22"/>
        </w:rPr>
        <w:t xml:space="preserve">seguridad social en pensiones es </w:t>
      </w:r>
      <w:r>
        <w:rPr>
          <w:rFonts w:ascii="Tahoma" w:hAnsi="Tahoma" w:cs="Tahoma"/>
          <w:sz w:val="22"/>
          <w:szCs w:val="22"/>
        </w:rPr>
        <w:t xml:space="preserve">un </w:t>
      </w:r>
      <w:r>
        <w:rPr>
          <w:rFonts w:ascii="Tahoma" w:hAnsi="Tahoma" w:cs="Tahoma"/>
          <w:b/>
          <w:sz w:val="22"/>
          <w:szCs w:val="22"/>
        </w:rPr>
        <w:t xml:space="preserve">derecho fundamental </w:t>
      </w:r>
      <w:r>
        <w:rPr>
          <w:rFonts w:ascii="Tahoma" w:hAnsi="Tahoma" w:cs="Tahoma"/>
          <w:sz w:val="22"/>
          <w:szCs w:val="22"/>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Default="008F2D96" w:rsidP="008B4BD9">
      <w:pPr>
        <w:pStyle w:val="Prrafodelista"/>
        <w:spacing w:line="276" w:lineRule="auto"/>
        <w:jc w:val="both"/>
        <w:rPr>
          <w:rFonts w:ascii="Tahoma" w:hAnsi="Tahoma" w:cs="Tahoma"/>
          <w:b/>
          <w:sz w:val="22"/>
          <w:szCs w:val="22"/>
        </w:rPr>
      </w:pPr>
    </w:p>
    <w:p w:rsidR="008F2D96" w:rsidRDefault="008F2D96" w:rsidP="008B4BD9">
      <w:pPr>
        <w:pStyle w:val="Prrafodelista"/>
        <w:spacing w:line="276" w:lineRule="auto"/>
        <w:jc w:val="both"/>
        <w:rPr>
          <w:rFonts w:ascii="Tahoma" w:hAnsi="Tahoma" w:cs="Tahoma"/>
          <w:sz w:val="22"/>
          <w:szCs w:val="22"/>
        </w:rPr>
      </w:pPr>
      <w:r w:rsidRPr="00EB3E16">
        <w:rPr>
          <w:rFonts w:ascii="Tahoma" w:hAnsi="Tahoma" w:cs="Tahoma"/>
          <w:sz w:val="22"/>
          <w:szCs w:val="22"/>
        </w:rPr>
        <w:t xml:space="preserve">Por esa razón y por todo lo explicado líneas atrás, </w:t>
      </w:r>
      <w:r>
        <w:rPr>
          <w:rFonts w:ascii="Tahoma" w:hAnsi="Tahoma" w:cs="Tahoma"/>
          <w:sz w:val="22"/>
          <w:szCs w:val="22"/>
        </w:rPr>
        <w:t xml:space="preserve"> antes de la integración del cuarto Magistrado a la Sala Laboral de este Tribunal </w:t>
      </w:r>
      <w:r>
        <w:rPr>
          <w:rFonts w:ascii="Tahoma" w:hAnsi="Tahoma" w:cs="Tahoma"/>
          <w:i/>
          <w:sz w:val="22"/>
          <w:szCs w:val="22"/>
        </w:rPr>
        <w:t xml:space="preserve">–situación que ocurrió a partir del 1º de febrero de este año- </w:t>
      </w:r>
      <w:r>
        <w:rPr>
          <w:rFonts w:ascii="Tahoma" w:hAnsi="Tahoma" w:cs="Tahoma"/>
          <w:sz w:val="22"/>
          <w:szCs w:val="22"/>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EB3E16">
        <w:rPr>
          <w:rFonts w:ascii="Tahoma" w:hAnsi="Tahoma" w:cs="Tahoma"/>
          <w:i/>
          <w:sz w:val="22"/>
          <w:szCs w:val="22"/>
        </w:rPr>
        <w:softHyphen/>
      </w:r>
      <w:r>
        <w:rPr>
          <w:rFonts w:ascii="Tahoma" w:hAnsi="Tahoma" w:cs="Tahoma"/>
          <w:i/>
          <w:sz w:val="22"/>
          <w:szCs w:val="22"/>
        </w:rPr>
        <w:t xml:space="preserve">–en este caso la Sala de Decisión No. 4- </w:t>
      </w:r>
      <w:r w:rsidRPr="00EB3E16">
        <w:rPr>
          <w:rFonts w:ascii="Tahoma" w:hAnsi="Tahoma" w:cs="Tahoma"/>
          <w:i/>
          <w:sz w:val="22"/>
          <w:szCs w:val="22"/>
        </w:rPr>
        <w:t>se</w:t>
      </w:r>
      <w:r>
        <w:rPr>
          <w:rFonts w:ascii="Tahoma" w:hAnsi="Tahoma" w:cs="Tahoma"/>
          <w:sz w:val="22"/>
          <w:szCs w:val="22"/>
        </w:rPr>
        <w:t xml:space="preserve"> abstengan de aplicar el principio de la condición más beneficiosa en los casos en los que la muerte del afiliado, afiliada, pensionado o pensionada aconteció  en vigencia der la ley 797 de 2003 pero el afiliado sólo reúna los requisitos de las normas anteriores a la ley 100 original. </w:t>
      </w:r>
    </w:p>
    <w:p w:rsidR="008F2D96" w:rsidRDefault="008F2D96" w:rsidP="008B4BD9">
      <w:pPr>
        <w:pStyle w:val="Prrafodelista"/>
        <w:spacing w:line="276" w:lineRule="auto"/>
        <w:ind w:firstLine="696"/>
        <w:jc w:val="both"/>
        <w:rPr>
          <w:rFonts w:ascii="Tahoma" w:hAnsi="Tahoma" w:cs="Tahoma"/>
          <w:sz w:val="22"/>
          <w:szCs w:val="22"/>
        </w:rPr>
      </w:pPr>
    </w:p>
    <w:p w:rsidR="008F2D96" w:rsidRPr="0084245B" w:rsidRDefault="008F2D96" w:rsidP="008B4BD9">
      <w:pPr>
        <w:pStyle w:val="Prrafodelista"/>
        <w:spacing w:line="276" w:lineRule="auto"/>
        <w:jc w:val="both"/>
        <w:rPr>
          <w:rFonts w:ascii="Tahoma" w:hAnsi="Tahoma" w:cs="Tahoma"/>
          <w:spacing w:val="-2"/>
        </w:rPr>
      </w:pPr>
      <w:r>
        <w:rPr>
          <w:rFonts w:ascii="Tahoma" w:hAnsi="Tahoma" w:cs="Tahoma"/>
          <w:sz w:val="22"/>
          <w:szCs w:val="22"/>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8F2D96" w:rsidRDefault="008F2D96" w:rsidP="008B4BD9">
      <w:pPr>
        <w:spacing w:line="276" w:lineRule="auto"/>
        <w:ind w:firstLine="708"/>
        <w:jc w:val="both"/>
        <w:rPr>
          <w:rFonts w:ascii="Tahoma" w:hAnsi="Tahoma" w:cs="Tahoma"/>
          <w:spacing w:val="-2"/>
        </w:rPr>
      </w:pPr>
    </w:p>
    <w:p w:rsidR="008F2D96" w:rsidRDefault="008F2D96" w:rsidP="008B4BD9">
      <w:pPr>
        <w:spacing w:line="276" w:lineRule="auto"/>
        <w:ind w:firstLine="708"/>
        <w:jc w:val="both"/>
        <w:rPr>
          <w:rFonts w:ascii="Tahoma" w:hAnsi="Tahoma" w:cs="Tahoma"/>
          <w:spacing w:val="-2"/>
          <w:sz w:val="22"/>
          <w:szCs w:val="22"/>
        </w:rPr>
      </w:pPr>
    </w:p>
    <w:p w:rsidR="008F2D96" w:rsidRPr="0084245B" w:rsidRDefault="008F2D96" w:rsidP="008B4BD9">
      <w:pPr>
        <w:spacing w:line="276" w:lineRule="auto"/>
        <w:jc w:val="both"/>
        <w:rPr>
          <w:rFonts w:ascii="Tahoma" w:hAnsi="Tahoma" w:cs="Tahoma"/>
          <w:spacing w:val="-2"/>
          <w:sz w:val="22"/>
          <w:szCs w:val="22"/>
        </w:rPr>
      </w:pPr>
      <w:r>
        <w:rPr>
          <w:rFonts w:ascii="Tahoma" w:hAnsi="Tahoma" w:cs="Tahoma"/>
          <w:spacing w:val="-2"/>
          <w:sz w:val="22"/>
          <w:szCs w:val="22"/>
        </w:rPr>
        <w:t xml:space="preserve">En virtud de lo anterior debió </w:t>
      </w:r>
      <w:r w:rsidR="004213A7">
        <w:rPr>
          <w:rFonts w:ascii="Tahoma" w:hAnsi="Tahoma" w:cs="Tahoma"/>
          <w:spacing w:val="-2"/>
          <w:sz w:val="22"/>
          <w:szCs w:val="22"/>
        </w:rPr>
        <w:t xml:space="preserve">confirmarse </w:t>
      </w:r>
      <w:r>
        <w:rPr>
          <w:rFonts w:ascii="Tahoma" w:hAnsi="Tahoma" w:cs="Tahoma"/>
          <w:spacing w:val="-2"/>
          <w:sz w:val="22"/>
          <w:szCs w:val="22"/>
        </w:rPr>
        <w:t>la sentencia de primera instancia</w:t>
      </w:r>
      <w:r w:rsidR="004213A7">
        <w:rPr>
          <w:rFonts w:ascii="Tahoma" w:hAnsi="Tahoma" w:cs="Tahoma"/>
          <w:spacing w:val="-2"/>
          <w:sz w:val="22"/>
          <w:szCs w:val="22"/>
        </w:rPr>
        <w:t>, por medio de la cual se reconoció la pensión de invalidez al actor.</w:t>
      </w:r>
    </w:p>
    <w:p w:rsidR="008F2D96" w:rsidRDefault="008F2D96" w:rsidP="008B4BD9">
      <w:pPr>
        <w:spacing w:line="276" w:lineRule="auto"/>
        <w:ind w:firstLine="708"/>
        <w:jc w:val="both"/>
        <w:rPr>
          <w:rFonts w:ascii="Tahoma" w:hAnsi="Tahoma" w:cs="Tahoma"/>
          <w:spacing w:val="-2"/>
        </w:rPr>
      </w:pPr>
      <w:r>
        <w:rPr>
          <w:rFonts w:ascii="Tahoma" w:hAnsi="Tahoma" w:cs="Tahoma"/>
          <w:spacing w:val="-2"/>
        </w:rPr>
        <w:tab/>
      </w:r>
    </w:p>
    <w:p w:rsidR="008F2D96" w:rsidRPr="00F81906" w:rsidRDefault="008F2D96" w:rsidP="008B4BD9">
      <w:pPr>
        <w:pStyle w:val="Textoindependiente"/>
        <w:spacing w:line="276" w:lineRule="auto"/>
        <w:ind w:left="720" w:firstLine="709"/>
        <w:rPr>
          <w:rFonts w:ascii="Tahoma" w:hAnsi="Tahoma" w:cs="Tahoma"/>
          <w:sz w:val="22"/>
          <w:szCs w:val="22"/>
          <w:lang w:val="es-ES"/>
        </w:rPr>
      </w:pPr>
    </w:p>
    <w:p w:rsidR="008F2D96" w:rsidRPr="00F81906" w:rsidRDefault="008F2D96" w:rsidP="008B4BD9">
      <w:pPr>
        <w:pStyle w:val="Textoindependiente"/>
        <w:spacing w:line="276" w:lineRule="auto"/>
        <w:rPr>
          <w:rFonts w:ascii="Tahoma" w:hAnsi="Tahoma" w:cs="Tahoma"/>
          <w:sz w:val="22"/>
          <w:szCs w:val="22"/>
          <w:lang w:val="es-ES"/>
        </w:rPr>
      </w:pPr>
      <w:r w:rsidRPr="00F81906">
        <w:rPr>
          <w:rFonts w:ascii="Tahoma" w:hAnsi="Tahoma" w:cs="Tahoma"/>
          <w:sz w:val="22"/>
          <w:szCs w:val="22"/>
          <w:lang w:val="es-ES"/>
        </w:rPr>
        <w:t>En estos términos sustento mi salvamento de voto.</w:t>
      </w:r>
    </w:p>
    <w:p w:rsidR="008F2D96" w:rsidRPr="00F81906" w:rsidRDefault="008F2D96" w:rsidP="008B4BD9">
      <w:pPr>
        <w:pStyle w:val="Textoindependiente"/>
        <w:autoSpaceDE/>
        <w:autoSpaceDN/>
        <w:adjustRightInd/>
        <w:spacing w:line="276" w:lineRule="auto"/>
        <w:rPr>
          <w:rFonts w:ascii="Tahoma" w:hAnsi="Tahoma" w:cs="Tahoma"/>
          <w:sz w:val="22"/>
          <w:szCs w:val="22"/>
          <w:lang w:val="es-ES"/>
        </w:rPr>
      </w:pPr>
    </w:p>
    <w:p w:rsidR="008F2D96" w:rsidRDefault="008F2D96" w:rsidP="008B4BD9">
      <w:pPr>
        <w:widowControl w:val="0"/>
        <w:autoSpaceDE w:val="0"/>
        <w:autoSpaceDN w:val="0"/>
        <w:adjustRightInd w:val="0"/>
        <w:spacing w:line="276" w:lineRule="auto"/>
        <w:jc w:val="both"/>
        <w:rPr>
          <w:rFonts w:ascii="Tahoma" w:hAnsi="Tahoma" w:cs="Tahoma"/>
          <w:sz w:val="22"/>
          <w:szCs w:val="22"/>
        </w:rPr>
      </w:pPr>
    </w:p>
    <w:p w:rsidR="00344350" w:rsidRPr="00F81906" w:rsidRDefault="00344350" w:rsidP="008B4BD9">
      <w:pPr>
        <w:widowControl w:val="0"/>
        <w:autoSpaceDE w:val="0"/>
        <w:autoSpaceDN w:val="0"/>
        <w:adjustRightInd w:val="0"/>
        <w:spacing w:line="276" w:lineRule="auto"/>
        <w:jc w:val="both"/>
        <w:rPr>
          <w:rFonts w:ascii="Tahoma" w:hAnsi="Tahoma" w:cs="Tahoma"/>
          <w:sz w:val="22"/>
          <w:szCs w:val="22"/>
        </w:rPr>
      </w:pPr>
      <w:bookmarkStart w:id="0" w:name="_GoBack"/>
      <w:bookmarkEnd w:id="0"/>
    </w:p>
    <w:p w:rsidR="008F2D96" w:rsidRPr="00F81906" w:rsidRDefault="008F2D96" w:rsidP="008B4BD9">
      <w:pPr>
        <w:widowControl w:val="0"/>
        <w:autoSpaceDE w:val="0"/>
        <w:autoSpaceDN w:val="0"/>
        <w:adjustRightInd w:val="0"/>
        <w:spacing w:line="276" w:lineRule="auto"/>
        <w:jc w:val="both"/>
        <w:rPr>
          <w:rFonts w:ascii="Tahoma" w:hAnsi="Tahoma" w:cs="Tahoma"/>
          <w:sz w:val="22"/>
          <w:szCs w:val="22"/>
        </w:rPr>
      </w:pPr>
    </w:p>
    <w:p w:rsidR="008F2D96" w:rsidRPr="00F81906" w:rsidRDefault="008F2D96" w:rsidP="008B4BD9">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8F2D96" w:rsidRDefault="008F2D96"/>
    <w:sectPr w:rsidR="008F2D96" w:rsidSect="00FF0A79">
      <w:footerReference w:type="even" r:id="rId8"/>
      <w:foot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5B" w:rsidRDefault="00E33B5B">
      <w:r>
        <w:separator/>
      </w:r>
    </w:p>
  </w:endnote>
  <w:endnote w:type="continuationSeparator" w:id="0">
    <w:p w:rsidR="00E33B5B" w:rsidRDefault="00E3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E33B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4350">
      <w:rPr>
        <w:rStyle w:val="Nmerodepgina"/>
        <w:noProof/>
      </w:rPr>
      <w:t>5</w:t>
    </w:r>
    <w:r>
      <w:rPr>
        <w:rStyle w:val="Nmerodepgina"/>
      </w:rPr>
      <w:fldChar w:fldCharType="end"/>
    </w:r>
  </w:p>
  <w:p w:rsidR="00F0306B" w:rsidRDefault="00E33B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5B" w:rsidRDefault="00E33B5B">
      <w:r>
        <w:separator/>
      </w:r>
    </w:p>
  </w:footnote>
  <w:footnote w:type="continuationSeparator" w:id="0">
    <w:p w:rsidR="00E33B5B" w:rsidRDefault="00E33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2E6083"/>
    <w:rsid w:val="00344350"/>
    <w:rsid w:val="00380143"/>
    <w:rsid w:val="004213A7"/>
    <w:rsid w:val="004634CD"/>
    <w:rsid w:val="00521F8D"/>
    <w:rsid w:val="0055223C"/>
    <w:rsid w:val="006E285D"/>
    <w:rsid w:val="008B4BD9"/>
    <w:rsid w:val="008F2D96"/>
    <w:rsid w:val="00972239"/>
    <w:rsid w:val="00B37A3B"/>
    <w:rsid w:val="00D1601F"/>
    <w:rsid w:val="00DB18DF"/>
    <w:rsid w:val="00E33B5B"/>
    <w:rsid w:val="00E709F2"/>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239D-D638-4CCB-B775-998871F6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3124</Words>
  <Characters>17185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10</cp:revision>
  <cp:lastPrinted>2016-09-19T21:02:00Z</cp:lastPrinted>
  <dcterms:created xsi:type="dcterms:W3CDTF">2016-08-12T19:58:00Z</dcterms:created>
  <dcterms:modified xsi:type="dcterms:W3CDTF">2016-09-19T21:13:00Z</dcterms:modified>
</cp:coreProperties>
</file>