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14:paraId="4260DD62" w14:textId="0AED56F3" w:rsidR="009A4059" w:rsidRPr="006757CB" w:rsidRDefault="009A4059" w:rsidP="000F4F7B">
      <w:pPr>
        <w:pStyle w:val="Puesto"/>
        <w:pBdr>
          <w:top w:val="single" w:sz="4" w:space="1" w:color="auto"/>
          <w:left w:val="single" w:sz="4" w:space="4" w:color="auto"/>
          <w:bottom w:val="single" w:sz="4" w:space="1" w:color="auto"/>
          <w:right w:val="single" w:sz="4" w:space="4" w:color="auto"/>
        </w:pBdr>
        <w:spacing w:line="276" w:lineRule="auto"/>
        <w:jc w:val="both"/>
        <w:rPr>
          <w:rFonts w:ascii="Arial Narrow" w:hAnsi="Arial Narrow" w:cs="Tahoma"/>
          <w:b w:val="0"/>
          <w:sz w:val="18"/>
          <w:szCs w:val="18"/>
        </w:rPr>
      </w:pPr>
      <w:bookmarkStart w:id="0" w:name="_GoBack"/>
      <w:r w:rsidRPr="006757CB">
        <w:rPr>
          <w:rFonts w:ascii="Arial Narrow" w:hAnsi="Arial Narrow" w:cs="Tahoma"/>
          <w:b w:val="0"/>
          <w:sz w:val="18"/>
          <w:szCs w:val="18"/>
        </w:rPr>
        <w:t xml:space="preserve">El contenido total y fiel de la decisión debe ser verificado en el audio que reposa en la Secretaría de esta Corporación. </w:t>
      </w:r>
    </w:p>
    <w:p w14:paraId="1919BED0" w14:textId="77777777" w:rsidR="009A4059" w:rsidRPr="006757CB" w:rsidRDefault="009A4059" w:rsidP="000F4F7B">
      <w:pPr>
        <w:pStyle w:val="Puesto"/>
        <w:spacing w:line="276" w:lineRule="auto"/>
        <w:jc w:val="both"/>
        <w:rPr>
          <w:rFonts w:ascii="Tahoma" w:hAnsi="Tahoma" w:cs="Tahoma"/>
          <w:b w:val="0"/>
          <w:sz w:val="18"/>
          <w:szCs w:val="18"/>
        </w:rPr>
      </w:pPr>
    </w:p>
    <w:p w14:paraId="0BB9EC9C" w14:textId="6533AFD4" w:rsidR="009A4059" w:rsidRPr="006757CB" w:rsidRDefault="009A4059" w:rsidP="00CE773D">
      <w:pPr>
        <w:pStyle w:val="Puesto"/>
        <w:spacing w:line="240" w:lineRule="auto"/>
        <w:jc w:val="both"/>
        <w:rPr>
          <w:rFonts w:ascii="Tahoma" w:hAnsi="Tahoma" w:cs="Tahoma"/>
          <w:b w:val="0"/>
          <w:sz w:val="18"/>
          <w:szCs w:val="18"/>
        </w:rPr>
      </w:pPr>
      <w:r w:rsidRPr="006757CB">
        <w:rPr>
          <w:rFonts w:ascii="Tahoma" w:hAnsi="Tahoma" w:cs="Tahoma"/>
          <w:sz w:val="18"/>
          <w:szCs w:val="18"/>
        </w:rPr>
        <w:t>Providencia:</w:t>
      </w:r>
      <w:r w:rsidRPr="006757CB">
        <w:rPr>
          <w:rFonts w:ascii="Tahoma" w:hAnsi="Tahoma" w:cs="Tahoma"/>
          <w:b w:val="0"/>
          <w:sz w:val="18"/>
          <w:szCs w:val="18"/>
        </w:rPr>
        <w:t xml:space="preserve"> </w:t>
      </w:r>
      <w:r w:rsidRPr="006757CB">
        <w:rPr>
          <w:rFonts w:ascii="Tahoma" w:hAnsi="Tahoma" w:cs="Tahoma"/>
          <w:b w:val="0"/>
          <w:sz w:val="18"/>
          <w:szCs w:val="18"/>
        </w:rPr>
        <w:tab/>
      </w:r>
      <w:r w:rsidRPr="006757CB">
        <w:rPr>
          <w:rFonts w:ascii="Tahoma" w:hAnsi="Tahoma" w:cs="Tahoma"/>
          <w:b w:val="0"/>
          <w:sz w:val="18"/>
          <w:szCs w:val="18"/>
        </w:rPr>
        <w:tab/>
      </w:r>
      <w:r w:rsidRPr="006757CB">
        <w:rPr>
          <w:rFonts w:ascii="Tahoma" w:hAnsi="Tahoma" w:cs="Tahoma"/>
          <w:b w:val="0"/>
          <w:bCs/>
          <w:sz w:val="18"/>
          <w:szCs w:val="18"/>
        </w:rPr>
        <w:t xml:space="preserve">Sentencia del </w:t>
      </w:r>
      <w:r w:rsidR="00CB61AC" w:rsidRPr="006757CB">
        <w:rPr>
          <w:rFonts w:ascii="Tahoma" w:hAnsi="Tahoma" w:cs="Tahoma"/>
          <w:b w:val="0"/>
          <w:bCs/>
          <w:sz w:val="18"/>
          <w:szCs w:val="18"/>
        </w:rPr>
        <w:t>2</w:t>
      </w:r>
      <w:r w:rsidR="007F3C57" w:rsidRPr="006757CB">
        <w:rPr>
          <w:rFonts w:ascii="Tahoma" w:hAnsi="Tahoma" w:cs="Tahoma"/>
          <w:b w:val="0"/>
          <w:bCs/>
          <w:sz w:val="18"/>
          <w:szCs w:val="18"/>
        </w:rPr>
        <w:t xml:space="preserve"> de </w:t>
      </w:r>
      <w:r w:rsidR="00CB61AC" w:rsidRPr="006757CB">
        <w:rPr>
          <w:rFonts w:ascii="Tahoma" w:hAnsi="Tahoma" w:cs="Tahoma"/>
          <w:b w:val="0"/>
          <w:bCs/>
          <w:sz w:val="18"/>
          <w:szCs w:val="18"/>
        </w:rPr>
        <w:t>septiembre</w:t>
      </w:r>
      <w:r w:rsidR="007F3C57" w:rsidRPr="006757CB">
        <w:rPr>
          <w:rFonts w:ascii="Tahoma" w:hAnsi="Tahoma" w:cs="Tahoma"/>
          <w:b w:val="0"/>
          <w:bCs/>
          <w:sz w:val="18"/>
          <w:szCs w:val="18"/>
        </w:rPr>
        <w:t xml:space="preserve"> </w:t>
      </w:r>
      <w:r w:rsidR="00980CDA" w:rsidRPr="006757CB">
        <w:rPr>
          <w:rFonts w:ascii="Tahoma" w:hAnsi="Tahoma" w:cs="Tahoma"/>
          <w:b w:val="0"/>
          <w:bCs/>
          <w:sz w:val="18"/>
          <w:szCs w:val="18"/>
        </w:rPr>
        <w:t xml:space="preserve">de </w:t>
      </w:r>
      <w:r w:rsidRPr="006757CB">
        <w:rPr>
          <w:rFonts w:ascii="Tahoma" w:hAnsi="Tahoma" w:cs="Tahoma"/>
          <w:b w:val="0"/>
          <w:bCs/>
          <w:sz w:val="18"/>
          <w:szCs w:val="18"/>
        </w:rPr>
        <w:t>201</w:t>
      </w:r>
      <w:r w:rsidR="00C20097" w:rsidRPr="006757CB">
        <w:rPr>
          <w:rFonts w:ascii="Tahoma" w:hAnsi="Tahoma" w:cs="Tahoma"/>
          <w:b w:val="0"/>
          <w:bCs/>
          <w:sz w:val="18"/>
          <w:szCs w:val="18"/>
        </w:rPr>
        <w:t>6</w:t>
      </w:r>
      <w:r w:rsidRPr="006757CB">
        <w:rPr>
          <w:rFonts w:ascii="Tahoma" w:hAnsi="Tahoma" w:cs="Tahoma"/>
          <w:b w:val="0"/>
          <w:bCs/>
          <w:sz w:val="18"/>
          <w:szCs w:val="18"/>
        </w:rPr>
        <w:t xml:space="preserve"> </w:t>
      </w:r>
    </w:p>
    <w:p w14:paraId="76B6D53D" w14:textId="2D24E47F" w:rsidR="009A4059" w:rsidRPr="006757CB" w:rsidRDefault="009A4059" w:rsidP="00CE773D">
      <w:pPr>
        <w:pStyle w:val="Puesto"/>
        <w:spacing w:line="240" w:lineRule="auto"/>
        <w:jc w:val="both"/>
        <w:rPr>
          <w:rFonts w:ascii="Tahoma" w:hAnsi="Tahoma" w:cs="Tahoma"/>
          <w:b w:val="0"/>
          <w:sz w:val="18"/>
          <w:szCs w:val="18"/>
        </w:rPr>
      </w:pPr>
      <w:r w:rsidRPr="006757CB">
        <w:rPr>
          <w:rFonts w:ascii="Tahoma" w:hAnsi="Tahoma" w:cs="Tahoma"/>
          <w:sz w:val="18"/>
          <w:szCs w:val="18"/>
        </w:rPr>
        <w:t>Radicación No.:</w:t>
      </w:r>
      <w:r w:rsidRPr="006757CB">
        <w:rPr>
          <w:rFonts w:ascii="Tahoma" w:hAnsi="Tahoma" w:cs="Tahoma"/>
          <w:b w:val="0"/>
          <w:sz w:val="18"/>
          <w:szCs w:val="18"/>
        </w:rPr>
        <w:tab/>
      </w:r>
      <w:r w:rsidRPr="006757CB">
        <w:rPr>
          <w:rFonts w:ascii="Tahoma" w:hAnsi="Tahoma" w:cs="Tahoma"/>
          <w:b w:val="0"/>
          <w:sz w:val="18"/>
          <w:szCs w:val="18"/>
        </w:rPr>
        <w:tab/>
        <w:t>66001-31-05-00</w:t>
      </w:r>
      <w:r w:rsidR="00CB61AC" w:rsidRPr="006757CB">
        <w:rPr>
          <w:rFonts w:ascii="Tahoma" w:hAnsi="Tahoma" w:cs="Tahoma"/>
          <w:b w:val="0"/>
          <w:sz w:val="18"/>
          <w:szCs w:val="18"/>
        </w:rPr>
        <w:t>3</w:t>
      </w:r>
      <w:r w:rsidRPr="006757CB">
        <w:rPr>
          <w:rFonts w:ascii="Tahoma" w:hAnsi="Tahoma" w:cs="Tahoma"/>
          <w:b w:val="0"/>
          <w:sz w:val="18"/>
          <w:szCs w:val="18"/>
        </w:rPr>
        <w:t>-</w:t>
      </w:r>
      <w:r w:rsidR="00CB61AC" w:rsidRPr="006757CB">
        <w:rPr>
          <w:rFonts w:ascii="Tahoma" w:hAnsi="Tahoma" w:cs="Tahoma"/>
          <w:b w:val="0"/>
          <w:sz w:val="18"/>
          <w:szCs w:val="18"/>
        </w:rPr>
        <w:t>2014-00685</w:t>
      </w:r>
      <w:r w:rsidR="007F3C57" w:rsidRPr="006757CB">
        <w:rPr>
          <w:rFonts w:ascii="Tahoma" w:hAnsi="Tahoma" w:cs="Tahoma"/>
          <w:b w:val="0"/>
          <w:sz w:val="18"/>
          <w:szCs w:val="18"/>
        </w:rPr>
        <w:t>-01</w:t>
      </w:r>
    </w:p>
    <w:p w14:paraId="5F1F8AAE" w14:textId="77777777" w:rsidR="009A4059" w:rsidRPr="006757CB" w:rsidRDefault="009A4059" w:rsidP="00CE773D">
      <w:pPr>
        <w:pStyle w:val="Puesto"/>
        <w:spacing w:line="240" w:lineRule="auto"/>
        <w:jc w:val="both"/>
        <w:rPr>
          <w:rFonts w:ascii="Tahoma" w:hAnsi="Tahoma" w:cs="Tahoma"/>
          <w:b w:val="0"/>
          <w:sz w:val="18"/>
          <w:szCs w:val="18"/>
        </w:rPr>
      </w:pPr>
      <w:r w:rsidRPr="006757CB">
        <w:rPr>
          <w:rFonts w:ascii="Tahoma" w:hAnsi="Tahoma" w:cs="Tahoma"/>
          <w:sz w:val="18"/>
          <w:szCs w:val="18"/>
        </w:rPr>
        <w:t>Proceso:</w:t>
      </w:r>
      <w:r w:rsidRPr="006757CB">
        <w:rPr>
          <w:rFonts w:ascii="Tahoma" w:hAnsi="Tahoma" w:cs="Tahoma"/>
          <w:b w:val="0"/>
          <w:sz w:val="18"/>
          <w:szCs w:val="18"/>
        </w:rPr>
        <w:tab/>
      </w:r>
      <w:r w:rsidRPr="006757CB">
        <w:rPr>
          <w:rFonts w:ascii="Tahoma" w:hAnsi="Tahoma" w:cs="Tahoma"/>
          <w:b w:val="0"/>
          <w:sz w:val="18"/>
          <w:szCs w:val="18"/>
        </w:rPr>
        <w:tab/>
        <w:t xml:space="preserve">Ordinario laboral </w:t>
      </w:r>
    </w:p>
    <w:p w14:paraId="5818296C" w14:textId="787B6BE4" w:rsidR="009A4059" w:rsidRPr="006757CB" w:rsidRDefault="009A4059" w:rsidP="00CE773D">
      <w:pPr>
        <w:pStyle w:val="Puesto"/>
        <w:spacing w:line="240" w:lineRule="auto"/>
        <w:jc w:val="both"/>
        <w:rPr>
          <w:rFonts w:ascii="Tahoma" w:hAnsi="Tahoma" w:cs="Tahoma"/>
          <w:b w:val="0"/>
          <w:sz w:val="18"/>
          <w:szCs w:val="18"/>
        </w:rPr>
      </w:pPr>
      <w:r w:rsidRPr="006757CB">
        <w:rPr>
          <w:rFonts w:ascii="Tahoma" w:hAnsi="Tahoma" w:cs="Tahoma"/>
          <w:sz w:val="18"/>
          <w:szCs w:val="18"/>
        </w:rPr>
        <w:t>Demandante:</w:t>
      </w:r>
      <w:r w:rsidRPr="006757CB">
        <w:rPr>
          <w:rFonts w:ascii="Tahoma" w:hAnsi="Tahoma" w:cs="Tahoma"/>
          <w:b w:val="0"/>
          <w:sz w:val="18"/>
          <w:szCs w:val="18"/>
        </w:rPr>
        <w:tab/>
      </w:r>
      <w:r w:rsidRPr="006757CB">
        <w:rPr>
          <w:rFonts w:ascii="Tahoma" w:hAnsi="Tahoma" w:cs="Tahoma"/>
          <w:b w:val="0"/>
          <w:sz w:val="18"/>
          <w:szCs w:val="18"/>
        </w:rPr>
        <w:tab/>
      </w:r>
      <w:r w:rsidR="00CB61AC" w:rsidRPr="006757CB">
        <w:rPr>
          <w:rFonts w:ascii="Tahoma" w:hAnsi="Tahoma" w:cs="Tahoma"/>
          <w:b w:val="0"/>
          <w:sz w:val="18"/>
          <w:szCs w:val="18"/>
        </w:rPr>
        <w:t>Arturo Granada Bernal</w:t>
      </w:r>
    </w:p>
    <w:p w14:paraId="31FA09DF" w14:textId="77777777" w:rsidR="009A4059" w:rsidRPr="006757CB" w:rsidRDefault="009A4059" w:rsidP="00CE773D">
      <w:pPr>
        <w:pStyle w:val="Puesto"/>
        <w:spacing w:line="240" w:lineRule="auto"/>
        <w:ind w:left="708" w:hanging="708"/>
        <w:jc w:val="both"/>
        <w:rPr>
          <w:rFonts w:ascii="Tahoma" w:hAnsi="Tahoma" w:cs="Tahoma"/>
          <w:b w:val="0"/>
          <w:sz w:val="18"/>
          <w:szCs w:val="18"/>
        </w:rPr>
      </w:pPr>
      <w:r w:rsidRPr="006757CB">
        <w:rPr>
          <w:rFonts w:ascii="Tahoma" w:hAnsi="Tahoma" w:cs="Tahoma"/>
          <w:sz w:val="18"/>
          <w:szCs w:val="18"/>
        </w:rPr>
        <w:t>Demandado:</w:t>
      </w:r>
      <w:r w:rsidRPr="006757CB">
        <w:rPr>
          <w:rFonts w:ascii="Tahoma" w:hAnsi="Tahoma" w:cs="Tahoma"/>
          <w:b w:val="0"/>
          <w:sz w:val="18"/>
          <w:szCs w:val="18"/>
        </w:rPr>
        <w:tab/>
      </w:r>
      <w:r w:rsidRPr="006757CB">
        <w:rPr>
          <w:rFonts w:ascii="Tahoma" w:hAnsi="Tahoma" w:cs="Tahoma"/>
          <w:b w:val="0"/>
          <w:sz w:val="18"/>
          <w:szCs w:val="18"/>
        </w:rPr>
        <w:tab/>
        <w:t xml:space="preserve">Colpensiones </w:t>
      </w:r>
    </w:p>
    <w:p w14:paraId="60599098" w14:textId="04F4C3A0" w:rsidR="009A4059" w:rsidRPr="006757CB" w:rsidRDefault="009A4059" w:rsidP="00CE773D">
      <w:pPr>
        <w:pStyle w:val="Puesto"/>
        <w:spacing w:line="240" w:lineRule="auto"/>
        <w:jc w:val="both"/>
        <w:rPr>
          <w:rFonts w:ascii="Tahoma" w:hAnsi="Tahoma" w:cs="Tahoma"/>
          <w:b w:val="0"/>
          <w:sz w:val="18"/>
          <w:szCs w:val="18"/>
        </w:rPr>
      </w:pPr>
      <w:r w:rsidRPr="006757CB">
        <w:rPr>
          <w:rFonts w:ascii="Tahoma" w:hAnsi="Tahoma" w:cs="Tahoma"/>
          <w:sz w:val="18"/>
          <w:szCs w:val="18"/>
        </w:rPr>
        <w:t>Juzgado de origen:</w:t>
      </w:r>
      <w:r w:rsidRPr="006757CB">
        <w:rPr>
          <w:rFonts w:ascii="Tahoma" w:hAnsi="Tahoma" w:cs="Tahoma"/>
          <w:b w:val="0"/>
          <w:sz w:val="18"/>
          <w:szCs w:val="18"/>
        </w:rPr>
        <w:t xml:space="preserve"> </w:t>
      </w:r>
      <w:r w:rsidRPr="006757CB">
        <w:rPr>
          <w:rFonts w:ascii="Tahoma" w:hAnsi="Tahoma" w:cs="Tahoma"/>
          <w:b w:val="0"/>
          <w:sz w:val="18"/>
          <w:szCs w:val="18"/>
        </w:rPr>
        <w:tab/>
      </w:r>
      <w:r w:rsidR="005C6AFD" w:rsidRPr="006757CB">
        <w:rPr>
          <w:rFonts w:ascii="Tahoma" w:hAnsi="Tahoma" w:cs="Tahoma"/>
          <w:b w:val="0"/>
          <w:sz w:val="18"/>
          <w:szCs w:val="18"/>
        </w:rPr>
        <w:t>Segundo</w:t>
      </w:r>
      <w:r w:rsidR="007F3C57" w:rsidRPr="006757CB">
        <w:rPr>
          <w:rFonts w:ascii="Tahoma" w:hAnsi="Tahoma" w:cs="Tahoma"/>
          <w:b w:val="0"/>
          <w:sz w:val="18"/>
          <w:szCs w:val="18"/>
        </w:rPr>
        <w:t xml:space="preserve"> </w:t>
      </w:r>
      <w:r w:rsidR="00CB61AC" w:rsidRPr="006757CB">
        <w:rPr>
          <w:rFonts w:ascii="Tahoma" w:hAnsi="Tahoma" w:cs="Tahoma"/>
          <w:b w:val="0"/>
          <w:sz w:val="18"/>
          <w:szCs w:val="18"/>
        </w:rPr>
        <w:t>Tercero</w:t>
      </w:r>
      <w:r w:rsidRPr="006757CB">
        <w:rPr>
          <w:rFonts w:ascii="Tahoma" w:hAnsi="Tahoma" w:cs="Tahoma"/>
          <w:b w:val="0"/>
          <w:sz w:val="18"/>
          <w:szCs w:val="18"/>
        </w:rPr>
        <w:t xml:space="preserve"> del Circuito de Pereira</w:t>
      </w:r>
    </w:p>
    <w:p w14:paraId="670CF63A" w14:textId="77777777" w:rsidR="009A4059" w:rsidRPr="006757CB" w:rsidRDefault="009A4059" w:rsidP="00CE773D">
      <w:pPr>
        <w:pStyle w:val="Puesto"/>
        <w:spacing w:line="240" w:lineRule="auto"/>
        <w:jc w:val="both"/>
        <w:rPr>
          <w:rFonts w:ascii="Tahoma" w:hAnsi="Tahoma" w:cs="Tahoma"/>
          <w:b w:val="0"/>
          <w:sz w:val="18"/>
          <w:szCs w:val="18"/>
        </w:rPr>
      </w:pPr>
      <w:r w:rsidRPr="006757CB">
        <w:rPr>
          <w:rFonts w:ascii="Tahoma" w:hAnsi="Tahoma" w:cs="Tahoma"/>
          <w:sz w:val="18"/>
          <w:szCs w:val="18"/>
        </w:rPr>
        <w:t>Magistrada ponente:</w:t>
      </w:r>
      <w:r w:rsidRPr="006757CB">
        <w:rPr>
          <w:rFonts w:ascii="Tahoma" w:hAnsi="Tahoma" w:cs="Tahoma"/>
          <w:b w:val="0"/>
          <w:sz w:val="18"/>
          <w:szCs w:val="18"/>
        </w:rPr>
        <w:tab/>
        <w:t>Dra. Ana Lucía Caicedo Calderón</w:t>
      </w:r>
    </w:p>
    <w:p w14:paraId="3CB04709" w14:textId="73FA8594" w:rsidR="00CE773D" w:rsidRPr="006757CB" w:rsidRDefault="009A4059" w:rsidP="0070532C">
      <w:pPr>
        <w:pStyle w:val="Puesto"/>
        <w:spacing w:line="240" w:lineRule="auto"/>
        <w:ind w:left="2127" w:hanging="2127"/>
        <w:jc w:val="both"/>
        <w:rPr>
          <w:rFonts w:ascii="Tahoma" w:hAnsi="Tahoma" w:cs="Tahoma"/>
          <w:sz w:val="18"/>
          <w:szCs w:val="18"/>
        </w:rPr>
      </w:pPr>
      <w:r w:rsidRPr="006757CB">
        <w:rPr>
          <w:rFonts w:ascii="Tahoma" w:hAnsi="Tahoma" w:cs="Tahoma"/>
          <w:sz w:val="18"/>
          <w:szCs w:val="18"/>
        </w:rPr>
        <w:t>Tema:</w:t>
      </w:r>
      <w:r w:rsidRPr="006757CB">
        <w:rPr>
          <w:rFonts w:ascii="Tahoma" w:hAnsi="Tahoma" w:cs="Tahoma"/>
          <w:sz w:val="18"/>
          <w:szCs w:val="18"/>
        </w:rPr>
        <w:tab/>
      </w:r>
      <w:r w:rsidR="000F19BF" w:rsidRPr="006757CB">
        <w:rPr>
          <w:rFonts w:ascii="Tahoma" w:hAnsi="Tahoma" w:cs="Tahoma"/>
          <w:sz w:val="18"/>
          <w:szCs w:val="18"/>
        </w:rPr>
        <w:t>Obtención del ingreso base de liquidación para las personas beneficiarias del régimen de transición establecido en el artículo 36 de la ley 100 de 1993</w:t>
      </w:r>
      <w:r w:rsidR="00376339" w:rsidRPr="006757CB">
        <w:rPr>
          <w:rFonts w:ascii="Tahoma" w:hAnsi="Tahoma" w:cs="Tahoma"/>
          <w:sz w:val="18"/>
          <w:szCs w:val="18"/>
        </w:rPr>
        <w:t xml:space="preserve">: </w:t>
      </w:r>
      <w:r w:rsidR="00376339" w:rsidRPr="006757CB">
        <w:rPr>
          <w:rFonts w:ascii="Tahoma" w:hAnsi="Tahoma" w:cs="Tahoma"/>
          <w:b w:val="0"/>
          <w:sz w:val="18"/>
          <w:szCs w:val="18"/>
        </w:rPr>
        <w:t>Ha sido reiterada la jurisprudencia de esta Corporación en el sentido de afirmar que el ingreso base de liquidación de los beneficiarios del régimen de transición depende del tiempo que le hiciere falta a los mismos para acceder a la prestación. Así, a quienes les faltaban menos de 10 años a la entrada en vigencia de la Ley 100 de 1993 para acceder a la prestación se les aplicará el tercer inciso del artículo 36 de la Ley 100 de 1993, esto es, aplicar el promedio de lo devengado en el tiempo que les hiciere falta para adquirir el derecho, o el cotizado durante todo el tiempo si este fuere superior, actualizado anualmente con base en la variación del índice de precios al consumidor, según certificación que expida el DANE.</w:t>
      </w:r>
    </w:p>
    <w:p w14:paraId="51A1F125" w14:textId="77777777" w:rsidR="00CE773D" w:rsidRPr="006757CB" w:rsidRDefault="00CE773D" w:rsidP="000F4F7B">
      <w:pPr>
        <w:pStyle w:val="Puesto"/>
        <w:spacing w:line="276" w:lineRule="auto"/>
        <w:ind w:left="2127"/>
        <w:jc w:val="both"/>
        <w:rPr>
          <w:rFonts w:ascii="Tahoma" w:hAnsi="Tahoma" w:cs="Tahoma"/>
          <w:sz w:val="18"/>
          <w:szCs w:val="18"/>
        </w:rPr>
      </w:pPr>
    </w:p>
    <w:p w14:paraId="4CAD0037" w14:textId="77777777" w:rsidR="00CE773D" w:rsidRPr="006757CB" w:rsidRDefault="00CE773D" w:rsidP="000F4F7B">
      <w:pPr>
        <w:pStyle w:val="Puesto"/>
        <w:spacing w:line="276" w:lineRule="auto"/>
        <w:ind w:left="2127"/>
        <w:jc w:val="both"/>
        <w:rPr>
          <w:rFonts w:ascii="Tahoma" w:hAnsi="Tahoma" w:cs="Tahoma"/>
          <w:b w:val="0"/>
          <w:bCs/>
          <w:sz w:val="18"/>
          <w:szCs w:val="18"/>
        </w:rPr>
      </w:pPr>
    </w:p>
    <w:p w14:paraId="23EE2DC7" w14:textId="77777777" w:rsidR="009A4059" w:rsidRPr="006757CB" w:rsidRDefault="009A4059" w:rsidP="000F4F7B">
      <w:pPr>
        <w:pStyle w:val="Ttulo4"/>
        <w:widowControl w:val="0"/>
        <w:tabs>
          <w:tab w:val="clear" w:pos="0"/>
        </w:tabs>
        <w:spacing w:line="276" w:lineRule="auto"/>
        <w:rPr>
          <w:rFonts w:ascii="Tahoma" w:hAnsi="Tahoma" w:cs="Tahoma"/>
          <w:bCs/>
          <w:szCs w:val="24"/>
          <w:lang w:eastAsia="es-MX"/>
        </w:rPr>
      </w:pPr>
      <w:r w:rsidRPr="006757CB">
        <w:rPr>
          <w:rFonts w:ascii="Tahoma" w:hAnsi="Tahoma" w:cs="Tahoma"/>
          <w:bCs/>
          <w:szCs w:val="24"/>
          <w:lang w:eastAsia="es-MX"/>
        </w:rPr>
        <w:t>TRIBUNAL SUPERIOR DEL DISTRITO JUDICIAL DE PEREIRA</w:t>
      </w:r>
    </w:p>
    <w:p w14:paraId="035EDF13" w14:textId="17D26140" w:rsidR="009A4059" w:rsidRPr="006757CB" w:rsidRDefault="009A4059" w:rsidP="000F4F7B">
      <w:pPr>
        <w:pStyle w:val="Ttulo4"/>
        <w:widowControl w:val="0"/>
        <w:tabs>
          <w:tab w:val="clear" w:pos="0"/>
        </w:tabs>
        <w:spacing w:line="276" w:lineRule="auto"/>
        <w:rPr>
          <w:rFonts w:ascii="Tahoma" w:hAnsi="Tahoma" w:cs="Tahoma"/>
          <w:bCs/>
          <w:szCs w:val="24"/>
          <w:lang w:eastAsia="es-MX"/>
        </w:rPr>
      </w:pPr>
      <w:r w:rsidRPr="006757CB">
        <w:rPr>
          <w:rFonts w:ascii="Tahoma" w:hAnsi="Tahoma" w:cs="Tahoma"/>
          <w:bCs/>
          <w:szCs w:val="24"/>
          <w:lang w:eastAsia="es-MX"/>
        </w:rPr>
        <w:t xml:space="preserve">SALA </w:t>
      </w:r>
      <w:r w:rsidR="000F19BF" w:rsidRPr="006757CB">
        <w:rPr>
          <w:rFonts w:ascii="Tahoma" w:hAnsi="Tahoma" w:cs="Tahoma"/>
          <w:bCs/>
          <w:szCs w:val="24"/>
          <w:lang w:eastAsia="es-MX"/>
        </w:rPr>
        <w:t xml:space="preserve">DE DECISIÓN </w:t>
      </w:r>
      <w:r w:rsidRPr="006757CB">
        <w:rPr>
          <w:rFonts w:ascii="Tahoma" w:hAnsi="Tahoma" w:cs="Tahoma"/>
          <w:bCs/>
          <w:szCs w:val="24"/>
          <w:lang w:eastAsia="es-MX"/>
        </w:rPr>
        <w:t>LABORAL</w:t>
      </w:r>
      <w:r w:rsidR="000F19BF" w:rsidRPr="006757CB">
        <w:rPr>
          <w:rFonts w:ascii="Tahoma" w:hAnsi="Tahoma" w:cs="Tahoma"/>
          <w:bCs/>
          <w:szCs w:val="24"/>
          <w:lang w:eastAsia="es-MX"/>
        </w:rPr>
        <w:t xml:space="preserve"> No. 1</w:t>
      </w:r>
    </w:p>
    <w:p w14:paraId="69A07CB8" w14:textId="77777777" w:rsidR="009A4059" w:rsidRPr="006757CB" w:rsidRDefault="009A4059" w:rsidP="00794993">
      <w:pPr>
        <w:pStyle w:val="Sinespaciado"/>
        <w:rPr>
          <w:sz w:val="22"/>
          <w:szCs w:val="22"/>
        </w:rPr>
      </w:pPr>
    </w:p>
    <w:p w14:paraId="4CDD8E1D" w14:textId="77777777" w:rsidR="009A4059" w:rsidRPr="006757CB" w:rsidRDefault="009A4059" w:rsidP="00524EFE">
      <w:pPr>
        <w:jc w:val="center"/>
        <w:rPr>
          <w:rFonts w:ascii="Tahoma" w:hAnsi="Tahoma" w:cs="Tahoma"/>
          <w:b/>
          <w:bCs/>
          <w:sz w:val="22"/>
          <w:szCs w:val="22"/>
        </w:rPr>
      </w:pPr>
      <w:r w:rsidRPr="006757CB">
        <w:rPr>
          <w:rFonts w:ascii="Tahoma" w:hAnsi="Tahoma" w:cs="Tahoma"/>
          <w:bCs/>
          <w:sz w:val="22"/>
          <w:szCs w:val="22"/>
        </w:rPr>
        <w:t>Magistrada Ponente:</w:t>
      </w:r>
      <w:r w:rsidRPr="006757CB">
        <w:rPr>
          <w:rFonts w:ascii="Tahoma" w:hAnsi="Tahoma" w:cs="Tahoma"/>
          <w:b/>
          <w:bCs/>
          <w:sz w:val="22"/>
          <w:szCs w:val="22"/>
        </w:rPr>
        <w:t xml:space="preserve"> Ana Lucía Caicedo Calderón</w:t>
      </w:r>
    </w:p>
    <w:p w14:paraId="6AA1BE42" w14:textId="77777777" w:rsidR="009A4059" w:rsidRPr="006757CB" w:rsidRDefault="009A4059" w:rsidP="00524EFE">
      <w:pPr>
        <w:pStyle w:val="Sinespaciado"/>
        <w:rPr>
          <w:sz w:val="22"/>
          <w:szCs w:val="22"/>
        </w:rPr>
      </w:pPr>
    </w:p>
    <w:p w14:paraId="5A0CCE01" w14:textId="77777777" w:rsidR="009A4059" w:rsidRPr="006757CB" w:rsidRDefault="00D83F33" w:rsidP="00524EFE">
      <w:pPr>
        <w:jc w:val="center"/>
        <w:rPr>
          <w:rFonts w:ascii="Tahoma" w:hAnsi="Tahoma" w:cs="Tahoma"/>
          <w:b/>
          <w:sz w:val="22"/>
          <w:szCs w:val="22"/>
        </w:rPr>
      </w:pPr>
      <w:r w:rsidRPr="006757CB">
        <w:rPr>
          <w:rFonts w:ascii="Tahoma" w:hAnsi="Tahoma" w:cs="Tahoma"/>
          <w:b/>
          <w:sz w:val="22"/>
          <w:szCs w:val="22"/>
        </w:rPr>
        <w:t xml:space="preserve">Acta </w:t>
      </w:r>
      <w:r w:rsidR="009A4059" w:rsidRPr="006757CB">
        <w:rPr>
          <w:rFonts w:ascii="Tahoma" w:hAnsi="Tahoma" w:cs="Tahoma"/>
          <w:b/>
          <w:sz w:val="22"/>
          <w:szCs w:val="22"/>
        </w:rPr>
        <w:t>No. ____</w:t>
      </w:r>
    </w:p>
    <w:p w14:paraId="3847E903" w14:textId="34E85BAD" w:rsidR="009A4059" w:rsidRPr="006757CB" w:rsidRDefault="009A4059" w:rsidP="00524EFE">
      <w:pPr>
        <w:jc w:val="center"/>
        <w:rPr>
          <w:rFonts w:ascii="Tahoma" w:hAnsi="Tahoma" w:cs="Tahoma"/>
          <w:b/>
          <w:sz w:val="22"/>
          <w:szCs w:val="22"/>
        </w:rPr>
      </w:pPr>
      <w:r w:rsidRPr="006757CB">
        <w:rPr>
          <w:rFonts w:ascii="Tahoma" w:hAnsi="Tahoma" w:cs="Tahoma"/>
          <w:b/>
          <w:sz w:val="22"/>
          <w:szCs w:val="22"/>
        </w:rPr>
        <w:t>(</w:t>
      </w:r>
      <w:r w:rsidR="00CB61AC" w:rsidRPr="006757CB">
        <w:rPr>
          <w:rFonts w:ascii="Tahoma" w:hAnsi="Tahoma" w:cs="Tahoma"/>
          <w:b/>
          <w:sz w:val="22"/>
          <w:szCs w:val="22"/>
        </w:rPr>
        <w:t>Septiembre 2</w:t>
      </w:r>
      <w:r w:rsidR="007F3C57" w:rsidRPr="006757CB">
        <w:rPr>
          <w:rFonts w:ascii="Tahoma" w:hAnsi="Tahoma" w:cs="Tahoma"/>
          <w:b/>
          <w:sz w:val="22"/>
          <w:szCs w:val="22"/>
        </w:rPr>
        <w:t xml:space="preserve"> </w:t>
      </w:r>
      <w:r w:rsidR="00C20097" w:rsidRPr="006757CB">
        <w:rPr>
          <w:rFonts w:ascii="Tahoma" w:hAnsi="Tahoma" w:cs="Tahoma"/>
          <w:b/>
          <w:sz w:val="22"/>
          <w:szCs w:val="22"/>
        </w:rPr>
        <w:t>de 2016</w:t>
      </w:r>
      <w:r w:rsidRPr="006757CB">
        <w:rPr>
          <w:rFonts w:ascii="Tahoma" w:hAnsi="Tahoma" w:cs="Tahoma"/>
          <w:b/>
          <w:sz w:val="22"/>
          <w:szCs w:val="22"/>
        </w:rPr>
        <w:t>)</w:t>
      </w:r>
    </w:p>
    <w:p w14:paraId="39C2DA1A" w14:textId="77777777" w:rsidR="009A4059" w:rsidRPr="006757CB" w:rsidRDefault="009A4059" w:rsidP="00524EFE">
      <w:pPr>
        <w:pStyle w:val="Sinespaciado"/>
        <w:rPr>
          <w:sz w:val="22"/>
          <w:szCs w:val="22"/>
        </w:rPr>
      </w:pPr>
    </w:p>
    <w:p w14:paraId="0335F243" w14:textId="77777777" w:rsidR="009A4059" w:rsidRPr="006757CB" w:rsidRDefault="009A4059" w:rsidP="00524EFE">
      <w:pPr>
        <w:pStyle w:val="Ttulo5"/>
        <w:spacing w:line="240" w:lineRule="auto"/>
        <w:ind w:firstLine="0"/>
        <w:jc w:val="center"/>
        <w:rPr>
          <w:rFonts w:ascii="Tahoma" w:hAnsi="Tahoma" w:cs="Tahoma"/>
          <w:sz w:val="22"/>
          <w:szCs w:val="22"/>
        </w:rPr>
      </w:pPr>
      <w:r w:rsidRPr="006757CB">
        <w:rPr>
          <w:rFonts w:ascii="Tahoma" w:hAnsi="Tahoma" w:cs="Tahoma"/>
          <w:sz w:val="22"/>
          <w:szCs w:val="22"/>
        </w:rPr>
        <w:t>Sistema oral - Audiencia de juzgamiento</w:t>
      </w:r>
    </w:p>
    <w:p w14:paraId="479BAD83" w14:textId="77777777" w:rsidR="009A4059" w:rsidRPr="006757CB" w:rsidRDefault="009A4059" w:rsidP="00794993">
      <w:pPr>
        <w:pStyle w:val="Sinespaciado"/>
        <w:rPr>
          <w:sz w:val="22"/>
          <w:szCs w:val="22"/>
          <w:lang w:val="es-ES_tradnl"/>
        </w:rPr>
      </w:pPr>
      <w:r w:rsidRPr="006757CB">
        <w:rPr>
          <w:sz w:val="22"/>
          <w:szCs w:val="22"/>
        </w:rPr>
        <w:tab/>
      </w:r>
    </w:p>
    <w:p w14:paraId="3A5C44C6" w14:textId="34D6F100" w:rsidR="009A4059" w:rsidRPr="006757CB" w:rsidRDefault="00980CDA" w:rsidP="000F4F7B">
      <w:pPr>
        <w:spacing w:line="276" w:lineRule="auto"/>
        <w:ind w:firstLine="708"/>
        <w:jc w:val="both"/>
        <w:rPr>
          <w:rFonts w:ascii="Tahoma" w:hAnsi="Tahoma" w:cs="Tahoma"/>
          <w:sz w:val="22"/>
          <w:szCs w:val="22"/>
          <w:lang w:val="es-ES_tradnl"/>
        </w:rPr>
      </w:pPr>
      <w:r w:rsidRPr="006757CB">
        <w:rPr>
          <w:rFonts w:ascii="Tahoma" w:hAnsi="Tahoma" w:cs="Tahoma"/>
          <w:sz w:val="22"/>
          <w:szCs w:val="22"/>
          <w:lang w:val="es-ES_tradnl"/>
        </w:rPr>
        <w:t xml:space="preserve">Siendo </w:t>
      </w:r>
      <w:r w:rsidR="009A4059" w:rsidRPr="006757CB">
        <w:rPr>
          <w:rFonts w:ascii="Tahoma" w:hAnsi="Tahoma" w:cs="Tahoma"/>
          <w:sz w:val="22"/>
          <w:szCs w:val="22"/>
          <w:lang w:val="es-ES_tradnl"/>
        </w:rPr>
        <w:t xml:space="preserve">las </w:t>
      </w:r>
      <w:r w:rsidR="000F19BF" w:rsidRPr="006757CB">
        <w:rPr>
          <w:rFonts w:ascii="Tahoma" w:hAnsi="Tahoma" w:cs="Tahoma"/>
          <w:sz w:val="22"/>
          <w:szCs w:val="22"/>
          <w:lang w:val="es-ES_tradnl"/>
        </w:rPr>
        <w:t>2:30 p.m.</w:t>
      </w:r>
      <w:r w:rsidR="00C30D72" w:rsidRPr="006757CB">
        <w:rPr>
          <w:rFonts w:ascii="Tahoma" w:hAnsi="Tahoma" w:cs="Tahoma"/>
          <w:sz w:val="22"/>
          <w:szCs w:val="22"/>
          <w:lang w:val="es-ES_tradnl"/>
        </w:rPr>
        <w:t xml:space="preserve"> </w:t>
      </w:r>
      <w:r w:rsidR="009A4059" w:rsidRPr="006757CB">
        <w:rPr>
          <w:rFonts w:ascii="Tahoma" w:hAnsi="Tahoma" w:cs="Tahoma"/>
          <w:sz w:val="22"/>
          <w:szCs w:val="22"/>
          <w:lang w:val="es-ES_tradnl"/>
        </w:rPr>
        <w:t>de hoy</w:t>
      </w:r>
      <w:r w:rsidR="00D90180" w:rsidRPr="006757CB">
        <w:rPr>
          <w:rFonts w:ascii="Tahoma" w:hAnsi="Tahoma" w:cs="Tahoma"/>
          <w:sz w:val="22"/>
          <w:szCs w:val="22"/>
          <w:lang w:val="es-ES_tradnl"/>
        </w:rPr>
        <w:t xml:space="preserve">, </w:t>
      </w:r>
      <w:r w:rsidR="00C20097" w:rsidRPr="006757CB">
        <w:rPr>
          <w:rFonts w:ascii="Tahoma" w:hAnsi="Tahoma" w:cs="Tahoma"/>
          <w:sz w:val="22"/>
          <w:szCs w:val="22"/>
          <w:lang w:val="es-ES_tradnl"/>
        </w:rPr>
        <w:t>viern</w:t>
      </w:r>
      <w:r w:rsidR="00663AFF" w:rsidRPr="006757CB">
        <w:rPr>
          <w:rFonts w:ascii="Tahoma" w:hAnsi="Tahoma" w:cs="Tahoma"/>
          <w:sz w:val="22"/>
          <w:szCs w:val="22"/>
          <w:lang w:val="es-ES_tradnl"/>
        </w:rPr>
        <w:t>es</w:t>
      </w:r>
      <w:r w:rsidRPr="006757CB">
        <w:rPr>
          <w:rFonts w:ascii="Tahoma" w:hAnsi="Tahoma" w:cs="Tahoma"/>
          <w:sz w:val="22"/>
          <w:szCs w:val="22"/>
          <w:lang w:val="es-ES_tradnl"/>
        </w:rPr>
        <w:t xml:space="preserve"> </w:t>
      </w:r>
      <w:r w:rsidR="00CB61AC" w:rsidRPr="006757CB">
        <w:rPr>
          <w:rFonts w:ascii="Tahoma" w:hAnsi="Tahoma" w:cs="Tahoma"/>
          <w:sz w:val="22"/>
          <w:szCs w:val="22"/>
          <w:lang w:val="es-ES_tradnl"/>
        </w:rPr>
        <w:t>2 de septiembre</w:t>
      </w:r>
      <w:r w:rsidR="00C20097" w:rsidRPr="006757CB">
        <w:rPr>
          <w:rFonts w:ascii="Tahoma" w:hAnsi="Tahoma" w:cs="Tahoma"/>
          <w:sz w:val="22"/>
          <w:szCs w:val="22"/>
          <w:lang w:val="es-ES_tradnl"/>
        </w:rPr>
        <w:t xml:space="preserve"> </w:t>
      </w:r>
      <w:r w:rsidR="009A4059" w:rsidRPr="006757CB">
        <w:rPr>
          <w:rFonts w:ascii="Tahoma" w:hAnsi="Tahoma" w:cs="Tahoma"/>
          <w:sz w:val="22"/>
          <w:szCs w:val="22"/>
          <w:lang w:val="es-ES_tradnl"/>
        </w:rPr>
        <w:t>de 201</w:t>
      </w:r>
      <w:r w:rsidR="00C20097" w:rsidRPr="006757CB">
        <w:rPr>
          <w:rFonts w:ascii="Tahoma" w:hAnsi="Tahoma" w:cs="Tahoma"/>
          <w:sz w:val="22"/>
          <w:szCs w:val="22"/>
          <w:lang w:val="es-ES_tradnl"/>
        </w:rPr>
        <w:t>6</w:t>
      </w:r>
      <w:r w:rsidR="009A4059" w:rsidRPr="006757CB">
        <w:rPr>
          <w:rFonts w:ascii="Tahoma" w:hAnsi="Tahoma" w:cs="Tahoma"/>
          <w:sz w:val="22"/>
          <w:szCs w:val="22"/>
          <w:lang w:val="es-ES_tradnl"/>
        </w:rPr>
        <w:t xml:space="preserve">, la Sala de Decisión Laboral del Tribunal Superior de Pereira se constituye en </w:t>
      </w:r>
      <w:r w:rsidR="00D90180" w:rsidRPr="006757CB">
        <w:rPr>
          <w:rFonts w:ascii="Tahoma" w:hAnsi="Tahoma" w:cs="Tahoma"/>
          <w:sz w:val="22"/>
          <w:szCs w:val="22"/>
          <w:lang w:val="es-ES_tradnl"/>
        </w:rPr>
        <w:t xml:space="preserve">audiencia pública </w:t>
      </w:r>
      <w:r w:rsidR="009A4059" w:rsidRPr="006757CB">
        <w:rPr>
          <w:rFonts w:ascii="Tahoma" w:hAnsi="Tahoma" w:cs="Tahoma"/>
          <w:sz w:val="22"/>
          <w:szCs w:val="22"/>
          <w:lang w:val="es-ES_tradnl"/>
        </w:rPr>
        <w:t xml:space="preserve">de </w:t>
      </w:r>
      <w:r w:rsidR="00D90180" w:rsidRPr="006757CB">
        <w:rPr>
          <w:rFonts w:ascii="Tahoma" w:hAnsi="Tahoma" w:cs="Tahoma"/>
          <w:sz w:val="22"/>
          <w:szCs w:val="22"/>
          <w:lang w:val="es-ES_tradnl"/>
        </w:rPr>
        <w:t>juzgamiento</w:t>
      </w:r>
      <w:r w:rsidR="009A4059" w:rsidRPr="006757CB">
        <w:rPr>
          <w:rFonts w:ascii="Tahoma" w:hAnsi="Tahoma" w:cs="Tahoma"/>
          <w:sz w:val="22"/>
          <w:szCs w:val="22"/>
          <w:lang w:val="es-ES_tradnl"/>
        </w:rPr>
        <w:t xml:space="preserve"> en el proceso ordinario laboral instaurado por </w:t>
      </w:r>
      <w:r w:rsidR="00CB61AC" w:rsidRPr="006757CB">
        <w:rPr>
          <w:rFonts w:ascii="Tahoma" w:hAnsi="Tahoma" w:cs="Tahoma"/>
          <w:b/>
          <w:sz w:val="22"/>
          <w:szCs w:val="22"/>
          <w:lang w:val="es-ES_tradnl"/>
        </w:rPr>
        <w:t>Arturo Granada Bernal</w:t>
      </w:r>
      <w:r w:rsidRPr="006757CB">
        <w:rPr>
          <w:rFonts w:ascii="Tahoma" w:hAnsi="Tahoma" w:cs="Tahoma"/>
          <w:sz w:val="22"/>
          <w:szCs w:val="22"/>
          <w:lang w:val="es-ES_tradnl"/>
        </w:rPr>
        <w:t xml:space="preserve"> </w:t>
      </w:r>
      <w:r w:rsidR="009C29D3" w:rsidRPr="006757CB">
        <w:rPr>
          <w:rFonts w:ascii="Tahoma" w:hAnsi="Tahoma" w:cs="Tahoma"/>
          <w:sz w:val="22"/>
          <w:szCs w:val="22"/>
          <w:lang w:val="es-ES_tradnl"/>
        </w:rPr>
        <w:t>en</w:t>
      </w:r>
      <w:r w:rsidR="009A4059" w:rsidRPr="006757CB">
        <w:rPr>
          <w:rFonts w:ascii="Tahoma" w:hAnsi="Tahoma" w:cs="Tahoma"/>
          <w:sz w:val="22"/>
          <w:szCs w:val="22"/>
          <w:lang w:val="es-ES_tradnl"/>
        </w:rPr>
        <w:t xml:space="preserve"> contra de</w:t>
      </w:r>
      <w:r w:rsidR="00D90180" w:rsidRPr="006757CB">
        <w:rPr>
          <w:rFonts w:ascii="Tahoma" w:hAnsi="Tahoma" w:cs="Tahoma"/>
          <w:sz w:val="22"/>
          <w:szCs w:val="22"/>
          <w:lang w:val="es-ES_tradnl"/>
        </w:rPr>
        <w:t xml:space="preserve"> </w:t>
      </w:r>
      <w:r w:rsidR="009A4059" w:rsidRPr="006757CB">
        <w:rPr>
          <w:rFonts w:ascii="Tahoma" w:hAnsi="Tahoma" w:cs="Tahoma"/>
          <w:sz w:val="22"/>
          <w:szCs w:val="22"/>
          <w:lang w:val="es-ES_tradnl"/>
        </w:rPr>
        <w:t>l</w:t>
      </w:r>
      <w:r w:rsidR="00D90180" w:rsidRPr="006757CB">
        <w:rPr>
          <w:rFonts w:ascii="Tahoma" w:hAnsi="Tahoma" w:cs="Tahoma"/>
          <w:sz w:val="22"/>
          <w:szCs w:val="22"/>
          <w:lang w:val="es-ES_tradnl"/>
        </w:rPr>
        <w:t>a</w:t>
      </w:r>
      <w:r w:rsidR="009A4059" w:rsidRPr="006757CB">
        <w:rPr>
          <w:rFonts w:ascii="Tahoma" w:hAnsi="Tahoma" w:cs="Tahoma"/>
          <w:sz w:val="22"/>
          <w:szCs w:val="22"/>
          <w:lang w:val="es-ES_tradnl"/>
        </w:rPr>
        <w:t xml:space="preserve"> </w:t>
      </w:r>
      <w:r w:rsidR="00D90180" w:rsidRPr="006757CB">
        <w:rPr>
          <w:rFonts w:ascii="Tahoma" w:hAnsi="Tahoma" w:cs="Tahoma"/>
          <w:b/>
          <w:sz w:val="22"/>
          <w:szCs w:val="22"/>
          <w:lang w:val="es-ES_tradnl"/>
        </w:rPr>
        <w:t>Administradora Colombiana de Pensiones “Colpensiones”</w:t>
      </w:r>
      <w:r w:rsidR="009A4059" w:rsidRPr="006757CB">
        <w:rPr>
          <w:rFonts w:ascii="Tahoma" w:hAnsi="Tahoma" w:cs="Tahoma"/>
          <w:sz w:val="22"/>
          <w:szCs w:val="22"/>
          <w:lang w:val="es-ES_tradnl"/>
        </w:rPr>
        <w:t>.</w:t>
      </w:r>
    </w:p>
    <w:p w14:paraId="00C723AB" w14:textId="77777777" w:rsidR="009A4059" w:rsidRPr="006757CB" w:rsidRDefault="009A4059" w:rsidP="002146A5">
      <w:pPr>
        <w:pStyle w:val="Sinespaciado"/>
        <w:rPr>
          <w:sz w:val="22"/>
          <w:szCs w:val="22"/>
        </w:rPr>
      </w:pPr>
    </w:p>
    <w:p w14:paraId="72B01263" w14:textId="77777777" w:rsidR="009A4059" w:rsidRPr="006757CB" w:rsidRDefault="009A4059" w:rsidP="000F4F7B">
      <w:pPr>
        <w:spacing w:line="276" w:lineRule="auto"/>
        <w:ind w:firstLine="708"/>
        <w:jc w:val="both"/>
        <w:rPr>
          <w:rFonts w:ascii="Tahoma" w:hAnsi="Tahoma" w:cs="Tahoma"/>
          <w:sz w:val="22"/>
          <w:szCs w:val="22"/>
          <w:lang w:val="es-ES_tradnl"/>
        </w:rPr>
      </w:pPr>
      <w:r w:rsidRPr="006757CB">
        <w:rPr>
          <w:rFonts w:ascii="Tahoma" w:hAnsi="Tahoma" w:cs="Tahoma"/>
          <w:sz w:val="22"/>
          <w:szCs w:val="22"/>
          <w:lang w:val="es-ES_tradnl"/>
        </w:rPr>
        <w:t>Para el efecto, se verifica la asistencia de las partes a la presente diligencia:</w:t>
      </w:r>
      <w:r w:rsidR="00C30D72" w:rsidRPr="006757CB">
        <w:rPr>
          <w:rFonts w:ascii="Tahoma" w:hAnsi="Tahoma" w:cs="Tahoma"/>
          <w:sz w:val="22"/>
          <w:szCs w:val="22"/>
          <w:lang w:val="es-ES_tradnl"/>
        </w:rPr>
        <w:t xml:space="preserve"> </w:t>
      </w:r>
      <w:r w:rsidRPr="006757CB">
        <w:rPr>
          <w:rFonts w:ascii="Tahoma" w:hAnsi="Tahoma" w:cs="Tahoma"/>
          <w:sz w:val="22"/>
          <w:szCs w:val="22"/>
          <w:lang w:val="es-ES_tradnl"/>
        </w:rPr>
        <w:t>Por la parte demandante…</w:t>
      </w:r>
      <w:r w:rsidR="00D90180" w:rsidRPr="006757CB">
        <w:rPr>
          <w:rFonts w:ascii="Tahoma" w:hAnsi="Tahoma" w:cs="Tahoma"/>
          <w:sz w:val="22"/>
          <w:szCs w:val="22"/>
          <w:lang w:val="es-ES_tradnl"/>
        </w:rPr>
        <w:t xml:space="preserve"> </w:t>
      </w:r>
      <w:r w:rsidRPr="006757CB">
        <w:rPr>
          <w:rFonts w:ascii="Tahoma" w:hAnsi="Tahoma" w:cs="Tahoma"/>
          <w:sz w:val="22"/>
          <w:szCs w:val="22"/>
          <w:lang w:val="es-ES_tradnl"/>
        </w:rPr>
        <w:t>Por la demandada…</w:t>
      </w:r>
    </w:p>
    <w:p w14:paraId="0BA1E42D" w14:textId="77777777" w:rsidR="009A4059" w:rsidRPr="006757CB" w:rsidRDefault="00D90180" w:rsidP="000F4F7B">
      <w:pPr>
        <w:widowControl w:val="0"/>
        <w:autoSpaceDE w:val="0"/>
        <w:autoSpaceDN w:val="0"/>
        <w:adjustRightInd w:val="0"/>
        <w:spacing w:line="276" w:lineRule="auto"/>
        <w:jc w:val="center"/>
        <w:rPr>
          <w:rFonts w:ascii="Tahoma" w:hAnsi="Tahoma" w:cs="Tahoma"/>
          <w:b/>
          <w:sz w:val="22"/>
          <w:szCs w:val="22"/>
        </w:rPr>
      </w:pPr>
      <w:r w:rsidRPr="006757CB">
        <w:rPr>
          <w:rFonts w:ascii="Tahoma" w:hAnsi="Tahoma" w:cs="Tahoma"/>
          <w:b/>
          <w:sz w:val="22"/>
          <w:szCs w:val="22"/>
        </w:rPr>
        <w:t>Alegatos de conclusión</w:t>
      </w:r>
    </w:p>
    <w:p w14:paraId="5CBB39C2" w14:textId="77777777" w:rsidR="009A4059" w:rsidRPr="006757CB" w:rsidRDefault="009A4059" w:rsidP="008D0272">
      <w:pPr>
        <w:pStyle w:val="Sinespaciado"/>
        <w:rPr>
          <w:sz w:val="22"/>
          <w:szCs w:val="22"/>
        </w:rPr>
      </w:pPr>
    </w:p>
    <w:p w14:paraId="15A3B626" w14:textId="77777777" w:rsidR="009A4059" w:rsidRPr="006757CB" w:rsidRDefault="009A4059" w:rsidP="000F4F7B">
      <w:pPr>
        <w:spacing w:line="276" w:lineRule="auto"/>
        <w:ind w:firstLine="708"/>
        <w:jc w:val="both"/>
        <w:rPr>
          <w:rFonts w:ascii="Tahoma" w:hAnsi="Tahoma" w:cs="Tahoma"/>
          <w:sz w:val="22"/>
          <w:szCs w:val="22"/>
          <w:lang w:val="es-ES_tradnl"/>
        </w:rPr>
      </w:pPr>
      <w:r w:rsidRPr="006757CB">
        <w:rPr>
          <w:rFonts w:ascii="Tahoma" w:hAnsi="Tahoma" w:cs="Tahoma"/>
          <w:sz w:val="22"/>
          <w:szCs w:val="22"/>
          <w:lang w:val="es-ES_tradnl"/>
        </w:rPr>
        <w:t xml:space="preserve">De conformidad con el artículo 82 del C.P.T y de la </w:t>
      </w:r>
      <w:r w:rsidR="00E90014" w:rsidRPr="006757CB">
        <w:rPr>
          <w:rFonts w:ascii="Tahoma" w:hAnsi="Tahoma" w:cs="Tahoma"/>
          <w:sz w:val="22"/>
          <w:szCs w:val="22"/>
          <w:lang w:val="es-ES_tradnl"/>
        </w:rPr>
        <w:t>s.s</w:t>
      </w:r>
      <w:r w:rsidRPr="006757CB">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6757CB">
        <w:rPr>
          <w:rFonts w:ascii="Tahoma" w:hAnsi="Tahoma" w:cs="Tahoma"/>
          <w:sz w:val="22"/>
          <w:szCs w:val="22"/>
          <w:lang w:val="es-ES_tradnl"/>
        </w:rPr>
        <w:t xml:space="preserve">. </w:t>
      </w:r>
      <w:r w:rsidRPr="006757CB">
        <w:rPr>
          <w:rFonts w:ascii="Tahoma" w:hAnsi="Tahoma" w:cs="Tahoma"/>
          <w:sz w:val="22"/>
          <w:szCs w:val="22"/>
          <w:lang w:val="es-ES_tradnl"/>
        </w:rPr>
        <w:t>Por la parte demandante…</w:t>
      </w:r>
      <w:r w:rsidR="00D90180" w:rsidRPr="006757CB">
        <w:rPr>
          <w:rFonts w:ascii="Tahoma" w:hAnsi="Tahoma" w:cs="Tahoma"/>
          <w:sz w:val="22"/>
          <w:szCs w:val="22"/>
          <w:lang w:val="es-ES_tradnl"/>
        </w:rPr>
        <w:t xml:space="preserve"> </w:t>
      </w:r>
      <w:r w:rsidRPr="006757CB">
        <w:rPr>
          <w:rFonts w:ascii="Tahoma" w:hAnsi="Tahoma" w:cs="Tahoma"/>
          <w:sz w:val="22"/>
          <w:szCs w:val="22"/>
          <w:lang w:val="es-ES_tradnl"/>
        </w:rPr>
        <w:t>Por la parte demandada…</w:t>
      </w:r>
    </w:p>
    <w:p w14:paraId="448F8E25" w14:textId="77777777" w:rsidR="00C30D72" w:rsidRPr="006757CB" w:rsidRDefault="00C30D72" w:rsidP="008D0272">
      <w:pPr>
        <w:pStyle w:val="Sinespaciado"/>
        <w:rPr>
          <w:sz w:val="22"/>
          <w:szCs w:val="22"/>
        </w:rPr>
      </w:pPr>
    </w:p>
    <w:p w14:paraId="524D0013" w14:textId="77777777" w:rsidR="009A4059" w:rsidRPr="006757CB" w:rsidRDefault="00D90180" w:rsidP="000F4F7B">
      <w:pPr>
        <w:widowControl w:val="0"/>
        <w:autoSpaceDE w:val="0"/>
        <w:autoSpaceDN w:val="0"/>
        <w:adjustRightInd w:val="0"/>
        <w:spacing w:line="276" w:lineRule="auto"/>
        <w:jc w:val="center"/>
        <w:rPr>
          <w:rFonts w:ascii="Tahoma" w:hAnsi="Tahoma" w:cs="Tahoma"/>
          <w:b/>
          <w:sz w:val="22"/>
          <w:szCs w:val="22"/>
        </w:rPr>
      </w:pPr>
      <w:r w:rsidRPr="006757CB">
        <w:rPr>
          <w:rFonts w:ascii="Tahoma" w:hAnsi="Tahoma" w:cs="Tahoma"/>
          <w:b/>
          <w:sz w:val="22"/>
          <w:szCs w:val="22"/>
        </w:rPr>
        <w:t>SENTENCIA</w:t>
      </w:r>
    </w:p>
    <w:p w14:paraId="6F08C28C" w14:textId="77777777" w:rsidR="00C30D72" w:rsidRPr="006757CB" w:rsidRDefault="00C30D72" w:rsidP="008D0272">
      <w:pPr>
        <w:pStyle w:val="Sinespaciado"/>
        <w:rPr>
          <w:sz w:val="22"/>
          <w:szCs w:val="22"/>
        </w:rPr>
      </w:pPr>
    </w:p>
    <w:p w14:paraId="3E1C7968" w14:textId="29BBE73C" w:rsidR="009A4059" w:rsidRPr="006757CB" w:rsidRDefault="009A4059" w:rsidP="000F4F7B">
      <w:pPr>
        <w:widowControl w:val="0"/>
        <w:autoSpaceDE w:val="0"/>
        <w:autoSpaceDN w:val="0"/>
        <w:adjustRightInd w:val="0"/>
        <w:spacing w:line="276" w:lineRule="auto"/>
        <w:ind w:firstLine="708"/>
        <w:jc w:val="both"/>
        <w:rPr>
          <w:rFonts w:ascii="Tahoma" w:hAnsi="Tahoma" w:cs="Tahoma"/>
          <w:sz w:val="22"/>
          <w:szCs w:val="22"/>
        </w:rPr>
      </w:pPr>
      <w:r w:rsidRPr="006757CB">
        <w:rPr>
          <w:rFonts w:ascii="Tahoma" w:hAnsi="Tahoma" w:cs="Tahoma"/>
          <w:sz w:val="22"/>
          <w:szCs w:val="22"/>
        </w:rPr>
        <w:t xml:space="preserve">Como quiera que los </w:t>
      </w:r>
      <w:r w:rsidR="00D90180" w:rsidRPr="006757CB">
        <w:rPr>
          <w:rFonts w:ascii="Tahoma" w:hAnsi="Tahoma" w:cs="Tahoma"/>
          <w:sz w:val="22"/>
          <w:szCs w:val="22"/>
        </w:rPr>
        <w:t>fundamentos de los argum</w:t>
      </w:r>
      <w:r w:rsidRPr="006757CB">
        <w:rPr>
          <w:rFonts w:ascii="Tahoma" w:hAnsi="Tahoma" w:cs="Tahoma"/>
          <w:sz w:val="22"/>
          <w:szCs w:val="22"/>
        </w:rPr>
        <w:t>entos expuestos en las alegaciones se tuvieron en cuenta en la discusión del p</w:t>
      </w:r>
      <w:r w:rsidR="000F19BF" w:rsidRPr="006757CB">
        <w:rPr>
          <w:rFonts w:ascii="Tahoma" w:hAnsi="Tahoma" w:cs="Tahoma"/>
          <w:sz w:val="22"/>
          <w:szCs w:val="22"/>
        </w:rPr>
        <w:t xml:space="preserve">royecto, procede la sala a resolver el recurso de apelación propuesto por la parte demandada contra </w:t>
      </w:r>
      <w:r w:rsidR="00D436A6" w:rsidRPr="006757CB">
        <w:rPr>
          <w:rFonts w:ascii="Tahoma" w:hAnsi="Tahoma" w:cs="Tahoma"/>
          <w:sz w:val="22"/>
          <w:szCs w:val="22"/>
        </w:rPr>
        <w:t xml:space="preserve">de la sentencia </w:t>
      </w:r>
      <w:r w:rsidR="00C3314B" w:rsidRPr="006757CB">
        <w:rPr>
          <w:rFonts w:ascii="Tahoma" w:hAnsi="Tahoma" w:cs="Tahoma"/>
          <w:sz w:val="22"/>
          <w:szCs w:val="22"/>
        </w:rPr>
        <w:t xml:space="preserve">emitida por el Juzgado </w:t>
      </w:r>
      <w:r w:rsidR="000F19BF" w:rsidRPr="006757CB">
        <w:rPr>
          <w:rFonts w:ascii="Tahoma" w:hAnsi="Tahoma" w:cs="Tahoma"/>
          <w:sz w:val="22"/>
          <w:szCs w:val="22"/>
        </w:rPr>
        <w:t xml:space="preserve">Tercero </w:t>
      </w:r>
      <w:r w:rsidR="00D436A6" w:rsidRPr="006757CB">
        <w:rPr>
          <w:rFonts w:ascii="Tahoma" w:hAnsi="Tahoma" w:cs="Tahoma"/>
          <w:sz w:val="22"/>
          <w:szCs w:val="22"/>
        </w:rPr>
        <w:t xml:space="preserve">Laboral del Circuito de Pereira el </w:t>
      </w:r>
      <w:r w:rsidR="000F19BF" w:rsidRPr="006757CB">
        <w:rPr>
          <w:rFonts w:ascii="Tahoma" w:hAnsi="Tahoma" w:cs="Tahoma"/>
          <w:sz w:val="22"/>
          <w:szCs w:val="22"/>
        </w:rPr>
        <w:t>25</w:t>
      </w:r>
      <w:r w:rsidR="007F3C57" w:rsidRPr="006757CB">
        <w:rPr>
          <w:rFonts w:ascii="Tahoma" w:hAnsi="Tahoma" w:cs="Tahoma"/>
          <w:sz w:val="22"/>
          <w:szCs w:val="22"/>
        </w:rPr>
        <w:t xml:space="preserve"> </w:t>
      </w:r>
      <w:r w:rsidR="00D436A6" w:rsidRPr="006757CB">
        <w:rPr>
          <w:rFonts w:ascii="Tahoma" w:hAnsi="Tahoma" w:cs="Tahoma"/>
          <w:sz w:val="22"/>
          <w:szCs w:val="22"/>
        </w:rPr>
        <w:t xml:space="preserve">de </w:t>
      </w:r>
      <w:r w:rsidR="000F19BF" w:rsidRPr="006757CB">
        <w:rPr>
          <w:rFonts w:ascii="Tahoma" w:hAnsi="Tahoma" w:cs="Tahoma"/>
          <w:sz w:val="22"/>
          <w:szCs w:val="22"/>
        </w:rPr>
        <w:t xml:space="preserve">mayo </w:t>
      </w:r>
      <w:r w:rsidR="00D436A6" w:rsidRPr="006757CB">
        <w:rPr>
          <w:rFonts w:ascii="Tahoma" w:hAnsi="Tahoma" w:cs="Tahoma"/>
          <w:sz w:val="22"/>
          <w:szCs w:val="22"/>
        </w:rPr>
        <w:t>de 201</w:t>
      </w:r>
      <w:r w:rsidR="000F19BF" w:rsidRPr="006757CB">
        <w:rPr>
          <w:rFonts w:ascii="Tahoma" w:hAnsi="Tahoma" w:cs="Tahoma"/>
          <w:sz w:val="22"/>
          <w:szCs w:val="22"/>
        </w:rPr>
        <w:t>5</w:t>
      </w:r>
      <w:r w:rsidR="00D436A6" w:rsidRPr="006757CB">
        <w:rPr>
          <w:rFonts w:ascii="Tahoma" w:hAnsi="Tahoma" w:cs="Tahoma"/>
          <w:sz w:val="22"/>
          <w:szCs w:val="22"/>
        </w:rPr>
        <w:t xml:space="preserve"> a </w:t>
      </w:r>
      <w:r w:rsidR="00135BFA" w:rsidRPr="006757CB">
        <w:rPr>
          <w:rFonts w:ascii="Tahoma" w:hAnsi="Tahoma" w:cs="Tahoma"/>
          <w:sz w:val="22"/>
          <w:szCs w:val="22"/>
        </w:rPr>
        <w:t>Colpensiones</w:t>
      </w:r>
      <w:r w:rsidRPr="006757CB">
        <w:rPr>
          <w:rFonts w:ascii="Tahoma" w:hAnsi="Tahoma" w:cs="Tahoma"/>
          <w:sz w:val="22"/>
          <w:szCs w:val="22"/>
        </w:rPr>
        <w:t>, dentro del proceso ordinario laboral reseñado con anterioridad</w:t>
      </w:r>
      <w:r w:rsidR="00B67A12" w:rsidRPr="006757CB">
        <w:rPr>
          <w:rFonts w:ascii="Tahoma" w:hAnsi="Tahoma" w:cs="Tahoma"/>
          <w:sz w:val="22"/>
          <w:szCs w:val="22"/>
        </w:rPr>
        <w:t xml:space="preserve">. </w:t>
      </w:r>
      <w:r w:rsidR="000F19BF" w:rsidRPr="006757CB">
        <w:rPr>
          <w:rFonts w:ascii="Tahoma" w:hAnsi="Tahoma" w:cs="Tahoma"/>
          <w:sz w:val="22"/>
          <w:szCs w:val="22"/>
        </w:rPr>
        <w:t>Asimismo, se resolverá el grado jurisdiccional de consulta en razón a que la decisión de primer grado fue adversa a los intereses de Colpensiones.</w:t>
      </w:r>
    </w:p>
    <w:p w14:paraId="47A58036" w14:textId="77777777" w:rsidR="005E6A35" w:rsidRPr="006757CB" w:rsidRDefault="005E6A35" w:rsidP="008D0272">
      <w:pPr>
        <w:pStyle w:val="Sinespaciado"/>
        <w:rPr>
          <w:sz w:val="22"/>
          <w:szCs w:val="22"/>
        </w:rPr>
      </w:pPr>
    </w:p>
    <w:p w14:paraId="3F8023F7" w14:textId="77777777" w:rsidR="00237416" w:rsidRPr="006757CB" w:rsidRDefault="00237416" w:rsidP="000F4F7B">
      <w:pPr>
        <w:widowControl w:val="0"/>
        <w:autoSpaceDE w:val="0"/>
        <w:autoSpaceDN w:val="0"/>
        <w:adjustRightInd w:val="0"/>
        <w:spacing w:line="276" w:lineRule="auto"/>
        <w:jc w:val="center"/>
        <w:rPr>
          <w:rFonts w:ascii="Tahoma" w:hAnsi="Tahoma" w:cs="Tahoma"/>
          <w:b/>
          <w:bCs/>
          <w:sz w:val="22"/>
          <w:szCs w:val="22"/>
        </w:rPr>
      </w:pPr>
      <w:r w:rsidRPr="006757CB">
        <w:rPr>
          <w:rFonts w:ascii="Tahoma" w:hAnsi="Tahoma" w:cs="Tahoma"/>
          <w:b/>
          <w:bCs/>
          <w:sz w:val="22"/>
          <w:szCs w:val="22"/>
        </w:rPr>
        <w:t>Problema jurídico por resolver</w:t>
      </w:r>
    </w:p>
    <w:p w14:paraId="31F09A91" w14:textId="77777777" w:rsidR="00ED49B8" w:rsidRPr="006757CB" w:rsidRDefault="00ED49B8" w:rsidP="008D0272">
      <w:pPr>
        <w:pStyle w:val="Sinespaciado"/>
        <w:rPr>
          <w:sz w:val="22"/>
          <w:szCs w:val="22"/>
        </w:rPr>
      </w:pPr>
    </w:p>
    <w:p w14:paraId="7BD9D546" w14:textId="7BCBF772" w:rsidR="00A47E71" w:rsidRPr="006757CB" w:rsidRDefault="00ED49B8" w:rsidP="00ED49B8">
      <w:pPr>
        <w:tabs>
          <w:tab w:val="left" w:pos="567"/>
        </w:tabs>
        <w:spacing w:line="276" w:lineRule="auto"/>
        <w:jc w:val="both"/>
        <w:rPr>
          <w:rFonts w:ascii="Tahoma" w:hAnsi="Tahoma" w:cs="Tahoma"/>
          <w:sz w:val="22"/>
          <w:szCs w:val="22"/>
        </w:rPr>
      </w:pPr>
      <w:r w:rsidRPr="006757CB">
        <w:rPr>
          <w:rFonts w:ascii="Tahoma" w:hAnsi="Tahoma" w:cs="Tahoma"/>
          <w:sz w:val="22"/>
          <w:szCs w:val="22"/>
        </w:rPr>
        <w:tab/>
        <w:t xml:space="preserve">De acuerdo a lo expuesto en la sentencia de primera instancia, </w:t>
      </w:r>
      <w:r w:rsidR="00376339" w:rsidRPr="006757CB">
        <w:rPr>
          <w:rFonts w:ascii="Tahoma" w:hAnsi="Tahoma" w:cs="Tahoma"/>
          <w:sz w:val="22"/>
          <w:szCs w:val="22"/>
        </w:rPr>
        <w:t xml:space="preserve">le corresponde a la Sala establecer si es </w:t>
      </w:r>
      <w:r w:rsidR="00A47E71" w:rsidRPr="006757CB">
        <w:rPr>
          <w:rFonts w:ascii="Tahoma" w:hAnsi="Tahoma" w:cs="Tahoma"/>
          <w:sz w:val="22"/>
          <w:szCs w:val="22"/>
        </w:rPr>
        <w:t>más favorable para el demandante que su IBL se liquide con base en los salarios devengados por él en toda su vida laboral.</w:t>
      </w:r>
    </w:p>
    <w:p w14:paraId="6F24B41E" w14:textId="77777777" w:rsidR="002146A5" w:rsidRPr="006757CB" w:rsidRDefault="002146A5" w:rsidP="002146A5">
      <w:pPr>
        <w:tabs>
          <w:tab w:val="left" w:pos="567"/>
        </w:tabs>
        <w:jc w:val="both"/>
        <w:rPr>
          <w:rFonts w:ascii="Tahoma" w:hAnsi="Tahoma" w:cs="Tahoma"/>
          <w:sz w:val="22"/>
          <w:szCs w:val="22"/>
        </w:rPr>
      </w:pPr>
    </w:p>
    <w:p w14:paraId="182142C0" w14:textId="77777777" w:rsidR="009A4059" w:rsidRPr="006757CB" w:rsidRDefault="00D90180" w:rsidP="005E6A35">
      <w:pPr>
        <w:widowControl w:val="0"/>
        <w:numPr>
          <w:ilvl w:val="0"/>
          <w:numId w:val="1"/>
        </w:numPr>
        <w:tabs>
          <w:tab w:val="clear" w:pos="1080"/>
          <w:tab w:val="num" w:pos="374"/>
          <w:tab w:val="left" w:pos="561"/>
          <w:tab w:val="left" w:pos="935"/>
          <w:tab w:val="left" w:pos="5670"/>
        </w:tabs>
        <w:autoSpaceDE w:val="0"/>
        <w:autoSpaceDN w:val="0"/>
        <w:adjustRightInd w:val="0"/>
        <w:spacing w:line="276" w:lineRule="auto"/>
        <w:ind w:left="0" w:firstLine="0"/>
        <w:jc w:val="center"/>
        <w:rPr>
          <w:rFonts w:ascii="Tahoma" w:hAnsi="Tahoma" w:cs="Tahoma"/>
          <w:b/>
          <w:sz w:val="22"/>
          <w:szCs w:val="22"/>
        </w:rPr>
      </w:pPr>
      <w:r w:rsidRPr="006757CB">
        <w:rPr>
          <w:rFonts w:ascii="Tahoma" w:hAnsi="Tahoma" w:cs="Tahoma"/>
          <w:b/>
          <w:sz w:val="22"/>
          <w:szCs w:val="22"/>
        </w:rPr>
        <w:t>La demanda</w:t>
      </w:r>
      <w:r w:rsidR="00237416" w:rsidRPr="006757CB">
        <w:rPr>
          <w:rFonts w:ascii="Tahoma" w:hAnsi="Tahoma" w:cs="Tahoma"/>
          <w:b/>
          <w:sz w:val="22"/>
          <w:szCs w:val="22"/>
        </w:rPr>
        <w:t xml:space="preserve"> y su contestación</w:t>
      </w:r>
    </w:p>
    <w:p w14:paraId="55DBB873" w14:textId="77777777" w:rsidR="0070532C" w:rsidRPr="006757CB" w:rsidRDefault="0070532C" w:rsidP="0070532C">
      <w:pPr>
        <w:widowControl w:val="0"/>
        <w:tabs>
          <w:tab w:val="left" w:pos="561"/>
          <w:tab w:val="left" w:pos="935"/>
          <w:tab w:val="left" w:pos="5670"/>
        </w:tabs>
        <w:autoSpaceDE w:val="0"/>
        <w:autoSpaceDN w:val="0"/>
        <w:adjustRightInd w:val="0"/>
        <w:spacing w:line="276" w:lineRule="auto"/>
        <w:rPr>
          <w:rFonts w:ascii="Tahoma" w:hAnsi="Tahoma" w:cs="Tahoma"/>
          <w:b/>
          <w:sz w:val="22"/>
          <w:szCs w:val="22"/>
        </w:rPr>
      </w:pPr>
    </w:p>
    <w:p w14:paraId="1AEACDBB" w14:textId="6B8B0590" w:rsidR="00B76046" w:rsidRPr="006757CB" w:rsidRDefault="00B76046" w:rsidP="000F4F7B">
      <w:pPr>
        <w:widowControl w:val="0"/>
        <w:autoSpaceDE w:val="0"/>
        <w:autoSpaceDN w:val="0"/>
        <w:adjustRightInd w:val="0"/>
        <w:spacing w:line="276" w:lineRule="auto"/>
        <w:ind w:firstLine="709"/>
        <w:jc w:val="both"/>
        <w:rPr>
          <w:rFonts w:ascii="Tahoma" w:hAnsi="Tahoma" w:cs="Tahoma"/>
          <w:sz w:val="22"/>
          <w:szCs w:val="22"/>
        </w:rPr>
      </w:pPr>
      <w:r w:rsidRPr="006757CB">
        <w:rPr>
          <w:rFonts w:ascii="Tahoma" w:hAnsi="Tahoma" w:cs="Tahoma"/>
          <w:sz w:val="22"/>
          <w:szCs w:val="22"/>
        </w:rPr>
        <w:lastRenderedPageBreak/>
        <w:t>El</w:t>
      </w:r>
      <w:r w:rsidR="00E85619" w:rsidRPr="006757CB">
        <w:rPr>
          <w:rFonts w:ascii="Tahoma" w:hAnsi="Tahoma" w:cs="Tahoma"/>
          <w:sz w:val="22"/>
          <w:szCs w:val="22"/>
        </w:rPr>
        <w:t xml:space="preserve"> </w:t>
      </w:r>
      <w:r w:rsidR="003A7AB2" w:rsidRPr="006757CB">
        <w:rPr>
          <w:rFonts w:ascii="Tahoma" w:hAnsi="Tahoma" w:cs="Tahoma"/>
          <w:sz w:val="22"/>
          <w:szCs w:val="22"/>
        </w:rPr>
        <w:t>citad</w:t>
      </w:r>
      <w:r w:rsidRPr="006757CB">
        <w:rPr>
          <w:rFonts w:ascii="Tahoma" w:hAnsi="Tahoma" w:cs="Tahoma"/>
          <w:sz w:val="22"/>
          <w:szCs w:val="22"/>
        </w:rPr>
        <w:t>o</w:t>
      </w:r>
      <w:r w:rsidR="003A7AB2" w:rsidRPr="006757CB">
        <w:rPr>
          <w:rFonts w:ascii="Tahoma" w:hAnsi="Tahoma" w:cs="Tahoma"/>
          <w:sz w:val="22"/>
          <w:szCs w:val="22"/>
        </w:rPr>
        <w:t xml:space="preserve"> demandante </w:t>
      </w:r>
      <w:r w:rsidR="00C30D72" w:rsidRPr="006757CB">
        <w:rPr>
          <w:rFonts w:ascii="Tahoma" w:hAnsi="Tahoma" w:cs="Tahoma"/>
          <w:sz w:val="22"/>
          <w:szCs w:val="22"/>
        </w:rPr>
        <w:t>solicita</w:t>
      </w:r>
      <w:r w:rsidR="007F7A0D" w:rsidRPr="006757CB">
        <w:rPr>
          <w:rFonts w:ascii="Tahoma" w:hAnsi="Tahoma" w:cs="Tahoma"/>
          <w:sz w:val="22"/>
          <w:szCs w:val="22"/>
        </w:rPr>
        <w:t xml:space="preserve"> que</w:t>
      </w:r>
      <w:r w:rsidR="008B1DA1" w:rsidRPr="006757CB">
        <w:rPr>
          <w:rFonts w:ascii="Tahoma" w:hAnsi="Tahoma" w:cs="Tahoma"/>
          <w:sz w:val="22"/>
          <w:szCs w:val="22"/>
        </w:rPr>
        <w:t xml:space="preserve"> se</w:t>
      </w:r>
      <w:r w:rsidR="007F7A0D" w:rsidRPr="006757CB">
        <w:rPr>
          <w:rFonts w:ascii="Tahoma" w:hAnsi="Tahoma" w:cs="Tahoma"/>
          <w:sz w:val="22"/>
          <w:szCs w:val="22"/>
        </w:rPr>
        <w:t xml:space="preserve"> </w:t>
      </w:r>
      <w:r w:rsidRPr="006757CB">
        <w:rPr>
          <w:rFonts w:ascii="Tahoma" w:hAnsi="Tahoma" w:cs="Tahoma"/>
          <w:sz w:val="22"/>
          <w:szCs w:val="22"/>
        </w:rPr>
        <w:t>declare que le asiste el derecho a que se le calcule el IBL de su pensión de vejez con el promedio de lo devengado durante toda su vida laboral, con una tasa de reemplazo del 84%</w:t>
      </w:r>
      <w:r w:rsidR="00B67706" w:rsidRPr="006757CB">
        <w:rPr>
          <w:rFonts w:ascii="Tahoma" w:hAnsi="Tahoma" w:cs="Tahoma"/>
          <w:sz w:val="22"/>
          <w:szCs w:val="22"/>
        </w:rPr>
        <w:t xml:space="preserve">, lo cual arroja una primera mesada de </w:t>
      </w:r>
      <w:r w:rsidRPr="006757CB">
        <w:rPr>
          <w:rFonts w:ascii="Tahoma" w:hAnsi="Tahoma" w:cs="Tahoma"/>
          <w:sz w:val="22"/>
          <w:szCs w:val="22"/>
        </w:rPr>
        <w:t>$316.018</w:t>
      </w:r>
      <w:r w:rsidRPr="006757CB">
        <w:rPr>
          <w:rFonts w:ascii="Tahoma" w:hAnsi="Tahoma" w:cs="Tahoma"/>
          <w:sz w:val="18"/>
          <w:szCs w:val="18"/>
        </w:rPr>
        <w:t>,26</w:t>
      </w:r>
      <w:r w:rsidR="00466D48" w:rsidRPr="006757CB">
        <w:rPr>
          <w:rFonts w:ascii="Tahoma" w:hAnsi="Tahoma" w:cs="Tahoma"/>
          <w:sz w:val="22"/>
          <w:szCs w:val="22"/>
        </w:rPr>
        <w:t xml:space="preserve">. </w:t>
      </w:r>
      <w:r w:rsidR="00B67706" w:rsidRPr="006757CB">
        <w:rPr>
          <w:rFonts w:ascii="Tahoma" w:hAnsi="Tahoma" w:cs="Tahoma"/>
          <w:sz w:val="22"/>
          <w:szCs w:val="22"/>
        </w:rPr>
        <w:t xml:space="preserve">Como consecuencia de lo anterior, procura que se </w:t>
      </w:r>
      <w:r w:rsidR="00145118" w:rsidRPr="006757CB">
        <w:rPr>
          <w:rFonts w:ascii="Tahoma" w:hAnsi="Tahoma" w:cs="Tahoma"/>
          <w:sz w:val="22"/>
          <w:szCs w:val="22"/>
        </w:rPr>
        <w:t xml:space="preserve">condene a Colpensiones </w:t>
      </w:r>
      <w:r w:rsidR="00B67706" w:rsidRPr="006757CB">
        <w:rPr>
          <w:rFonts w:ascii="Tahoma" w:hAnsi="Tahoma" w:cs="Tahoma"/>
          <w:sz w:val="22"/>
          <w:szCs w:val="22"/>
        </w:rPr>
        <w:t>a pagar e</w:t>
      </w:r>
      <w:r w:rsidR="00145118" w:rsidRPr="006757CB">
        <w:rPr>
          <w:rFonts w:ascii="Tahoma" w:hAnsi="Tahoma" w:cs="Tahoma"/>
          <w:sz w:val="22"/>
          <w:szCs w:val="22"/>
        </w:rPr>
        <w:t>l reajuste pensional</w:t>
      </w:r>
      <w:r w:rsidR="00827CFE" w:rsidRPr="006757CB">
        <w:rPr>
          <w:rFonts w:ascii="Tahoma" w:hAnsi="Tahoma" w:cs="Tahoma"/>
          <w:sz w:val="22"/>
          <w:szCs w:val="22"/>
        </w:rPr>
        <w:t>, retroactivamente y debidamente indexado,</w:t>
      </w:r>
      <w:r w:rsidR="00145118" w:rsidRPr="006757CB">
        <w:rPr>
          <w:rFonts w:ascii="Tahoma" w:hAnsi="Tahoma" w:cs="Tahoma"/>
          <w:sz w:val="22"/>
          <w:szCs w:val="22"/>
        </w:rPr>
        <w:t xml:space="preserve"> desde el 28 de septiembre </w:t>
      </w:r>
      <w:r w:rsidR="006B724A" w:rsidRPr="006757CB">
        <w:rPr>
          <w:rFonts w:ascii="Tahoma" w:hAnsi="Tahoma" w:cs="Tahoma"/>
          <w:sz w:val="22"/>
          <w:szCs w:val="22"/>
        </w:rPr>
        <w:t>de 1996</w:t>
      </w:r>
      <w:r w:rsidR="003B02C3" w:rsidRPr="006757CB">
        <w:rPr>
          <w:rFonts w:ascii="Tahoma" w:hAnsi="Tahoma" w:cs="Tahoma"/>
          <w:sz w:val="22"/>
          <w:szCs w:val="22"/>
        </w:rPr>
        <w:t>.</w:t>
      </w:r>
    </w:p>
    <w:p w14:paraId="06AA8711" w14:textId="77777777" w:rsidR="007A0603" w:rsidRPr="006757CB" w:rsidRDefault="007A0603" w:rsidP="00794993">
      <w:pPr>
        <w:pStyle w:val="Sinespaciado"/>
        <w:rPr>
          <w:sz w:val="22"/>
          <w:szCs w:val="22"/>
        </w:rPr>
      </w:pPr>
    </w:p>
    <w:p w14:paraId="5A85BBB8" w14:textId="751FCFAF" w:rsidR="0088137A" w:rsidRPr="006757CB" w:rsidRDefault="00B44497" w:rsidP="0088137A">
      <w:pPr>
        <w:widowControl w:val="0"/>
        <w:autoSpaceDE w:val="0"/>
        <w:autoSpaceDN w:val="0"/>
        <w:adjustRightInd w:val="0"/>
        <w:spacing w:line="276" w:lineRule="auto"/>
        <w:ind w:firstLine="709"/>
        <w:jc w:val="both"/>
        <w:rPr>
          <w:rFonts w:ascii="Tahoma" w:hAnsi="Tahoma" w:cs="Tahoma"/>
          <w:sz w:val="22"/>
          <w:szCs w:val="22"/>
        </w:rPr>
      </w:pPr>
      <w:r w:rsidRPr="006757CB">
        <w:rPr>
          <w:rFonts w:ascii="Tahoma" w:hAnsi="Tahoma" w:cs="Tahoma"/>
          <w:sz w:val="22"/>
          <w:szCs w:val="22"/>
        </w:rPr>
        <w:t>Para funda</w:t>
      </w:r>
      <w:r w:rsidR="000F0AEC" w:rsidRPr="006757CB">
        <w:rPr>
          <w:rFonts w:ascii="Tahoma" w:hAnsi="Tahoma" w:cs="Tahoma"/>
          <w:sz w:val="22"/>
          <w:szCs w:val="22"/>
        </w:rPr>
        <w:t xml:space="preserve">r dichas pretensiones </w:t>
      </w:r>
      <w:r w:rsidR="008B1DA1" w:rsidRPr="006757CB">
        <w:rPr>
          <w:rFonts w:ascii="Tahoma" w:hAnsi="Tahoma" w:cs="Tahoma"/>
          <w:sz w:val="22"/>
          <w:szCs w:val="22"/>
        </w:rPr>
        <w:t>manif</w:t>
      </w:r>
      <w:r w:rsidR="00E80289" w:rsidRPr="006757CB">
        <w:rPr>
          <w:rFonts w:ascii="Tahoma" w:hAnsi="Tahoma" w:cs="Tahoma"/>
          <w:sz w:val="22"/>
          <w:szCs w:val="22"/>
        </w:rPr>
        <w:t>i</w:t>
      </w:r>
      <w:r w:rsidR="008B1DA1" w:rsidRPr="006757CB">
        <w:rPr>
          <w:rFonts w:ascii="Tahoma" w:hAnsi="Tahoma" w:cs="Tahoma"/>
          <w:sz w:val="22"/>
          <w:szCs w:val="22"/>
        </w:rPr>
        <w:t>est</w:t>
      </w:r>
      <w:r w:rsidR="00E80289" w:rsidRPr="006757CB">
        <w:rPr>
          <w:rFonts w:ascii="Tahoma" w:hAnsi="Tahoma" w:cs="Tahoma"/>
          <w:sz w:val="22"/>
          <w:szCs w:val="22"/>
        </w:rPr>
        <w:t>a</w:t>
      </w:r>
      <w:r w:rsidRPr="006757CB">
        <w:rPr>
          <w:rFonts w:ascii="Tahoma" w:hAnsi="Tahoma" w:cs="Tahoma"/>
          <w:sz w:val="22"/>
          <w:szCs w:val="22"/>
        </w:rPr>
        <w:t xml:space="preserve"> que</w:t>
      </w:r>
      <w:r w:rsidR="00755E08" w:rsidRPr="006757CB">
        <w:rPr>
          <w:rFonts w:ascii="Tahoma" w:hAnsi="Tahoma" w:cs="Tahoma"/>
          <w:sz w:val="22"/>
          <w:szCs w:val="22"/>
        </w:rPr>
        <w:t xml:space="preserve"> </w:t>
      </w:r>
      <w:r w:rsidR="003108F4" w:rsidRPr="006757CB">
        <w:rPr>
          <w:rFonts w:ascii="Tahoma" w:hAnsi="Tahoma" w:cs="Tahoma"/>
          <w:sz w:val="22"/>
          <w:szCs w:val="22"/>
        </w:rPr>
        <w:t xml:space="preserve">mediante Resolución No. 006175 del 25 de octubre de 1996 el ISS, hoy Colpensiones le concedió la pensión de vejez a partir del día 28 de septiembre de 1996, </w:t>
      </w:r>
      <w:r w:rsidR="0088137A" w:rsidRPr="006757CB">
        <w:rPr>
          <w:rFonts w:ascii="Tahoma" w:hAnsi="Tahoma" w:cs="Tahoma"/>
          <w:sz w:val="22"/>
          <w:szCs w:val="22"/>
        </w:rPr>
        <w:t xml:space="preserve">con un IBL de $161.870 y una primera mesada de </w:t>
      </w:r>
      <w:r w:rsidR="003108F4" w:rsidRPr="006757CB">
        <w:rPr>
          <w:rFonts w:ascii="Tahoma" w:hAnsi="Tahoma" w:cs="Tahoma"/>
          <w:sz w:val="22"/>
          <w:szCs w:val="22"/>
        </w:rPr>
        <w:t>$142.125</w:t>
      </w:r>
      <w:r w:rsidR="0088137A" w:rsidRPr="006757CB">
        <w:rPr>
          <w:rFonts w:ascii="Tahoma" w:hAnsi="Tahoma" w:cs="Tahoma"/>
          <w:sz w:val="22"/>
          <w:szCs w:val="22"/>
        </w:rPr>
        <w:t>. Agrega que su IBL calculado con el promedio de los salarios cotizados durante toda su vida laboral es de $376.212, y que al aplicarle a este una tasa de reemplazo del 84% arroja una primera mesada pensional de $316.018.</w:t>
      </w:r>
    </w:p>
    <w:p w14:paraId="577F5AEF" w14:textId="77777777" w:rsidR="0088137A" w:rsidRPr="006757CB" w:rsidRDefault="0088137A" w:rsidP="0088137A">
      <w:pPr>
        <w:widowControl w:val="0"/>
        <w:autoSpaceDE w:val="0"/>
        <w:autoSpaceDN w:val="0"/>
        <w:adjustRightInd w:val="0"/>
        <w:spacing w:line="276" w:lineRule="auto"/>
        <w:ind w:firstLine="709"/>
        <w:jc w:val="both"/>
        <w:rPr>
          <w:rFonts w:ascii="Tahoma" w:hAnsi="Tahoma" w:cs="Tahoma"/>
          <w:sz w:val="22"/>
          <w:szCs w:val="22"/>
        </w:rPr>
      </w:pPr>
    </w:p>
    <w:p w14:paraId="7B67F382" w14:textId="3898FA9B" w:rsidR="0088137A" w:rsidRPr="006757CB" w:rsidRDefault="0088137A" w:rsidP="0088137A">
      <w:pPr>
        <w:widowControl w:val="0"/>
        <w:autoSpaceDE w:val="0"/>
        <w:autoSpaceDN w:val="0"/>
        <w:adjustRightInd w:val="0"/>
        <w:spacing w:line="276" w:lineRule="auto"/>
        <w:ind w:firstLine="709"/>
        <w:jc w:val="both"/>
        <w:rPr>
          <w:rFonts w:ascii="Tahoma" w:hAnsi="Tahoma" w:cs="Tahoma"/>
          <w:sz w:val="22"/>
          <w:szCs w:val="22"/>
        </w:rPr>
      </w:pPr>
      <w:r w:rsidRPr="006757CB">
        <w:rPr>
          <w:rFonts w:ascii="Tahoma" w:hAnsi="Tahoma" w:cs="Tahoma"/>
          <w:sz w:val="22"/>
          <w:szCs w:val="22"/>
        </w:rPr>
        <w:t xml:space="preserve">Expresa que el día 22 de octubre de 2014 radicó ante Colpensiones reclamación administrativa solicitando que calculara el IBL con los salarios cotizados durante toda su </w:t>
      </w:r>
      <w:r w:rsidR="00466D48" w:rsidRPr="006757CB">
        <w:rPr>
          <w:rFonts w:ascii="Tahoma" w:hAnsi="Tahoma" w:cs="Tahoma"/>
          <w:sz w:val="22"/>
          <w:szCs w:val="22"/>
        </w:rPr>
        <w:t>v</w:t>
      </w:r>
      <w:r w:rsidRPr="006757CB">
        <w:rPr>
          <w:rFonts w:ascii="Tahoma" w:hAnsi="Tahoma" w:cs="Tahoma"/>
          <w:sz w:val="22"/>
          <w:szCs w:val="22"/>
        </w:rPr>
        <w:t>ida laboral, sin que al momento de prese</w:t>
      </w:r>
      <w:r w:rsidR="00466D48" w:rsidRPr="006757CB">
        <w:rPr>
          <w:rFonts w:ascii="Tahoma" w:hAnsi="Tahoma" w:cs="Tahoma"/>
          <w:sz w:val="22"/>
          <w:szCs w:val="22"/>
        </w:rPr>
        <w:t xml:space="preserve">ntación de la demanda la misma </w:t>
      </w:r>
      <w:r w:rsidRPr="006757CB">
        <w:rPr>
          <w:rFonts w:ascii="Tahoma" w:hAnsi="Tahoma" w:cs="Tahoma"/>
          <w:sz w:val="22"/>
          <w:szCs w:val="22"/>
        </w:rPr>
        <w:t xml:space="preserve">hubiera </w:t>
      </w:r>
      <w:r w:rsidR="00466D48" w:rsidRPr="006757CB">
        <w:rPr>
          <w:rFonts w:ascii="Tahoma" w:hAnsi="Tahoma" w:cs="Tahoma"/>
          <w:sz w:val="22"/>
          <w:szCs w:val="22"/>
        </w:rPr>
        <w:t xml:space="preserve">sido </w:t>
      </w:r>
      <w:r w:rsidRPr="006757CB">
        <w:rPr>
          <w:rFonts w:ascii="Tahoma" w:hAnsi="Tahoma" w:cs="Tahoma"/>
          <w:sz w:val="22"/>
          <w:szCs w:val="22"/>
        </w:rPr>
        <w:t>resuelt</w:t>
      </w:r>
      <w:r w:rsidR="00466D48" w:rsidRPr="006757CB">
        <w:rPr>
          <w:rFonts w:ascii="Tahoma" w:hAnsi="Tahoma" w:cs="Tahoma"/>
          <w:sz w:val="22"/>
          <w:szCs w:val="22"/>
        </w:rPr>
        <w:t>a</w:t>
      </w:r>
      <w:r w:rsidRPr="006757CB">
        <w:rPr>
          <w:rFonts w:ascii="Tahoma" w:hAnsi="Tahoma" w:cs="Tahoma"/>
          <w:sz w:val="22"/>
          <w:szCs w:val="22"/>
        </w:rPr>
        <w:t>.</w:t>
      </w:r>
    </w:p>
    <w:p w14:paraId="38648561" w14:textId="77777777" w:rsidR="0088137A" w:rsidRPr="006757CB" w:rsidRDefault="0088137A" w:rsidP="002146A5">
      <w:pPr>
        <w:widowControl w:val="0"/>
        <w:autoSpaceDE w:val="0"/>
        <w:autoSpaceDN w:val="0"/>
        <w:adjustRightInd w:val="0"/>
        <w:ind w:firstLine="709"/>
        <w:jc w:val="both"/>
        <w:rPr>
          <w:rFonts w:ascii="Tahoma" w:hAnsi="Tahoma" w:cs="Tahoma"/>
          <w:sz w:val="22"/>
          <w:szCs w:val="22"/>
        </w:rPr>
      </w:pPr>
    </w:p>
    <w:p w14:paraId="2D5697B1" w14:textId="4C41614E" w:rsidR="00D4270E" w:rsidRPr="006757CB" w:rsidRDefault="0088137A" w:rsidP="00D4270E">
      <w:pPr>
        <w:widowControl w:val="0"/>
        <w:autoSpaceDE w:val="0"/>
        <w:autoSpaceDN w:val="0"/>
        <w:adjustRightInd w:val="0"/>
        <w:spacing w:line="276" w:lineRule="auto"/>
        <w:ind w:firstLine="709"/>
        <w:jc w:val="both"/>
        <w:rPr>
          <w:rFonts w:ascii="Tahoma" w:hAnsi="Tahoma" w:cs="Tahoma"/>
          <w:sz w:val="22"/>
          <w:szCs w:val="22"/>
        </w:rPr>
      </w:pPr>
      <w:r w:rsidRPr="006757CB">
        <w:rPr>
          <w:rFonts w:ascii="Tahoma" w:hAnsi="Tahoma" w:cs="Tahoma"/>
          <w:sz w:val="22"/>
          <w:szCs w:val="22"/>
        </w:rPr>
        <w:t xml:space="preserve"> Colpensiones contestó la demanda a</w:t>
      </w:r>
      <w:r w:rsidR="00CD67D5" w:rsidRPr="006757CB">
        <w:rPr>
          <w:rFonts w:ascii="Tahoma" w:hAnsi="Tahoma" w:cs="Tahoma"/>
          <w:sz w:val="22"/>
          <w:szCs w:val="22"/>
        </w:rPr>
        <w:t>ceptando como ciertos los hechos relacionados con la solicitud de la pensión de vejez presentada por el demandante ante el I.S.S.</w:t>
      </w:r>
      <w:r w:rsidR="00466D48" w:rsidRPr="006757CB">
        <w:rPr>
          <w:rFonts w:ascii="Tahoma" w:hAnsi="Tahoma" w:cs="Tahoma"/>
          <w:sz w:val="22"/>
          <w:szCs w:val="22"/>
        </w:rPr>
        <w:t>;</w:t>
      </w:r>
      <w:r w:rsidR="00CD67D5" w:rsidRPr="006757CB">
        <w:rPr>
          <w:rFonts w:ascii="Tahoma" w:hAnsi="Tahoma" w:cs="Tahoma"/>
          <w:sz w:val="22"/>
          <w:szCs w:val="22"/>
        </w:rPr>
        <w:t xml:space="preserve"> el contenido de la </w:t>
      </w:r>
      <w:r w:rsidR="0086689F" w:rsidRPr="006757CB">
        <w:rPr>
          <w:rFonts w:ascii="Tahoma" w:hAnsi="Tahoma" w:cs="Tahoma"/>
          <w:sz w:val="22"/>
          <w:szCs w:val="22"/>
        </w:rPr>
        <w:t xml:space="preserve">Resolución </w:t>
      </w:r>
      <w:r w:rsidR="00C2228F" w:rsidRPr="006757CB">
        <w:rPr>
          <w:rFonts w:ascii="Tahoma" w:hAnsi="Tahoma" w:cs="Tahoma"/>
          <w:sz w:val="22"/>
          <w:szCs w:val="22"/>
        </w:rPr>
        <w:t xml:space="preserve">No. 006175 del 25 de octubre de 1996 </w:t>
      </w:r>
      <w:r w:rsidR="00005028" w:rsidRPr="006757CB">
        <w:rPr>
          <w:rFonts w:ascii="Tahoma" w:hAnsi="Tahoma" w:cs="Tahoma"/>
          <w:sz w:val="22"/>
          <w:szCs w:val="22"/>
        </w:rPr>
        <w:t>y que</w:t>
      </w:r>
      <w:r w:rsidR="00466D48" w:rsidRPr="006757CB">
        <w:rPr>
          <w:rFonts w:ascii="Tahoma" w:hAnsi="Tahoma" w:cs="Tahoma"/>
          <w:sz w:val="22"/>
          <w:szCs w:val="22"/>
        </w:rPr>
        <w:t>,</w:t>
      </w:r>
      <w:r w:rsidR="0086689F" w:rsidRPr="006757CB">
        <w:rPr>
          <w:rFonts w:ascii="Tahoma" w:hAnsi="Tahoma" w:cs="Tahoma"/>
          <w:sz w:val="22"/>
          <w:szCs w:val="22"/>
        </w:rPr>
        <w:t xml:space="preserve"> a la presentación de la demanda</w:t>
      </w:r>
      <w:r w:rsidR="00466D48" w:rsidRPr="006757CB">
        <w:rPr>
          <w:rFonts w:ascii="Tahoma" w:hAnsi="Tahoma" w:cs="Tahoma"/>
          <w:sz w:val="22"/>
          <w:szCs w:val="22"/>
        </w:rPr>
        <w:t>,</w:t>
      </w:r>
      <w:r w:rsidR="00005028" w:rsidRPr="006757CB">
        <w:rPr>
          <w:rFonts w:ascii="Tahoma" w:hAnsi="Tahoma" w:cs="Tahoma"/>
          <w:sz w:val="22"/>
          <w:szCs w:val="22"/>
        </w:rPr>
        <w:t xml:space="preserve"> no había resuelto </w:t>
      </w:r>
      <w:r w:rsidR="00C2228F" w:rsidRPr="006757CB">
        <w:rPr>
          <w:rFonts w:ascii="Tahoma" w:hAnsi="Tahoma" w:cs="Tahoma"/>
          <w:sz w:val="22"/>
          <w:szCs w:val="22"/>
        </w:rPr>
        <w:t>la solicitud de reliquidación presentada el 22 de octubre de 2014</w:t>
      </w:r>
      <w:r w:rsidR="00005028" w:rsidRPr="006757CB">
        <w:rPr>
          <w:rFonts w:ascii="Tahoma" w:hAnsi="Tahoma" w:cs="Tahoma"/>
          <w:sz w:val="22"/>
          <w:szCs w:val="22"/>
        </w:rPr>
        <w:t xml:space="preserve">. </w:t>
      </w:r>
      <w:r w:rsidR="0086689F" w:rsidRPr="006757CB">
        <w:rPr>
          <w:rFonts w:ascii="Tahoma" w:hAnsi="Tahoma" w:cs="Tahoma"/>
          <w:sz w:val="22"/>
          <w:szCs w:val="22"/>
        </w:rPr>
        <w:t>Frente a los demás hechos manifestó que no eran ciertos o que no le constaban.</w:t>
      </w:r>
    </w:p>
    <w:p w14:paraId="7F0C51C6" w14:textId="77777777" w:rsidR="00D4270E" w:rsidRPr="006757CB" w:rsidRDefault="00D4270E" w:rsidP="00D4270E">
      <w:pPr>
        <w:widowControl w:val="0"/>
        <w:autoSpaceDE w:val="0"/>
        <w:autoSpaceDN w:val="0"/>
        <w:adjustRightInd w:val="0"/>
        <w:spacing w:line="276" w:lineRule="auto"/>
        <w:ind w:firstLine="709"/>
        <w:jc w:val="both"/>
        <w:rPr>
          <w:rFonts w:ascii="Tahoma" w:hAnsi="Tahoma" w:cs="Tahoma"/>
          <w:sz w:val="22"/>
          <w:szCs w:val="22"/>
        </w:rPr>
      </w:pPr>
    </w:p>
    <w:p w14:paraId="3CCAA5D7" w14:textId="3C0BEE53" w:rsidR="00636555" w:rsidRPr="006757CB" w:rsidRDefault="0088137A" w:rsidP="0088137A">
      <w:pPr>
        <w:widowControl w:val="0"/>
        <w:autoSpaceDE w:val="0"/>
        <w:autoSpaceDN w:val="0"/>
        <w:adjustRightInd w:val="0"/>
        <w:spacing w:line="276" w:lineRule="auto"/>
        <w:ind w:firstLine="709"/>
        <w:jc w:val="both"/>
        <w:rPr>
          <w:rFonts w:ascii="Tahoma" w:hAnsi="Tahoma" w:cs="Tahoma"/>
          <w:sz w:val="22"/>
          <w:szCs w:val="22"/>
        </w:rPr>
      </w:pPr>
      <w:r w:rsidRPr="006757CB">
        <w:rPr>
          <w:rFonts w:ascii="Tahoma" w:hAnsi="Tahoma" w:cs="Tahoma"/>
          <w:sz w:val="22"/>
          <w:szCs w:val="22"/>
        </w:rPr>
        <w:t>Seguidamente se opuso a la totalidad de las pretensiones y propuso como excepciones las que denominó “Deber del demandante de demostrar los supuestos de hecho” y “Prescripción”.</w:t>
      </w:r>
    </w:p>
    <w:p w14:paraId="3243D611" w14:textId="396EEEE7" w:rsidR="00B1619D" w:rsidRPr="006757CB" w:rsidRDefault="001B71BE" w:rsidP="000F0AEC">
      <w:pPr>
        <w:pStyle w:val="Sinespaciado"/>
        <w:rPr>
          <w:sz w:val="22"/>
          <w:szCs w:val="22"/>
        </w:rPr>
      </w:pPr>
      <w:r w:rsidRPr="006757CB">
        <w:rPr>
          <w:sz w:val="22"/>
          <w:szCs w:val="22"/>
        </w:rPr>
        <w:t xml:space="preserve">    </w:t>
      </w:r>
    </w:p>
    <w:p w14:paraId="6F781E9E" w14:textId="77777777" w:rsidR="009A4059" w:rsidRPr="006757CB" w:rsidRDefault="006E78E8" w:rsidP="000F4F7B">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6757CB">
        <w:rPr>
          <w:rFonts w:ascii="Tahoma" w:hAnsi="Tahoma" w:cs="Tahoma"/>
          <w:b/>
          <w:sz w:val="22"/>
          <w:szCs w:val="22"/>
        </w:rPr>
        <w:t>La sentencia de primera instancia</w:t>
      </w:r>
    </w:p>
    <w:p w14:paraId="6E3B886F" w14:textId="77777777" w:rsidR="00B1619D" w:rsidRPr="006757CB" w:rsidRDefault="00B1619D" w:rsidP="000F0AEC">
      <w:pPr>
        <w:pStyle w:val="Sinespaciado"/>
        <w:rPr>
          <w:sz w:val="22"/>
          <w:szCs w:val="22"/>
        </w:rPr>
      </w:pPr>
    </w:p>
    <w:p w14:paraId="7022C19D" w14:textId="3F901A42" w:rsidR="00466D48" w:rsidRPr="006757CB" w:rsidRDefault="007F5BEA" w:rsidP="004B02AB">
      <w:pPr>
        <w:pStyle w:val="Sinespaciado"/>
        <w:spacing w:line="276" w:lineRule="auto"/>
        <w:ind w:firstLine="708"/>
        <w:jc w:val="both"/>
        <w:rPr>
          <w:rFonts w:ascii="Tahoma" w:hAnsi="Tahoma" w:cs="Tahoma"/>
          <w:i/>
          <w:sz w:val="22"/>
          <w:szCs w:val="22"/>
        </w:rPr>
      </w:pPr>
      <w:r w:rsidRPr="006757CB">
        <w:rPr>
          <w:rFonts w:ascii="Tahoma" w:hAnsi="Tahoma" w:cs="Tahoma"/>
          <w:sz w:val="22"/>
          <w:szCs w:val="22"/>
        </w:rPr>
        <w:t xml:space="preserve">En el curso del proceso Colpensiones profirió la Resolución No. 32483 del 12 de febrero de 2015, </w:t>
      </w:r>
      <w:r w:rsidR="00466D48" w:rsidRPr="006757CB">
        <w:rPr>
          <w:rFonts w:ascii="Tahoma" w:hAnsi="Tahoma" w:cs="Tahoma"/>
          <w:sz w:val="22"/>
          <w:szCs w:val="22"/>
        </w:rPr>
        <w:t xml:space="preserve">liquidando el IBL con el promedio de lo devengado por el actor en los últimos 10 años, </w:t>
      </w:r>
      <w:r w:rsidR="004B02AB" w:rsidRPr="006757CB">
        <w:rPr>
          <w:rFonts w:ascii="Tahoma" w:hAnsi="Tahoma" w:cs="Tahoma"/>
          <w:sz w:val="22"/>
          <w:szCs w:val="22"/>
        </w:rPr>
        <w:t xml:space="preserve">reconociendo una mesada de </w:t>
      </w:r>
      <w:r w:rsidR="004B02AB" w:rsidRPr="006757CB">
        <w:rPr>
          <w:rFonts w:ascii="Tahoma" w:hAnsi="Tahoma" w:cs="Tahoma"/>
          <w:i/>
          <w:sz w:val="22"/>
          <w:szCs w:val="22"/>
        </w:rPr>
        <w:t xml:space="preserve">$604.338 para el año 2011; no obstante,  </w:t>
      </w:r>
      <w:r w:rsidR="004B02AB" w:rsidRPr="006757CB">
        <w:rPr>
          <w:rFonts w:ascii="Tahoma" w:hAnsi="Tahoma" w:cs="Tahoma"/>
          <w:sz w:val="22"/>
          <w:szCs w:val="22"/>
        </w:rPr>
        <w:t>l</w:t>
      </w:r>
      <w:r w:rsidR="009A4059" w:rsidRPr="006757CB">
        <w:rPr>
          <w:rFonts w:ascii="Tahoma" w:hAnsi="Tahoma" w:cs="Tahoma"/>
          <w:sz w:val="22"/>
          <w:szCs w:val="22"/>
        </w:rPr>
        <w:t xml:space="preserve">a </w:t>
      </w:r>
      <w:r w:rsidR="0003464F" w:rsidRPr="006757CB">
        <w:rPr>
          <w:rFonts w:ascii="Tahoma" w:hAnsi="Tahoma" w:cs="Tahoma"/>
          <w:sz w:val="22"/>
          <w:szCs w:val="22"/>
        </w:rPr>
        <w:t>Juez</w:t>
      </w:r>
      <w:r w:rsidR="00A1731C" w:rsidRPr="006757CB">
        <w:rPr>
          <w:rFonts w:ascii="Tahoma" w:hAnsi="Tahoma" w:cs="Tahoma"/>
          <w:sz w:val="22"/>
          <w:szCs w:val="22"/>
        </w:rPr>
        <w:t>a</w:t>
      </w:r>
      <w:r w:rsidR="0003464F" w:rsidRPr="006757CB">
        <w:rPr>
          <w:rFonts w:ascii="Tahoma" w:hAnsi="Tahoma" w:cs="Tahoma"/>
          <w:sz w:val="22"/>
          <w:szCs w:val="22"/>
        </w:rPr>
        <w:t xml:space="preserve"> </w:t>
      </w:r>
      <w:r w:rsidR="009A4059" w:rsidRPr="006757CB">
        <w:rPr>
          <w:rFonts w:ascii="Tahoma" w:hAnsi="Tahoma" w:cs="Tahoma"/>
          <w:sz w:val="22"/>
          <w:szCs w:val="22"/>
        </w:rPr>
        <w:t xml:space="preserve">de conocimiento </w:t>
      </w:r>
      <w:r w:rsidR="00C174A6" w:rsidRPr="006757CB">
        <w:rPr>
          <w:rFonts w:ascii="Tahoma" w:hAnsi="Tahoma" w:cs="Tahoma"/>
          <w:sz w:val="22"/>
          <w:szCs w:val="22"/>
        </w:rPr>
        <w:t>declaró que el señor Arturo Granada Bernal tiene derecho a la reliquidación de su pensión</w:t>
      </w:r>
      <w:r w:rsidR="00B00B8A" w:rsidRPr="006757CB">
        <w:rPr>
          <w:rFonts w:ascii="Tahoma" w:hAnsi="Tahoma" w:cs="Tahoma"/>
          <w:sz w:val="22"/>
          <w:szCs w:val="22"/>
        </w:rPr>
        <w:t xml:space="preserve"> con todo el tiempo cotizado durante su vida</w:t>
      </w:r>
      <w:r w:rsidR="00466D48" w:rsidRPr="006757CB">
        <w:rPr>
          <w:rFonts w:ascii="Tahoma" w:hAnsi="Tahoma" w:cs="Tahoma"/>
          <w:sz w:val="22"/>
          <w:szCs w:val="22"/>
        </w:rPr>
        <w:t xml:space="preserve">, </w:t>
      </w:r>
      <w:r w:rsidR="00B00B8A" w:rsidRPr="006757CB">
        <w:rPr>
          <w:rFonts w:ascii="Tahoma" w:hAnsi="Tahoma" w:cs="Tahoma"/>
          <w:sz w:val="22"/>
          <w:szCs w:val="22"/>
        </w:rPr>
        <w:t>por ser más favorable a sus intereses</w:t>
      </w:r>
      <w:r w:rsidR="00C174A6" w:rsidRPr="006757CB">
        <w:rPr>
          <w:rFonts w:ascii="Tahoma" w:hAnsi="Tahoma" w:cs="Tahoma"/>
          <w:sz w:val="22"/>
          <w:szCs w:val="22"/>
        </w:rPr>
        <w:t xml:space="preserve">. </w:t>
      </w:r>
      <w:r w:rsidR="00B00B8A" w:rsidRPr="006757CB">
        <w:rPr>
          <w:rFonts w:ascii="Tahoma" w:hAnsi="Tahoma" w:cs="Tahoma"/>
          <w:sz w:val="22"/>
          <w:szCs w:val="22"/>
        </w:rPr>
        <w:t>Asimismo</w:t>
      </w:r>
      <w:r w:rsidR="00C174A6" w:rsidRPr="006757CB">
        <w:rPr>
          <w:rFonts w:ascii="Tahoma" w:hAnsi="Tahoma" w:cs="Tahoma"/>
          <w:sz w:val="22"/>
          <w:szCs w:val="22"/>
        </w:rPr>
        <w:t>, ordenó a Colpensiones</w:t>
      </w:r>
      <w:r w:rsidR="00B00B8A" w:rsidRPr="006757CB">
        <w:rPr>
          <w:rFonts w:ascii="Tahoma" w:hAnsi="Tahoma" w:cs="Tahoma"/>
          <w:sz w:val="22"/>
          <w:szCs w:val="22"/>
        </w:rPr>
        <w:t xml:space="preserve"> modificar la Resolución 6175 emitida el 25 de octubre de 1996, reconociendo una primera mesada de </w:t>
      </w:r>
      <w:r w:rsidR="00B00B8A" w:rsidRPr="006757CB">
        <w:rPr>
          <w:rFonts w:ascii="Tahoma" w:hAnsi="Tahoma" w:cs="Tahoma"/>
          <w:i/>
          <w:sz w:val="22"/>
          <w:szCs w:val="22"/>
        </w:rPr>
        <w:t>$321.383</w:t>
      </w:r>
      <w:r w:rsidR="00466D48" w:rsidRPr="006757CB">
        <w:rPr>
          <w:rFonts w:ascii="Tahoma" w:hAnsi="Tahoma" w:cs="Tahoma"/>
          <w:i/>
          <w:sz w:val="22"/>
          <w:szCs w:val="22"/>
        </w:rPr>
        <w:t>.</w:t>
      </w:r>
    </w:p>
    <w:p w14:paraId="129F32C7" w14:textId="77777777" w:rsidR="00466D48" w:rsidRPr="006757CB" w:rsidRDefault="00466D48" w:rsidP="002146A5">
      <w:pPr>
        <w:pStyle w:val="Sinespaciado"/>
        <w:ind w:firstLine="708"/>
        <w:jc w:val="both"/>
        <w:rPr>
          <w:rFonts w:ascii="Tahoma" w:hAnsi="Tahoma" w:cs="Tahoma"/>
          <w:i/>
          <w:sz w:val="22"/>
          <w:szCs w:val="22"/>
        </w:rPr>
      </w:pPr>
    </w:p>
    <w:p w14:paraId="058DAA81" w14:textId="05B61366" w:rsidR="0080548B" w:rsidRPr="006757CB" w:rsidRDefault="00466D48" w:rsidP="004B02AB">
      <w:pPr>
        <w:pStyle w:val="Sinespaciado"/>
        <w:spacing w:line="276" w:lineRule="auto"/>
        <w:ind w:firstLine="708"/>
        <w:jc w:val="both"/>
        <w:rPr>
          <w:rFonts w:ascii="Tahoma" w:hAnsi="Tahoma" w:cs="Tahoma"/>
          <w:sz w:val="22"/>
          <w:szCs w:val="22"/>
        </w:rPr>
      </w:pPr>
      <w:r w:rsidRPr="006757CB">
        <w:rPr>
          <w:rFonts w:ascii="Tahoma" w:hAnsi="Tahoma" w:cs="Tahoma"/>
          <w:sz w:val="22"/>
          <w:szCs w:val="22"/>
        </w:rPr>
        <w:t>Asimismo,</w:t>
      </w:r>
      <w:r w:rsidR="0080548B" w:rsidRPr="006757CB">
        <w:rPr>
          <w:rFonts w:ascii="Tahoma" w:hAnsi="Tahoma" w:cs="Tahoma"/>
          <w:i/>
          <w:sz w:val="22"/>
          <w:szCs w:val="22"/>
        </w:rPr>
        <w:t xml:space="preserve"> </w:t>
      </w:r>
      <w:r w:rsidR="0080548B" w:rsidRPr="006757CB">
        <w:rPr>
          <w:rFonts w:ascii="Tahoma" w:hAnsi="Tahoma" w:cs="Tahoma"/>
          <w:sz w:val="22"/>
          <w:szCs w:val="22"/>
        </w:rPr>
        <w:t xml:space="preserve">declaró probada </w:t>
      </w:r>
      <w:r w:rsidRPr="006757CB">
        <w:rPr>
          <w:rFonts w:ascii="Tahoma" w:hAnsi="Tahoma" w:cs="Tahoma"/>
          <w:sz w:val="22"/>
          <w:szCs w:val="22"/>
        </w:rPr>
        <w:t xml:space="preserve">parcialmente </w:t>
      </w:r>
      <w:r w:rsidR="0080548B" w:rsidRPr="006757CB">
        <w:rPr>
          <w:rFonts w:ascii="Tahoma" w:hAnsi="Tahoma" w:cs="Tahoma"/>
          <w:sz w:val="22"/>
          <w:szCs w:val="22"/>
        </w:rPr>
        <w:t xml:space="preserve">la excepción de prescripción propuesta por la demandada, </w:t>
      </w:r>
      <w:r w:rsidRPr="006757CB">
        <w:rPr>
          <w:rFonts w:ascii="Tahoma" w:hAnsi="Tahoma" w:cs="Tahoma"/>
          <w:sz w:val="22"/>
          <w:szCs w:val="22"/>
        </w:rPr>
        <w:t xml:space="preserve">reconociendo un </w:t>
      </w:r>
      <w:r w:rsidR="00B00B8A" w:rsidRPr="006757CB">
        <w:rPr>
          <w:rFonts w:ascii="Tahoma" w:hAnsi="Tahoma" w:cs="Tahoma"/>
          <w:sz w:val="22"/>
          <w:szCs w:val="22"/>
        </w:rPr>
        <w:t>retroactivo</w:t>
      </w:r>
      <w:r w:rsidR="00B00B8A" w:rsidRPr="006757CB">
        <w:rPr>
          <w:rFonts w:ascii="Tahoma" w:hAnsi="Tahoma" w:cs="Tahoma"/>
          <w:i/>
          <w:sz w:val="22"/>
          <w:szCs w:val="22"/>
        </w:rPr>
        <w:t xml:space="preserve"> </w:t>
      </w:r>
      <w:r w:rsidR="00B00B8A" w:rsidRPr="006757CB">
        <w:rPr>
          <w:rFonts w:ascii="Tahoma" w:hAnsi="Tahoma" w:cs="Tahoma"/>
          <w:sz w:val="22"/>
          <w:szCs w:val="22"/>
        </w:rPr>
        <w:t xml:space="preserve">pensional </w:t>
      </w:r>
      <w:r w:rsidRPr="006757CB">
        <w:rPr>
          <w:rFonts w:ascii="Tahoma" w:hAnsi="Tahoma" w:cs="Tahoma"/>
          <w:sz w:val="22"/>
          <w:szCs w:val="22"/>
        </w:rPr>
        <w:t xml:space="preserve">de </w:t>
      </w:r>
      <w:r w:rsidR="00B00B8A" w:rsidRPr="006757CB">
        <w:rPr>
          <w:rFonts w:ascii="Tahoma" w:hAnsi="Tahoma" w:cs="Tahoma"/>
          <w:sz w:val="22"/>
          <w:szCs w:val="22"/>
        </w:rPr>
        <w:t>$</w:t>
      </w:r>
      <w:r w:rsidRPr="006757CB">
        <w:rPr>
          <w:rFonts w:ascii="Tahoma" w:hAnsi="Tahoma" w:cs="Tahoma"/>
          <w:sz w:val="22"/>
          <w:szCs w:val="22"/>
        </w:rPr>
        <w:t xml:space="preserve">31.561.920 y ordenando descontar </w:t>
      </w:r>
      <w:r w:rsidR="00B00B8A" w:rsidRPr="006757CB">
        <w:rPr>
          <w:rFonts w:ascii="Tahoma" w:hAnsi="Tahoma" w:cs="Tahoma"/>
          <w:sz w:val="22"/>
          <w:szCs w:val="22"/>
        </w:rPr>
        <w:t>de esa suma el 12% que corresponde a la EPS en la cual se encuentra afiliado</w:t>
      </w:r>
      <w:r w:rsidRPr="006757CB">
        <w:rPr>
          <w:rFonts w:ascii="Tahoma" w:hAnsi="Tahoma" w:cs="Tahoma"/>
          <w:sz w:val="22"/>
          <w:szCs w:val="22"/>
        </w:rPr>
        <w:t xml:space="preserve"> el señor Gradada</w:t>
      </w:r>
      <w:r w:rsidR="00B00B8A" w:rsidRPr="006757CB">
        <w:rPr>
          <w:rFonts w:ascii="Tahoma" w:hAnsi="Tahoma" w:cs="Tahoma"/>
          <w:sz w:val="22"/>
          <w:szCs w:val="22"/>
        </w:rPr>
        <w:t xml:space="preserve">. </w:t>
      </w:r>
      <w:r w:rsidRPr="006757CB">
        <w:rPr>
          <w:rFonts w:ascii="Tahoma" w:hAnsi="Tahoma" w:cs="Tahoma"/>
          <w:sz w:val="22"/>
          <w:szCs w:val="22"/>
        </w:rPr>
        <w:t xml:space="preserve">Finalmente, </w:t>
      </w:r>
      <w:r w:rsidR="00B00B8A" w:rsidRPr="006757CB">
        <w:rPr>
          <w:rFonts w:ascii="Tahoma" w:hAnsi="Tahoma" w:cs="Tahoma"/>
          <w:sz w:val="22"/>
          <w:szCs w:val="22"/>
        </w:rPr>
        <w:t xml:space="preserve">la Jueza ordenó a la demandada proceder a cancelar a título de indexación la suma de $16.375.143. </w:t>
      </w:r>
    </w:p>
    <w:p w14:paraId="7E9549B0" w14:textId="77777777" w:rsidR="0080548B" w:rsidRPr="006757CB" w:rsidRDefault="0080548B" w:rsidP="002146A5">
      <w:pPr>
        <w:pStyle w:val="Sinespaciado"/>
        <w:ind w:firstLine="708"/>
        <w:jc w:val="both"/>
        <w:rPr>
          <w:rFonts w:ascii="Tahoma" w:hAnsi="Tahoma" w:cs="Tahoma"/>
          <w:sz w:val="22"/>
          <w:szCs w:val="22"/>
        </w:rPr>
      </w:pPr>
    </w:p>
    <w:p w14:paraId="2573EB46" w14:textId="3BA54DBE" w:rsidR="00B00B8A" w:rsidRPr="006757CB" w:rsidRDefault="0080548B" w:rsidP="004B02AB">
      <w:pPr>
        <w:pStyle w:val="Sinespaciado"/>
        <w:spacing w:line="276" w:lineRule="auto"/>
        <w:ind w:firstLine="708"/>
        <w:jc w:val="both"/>
        <w:rPr>
          <w:rFonts w:ascii="Tahoma" w:hAnsi="Tahoma" w:cs="Tahoma"/>
          <w:sz w:val="22"/>
          <w:szCs w:val="22"/>
        </w:rPr>
      </w:pPr>
      <w:r w:rsidRPr="006757CB">
        <w:rPr>
          <w:rFonts w:ascii="Tahoma" w:hAnsi="Tahoma" w:cs="Tahoma"/>
          <w:sz w:val="22"/>
          <w:szCs w:val="22"/>
        </w:rPr>
        <w:t xml:space="preserve">Para llegar a tal determinación la A-quo consideró, en síntesis, </w:t>
      </w:r>
      <w:r w:rsidR="00466D48" w:rsidRPr="006757CB">
        <w:rPr>
          <w:rFonts w:ascii="Tahoma" w:hAnsi="Tahoma" w:cs="Tahoma"/>
          <w:sz w:val="22"/>
          <w:szCs w:val="22"/>
        </w:rPr>
        <w:t xml:space="preserve">que </w:t>
      </w:r>
      <w:r w:rsidRPr="006757CB">
        <w:rPr>
          <w:rFonts w:ascii="Tahoma" w:hAnsi="Tahoma" w:cs="Tahoma"/>
          <w:sz w:val="22"/>
          <w:szCs w:val="22"/>
        </w:rPr>
        <w:t xml:space="preserve">era </w:t>
      </w:r>
      <w:r w:rsidR="00047862" w:rsidRPr="006757CB">
        <w:rPr>
          <w:rFonts w:ascii="Tahoma" w:hAnsi="Tahoma" w:cs="Tahoma"/>
          <w:sz w:val="22"/>
          <w:szCs w:val="22"/>
        </w:rPr>
        <w:t>factible</w:t>
      </w:r>
      <w:r w:rsidRPr="006757CB">
        <w:rPr>
          <w:rFonts w:ascii="Tahoma" w:hAnsi="Tahoma" w:cs="Tahoma"/>
          <w:sz w:val="22"/>
          <w:szCs w:val="22"/>
        </w:rPr>
        <w:t xml:space="preserve"> liquidar el IBL del actor</w:t>
      </w:r>
      <w:r w:rsidR="00047862" w:rsidRPr="006757CB">
        <w:rPr>
          <w:rFonts w:ascii="Tahoma" w:hAnsi="Tahoma" w:cs="Tahoma"/>
          <w:sz w:val="22"/>
          <w:szCs w:val="22"/>
        </w:rPr>
        <w:t xml:space="preserve"> con el promedio devengado</w:t>
      </w:r>
      <w:r w:rsidR="00466D48" w:rsidRPr="006757CB">
        <w:rPr>
          <w:rFonts w:ascii="Tahoma" w:hAnsi="Tahoma" w:cs="Tahoma"/>
          <w:sz w:val="22"/>
          <w:szCs w:val="22"/>
        </w:rPr>
        <w:t xml:space="preserve"> </w:t>
      </w:r>
      <w:r w:rsidR="00047862" w:rsidRPr="006757CB">
        <w:rPr>
          <w:rFonts w:ascii="Tahoma" w:hAnsi="Tahoma" w:cs="Tahoma"/>
          <w:sz w:val="22"/>
          <w:szCs w:val="22"/>
        </w:rPr>
        <w:t xml:space="preserve">en toda </w:t>
      </w:r>
      <w:r w:rsidR="00466D48" w:rsidRPr="006757CB">
        <w:rPr>
          <w:rFonts w:ascii="Tahoma" w:hAnsi="Tahoma" w:cs="Tahoma"/>
          <w:sz w:val="22"/>
          <w:szCs w:val="22"/>
        </w:rPr>
        <w:t>su</w:t>
      </w:r>
      <w:r w:rsidR="00047862" w:rsidRPr="006757CB">
        <w:rPr>
          <w:rFonts w:ascii="Tahoma" w:hAnsi="Tahoma" w:cs="Tahoma"/>
          <w:sz w:val="22"/>
          <w:szCs w:val="22"/>
        </w:rPr>
        <w:t xml:space="preserve"> vida laboral</w:t>
      </w:r>
      <w:r w:rsidRPr="006757CB">
        <w:rPr>
          <w:rFonts w:ascii="Tahoma" w:hAnsi="Tahoma" w:cs="Tahoma"/>
          <w:sz w:val="22"/>
          <w:szCs w:val="22"/>
        </w:rPr>
        <w:t xml:space="preserve"> de conformidad con el artículo 36</w:t>
      </w:r>
      <w:r w:rsidR="00047862" w:rsidRPr="006757CB">
        <w:rPr>
          <w:rFonts w:ascii="Tahoma" w:hAnsi="Tahoma" w:cs="Tahoma"/>
          <w:sz w:val="22"/>
          <w:szCs w:val="22"/>
        </w:rPr>
        <w:t xml:space="preserve"> de la Ley  100 de 1993,</w:t>
      </w:r>
      <w:r w:rsidRPr="006757CB">
        <w:rPr>
          <w:rFonts w:ascii="Tahoma" w:hAnsi="Tahoma" w:cs="Tahoma"/>
          <w:sz w:val="22"/>
          <w:szCs w:val="22"/>
        </w:rPr>
        <w:t xml:space="preserve"> por cuanto </w:t>
      </w:r>
      <w:r w:rsidR="00466D48" w:rsidRPr="006757CB">
        <w:rPr>
          <w:rFonts w:ascii="Tahoma" w:hAnsi="Tahoma" w:cs="Tahoma"/>
          <w:sz w:val="22"/>
          <w:szCs w:val="22"/>
        </w:rPr>
        <w:t xml:space="preserve">era beneficiario del régimen de transición y </w:t>
      </w:r>
      <w:r w:rsidRPr="006757CB">
        <w:rPr>
          <w:rFonts w:ascii="Tahoma" w:hAnsi="Tahoma" w:cs="Tahoma"/>
          <w:sz w:val="22"/>
          <w:szCs w:val="22"/>
        </w:rPr>
        <w:t>le faltaban menos de años para pensionarse cuando entró en vigencia dicha norma</w:t>
      </w:r>
      <w:r w:rsidR="00372F95" w:rsidRPr="006757CB">
        <w:rPr>
          <w:rFonts w:ascii="Tahoma" w:hAnsi="Tahoma" w:cs="Tahoma"/>
          <w:sz w:val="22"/>
          <w:szCs w:val="22"/>
        </w:rPr>
        <w:t xml:space="preserve">; </w:t>
      </w:r>
      <w:r w:rsidR="00466D48" w:rsidRPr="006757CB">
        <w:rPr>
          <w:rFonts w:ascii="Tahoma" w:hAnsi="Tahoma" w:cs="Tahoma"/>
          <w:sz w:val="22"/>
          <w:szCs w:val="22"/>
        </w:rPr>
        <w:t xml:space="preserve">liquidación </w:t>
      </w:r>
      <w:r w:rsidR="00372F95" w:rsidRPr="006757CB">
        <w:rPr>
          <w:rFonts w:ascii="Tahoma" w:hAnsi="Tahoma" w:cs="Tahoma"/>
          <w:sz w:val="22"/>
          <w:szCs w:val="22"/>
        </w:rPr>
        <w:t xml:space="preserve">que </w:t>
      </w:r>
      <w:r w:rsidR="00466D48" w:rsidRPr="006757CB">
        <w:rPr>
          <w:rFonts w:ascii="Tahoma" w:hAnsi="Tahoma" w:cs="Tahoma"/>
          <w:sz w:val="22"/>
          <w:szCs w:val="22"/>
        </w:rPr>
        <w:t xml:space="preserve">era más </w:t>
      </w:r>
      <w:r w:rsidR="00047862" w:rsidRPr="006757CB">
        <w:rPr>
          <w:rFonts w:ascii="Tahoma" w:hAnsi="Tahoma" w:cs="Tahoma"/>
          <w:sz w:val="22"/>
          <w:szCs w:val="22"/>
        </w:rPr>
        <w:t xml:space="preserve">beneficiosa para </w:t>
      </w:r>
      <w:r w:rsidR="00466D48" w:rsidRPr="006757CB">
        <w:rPr>
          <w:rFonts w:ascii="Tahoma" w:hAnsi="Tahoma" w:cs="Tahoma"/>
          <w:sz w:val="22"/>
          <w:szCs w:val="22"/>
        </w:rPr>
        <w:t>él</w:t>
      </w:r>
      <w:r w:rsidR="00047862" w:rsidRPr="006757CB">
        <w:rPr>
          <w:rFonts w:ascii="Tahoma" w:hAnsi="Tahoma" w:cs="Tahoma"/>
          <w:sz w:val="22"/>
          <w:szCs w:val="22"/>
        </w:rPr>
        <w:t xml:space="preserve"> ya que el IBL e</w:t>
      </w:r>
      <w:r w:rsidR="00466D48" w:rsidRPr="006757CB">
        <w:rPr>
          <w:rFonts w:ascii="Tahoma" w:hAnsi="Tahoma" w:cs="Tahoma"/>
          <w:sz w:val="22"/>
          <w:szCs w:val="22"/>
        </w:rPr>
        <w:t xml:space="preserve">ra </w:t>
      </w:r>
      <w:r w:rsidR="00047862" w:rsidRPr="006757CB">
        <w:rPr>
          <w:rFonts w:ascii="Tahoma" w:hAnsi="Tahoma" w:cs="Tahoma"/>
          <w:sz w:val="22"/>
          <w:szCs w:val="22"/>
        </w:rPr>
        <w:t xml:space="preserve">de $369.406, </w:t>
      </w:r>
      <w:r w:rsidR="00372F95" w:rsidRPr="006757CB">
        <w:rPr>
          <w:rFonts w:ascii="Tahoma" w:hAnsi="Tahoma" w:cs="Tahoma"/>
          <w:sz w:val="22"/>
          <w:szCs w:val="22"/>
        </w:rPr>
        <w:t xml:space="preserve">suma que </w:t>
      </w:r>
      <w:r w:rsidR="00047862" w:rsidRPr="006757CB">
        <w:rPr>
          <w:rFonts w:ascii="Tahoma" w:hAnsi="Tahoma" w:cs="Tahoma"/>
          <w:sz w:val="22"/>
          <w:szCs w:val="22"/>
        </w:rPr>
        <w:t xml:space="preserve">al aplicarle la tasa de reemplazo del 87%, </w:t>
      </w:r>
      <w:r w:rsidR="00372F95" w:rsidRPr="006757CB">
        <w:rPr>
          <w:rFonts w:ascii="Tahoma" w:hAnsi="Tahoma" w:cs="Tahoma"/>
          <w:sz w:val="22"/>
          <w:szCs w:val="22"/>
        </w:rPr>
        <w:t xml:space="preserve">arrojaba </w:t>
      </w:r>
      <w:r w:rsidR="00047862" w:rsidRPr="006757CB">
        <w:rPr>
          <w:rFonts w:ascii="Tahoma" w:hAnsi="Tahoma" w:cs="Tahoma"/>
          <w:sz w:val="22"/>
          <w:szCs w:val="22"/>
        </w:rPr>
        <w:t>una mesada pensional para el año de 1996 de $321.383, cifra muy superior a la que tuvo en cuenta el ISS, y con la cual procedió a pagar las mesadas pensionales del señor Granada Bernal, desde el 28 de septiembre de 1996</w:t>
      </w:r>
      <w:r w:rsidR="00693EFF" w:rsidRPr="006757CB">
        <w:rPr>
          <w:rFonts w:ascii="Tahoma" w:hAnsi="Tahoma" w:cs="Tahoma"/>
          <w:sz w:val="22"/>
          <w:szCs w:val="22"/>
        </w:rPr>
        <w:t>.</w:t>
      </w:r>
    </w:p>
    <w:p w14:paraId="71AE9B30" w14:textId="77777777" w:rsidR="00693EFF" w:rsidRPr="006757CB" w:rsidRDefault="00693EFF" w:rsidP="002146A5">
      <w:pPr>
        <w:pStyle w:val="Sinespaciado"/>
        <w:ind w:firstLine="708"/>
        <w:jc w:val="both"/>
        <w:rPr>
          <w:rFonts w:ascii="Tahoma" w:hAnsi="Tahoma" w:cs="Tahoma"/>
          <w:sz w:val="22"/>
          <w:szCs w:val="22"/>
        </w:rPr>
      </w:pPr>
    </w:p>
    <w:p w14:paraId="70192EBC" w14:textId="68DB8A2E" w:rsidR="00372F95" w:rsidRPr="006757CB" w:rsidRDefault="000D4B70" w:rsidP="00065DF0">
      <w:pPr>
        <w:widowControl w:val="0"/>
        <w:autoSpaceDE w:val="0"/>
        <w:autoSpaceDN w:val="0"/>
        <w:adjustRightInd w:val="0"/>
        <w:spacing w:line="276" w:lineRule="auto"/>
        <w:ind w:firstLine="708"/>
        <w:jc w:val="both"/>
        <w:rPr>
          <w:rFonts w:ascii="Tahoma" w:hAnsi="Tahoma" w:cs="Tahoma"/>
          <w:sz w:val="22"/>
          <w:szCs w:val="22"/>
        </w:rPr>
      </w:pPr>
      <w:r w:rsidRPr="006757CB">
        <w:rPr>
          <w:rFonts w:ascii="Tahoma" w:hAnsi="Tahoma" w:cs="Tahoma"/>
          <w:sz w:val="22"/>
          <w:szCs w:val="22"/>
        </w:rPr>
        <w:t xml:space="preserve">En ese orden de ideas, </w:t>
      </w:r>
      <w:r w:rsidR="00FB3461" w:rsidRPr="006757CB">
        <w:rPr>
          <w:rFonts w:ascii="Tahoma" w:hAnsi="Tahoma" w:cs="Tahoma"/>
          <w:sz w:val="22"/>
          <w:szCs w:val="22"/>
        </w:rPr>
        <w:t xml:space="preserve">adujo que como la reclamación administrativa se presentó el 22 de octubre de 2014, el retroactivo adeudado se </w:t>
      </w:r>
      <w:proofErr w:type="spellStart"/>
      <w:r w:rsidR="00FB3461" w:rsidRPr="006757CB">
        <w:rPr>
          <w:rFonts w:ascii="Tahoma" w:hAnsi="Tahoma" w:cs="Tahoma"/>
          <w:sz w:val="22"/>
          <w:szCs w:val="22"/>
        </w:rPr>
        <w:t>causaba</w:t>
      </w:r>
      <w:proofErr w:type="spellEnd"/>
      <w:r w:rsidR="00FB3461" w:rsidRPr="006757CB">
        <w:rPr>
          <w:rFonts w:ascii="Tahoma" w:hAnsi="Tahoma" w:cs="Tahoma"/>
          <w:sz w:val="22"/>
          <w:szCs w:val="22"/>
        </w:rPr>
        <w:t xml:space="preserve"> </w:t>
      </w:r>
      <w:r w:rsidR="00693EFF" w:rsidRPr="006757CB">
        <w:rPr>
          <w:rFonts w:ascii="Tahoma" w:hAnsi="Tahoma" w:cs="Tahoma"/>
          <w:sz w:val="22"/>
          <w:szCs w:val="22"/>
        </w:rPr>
        <w:t xml:space="preserve">a partir del </w:t>
      </w:r>
      <w:r w:rsidR="00FB3461" w:rsidRPr="006757CB">
        <w:rPr>
          <w:rFonts w:ascii="Tahoma" w:hAnsi="Tahoma" w:cs="Tahoma"/>
          <w:sz w:val="22"/>
          <w:szCs w:val="22"/>
        </w:rPr>
        <w:t xml:space="preserve">mismo día y mes </w:t>
      </w:r>
      <w:r w:rsidR="00693EFF" w:rsidRPr="006757CB">
        <w:rPr>
          <w:rFonts w:ascii="Tahoma" w:hAnsi="Tahoma" w:cs="Tahoma"/>
          <w:sz w:val="22"/>
          <w:szCs w:val="22"/>
        </w:rPr>
        <w:t xml:space="preserve">de 2011, </w:t>
      </w:r>
      <w:r w:rsidR="00FB3461" w:rsidRPr="006757CB">
        <w:rPr>
          <w:rFonts w:ascii="Tahoma" w:hAnsi="Tahoma" w:cs="Tahoma"/>
          <w:sz w:val="22"/>
          <w:szCs w:val="22"/>
        </w:rPr>
        <w:t xml:space="preserve">año en el que la mesada era de $1.082.457, superior en $603.763 a los $478.694 que la demandada le estaba cancelando, diferencia que se mantenía en los años subsiguientes y </w:t>
      </w:r>
      <w:r w:rsidR="006B15E3" w:rsidRPr="006757CB">
        <w:rPr>
          <w:rFonts w:ascii="Tahoma" w:hAnsi="Tahoma" w:cs="Tahoma"/>
          <w:sz w:val="22"/>
          <w:szCs w:val="22"/>
        </w:rPr>
        <w:t xml:space="preserve">que </w:t>
      </w:r>
      <w:r w:rsidR="00FB3461" w:rsidRPr="006757CB">
        <w:rPr>
          <w:rFonts w:ascii="Tahoma" w:hAnsi="Tahoma" w:cs="Tahoma"/>
          <w:sz w:val="22"/>
          <w:szCs w:val="22"/>
        </w:rPr>
        <w:t>por las 14 mesadas anuales a que tenía derecho el actor</w:t>
      </w:r>
      <w:r w:rsidR="006B15E3" w:rsidRPr="006757CB">
        <w:rPr>
          <w:rFonts w:ascii="Tahoma" w:hAnsi="Tahoma" w:cs="Tahoma"/>
          <w:sz w:val="22"/>
          <w:szCs w:val="22"/>
        </w:rPr>
        <w:t>,</w:t>
      </w:r>
      <w:r w:rsidR="00FB3461" w:rsidRPr="006757CB">
        <w:rPr>
          <w:rFonts w:ascii="Tahoma" w:hAnsi="Tahoma" w:cs="Tahoma"/>
          <w:sz w:val="22"/>
          <w:szCs w:val="22"/>
        </w:rPr>
        <w:t xml:space="preserve"> arrojó unas diferencias dejadas de </w:t>
      </w:r>
      <w:r w:rsidR="00372F95" w:rsidRPr="006757CB">
        <w:rPr>
          <w:rFonts w:ascii="Tahoma" w:hAnsi="Tahoma" w:cs="Tahoma"/>
          <w:sz w:val="22"/>
          <w:szCs w:val="22"/>
        </w:rPr>
        <w:t xml:space="preserve">pagar </w:t>
      </w:r>
      <w:r w:rsidR="00065DF0" w:rsidRPr="006757CB">
        <w:rPr>
          <w:rFonts w:ascii="Tahoma" w:hAnsi="Tahoma" w:cs="Tahoma"/>
          <w:sz w:val="22"/>
          <w:szCs w:val="22"/>
        </w:rPr>
        <w:t>hasta el momento de proferir la sentencia de $31.561.920</w:t>
      </w:r>
      <w:r w:rsidR="00372F95" w:rsidRPr="006757CB">
        <w:rPr>
          <w:rFonts w:ascii="Tahoma" w:hAnsi="Tahoma" w:cs="Tahoma"/>
          <w:sz w:val="22"/>
          <w:szCs w:val="22"/>
        </w:rPr>
        <w:t xml:space="preserve">, valor al que ordenó </w:t>
      </w:r>
      <w:r w:rsidR="00065DF0" w:rsidRPr="006757CB">
        <w:rPr>
          <w:rFonts w:ascii="Tahoma" w:hAnsi="Tahoma" w:cs="Tahoma"/>
          <w:sz w:val="22"/>
          <w:szCs w:val="22"/>
        </w:rPr>
        <w:t>desc</w:t>
      </w:r>
      <w:r w:rsidR="00372F95" w:rsidRPr="006757CB">
        <w:rPr>
          <w:rFonts w:ascii="Tahoma" w:hAnsi="Tahoma" w:cs="Tahoma"/>
          <w:sz w:val="22"/>
          <w:szCs w:val="22"/>
        </w:rPr>
        <w:t>ontar $3.787.430 por concepto de salud</w:t>
      </w:r>
      <w:r w:rsidR="00065DF0" w:rsidRPr="006757CB">
        <w:rPr>
          <w:rFonts w:ascii="Tahoma" w:hAnsi="Tahoma" w:cs="Tahoma"/>
          <w:sz w:val="22"/>
          <w:szCs w:val="22"/>
        </w:rPr>
        <w:t xml:space="preserve">. </w:t>
      </w:r>
    </w:p>
    <w:p w14:paraId="7DBD8F44" w14:textId="77777777" w:rsidR="00372F95" w:rsidRPr="006757CB" w:rsidRDefault="00372F95" w:rsidP="002146A5">
      <w:pPr>
        <w:widowControl w:val="0"/>
        <w:autoSpaceDE w:val="0"/>
        <w:autoSpaceDN w:val="0"/>
        <w:adjustRightInd w:val="0"/>
        <w:ind w:firstLine="708"/>
        <w:jc w:val="both"/>
        <w:rPr>
          <w:rFonts w:ascii="Tahoma" w:hAnsi="Tahoma" w:cs="Tahoma"/>
          <w:sz w:val="22"/>
          <w:szCs w:val="22"/>
        </w:rPr>
      </w:pPr>
    </w:p>
    <w:p w14:paraId="2EFBA8F6" w14:textId="0FAC799B" w:rsidR="00065DF0" w:rsidRPr="006757CB" w:rsidRDefault="00372F95" w:rsidP="00065DF0">
      <w:pPr>
        <w:widowControl w:val="0"/>
        <w:autoSpaceDE w:val="0"/>
        <w:autoSpaceDN w:val="0"/>
        <w:adjustRightInd w:val="0"/>
        <w:spacing w:line="276" w:lineRule="auto"/>
        <w:ind w:firstLine="708"/>
        <w:jc w:val="both"/>
        <w:rPr>
          <w:rFonts w:ascii="Tahoma" w:hAnsi="Tahoma" w:cs="Tahoma"/>
          <w:sz w:val="22"/>
          <w:szCs w:val="22"/>
        </w:rPr>
      </w:pPr>
      <w:r w:rsidRPr="006757CB">
        <w:rPr>
          <w:rFonts w:ascii="Tahoma" w:hAnsi="Tahoma" w:cs="Tahoma"/>
          <w:sz w:val="22"/>
          <w:szCs w:val="22"/>
        </w:rPr>
        <w:t xml:space="preserve">Finalmente, calculó </w:t>
      </w:r>
      <w:r w:rsidR="00065DF0" w:rsidRPr="006757CB">
        <w:rPr>
          <w:rFonts w:ascii="Tahoma" w:hAnsi="Tahoma" w:cs="Tahoma"/>
          <w:sz w:val="22"/>
          <w:szCs w:val="22"/>
        </w:rPr>
        <w:t>la indexación desde el mes de octubre de 1996 y obtuvo un total de $16.375.143.</w:t>
      </w:r>
    </w:p>
    <w:p w14:paraId="4950F634" w14:textId="77777777" w:rsidR="006B15E3" w:rsidRPr="006757CB" w:rsidRDefault="006B15E3" w:rsidP="00065DF0">
      <w:pPr>
        <w:widowControl w:val="0"/>
        <w:autoSpaceDE w:val="0"/>
        <w:autoSpaceDN w:val="0"/>
        <w:adjustRightInd w:val="0"/>
        <w:spacing w:line="276" w:lineRule="auto"/>
        <w:ind w:firstLine="708"/>
        <w:jc w:val="both"/>
        <w:rPr>
          <w:rFonts w:ascii="Tahoma" w:hAnsi="Tahoma" w:cs="Tahoma"/>
          <w:sz w:val="22"/>
          <w:szCs w:val="22"/>
        </w:rPr>
      </w:pPr>
    </w:p>
    <w:p w14:paraId="6C1B55C7" w14:textId="2A2769D3" w:rsidR="009A4059" w:rsidRPr="006757CB" w:rsidRDefault="00215F25" w:rsidP="000F4F7B">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6757CB">
        <w:rPr>
          <w:rFonts w:ascii="Tahoma" w:hAnsi="Tahoma" w:cs="Tahoma"/>
          <w:b/>
          <w:sz w:val="22"/>
          <w:szCs w:val="22"/>
        </w:rPr>
        <w:t>Recurso de apelación</w:t>
      </w:r>
      <w:r w:rsidR="00AD7C75" w:rsidRPr="006757CB">
        <w:rPr>
          <w:rFonts w:ascii="Tahoma" w:hAnsi="Tahoma" w:cs="Tahoma"/>
          <w:b/>
          <w:sz w:val="22"/>
          <w:szCs w:val="22"/>
        </w:rPr>
        <w:t xml:space="preserve"> y procedencia de la consulta</w:t>
      </w:r>
    </w:p>
    <w:p w14:paraId="73122164" w14:textId="77777777" w:rsidR="00215F25" w:rsidRPr="006757CB" w:rsidRDefault="00215F25" w:rsidP="00215F25">
      <w:pPr>
        <w:widowControl w:val="0"/>
        <w:autoSpaceDE w:val="0"/>
        <w:autoSpaceDN w:val="0"/>
        <w:adjustRightInd w:val="0"/>
        <w:spacing w:line="276" w:lineRule="auto"/>
        <w:jc w:val="center"/>
        <w:rPr>
          <w:rFonts w:ascii="Tahoma" w:hAnsi="Tahoma" w:cs="Tahoma"/>
          <w:b/>
          <w:sz w:val="22"/>
          <w:szCs w:val="22"/>
        </w:rPr>
      </w:pPr>
    </w:p>
    <w:p w14:paraId="35995C8A" w14:textId="3CB06C26" w:rsidR="00372F95" w:rsidRPr="006757CB" w:rsidRDefault="007C4321" w:rsidP="00ED7D6B">
      <w:pPr>
        <w:widowControl w:val="0"/>
        <w:autoSpaceDE w:val="0"/>
        <w:autoSpaceDN w:val="0"/>
        <w:adjustRightInd w:val="0"/>
        <w:spacing w:line="276" w:lineRule="auto"/>
        <w:jc w:val="both"/>
        <w:rPr>
          <w:rFonts w:ascii="Tahoma" w:hAnsi="Tahoma" w:cs="Tahoma"/>
          <w:sz w:val="22"/>
          <w:szCs w:val="22"/>
        </w:rPr>
      </w:pPr>
      <w:r w:rsidRPr="006757CB">
        <w:rPr>
          <w:rFonts w:ascii="Tahoma" w:hAnsi="Tahoma" w:cs="Tahoma"/>
          <w:sz w:val="22"/>
          <w:szCs w:val="22"/>
        </w:rPr>
        <w:t xml:space="preserve">      </w:t>
      </w:r>
      <w:r w:rsidR="00083E77" w:rsidRPr="006757CB">
        <w:rPr>
          <w:rFonts w:ascii="Tahoma" w:hAnsi="Tahoma" w:cs="Tahoma"/>
          <w:sz w:val="22"/>
          <w:szCs w:val="22"/>
        </w:rPr>
        <w:t xml:space="preserve"> </w:t>
      </w:r>
      <w:r w:rsidR="00AD7C75" w:rsidRPr="006757CB">
        <w:rPr>
          <w:rFonts w:ascii="Tahoma" w:hAnsi="Tahoma" w:cs="Tahoma"/>
          <w:sz w:val="22"/>
          <w:szCs w:val="22"/>
        </w:rPr>
        <w:t xml:space="preserve">El </w:t>
      </w:r>
      <w:r w:rsidR="00083E77" w:rsidRPr="006757CB">
        <w:rPr>
          <w:rFonts w:ascii="Tahoma" w:hAnsi="Tahoma" w:cs="Tahoma"/>
          <w:sz w:val="22"/>
          <w:szCs w:val="22"/>
        </w:rPr>
        <w:t xml:space="preserve">apoderado judicial de la parte demandada </w:t>
      </w:r>
      <w:r w:rsidR="00AD7C75" w:rsidRPr="006757CB">
        <w:rPr>
          <w:rFonts w:ascii="Tahoma" w:hAnsi="Tahoma" w:cs="Tahoma"/>
          <w:sz w:val="22"/>
          <w:szCs w:val="22"/>
        </w:rPr>
        <w:t xml:space="preserve">apeló la decisión arguyendo que en ella </w:t>
      </w:r>
      <w:r w:rsidR="00FF75BE" w:rsidRPr="006757CB">
        <w:rPr>
          <w:rFonts w:ascii="Tahoma" w:hAnsi="Tahoma" w:cs="Tahoma"/>
          <w:sz w:val="22"/>
          <w:szCs w:val="22"/>
        </w:rPr>
        <w:t xml:space="preserve">se omitió hacer un pronunciamiento respecto de la Resolución No. GNR 32483 del 12 de febrero de 2015, en la cual la entidad demandada reconoce un reajuste a la liquidación de la pensión a partir del 22 de octubre del año 2011, </w:t>
      </w:r>
      <w:r w:rsidR="00AD7C75" w:rsidRPr="006757CB">
        <w:rPr>
          <w:rFonts w:ascii="Tahoma" w:hAnsi="Tahoma" w:cs="Tahoma"/>
          <w:sz w:val="22"/>
          <w:szCs w:val="22"/>
        </w:rPr>
        <w:t xml:space="preserve">con </w:t>
      </w:r>
      <w:r w:rsidR="00FF75BE" w:rsidRPr="006757CB">
        <w:rPr>
          <w:rFonts w:ascii="Tahoma" w:hAnsi="Tahoma" w:cs="Tahoma"/>
          <w:sz w:val="22"/>
          <w:szCs w:val="22"/>
        </w:rPr>
        <w:t>una mesada de $604.33</w:t>
      </w:r>
      <w:r w:rsidR="00AD7C75" w:rsidRPr="006757CB">
        <w:rPr>
          <w:rFonts w:ascii="Tahoma" w:hAnsi="Tahoma" w:cs="Tahoma"/>
          <w:sz w:val="22"/>
          <w:szCs w:val="22"/>
        </w:rPr>
        <w:t>8, hasta llegar a una mesada de $678.594 para el año 2015</w:t>
      </w:r>
      <w:r w:rsidR="00372F95" w:rsidRPr="006757CB">
        <w:rPr>
          <w:rFonts w:ascii="Tahoma" w:hAnsi="Tahoma" w:cs="Tahoma"/>
          <w:sz w:val="22"/>
          <w:szCs w:val="22"/>
        </w:rPr>
        <w:t>, por lo cual debían descontarse del retroactivo reconocido los valores pagados a través de dicho acto los cuales ya hacen parte del patrimonio del demandante.</w:t>
      </w:r>
    </w:p>
    <w:p w14:paraId="61AB758B" w14:textId="77777777" w:rsidR="00372F95" w:rsidRPr="006757CB" w:rsidRDefault="00372F95" w:rsidP="002146A5">
      <w:pPr>
        <w:widowControl w:val="0"/>
        <w:autoSpaceDE w:val="0"/>
        <w:autoSpaceDN w:val="0"/>
        <w:adjustRightInd w:val="0"/>
        <w:jc w:val="both"/>
        <w:rPr>
          <w:rFonts w:ascii="Tahoma" w:hAnsi="Tahoma" w:cs="Tahoma"/>
          <w:sz w:val="22"/>
          <w:szCs w:val="22"/>
        </w:rPr>
      </w:pPr>
    </w:p>
    <w:p w14:paraId="26A75D36" w14:textId="5F6C4FD3" w:rsidR="009D22BB" w:rsidRPr="006757CB" w:rsidRDefault="00FF75BE" w:rsidP="00ED7D6B">
      <w:pPr>
        <w:widowControl w:val="0"/>
        <w:autoSpaceDE w:val="0"/>
        <w:autoSpaceDN w:val="0"/>
        <w:adjustRightInd w:val="0"/>
        <w:spacing w:line="276" w:lineRule="auto"/>
        <w:jc w:val="both"/>
        <w:rPr>
          <w:rFonts w:ascii="Tahoma" w:hAnsi="Tahoma" w:cs="Tahoma"/>
          <w:sz w:val="22"/>
          <w:szCs w:val="22"/>
        </w:rPr>
      </w:pPr>
      <w:r w:rsidRPr="006757CB">
        <w:rPr>
          <w:rFonts w:ascii="Tahoma" w:hAnsi="Tahoma" w:cs="Tahoma"/>
          <w:sz w:val="22"/>
          <w:szCs w:val="22"/>
        </w:rPr>
        <w:t xml:space="preserve">      </w:t>
      </w:r>
      <w:r w:rsidR="002146A5" w:rsidRPr="006757CB">
        <w:rPr>
          <w:rFonts w:ascii="Tahoma" w:hAnsi="Tahoma" w:cs="Tahoma"/>
          <w:sz w:val="22"/>
          <w:szCs w:val="22"/>
        </w:rPr>
        <w:tab/>
      </w:r>
      <w:r w:rsidR="009D22BB" w:rsidRPr="006757CB">
        <w:rPr>
          <w:rFonts w:ascii="Tahoma" w:hAnsi="Tahoma" w:cs="Tahoma"/>
          <w:sz w:val="22"/>
          <w:szCs w:val="22"/>
        </w:rPr>
        <w:t>Agregó que al momento de liquidar la indexación se tuvieron en cuenta los valores</w:t>
      </w:r>
      <w:r w:rsidR="00CA224D" w:rsidRPr="006757CB">
        <w:rPr>
          <w:rFonts w:ascii="Tahoma" w:hAnsi="Tahoma" w:cs="Tahoma"/>
          <w:sz w:val="22"/>
          <w:szCs w:val="22"/>
        </w:rPr>
        <w:t xml:space="preserve"> reconocidos desde el cual fue reconocida la prestación económica del demandante, </w:t>
      </w:r>
      <w:r w:rsidR="00372F95" w:rsidRPr="006757CB">
        <w:rPr>
          <w:rFonts w:ascii="Tahoma" w:hAnsi="Tahoma" w:cs="Tahoma"/>
          <w:sz w:val="22"/>
          <w:szCs w:val="22"/>
        </w:rPr>
        <w:t xml:space="preserve">sin considerar </w:t>
      </w:r>
      <w:r w:rsidR="00CA224D" w:rsidRPr="006757CB">
        <w:rPr>
          <w:rFonts w:ascii="Tahoma" w:hAnsi="Tahoma" w:cs="Tahoma"/>
          <w:sz w:val="22"/>
          <w:szCs w:val="22"/>
        </w:rPr>
        <w:t>los efectos prescriptivos que oportunamente fueron propuestos en la excepción de prescripción, lo que generaría que la indexación fuera calculada desde el año 2011 hasta el año 2015.</w:t>
      </w:r>
    </w:p>
    <w:p w14:paraId="30D4C4E3" w14:textId="77777777" w:rsidR="00215F25" w:rsidRPr="006757CB" w:rsidRDefault="00215F25" w:rsidP="005E6A35">
      <w:pPr>
        <w:pStyle w:val="Sinespaciado"/>
        <w:spacing w:line="276" w:lineRule="auto"/>
        <w:rPr>
          <w:sz w:val="22"/>
          <w:szCs w:val="22"/>
        </w:rPr>
      </w:pPr>
    </w:p>
    <w:p w14:paraId="7446F3EF" w14:textId="120A0078" w:rsidR="005E6A35" w:rsidRPr="006757CB" w:rsidRDefault="00C55D1C" w:rsidP="00C55D1C">
      <w:pPr>
        <w:pStyle w:val="Sangradetextonormal"/>
        <w:spacing w:line="276" w:lineRule="auto"/>
        <w:rPr>
          <w:sz w:val="22"/>
          <w:szCs w:val="22"/>
        </w:rPr>
      </w:pPr>
      <w:r w:rsidRPr="006757CB">
        <w:rPr>
          <w:sz w:val="22"/>
          <w:szCs w:val="22"/>
        </w:rPr>
        <w:t>Por otra parte, t</w:t>
      </w:r>
      <w:r w:rsidR="005E6A35" w:rsidRPr="006757CB">
        <w:rPr>
          <w:sz w:val="22"/>
          <w:szCs w:val="22"/>
        </w:rPr>
        <w:t xml:space="preserve">al como se anunció al inicio, en razón a que la sentencia </w:t>
      </w:r>
      <w:r w:rsidRPr="006757CB">
        <w:rPr>
          <w:sz w:val="22"/>
          <w:szCs w:val="22"/>
        </w:rPr>
        <w:t xml:space="preserve">de instancia fue </w:t>
      </w:r>
      <w:r w:rsidR="005E6A35" w:rsidRPr="006757CB">
        <w:rPr>
          <w:sz w:val="22"/>
          <w:szCs w:val="22"/>
        </w:rPr>
        <w:t xml:space="preserve">contraria a los intereses de Colpensiones, en sede de consulta la Sala debe revisar la legalidad de aquella decisión. </w:t>
      </w:r>
    </w:p>
    <w:p w14:paraId="4C615A61" w14:textId="77777777" w:rsidR="009B0213" w:rsidRPr="006757CB" w:rsidRDefault="00AA407F" w:rsidP="0088008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6757CB">
        <w:rPr>
          <w:rFonts w:ascii="Tahoma" w:hAnsi="Tahoma" w:cs="Tahoma"/>
          <w:b/>
          <w:sz w:val="22"/>
          <w:szCs w:val="22"/>
        </w:rPr>
        <w:t>Consideraciones</w:t>
      </w:r>
      <w:r w:rsidRPr="006757CB">
        <w:rPr>
          <w:rFonts w:ascii="Tahoma" w:hAnsi="Tahoma" w:cs="Tahoma"/>
          <w:sz w:val="22"/>
          <w:szCs w:val="22"/>
        </w:rPr>
        <w:tab/>
      </w:r>
    </w:p>
    <w:p w14:paraId="4DD52A5B" w14:textId="77777777" w:rsidR="009B0213" w:rsidRPr="006757CB" w:rsidRDefault="009B0213" w:rsidP="00880083">
      <w:pPr>
        <w:pStyle w:val="Sinespaciado"/>
        <w:rPr>
          <w:sz w:val="22"/>
          <w:szCs w:val="22"/>
        </w:rPr>
      </w:pPr>
    </w:p>
    <w:p w14:paraId="05C6CD36" w14:textId="54241CBA" w:rsidR="0010792F" w:rsidRPr="006757CB" w:rsidRDefault="00D02404" w:rsidP="00880083">
      <w:pPr>
        <w:pStyle w:val="Textoindependiente"/>
        <w:numPr>
          <w:ilvl w:val="1"/>
          <w:numId w:val="1"/>
        </w:numPr>
        <w:spacing w:after="0" w:line="276" w:lineRule="auto"/>
        <w:ind w:right="51" w:hanging="371"/>
        <w:jc w:val="both"/>
        <w:rPr>
          <w:rFonts w:ascii="Tahoma" w:hAnsi="Tahoma" w:cs="Tahoma"/>
          <w:b/>
          <w:sz w:val="22"/>
          <w:szCs w:val="22"/>
        </w:rPr>
      </w:pPr>
      <w:r w:rsidRPr="006757CB">
        <w:rPr>
          <w:rFonts w:ascii="Tahoma" w:hAnsi="Tahoma" w:cs="Tahoma"/>
          <w:b/>
          <w:sz w:val="22"/>
          <w:szCs w:val="22"/>
        </w:rPr>
        <w:t>Cálculo del Ingreso Base de Liquidación para las personas benefici</w:t>
      </w:r>
      <w:r w:rsidR="0070532C" w:rsidRPr="006757CB">
        <w:rPr>
          <w:rFonts w:ascii="Tahoma" w:hAnsi="Tahoma" w:cs="Tahoma"/>
          <w:b/>
          <w:sz w:val="22"/>
          <w:szCs w:val="22"/>
        </w:rPr>
        <w:t>arios del Régimen de Transición</w:t>
      </w:r>
    </w:p>
    <w:p w14:paraId="1DF3CB0C" w14:textId="77777777" w:rsidR="00D02404" w:rsidRPr="006757CB" w:rsidRDefault="00D02404" w:rsidP="002146A5">
      <w:pPr>
        <w:pStyle w:val="Textoindependiente"/>
        <w:spacing w:after="0"/>
        <w:ind w:left="1080" w:right="51"/>
        <w:jc w:val="both"/>
        <w:rPr>
          <w:rFonts w:ascii="Tahoma" w:hAnsi="Tahoma" w:cs="Tahoma"/>
          <w:b/>
          <w:sz w:val="22"/>
          <w:szCs w:val="22"/>
        </w:rPr>
      </w:pPr>
    </w:p>
    <w:p w14:paraId="6DB0634F" w14:textId="543BA5D1" w:rsidR="0077733A" w:rsidRPr="006757CB" w:rsidRDefault="00D02404" w:rsidP="00AD6F58">
      <w:pPr>
        <w:pStyle w:val="Textoindependiente"/>
        <w:spacing w:after="0" w:line="276" w:lineRule="auto"/>
        <w:ind w:right="51"/>
        <w:jc w:val="both"/>
        <w:rPr>
          <w:rFonts w:ascii="Tahoma" w:hAnsi="Tahoma" w:cs="Tahoma"/>
          <w:b/>
          <w:sz w:val="22"/>
          <w:szCs w:val="22"/>
        </w:rPr>
      </w:pPr>
      <w:r w:rsidRPr="006757CB">
        <w:rPr>
          <w:rFonts w:ascii="Tahoma" w:hAnsi="Tahoma" w:cs="Tahoma"/>
          <w:sz w:val="22"/>
          <w:szCs w:val="22"/>
        </w:rPr>
        <w:t xml:space="preserve">          Ha sido reiterada la jurisprudencia de esta Corporación en el sentido de afirmar que el ingreso base de liquidación de los beneficiarios del régimen de transición depende del tiempo que le hiciere falta a los mismos para acceder a la prestación. Así, a quienes les faltaban menos de 10 años a la entrada en vigencia de la Ley 100 de 1993 para acceder a la prestación se les aplicará el tercer inciso del artículo 36 de la Ley 100 de 1993, esto es, </w:t>
      </w:r>
      <w:r w:rsidR="0077733A" w:rsidRPr="006757CB">
        <w:rPr>
          <w:rFonts w:ascii="Tahoma" w:hAnsi="Tahoma" w:cs="Tahoma"/>
          <w:sz w:val="22"/>
          <w:szCs w:val="22"/>
        </w:rPr>
        <w:t xml:space="preserve">aplicar el promedio de lo devengado en el tiempo que les hiciere falta para adquirir el derecho, o el cotizado durante todo el tiempo si este fuere superior, actualizado anualmente con base en la variación del índice de precios al consumidor, según certificación que expida el DANE.     </w:t>
      </w:r>
    </w:p>
    <w:p w14:paraId="5DA6BB11" w14:textId="77777777" w:rsidR="0077733A" w:rsidRPr="006757CB" w:rsidRDefault="0077733A" w:rsidP="002146A5">
      <w:pPr>
        <w:pStyle w:val="Textoindependiente"/>
        <w:spacing w:after="0"/>
        <w:ind w:right="51"/>
        <w:jc w:val="both"/>
        <w:rPr>
          <w:rFonts w:ascii="Tahoma" w:hAnsi="Tahoma" w:cs="Tahoma"/>
          <w:b/>
          <w:sz w:val="22"/>
          <w:szCs w:val="22"/>
        </w:rPr>
      </w:pPr>
    </w:p>
    <w:p w14:paraId="4716520D" w14:textId="6E66E56D" w:rsidR="00D02404" w:rsidRPr="006757CB" w:rsidRDefault="00D02404" w:rsidP="00880083">
      <w:pPr>
        <w:pStyle w:val="Textoindependiente"/>
        <w:numPr>
          <w:ilvl w:val="1"/>
          <w:numId w:val="1"/>
        </w:numPr>
        <w:spacing w:after="0" w:line="276" w:lineRule="auto"/>
        <w:ind w:right="51" w:hanging="371"/>
        <w:jc w:val="both"/>
        <w:rPr>
          <w:rFonts w:ascii="Tahoma" w:hAnsi="Tahoma" w:cs="Tahoma"/>
          <w:b/>
          <w:sz w:val="22"/>
          <w:szCs w:val="22"/>
        </w:rPr>
      </w:pPr>
      <w:r w:rsidRPr="006757CB">
        <w:rPr>
          <w:rFonts w:ascii="Tahoma" w:hAnsi="Tahoma" w:cs="Tahoma"/>
          <w:b/>
          <w:sz w:val="22"/>
          <w:szCs w:val="22"/>
        </w:rPr>
        <w:t>Caso concreto</w:t>
      </w:r>
    </w:p>
    <w:p w14:paraId="36BB5687" w14:textId="77777777" w:rsidR="00042881" w:rsidRPr="006757CB" w:rsidRDefault="00042881" w:rsidP="00C3314B">
      <w:pPr>
        <w:pStyle w:val="Sinespaciado"/>
        <w:rPr>
          <w:sz w:val="22"/>
          <w:szCs w:val="22"/>
        </w:rPr>
      </w:pPr>
    </w:p>
    <w:p w14:paraId="4502CE92" w14:textId="11677E74" w:rsidR="00AF4E73" w:rsidRPr="006757CB" w:rsidRDefault="007C17D2" w:rsidP="000300D6">
      <w:pPr>
        <w:pStyle w:val="Sinespaciado"/>
        <w:spacing w:line="276" w:lineRule="auto"/>
        <w:ind w:firstLine="709"/>
        <w:jc w:val="both"/>
        <w:rPr>
          <w:rFonts w:ascii="Tahoma" w:hAnsi="Tahoma" w:cs="Tahoma"/>
          <w:sz w:val="22"/>
          <w:szCs w:val="22"/>
        </w:rPr>
      </w:pPr>
      <w:r w:rsidRPr="006757CB">
        <w:rPr>
          <w:rFonts w:ascii="Tahoma" w:hAnsi="Tahoma" w:cs="Tahoma"/>
          <w:sz w:val="22"/>
          <w:szCs w:val="22"/>
        </w:rPr>
        <w:t>Sea lo primero indicar que fue acertada la determinaci</w:t>
      </w:r>
      <w:r w:rsidR="00AF4E73" w:rsidRPr="006757CB">
        <w:rPr>
          <w:rFonts w:ascii="Tahoma" w:hAnsi="Tahoma" w:cs="Tahoma"/>
          <w:sz w:val="22"/>
          <w:szCs w:val="22"/>
        </w:rPr>
        <w:t xml:space="preserve">ón de la A-quo al considerar </w:t>
      </w:r>
      <w:r w:rsidRPr="006757CB">
        <w:rPr>
          <w:rFonts w:ascii="Tahoma" w:hAnsi="Tahoma" w:cs="Tahoma"/>
          <w:sz w:val="22"/>
          <w:szCs w:val="22"/>
        </w:rPr>
        <w:t>la</w:t>
      </w:r>
      <w:r w:rsidR="00AF4E73" w:rsidRPr="006757CB">
        <w:rPr>
          <w:rFonts w:ascii="Tahoma" w:hAnsi="Tahoma" w:cs="Tahoma"/>
          <w:sz w:val="22"/>
          <w:szCs w:val="22"/>
        </w:rPr>
        <w:t xml:space="preserve"> procedencia de la reliquidación del IBL del actor con fundamento en los salarios devengados por él en toda su vida laboral, pues alcanzó la totalidad de los requisitos para acceder a la pensión de vejez consagrada en el Acuerdo 049 de 1990 en el año 1996</w:t>
      </w:r>
      <w:r w:rsidR="006B15E3" w:rsidRPr="006757CB">
        <w:rPr>
          <w:rFonts w:ascii="Tahoma" w:hAnsi="Tahoma" w:cs="Tahoma"/>
          <w:sz w:val="22"/>
          <w:szCs w:val="22"/>
        </w:rPr>
        <w:t xml:space="preserve"> por cuenta del régimen de transición</w:t>
      </w:r>
      <w:r w:rsidR="00AF4E73" w:rsidRPr="006757CB">
        <w:rPr>
          <w:rFonts w:ascii="Tahoma" w:hAnsi="Tahoma" w:cs="Tahoma"/>
          <w:sz w:val="22"/>
          <w:szCs w:val="22"/>
        </w:rPr>
        <w:t>, tal como se aprecia en la Resolución 006175 de</w:t>
      </w:r>
      <w:r w:rsidR="00AD6F58" w:rsidRPr="006757CB">
        <w:rPr>
          <w:rFonts w:ascii="Tahoma" w:hAnsi="Tahoma" w:cs="Tahoma"/>
          <w:sz w:val="22"/>
          <w:szCs w:val="22"/>
        </w:rPr>
        <w:t>l mismo año</w:t>
      </w:r>
      <w:r w:rsidR="00AF4E73" w:rsidRPr="006757CB">
        <w:rPr>
          <w:rFonts w:ascii="Tahoma" w:hAnsi="Tahoma" w:cs="Tahoma"/>
          <w:sz w:val="22"/>
          <w:szCs w:val="22"/>
        </w:rPr>
        <w:t xml:space="preserve"> (</w:t>
      </w:r>
      <w:proofErr w:type="spellStart"/>
      <w:r w:rsidR="00AF4E73" w:rsidRPr="006757CB">
        <w:rPr>
          <w:rFonts w:ascii="Tahoma" w:hAnsi="Tahoma" w:cs="Tahoma"/>
          <w:sz w:val="22"/>
          <w:szCs w:val="22"/>
        </w:rPr>
        <w:t>fl</w:t>
      </w:r>
      <w:proofErr w:type="spellEnd"/>
      <w:r w:rsidR="00AF4E73" w:rsidRPr="006757CB">
        <w:rPr>
          <w:rFonts w:ascii="Tahoma" w:hAnsi="Tahoma" w:cs="Tahoma"/>
          <w:sz w:val="22"/>
          <w:szCs w:val="22"/>
        </w:rPr>
        <w:t>. 18), por lo que era factible que aquel guarismo fuera liquidado con fundamento en el artículo 36 de la Ley 100 de 1993.</w:t>
      </w:r>
    </w:p>
    <w:p w14:paraId="1404DEA5" w14:textId="77777777" w:rsidR="00AF4E73" w:rsidRPr="006757CB" w:rsidRDefault="00AF4E73" w:rsidP="002146A5">
      <w:pPr>
        <w:pStyle w:val="Sinespaciado"/>
        <w:ind w:firstLine="709"/>
        <w:jc w:val="both"/>
        <w:rPr>
          <w:rFonts w:ascii="Tahoma" w:hAnsi="Tahoma" w:cs="Tahoma"/>
          <w:sz w:val="22"/>
          <w:szCs w:val="22"/>
        </w:rPr>
      </w:pPr>
    </w:p>
    <w:p w14:paraId="122FE20D" w14:textId="6B1052BF" w:rsidR="009835ED" w:rsidRPr="006757CB" w:rsidRDefault="00AF4E73" w:rsidP="00AD6F58">
      <w:pPr>
        <w:spacing w:line="276" w:lineRule="auto"/>
        <w:ind w:firstLine="708"/>
        <w:jc w:val="both"/>
        <w:rPr>
          <w:rFonts w:ascii="Tahoma" w:hAnsi="Tahoma" w:cs="Tahoma"/>
          <w:bCs/>
          <w:iCs/>
          <w:sz w:val="22"/>
          <w:szCs w:val="22"/>
        </w:rPr>
      </w:pPr>
      <w:r w:rsidRPr="006757CB">
        <w:rPr>
          <w:rFonts w:ascii="Tahoma" w:hAnsi="Tahoma" w:cs="Tahoma"/>
          <w:sz w:val="22"/>
          <w:szCs w:val="22"/>
        </w:rPr>
        <w:t xml:space="preserve">De esta manera, a efectos de corroborar los montos liquidados en primera instancia, la Sala Procedió a liquidar el IBL con el promedio devengado por el actor en toda la vida, encontrando que el mismo asciende a </w:t>
      </w:r>
      <w:r w:rsidR="00AD6F58" w:rsidRPr="006757CB">
        <w:rPr>
          <w:rFonts w:ascii="Tahoma" w:hAnsi="Tahoma" w:cs="Tahoma"/>
          <w:sz w:val="22"/>
          <w:szCs w:val="22"/>
        </w:rPr>
        <w:t>$</w:t>
      </w:r>
      <w:r w:rsidRPr="006757CB">
        <w:rPr>
          <w:rFonts w:ascii="Tahoma" w:hAnsi="Tahoma" w:cs="Tahoma"/>
          <w:sz w:val="22"/>
          <w:szCs w:val="22"/>
        </w:rPr>
        <w:t>368.754, monto que al aplicarle una tasa de reemplazo del 87% por las 1</w:t>
      </w:r>
      <w:r w:rsidR="006B15E3" w:rsidRPr="006757CB">
        <w:rPr>
          <w:rFonts w:ascii="Tahoma" w:hAnsi="Tahoma" w:cs="Tahoma"/>
          <w:sz w:val="22"/>
          <w:szCs w:val="22"/>
        </w:rPr>
        <w:t>.</w:t>
      </w:r>
      <w:r w:rsidRPr="006757CB">
        <w:rPr>
          <w:rFonts w:ascii="Tahoma" w:hAnsi="Tahoma" w:cs="Tahoma"/>
          <w:sz w:val="22"/>
          <w:szCs w:val="22"/>
        </w:rPr>
        <w:t>215,29 semanas cotizadas en toda la vida laboral</w:t>
      </w:r>
      <w:r w:rsidR="00AA68DC" w:rsidRPr="006757CB">
        <w:rPr>
          <w:rFonts w:ascii="Tahoma" w:hAnsi="Tahoma" w:cs="Tahoma"/>
          <w:sz w:val="22"/>
          <w:szCs w:val="22"/>
        </w:rPr>
        <w:t xml:space="preserve"> (</w:t>
      </w:r>
      <w:proofErr w:type="spellStart"/>
      <w:r w:rsidR="00AA68DC" w:rsidRPr="006757CB">
        <w:rPr>
          <w:rFonts w:ascii="Tahoma" w:hAnsi="Tahoma" w:cs="Tahoma"/>
          <w:sz w:val="22"/>
          <w:szCs w:val="22"/>
        </w:rPr>
        <w:t>fl</w:t>
      </w:r>
      <w:proofErr w:type="spellEnd"/>
      <w:r w:rsidR="00AA68DC" w:rsidRPr="006757CB">
        <w:rPr>
          <w:rFonts w:ascii="Tahoma" w:hAnsi="Tahoma" w:cs="Tahoma"/>
          <w:sz w:val="22"/>
          <w:szCs w:val="22"/>
        </w:rPr>
        <w:t xml:space="preserve">. 20), arroja </w:t>
      </w:r>
      <w:r w:rsidRPr="006757CB">
        <w:rPr>
          <w:rFonts w:ascii="Tahoma" w:hAnsi="Tahoma" w:cs="Tahoma"/>
          <w:sz w:val="22"/>
          <w:szCs w:val="22"/>
        </w:rPr>
        <w:t>una primera mesada de</w:t>
      </w:r>
      <w:r w:rsidR="00FF6336" w:rsidRPr="006757CB">
        <w:rPr>
          <w:rFonts w:ascii="Tahoma" w:hAnsi="Tahoma" w:cs="Tahoma"/>
          <w:sz w:val="22"/>
          <w:szCs w:val="22"/>
        </w:rPr>
        <w:t xml:space="preserve"> $</w:t>
      </w:r>
      <w:r w:rsidRPr="006757CB">
        <w:rPr>
          <w:rFonts w:ascii="Tahoma" w:hAnsi="Tahoma" w:cs="Tahoma"/>
          <w:bCs/>
          <w:iCs/>
          <w:sz w:val="22"/>
          <w:szCs w:val="22"/>
        </w:rPr>
        <w:t>320.816</w:t>
      </w:r>
      <w:r w:rsidR="009835ED" w:rsidRPr="006757CB">
        <w:rPr>
          <w:rFonts w:ascii="Tahoma" w:hAnsi="Tahoma" w:cs="Tahoma"/>
          <w:bCs/>
          <w:iCs/>
          <w:sz w:val="22"/>
          <w:szCs w:val="22"/>
        </w:rPr>
        <w:t xml:space="preserve"> </w:t>
      </w:r>
      <w:r w:rsidR="009835ED" w:rsidRPr="006757CB">
        <w:rPr>
          <w:rFonts w:ascii="Tahoma" w:hAnsi="Tahoma" w:cs="Tahoma"/>
          <w:bCs/>
          <w:i/>
          <w:iCs/>
          <w:sz w:val="22"/>
          <w:szCs w:val="22"/>
        </w:rPr>
        <w:t>–inferior en $567 al obtenido en primera instancia por $321.383</w:t>
      </w:r>
      <w:r w:rsidR="009435BA" w:rsidRPr="006757CB">
        <w:rPr>
          <w:rFonts w:ascii="Tahoma" w:hAnsi="Tahoma" w:cs="Tahoma"/>
          <w:bCs/>
          <w:i/>
          <w:iCs/>
          <w:sz w:val="22"/>
          <w:szCs w:val="22"/>
        </w:rPr>
        <w:t>-</w:t>
      </w:r>
      <w:r w:rsidRPr="006757CB">
        <w:rPr>
          <w:rFonts w:ascii="Tahoma" w:hAnsi="Tahoma" w:cs="Tahoma"/>
          <w:bCs/>
          <w:i/>
          <w:iCs/>
          <w:sz w:val="22"/>
          <w:szCs w:val="22"/>
        </w:rPr>
        <w:t>,</w:t>
      </w:r>
      <w:r w:rsidR="006B15E3" w:rsidRPr="006757CB">
        <w:rPr>
          <w:rFonts w:ascii="Tahoma" w:hAnsi="Tahoma" w:cs="Tahoma"/>
          <w:bCs/>
          <w:iCs/>
          <w:sz w:val="22"/>
          <w:szCs w:val="22"/>
        </w:rPr>
        <w:t xml:space="preserve"> </w:t>
      </w:r>
      <w:r w:rsidRPr="006757CB">
        <w:rPr>
          <w:rFonts w:ascii="Tahoma" w:hAnsi="Tahoma" w:cs="Tahoma"/>
          <w:bCs/>
          <w:iCs/>
          <w:sz w:val="22"/>
          <w:szCs w:val="22"/>
        </w:rPr>
        <w:t>como se observa en la liquidación que se pone de presente a los asistentes y que hará parte integral del acta que se levante con ocasión de la presente diligenc</w:t>
      </w:r>
      <w:r w:rsidR="00915901" w:rsidRPr="006757CB">
        <w:rPr>
          <w:rFonts w:ascii="Tahoma" w:hAnsi="Tahoma" w:cs="Tahoma"/>
          <w:bCs/>
          <w:iCs/>
          <w:sz w:val="22"/>
          <w:szCs w:val="22"/>
        </w:rPr>
        <w:t xml:space="preserve">ia. </w:t>
      </w:r>
    </w:p>
    <w:p w14:paraId="5DF2B9E0" w14:textId="77777777" w:rsidR="009835ED" w:rsidRPr="006757CB" w:rsidRDefault="009835ED" w:rsidP="002146A5">
      <w:pPr>
        <w:jc w:val="both"/>
        <w:rPr>
          <w:rFonts w:ascii="Tahoma" w:hAnsi="Tahoma" w:cs="Tahoma"/>
          <w:b/>
          <w:bCs/>
          <w:i/>
          <w:iCs/>
          <w:sz w:val="22"/>
          <w:szCs w:val="22"/>
        </w:rPr>
      </w:pPr>
    </w:p>
    <w:p w14:paraId="37291B7D" w14:textId="232ED1D4" w:rsidR="00AF4E73" w:rsidRPr="006757CB" w:rsidRDefault="009835ED" w:rsidP="000300D6">
      <w:pPr>
        <w:spacing w:line="276" w:lineRule="auto"/>
        <w:jc w:val="both"/>
        <w:rPr>
          <w:rFonts w:ascii="Tahoma" w:hAnsi="Tahoma" w:cs="Tahoma"/>
          <w:bCs/>
          <w:iCs/>
          <w:sz w:val="22"/>
          <w:szCs w:val="22"/>
        </w:rPr>
      </w:pPr>
      <w:r w:rsidRPr="006757CB">
        <w:rPr>
          <w:rFonts w:ascii="Tahoma" w:hAnsi="Tahoma" w:cs="Tahoma"/>
          <w:b/>
          <w:bCs/>
          <w:i/>
          <w:iCs/>
          <w:sz w:val="22"/>
          <w:szCs w:val="22"/>
        </w:rPr>
        <w:tab/>
      </w:r>
      <w:r w:rsidRPr="006757CB">
        <w:rPr>
          <w:rFonts w:ascii="Tahoma" w:hAnsi="Tahoma" w:cs="Tahoma"/>
          <w:bCs/>
          <w:iCs/>
          <w:sz w:val="22"/>
          <w:szCs w:val="22"/>
        </w:rPr>
        <w:t>Así las cosas, se procedió a calcular las diferencias dejadas de cancelar desde el 22 de octubre de 2011, habida consideración que la reclamación administrativa que solicitó la reliquidación se presentó el 22 de octubre de 2014</w:t>
      </w:r>
      <w:r w:rsidR="009435BA" w:rsidRPr="006757CB">
        <w:rPr>
          <w:rFonts w:ascii="Tahoma" w:hAnsi="Tahoma" w:cs="Tahoma"/>
          <w:bCs/>
          <w:iCs/>
          <w:sz w:val="22"/>
          <w:szCs w:val="22"/>
        </w:rPr>
        <w:t xml:space="preserve">; empero, tal como lo advirtiera el togado de la demandada en el recurso de </w:t>
      </w:r>
      <w:r w:rsidR="009435BA" w:rsidRPr="006757CB">
        <w:rPr>
          <w:rFonts w:ascii="Tahoma" w:hAnsi="Tahoma" w:cs="Tahoma"/>
          <w:bCs/>
          <w:iCs/>
          <w:sz w:val="22"/>
          <w:szCs w:val="22"/>
        </w:rPr>
        <w:lastRenderedPageBreak/>
        <w:t xml:space="preserve">apelación, la Jueza </w:t>
      </w:r>
      <w:r w:rsidRPr="006757CB">
        <w:rPr>
          <w:rFonts w:ascii="Tahoma" w:hAnsi="Tahoma" w:cs="Tahoma"/>
          <w:bCs/>
          <w:iCs/>
          <w:sz w:val="22"/>
          <w:szCs w:val="22"/>
        </w:rPr>
        <w:t xml:space="preserve">de </w:t>
      </w:r>
      <w:r w:rsidR="009435BA" w:rsidRPr="006757CB">
        <w:rPr>
          <w:rFonts w:ascii="Tahoma" w:hAnsi="Tahoma" w:cs="Tahoma"/>
          <w:bCs/>
          <w:iCs/>
          <w:sz w:val="22"/>
          <w:szCs w:val="22"/>
        </w:rPr>
        <w:t>instancia</w:t>
      </w:r>
      <w:r w:rsidRPr="006757CB">
        <w:rPr>
          <w:rFonts w:ascii="Tahoma" w:hAnsi="Tahoma" w:cs="Tahoma"/>
          <w:bCs/>
          <w:iCs/>
          <w:sz w:val="22"/>
          <w:szCs w:val="22"/>
        </w:rPr>
        <w:t xml:space="preserve"> pasó por alto que a través de la Resolución GNR 32483 del 12 de febrero de 2015</w:t>
      </w:r>
      <w:r w:rsidR="00F47E1C" w:rsidRPr="006757CB">
        <w:rPr>
          <w:rFonts w:ascii="Tahoma" w:hAnsi="Tahoma" w:cs="Tahoma"/>
          <w:bCs/>
          <w:iCs/>
          <w:sz w:val="22"/>
          <w:szCs w:val="22"/>
        </w:rPr>
        <w:t xml:space="preserve">, se ordenó la reliquidación de la aludida de </w:t>
      </w:r>
      <w:r w:rsidR="009435BA" w:rsidRPr="006757CB">
        <w:rPr>
          <w:rFonts w:ascii="Tahoma" w:hAnsi="Tahoma" w:cs="Tahoma"/>
          <w:bCs/>
          <w:iCs/>
          <w:sz w:val="22"/>
          <w:szCs w:val="22"/>
        </w:rPr>
        <w:t>prestación</w:t>
      </w:r>
      <w:r w:rsidR="00F47E1C" w:rsidRPr="006757CB">
        <w:rPr>
          <w:rFonts w:ascii="Tahoma" w:hAnsi="Tahoma" w:cs="Tahoma"/>
          <w:bCs/>
          <w:iCs/>
          <w:sz w:val="22"/>
          <w:szCs w:val="22"/>
        </w:rPr>
        <w:t xml:space="preserve">, </w:t>
      </w:r>
      <w:r w:rsidR="009435BA" w:rsidRPr="006757CB">
        <w:rPr>
          <w:rFonts w:ascii="Tahoma" w:hAnsi="Tahoma" w:cs="Tahoma"/>
          <w:bCs/>
          <w:iCs/>
          <w:sz w:val="22"/>
          <w:szCs w:val="22"/>
        </w:rPr>
        <w:t xml:space="preserve"> y a </w:t>
      </w:r>
      <w:r w:rsidR="000718BC" w:rsidRPr="006757CB">
        <w:rPr>
          <w:rFonts w:ascii="Tahoma" w:hAnsi="Tahoma" w:cs="Tahoma"/>
          <w:bCs/>
          <w:iCs/>
          <w:sz w:val="22"/>
          <w:szCs w:val="22"/>
        </w:rPr>
        <w:t xml:space="preserve">pesar de que tampoco se hizo con </w:t>
      </w:r>
      <w:r w:rsidR="009435BA" w:rsidRPr="006757CB">
        <w:rPr>
          <w:rFonts w:ascii="Tahoma" w:hAnsi="Tahoma" w:cs="Tahoma"/>
          <w:bCs/>
          <w:iCs/>
          <w:sz w:val="22"/>
          <w:szCs w:val="22"/>
        </w:rPr>
        <w:t xml:space="preserve">la totalidad de los salarios y </w:t>
      </w:r>
      <w:r w:rsidR="000718BC" w:rsidRPr="006757CB">
        <w:rPr>
          <w:rFonts w:ascii="Tahoma" w:hAnsi="Tahoma" w:cs="Tahoma"/>
          <w:bCs/>
          <w:iCs/>
          <w:sz w:val="22"/>
          <w:szCs w:val="22"/>
        </w:rPr>
        <w:t xml:space="preserve">es inferior a la que realmente le correspondía al actor para el año 2011, pues reconoció $604.880 cuando para ese año ascendía realmente </w:t>
      </w:r>
      <w:r w:rsidR="009435BA" w:rsidRPr="006757CB">
        <w:rPr>
          <w:rFonts w:ascii="Tahoma" w:hAnsi="Tahoma" w:cs="Tahoma"/>
          <w:bCs/>
          <w:iCs/>
          <w:sz w:val="22"/>
          <w:szCs w:val="22"/>
        </w:rPr>
        <w:t>a $</w:t>
      </w:r>
      <w:r w:rsidR="000718BC" w:rsidRPr="006757CB">
        <w:rPr>
          <w:rFonts w:ascii="Tahoma" w:hAnsi="Tahoma" w:cs="Tahoma"/>
          <w:sz w:val="22"/>
          <w:szCs w:val="22"/>
        </w:rPr>
        <w:t xml:space="preserve">1.080.560, </w:t>
      </w:r>
      <w:r w:rsidR="000718BC" w:rsidRPr="006757CB">
        <w:rPr>
          <w:rFonts w:ascii="Tahoma" w:hAnsi="Tahoma" w:cs="Tahoma"/>
          <w:bCs/>
          <w:iCs/>
          <w:sz w:val="22"/>
          <w:szCs w:val="22"/>
        </w:rPr>
        <w:t>deb</w:t>
      </w:r>
      <w:r w:rsidR="009435BA" w:rsidRPr="006757CB">
        <w:rPr>
          <w:rFonts w:ascii="Tahoma" w:hAnsi="Tahoma" w:cs="Tahoma"/>
          <w:bCs/>
          <w:iCs/>
          <w:sz w:val="22"/>
          <w:szCs w:val="22"/>
        </w:rPr>
        <w:t xml:space="preserve">e </w:t>
      </w:r>
      <w:r w:rsidR="000718BC" w:rsidRPr="006757CB">
        <w:rPr>
          <w:rFonts w:ascii="Tahoma" w:hAnsi="Tahoma" w:cs="Tahoma"/>
          <w:bCs/>
          <w:iCs/>
          <w:sz w:val="22"/>
          <w:szCs w:val="22"/>
        </w:rPr>
        <w:t xml:space="preserve">tenerse en cuenta a efectos de reconocer </w:t>
      </w:r>
      <w:r w:rsidR="009435BA" w:rsidRPr="006757CB">
        <w:rPr>
          <w:rFonts w:ascii="Tahoma" w:hAnsi="Tahoma" w:cs="Tahoma"/>
          <w:bCs/>
          <w:iCs/>
          <w:sz w:val="22"/>
          <w:szCs w:val="22"/>
        </w:rPr>
        <w:t>las sumas que no fueron canceladas a</w:t>
      </w:r>
      <w:r w:rsidR="000718BC" w:rsidRPr="006757CB">
        <w:rPr>
          <w:rFonts w:ascii="Tahoma" w:hAnsi="Tahoma" w:cs="Tahoma"/>
          <w:bCs/>
          <w:iCs/>
          <w:sz w:val="22"/>
          <w:szCs w:val="22"/>
        </w:rPr>
        <w:t>l actor.</w:t>
      </w:r>
    </w:p>
    <w:p w14:paraId="4B882A10" w14:textId="77777777" w:rsidR="000718BC" w:rsidRPr="006757CB" w:rsidRDefault="000718BC" w:rsidP="002146A5">
      <w:pPr>
        <w:ind w:firstLine="708"/>
        <w:jc w:val="both"/>
        <w:rPr>
          <w:rFonts w:ascii="Tahoma" w:hAnsi="Tahoma" w:cs="Tahoma"/>
          <w:bCs/>
          <w:iCs/>
          <w:sz w:val="22"/>
          <w:szCs w:val="22"/>
        </w:rPr>
      </w:pPr>
    </w:p>
    <w:p w14:paraId="66EC669B" w14:textId="0159401B" w:rsidR="00EA29F0" w:rsidRPr="006757CB" w:rsidRDefault="00EA29F0" w:rsidP="009435BA">
      <w:pPr>
        <w:spacing w:line="276" w:lineRule="auto"/>
        <w:ind w:firstLine="708"/>
        <w:jc w:val="both"/>
        <w:rPr>
          <w:rFonts w:ascii="Tahoma" w:hAnsi="Tahoma" w:cs="Tahoma"/>
          <w:sz w:val="22"/>
          <w:szCs w:val="22"/>
        </w:rPr>
      </w:pPr>
      <w:r w:rsidRPr="006757CB">
        <w:rPr>
          <w:rFonts w:ascii="Tahoma" w:hAnsi="Tahoma" w:cs="Tahoma"/>
          <w:bCs/>
          <w:iCs/>
          <w:sz w:val="22"/>
          <w:szCs w:val="22"/>
        </w:rPr>
        <w:t>En virtud de lo anterior</w:t>
      </w:r>
      <w:r w:rsidR="009435BA" w:rsidRPr="006757CB">
        <w:rPr>
          <w:rFonts w:ascii="Tahoma" w:hAnsi="Tahoma" w:cs="Tahoma"/>
          <w:bCs/>
          <w:iCs/>
          <w:sz w:val="22"/>
          <w:szCs w:val="22"/>
        </w:rPr>
        <w:t>,</w:t>
      </w:r>
      <w:r w:rsidRPr="006757CB">
        <w:rPr>
          <w:rFonts w:ascii="Tahoma" w:hAnsi="Tahoma" w:cs="Tahoma"/>
          <w:bCs/>
          <w:iCs/>
          <w:sz w:val="22"/>
          <w:szCs w:val="22"/>
        </w:rPr>
        <w:t xml:space="preserve"> </w:t>
      </w:r>
      <w:r w:rsidR="00DF62C9" w:rsidRPr="006757CB">
        <w:rPr>
          <w:rFonts w:ascii="Tahoma" w:hAnsi="Tahoma" w:cs="Tahoma"/>
          <w:bCs/>
          <w:iCs/>
          <w:sz w:val="22"/>
          <w:szCs w:val="22"/>
        </w:rPr>
        <w:t>la</w:t>
      </w:r>
      <w:r w:rsidR="009435BA" w:rsidRPr="006757CB">
        <w:rPr>
          <w:rFonts w:ascii="Tahoma" w:hAnsi="Tahoma" w:cs="Tahoma"/>
          <w:bCs/>
          <w:iCs/>
          <w:sz w:val="22"/>
          <w:szCs w:val="22"/>
        </w:rPr>
        <w:t>s</w:t>
      </w:r>
      <w:r w:rsidR="00DF62C9" w:rsidRPr="006757CB">
        <w:rPr>
          <w:rFonts w:ascii="Tahoma" w:hAnsi="Tahoma" w:cs="Tahoma"/>
          <w:bCs/>
          <w:iCs/>
          <w:sz w:val="22"/>
          <w:szCs w:val="22"/>
        </w:rPr>
        <w:t xml:space="preserve"> diferencia dejada de </w:t>
      </w:r>
      <w:r w:rsidR="009435BA" w:rsidRPr="006757CB">
        <w:rPr>
          <w:rFonts w:ascii="Tahoma" w:hAnsi="Tahoma" w:cs="Tahoma"/>
          <w:bCs/>
          <w:iCs/>
          <w:sz w:val="22"/>
          <w:szCs w:val="22"/>
        </w:rPr>
        <w:t xml:space="preserve">pagar </w:t>
      </w:r>
      <w:r w:rsidR="00DF62C9" w:rsidRPr="006757CB">
        <w:rPr>
          <w:rFonts w:ascii="Tahoma" w:hAnsi="Tahoma" w:cs="Tahoma"/>
          <w:bCs/>
          <w:iCs/>
          <w:sz w:val="22"/>
          <w:szCs w:val="22"/>
        </w:rPr>
        <w:t>entre el 22 de octubre de 2011 y el 31 de agosto de 2016 asciende a</w:t>
      </w:r>
      <w:r w:rsidR="00DF62C9" w:rsidRPr="006757CB">
        <w:rPr>
          <w:rFonts w:ascii="Tahoma" w:hAnsi="Tahoma" w:cs="Tahoma"/>
          <w:sz w:val="22"/>
          <w:szCs w:val="22"/>
        </w:rPr>
        <w:t xml:space="preserve"> </w:t>
      </w:r>
      <w:r w:rsidR="009435BA" w:rsidRPr="006757CB">
        <w:rPr>
          <w:rFonts w:ascii="Tahoma" w:hAnsi="Tahoma" w:cs="Tahoma"/>
          <w:sz w:val="22"/>
          <w:szCs w:val="22"/>
        </w:rPr>
        <w:t>$</w:t>
      </w:r>
      <w:r w:rsidR="00DF62C9" w:rsidRPr="006757CB">
        <w:rPr>
          <w:rFonts w:ascii="Tahoma" w:hAnsi="Tahoma" w:cs="Tahoma"/>
          <w:sz w:val="22"/>
          <w:szCs w:val="22"/>
        </w:rPr>
        <w:t xml:space="preserve">35.404.307, monto cuya indexación a la misma fecha </w:t>
      </w:r>
      <w:r w:rsidR="009435BA" w:rsidRPr="006757CB">
        <w:rPr>
          <w:rFonts w:ascii="Tahoma" w:hAnsi="Tahoma" w:cs="Tahoma"/>
          <w:sz w:val="22"/>
          <w:szCs w:val="22"/>
        </w:rPr>
        <w:t>es de</w:t>
      </w:r>
      <w:r w:rsidR="00DF62C9" w:rsidRPr="006757CB">
        <w:rPr>
          <w:rFonts w:ascii="Tahoma" w:hAnsi="Tahoma" w:cs="Tahoma"/>
          <w:sz w:val="22"/>
          <w:szCs w:val="22"/>
        </w:rPr>
        <w:t xml:space="preserve"> $4.216.317 y no a la dispuesta en primera instancia, </w:t>
      </w:r>
      <w:r w:rsidR="009435BA" w:rsidRPr="006757CB">
        <w:rPr>
          <w:rFonts w:ascii="Tahoma" w:hAnsi="Tahoma" w:cs="Tahoma"/>
          <w:sz w:val="22"/>
          <w:szCs w:val="22"/>
        </w:rPr>
        <w:t>liquidada</w:t>
      </w:r>
      <w:r w:rsidR="00DF62C9" w:rsidRPr="006757CB">
        <w:rPr>
          <w:rFonts w:ascii="Tahoma" w:hAnsi="Tahoma" w:cs="Tahoma"/>
          <w:sz w:val="22"/>
          <w:szCs w:val="22"/>
        </w:rPr>
        <w:t xml:space="preserve"> por la totalidad de valores causados desde 1996, </w:t>
      </w:r>
      <w:r w:rsidR="009435BA" w:rsidRPr="006757CB">
        <w:rPr>
          <w:rFonts w:ascii="Tahoma" w:hAnsi="Tahoma" w:cs="Tahoma"/>
          <w:sz w:val="22"/>
          <w:szCs w:val="22"/>
        </w:rPr>
        <w:t xml:space="preserve">dejando de considerar que </w:t>
      </w:r>
      <w:r w:rsidR="00DF62C9" w:rsidRPr="006757CB">
        <w:rPr>
          <w:rFonts w:ascii="Tahoma" w:hAnsi="Tahoma" w:cs="Tahoma"/>
          <w:sz w:val="22"/>
          <w:szCs w:val="22"/>
        </w:rPr>
        <w:t>lo accesorio sigue la suerte de lo principal y que</w:t>
      </w:r>
      <w:r w:rsidR="009435BA" w:rsidRPr="006757CB">
        <w:rPr>
          <w:rFonts w:ascii="Tahoma" w:hAnsi="Tahoma" w:cs="Tahoma"/>
          <w:sz w:val="22"/>
          <w:szCs w:val="22"/>
        </w:rPr>
        <w:t>,</w:t>
      </w:r>
      <w:r w:rsidR="00DF62C9" w:rsidRPr="006757CB">
        <w:rPr>
          <w:rFonts w:ascii="Tahoma" w:hAnsi="Tahoma" w:cs="Tahoma"/>
          <w:sz w:val="22"/>
          <w:szCs w:val="22"/>
        </w:rPr>
        <w:t xml:space="preserve"> al haberse </w:t>
      </w:r>
      <w:r w:rsidR="00B05FD1" w:rsidRPr="006757CB">
        <w:rPr>
          <w:rFonts w:ascii="Tahoma" w:hAnsi="Tahoma" w:cs="Tahoma"/>
          <w:sz w:val="22"/>
          <w:szCs w:val="22"/>
        </w:rPr>
        <w:t>decretado</w:t>
      </w:r>
      <w:r w:rsidR="00DF62C9" w:rsidRPr="006757CB">
        <w:rPr>
          <w:rFonts w:ascii="Tahoma" w:hAnsi="Tahoma" w:cs="Tahoma"/>
          <w:sz w:val="22"/>
          <w:szCs w:val="22"/>
        </w:rPr>
        <w:t xml:space="preserve"> la pro</w:t>
      </w:r>
      <w:r w:rsidRPr="006757CB">
        <w:rPr>
          <w:rFonts w:ascii="Tahoma" w:hAnsi="Tahoma" w:cs="Tahoma"/>
          <w:sz w:val="22"/>
          <w:szCs w:val="22"/>
        </w:rPr>
        <w:t>speridad parcial de la prescripción</w:t>
      </w:r>
      <w:r w:rsidR="009435BA" w:rsidRPr="006757CB">
        <w:rPr>
          <w:rFonts w:ascii="Tahoma" w:hAnsi="Tahoma" w:cs="Tahoma"/>
          <w:sz w:val="22"/>
          <w:szCs w:val="22"/>
        </w:rPr>
        <w:t>, sólo había lugar a reconocer la indexación de las diferencias causadas con posterioridad al 22 de octubre de 2011</w:t>
      </w:r>
      <w:r w:rsidRPr="006757CB">
        <w:rPr>
          <w:rFonts w:ascii="Tahoma" w:hAnsi="Tahoma" w:cs="Tahoma"/>
          <w:sz w:val="22"/>
          <w:szCs w:val="22"/>
        </w:rPr>
        <w:t>.</w:t>
      </w:r>
    </w:p>
    <w:p w14:paraId="2B6454AF" w14:textId="77777777" w:rsidR="000300D6" w:rsidRPr="006757CB" w:rsidRDefault="000300D6" w:rsidP="002146A5">
      <w:pPr>
        <w:jc w:val="both"/>
        <w:rPr>
          <w:rFonts w:ascii="Tahoma" w:hAnsi="Tahoma" w:cs="Tahoma"/>
          <w:sz w:val="22"/>
          <w:szCs w:val="22"/>
        </w:rPr>
      </w:pPr>
    </w:p>
    <w:p w14:paraId="431178FE" w14:textId="12F27BAE" w:rsidR="000300D6" w:rsidRPr="006757CB" w:rsidRDefault="000300D6" w:rsidP="000300D6">
      <w:pPr>
        <w:spacing w:line="276" w:lineRule="auto"/>
        <w:jc w:val="both"/>
        <w:rPr>
          <w:rFonts w:ascii="Tahoma" w:hAnsi="Tahoma" w:cs="Tahoma"/>
          <w:sz w:val="22"/>
          <w:szCs w:val="22"/>
        </w:rPr>
      </w:pPr>
      <w:r w:rsidRPr="006757CB">
        <w:rPr>
          <w:rFonts w:ascii="Tahoma" w:hAnsi="Tahoma" w:cs="Tahoma"/>
          <w:sz w:val="22"/>
          <w:szCs w:val="22"/>
        </w:rPr>
        <w:tab/>
        <w:t xml:space="preserve">Finalmente, </w:t>
      </w:r>
      <w:r w:rsidR="0033507E" w:rsidRPr="006757CB">
        <w:rPr>
          <w:rFonts w:ascii="Tahoma" w:hAnsi="Tahoma" w:cs="Tahoma"/>
          <w:sz w:val="22"/>
          <w:szCs w:val="22"/>
        </w:rPr>
        <w:t>se ordenará que del retroactivo reconocido se efectúe el descuento por salud</w:t>
      </w:r>
      <w:r w:rsidR="009435BA" w:rsidRPr="006757CB">
        <w:rPr>
          <w:rFonts w:ascii="Tahoma" w:hAnsi="Tahoma" w:cs="Tahoma"/>
          <w:sz w:val="22"/>
          <w:szCs w:val="22"/>
        </w:rPr>
        <w:t>,</w:t>
      </w:r>
      <w:r w:rsidR="0033507E" w:rsidRPr="006757CB">
        <w:rPr>
          <w:rFonts w:ascii="Tahoma" w:hAnsi="Tahoma" w:cs="Tahoma"/>
          <w:sz w:val="22"/>
          <w:szCs w:val="22"/>
        </w:rPr>
        <w:t xml:space="preserve"> exceptuando el valor que ya fuera d</w:t>
      </w:r>
      <w:r w:rsidR="009435BA" w:rsidRPr="006757CB">
        <w:rPr>
          <w:rFonts w:ascii="Tahoma" w:hAnsi="Tahoma" w:cs="Tahoma"/>
          <w:sz w:val="22"/>
          <w:szCs w:val="22"/>
        </w:rPr>
        <w:t>e</w:t>
      </w:r>
      <w:r w:rsidR="0033507E" w:rsidRPr="006757CB">
        <w:rPr>
          <w:rFonts w:ascii="Tahoma" w:hAnsi="Tahoma" w:cs="Tahoma"/>
          <w:sz w:val="22"/>
          <w:szCs w:val="22"/>
        </w:rPr>
        <w:t xml:space="preserve">scontado en </w:t>
      </w:r>
      <w:r w:rsidRPr="006757CB">
        <w:rPr>
          <w:rFonts w:ascii="Tahoma" w:hAnsi="Tahoma" w:cs="Tahoma"/>
          <w:sz w:val="22"/>
          <w:szCs w:val="22"/>
        </w:rPr>
        <w:t>la resolución GNR 32483 de 2015</w:t>
      </w:r>
      <w:r w:rsidR="0033507E" w:rsidRPr="006757CB">
        <w:rPr>
          <w:rFonts w:ascii="Tahoma" w:hAnsi="Tahoma" w:cs="Tahoma"/>
          <w:sz w:val="22"/>
          <w:szCs w:val="22"/>
        </w:rPr>
        <w:t>.</w:t>
      </w:r>
    </w:p>
    <w:p w14:paraId="468DD542" w14:textId="77777777" w:rsidR="00EA29F0" w:rsidRPr="006757CB" w:rsidRDefault="00EA29F0" w:rsidP="002146A5">
      <w:pPr>
        <w:jc w:val="both"/>
        <w:rPr>
          <w:rFonts w:ascii="Tahoma" w:hAnsi="Tahoma" w:cs="Tahoma"/>
          <w:sz w:val="22"/>
          <w:szCs w:val="22"/>
        </w:rPr>
      </w:pPr>
    </w:p>
    <w:p w14:paraId="1DE33121" w14:textId="42E78EE2" w:rsidR="0033507E" w:rsidRPr="006757CB" w:rsidRDefault="00EA29F0" w:rsidP="009435BA">
      <w:pPr>
        <w:spacing w:line="276" w:lineRule="auto"/>
        <w:jc w:val="both"/>
        <w:rPr>
          <w:rFonts w:ascii="Tahoma" w:hAnsi="Tahoma" w:cs="Tahoma"/>
          <w:sz w:val="22"/>
          <w:szCs w:val="22"/>
        </w:rPr>
      </w:pPr>
      <w:r w:rsidRPr="006757CB">
        <w:rPr>
          <w:rFonts w:ascii="Tahoma" w:hAnsi="Tahoma" w:cs="Tahoma"/>
          <w:sz w:val="22"/>
          <w:szCs w:val="22"/>
        </w:rPr>
        <w:tab/>
        <w:t xml:space="preserve">De conformidad con lo anterior, se modificaran </w:t>
      </w:r>
      <w:r w:rsidR="000300D6" w:rsidRPr="006757CB">
        <w:rPr>
          <w:rFonts w:ascii="Tahoma" w:hAnsi="Tahoma" w:cs="Tahoma"/>
          <w:sz w:val="22"/>
          <w:szCs w:val="22"/>
        </w:rPr>
        <w:t xml:space="preserve">los ordinales </w:t>
      </w:r>
      <w:proofErr w:type="gramStart"/>
      <w:r w:rsidR="0033507E" w:rsidRPr="006757CB">
        <w:rPr>
          <w:rFonts w:ascii="Tahoma" w:hAnsi="Tahoma" w:cs="Tahoma"/>
          <w:sz w:val="22"/>
          <w:szCs w:val="22"/>
        </w:rPr>
        <w:t>segundo</w:t>
      </w:r>
      <w:proofErr w:type="gramEnd"/>
      <w:r w:rsidR="0033507E" w:rsidRPr="006757CB">
        <w:rPr>
          <w:rFonts w:ascii="Tahoma" w:hAnsi="Tahoma" w:cs="Tahoma"/>
          <w:sz w:val="22"/>
          <w:szCs w:val="22"/>
        </w:rPr>
        <w:t xml:space="preserve"> a séptimo de la sentencia de primera instancia.</w:t>
      </w:r>
      <w:r w:rsidR="009435BA" w:rsidRPr="006757CB">
        <w:rPr>
          <w:rFonts w:ascii="Tahoma" w:hAnsi="Tahoma" w:cs="Tahoma"/>
          <w:sz w:val="22"/>
          <w:szCs w:val="22"/>
        </w:rPr>
        <w:t xml:space="preserve"> L</w:t>
      </w:r>
      <w:r w:rsidR="0033507E" w:rsidRPr="006757CB">
        <w:rPr>
          <w:rFonts w:ascii="Tahoma" w:hAnsi="Tahoma" w:cs="Tahoma"/>
          <w:sz w:val="22"/>
          <w:szCs w:val="22"/>
        </w:rPr>
        <w:t>as costas en primera instancias se mante</w:t>
      </w:r>
      <w:r w:rsidR="0033332B" w:rsidRPr="006757CB">
        <w:rPr>
          <w:rFonts w:ascii="Tahoma" w:hAnsi="Tahoma" w:cs="Tahoma"/>
          <w:sz w:val="22"/>
          <w:szCs w:val="22"/>
        </w:rPr>
        <w:t>n</w:t>
      </w:r>
      <w:r w:rsidR="0033507E" w:rsidRPr="006757CB">
        <w:rPr>
          <w:rFonts w:ascii="Tahoma" w:hAnsi="Tahoma" w:cs="Tahoma"/>
          <w:sz w:val="22"/>
          <w:szCs w:val="22"/>
        </w:rPr>
        <w:t>drá</w:t>
      </w:r>
      <w:r w:rsidR="009435BA" w:rsidRPr="006757CB">
        <w:rPr>
          <w:rFonts w:ascii="Tahoma" w:hAnsi="Tahoma" w:cs="Tahoma"/>
          <w:sz w:val="22"/>
          <w:szCs w:val="22"/>
        </w:rPr>
        <w:t>n</w:t>
      </w:r>
      <w:r w:rsidR="0033507E" w:rsidRPr="006757CB">
        <w:rPr>
          <w:rFonts w:ascii="Tahoma" w:hAnsi="Tahoma" w:cs="Tahoma"/>
          <w:sz w:val="22"/>
          <w:szCs w:val="22"/>
        </w:rPr>
        <w:t xml:space="preserve"> incólumes. En esta sede correrán a cargo de la parte demanda</w:t>
      </w:r>
      <w:r w:rsidR="007F1D1C" w:rsidRPr="006757CB">
        <w:rPr>
          <w:rFonts w:ascii="Tahoma" w:hAnsi="Tahoma" w:cs="Tahoma"/>
          <w:sz w:val="22"/>
          <w:szCs w:val="22"/>
        </w:rPr>
        <w:t>nte</w:t>
      </w:r>
      <w:r w:rsidR="0033507E" w:rsidRPr="006757CB">
        <w:rPr>
          <w:rFonts w:ascii="Tahoma" w:hAnsi="Tahoma" w:cs="Tahoma"/>
          <w:sz w:val="22"/>
          <w:szCs w:val="22"/>
        </w:rPr>
        <w:t xml:space="preserve"> en un 60% y se liquidarán por la secretaría del Juzgado de origen.</w:t>
      </w:r>
    </w:p>
    <w:p w14:paraId="686058EA" w14:textId="533FFD72" w:rsidR="0033507E" w:rsidRPr="006757CB" w:rsidRDefault="0033507E" w:rsidP="002146A5">
      <w:pPr>
        <w:jc w:val="both"/>
        <w:rPr>
          <w:rFonts w:ascii="Tahoma" w:hAnsi="Tahoma" w:cs="Tahoma"/>
          <w:sz w:val="22"/>
          <w:szCs w:val="22"/>
        </w:rPr>
      </w:pPr>
      <w:r w:rsidRPr="006757CB">
        <w:rPr>
          <w:rFonts w:ascii="Tahoma" w:hAnsi="Tahoma" w:cs="Tahoma"/>
          <w:sz w:val="22"/>
          <w:szCs w:val="22"/>
        </w:rPr>
        <w:tab/>
      </w:r>
    </w:p>
    <w:p w14:paraId="22129F18" w14:textId="4FA7ABC8" w:rsidR="009A4059" w:rsidRPr="006757CB" w:rsidRDefault="00DF62C9" w:rsidP="009435BA">
      <w:pPr>
        <w:spacing w:line="276" w:lineRule="auto"/>
        <w:jc w:val="both"/>
        <w:rPr>
          <w:rFonts w:ascii="Tahoma" w:hAnsi="Tahoma" w:cs="Tahoma"/>
          <w:sz w:val="22"/>
          <w:szCs w:val="22"/>
        </w:rPr>
      </w:pPr>
      <w:r w:rsidRPr="006757CB">
        <w:rPr>
          <w:rFonts w:ascii="Tahoma" w:hAnsi="Tahoma" w:cs="Tahoma"/>
          <w:sz w:val="22"/>
          <w:szCs w:val="22"/>
        </w:rPr>
        <w:t xml:space="preserve"> </w:t>
      </w:r>
      <w:r w:rsidR="0033507E" w:rsidRPr="006757CB">
        <w:rPr>
          <w:rFonts w:ascii="Tahoma" w:hAnsi="Tahoma" w:cs="Tahoma"/>
          <w:sz w:val="22"/>
          <w:szCs w:val="22"/>
        </w:rPr>
        <w:tab/>
      </w:r>
      <w:r w:rsidR="009A4059" w:rsidRPr="006757CB">
        <w:rPr>
          <w:rFonts w:ascii="Tahoma" w:hAnsi="Tahoma" w:cs="Tahoma"/>
          <w:sz w:val="22"/>
          <w:szCs w:val="22"/>
        </w:rPr>
        <w:t xml:space="preserve">En mérito </w:t>
      </w:r>
      <w:r w:rsidR="006E2DDE" w:rsidRPr="006757CB">
        <w:rPr>
          <w:rFonts w:ascii="Tahoma" w:hAnsi="Tahoma" w:cs="Tahoma"/>
          <w:sz w:val="22"/>
          <w:szCs w:val="22"/>
        </w:rPr>
        <w:t>de lo</w:t>
      </w:r>
      <w:r w:rsidR="009A4059" w:rsidRPr="006757CB">
        <w:rPr>
          <w:rFonts w:ascii="Tahoma" w:hAnsi="Tahoma" w:cs="Tahoma"/>
          <w:sz w:val="22"/>
          <w:szCs w:val="22"/>
        </w:rPr>
        <w:t xml:space="preserve"> expuesto, el </w:t>
      </w:r>
      <w:r w:rsidR="00BC62EF" w:rsidRPr="006757CB">
        <w:rPr>
          <w:rFonts w:ascii="Tahoma" w:hAnsi="Tahoma" w:cs="Tahoma"/>
          <w:sz w:val="22"/>
          <w:szCs w:val="22"/>
        </w:rPr>
        <w:t xml:space="preserve">Tribunal Superior del Distrito Judicial de Pereira (Risaralda), Sala Laboral, administrando justicia </w:t>
      </w:r>
      <w:r w:rsidR="009A4059" w:rsidRPr="006757CB">
        <w:rPr>
          <w:rFonts w:ascii="Tahoma" w:hAnsi="Tahoma" w:cs="Tahoma"/>
          <w:sz w:val="22"/>
          <w:szCs w:val="22"/>
        </w:rPr>
        <w:t xml:space="preserve">en </w:t>
      </w:r>
      <w:r w:rsidR="00BC62EF" w:rsidRPr="006757CB">
        <w:rPr>
          <w:rFonts w:ascii="Tahoma" w:hAnsi="Tahoma" w:cs="Tahoma"/>
          <w:sz w:val="22"/>
          <w:szCs w:val="22"/>
        </w:rPr>
        <w:t xml:space="preserve">nombre </w:t>
      </w:r>
      <w:r w:rsidR="009A4059" w:rsidRPr="006757CB">
        <w:rPr>
          <w:rFonts w:ascii="Tahoma" w:hAnsi="Tahoma" w:cs="Tahoma"/>
          <w:sz w:val="22"/>
          <w:szCs w:val="22"/>
        </w:rPr>
        <w:t>de la República y por autoridad de la Ley,</w:t>
      </w:r>
    </w:p>
    <w:p w14:paraId="3F6E3329" w14:textId="77777777" w:rsidR="001366A4" w:rsidRPr="006757CB" w:rsidRDefault="001366A4" w:rsidP="009435BA">
      <w:pPr>
        <w:pStyle w:val="Sinespaciado"/>
        <w:spacing w:line="276" w:lineRule="auto"/>
        <w:rPr>
          <w:sz w:val="22"/>
          <w:szCs w:val="22"/>
        </w:rPr>
      </w:pPr>
    </w:p>
    <w:p w14:paraId="01AD84C3" w14:textId="77777777" w:rsidR="009A4059" w:rsidRPr="006757CB" w:rsidRDefault="009A4059" w:rsidP="009435BA">
      <w:pPr>
        <w:widowControl w:val="0"/>
        <w:autoSpaceDE w:val="0"/>
        <w:autoSpaceDN w:val="0"/>
        <w:adjustRightInd w:val="0"/>
        <w:spacing w:line="276" w:lineRule="auto"/>
        <w:jc w:val="center"/>
        <w:rPr>
          <w:rFonts w:ascii="Tahoma" w:hAnsi="Tahoma" w:cs="Tahoma"/>
          <w:b/>
          <w:sz w:val="22"/>
          <w:szCs w:val="22"/>
        </w:rPr>
      </w:pPr>
      <w:r w:rsidRPr="006757CB">
        <w:rPr>
          <w:rFonts w:ascii="Tahoma" w:hAnsi="Tahoma" w:cs="Tahoma"/>
          <w:b/>
          <w:sz w:val="22"/>
          <w:szCs w:val="22"/>
        </w:rPr>
        <w:t>RESUELVE:</w:t>
      </w:r>
    </w:p>
    <w:p w14:paraId="78CAF0A6" w14:textId="77777777" w:rsidR="009A4059" w:rsidRPr="006757CB" w:rsidRDefault="009A4059" w:rsidP="002146A5">
      <w:pPr>
        <w:pStyle w:val="Sinespaciado"/>
        <w:rPr>
          <w:sz w:val="22"/>
          <w:szCs w:val="22"/>
        </w:rPr>
      </w:pPr>
    </w:p>
    <w:p w14:paraId="3297898E" w14:textId="03944301" w:rsidR="002416AF" w:rsidRPr="006757CB" w:rsidRDefault="00960114" w:rsidP="009435BA">
      <w:pPr>
        <w:spacing w:line="276" w:lineRule="auto"/>
        <w:ind w:firstLine="708"/>
        <w:jc w:val="both"/>
        <w:rPr>
          <w:rFonts w:ascii="Tahoma" w:hAnsi="Tahoma" w:cs="Tahoma"/>
          <w:sz w:val="22"/>
          <w:szCs w:val="22"/>
        </w:rPr>
      </w:pPr>
      <w:r w:rsidRPr="006757CB">
        <w:rPr>
          <w:rFonts w:ascii="Tahoma" w:hAnsi="Tahoma" w:cs="Tahoma"/>
          <w:b/>
          <w:sz w:val="22"/>
          <w:szCs w:val="22"/>
          <w:u w:val="single"/>
        </w:rPr>
        <w:t>PRIMERO</w:t>
      </w:r>
      <w:r w:rsidR="009A4059" w:rsidRPr="006757CB">
        <w:rPr>
          <w:rFonts w:ascii="Tahoma" w:hAnsi="Tahoma" w:cs="Tahoma"/>
          <w:sz w:val="22"/>
          <w:szCs w:val="22"/>
        </w:rPr>
        <w:t xml:space="preserve">.- </w:t>
      </w:r>
      <w:r w:rsidR="009435BA" w:rsidRPr="006757CB">
        <w:rPr>
          <w:rFonts w:ascii="Tahoma" w:hAnsi="Tahoma" w:cs="Tahoma"/>
          <w:b/>
          <w:sz w:val="22"/>
          <w:szCs w:val="22"/>
        </w:rPr>
        <w:t>MODIFICAR</w:t>
      </w:r>
      <w:r w:rsidR="009435BA" w:rsidRPr="006757CB">
        <w:rPr>
          <w:rFonts w:ascii="Tahoma" w:hAnsi="Tahoma" w:cs="Tahoma"/>
          <w:sz w:val="22"/>
          <w:szCs w:val="22"/>
        </w:rPr>
        <w:t xml:space="preserve"> </w:t>
      </w:r>
      <w:r w:rsidR="0033507E" w:rsidRPr="006757CB">
        <w:rPr>
          <w:rFonts w:ascii="Tahoma" w:hAnsi="Tahoma" w:cs="Tahoma"/>
          <w:sz w:val="22"/>
          <w:szCs w:val="22"/>
        </w:rPr>
        <w:t>los ordinales segundo a séptimo de la sentencia proferida por el Juzgad</w:t>
      </w:r>
      <w:r w:rsidR="00184427" w:rsidRPr="006757CB">
        <w:rPr>
          <w:rFonts w:ascii="Tahoma" w:hAnsi="Tahoma" w:cs="Tahoma"/>
          <w:sz w:val="22"/>
          <w:szCs w:val="22"/>
        </w:rPr>
        <w:t>o tercero Laboral del circuito el 25 de mayo de 2015</w:t>
      </w:r>
      <w:r w:rsidR="00CC4768" w:rsidRPr="006757CB">
        <w:rPr>
          <w:rFonts w:ascii="Tahoma" w:hAnsi="Tahoma" w:cs="Tahoma"/>
          <w:sz w:val="22"/>
          <w:szCs w:val="22"/>
        </w:rPr>
        <w:t>, dentro del proceso ordinario laboral promovido por Arturo Granada Bernal en contra de Colpensiones, los cuales quedarán así:</w:t>
      </w:r>
    </w:p>
    <w:p w14:paraId="220106A5" w14:textId="77777777" w:rsidR="00CC4768" w:rsidRPr="006757CB" w:rsidRDefault="00CC4768" w:rsidP="00AD7C75">
      <w:pPr>
        <w:spacing w:line="276" w:lineRule="auto"/>
        <w:ind w:firstLine="708"/>
        <w:jc w:val="both"/>
        <w:rPr>
          <w:rFonts w:ascii="Tahoma" w:hAnsi="Tahoma" w:cs="Tahoma"/>
          <w:sz w:val="22"/>
          <w:szCs w:val="22"/>
        </w:rPr>
      </w:pPr>
    </w:p>
    <w:p w14:paraId="75F0A750" w14:textId="6BFC5C19" w:rsidR="00CC4768" w:rsidRPr="006757CB" w:rsidRDefault="00CC4768" w:rsidP="002146A5">
      <w:pPr>
        <w:ind w:left="284" w:right="335"/>
        <w:jc w:val="both"/>
        <w:rPr>
          <w:rFonts w:ascii="Arial Narrow" w:hAnsi="Arial Narrow" w:cs="Tahoma"/>
          <w:bCs/>
          <w:i/>
          <w:iCs/>
          <w:sz w:val="22"/>
          <w:szCs w:val="22"/>
        </w:rPr>
      </w:pPr>
      <w:r w:rsidRPr="006757CB">
        <w:rPr>
          <w:rFonts w:ascii="Arial Narrow" w:hAnsi="Arial Narrow" w:cs="Tahoma"/>
          <w:sz w:val="22"/>
          <w:szCs w:val="22"/>
        </w:rPr>
        <w:t xml:space="preserve">“Segundo: Ordenar a la Administradora Colombiana de Pensiones – Colpensiones, que proceda a modificar la Resolución 6175 de 1996, en el sentido </w:t>
      </w:r>
      <w:r w:rsidR="009435BA" w:rsidRPr="006757CB">
        <w:rPr>
          <w:rFonts w:ascii="Arial Narrow" w:hAnsi="Arial Narrow" w:cs="Tahoma"/>
          <w:sz w:val="22"/>
          <w:szCs w:val="22"/>
        </w:rPr>
        <w:t xml:space="preserve">de </w:t>
      </w:r>
      <w:r w:rsidRPr="006757CB">
        <w:rPr>
          <w:rFonts w:ascii="Arial Narrow" w:hAnsi="Arial Narrow" w:cs="Tahoma"/>
          <w:sz w:val="22"/>
          <w:szCs w:val="22"/>
        </w:rPr>
        <w:t xml:space="preserve">que el IBL </w:t>
      </w:r>
      <w:r w:rsidR="009435BA" w:rsidRPr="006757CB">
        <w:rPr>
          <w:rFonts w:ascii="Arial Narrow" w:hAnsi="Arial Narrow" w:cs="Tahoma"/>
          <w:sz w:val="22"/>
          <w:szCs w:val="22"/>
        </w:rPr>
        <w:t xml:space="preserve">del señor Arturo Granada Bernal </w:t>
      </w:r>
      <w:r w:rsidRPr="006757CB">
        <w:rPr>
          <w:rFonts w:ascii="Arial Narrow" w:hAnsi="Arial Narrow" w:cs="Tahoma"/>
          <w:sz w:val="22"/>
          <w:szCs w:val="22"/>
        </w:rPr>
        <w:t xml:space="preserve">es de 368.754, y la primera mesada a que tiene derecho es de </w:t>
      </w:r>
      <w:r w:rsidRPr="006757CB">
        <w:rPr>
          <w:rFonts w:ascii="Arial Narrow" w:hAnsi="Arial Narrow" w:cs="Tahoma"/>
          <w:bCs/>
          <w:i/>
          <w:iCs/>
          <w:sz w:val="22"/>
          <w:szCs w:val="22"/>
        </w:rPr>
        <w:t>320.816.</w:t>
      </w:r>
    </w:p>
    <w:p w14:paraId="55674BFA" w14:textId="77777777" w:rsidR="00CC4768" w:rsidRPr="006757CB" w:rsidRDefault="00CC4768" w:rsidP="002146A5">
      <w:pPr>
        <w:ind w:left="284" w:right="335"/>
        <w:jc w:val="both"/>
        <w:rPr>
          <w:rFonts w:ascii="Arial Narrow" w:hAnsi="Arial Narrow" w:cs="Tahoma"/>
          <w:bCs/>
          <w:i/>
          <w:iCs/>
          <w:sz w:val="22"/>
          <w:szCs w:val="22"/>
        </w:rPr>
      </w:pPr>
    </w:p>
    <w:p w14:paraId="2B62A1C8" w14:textId="039CCD05" w:rsidR="00CC4768" w:rsidRPr="006757CB" w:rsidRDefault="00CC4768" w:rsidP="002146A5">
      <w:pPr>
        <w:ind w:left="284" w:right="335"/>
        <w:jc w:val="both"/>
        <w:rPr>
          <w:rFonts w:ascii="Arial Narrow" w:hAnsi="Arial Narrow"/>
          <w:sz w:val="22"/>
          <w:szCs w:val="22"/>
        </w:rPr>
      </w:pPr>
      <w:r w:rsidRPr="006757CB">
        <w:rPr>
          <w:rFonts w:ascii="Arial Narrow" w:hAnsi="Arial Narrow" w:cs="Tahoma"/>
          <w:bCs/>
          <w:i/>
          <w:iCs/>
          <w:sz w:val="22"/>
          <w:szCs w:val="22"/>
        </w:rPr>
        <w:t xml:space="preserve">Tercero: Ordenar a la Administradora Colombiana de </w:t>
      </w:r>
      <w:r w:rsidR="009435BA" w:rsidRPr="006757CB">
        <w:rPr>
          <w:rFonts w:ascii="Arial Narrow" w:hAnsi="Arial Narrow" w:cs="Tahoma"/>
          <w:bCs/>
          <w:i/>
          <w:iCs/>
          <w:sz w:val="22"/>
          <w:szCs w:val="22"/>
        </w:rPr>
        <w:t xml:space="preserve">Pensiones </w:t>
      </w:r>
      <w:r w:rsidRPr="006757CB">
        <w:rPr>
          <w:rFonts w:ascii="Arial Narrow" w:hAnsi="Arial Narrow" w:cs="Tahoma"/>
          <w:bCs/>
          <w:i/>
          <w:iCs/>
          <w:sz w:val="22"/>
          <w:szCs w:val="22"/>
        </w:rPr>
        <w:t>– Colpension</w:t>
      </w:r>
      <w:r w:rsidR="009435BA" w:rsidRPr="006757CB">
        <w:rPr>
          <w:rFonts w:ascii="Arial Narrow" w:hAnsi="Arial Narrow" w:cs="Tahoma"/>
          <w:bCs/>
          <w:i/>
          <w:iCs/>
          <w:sz w:val="22"/>
          <w:szCs w:val="22"/>
        </w:rPr>
        <w:t>e</w:t>
      </w:r>
      <w:r w:rsidRPr="006757CB">
        <w:rPr>
          <w:rFonts w:ascii="Arial Narrow" w:hAnsi="Arial Narrow" w:cs="Tahoma"/>
          <w:bCs/>
          <w:i/>
          <w:iCs/>
          <w:sz w:val="22"/>
          <w:szCs w:val="22"/>
        </w:rPr>
        <w:t xml:space="preserve">s que proceda a reconocer una mesada de </w:t>
      </w:r>
      <w:r w:rsidR="009435BA" w:rsidRPr="006757CB">
        <w:rPr>
          <w:rFonts w:ascii="Arial Narrow" w:hAnsi="Arial Narrow" w:cs="Tahoma"/>
          <w:bCs/>
          <w:iCs/>
          <w:sz w:val="22"/>
          <w:szCs w:val="22"/>
        </w:rPr>
        <w:t>$</w:t>
      </w:r>
      <w:r w:rsidRPr="006757CB">
        <w:rPr>
          <w:rFonts w:ascii="Arial Narrow" w:hAnsi="Arial Narrow"/>
          <w:sz w:val="22"/>
          <w:szCs w:val="22"/>
        </w:rPr>
        <w:t>1.295.472 para el año 2016.</w:t>
      </w:r>
    </w:p>
    <w:p w14:paraId="5175D75B" w14:textId="77777777" w:rsidR="00CC4768" w:rsidRPr="006757CB" w:rsidRDefault="00CC4768" w:rsidP="002146A5">
      <w:pPr>
        <w:ind w:left="284" w:right="335"/>
        <w:jc w:val="both"/>
        <w:rPr>
          <w:rFonts w:ascii="Arial Narrow" w:hAnsi="Arial Narrow"/>
          <w:sz w:val="22"/>
          <w:szCs w:val="22"/>
        </w:rPr>
      </w:pPr>
    </w:p>
    <w:p w14:paraId="4097192F" w14:textId="3078A49B" w:rsidR="00CC4768" w:rsidRPr="006757CB" w:rsidRDefault="00CC4768" w:rsidP="002146A5">
      <w:pPr>
        <w:ind w:left="284" w:right="335"/>
        <w:jc w:val="both"/>
        <w:rPr>
          <w:rFonts w:ascii="Arial Narrow" w:hAnsi="Arial Narrow"/>
          <w:sz w:val="22"/>
          <w:szCs w:val="22"/>
        </w:rPr>
      </w:pPr>
      <w:r w:rsidRPr="006757CB">
        <w:rPr>
          <w:rFonts w:ascii="Arial Narrow" w:hAnsi="Arial Narrow"/>
          <w:sz w:val="22"/>
          <w:szCs w:val="22"/>
        </w:rPr>
        <w:t xml:space="preserve">Cuarto:   </w:t>
      </w:r>
      <w:r w:rsidRPr="006757CB">
        <w:rPr>
          <w:rFonts w:ascii="Arial Narrow" w:hAnsi="Arial Narrow" w:cs="Tahoma"/>
          <w:bCs/>
          <w:i/>
          <w:iCs/>
          <w:sz w:val="22"/>
          <w:szCs w:val="22"/>
        </w:rPr>
        <w:t xml:space="preserve">Ordenar a la Administradora Colombiana de </w:t>
      </w:r>
      <w:r w:rsidR="009435BA" w:rsidRPr="006757CB">
        <w:rPr>
          <w:rFonts w:ascii="Arial Narrow" w:hAnsi="Arial Narrow" w:cs="Tahoma"/>
          <w:bCs/>
          <w:i/>
          <w:iCs/>
          <w:sz w:val="22"/>
          <w:szCs w:val="22"/>
        </w:rPr>
        <w:t xml:space="preserve">Pensiones </w:t>
      </w:r>
      <w:r w:rsidRPr="006757CB">
        <w:rPr>
          <w:rFonts w:ascii="Arial Narrow" w:hAnsi="Arial Narrow" w:cs="Tahoma"/>
          <w:bCs/>
          <w:i/>
          <w:iCs/>
          <w:sz w:val="22"/>
          <w:szCs w:val="22"/>
        </w:rPr>
        <w:t xml:space="preserve">– </w:t>
      </w:r>
      <w:r w:rsidR="009435BA" w:rsidRPr="006757CB">
        <w:rPr>
          <w:rFonts w:ascii="Arial Narrow" w:hAnsi="Arial Narrow" w:cs="Tahoma"/>
          <w:bCs/>
          <w:i/>
          <w:iCs/>
          <w:sz w:val="22"/>
          <w:szCs w:val="22"/>
        </w:rPr>
        <w:t>Colpensiones</w:t>
      </w:r>
      <w:r w:rsidRPr="006757CB">
        <w:rPr>
          <w:rFonts w:ascii="Arial Narrow" w:hAnsi="Arial Narrow" w:cs="Tahoma"/>
          <w:bCs/>
          <w:i/>
          <w:iCs/>
          <w:sz w:val="22"/>
          <w:szCs w:val="22"/>
        </w:rPr>
        <w:t xml:space="preserve"> que proceda a  cancelar </w:t>
      </w:r>
      <w:r w:rsidR="009435BA" w:rsidRPr="006757CB">
        <w:rPr>
          <w:rFonts w:ascii="Arial Narrow" w:hAnsi="Arial Narrow" w:cs="Tahoma"/>
          <w:bCs/>
          <w:i/>
          <w:iCs/>
          <w:sz w:val="22"/>
          <w:szCs w:val="22"/>
        </w:rPr>
        <w:t>como</w:t>
      </w:r>
      <w:r w:rsidRPr="006757CB">
        <w:rPr>
          <w:rFonts w:ascii="Arial Narrow" w:hAnsi="Arial Narrow" w:cs="Tahoma"/>
          <w:bCs/>
          <w:i/>
          <w:iCs/>
          <w:sz w:val="22"/>
          <w:szCs w:val="22"/>
        </w:rPr>
        <w:t xml:space="preserve"> </w:t>
      </w:r>
      <w:r w:rsidR="009435BA" w:rsidRPr="006757CB">
        <w:rPr>
          <w:rFonts w:ascii="Arial Narrow" w:hAnsi="Arial Narrow" w:cs="Tahoma"/>
          <w:bCs/>
          <w:i/>
          <w:iCs/>
          <w:sz w:val="22"/>
          <w:szCs w:val="22"/>
        </w:rPr>
        <w:t>retroactivo</w:t>
      </w:r>
      <w:r w:rsidRPr="006757CB">
        <w:rPr>
          <w:rFonts w:ascii="Arial Narrow" w:hAnsi="Arial Narrow" w:cs="Tahoma"/>
          <w:bCs/>
          <w:i/>
          <w:iCs/>
          <w:sz w:val="22"/>
          <w:szCs w:val="22"/>
        </w:rPr>
        <w:t xml:space="preserve"> de las diferencias dejadas de cancelar al señor </w:t>
      </w:r>
      <w:r w:rsidRPr="006757CB">
        <w:rPr>
          <w:rFonts w:ascii="Arial Narrow" w:hAnsi="Arial Narrow" w:cs="Tahoma"/>
          <w:sz w:val="22"/>
          <w:szCs w:val="22"/>
        </w:rPr>
        <w:t>Arturo Granada Bernal</w:t>
      </w:r>
      <w:r w:rsidR="009435BA" w:rsidRPr="006757CB">
        <w:rPr>
          <w:rFonts w:ascii="Arial Narrow" w:hAnsi="Arial Narrow" w:cs="Tahoma"/>
          <w:sz w:val="22"/>
          <w:szCs w:val="22"/>
        </w:rPr>
        <w:t>,</w:t>
      </w:r>
      <w:r w:rsidRPr="006757CB">
        <w:rPr>
          <w:rFonts w:ascii="Arial Narrow" w:hAnsi="Arial Narrow" w:cs="Tahoma"/>
          <w:sz w:val="22"/>
          <w:szCs w:val="22"/>
        </w:rPr>
        <w:t xml:space="preserve"> desde el 22 de octubre de 2011</w:t>
      </w:r>
      <w:r w:rsidR="009435BA" w:rsidRPr="006757CB">
        <w:rPr>
          <w:rFonts w:ascii="Arial Narrow" w:hAnsi="Arial Narrow" w:cs="Tahoma"/>
          <w:sz w:val="22"/>
          <w:szCs w:val="22"/>
        </w:rPr>
        <w:t xml:space="preserve"> hasta e</w:t>
      </w:r>
      <w:r w:rsidRPr="006757CB">
        <w:rPr>
          <w:rFonts w:ascii="Arial Narrow" w:hAnsi="Arial Narrow" w:cs="Tahoma"/>
          <w:sz w:val="22"/>
          <w:szCs w:val="22"/>
        </w:rPr>
        <w:t xml:space="preserve">l 31 de agosto de 2016 </w:t>
      </w:r>
      <w:r w:rsidR="009435BA" w:rsidRPr="006757CB">
        <w:rPr>
          <w:rFonts w:ascii="Arial Narrow" w:hAnsi="Arial Narrow" w:cs="Tahoma"/>
          <w:sz w:val="22"/>
          <w:szCs w:val="22"/>
        </w:rPr>
        <w:t>la suma de $</w:t>
      </w:r>
      <w:r w:rsidRPr="006757CB">
        <w:rPr>
          <w:rFonts w:ascii="Arial Narrow" w:hAnsi="Arial Narrow"/>
          <w:sz w:val="22"/>
          <w:szCs w:val="22"/>
        </w:rPr>
        <w:t>35.404.307</w:t>
      </w:r>
      <w:r w:rsidR="009435BA" w:rsidRPr="006757CB">
        <w:rPr>
          <w:rFonts w:ascii="Arial Narrow" w:hAnsi="Arial Narrow"/>
          <w:sz w:val="22"/>
          <w:szCs w:val="22"/>
        </w:rPr>
        <w:t>, sin perjuicio de las que se cause con posterioridad</w:t>
      </w:r>
      <w:r w:rsidRPr="006757CB">
        <w:rPr>
          <w:rFonts w:ascii="Arial Narrow" w:hAnsi="Arial Narrow"/>
          <w:sz w:val="22"/>
          <w:szCs w:val="22"/>
        </w:rPr>
        <w:t>.</w:t>
      </w:r>
    </w:p>
    <w:p w14:paraId="78DF0C41" w14:textId="77777777" w:rsidR="00CC4768" w:rsidRPr="006757CB" w:rsidRDefault="00CC4768" w:rsidP="002146A5">
      <w:pPr>
        <w:ind w:left="284" w:right="335"/>
        <w:jc w:val="both"/>
        <w:rPr>
          <w:rFonts w:ascii="Arial Narrow" w:hAnsi="Arial Narrow"/>
          <w:sz w:val="22"/>
          <w:szCs w:val="22"/>
        </w:rPr>
      </w:pPr>
    </w:p>
    <w:p w14:paraId="1FE60BF5" w14:textId="1CE1C707" w:rsidR="00CC4768" w:rsidRPr="006757CB" w:rsidRDefault="00CC4768" w:rsidP="002146A5">
      <w:pPr>
        <w:ind w:left="284" w:right="335"/>
        <w:jc w:val="both"/>
        <w:rPr>
          <w:rFonts w:ascii="Arial Narrow" w:hAnsi="Arial Narrow" w:cs="Tahoma"/>
          <w:bCs/>
          <w:i/>
          <w:iCs/>
          <w:sz w:val="22"/>
          <w:szCs w:val="22"/>
        </w:rPr>
      </w:pPr>
      <w:r w:rsidRPr="006757CB">
        <w:rPr>
          <w:rFonts w:ascii="Arial Narrow" w:hAnsi="Arial Narrow"/>
          <w:sz w:val="22"/>
          <w:szCs w:val="22"/>
        </w:rPr>
        <w:t>Quinto</w:t>
      </w:r>
      <w:r w:rsidR="007F1D1C" w:rsidRPr="006757CB">
        <w:rPr>
          <w:rFonts w:ascii="Arial Narrow" w:hAnsi="Arial Narrow"/>
          <w:sz w:val="22"/>
          <w:szCs w:val="22"/>
        </w:rPr>
        <w:t xml:space="preserve"> y sexto: Au</w:t>
      </w:r>
      <w:r w:rsidRPr="006757CB">
        <w:rPr>
          <w:rFonts w:ascii="Arial Narrow" w:hAnsi="Arial Narrow"/>
          <w:sz w:val="22"/>
          <w:szCs w:val="22"/>
        </w:rPr>
        <w:t xml:space="preserve">torizar </w:t>
      </w:r>
      <w:r w:rsidRPr="006757CB">
        <w:rPr>
          <w:rFonts w:ascii="Arial Narrow" w:hAnsi="Arial Narrow" w:cs="Tahoma"/>
          <w:bCs/>
          <w:i/>
          <w:iCs/>
          <w:sz w:val="22"/>
          <w:szCs w:val="22"/>
        </w:rPr>
        <w:t xml:space="preserve">a la Administradora Colombiana de </w:t>
      </w:r>
      <w:r w:rsidR="009435BA" w:rsidRPr="006757CB">
        <w:rPr>
          <w:rFonts w:ascii="Arial Narrow" w:hAnsi="Arial Narrow" w:cs="Tahoma"/>
          <w:bCs/>
          <w:i/>
          <w:iCs/>
          <w:sz w:val="22"/>
          <w:szCs w:val="22"/>
        </w:rPr>
        <w:t>Pensiones</w:t>
      </w:r>
      <w:r w:rsidRPr="006757CB">
        <w:rPr>
          <w:rFonts w:ascii="Arial Narrow" w:hAnsi="Arial Narrow" w:cs="Tahoma"/>
          <w:bCs/>
          <w:i/>
          <w:iCs/>
          <w:sz w:val="22"/>
          <w:szCs w:val="22"/>
        </w:rPr>
        <w:t xml:space="preserve"> – </w:t>
      </w:r>
      <w:r w:rsidR="009435BA" w:rsidRPr="006757CB">
        <w:rPr>
          <w:rFonts w:ascii="Arial Narrow" w:hAnsi="Arial Narrow" w:cs="Tahoma"/>
          <w:bCs/>
          <w:i/>
          <w:iCs/>
          <w:sz w:val="22"/>
          <w:szCs w:val="22"/>
        </w:rPr>
        <w:t>Colpensiones</w:t>
      </w:r>
      <w:r w:rsidRPr="006757CB">
        <w:rPr>
          <w:rFonts w:ascii="Arial Narrow" w:hAnsi="Arial Narrow" w:cs="Tahoma"/>
          <w:bCs/>
          <w:i/>
          <w:iCs/>
          <w:sz w:val="22"/>
          <w:szCs w:val="22"/>
        </w:rPr>
        <w:t xml:space="preserve"> que proceda a </w:t>
      </w:r>
      <w:r w:rsidR="009435BA" w:rsidRPr="006757CB">
        <w:rPr>
          <w:rFonts w:ascii="Arial Narrow" w:hAnsi="Arial Narrow" w:cs="Tahoma"/>
          <w:bCs/>
          <w:iCs/>
          <w:sz w:val="22"/>
          <w:szCs w:val="22"/>
        </w:rPr>
        <w:t xml:space="preserve">descontar el </w:t>
      </w:r>
      <w:r w:rsidR="007F1D1C" w:rsidRPr="006757CB">
        <w:rPr>
          <w:rFonts w:ascii="Arial Narrow" w:hAnsi="Arial Narrow" w:cs="Tahoma"/>
          <w:bCs/>
          <w:iCs/>
          <w:sz w:val="22"/>
          <w:szCs w:val="22"/>
        </w:rPr>
        <w:t xml:space="preserve">12% sobre el retroactivo </w:t>
      </w:r>
      <w:r w:rsidR="009435BA" w:rsidRPr="006757CB">
        <w:rPr>
          <w:rFonts w:ascii="Arial Narrow" w:hAnsi="Arial Narrow" w:cs="Tahoma"/>
          <w:bCs/>
          <w:iCs/>
          <w:sz w:val="22"/>
          <w:szCs w:val="22"/>
        </w:rPr>
        <w:t>reconocido</w:t>
      </w:r>
      <w:r w:rsidR="007F1D1C" w:rsidRPr="006757CB">
        <w:rPr>
          <w:rFonts w:ascii="Arial Narrow" w:hAnsi="Arial Narrow" w:cs="Tahoma"/>
          <w:bCs/>
          <w:iCs/>
          <w:sz w:val="22"/>
          <w:szCs w:val="22"/>
        </w:rPr>
        <w:t xml:space="preserve"> por concepto de aportes a salud, exceptuando </w:t>
      </w:r>
      <w:r w:rsidR="009435BA" w:rsidRPr="006757CB">
        <w:rPr>
          <w:rFonts w:ascii="Arial Narrow" w:hAnsi="Arial Narrow" w:cs="Tahoma"/>
          <w:bCs/>
          <w:iCs/>
          <w:sz w:val="22"/>
          <w:szCs w:val="22"/>
        </w:rPr>
        <w:t>los $</w:t>
      </w:r>
      <w:r w:rsidR="007F1D1C" w:rsidRPr="006757CB">
        <w:rPr>
          <w:rFonts w:ascii="Arial Narrow" w:hAnsi="Arial Narrow" w:cs="Tahoma"/>
          <w:bCs/>
          <w:iCs/>
          <w:sz w:val="22"/>
          <w:szCs w:val="22"/>
        </w:rPr>
        <w:t>241.255 que ya descontó en la resolución GNR 32483 de 2015.</w:t>
      </w:r>
    </w:p>
    <w:p w14:paraId="42EF5D71" w14:textId="77777777" w:rsidR="007F1D1C" w:rsidRPr="006757CB" w:rsidRDefault="007F1D1C" w:rsidP="002146A5">
      <w:pPr>
        <w:ind w:left="284" w:right="335"/>
        <w:jc w:val="both"/>
        <w:rPr>
          <w:rFonts w:ascii="Arial Narrow" w:hAnsi="Arial Narrow" w:cs="Tahoma"/>
          <w:bCs/>
          <w:i/>
          <w:iCs/>
          <w:sz w:val="22"/>
          <w:szCs w:val="22"/>
        </w:rPr>
      </w:pPr>
    </w:p>
    <w:p w14:paraId="4CADD270" w14:textId="36707596" w:rsidR="007F1D1C" w:rsidRPr="006757CB" w:rsidRDefault="009435BA" w:rsidP="002146A5">
      <w:pPr>
        <w:ind w:left="284" w:right="335"/>
        <w:jc w:val="both"/>
        <w:rPr>
          <w:rFonts w:ascii="Arial Narrow" w:hAnsi="Arial Narrow" w:cs="Tahoma"/>
          <w:sz w:val="22"/>
          <w:szCs w:val="22"/>
        </w:rPr>
      </w:pPr>
      <w:r w:rsidRPr="006757CB">
        <w:rPr>
          <w:rFonts w:ascii="Arial Narrow" w:hAnsi="Arial Narrow" w:cs="Tahoma"/>
          <w:bCs/>
          <w:i/>
          <w:iCs/>
          <w:sz w:val="22"/>
          <w:szCs w:val="22"/>
        </w:rPr>
        <w:t>Séptimo: Orde</w:t>
      </w:r>
      <w:r w:rsidR="007F1D1C" w:rsidRPr="006757CB">
        <w:rPr>
          <w:rFonts w:ascii="Arial Narrow" w:hAnsi="Arial Narrow" w:cs="Tahoma"/>
          <w:bCs/>
          <w:i/>
          <w:iCs/>
          <w:sz w:val="22"/>
          <w:szCs w:val="22"/>
        </w:rPr>
        <w:t xml:space="preserve">nar a la </w:t>
      </w:r>
      <w:r w:rsidRPr="006757CB">
        <w:rPr>
          <w:rFonts w:ascii="Arial Narrow" w:hAnsi="Arial Narrow" w:cs="Tahoma"/>
          <w:bCs/>
          <w:i/>
          <w:iCs/>
          <w:sz w:val="22"/>
          <w:szCs w:val="22"/>
        </w:rPr>
        <w:t xml:space="preserve">Administradora Colombiana </w:t>
      </w:r>
      <w:r w:rsidR="007F1D1C" w:rsidRPr="006757CB">
        <w:rPr>
          <w:rFonts w:ascii="Arial Narrow" w:hAnsi="Arial Narrow" w:cs="Tahoma"/>
          <w:bCs/>
          <w:i/>
          <w:iCs/>
          <w:sz w:val="22"/>
          <w:szCs w:val="22"/>
        </w:rPr>
        <w:t xml:space="preserve">de </w:t>
      </w:r>
      <w:r w:rsidRPr="006757CB">
        <w:rPr>
          <w:rFonts w:ascii="Arial Narrow" w:hAnsi="Arial Narrow" w:cs="Tahoma"/>
          <w:bCs/>
          <w:i/>
          <w:iCs/>
          <w:sz w:val="22"/>
          <w:szCs w:val="22"/>
        </w:rPr>
        <w:t xml:space="preserve">Pensiones - </w:t>
      </w:r>
      <w:r w:rsidR="007F1D1C" w:rsidRPr="006757CB">
        <w:rPr>
          <w:rFonts w:ascii="Arial Narrow" w:hAnsi="Arial Narrow" w:cs="Tahoma"/>
          <w:bCs/>
          <w:i/>
          <w:iCs/>
          <w:sz w:val="22"/>
          <w:szCs w:val="22"/>
        </w:rPr>
        <w:t xml:space="preserve">Colpensiones que proceda a cancelar a título de indexación del retroactivo reconocido la suma de </w:t>
      </w:r>
      <w:r w:rsidR="007F1D1C" w:rsidRPr="006757CB">
        <w:rPr>
          <w:rFonts w:ascii="Arial Narrow" w:hAnsi="Arial Narrow" w:cs="Tahoma"/>
          <w:sz w:val="22"/>
          <w:szCs w:val="22"/>
        </w:rPr>
        <w:t>$4.216.317.”</w:t>
      </w:r>
    </w:p>
    <w:p w14:paraId="68D98897" w14:textId="77777777" w:rsidR="007F1D1C" w:rsidRPr="006757CB" w:rsidRDefault="007F1D1C" w:rsidP="00CC4768">
      <w:pPr>
        <w:jc w:val="both"/>
        <w:rPr>
          <w:rFonts w:ascii="Tahoma" w:hAnsi="Tahoma" w:cs="Tahoma"/>
          <w:sz w:val="22"/>
          <w:szCs w:val="22"/>
        </w:rPr>
      </w:pPr>
    </w:p>
    <w:p w14:paraId="7C59F32D" w14:textId="45EA8A68" w:rsidR="007F1D1C" w:rsidRPr="006757CB" w:rsidRDefault="0062335F" w:rsidP="002146A5">
      <w:pPr>
        <w:spacing w:line="276" w:lineRule="auto"/>
        <w:ind w:firstLine="708"/>
        <w:jc w:val="both"/>
        <w:rPr>
          <w:rFonts w:ascii="Tahoma" w:hAnsi="Tahoma" w:cs="Tahoma"/>
          <w:sz w:val="22"/>
          <w:szCs w:val="22"/>
        </w:rPr>
      </w:pPr>
      <w:r w:rsidRPr="006757CB">
        <w:rPr>
          <w:rFonts w:ascii="Tahoma" w:hAnsi="Tahoma" w:cs="Tahoma"/>
          <w:b/>
          <w:sz w:val="22"/>
          <w:szCs w:val="22"/>
          <w:u w:val="single"/>
        </w:rPr>
        <w:t>SEGUNDO</w:t>
      </w:r>
      <w:r w:rsidR="007F1D1C" w:rsidRPr="006757CB">
        <w:rPr>
          <w:rFonts w:ascii="Tahoma" w:hAnsi="Tahoma" w:cs="Tahoma"/>
          <w:sz w:val="22"/>
          <w:szCs w:val="22"/>
        </w:rPr>
        <w:t xml:space="preserve">: </w:t>
      </w:r>
      <w:r w:rsidR="009435BA" w:rsidRPr="006757CB">
        <w:rPr>
          <w:rFonts w:ascii="Tahoma" w:hAnsi="Tahoma" w:cs="Tahoma"/>
          <w:sz w:val="22"/>
          <w:szCs w:val="22"/>
        </w:rPr>
        <w:t xml:space="preserve">Confirmar </w:t>
      </w:r>
      <w:r w:rsidR="007F1D1C" w:rsidRPr="006757CB">
        <w:rPr>
          <w:rFonts w:ascii="Tahoma" w:hAnsi="Tahoma" w:cs="Tahoma"/>
          <w:sz w:val="22"/>
          <w:szCs w:val="22"/>
        </w:rPr>
        <w:t>en todo lo demás la sentencia de primera instancia.</w:t>
      </w:r>
    </w:p>
    <w:p w14:paraId="035A656E" w14:textId="77777777" w:rsidR="007F1D1C" w:rsidRPr="006757CB" w:rsidRDefault="007F1D1C" w:rsidP="002146A5">
      <w:pPr>
        <w:jc w:val="both"/>
        <w:rPr>
          <w:rFonts w:ascii="Tahoma" w:hAnsi="Tahoma" w:cs="Tahoma"/>
          <w:sz w:val="22"/>
          <w:szCs w:val="22"/>
        </w:rPr>
      </w:pPr>
    </w:p>
    <w:p w14:paraId="3DF1E8FB" w14:textId="28CB95C8" w:rsidR="007F1D1C" w:rsidRPr="006757CB" w:rsidRDefault="009435BA" w:rsidP="002146A5">
      <w:pPr>
        <w:spacing w:line="276" w:lineRule="auto"/>
        <w:ind w:firstLine="708"/>
        <w:jc w:val="both"/>
        <w:rPr>
          <w:rFonts w:ascii="Tahoma" w:hAnsi="Tahoma" w:cs="Tahoma"/>
          <w:sz w:val="22"/>
          <w:szCs w:val="22"/>
        </w:rPr>
      </w:pPr>
      <w:r w:rsidRPr="006757CB">
        <w:rPr>
          <w:rFonts w:ascii="Tahoma" w:hAnsi="Tahoma" w:cs="Tahoma"/>
          <w:b/>
          <w:sz w:val="22"/>
          <w:szCs w:val="22"/>
          <w:u w:val="single"/>
        </w:rPr>
        <w:t>TERCERO</w:t>
      </w:r>
      <w:r w:rsidR="007F1D1C" w:rsidRPr="006757CB">
        <w:rPr>
          <w:rFonts w:ascii="Tahoma" w:hAnsi="Tahoma" w:cs="Tahoma"/>
          <w:sz w:val="22"/>
          <w:szCs w:val="22"/>
        </w:rPr>
        <w:t xml:space="preserve">: </w:t>
      </w:r>
      <w:r w:rsidR="0062335F" w:rsidRPr="006757CB">
        <w:rPr>
          <w:rFonts w:ascii="Tahoma" w:hAnsi="Tahoma" w:cs="Tahoma"/>
          <w:sz w:val="22"/>
          <w:szCs w:val="22"/>
        </w:rPr>
        <w:t xml:space="preserve">Condenar </w:t>
      </w:r>
      <w:r w:rsidR="007F1D1C" w:rsidRPr="006757CB">
        <w:rPr>
          <w:rFonts w:ascii="Tahoma" w:hAnsi="Tahoma" w:cs="Tahoma"/>
          <w:sz w:val="22"/>
          <w:szCs w:val="22"/>
        </w:rPr>
        <w:t>en costas procesales cargo de la parte demandante en un 60%</w:t>
      </w:r>
      <w:r w:rsidR="002146A5" w:rsidRPr="006757CB">
        <w:rPr>
          <w:rFonts w:ascii="Tahoma" w:hAnsi="Tahoma" w:cs="Tahoma"/>
          <w:sz w:val="22"/>
          <w:szCs w:val="22"/>
        </w:rPr>
        <w:t>. Liquídense por</w:t>
      </w:r>
      <w:r w:rsidR="007F1D1C" w:rsidRPr="006757CB">
        <w:rPr>
          <w:rFonts w:ascii="Tahoma" w:hAnsi="Tahoma" w:cs="Tahoma"/>
          <w:sz w:val="22"/>
          <w:szCs w:val="22"/>
        </w:rPr>
        <w:t xml:space="preserve"> la </w:t>
      </w:r>
      <w:r w:rsidR="002146A5" w:rsidRPr="006757CB">
        <w:rPr>
          <w:rFonts w:ascii="Tahoma" w:hAnsi="Tahoma" w:cs="Tahoma"/>
          <w:sz w:val="22"/>
          <w:szCs w:val="22"/>
        </w:rPr>
        <w:t xml:space="preserve">Secretaría </w:t>
      </w:r>
      <w:r w:rsidR="007F1D1C" w:rsidRPr="006757CB">
        <w:rPr>
          <w:rFonts w:ascii="Tahoma" w:hAnsi="Tahoma" w:cs="Tahoma"/>
          <w:sz w:val="22"/>
          <w:szCs w:val="22"/>
        </w:rPr>
        <w:t>del Juzgado de origen.</w:t>
      </w:r>
    </w:p>
    <w:p w14:paraId="253DF273" w14:textId="77777777" w:rsidR="002146A5" w:rsidRPr="006757CB" w:rsidRDefault="002146A5" w:rsidP="002146A5">
      <w:pPr>
        <w:widowControl w:val="0"/>
        <w:autoSpaceDE w:val="0"/>
        <w:autoSpaceDN w:val="0"/>
        <w:adjustRightInd w:val="0"/>
        <w:spacing w:line="276" w:lineRule="auto"/>
        <w:ind w:firstLine="708"/>
        <w:jc w:val="both"/>
        <w:rPr>
          <w:rFonts w:ascii="Tahoma" w:hAnsi="Tahoma" w:cs="Tahoma"/>
          <w:b/>
          <w:bCs/>
          <w:sz w:val="22"/>
          <w:szCs w:val="22"/>
        </w:rPr>
      </w:pPr>
    </w:p>
    <w:p w14:paraId="310D8FA6" w14:textId="77777777" w:rsidR="0070532C" w:rsidRPr="006757CB" w:rsidRDefault="00FB2BDC" w:rsidP="002146A5">
      <w:pPr>
        <w:widowControl w:val="0"/>
        <w:autoSpaceDE w:val="0"/>
        <w:autoSpaceDN w:val="0"/>
        <w:adjustRightInd w:val="0"/>
        <w:spacing w:line="276" w:lineRule="auto"/>
        <w:ind w:firstLine="708"/>
        <w:jc w:val="both"/>
        <w:rPr>
          <w:rFonts w:ascii="Tahoma" w:hAnsi="Tahoma" w:cs="Tahoma"/>
          <w:b/>
          <w:bCs/>
          <w:sz w:val="22"/>
          <w:szCs w:val="22"/>
        </w:rPr>
      </w:pPr>
      <w:r w:rsidRPr="006757CB">
        <w:rPr>
          <w:rFonts w:ascii="Tahoma" w:hAnsi="Tahoma" w:cs="Tahoma"/>
          <w:b/>
          <w:bCs/>
          <w:sz w:val="22"/>
          <w:szCs w:val="22"/>
        </w:rPr>
        <w:t>Notificación surtida en estrados</w:t>
      </w:r>
      <w:r w:rsidR="009A4059" w:rsidRPr="006757CB">
        <w:rPr>
          <w:rFonts w:ascii="Tahoma" w:hAnsi="Tahoma" w:cs="Tahoma"/>
          <w:b/>
          <w:bCs/>
          <w:sz w:val="22"/>
          <w:szCs w:val="22"/>
        </w:rPr>
        <w:t>.</w:t>
      </w:r>
      <w:r w:rsidR="0070532C" w:rsidRPr="006757CB">
        <w:rPr>
          <w:rFonts w:ascii="Tahoma" w:hAnsi="Tahoma" w:cs="Tahoma"/>
          <w:b/>
          <w:bCs/>
          <w:sz w:val="22"/>
          <w:szCs w:val="22"/>
        </w:rPr>
        <w:t xml:space="preserve"> </w:t>
      </w:r>
    </w:p>
    <w:p w14:paraId="4CDFF3A6" w14:textId="704C971D" w:rsidR="009A4059" w:rsidRPr="006757CB" w:rsidRDefault="00FB2BDC" w:rsidP="002146A5">
      <w:pPr>
        <w:widowControl w:val="0"/>
        <w:autoSpaceDE w:val="0"/>
        <w:autoSpaceDN w:val="0"/>
        <w:adjustRightInd w:val="0"/>
        <w:spacing w:line="276" w:lineRule="auto"/>
        <w:ind w:firstLine="708"/>
        <w:jc w:val="both"/>
        <w:rPr>
          <w:rFonts w:ascii="Tahoma" w:hAnsi="Tahoma" w:cs="Tahoma"/>
          <w:sz w:val="22"/>
          <w:szCs w:val="22"/>
        </w:rPr>
      </w:pPr>
      <w:r w:rsidRPr="006757CB">
        <w:rPr>
          <w:rFonts w:ascii="Tahoma" w:hAnsi="Tahoma" w:cs="Tahoma"/>
          <w:b/>
          <w:sz w:val="22"/>
          <w:szCs w:val="22"/>
        </w:rPr>
        <w:t>Cúmplase</w:t>
      </w:r>
      <w:r w:rsidRPr="006757CB">
        <w:rPr>
          <w:rFonts w:ascii="Tahoma" w:hAnsi="Tahoma" w:cs="Tahoma"/>
          <w:sz w:val="22"/>
          <w:szCs w:val="22"/>
        </w:rPr>
        <w:t xml:space="preserve"> </w:t>
      </w:r>
      <w:r w:rsidR="009A4059" w:rsidRPr="006757CB">
        <w:rPr>
          <w:rFonts w:ascii="Tahoma" w:hAnsi="Tahoma" w:cs="Tahoma"/>
          <w:sz w:val="22"/>
          <w:szCs w:val="22"/>
        </w:rPr>
        <w:t xml:space="preserve">y </w:t>
      </w:r>
      <w:r w:rsidRPr="006757CB">
        <w:rPr>
          <w:rFonts w:ascii="Tahoma" w:hAnsi="Tahoma" w:cs="Tahoma"/>
          <w:b/>
          <w:sz w:val="22"/>
          <w:szCs w:val="22"/>
        </w:rPr>
        <w:t>devuélvase</w:t>
      </w:r>
      <w:r w:rsidRPr="006757CB">
        <w:rPr>
          <w:rFonts w:ascii="Tahoma" w:hAnsi="Tahoma" w:cs="Tahoma"/>
          <w:sz w:val="22"/>
          <w:szCs w:val="22"/>
        </w:rPr>
        <w:t xml:space="preserve"> </w:t>
      </w:r>
      <w:r w:rsidR="009A4059" w:rsidRPr="006757CB">
        <w:rPr>
          <w:rFonts w:ascii="Tahoma" w:hAnsi="Tahoma" w:cs="Tahoma"/>
          <w:sz w:val="22"/>
          <w:szCs w:val="22"/>
        </w:rPr>
        <w:t>el expediente al Juzgado de origen.</w:t>
      </w:r>
    </w:p>
    <w:p w14:paraId="0BE95D56" w14:textId="77777777" w:rsidR="006757CB" w:rsidRPr="006757CB" w:rsidRDefault="006757CB" w:rsidP="002146A5">
      <w:pPr>
        <w:widowControl w:val="0"/>
        <w:autoSpaceDE w:val="0"/>
        <w:autoSpaceDN w:val="0"/>
        <w:adjustRightInd w:val="0"/>
        <w:spacing w:line="276" w:lineRule="auto"/>
        <w:ind w:firstLine="708"/>
        <w:jc w:val="both"/>
        <w:rPr>
          <w:rFonts w:ascii="Tahoma" w:hAnsi="Tahoma" w:cs="Tahoma"/>
          <w:sz w:val="22"/>
          <w:szCs w:val="22"/>
        </w:rPr>
      </w:pPr>
    </w:p>
    <w:p w14:paraId="12AE7201" w14:textId="77777777" w:rsidR="006757CB" w:rsidRPr="006757CB" w:rsidRDefault="006757CB" w:rsidP="002146A5">
      <w:pPr>
        <w:widowControl w:val="0"/>
        <w:autoSpaceDE w:val="0"/>
        <w:autoSpaceDN w:val="0"/>
        <w:adjustRightInd w:val="0"/>
        <w:spacing w:line="276" w:lineRule="auto"/>
        <w:ind w:firstLine="708"/>
        <w:jc w:val="both"/>
        <w:rPr>
          <w:rFonts w:ascii="Tahoma" w:hAnsi="Tahoma" w:cs="Tahoma"/>
          <w:sz w:val="22"/>
          <w:szCs w:val="22"/>
        </w:rPr>
      </w:pPr>
    </w:p>
    <w:p w14:paraId="495847F6" w14:textId="77777777" w:rsidR="006757CB" w:rsidRPr="006757CB" w:rsidRDefault="006757CB" w:rsidP="002146A5">
      <w:pPr>
        <w:widowControl w:val="0"/>
        <w:autoSpaceDE w:val="0"/>
        <w:autoSpaceDN w:val="0"/>
        <w:adjustRightInd w:val="0"/>
        <w:spacing w:line="276" w:lineRule="auto"/>
        <w:ind w:firstLine="708"/>
        <w:jc w:val="both"/>
        <w:rPr>
          <w:rFonts w:ascii="Tahoma" w:hAnsi="Tahoma" w:cs="Tahoma"/>
          <w:sz w:val="22"/>
          <w:szCs w:val="22"/>
        </w:rPr>
      </w:pPr>
    </w:p>
    <w:p w14:paraId="13304E99" w14:textId="77777777" w:rsidR="009A4059" w:rsidRPr="006757CB" w:rsidRDefault="009A4059" w:rsidP="001B17E9">
      <w:pPr>
        <w:spacing w:line="276" w:lineRule="auto"/>
        <w:ind w:left="708" w:firstLine="708"/>
        <w:jc w:val="both"/>
        <w:rPr>
          <w:rFonts w:ascii="Tahoma" w:hAnsi="Tahoma" w:cs="Tahoma"/>
          <w:sz w:val="22"/>
          <w:szCs w:val="22"/>
        </w:rPr>
      </w:pPr>
      <w:r w:rsidRPr="006757CB">
        <w:rPr>
          <w:rFonts w:ascii="Tahoma" w:hAnsi="Tahoma" w:cs="Tahoma"/>
          <w:sz w:val="22"/>
          <w:szCs w:val="22"/>
        </w:rPr>
        <w:lastRenderedPageBreak/>
        <w:t>L</w:t>
      </w:r>
      <w:r w:rsidR="004A0AAF" w:rsidRPr="006757CB">
        <w:rPr>
          <w:rFonts w:ascii="Tahoma" w:hAnsi="Tahoma" w:cs="Tahoma"/>
          <w:sz w:val="22"/>
          <w:szCs w:val="22"/>
        </w:rPr>
        <w:t>a Magistrada</w:t>
      </w:r>
      <w:r w:rsidRPr="006757CB">
        <w:rPr>
          <w:rFonts w:ascii="Tahoma" w:hAnsi="Tahoma" w:cs="Tahoma"/>
          <w:sz w:val="22"/>
          <w:szCs w:val="22"/>
        </w:rPr>
        <w:t>,</w:t>
      </w:r>
    </w:p>
    <w:p w14:paraId="3F440080" w14:textId="77777777" w:rsidR="00E90515" w:rsidRPr="006757CB" w:rsidRDefault="00E90515" w:rsidP="001B17E9">
      <w:pPr>
        <w:pStyle w:val="Sinespaciado"/>
        <w:ind w:left="708"/>
        <w:rPr>
          <w:sz w:val="22"/>
          <w:szCs w:val="22"/>
        </w:rPr>
      </w:pPr>
    </w:p>
    <w:p w14:paraId="2ED3FBD4" w14:textId="77777777" w:rsidR="0015291F" w:rsidRPr="006757CB" w:rsidRDefault="0015291F" w:rsidP="001B17E9">
      <w:pPr>
        <w:pStyle w:val="Sinespaciado"/>
        <w:ind w:left="708"/>
        <w:rPr>
          <w:sz w:val="22"/>
          <w:szCs w:val="22"/>
        </w:rPr>
      </w:pPr>
    </w:p>
    <w:p w14:paraId="1570B8E1" w14:textId="77777777" w:rsidR="00E90515" w:rsidRPr="006757CB" w:rsidRDefault="00E90515" w:rsidP="001B17E9">
      <w:pPr>
        <w:pStyle w:val="Sinespaciado"/>
        <w:ind w:left="708"/>
        <w:rPr>
          <w:sz w:val="22"/>
          <w:szCs w:val="22"/>
        </w:rPr>
      </w:pPr>
    </w:p>
    <w:p w14:paraId="20714072" w14:textId="77777777" w:rsidR="009A4059" w:rsidRPr="006757CB" w:rsidRDefault="009A4059" w:rsidP="001B17E9">
      <w:pPr>
        <w:pStyle w:val="Ttulo3"/>
        <w:spacing w:before="0" w:after="0" w:line="276" w:lineRule="auto"/>
        <w:ind w:left="708"/>
        <w:jc w:val="center"/>
        <w:rPr>
          <w:rFonts w:ascii="Tahoma" w:hAnsi="Tahoma" w:cs="Tahoma"/>
          <w:bCs w:val="0"/>
          <w:sz w:val="22"/>
          <w:szCs w:val="22"/>
        </w:rPr>
      </w:pPr>
      <w:r w:rsidRPr="006757CB">
        <w:rPr>
          <w:rFonts w:ascii="Tahoma" w:hAnsi="Tahoma" w:cs="Tahoma"/>
          <w:bCs w:val="0"/>
          <w:sz w:val="22"/>
          <w:szCs w:val="22"/>
        </w:rPr>
        <w:t>ANA LUCÍA CAICEDO CALDERÓN</w:t>
      </w:r>
    </w:p>
    <w:p w14:paraId="33C20B70" w14:textId="77777777" w:rsidR="00BF0FC3" w:rsidRPr="006757CB" w:rsidRDefault="00BF0FC3" w:rsidP="001B17E9">
      <w:pPr>
        <w:pStyle w:val="Sinespaciado"/>
        <w:ind w:left="708"/>
        <w:rPr>
          <w:sz w:val="22"/>
          <w:szCs w:val="22"/>
        </w:rPr>
      </w:pPr>
    </w:p>
    <w:p w14:paraId="363DA01B" w14:textId="77777777" w:rsidR="004A0AAF" w:rsidRPr="006757CB" w:rsidRDefault="004A0AAF" w:rsidP="001B17E9">
      <w:pPr>
        <w:spacing w:line="276" w:lineRule="auto"/>
        <w:ind w:left="708" w:firstLine="708"/>
        <w:jc w:val="both"/>
        <w:rPr>
          <w:rFonts w:ascii="Tahoma" w:hAnsi="Tahoma" w:cs="Tahoma"/>
          <w:sz w:val="22"/>
          <w:szCs w:val="22"/>
        </w:rPr>
      </w:pPr>
      <w:r w:rsidRPr="006757CB">
        <w:rPr>
          <w:rFonts w:ascii="Tahoma" w:hAnsi="Tahoma" w:cs="Tahoma"/>
          <w:sz w:val="22"/>
          <w:szCs w:val="22"/>
        </w:rPr>
        <w:t>Los Magistrados,</w:t>
      </w:r>
    </w:p>
    <w:p w14:paraId="7533EC2B" w14:textId="77777777" w:rsidR="00E90515" w:rsidRPr="006757CB" w:rsidRDefault="00E90515" w:rsidP="001B17E9">
      <w:pPr>
        <w:pStyle w:val="Sinespaciado"/>
        <w:ind w:left="708"/>
        <w:rPr>
          <w:sz w:val="22"/>
          <w:szCs w:val="22"/>
        </w:rPr>
      </w:pPr>
    </w:p>
    <w:p w14:paraId="63F82EF2" w14:textId="77777777" w:rsidR="0015291F" w:rsidRPr="006757CB" w:rsidRDefault="0015291F" w:rsidP="001B17E9">
      <w:pPr>
        <w:pStyle w:val="Sinespaciado"/>
        <w:ind w:left="708"/>
        <w:rPr>
          <w:sz w:val="22"/>
          <w:szCs w:val="22"/>
        </w:rPr>
      </w:pPr>
    </w:p>
    <w:p w14:paraId="432DE789" w14:textId="77777777" w:rsidR="0015291F" w:rsidRPr="006757CB" w:rsidRDefault="0015291F" w:rsidP="001B17E9">
      <w:pPr>
        <w:pStyle w:val="Sinespaciado"/>
        <w:ind w:left="708"/>
        <w:rPr>
          <w:sz w:val="22"/>
          <w:szCs w:val="22"/>
        </w:rPr>
      </w:pPr>
    </w:p>
    <w:p w14:paraId="531842A4" w14:textId="77777777" w:rsidR="0015291F" w:rsidRPr="006757CB" w:rsidRDefault="0015291F" w:rsidP="001B17E9">
      <w:pPr>
        <w:pStyle w:val="Sinespaciado"/>
        <w:ind w:left="708"/>
        <w:rPr>
          <w:sz w:val="22"/>
          <w:szCs w:val="22"/>
        </w:rPr>
      </w:pPr>
    </w:p>
    <w:p w14:paraId="64C17F8B" w14:textId="7564A799" w:rsidR="009A4059" w:rsidRPr="006757CB" w:rsidRDefault="009A4059" w:rsidP="00065DF0">
      <w:pPr>
        <w:spacing w:line="276" w:lineRule="auto"/>
        <w:ind w:left="708"/>
        <w:jc w:val="both"/>
        <w:rPr>
          <w:rFonts w:ascii="Tahoma" w:hAnsi="Tahoma" w:cs="Tahoma"/>
          <w:b/>
          <w:sz w:val="22"/>
          <w:szCs w:val="22"/>
        </w:rPr>
      </w:pPr>
      <w:r w:rsidRPr="006757CB">
        <w:rPr>
          <w:rFonts w:ascii="Tahoma" w:hAnsi="Tahoma" w:cs="Tahoma"/>
          <w:b/>
          <w:sz w:val="22"/>
          <w:szCs w:val="22"/>
        </w:rPr>
        <w:t>JULIO CÉSAR SALAZAR MUÑOZ</w:t>
      </w:r>
      <w:r w:rsidRPr="006757CB">
        <w:rPr>
          <w:rFonts w:ascii="Tahoma" w:hAnsi="Tahoma" w:cs="Tahoma"/>
          <w:b/>
          <w:sz w:val="22"/>
          <w:szCs w:val="22"/>
        </w:rPr>
        <w:tab/>
      </w:r>
      <w:r w:rsidR="00065DF0" w:rsidRPr="006757CB">
        <w:rPr>
          <w:rFonts w:ascii="Tahoma" w:hAnsi="Tahoma" w:cs="Tahoma"/>
          <w:b/>
          <w:sz w:val="22"/>
          <w:szCs w:val="22"/>
        </w:rPr>
        <w:t xml:space="preserve"> </w:t>
      </w:r>
      <w:r w:rsidRPr="006757CB">
        <w:rPr>
          <w:rFonts w:ascii="Tahoma" w:hAnsi="Tahoma" w:cs="Tahoma"/>
          <w:b/>
          <w:sz w:val="22"/>
          <w:szCs w:val="22"/>
        </w:rPr>
        <w:t>FRANCISCO JAVIER TAMAYO TABARES</w:t>
      </w:r>
    </w:p>
    <w:p w14:paraId="6E46DBE6" w14:textId="77777777" w:rsidR="00437AF7" w:rsidRPr="006757CB" w:rsidRDefault="00437AF7" w:rsidP="001B17E9">
      <w:pPr>
        <w:pStyle w:val="Sinespaciado"/>
        <w:ind w:left="708"/>
        <w:rPr>
          <w:sz w:val="22"/>
          <w:szCs w:val="22"/>
        </w:rPr>
      </w:pPr>
    </w:p>
    <w:p w14:paraId="2F6EEFAE" w14:textId="77777777" w:rsidR="00BF0FC3" w:rsidRPr="006757CB" w:rsidRDefault="00BF0FC3" w:rsidP="001B17E9">
      <w:pPr>
        <w:pStyle w:val="Sinespaciado"/>
        <w:ind w:left="708"/>
        <w:rPr>
          <w:b/>
          <w:sz w:val="22"/>
          <w:szCs w:val="22"/>
        </w:rPr>
      </w:pPr>
    </w:p>
    <w:p w14:paraId="4DEDBA0E" w14:textId="77777777" w:rsidR="00E90515" w:rsidRPr="006757CB" w:rsidRDefault="00E90515" w:rsidP="001B17E9">
      <w:pPr>
        <w:pStyle w:val="Sinespaciado"/>
        <w:ind w:left="708"/>
        <w:rPr>
          <w:b/>
          <w:sz w:val="22"/>
          <w:szCs w:val="22"/>
        </w:rPr>
      </w:pPr>
    </w:p>
    <w:p w14:paraId="3BB0536B" w14:textId="77777777" w:rsidR="001E2C09" w:rsidRPr="006757CB" w:rsidRDefault="001E2C09" w:rsidP="001B17E9">
      <w:pPr>
        <w:pStyle w:val="Sinespaciado"/>
        <w:ind w:left="708"/>
        <w:rPr>
          <w:b/>
          <w:sz w:val="22"/>
          <w:szCs w:val="22"/>
        </w:rPr>
      </w:pPr>
    </w:p>
    <w:p w14:paraId="767D0570" w14:textId="77777777" w:rsidR="001E2C09" w:rsidRPr="006757CB" w:rsidRDefault="001E2C09" w:rsidP="001B17E9">
      <w:pPr>
        <w:pStyle w:val="Sinespaciado"/>
        <w:ind w:left="708"/>
        <w:rPr>
          <w:b/>
          <w:sz w:val="22"/>
          <w:szCs w:val="22"/>
        </w:rPr>
      </w:pPr>
    </w:p>
    <w:p w14:paraId="34078EBE" w14:textId="77777777" w:rsidR="00042881" w:rsidRPr="006757CB" w:rsidRDefault="00042881" w:rsidP="001B17E9">
      <w:pPr>
        <w:pStyle w:val="Sinespaciado"/>
        <w:ind w:left="708"/>
        <w:rPr>
          <w:b/>
          <w:sz w:val="22"/>
          <w:szCs w:val="22"/>
        </w:rPr>
      </w:pPr>
    </w:p>
    <w:p w14:paraId="20FBD8D4" w14:textId="370F2D4A" w:rsidR="008F6797" w:rsidRPr="006757CB" w:rsidRDefault="00823530" w:rsidP="001B17E9">
      <w:pPr>
        <w:spacing w:line="276" w:lineRule="auto"/>
        <w:ind w:left="708"/>
        <w:jc w:val="center"/>
        <w:rPr>
          <w:rFonts w:ascii="Tahoma" w:hAnsi="Tahoma" w:cs="Tahoma"/>
          <w:b/>
          <w:sz w:val="22"/>
          <w:szCs w:val="22"/>
        </w:rPr>
      </w:pPr>
      <w:r w:rsidRPr="006757CB">
        <w:rPr>
          <w:rFonts w:ascii="Tahoma" w:hAnsi="Tahoma" w:cs="Tahoma"/>
          <w:b/>
          <w:sz w:val="22"/>
          <w:szCs w:val="22"/>
        </w:rPr>
        <w:t>J</w:t>
      </w:r>
      <w:r w:rsidR="00065DF0" w:rsidRPr="006757CB">
        <w:rPr>
          <w:rFonts w:ascii="Tahoma" w:hAnsi="Tahoma" w:cs="Tahoma"/>
          <w:b/>
          <w:sz w:val="22"/>
          <w:szCs w:val="22"/>
        </w:rPr>
        <w:t>AIR JOHAN JACOME OROZCO</w:t>
      </w:r>
    </w:p>
    <w:p w14:paraId="78BA13A1" w14:textId="0319AA52" w:rsidR="00821189" w:rsidRPr="006757CB" w:rsidRDefault="00821189" w:rsidP="001B17E9">
      <w:pPr>
        <w:spacing w:line="276" w:lineRule="auto"/>
        <w:ind w:left="708"/>
        <w:jc w:val="center"/>
        <w:rPr>
          <w:rFonts w:ascii="Tahoma" w:hAnsi="Tahoma" w:cs="Tahoma"/>
          <w:sz w:val="22"/>
          <w:szCs w:val="22"/>
        </w:rPr>
      </w:pPr>
      <w:r w:rsidRPr="006757CB">
        <w:rPr>
          <w:rFonts w:ascii="Tahoma" w:hAnsi="Tahoma" w:cs="Tahoma"/>
          <w:sz w:val="22"/>
          <w:szCs w:val="22"/>
        </w:rPr>
        <w:t>Secretari</w:t>
      </w:r>
      <w:r w:rsidR="00065DF0" w:rsidRPr="006757CB">
        <w:rPr>
          <w:rFonts w:ascii="Tahoma" w:hAnsi="Tahoma" w:cs="Tahoma"/>
          <w:sz w:val="22"/>
          <w:szCs w:val="22"/>
        </w:rPr>
        <w:t>o</w:t>
      </w:r>
      <w:r w:rsidRPr="006757CB">
        <w:rPr>
          <w:rFonts w:ascii="Tahoma" w:hAnsi="Tahoma" w:cs="Tahoma"/>
          <w:sz w:val="22"/>
          <w:szCs w:val="22"/>
        </w:rPr>
        <w:t xml:space="preserve"> Ad-Hoc</w:t>
      </w:r>
    </w:p>
    <w:p w14:paraId="3392AC15" w14:textId="77777777" w:rsidR="00065DF0" w:rsidRPr="006757CB" w:rsidRDefault="00065DF0" w:rsidP="001B17E9">
      <w:pPr>
        <w:spacing w:line="276" w:lineRule="auto"/>
        <w:ind w:left="708"/>
        <w:jc w:val="center"/>
        <w:rPr>
          <w:rFonts w:ascii="Tahoma" w:hAnsi="Tahoma" w:cs="Tahoma"/>
        </w:rPr>
      </w:pPr>
    </w:p>
    <w:p w14:paraId="1CE075DA" w14:textId="77777777" w:rsidR="00065DF0" w:rsidRPr="006757CB" w:rsidRDefault="00065DF0" w:rsidP="001B17E9">
      <w:pPr>
        <w:spacing w:line="276" w:lineRule="auto"/>
        <w:ind w:left="708"/>
        <w:jc w:val="center"/>
        <w:rPr>
          <w:rFonts w:ascii="Tahoma" w:hAnsi="Tahoma" w:cs="Tahoma"/>
        </w:rPr>
      </w:pPr>
    </w:p>
    <w:p w14:paraId="04DA169F" w14:textId="77777777" w:rsidR="001E2C09" w:rsidRPr="006757CB" w:rsidRDefault="001E2C09" w:rsidP="001B17E9">
      <w:pPr>
        <w:spacing w:line="276" w:lineRule="auto"/>
        <w:ind w:left="708"/>
        <w:jc w:val="center"/>
        <w:rPr>
          <w:rFonts w:ascii="Tahoma" w:hAnsi="Tahoma" w:cs="Tahoma"/>
        </w:rPr>
      </w:pPr>
    </w:p>
    <w:p w14:paraId="3DA28A8F" w14:textId="77777777" w:rsidR="001E2C09" w:rsidRPr="006757CB" w:rsidRDefault="001E2C09" w:rsidP="001B17E9">
      <w:pPr>
        <w:spacing w:line="276" w:lineRule="auto"/>
        <w:ind w:left="708"/>
        <w:jc w:val="center"/>
        <w:rPr>
          <w:rFonts w:ascii="Tahoma" w:hAnsi="Tahoma" w:cs="Tahoma"/>
        </w:rPr>
      </w:pPr>
    </w:p>
    <w:p w14:paraId="1FAA5DA7" w14:textId="77777777" w:rsidR="001E2C09" w:rsidRPr="006757CB" w:rsidRDefault="001E2C09" w:rsidP="001B17E9">
      <w:pPr>
        <w:spacing w:line="276" w:lineRule="auto"/>
        <w:ind w:left="708"/>
        <w:jc w:val="center"/>
        <w:rPr>
          <w:rFonts w:ascii="Tahoma" w:hAnsi="Tahoma" w:cs="Tahoma"/>
        </w:rPr>
      </w:pPr>
    </w:p>
    <w:p w14:paraId="65D79101" w14:textId="77777777" w:rsidR="001E2C09" w:rsidRPr="006757CB" w:rsidRDefault="001E2C09" w:rsidP="001B17E9">
      <w:pPr>
        <w:spacing w:line="276" w:lineRule="auto"/>
        <w:ind w:left="708"/>
        <w:jc w:val="center"/>
        <w:rPr>
          <w:rFonts w:ascii="Tahoma" w:hAnsi="Tahoma" w:cs="Tahoma"/>
        </w:rPr>
      </w:pPr>
    </w:p>
    <w:p w14:paraId="19E2BC31" w14:textId="77777777" w:rsidR="001E2C09" w:rsidRPr="006757CB" w:rsidRDefault="001E2C09" w:rsidP="001B17E9">
      <w:pPr>
        <w:spacing w:line="276" w:lineRule="auto"/>
        <w:ind w:left="708"/>
        <w:jc w:val="center"/>
        <w:rPr>
          <w:rFonts w:ascii="Tahoma" w:hAnsi="Tahoma" w:cs="Tahoma"/>
        </w:rPr>
      </w:pPr>
    </w:p>
    <w:p w14:paraId="2A5A5BB3" w14:textId="77777777" w:rsidR="001E2C09" w:rsidRPr="006757CB" w:rsidRDefault="001E2C09" w:rsidP="001B17E9">
      <w:pPr>
        <w:spacing w:line="276" w:lineRule="auto"/>
        <w:ind w:left="708"/>
        <w:jc w:val="center"/>
        <w:rPr>
          <w:rFonts w:ascii="Tahoma" w:hAnsi="Tahoma" w:cs="Tahoma"/>
        </w:rPr>
      </w:pPr>
    </w:p>
    <w:p w14:paraId="677CA8D5" w14:textId="77777777" w:rsidR="001E2C09" w:rsidRPr="006757CB" w:rsidRDefault="001E2C09" w:rsidP="001B17E9">
      <w:pPr>
        <w:spacing w:line="276" w:lineRule="auto"/>
        <w:ind w:left="708"/>
        <w:jc w:val="center"/>
        <w:rPr>
          <w:rFonts w:ascii="Tahoma" w:hAnsi="Tahoma" w:cs="Tahoma"/>
        </w:rPr>
      </w:pPr>
    </w:p>
    <w:p w14:paraId="3465E62C" w14:textId="77777777" w:rsidR="001E2C09" w:rsidRPr="006757CB" w:rsidRDefault="001E2C09" w:rsidP="001B17E9">
      <w:pPr>
        <w:spacing w:line="276" w:lineRule="auto"/>
        <w:ind w:left="708"/>
        <w:jc w:val="center"/>
        <w:rPr>
          <w:rFonts w:ascii="Tahoma" w:hAnsi="Tahoma" w:cs="Tahoma"/>
        </w:rPr>
      </w:pPr>
    </w:p>
    <w:p w14:paraId="443BE3F3" w14:textId="77777777" w:rsidR="001E2C09" w:rsidRPr="006757CB" w:rsidRDefault="001E2C09" w:rsidP="001B17E9">
      <w:pPr>
        <w:spacing w:line="276" w:lineRule="auto"/>
        <w:ind w:left="708"/>
        <w:jc w:val="center"/>
        <w:rPr>
          <w:rFonts w:ascii="Tahoma" w:hAnsi="Tahoma" w:cs="Tahoma"/>
        </w:rPr>
      </w:pPr>
    </w:p>
    <w:p w14:paraId="48A4C36F" w14:textId="77777777" w:rsidR="001E2C09" w:rsidRPr="006757CB" w:rsidRDefault="001E2C09" w:rsidP="001B17E9">
      <w:pPr>
        <w:spacing w:line="276" w:lineRule="auto"/>
        <w:ind w:left="708"/>
        <w:jc w:val="center"/>
        <w:rPr>
          <w:rFonts w:ascii="Tahoma" w:hAnsi="Tahoma" w:cs="Tahoma"/>
        </w:rPr>
      </w:pPr>
    </w:p>
    <w:p w14:paraId="73EA5136" w14:textId="77777777" w:rsidR="001E2C09" w:rsidRPr="006757CB" w:rsidRDefault="001E2C09" w:rsidP="001B17E9">
      <w:pPr>
        <w:spacing w:line="276" w:lineRule="auto"/>
        <w:ind w:left="708"/>
        <w:jc w:val="center"/>
        <w:rPr>
          <w:rFonts w:ascii="Tahoma" w:hAnsi="Tahoma" w:cs="Tahoma"/>
        </w:rPr>
      </w:pPr>
    </w:p>
    <w:p w14:paraId="7F3A874A" w14:textId="77777777" w:rsidR="001E2C09" w:rsidRPr="006757CB" w:rsidRDefault="001E2C09" w:rsidP="001B17E9">
      <w:pPr>
        <w:spacing w:line="276" w:lineRule="auto"/>
        <w:ind w:left="708"/>
        <w:jc w:val="center"/>
        <w:rPr>
          <w:rFonts w:ascii="Tahoma" w:hAnsi="Tahoma" w:cs="Tahoma"/>
        </w:rPr>
      </w:pPr>
    </w:p>
    <w:p w14:paraId="036519B2" w14:textId="77777777" w:rsidR="001E2C09" w:rsidRPr="006757CB" w:rsidRDefault="001E2C09" w:rsidP="001B17E9">
      <w:pPr>
        <w:spacing w:line="276" w:lineRule="auto"/>
        <w:ind w:left="708"/>
        <w:jc w:val="center"/>
        <w:rPr>
          <w:rFonts w:ascii="Tahoma" w:hAnsi="Tahoma" w:cs="Tahoma"/>
        </w:rPr>
      </w:pPr>
    </w:p>
    <w:p w14:paraId="58978639" w14:textId="77777777" w:rsidR="001E2C09" w:rsidRPr="006757CB" w:rsidRDefault="001E2C09" w:rsidP="001B17E9">
      <w:pPr>
        <w:spacing w:line="276" w:lineRule="auto"/>
        <w:ind w:left="708"/>
        <w:jc w:val="center"/>
        <w:rPr>
          <w:rFonts w:ascii="Tahoma" w:hAnsi="Tahoma" w:cs="Tahoma"/>
        </w:rPr>
      </w:pPr>
    </w:p>
    <w:p w14:paraId="48051A43" w14:textId="77777777" w:rsidR="001E2C09" w:rsidRPr="006757CB" w:rsidRDefault="001E2C09" w:rsidP="001B17E9">
      <w:pPr>
        <w:spacing w:line="276" w:lineRule="auto"/>
        <w:ind w:left="708"/>
        <w:jc w:val="center"/>
        <w:rPr>
          <w:rFonts w:ascii="Tahoma" w:hAnsi="Tahoma" w:cs="Tahoma"/>
        </w:rPr>
      </w:pPr>
    </w:p>
    <w:p w14:paraId="06CD6937" w14:textId="77777777" w:rsidR="001E2C09" w:rsidRPr="006757CB" w:rsidRDefault="001E2C09" w:rsidP="001B17E9">
      <w:pPr>
        <w:spacing w:line="276" w:lineRule="auto"/>
        <w:ind w:left="708"/>
        <w:jc w:val="center"/>
        <w:rPr>
          <w:rFonts w:ascii="Tahoma" w:hAnsi="Tahoma" w:cs="Tahoma"/>
        </w:rPr>
      </w:pPr>
    </w:p>
    <w:p w14:paraId="114A138A" w14:textId="77777777" w:rsidR="001E2C09" w:rsidRPr="006757CB" w:rsidRDefault="001E2C09" w:rsidP="001B17E9">
      <w:pPr>
        <w:spacing w:line="276" w:lineRule="auto"/>
        <w:ind w:left="708"/>
        <w:jc w:val="center"/>
        <w:rPr>
          <w:rFonts w:ascii="Tahoma" w:hAnsi="Tahoma" w:cs="Tahoma"/>
        </w:rPr>
      </w:pPr>
    </w:p>
    <w:p w14:paraId="61DC3D38" w14:textId="77777777" w:rsidR="001E2C09" w:rsidRPr="006757CB" w:rsidRDefault="001E2C09" w:rsidP="001B17E9">
      <w:pPr>
        <w:spacing w:line="276" w:lineRule="auto"/>
        <w:ind w:left="708"/>
        <w:jc w:val="center"/>
        <w:rPr>
          <w:rFonts w:ascii="Tahoma" w:hAnsi="Tahoma" w:cs="Tahoma"/>
        </w:rPr>
      </w:pPr>
    </w:p>
    <w:p w14:paraId="59256E00" w14:textId="77777777" w:rsidR="001E2C09" w:rsidRPr="006757CB" w:rsidRDefault="001E2C09" w:rsidP="001B17E9">
      <w:pPr>
        <w:spacing w:line="276" w:lineRule="auto"/>
        <w:ind w:left="708"/>
        <w:jc w:val="center"/>
        <w:rPr>
          <w:rFonts w:ascii="Tahoma" w:hAnsi="Tahoma" w:cs="Tahoma"/>
        </w:rPr>
      </w:pPr>
    </w:p>
    <w:p w14:paraId="0BF9DBFB" w14:textId="77777777" w:rsidR="001E2C09" w:rsidRPr="006757CB" w:rsidRDefault="001E2C09" w:rsidP="001B17E9">
      <w:pPr>
        <w:spacing w:line="276" w:lineRule="auto"/>
        <w:ind w:left="708"/>
        <w:jc w:val="center"/>
        <w:rPr>
          <w:rFonts w:ascii="Tahoma" w:hAnsi="Tahoma" w:cs="Tahoma"/>
        </w:rPr>
      </w:pPr>
    </w:p>
    <w:p w14:paraId="0B78E7D4" w14:textId="77777777" w:rsidR="001E2C09" w:rsidRPr="006757CB" w:rsidRDefault="001E2C09" w:rsidP="001B17E9">
      <w:pPr>
        <w:spacing w:line="276" w:lineRule="auto"/>
        <w:ind w:left="708"/>
        <w:jc w:val="center"/>
        <w:rPr>
          <w:rFonts w:ascii="Tahoma" w:hAnsi="Tahoma" w:cs="Tahoma"/>
        </w:rPr>
      </w:pPr>
    </w:p>
    <w:p w14:paraId="386279F8" w14:textId="77777777" w:rsidR="001E2C09" w:rsidRPr="006757CB" w:rsidRDefault="001E2C09" w:rsidP="001B17E9">
      <w:pPr>
        <w:spacing w:line="276" w:lineRule="auto"/>
        <w:ind w:left="708"/>
        <w:jc w:val="center"/>
        <w:rPr>
          <w:rFonts w:ascii="Tahoma" w:hAnsi="Tahoma" w:cs="Tahoma"/>
        </w:rPr>
      </w:pPr>
    </w:p>
    <w:p w14:paraId="34EE03A6" w14:textId="77777777" w:rsidR="001E2C09" w:rsidRPr="006757CB" w:rsidRDefault="001E2C09" w:rsidP="001B17E9">
      <w:pPr>
        <w:spacing w:line="276" w:lineRule="auto"/>
        <w:ind w:left="708"/>
        <w:jc w:val="center"/>
        <w:rPr>
          <w:rFonts w:ascii="Tahoma" w:hAnsi="Tahoma" w:cs="Tahoma"/>
        </w:rPr>
      </w:pPr>
    </w:p>
    <w:p w14:paraId="2A0EC801" w14:textId="77777777" w:rsidR="001E2C09" w:rsidRPr="006757CB" w:rsidRDefault="001E2C09" w:rsidP="001B17E9">
      <w:pPr>
        <w:spacing w:line="276" w:lineRule="auto"/>
        <w:ind w:left="708"/>
        <w:jc w:val="center"/>
        <w:rPr>
          <w:rFonts w:ascii="Tahoma" w:hAnsi="Tahoma" w:cs="Tahoma"/>
        </w:rPr>
      </w:pPr>
    </w:p>
    <w:p w14:paraId="141B99E5" w14:textId="77777777" w:rsidR="001E2C09" w:rsidRPr="006757CB" w:rsidRDefault="001E2C09" w:rsidP="001B17E9">
      <w:pPr>
        <w:spacing w:line="276" w:lineRule="auto"/>
        <w:ind w:left="708"/>
        <w:jc w:val="center"/>
        <w:rPr>
          <w:rFonts w:ascii="Tahoma" w:hAnsi="Tahoma" w:cs="Tahoma"/>
        </w:rPr>
      </w:pPr>
    </w:p>
    <w:p w14:paraId="01EB9D45" w14:textId="77777777" w:rsidR="001E2C09" w:rsidRPr="006757CB" w:rsidRDefault="001E2C09" w:rsidP="001B17E9">
      <w:pPr>
        <w:spacing w:line="276" w:lineRule="auto"/>
        <w:ind w:left="708"/>
        <w:jc w:val="center"/>
        <w:rPr>
          <w:rFonts w:ascii="Tahoma" w:hAnsi="Tahoma" w:cs="Tahoma"/>
        </w:rPr>
      </w:pPr>
    </w:p>
    <w:p w14:paraId="46FD0096" w14:textId="77777777" w:rsidR="001E2C09" w:rsidRPr="006757CB" w:rsidRDefault="001E2C09" w:rsidP="001B17E9">
      <w:pPr>
        <w:spacing w:line="276" w:lineRule="auto"/>
        <w:ind w:left="708"/>
        <w:jc w:val="center"/>
        <w:rPr>
          <w:rFonts w:ascii="Tahoma" w:hAnsi="Tahoma" w:cs="Tahoma"/>
        </w:rPr>
      </w:pPr>
    </w:p>
    <w:p w14:paraId="730C4DE3" w14:textId="77777777" w:rsidR="001E2C09" w:rsidRPr="006757CB" w:rsidRDefault="001E2C09" w:rsidP="001B17E9">
      <w:pPr>
        <w:spacing w:line="276" w:lineRule="auto"/>
        <w:ind w:left="708"/>
        <w:jc w:val="center"/>
        <w:rPr>
          <w:rFonts w:ascii="Tahoma" w:hAnsi="Tahoma" w:cs="Tahoma"/>
        </w:rPr>
      </w:pPr>
    </w:p>
    <w:p w14:paraId="3A14F4AD" w14:textId="77777777" w:rsidR="001E2C09" w:rsidRPr="006757CB" w:rsidRDefault="001E2C09" w:rsidP="001B17E9">
      <w:pPr>
        <w:spacing w:line="276" w:lineRule="auto"/>
        <w:ind w:left="708"/>
        <w:jc w:val="center"/>
        <w:rPr>
          <w:rFonts w:ascii="Tahoma" w:hAnsi="Tahoma" w:cs="Tahoma"/>
        </w:rPr>
      </w:pPr>
    </w:p>
    <w:p w14:paraId="50FB6A63" w14:textId="77777777" w:rsidR="001E2C09" w:rsidRPr="006757CB" w:rsidRDefault="001E2C09" w:rsidP="001B17E9">
      <w:pPr>
        <w:spacing w:line="276" w:lineRule="auto"/>
        <w:ind w:left="708"/>
        <w:jc w:val="center"/>
        <w:rPr>
          <w:rFonts w:ascii="Tahoma" w:hAnsi="Tahoma" w:cs="Tahoma"/>
        </w:rPr>
      </w:pPr>
    </w:p>
    <w:p w14:paraId="582D3420" w14:textId="77777777" w:rsidR="001E2C09" w:rsidRPr="006757CB" w:rsidRDefault="001E2C09" w:rsidP="001B17E9">
      <w:pPr>
        <w:spacing w:line="276" w:lineRule="auto"/>
        <w:ind w:left="708"/>
        <w:jc w:val="center"/>
        <w:rPr>
          <w:rFonts w:ascii="Tahoma" w:hAnsi="Tahoma" w:cs="Tahoma"/>
        </w:rPr>
      </w:pPr>
    </w:p>
    <w:tbl>
      <w:tblPr>
        <w:tblW w:w="0" w:type="auto"/>
        <w:tblInd w:w="70" w:type="dxa"/>
        <w:tblCellMar>
          <w:left w:w="70" w:type="dxa"/>
          <w:right w:w="70" w:type="dxa"/>
        </w:tblCellMar>
        <w:tblLook w:val="04A0" w:firstRow="1" w:lastRow="0" w:firstColumn="1" w:lastColumn="0" w:noHBand="0" w:noVBand="1"/>
      </w:tblPr>
      <w:tblGrid>
        <w:gridCol w:w="755"/>
        <w:gridCol w:w="755"/>
        <w:gridCol w:w="780"/>
        <w:gridCol w:w="1383"/>
        <w:gridCol w:w="172"/>
        <w:gridCol w:w="1700"/>
        <w:gridCol w:w="877"/>
        <w:gridCol w:w="1465"/>
        <w:gridCol w:w="2012"/>
      </w:tblGrid>
      <w:tr w:rsidR="006757CB" w:rsidRPr="006757CB" w14:paraId="2E4E1D19" w14:textId="77777777" w:rsidTr="001E2C09">
        <w:trPr>
          <w:trHeight w:val="20"/>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14:paraId="7D0B1C6B"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ARTURO GRANADA BERNAL</w:t>
            </w:r>
          </w:p>
        </w:tc>
      </w:tr>
      <w:tr w:rsidR="006757CB" w:rsidRPr="006757CB" w14:paraId="61EAB894" w14:textId="77777777" w:rsidTr="001E2C09">
        <w:trPr>
          <w:trHeight w:val="20"/>
        </w:trPr>
        <w:tc>
          <w:tcPr>
            <w:tcW w:w="0" w:type="auto"/>
            <w:gridSpan w:val="3"/>
            <w:tcBorders>
              <w:top w:val="single" w:sz="8" w:space="0" w:color="auto"/>
              <w:left w:val="nil"/>
              <w:bottom w:val="single" w:sz="4" w:space="0" w:color="auto"/>
              <w:right w:val="nil"/>
            </w:tcBorders>
            <w:shd w:val="clear" w:color="000000" w:fill="FFFF99"/>
            <w:vAlign w:val="center"/>
            <w:hideMark/>
          </w:tcPr>
          <w:p w14:paraId="05BF150A" w14:textId="77777777" w:rsidR="001E2C09" w:rsidRPr="006757CB" w:rsidRDefault="001E2C09">
            <w:pPr>
              <w:rPr>
                <w:rFonts w:ascii="Calibri" w:hAnsi="Calibri"/>
                <w:b/>
                <w:bCs/>
                <w:i/>
                <w:iCs/>
                <w:sz w:val="14"/>
                <w:szCs w:val="14"/>
              </w:rPr>
            </w:pPr>
            <w:r w:rsidRPr="006757CB">
              <w:rPr>
                <w:rFonts w:ascii="Calibri" w:hAnsi="Calibri"/>
                <w:b/>
                <w:bCs/>
                <w:i/>
                <w:iCs/>
                <w:sz w:val="14"/>
                <w:szCs w:val="14"/>
              </w:rPr>
              <w:t>Fecha de nacimiento:</w:t>
            </w:r>
          </w:p>
        </w:tc>
        <w:tc>
          <w:tcPr>
            <w:tcW w:w="0" w:type="auto"/>
            <w:tcBorders>
              <w:top w:val="nil"/>
              <w:left w:val="nil"/>
              <w:bottom w:val="single" w:sz="4" w:space="0" w:color="auto"/>
              <w:right w:val="single" w:sz="8" w:space="0" w:color="auto"/>
            </w:tcBorders>
            <w:shd w:val="clear" w:color="auto" w:fill="auto"/>
            <w:noWrap/>
            <w:vAlign w:val="center"/>
            <w:hideMark/>
          </w:tcPr>
          <w:p w14:paraId="0E96C2A7" w14:textId="77777777" w:rsidR="001E2C09" w:rsidRPr="006757CB" w:rsidRDefault="001E2C09">
            <w:pPr>
              <w:jc w:val="center"/>
              <w:rPr>
                <w:rFonts w:ascii="Calibri" w:hAnsi="Calibri"/>
                <w:i/>
                <w:iCs/>
                <w:sz w:val="14"/>
                <w:szCs w:val="14"/>
              </w:rPr>
            </w:pPr>
            <w:r w:rsidRPr="006757CB">
              <w:rPr>
                <w:rFonts w:ascii="Calibri" w:hAnsi="Calibri"/>
                <w:i/>
                <w:iCs/>
                <w:sz w:val="14"/>
                <w:szCs w:val="14"/>
              </w:rPr>
              <w:t>25-nov-52</w:t>
            </w:r>
          </w:p>
        </w:tc>
        <w:tc>
          <w:tcPr>
            <w:tcW w:w="0" w:type="auto"/>
            <w:tcBorders>
              <w:top w:val="nil"/>
              <w:left w:val="nil"/>
              <w:bottom w:val="nil"/>
              <w:right w:val="nil"/>
            </w:tcBorders>
            <w:shd w:val="clear" w:color="auto" w:fill="auto"/>
            <w:noWrap/>
            <w:vAlign w:val="bottom"/>
            <w:hideMark/>
          </w:tcPr>
          <w:p w14:paraId="48B645FA" w14:textId="77777777" w:rsidR="001E2C09" w:rsidRPr="006757CB" w:rsidRDefault="001E2C09">
            <w:pPr>
              <w:jc w:val="center"/>
              <w:rPr>
                <w:rFonts w:ascii="Calibri" w:hAnsi="Calibri"/>
                <w:i/>
                <w:iCs/>
                <w:sz w:val="14"/>
                <w:szCs w:val="14"/>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14:paraId="13A76256" w14:textId="77777777" w:rsidR="001E2C09" w:rsidRPr="006757CB" w:rsidRDefault="001E2C09">
            <w:pPr>
              <w:rPr>
                <w:rFonts w:ascii="Calibri" w:hAnsi="Calibri"/>
                <w:b/>
                <w:bCs/>
                <w:i/>
                <w:iCs/>
                <w:sz w:val="14"/>
                <w:szCs w:val="14"/>
              </w:rPr>
            </w:pPr>
            <w:r w:rsidRPr="006757CB">
              <w:rPr>
                <w:rFonts w:ascii="Calibri" w:hAnsi="Calibri"/>
                <w:b/>
                <w:bCs/>
                <w:i/>
                <w:iCs/>
                <w:sz w:val="14"/>
                <w:szCs w:val="14"/>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14:paraId="177440E8" w14:textId="77777777" w:rsidR="001E2C09" w:rsidRPr="006757CB" w:rsidRDefault="001E2C09">
            <w:pPr>
              <w:jc w:val="center"/>
              <w:rPr>
                <w:rFonts w:ascii="Calibri" w:hAnsi="Calibri"/>
                <w:i/>
                <w:iCs/>
                <w:sz w:val="14"/>
                <w:szCs w:val="14"/>
              </w:rPr>
            </w:pPr>
            <w:r w:rsidRPr="006757CB">
              <w:rPr>
                <w:rFonts w:ascii="Calibri" w:hAnsi="Calibri"/>
                <w:i/>
                <w:iCs/>
                <w:sz w:val="14"/>
                <w:szCs w:val="14"/>
              </w:rPr>
              <w:t>28/09/1996</w:t>
            </w:r>
          </w:p>
        </w:tc>
      </w:tr>
      <w:tr w:rsidR="006757CB" w:rsidRPr="006757CB" w14:paraId="7A23E534" w14:textId="77777777" w:rsidTr="001E2C09">
        <w:trPr>
          <w:trHeight w:val="20"/>
        </w:trPr>
        <w:tc>
          <w:tcPr>
            <w:tcW w:w="0" w:type="auto"/>
            <w:gridSpan w:val="3"/>
            <w:tcBorders>
              <w:top w:val="single" w:sz="4" w:space="0" w:color="auto"/>
              <w:left w:val="nil"/>
              <w:bottom w:val="single" w:sz="8" w:space="0" w:color="auto"/>
              <w:right w:val="nil"/>
            </w:tcBorders>
            <w:shd w:val="clear" w:color="000000" w:fill="FFFF99"/>
            <w:vAlign w:val="center"/>
            <w:hideMark/>
          </w:tcPr>
          <w:p w14:paraId="04B7FDBB" w14:textId="77777777" w:rsidR="001E2C09" w:rsidRPr="006757CB" w:rsidRDefault="001E2C09">
            <w:pPr>
              <w:rPr>
                <w:rFonts w:ascii="Calibri" w:hAnsi="Calibri"/>
                <w:b/>
                <w:bCs/>
                <w:i/>
                <w:iCs/>
                <w:sz w:val="14"/>
                <w:szCs w:val="14"/>
              </w:rPr>
            </w:pPr>
            <w:r w:rsidRPr="006757CB">
              <w:rPr>
                <w:rFonts w:ascii="Calibri" w:hAnsi="Calibri"/>
                <w:b/>
                <w:bCs/>
                <w:i/>
                <w:iCs/>
                <w:sz w:val="14"/>
                <w:szCs w:val="14"/>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14:paraId="218D9AFE" w14:textId="77777777" w:rsidR="001E2C09" w:rsidRPr="006757CB" w:rsidRDefault="001E2C09">
            <w:pPr>
              <w:jc w:val="center"/>
              <w:rPr>
                <w:rFonts w:ascii="Calibri" w:hAnsi="Calibri"/>
                <w:sz w:val="14"/>
                <w:szCs w:val="14"/>
              </w:rPr>
            </w:pPr>
            <w:r w:rsidRPr="006757CB">
              <w:rPr>
                <w:rFonts w:ascii="Calibri" w:hAnsi="Calibri"/>
                <w:sz w:val="14"/>
                <w:szCs w:val="14"/>
              </w:rPr>
              <w:t>1.223,71</w:t>
            </w:r>
          </w:p>
        </w:tc>
        <w:tc>
          <w:tcPr>
            <w:tcW w:w="0" w:type="auto"/>
            <w:tcBorders>
              <w:top w:val="nil"/>
              <w:left w:val="nil"/>
              <w:bottom w:val="nil"/>
              <w:right w:val="nil"/>
            </w:tcBorders>
            <w:shd w:val="clear" w:color="auto" w:fill="auto"/>
            <w:noWrap/>
            <w:vAlign w:val="bottom"/>
            <w:hideMark/>
          </w:tcPr>
          <w:p w14:paraId="507FD49E" w14:textId="77777777" w:rsidR="001E2C09" w:rsidRPr="006757CB" w:rsidRDefault="001E2C09">
            <w:pPr>
              <w:jc w:val="center"/>
              <w:rPr>
                <w:rFonts w:ascii="Calibri" w:hAnsi="Calibri"/>
                <w:sz w:val="14"/>
                <w:szCs w:val="14"/>
              </w:rPr>
            </w:pPr>
          </w:p>
        </w:tc>
        <w:tc>
          <w:tcPr>
            <w:tcW w:w="0" w:type="auto"/>
            <w:tcBorders>
              <w:top w:val="nil"/>
              <w:left w:val="single" w:sz="8" w:space="0" w:color="auto"/>
              <w:bottom w:val="single" w:sz="4" w:space="0" w:color="auto"/>
              <w:right w:val="nil"/>
            </w:tcBorders>
            <w:shd w:val="clear" w:color="000000" w:fill="FFFF99"/>
            <w:noWrap/>
            <w:vAlign w:val="center"/>
            <w:hideMark/>
          </w:tcPr>
          <w:p w14:paraId="530CA324" w14:textId="77777777" w:rsidR="001E2C09" w:rsidRPr="006757CB" w:rsidRDefault="001E2C09">
            <w:pPr>
              <w:jc w:val="right"/>
              <w:rPr>
                <w:rFonts w:ascii="Calibri" w:hAnsi="Calibri"/>
                <w:b/>
                <w:bCs/>
                <w:i/>
                <w:iCs/>
                <w:sz w:val="14"/>
                <w:szCs w:val="14"/>
              </w:rPr>
            </w:pPr>
            <w:r w:rsidRPr="006757CB">
              <w:rPr>
                <w:rFonts w:ascii="Calibri" w:hAnsi="Calibri"/>
                <w:b/>
                <w:bCs/>
                <w:i/>
                <w:iCs/>
                <w:sz w:val="14"/>
                <w:szCs w:val="14"/>
              </w:rPr>
              <w:t xml:space="preserve">Tasa Ley 100/93: </w:t>
            </w:r>
          </w:p>
        </w:tc>
        <w:tc>
          <w:tcPr>
            <w:tcW w:w="0" w:type="auto"/>
            <w:tcBorders>
              <w:top w:val="nil"/>
              <w:left w:val="nil"/>
              <w:bottom w:val="single" w:sz="4" w:space="0" w:color="auto"/>
              <w:right w:val="nil"/>
            </w:tcBorders>
            <w:shd w:val="clear" w:color="auto" w:fill="auto"/>
            <w:noWrap/>
            <w:vAlign w:val="center"/>
            <w:hideMark/>
          </w:tcPr>
          <w:p w14:paraId="26DB6B94" w14:textId="77777777" w:rsidR="001E2C09" w:rsidRPr="006757CB" w:rsidRDefault="001E2C09">
            <w:pPr>
              <w:jc w:val="center"/>
              <w:rPr>
                <w:rFonts w:ascii="Calibri" w:hAnsi="Calibri"/>
                <w:b/>
                <w:bCs/>
                <w:sz w:val="14"/>
                <w:szCs w:val="14"/>
              </w:rPr>
            </w:pPr>
            <w:r w:rsidRPr="006757CB">
              <w:rPr>
                <w:rFonts w:ascii="Calibri" w:hAnsi="Calibri"/>
                <w:b/>
                <w:bCs/>
                <w:sz w:val="14"/>
                <w:szCs w:val="14"/>
              </w:rPr>
              <w:t>NO</w:t>
            </w:r>
          </w:p>
        </w:tc>
        <w:tc>
          <w:tcPr>
            <w:tcW w:w="0" w:type="auto"/>
            <w:tcBorders>
              <w:top w:val="nil"/>
              <w:left w:val="single" w:sz="4" w:space="0" w:color="808000"/>
              <w:bottom w:val="single" w:sz="4" w:space="0" w:color="auto"/>
              <w:right w:val="nil"/>
            </w:tcBorders>
            <w:shd w:val="clear" w:color="000000" w:fill="FFFF99"/>
            <w:noWrap/>
            <w:vAlign w:val="center"/>
            <w:hideMark/>
          </w:tcPr>
          <w:p w14:paraId="4ABADBE4"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87,00%</w:t>
            </w:r>
          </w:p>
        </w:tc>
        <w:tc>
          <w:tcPr>
            <w:tcW w:w="0" w:type="auto"/>
            <w:tcBorders>
              <w:top w:val="nil"/>
              <w:left w:val="nil"/>
              <w:bottom w:val="single" w:sz="4" w:space="0" w:color="auto"/>
              <w:right w:val="single" w:sz="8" w:space="0" w:color="auto"/>
            </w:tcBorders>
            <w:shd w:val="clear" w:color="auto" w:fill="auto"/>
            <w:noWrap/>
            <w:vAlign w:val="bottom"/>
            <w:hideMark/>
          </w:tcPr>
          <w:p w14:paraId="7D928C78" w14:textId="77777777" w:rsidR="001E2C09" w:rsidRPr="006757CB" w:rsidRDefault="001E2C09">
            <w:pPr>
              <w:rPr>
                <w:rFonts w:ascii="Calibri" w:hAnsi="Calibri"/>
                <w:i/>
                <w:iCs/>
                <w:sz w:val="14"/>
                <w:szCs w:val="14"/>
              </w:rPr>
            </w:pPr>
            <w:r w:rsidRPr="006757CB">
              <w:rPr>
                <w:rFonts w:ascii="Calibri" w:hAnsi="Calibri"/>
                <w:i/>
                <w:iCs/>
                <w:sz w:val="14"/>
                <w:szCs w:val="14"/>
              </w:rPr>
              <w:t> </w:t>
            </w:r>
          </w:p>
        </w:tc>
      </w:tr>
      <w:tr w:rsidR="006757CB" w:rsidRPr="006757CB" w14:paraId="3C957C8F" w14:textId="77777777" w:rsidTr="001E2C09">
        <w:trPr>
          <w:trHeight w:val="20"/>
        </w:trPr>
        <w:tc>
          <w:tcPr>
            <w:tcW w:w="0" w:type="auto"/>
            <w:tcBorders>
              <w:top w:val="nil"/>
              <w:left w:val="nil"/>
              <w:bottom w:val="nil"/>
              <w:right w:val="nil"/>
            </w:tcBorders>
            <w:shd w:val="clear" w:color="auto" w:fill="auto"/>
            <w:noWrap/>
            <w:vAlign w:val="bottom"/>
            <w:hideMark/>
          </w:tcPr>
          <w:p w14:paraId="4E1D07C8" w14:textId="77777777" w:rsidR="001E2C09" w:rsidRPr="006757CB" w:rsidRDefault="001E2C09">
            <w:pPr>
              <w:rPr>
                <w:rFonts w:ascii="Calibri" w:hAnsi="Calibri"/>
                <w:i/>
                <w:iCs/>
                <w:sz w:val="14"/>
                <w:szCs w:val="14"/>
              </w:rPr>
            </w:pPr>
          </w:p>
        </w:tc>
        <w:tc>
          <w:tcPr>
            <w:tcW w:w="0" w:type="auto"/>
            <w:tcBorders>
              <w:top w:val="nil"/>
              <w:left w:val="nil"/>
              <w:bottom w:val="nil"/>
              <w:right w:val="nil"/>
            </w:tcBorders>
            <w:shd w:val="clear" w:color="auto" w:fill="auto"/>
            <w:noWrap/>
            <w:vAlign w:val="bottom"/>
            <w:hideMark/>
          </w:tcPr>
          <w:p w14:paraId="4AC0624A" w14:textId="77777777" w:rsidR="001E2C09" w:rsidRPr="006757CB" w:rsidRDefault="001E2C09">
            <w:pPr>
              <w:rPr>
                <w:sz w:val="14"/>
                <w:szCs w:val="14"/>
              </w:rPr>
            </w:pPr>
          </w:p>
        </w:tc>
        <w:tc>
          <w:tcPr>
            <w:tcW w:w="0" w:type="auto"/>
            <w:tcBorders>
              <w:top w:val="nil"/>
              <w:left w:val="nil"/>
              <w:bottom w:val="nil"/>
              <w:right w:val="nil"/>
            </w:tcBorders>
            <w:shd w:val="clear" w:color="auto" w:fill="auto"/>
            <w:noWrap/>
            <w:vAlign w:val="bottom"/>
            <w:hideMark/>
          </w:tcPr>
          <w:p w14:paraId="51879A88" w14:textId="77777777" w:rsidR="001E2C09" w:rsidRPr="006757CB" w:rsidRDefault="001E2C09">
            <w:pPr>
              <w:rPr>
                <w:sz w:val="14"/>
                <w:szCs w:val="14"/>
              </w:rPr>
            </w:pPr>
          </w:p>
        </w:tc>
        <w:tc>
          <w:tcPr>
            <w:tcW w:w="0" w:type="auto"/>
            <w:tcBorders>
              <w:top w:val="nil"/>
              <w:left w:val="nil"/>
              <w:bottom w:val="nil"/>
              <w:right w:val="single" w:sz="8" w:space="0" w:color="auto"/>
            </w:tcBorders>
            <w:shd w:val="clear" w:color="auto" w:fill="auto"/>
            <w:noWrap/>
            <w:vAlign w:val="bottom"/>
            <w:hideMark/>
          </w:tcPr>
          <w:p w14:paraId="5A403197"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nil"/>
              <w:left w:val="nil"/>
              <w:bottom w:val="nil"/>
              <w:right w:val="nil"/>
            </w:tcBorders>
            <w:shd w:val="clear" w:color="auto" w:fill="auto"/>
            <w:noWrap/>
            <w:vAlign w:val="bottom"/>
            <w:hideMark/>
          </w:tcPr>
          <w:p w14:paraId="6BBB540E" w14:textId="77777777" w:rsidR="001E2C09" w:rsidRPr="006757CB" w:rsidRDefault="001E2C09">
            <w:pPr>
              <w:rPr>
                <w:rFonts w:ascii="Calibri" w:hAnsi="Calibri"/>
                <w:i/>
                <w:iCs/>
                <w:sz w:val="14"/>
                <w:szCs w:val="14"/>
              </w:rPr>
            </w:pPr>
          </w:p>
        </w:tc>
        <w:tc>
          <w:tcPr>
            <w:tcW w:w="0" w:type="auto"/>
            <w:tcBorders>
              <w:top w:val="nil"/>
              <w:left w:val="single" w:sz="8" w:space="0" w:color="auto"/>
              <w:bottom w:val="nil"/>
              <w:right w:val="nil"/>
            </w:tcBorders>
            <w:shd w:val="clear" w:color="auto" w:fill="auto"/>
            <w:noWrap/>
            <w:vAlign w:val="bottom"/>
            <w:hideMark/>
          </w:tcPr>
          <w:p w14:paraId="0C949400"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nil"/>
              <w:left w:val="nil"/>
              <w:bottom w:val="nil"/>
              <w:right w:val="nil"/>
            </w:tcBorders>
            <w:shd w:val="clear" w:color="auto" w:fill="auto"/>
            <w:noWrap/>
            <w:vAlign w:val="bottom"/>
            <w:hideMark/>
          </w:tcPr>
          <w:p w14:paraId="3AFE81AB" w14:textId="77777777" w:rsidR="001E2C09" w:rsidRPr="006757CB" w:rsidRDefault="001E2C09">
            <w:pPr>
              <w:rPr>
                <w:rFonts w:ascii="Calibri" w:hAnsi="Calibri"/>
                <w:i/>
                <w:iCs/>
                <w:sz w:val="14"/>
                <w:szCs w:val="14"/>
              </w:rPr>
            </w:pPr>
          </w:p>
        </w:tc>
        <w:tc>
          <w:tcPr>
            <w:tcW w:w="0" w:type="auto"/>
            <w:tcBorders>
              <w:top w:val="nil"/>
              <w:left w:val="nil"/>
              <w:bottom w:val="nil"/>
              <w:right w:val="nil"/>
            </w:tcBorders>
            <w:shd w:val="clear" w:color="auto" w:fill="auto"/>
            <w:noWrap/>
            <w:vAlign w:val="bottom"/>
            <w:hideMark/>
          </w:tcPr>
          <w:p w14:paraId="50C14367" w14:textId="77777777" w:rsidR="001E2C09" w:rsidRPr="006757CB" w:rsidRDefault="001E2C09">
            <w:pPr>
              <w:rPr>
                <w:sz w:val="14"/>
                <w:szCs w:val="14"/>
              </w:rPr>
            </w:pPr>
          </w:p>
        </w:tc>
        <w:tc>
          <w:tcPr>
            <w:tcW w:w="0" w:type="auto"/>
            <w:tcBorders>
              <w:top w:val="nil"/>
              <w:left w:val="nil"/>
              <w:bottom w:val="nil"/>
              <w:right w:val="single" w:sz="8" w:space="0" w:color="auto"/>
            </w:tcBorders>
            <w:shd w:val="clear" w:color="auto" w:fill="auto"/>
            <w:noWrap/>
            <w:vAlign w:val="bottom"/>
            <w:hideMark/>
          </w:tcPr>
          <w:p w14:paraId="2143AECC" w14:textId="77777777" w:rsidR="001E2C09" w:rsidRPr="006757CB" w:rsidRDefault="001E2C09">
            <w:pPr>
              <w:rPr>
                <w:rFonts w:ascii="Calibri" w:hAnsi="Calibri"/>
                <w:i/>
                <w:iCs/>
                <w:sz w:val="14"/>
                <w:szCs w:val="14"/>
              </w:rPr>
            </w:pPr>
            <w:r w:rsidRPr="006757CB">
              <w:rPr>
                <w:rFonts w:ascii="Calibri" w:hAnsi="Calibri"/>
                <w:i/>
                <w:iCs/>
                <w:sz w:val="14"/>
                <w:szCs w:val="14"/>
              </w:rPr>
              <w:t> </w:t>
            </w:r>
          </w:p>
        </w:tc>
      </w:tr>
      <w:tr w:rsidR="006757CB" w:rsidRPr="006757CB" w14:paraId="1F955CB1" w14:textId="77777777" w:rsidTr="001E2C09">
        <w:trPr>
          <w:trHeight w:val="20"/>
        </w:trPr>
        <w:tc>
          <w:tcPr>
            <w:tcW w:w="0" w:type="auto"/>
            <w:tcBorders>
              <w:top w:val="nil"/>
              <w:left w:val="nil"/>
              <w:bottom w:val="single" w:sz="4" w:space="0" w:color="auto"/>
              <w:right w:val="nil"/>
            </w:tcBorders>
            <w:shd w:val="clear" w:color="auto" w:fill="auto"/>
            <w:noWrap/>
            <w:vAlign w:val="bottom"/>
            <w:hideMark/>
          </w:tcPr>
          <w:p w14:paraId="4DD8597B" w14:textId="77777777" w:rsidR="001E2C09" w:rsidRPr="006757CB" w:rsidRDefault="001E2C09">
            <w:pPr>
              <w:rPr>
                <w:rFonts w:ascii="Calibri" w:hAnsi="Calibri"/>
                <w:i/>
                <w:iCs/>
                <w:sz w:val="14"/>
                <w:szCs w:val="14"/>
              </w:rPr>
            </w:pPr>
          </w:p>
        </w:tc>
        <w:tc>
          <w:tcPr>
            <w:tcW w:w="0" w:type="auto"/>
            <w:tcBorders>
              <w:top w:val="nil"/>
              <w:left w:val="nil"/>
              <w:bottom w:val="single" w:sz="4" w:space="0" w:color="auto"/>
              <w:right w:val="nil"/>
            </w:tcBorders>
            <w:shd w:val="clear" w:color="auto" w:fill="auto"/>
            <w:noWrap/>
            <w:vAlign w:val="bottom"/>
            <w:hideMark/>
          </w:tcPr>
          <w:p w14:paraId="7FEDB439" w14:textId="77777777" w:rsidR="001E2C09" w:rsidRPr="006757CB" w:rsidRDefault="001E2C09">
            <w:pPr>
              <w:rPr>
                <w:sz w:val="14"/>
                <w:szCs w:val="14"/>
              </w:rPr>
            </w:pPr>
          </w:p>
        </w:tc>
        <w:tc>
          <w:tcPr>
            <w:tcW w:w="0" w:type="auto"/>
            <w:tcBorders>
              <w:top w:val="nil"/>
              <w:left w:val="nil"/>
              <w:bottom w:val="single" w:sz="4" w:space="0" w:color="auto"/>
              <w:right w:val="nil"/>
            </w:tcBorders>
            <w:shd w:val="clear" w:color="auto" w:fill="auto"/>
            <w:noWrap/>
            <w:vAlign w:val="bottom"/>
            <w:hideMark/>
          </w:tcPr>
          <w:p w14:paraId="5D27E82A" w14:textId="77777777" w:rsidR="001E2C09" w:rsidRPr="006757CB" w:rsidRDefault="001E2C09">
            <w:pPr>
              <w:rPr>
                <w:sz w:val="14"/>
                <w:szCs w:val="14"/>
              </w:rPr>
            </w:pPr>
          </w:p>
        </w:tc>
        <w:tc>
          <w:tcPr>
            <w:tcW w:w="0" w:type="auto"/>
            <w:tcBorders>
              <w:top w:val="nil"/>
              <w:left w:val="nil"/>
              <w:bottom w:val="single" w:sz="4" w:space="0" w:color="auto"/>
              <w:right w:val="single" w:sz="8" w:space="0" w:color="auto"/>
            </w:tcBorders>
            <w:shd w:val="clear" w:color="auto" w:fill="auto"/>
            <w:noWrap/>
            <w:vAlign w:val="bottom"/>
            <w:hideMark/>
          </w:tcPr>
          <w:p w14:paraId="5F027E07"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nil"/>
              <w:left w:val="nil"/>
              <w:bottom w:val="nil"/>
              <w:right w:val="nil"/>
            </w:tcBorders>
            <w:shd w:val="clear" w:color="auto" w:fill="auto"/>
            <w:noWrap/>
            <w:vAlign w:val="bottom"/>
            <w:hideMark/>
          </w:tcPr>
          <w:p w14:paraId="7DA9CC86" w14:textId="77777777" w:rsidR="001E2C09" w:rsidRPr="006757CB" w:rsidRDefault="001E2C09">
            <w:pPr>
              <w:rPr>
                <w:rFonts w:ascii="Calibri" w:hAnsi="Calibri"/>
                <w:i/>
                <w:iCs/>
                <w:sz w:val="14"/>
                <w:szCs w:val="14"/>
              </w:rPr>
            </w:pPr>
          </w:p>
        </w:tc>
        <w:tc>
          <w:tcPr>
            <w:tcW w:w="0" w:type="auto"/>
            <w:tcBorders>
              <w:top w:val="nil"/>
              <w:left w:val="single" w:sz="8" w:space="0" w:color="auto"/>
              <w:bottom w:val="nil"/>
              <w:right w:val="nil"/>
            </w:tcBorders>
            <w:shd w:val="clear" w:color="auto" w:fill="auto"/>
            <w:noWrap/>
            <w:vAlign w:val="bottom"/>
            <w:hideMark/>
          </w:tcPr>
          <w:p w14:paraId="761825CA"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nil"/>
              <w:left w:val="nil"/>
              <w:bottom w:val="nil"/>
              <w:right w:val="nil"/>
            </w:tcBorders>
            <w:shd w:val="clear" w:color="auto" w:fill="auto"/>
            <w:noWrap/>
            <w:vAlign w:val="bottom"/>
            <w:hideMark/>
          </w:tcPr>
          <w:p w14:paraId="176EB2FE" w14:textId="77777777" w:rsidR="001E2C09" w:rsidRPr="006757CB" w:rsidRDefault="001E2C09">
            <w:pPr>
              <w:rPr>
                <w:rFonts w:ascii="Calibri" w:hAnsi="Calibri"/>
                <w:i/>
                <w:iCs/>
                <w:sz w:val="14"/>
                <w:szCs w:val="14"/>
              </w:rPr>
            </w:pPr>
          </w:p>
        </w:tc>
        <w:tc>
          <w:tcPr>
            <w:tcW w:w="0" w:type="auto"/>
            <w:tcBorders>
              <w:top w:val="nil"/>
              <w:left w:val="nil"/>
              <w:bottom w:val="nil"/>
              <w:right w:val="nil"/>
            </w:tcBorders>
            <w:shd w:val="clear" w:color="auto" w:fill="auto"/>
            <w:noWrap/>
            <w:vAlign w:val="bottom"/>
            <w:hideMark/>
          </w:tcPr>
          <w:p w14:paraId="0CD57073" w14:textId="77777777" w:rsidR="001E2C09" w:rsidRPr="006757CB" w:rsidRDefault="001E2C09">
            <w:pPr>
              <w:rPr>
                <w:sz w:val="14"/>
                <w:szCs w:val="14"/>
              </w:rPr>
            </w:pPr>
          </w:p>
        </w:tc>
        <w:tc>
          <w:tcPr>
            <w:tcW w:w="0" w:type="auto"/>
            <w:tcBorders>
              <w:top w:val="nil"/>
              <w:left w:val="nil"/>
              <w:bottom w:val="nil"/>
              <w:right w:val="single" w:sz="8" w:space="0" w:color="auto"/>
            </w:tcBorders>
            <w:shd w:val="clear" w:color="auto" w:fill="auto"/>
            <w:noWrap/>
            <w:vAlign w:val="bottom"/>
            <w:hideMark/>
          </w:tcPr>
          <w:p w14:paraId="7347ABC3" w14:textId="77777777" w:rsidR="001E2C09" w:rsidRPr="006757CB" w:rsidRDefault="001E2C09">
            <w:pPr>
              <w:rPr>
                <w:rFonts w:ascii="Calibri" w:hAnsi="Calibri"/>
                <w:i/>
                <w:iCs/>
                <w:sz w:val="14"/>
                <w:szCs w:val="14"/>
              </w:rPr>
            </w:pPr>
            <w:r w:rsidRPr="006757CB">
              <w:rPr>
                <w:rFonts w:ascii="Calibri" w:hAnsi="Calibri"/>
                <w:i/>
                <w:iCs/>
                <w:sz w:val="14"/>
                <w:szCs w:val="14"/>
              </w:rPr>
              <w:t> </w:t>
            </w:r>
          </w:p>
        </w:tc>
      </w:tr>
      <w:tr w:rsidR="006757CB" w:rsidRPr="006757CB" w14:paraId="343D44F9" w14:textId="77777777" w:rsidTr="001E2C09">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000000" w:fill="FFFF99"/>
            <w:vAlign w:val="center"/>
            <w:hideMark/>
          </w:tcPr>
          <w:p w14:paraId="4011A7BA"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HISTORIA LABORAL DEL AFILIADO</w:t>
            </w:r>
          </w:p>
        </w:tc>
        <w:tc>
          <w:tcPr>
            <w:tcW w:w="0" w:type="auto"/>
            <w:tcBorders>
              <w:top w:val="nil"/>
              <w:left w:val="single" w:sz="4" w:space="0" w:color="auto"/>
              <w:bottom w:val="nil"/>
              <w:right w:val="nil"/>
            </w:tcBorders>
            <w:shd w:val="clear" w:color="auto" w:fill="auto"/>
            <w:noWrap/>
            <w:vAlign w:val="bottom"/>
            <w:hideMark/>
          </w:tcPr>
          <w:p w14:paraId="005C519B" w14:textId="77777777" w:rsidR="001E2C09" w:rsidRPr="006757CB" w:rsidRDefault="001E2C09">
            <w:pPr>
              <w:jc w:val="center"/>
              <w:rPr>
                <w:rFonts w:ascii="Calibri" w:hAnsi="Calibri"/>
                <w:b/>
                <w:bCs/>
                <w:i/>
                <w:iCs/>
                <w:sz w:val="14"/>
                <w:szCs w:val="14"/>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14:paraId="70B36246"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14:paraId="2CCE15C3"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 xml:space="preserve">IPC </w:t>
            </w:r>
            <w:proofErr w:type="spellStart"/>
            <w:r w:rsidRPr="006757CB">
              <w:rPr>
                <w:rFonts w:ascii="Calibri" w:hAnsi="Calibri"/>
                <w:b/>
                <w:bCs/>
                <w:i/>
                <w:iCs/>
                <w:sz w:val="14"/>
                <w:szCs w:val="14"/>
              </w:rPr>
              <w:t>Dane</w:t>
            </w:r>
            <w:proofErr w:type="spellEnd"/>
            <w:r w:rsidRPr="006757CB">
              <w:rPr>
                <w:rFonts w:ascii="Calibri" w:hAnsi="Calibri"/>
                <w:b/>
                <w:bCs/>
                <w:i/>
                <w:iCs/>
                <w:sz w:val="14"/>
                <w:szCs w:val="14"/>
              </w:rPr>
              <w:t xml:space="preserve">                                    (serie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14:paraId="7925A524"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Promedio Salarial        (</w:t>
            </w:r>
            <w:proofErr w:type="spellStart"/>
            <w:r w:rsidRPr="006757CB">
              <w:rPr>
                <w:rFonts w:ascii="Calibri" w:hAnsi="Calibri"/>
                <w:b/>
                <w:bCs/>
                <w:i/>
                <w:iCs/>
                <w:sz w:val="14"/>
                <w:szCs w:val="14"/>
              </w:rPr>
              <w:t>Dias</w:t>
            </w:r>
            <w:proofErr w:type="spellEnd"/>
            <w:r w:rsidRPr="006757CB">
              <w:rPr>
                <w:rFonts w:ascii="Calibri" w:hAnsi="Calibri"/>
                <w:b/>
                <w:bCs/>
                <w:i/>
                <w:iCs/>
                <w:sz w:val="14"/>
                <w:szCs w:val="14"/>
              </w:rPr>
              <w:t xml:space="preserve"> x IBC actualizado/total </w:t>
            </w:r>
            <w:proofErr w:type="spellStart"/>
            <w:r w:rsidRPr="006757CB">
              <w:rPr>
                <w:rFonts w:ascii="Calibri" w:hAnsi="Calibri"/>
                <w:b/>
                <w:bCs/>
                <w:i/>
                <w:iCs/>
                <w:sz w:val="14"/>
                <w:szCs w:val="14"/>
              </w:rPr>
              <w:t>dias</w:t>
            </w:r>
            <w:proofErr w:type="spellEnd"/>
            <w:r w:rsidRPr="006757CB">
              <w:rPr>
                <w:rFonts w:ascii="Calibri" w:hAnsi="Calibri"/>
                <w:b/>
                <w:bCs/>
                <w:i/>
                <w:iCs/>
                <w:sz w:val="14"/>
                <w:szCs w:val="14"/>
              </w:rPr>
              <w:t>)</w:t>
            </w:r>
          </w:p>
        </w:tc>
      </w:tr>
      <w:tr w:rsidR="006757CB" w:rsidRPr="006757CB" w14:paraId="330EB404" w14:textId="77777777" w:rsidTr="001E2C09">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2D8BD7B4"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Fechas de aporte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68DEE6A9"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Número de días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4A43CC2B"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Ingreso Base de Cotización</w:t>
            </w:r>
          </w:p>
        </w:tc>
        <w:tc>
          <w:tcPr>
            <w:tcW w:w="0" w:type="auto"/>
            <w:tcBorders>
              <w:top w:val="nil"/>
              <w:left w:val="single" w:sz="4" w:space="0" w:color="auto"/>
              <w:bottom w:val="nil"/>
              <w:right w:val="nil"/>
            </w:tcBorders>
            <w:shd w:val="clear" w:color="auto" w:fill="auto"/>
            <w:noWrap/>
            <w:vAlign w:val="bottom"/>
            <w:hideMark/>
          </w:tcPr>
          <w:p w14:paraId="25FC613E" w14:textId="77777777" w:rsidR="001E2C09" w:rsidRPr="006757CB" w:rsidRDefault="001E2C09">
            <w:pPr>
              <w:jc w:val="center"/>
              <w:rPr>
                <w:rFonts w:ascii="Calibri" w:hAnsi="Calibri"/>
                <w:b/>
                <w:bCs/>
                <w:i/>
                <w:iCs/>
                <w:sz w:val="14"/>
                <w:szCs w:val="14"/>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5E2B5646" w14:textId="77777777" w:rsidR="001E2C09" w:rsidRPr="006757CB" w:rsidRDefault="001E2C09">
            <w:pPr>
              <w:rPr>
                <w:rFonts w:ascii="Calibri" w:hAnsi="Calibri"/>
                <w:b/>
                <w:bCs/>
                <w:i/>
                <w:iCs/>
                <w:sz w:val="14"/>
                <w:szCs w:val="14"/>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3F999199"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01737014"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449F6C68" w14:textId="77777777" w:rsidR="001E2C09" w:rsidRPr="006757CB" w:rsidRDefault="001E2C09">
            <w:pPr>
              <w:rPr>
                <w:rFonts w:ascii="Calibri" w:hAnsi="Calibri"/>
                <w:b/>
                <w:bCs/>
                <w:i/>
                <w:iCs/>
                <w:sz w:val="14"/>
                <w:szCs w:val="14"/>
              </w:rPr>
            </w:pPr>
          </w:p>
        </w:tc>
      </w:tr>
      <w:tr w:rsidR="006757CB" w:rsidRPr="006757CB" w14:paraId="5ECBC17A"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61CC169"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Desde</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834CFAF"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Hasta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02DB1" w14:textId="77777777" w:rsidR="001E2C09" w:rsidRPr="006757CB" w:rsidRDefault="001E2C09">
            <w:pPr>
              <w:rPr>
                <w:rFonts w:ascii="Calibri" w:hAnsi="Calibri"/>
                <w:b/>
                <w:bCs/>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58CDC" w14:textId="77777777" w:rsidR="001E2C09" w:rsidRPr="006757CB" w:rsidRDefault="001E2C09">
            <w:pPr>
              <w:rPr>
                <w:rFonts w:ascii="Calibri" w:hAnsi="Calibri"/>
                <w:b/>
                <w:bCs/>
                <w:i/>
                <w:iCs/>
                <w:sz w:val="14"/>
                <w:szCs w:val="14"/>
              </w:rPr>
            </w:pPr>
          </w:p>
        </w:tc>
        <w:tc>
          <w:tcPr>
            <w:tcW w:w="0" w:type="auto"/>
            <w:tcBorders>
              <w:top w:val="nil"/>
              <w:left w:val="single" w:sz="4" w:space="0" w:color="auto"/>
              <w:bottom w:val="nil"/>
              <w:right w:val="nil"/>
            </w:tcBorders>
            <w:shd w:val="clear" w:color="auto" w:fill="auto"/>
            <w:noWrap/>
            <w:vAlign w:val="bottom"/>
            <w:hideMark/>
          </w:tcPr>
          <w:p w14:paraId="0FE9982F" w14:textId="77777777" w:rsidR="001E2C09" w:rsidRPr="006757CB" w:rsidRDefault="001E2C09">
            <w:pPr>
              <w:jc w:val="center"/>
              <w:rPr>
                <w:rFonts w:ascii="Calibri" w:hAnsi="Calibri"/>
                <w:b/>
                <w:bCs/>
                <w:i/>
                <w:iCs/>
                <w:sz w:val="14"/>
                <w:szCs w:val="14"/>
              </w:rPr>
            </w:pPr>
          </w:p>
        </w:tc>
        <w:tc>
          <w:tcPr>
            <w:tcW w:w="0" w:type="auto"/>
            <w:vMerge/>
            <w:tcBorders>
              <w:top w:val="single" w:sz="4" w:space="0" w:color="auto"/>
              <w:left w:val="single" w:sz="8" w:space="0" w:color="auto"/>
              <w:bottom w:val="single" w:sz="4" w:space="0" w:color="auto"/>
              <w:right w:val="single" w:sz="4" w:space="0" w:color="808000"/>
            </w:tcBorders>
            <w:vAlign w:val="center"/>
            <w:hideMark/>
          </w:tcPr>
          <w:p w14:paraId="0F8008C3" w14:textId="77777777" w:rsidR="001E2C09" w:rsidRPr="006757CB" w:rsidRDefault="001E2C09">
            <w:pPr>
              <w:rPr>
                <w:rFonts w:ascii="Calibri" w:hAnsi="Calibri"/>
                <w:b/>
                <w:bCs/>
                <w:i/>
                <w:iCs/>
                <w:sz w:val="14"/>
                <w:szCs w:val="14"/>
              </w:rPr>
            </w:pPr>
          </w:p>
        </w:tc>
        <w:tc>
          <w:tcPr>
            <w:tcW w:w="0" w:type="auto"/>
            <w:vMerge/>
            <w:tcBorders>
              <w:top w:val="nil"/>
              <w:left w:val="single" w:sz="4" w:space="0" w:color="808000"/>
              <w:bottom w:val="single" w:sz="4" w:space="0" w:color="auto"/>
              <w:right w:val="single" w:sz="4" w:space="0" w:color="808000"/>
            </w:tcBorders>
            <w:vAlign w:val="center"/>
            <w:hideMark/>
          </w:tcPr>
          <w:p w14:paraId="3DDCD178" w14:textId="77777777" w:rsidR="001E2C09" w:rsidRPr="006757CB" w:rsidRDefault="001E2C09">
            <w:pPr>
              <w:rPr>
                <w:rFonts w:ascii="Calibri" w:hAnsi="Calibri"/>
                <w:b/>
                <w:bCs/>
                <w:i/>
                <w:iCs/>
                <w:sz w:val="14"/>
                <w:szCs w:val="14"/>
              </w:rPr>
            </w:pPr>
          </w:p>
        </w:tc>
        <w:tc>
          <w:tcPr>
            <w:tcW w:w="0" w:type="auto"/>
            <w:vMerge/>
            <w:tcBorders>
              <w:top w:val="nil"/>
              <w:left w:val="single" w:sz="4" w:space="0" w:color="808000"/>
              <w:bottom w:val="single" w:sz="4" w:space="0" w:color="auto"/>
              <w:right w:val="single" w:sz="4" w:space="0" w:color="808000"/>
            </w:tcBorders>
            <w:vAlign w:val="center"/>
            <w:hideMark/>
          </w:tcPr>
          <w:p w14:paraId="5B5CBE03" w14:textId="77777777" w:rsidR="001E2C09" w:rsidRPr="006757CB" w:rsidRDefault="001E2C09">
            <w:pPr>
              <w:rPr>
                <w:rFonts w:ascii="Calibri" w:hAnsi="Calibri"/>
                <w:b/>
                <w:bCs/>
                <w:i/>
                <w:iCs/>
                <w:sz w:val="14"/>
                <w:szCs w:val="14"/>
              </w:rPr>
            </w:pPr>
          </w:p>
        </w:tc>
        <w:tc>
          <w:tcPr>
            <w:tcW w:w="0" w:type="auto"/>
            <w:vMerge/>
            <w:tcBorders>
              <w:top w:val="single" w:sz="4" w:space="0" w:color="auto"/>
              <w:left w:val="single" w:sz="4" w:space="0" w:color="808000"/>
              <w:bottom w:val="single" w:sz="4" w:space="0" w:color="auto"/>
              <w:right w:val="single" w:sz="8" w:space="0" w:color="auto"/>
            </w:tcBorders>
            <w:vAlign w:val="center"/>
            <w:hideMark/>
          </w:tcPr>
          <w:p w14:paraId="0FF255A1" w14:textId="77777777" w:rsidR="001E2C09" w:rsidRPr="006757CB" w:rsidRDefault="001E2C09">
            <w:pPr>
              <w:rPr>
                <w:rFonts w:ascii="Calibri" w:hAnsi="Calibri"/>
                <w:b/>
                <w:bCs/>
                <w:i/>
                <w:iCs/>
                <w:sz w:val="14"/>
                <w:szCs w:val="14"/>
              </w:rPr>
            </w:pPr>
          </w:p>
        </w:tc>
      </w:tr>
      <w:tr w:rsidR="006757CB" w:rsidRPr="006757CB" w14:paraId="2FA5139E"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A43CE" w14:textId="77777777" w:rsidR="001E2C09" w:rsidRPr="006757CB" w:rsidRDefault="001E2C09">
            <w:pPr>
              <w:jc w:val="center"/>
              <w:rPr>
                <w:rFonts w:ascii="Calibri" w:hAnsi="Calibri"/>
                <w:i/>
                <w:iCs/>
                <w:sz w:val="14"/>
                <w:szCs w:val="14"/>
              </w:rPr>
            </w:pPr>
            <w:r w:rsidRPr="006757CB">
              <w:rPr>
                <w:rFonts w:ascii="Calibri" w:hAnsi="Calibri"/>
                <w:i/>
                <w:iCs/>
                <w:sz w:val="14"/>
                <w:szCs w:val="14"/>
              </w:rPr>
              <w:t>01-abr-67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8118C" w14:textId="77777777" w:rsidR="001E2C09" w:rsidRPr="006757CB" w:rsidRDefault="001E2C09">
            <w:pPr>
              <w:jc w:val="right"/>
              <w:rPr>
                <w:rFonts w:ascii="Calibri" w:hAnsi="Calibri"/>
                <w:i/>
                <w:iCs/>
                <w:sz w:val="14"/>
                <w:szCs w:val="14"/>
              </w:rPr>
            </w:pPr>
            <w:r w:rsidRPr="006757CB">
              <w:rPr>
                <w:rFonts w:ascii="Calibri" w:hAnsi="Calibri"/>
                <w:i/>
                <w:iCs/>
                <w:sz w:val="14"/>
                <w:szCs w:val="14"/>
              </w:rPr>
              <w:t>20-nov-67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60E4A" w14:textId="77777777" w:rsidR="001E2C09" w:rsidRPr="006757CB" w:rsidRDefault="001E2C09">
            <w:pPr>
              <w:jc w:val="center"/>
              <w:rPr>
                <w:rFonts w:ascii="Calibri" w:hAnsi="Calibri"/>
                <w:i/>
                <w:iCs/>
                <w:sz w:val="14"/>
                <w:szCs w:val="14"/>
              </w:rPr>
            </w:pPr>
            <w:r w:rsidRPr="006757CB">
              <w:rPr>
                <w:rFonts w:ascii="Calibri" w:hAnsi="Calibri"/>
                <w:i/>
                <w:iCs/>
                <w:sz w:val="14"/>
                <w:szCs w:val="14"/>
              </w:rPr>
              <w:t>234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EEC0D" w14:textId="77777777" w:rsidR="001E2C09" w:rsidRPr="006757CB" w:rsidRDefault="001E2C09">
            <w:pPr>
              <w:rPr>
                <w:rFonts w:ascii="Calibri" w:hAnsi="Calibri"/>
                <w:i/>
                <w:iCs/>
                <w:sz w:val="14"/>
                <w:szCs w:val="14"/>
              </w:rPr>
            </w:pPr>
            <w:r w:rsidRPr="006757CB">
              <w:rPr>
                <w:rFonts w:ascii="Calibri" w:hAnsi="Calibri"/>
                <w:i/>
                <w:iCs/>
                <w:sz w:val="14"/>
                <w:szCs w:val="14"/>
              </w:rPr>
              <w:t xml:space="preserve">                     660,00 </w:t>
            </w:r>
          </w:p>
        </w:tc>
        <w:tc>
          <w:tcPr>
            <w:tcW w:w="0" w:type="auto"/>
            <w:tcBorders>
              <w:top w:val="single" w:sz="4" w:space="0" w:color="808000"/>
              <w:left w:val="single" w:sz="4" w:space="0" w:color="auto"/>
              <w:bottom w:val="nil"/>
              <w:right w:val="single" w:sz="4" w:space="0" w:color="auto"/>
            </w:tcBorders>
            <w:shd w:val="clear" w:color="auto" w:fill="auto"/>
            <w:noWrap/>
            <w:vAlign w:val="bottom"/>
            <w:hideMark/>
          </w:tcPr>
          <w:p w14:paraId="2A7266EC"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1E3280E"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157.606,81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45D0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1BB6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0,13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E169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4.305 </w:t>
            </w:r>
          </w:p>
        </w:tc>
      </w:tr>
      <w:tr w:rsidR="006757CB" w:rsidRPr="006757CB" w14:paraId="5FFB4DDF"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E64CB" w14:textId="77777777" w:rsidR="001E2C09" w:rsidRPr="006757CB" w:rsidRDefault="001E2C09">
            <w:pPr>
              <w:jc w:val="center"/>
              <w:rPr>
                <w:rFonts w:ascii="Calibri" w:hAnsi="Calibri"/>
                <w:i/>
                <w:iCs/>
                <w:sz w:val="14"/>
                <w:szCs w:val="14"/>
              </w:rPr>
            </w:pPr>
            <w:r w:rsidRPr="006757CB">
              <w:rPr>
                <w:rFonts w:ascii="Calibri" w:hAnsi="Calibri"/>
                <w:i/>
                <w:iCs/>
                <w:sz w:val="14"/>
                <w:szCs w:val="14"/>
              </w:rPr>
              <w:t>27-ene-69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BC20" w14:textId="77777777" w:rsidR="001E2C09" w:rsidRPr="006757CB" w:rsidRDefault="001E2C09">
            <w:pPr>
              <w:jc w:val="right"/>
              <w:rPr>
                <w:rFonts w:ascii="Calibri" w:hAnsi="Calibri"/>
                <w:i/>
                <w:iCs/>
                <w:sz w:val="14"/>
                <w:szCs w:val="14"/>
              </w:rPr>
            </w:pPr>
            <w:r w:rsidRPr="006757CB">
              <w:rPr>
                <w:rFonts w:ascii="Calibri" w:hAnsi="Calibri"/>
                <w:i/>
                <w:iCs/>
                <w:sz w:val="14"/>
                <w:szCs w:val="14"/>
              </w:rPr>
              <w:t>28-may-69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7058B" w14:textId="77777777" w:rsidR="001E2C09" w:rsidRPr="006757CB" w:rsidRDefault="001E2C09">
            <w:pPr>
              <w:jc w:val="center"/>
              <w:rPr>
                <w:rFonts w:ascii="Calibri" w:hAnsi="Calibri"/>
                <w:i/>
                <w:iCs/>
                <w:sz w:val="14"/>
                <w:szCs w:val="14"/>
              </w:rPr>
            </w:pPr>
            <w:r w:rsidRPr="006757CB">
              <w:rPr>
                <w:rFonts w:ascii="Calibri" w:hAnsi="Calibri"/>
                <w:i/>
                <w:iCs/>
                <w:sz w:val="14"/>
                <w:szCs w:val="14"/>
              </w:rPr>
              <w:t>122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C913E" w14:textId="77777777" w:rsidR="001E2C09" w:rsidRPr="006757CB" w:rsidRDefault="001E2C09">
            <w:pPr>
              <w:rPr>
                <w:rFonts w:ascii="Calibri" w:hAnsi="Calibri"/>
                <w:i/>
                <w:iCs/>
                <w:sz w:val="14"/>
                <w:szCs w:val="14"/>
              </w:rPr>
            </w:pPr>
            <w:r w:rsidRPr="006757CB">
              <w:rPr>
                <w:rFonts w:ascii="Calibri" w:hAnsi="Calibri"/>
                <w:i/>
                <w:iCs/>
                <w:sz w:val="14"/>
                <w:szCs w:val="14"/>
              </w:rPr>
              <w:t xml:space="preserve">                     930,00 </w:t>
            </w:r>
          </w:p>
        </w:tc>
        <w:tc>
          <w:tcPr>
            <w:tcW w:w="0" w:type="auto"/>
            <w:tcBorders>
              <w:top w:val="nil"/>
              <w:left w:val="single" w:sz="4" w:space="0" w:color="auto"/>
              <w:bottom w:val="nil"/>
              <w:right w:val="single" w:sz="4" w:space="0" w:color="auto"/>
            </w:tcBorders>
            <w:shd w:val="clear" w:color="auto" w:fill="auto"/>
            <w:noWrap/>
            <w:vAlign w:val="bottom"/>
            <w:hideMark/>
          </w:tcPr>
          <w:p w14:paraId="364CD928"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D33A102"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194.558,66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49C8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58F8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F250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2.771 </w:t>
            </w:r>
          </w:p>
        </w:tc>
      </w:tr>
      <w:tr w:rsidR="006757CB" w:rsidRPr="006757CB" w14:paraId="29CDBA26"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7568A" w14:textId="77777777" w:rsidR="001E2C09" w:rsidRPr="006757CB" w:rsidRDefault="001E2C09">
            <w:pPr>
              <w:jc w:val="center"/>
              <w:rPr>
                <w:rFonts w:ascii="Calibri" w:hAnsi="Calibri"/>
                <w:i/>
                <w:iCs/>
                <w:sz w:val="14"/>
                <w:szCs w:val="14"/>
              </w:rPr>
            </w:pPr>
            <w:r w:rsidRPr="006757CB">
              <w:rPr>
                <w:rFonts w:ascii="Calibri" w:hAnsi="Calibri"/>
                <w:i/>
                <w:iCs/>
                <w:sz w:val="14"/>
                <w:szCs w:val="14"/>
              </w:rPr>
              <w:t>16-jun-69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FCB4B"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6C9F3" w14:textId="77777777" w:rsidR="001E2C09" w:rsidRPr="006757CB" w:rsidRDefault="001E2C09">
            <w:pPr>
              <w:jc w:val="center"/>
              <w:rPr>
                <w:rFonts w:ascii="Calibri" w:hAnsi="Calibri"/>
                <w:i/>
                <w:iCs/>
                <w:sz w:val="14"/>
                <w:szCs w:val="14"/>
              </w:rPr>
            </w:pPr>
            <w:r w:rsidRPr="006757CB">
              <w:rPr>
                <w:rFonts w:ascii="Calibri" w:hAnsi="Calibri"/>
                <w:i/>
                <w:iCs/>
                <w:sz w:val="14"/>
                <w:szCs w:val="14"/>
              </w:rPr>
              <w:t>199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E309D" w14:textId="77777777" w:rsidR="001E2C09" w:rsidRPr="006757CB" w:rsidRDefault="001E2C09">
            <w:pPr>
              <w:rPr>
                <w:rFonts w:ascii="Calibri" w:hAnsi="Calibri"/>
                <w:i/>
                <w:iCs/>
                <w:sz w:val="14"/>
                <w:szCs w:val="14"/>
              </w:rPr>
            </w:pPr>
            <w:r w:rsidRPr="006757CB">
              <w:rPr>
                <w:rFonts w:ascii="Calibri" w:hAnsi="Calibri"/>
                <w:i/>
                <w:iCs/>
                <w:sz w:val="14"/>
                <w:szCs w:val="14"/>
              </w:rPr>
              <w:t xml:space="preserve">                     930,00 </w:t>
            </w:r>
          </w:p>
        </w:tc>
        <w:tc>
          <w:tcPr>
            <w:tcW w:w="0" w:type="auto"/>
            <w:tcBorders>
              <w:top w:val="nil"/>
              <w:left w:val="single" w:sz="4" w:space="0" w:color="auto"/>
              <w:bottom w:val="nil"/>
              <w:right w:val="single" w:sz="4" w:space="0" w:color="auto"/>
            </w:tcBorders>
            <w:shd w:val="clear" w:color="auto" w:fill="auto"/>
            <w:noWrap/>
            <w:vAlign w:val="bottom"/>
            <w:hideMark/>
          </w:tcPr>
          <w:p w14:paraId="6EEBDFDB"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9F7D92E"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194.558,66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3A70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BB84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90B2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4.520 </w:t>
            </w:r>
          </w:p>
        </w:tc>
      </w:tr>
      <w:tr w:rsidR="006757CB" w:rsidRPr="006757CB" w14:paraId="79FA859B"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B1B9F"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F781B" w14:textId="77777777" w:rsidR="001E2C09" w:rsidRPr="006757CB" w:rsidRDefault="001E2C09">
            <w:pPr>
              <w:jc w:val="right"/>
              <w:rPr>
                <w:rFonts w:ascii="Calibri" w:hAnsi="Calibri"/>
                <w:i/>
                <w:iCs/>
                <w:sz w:val="14"/>
                <w:szCs w:val="14"/>
              </w:rPr>
            </w:pPr>
            <w:r w:rsidRPr="006757CB">
              <w:rPr>
                <w:rFonts w:ascii="Calibri" w:hAnsi="Calibri"/>
                <w:i/>
                <w:iCs/>
                <w:sz w:val="14"/>
                <w:szCs w:val="14"/>
              </w:rPr>
              <w:t>09-may-70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F7960" w14:textId="77777777" w:rsidR="001E2C09" w:rsidRPr="006757CB" w:rsidRDefault="001E2C09">
            <w:pPr>
              <w:jc w:val="center"/>
              <w:rPr>
                <w:rFonts w:ascii="Calibri" w:hAnsi="Calibri"/>
                <w:i/>
                <w:iCs/>
                <w:sz w:val="14"/>
                <w:szCs w:val="14"/>
              </w:rPr>
            </w:pPr>
            <w:r w:rsidRPr="006757CB">
              <w:rPr>
                <w:rFonts w:ascii="Calibri" w:hAnsi="Calibri"/>
                <w:i/>
                <w:iCs/>
                <w:sz w:val="14"/>
                <w:szCs w:val="14"/>
              </w:rPr>
              <w:t>129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04258" w14:textId="77777777" w:rsidR="001E2C09" w:rsidRPr="006757CB" w:rsidRDefault="001E2C09">
            <w:pPr>
              <w:rPr>
                <w:rFonts w:ascii="Calibri" w:hAnsi="Calibri"/>
                <w:i/>
                <w:iCs/>
                <w:sz w:val="14"/>
                <w:szCs w:val="14"/>
              </w:rPr>
            </w:pPr>
            <w:r w:rsidRPr="006757CB">
              <w:rPr>
                <w:rFonts w:ascii="Calibri" w:hAnsi="Calibri"/>
                <w:i/>
                <w:iCs/>
                <w:sz w:val="14"/>
                <w:szCs w:val="14"/>
              </w:rPr>
              <w:t xml:space="preserve">                     930,00 </w:t>
            </w:r>
          </w:p>
        </w:tc>
        <w:tc>
          <w:tcPr>
            <w:tcW w:w="0" w:type="auto"/>
            <w:tcBorders>
              <w:top w:val="nil"/>
              <w:left w:val="single" w:sz="4" w:space="0" w:color="auto"/>
              <w:bottom w:val="nil"/>
              <w:right w:val="single" w:sz="4" w:space="0" w:color="auto"/>
            </w:tcBorders>
            <w:shd w:val="clear" w:color="auto" w:fill="auto"/>
            <w:noWrap/>
            <w:vAlign w:val="bottom"/>
            <w:hideMark/>
          </w:tcPr>
          <w:p w14:paraId="70DE2E70"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6A8844A"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179.104,89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7B94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29E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2CE8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2.697 </w:t>
            </w:r>
          </w:p>
        </w:tc>
      </w:tr>
      <w:tr w:rsidR="006757CB" w:rsidRPr="006757CB" w14:paraId="6FD70302"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486B8" w14:textId="77777777" w:rsidR="001E2C09" w:rsidRPr="006757CB" w:rsidRDefault="001E2C09">
            <w:pPr>
              <w:jc w:val="center"/>
              <w:rPr>
                <w:rFonts w:ascii="Calibri" w:hAnsi="Calibri"/>
                <w:i/>
                <w:iCs/>
                <w:sz w:val="14"/>
                <w:szCs w:val="14"/>
              </w:rPr>
            </w:pPr>
            <w:r w:rsidRPr="006757CB">
              <w:rPr>
                <w:rFonts w:ascii="Calibri" w:hAnsi="Calibri"/>
                <w:i/>
                <w:iCs/>
                <w:sz w:val="14"/>
                <w:szCs w:val="14"/>
              </w:rPr>
              <w:t>22-jun-70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0FA9D" w14:textId="77777777" w:rsidR="001E2C09" w:rsidRPr="006757CB" w:rsidRDefault="001E2C09">
            <w:pPr>
              <w:jc w:val="right"/>
              <w:rPr>
                <w:rFonts w:ascii="Calibri" w:hAnsi="Calibri"/>
                <w:i/>
                <w:iCs/>
                <w:sz w:val="14"/>
                <w:szCs w:val="14"/>
              </w:rPr>
            </w:pPr>
            <w:r w:rsidRPr="006757CB">
              <w:rPr>
                <w:rFonts w:ascii="Calibri" w:hAnsi="Calibri"/>
                <w:i/>
                <w:iCs/>
                <w:sz w:val="14"/>
                <w:szCs w:val="14"/>
              </w:rPr>
              <w:t>30-sep-70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B3499" w14:textId="77777777" w:rsidR="001E2C09" w:rsidRPr="006757CB" w:rsidRDefault="001E2C09">
            <w:pPr>
              <w:jc w:val="center"/>
              <w:rPr>
                <w:rFonts w:ascii="Calibri" w:hAnsi="Calibri"/>
                <w:i/>
                <w:iCs/>
                <w:sz w:val="14"/>
                <w:szCs w:val="14"/>
              </w:rPr>
            </w:pPr>
            <w:r w:rsidRPr="006757CB">
              <w:rPr>
                <w:rFonts w:ascii="Calibri" w:hAnsi="Calibri"/>
                <w:i/>
                <w:iCs/>
                <w:sz w:val="14"/>
                <w:szCs w:val="14"/>
              </w:rPr>
              <w:t>101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DAA13" w14:textId="77777777" w:rsidR="001E2C09" w:rsidRPr="006757CB" w:rsidRDefault="001E2C09">
            <w:pPr>
              <w:rPr>
                <w:rFonts w:ascii="Calibri" w:hAnsi="Calibri"/>
                <w:i/>
                <w:iCs/>
                <w:sz w:val="14"/>
                <w:szCs w:val="14"/>
              </w:rPr>
            </w:pPr>
            <w:r w:rsidRPr="006757CB">
              <w:rPr>
                <w:rFonts w:ascii="Calibri" w:hAnsi="Calibri"/>
                <w:i/>
                <w:iCs/>
                <w:sz w:val="14"/>
                <w:szCs w:val="14"/>
              </w:rPr>
              <w:t xml:space="preserve">                     930,00 </w:t>
            </w:r>
          </w:p>
        </w:tc>
        <w:tc>
          <w:tcPr>
            <w:tcW w:w="0" w:type="auto"/>
            <w:tcBorders>
              <w:top w:val="nil"/>
              <w:left w:val="single" w:sz="4" w:space="0" w:color="auto"/>
              <w:bottom w:val="nil"/>
              <w:right w:val="single" w:sz="4" w:space="0" w:color="auto"/>
            </w:tcBorders>
            <w:shd w:val="clear" w:color="auto" w:fill="auto"/>
            <w:noWrap/>
            <w:vAlign w:val="bottom"/>
            <w:hideMark/>
          </w:tcPr>
          <w:p w14:paraId="5E02623C"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C7F6EA4"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179.104,89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4510F"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6913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E43A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2.112 </w:t>
            </w:r>
          </w:p>
        </w:tc>
      </w:tr>
      <w:tr w:rsidR="006757CB" w:rsidRPr="006757CB" w14:paraId="676B615D"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B68A7" w14:textId="77777777" w:rsidR="001E2C09" w:rsidRPr="006757CB" w:rsidRDefault="001E2C09">
            <w:pPr>
              <w:jc w:val="center"/>
              <w:rPr>
                <w:rFonts w:ascii="Calibri" w:hAnsi="Calibri"/>
                <w:i/>
                <w:iCs/>
                <w:sz w:val="14"/>
                <w:szCs w:val="14"/>
              </w:rPr>
            </w:pPr>
            <w:r w:rsidRPr="006757CB">
              <w:rPr>
                <w:rFonts w:ascii="Calibri" w:hAnsi="Calibri"/>
                <w:i/>
                <w:iCs/>
                <w:sz w:val="14"/>
                <w:szCs w:val="14"/>
              </w:rPr>
              <w:t>01-oct-70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A8B23"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88798" w14:textId="77777777" w:rsidR="001E2C09" w:rsidRPr="006757CB" w:rsidRDefault="001E2C09">
            <w:pPr>
              <w:jc w:val="center"/>
              <w:rPr>
                <w:rFonts w:ascii="Calibri" w:hAnsi="Calibri"/>
                <w:i/>
                <w:iCs/>
                <w:sz w:val="14"/>
                <w:szCs w:val="14"/>
              </w:rPr>
            </w:pPr>
            <w:r w:rsidRPr="006757CB">
              <w:rPr>
                <w:rFonts w:ascii="Calibri" w:hAnsi="Calibri"/>
                <w:i/>
                <w:iCs/>
                <w:sz w:val="14"/>
                <w:szCs w:val="14"/>
              </w:rPr>
              <w:t>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6AFCE"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1.290,00 </w:t>
            </w:r>
          </w:p>
        </w:tc>
        <w:tc>
          <w:tcPr>
            <w:tcW w:w="0" w:type="auto"/>
            <w:tcBorders>
              <w:top w:val="nil"/>
              <w:left w:val="single" w:sz="4" w:space="0" w:color="auto"/>
              <w:bottom w:val="nil"/>
              <w:right w:val="single" w:sz="4" w:space="0" w:color="auto"/>
            </w:tcBorders>
            <w:shd w:val="clear" w:color="auto" w:fill="auto"/>
            <w:noWrap/>
            <w:vAlign w:val="bottom"/>
            <w:hideMark/>
          </w:tcPr>
          <w:p w14:paraId="175346A8"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0CA662F"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248.435,81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EFA09"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AE08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513F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2.668 </w:t>
            </w:r>
          </w:p>
        </w:tc>
      </w:tr>
      <w:tr w:rsidR="006757CB" w:rsidRPr="006757CB" w14:paraId="0E68F911"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31204"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6E624" w14:textId="77777777" w:rsidR="001E2C09" w:rsidRPr="006757CB" w:rsidRDefault="001E2C09">
            <w:pPr>
              <w:jc w:val="right"/>
              <w:rPr>
                <w:rFonts w:ascii="Calibri" w:hAnsi="Calibri"/>
                <w:i/>
                <w:iCs/>
                <w:sz w:val="14"/>
                <w:szCs w:val="14"/>
              </w:rPr>
            </w:pPr>
            <w:r w:rsidRPr="006757CB">
              <w:rPr>
                <w:rFonts w:ascii="Calibri" w:hAnsi="Calibri"/>
                <w:i/>
                <w:iCs/>
                <w:sz w:val="14"/>
                <w:szCs w:val="14"/>
              </w:rPr>
              <w:t>31-oct-71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7BFE1" w14:textId="77777777" w:rsidR="001E2C09" w:rsidRPr="006757CB" w:rsidRDefault="001E2C09">
            <w:pPr>
              <w:jc w:val="center"/>
              <w:rPr>
                <w:rFonts w:ascii="Calibri" w:hAnsi="Calibri"/>
                <w:i/>
                <w:iCs/>
                <w:sz w:val="14"/>
                <w:szCs w:val="14"/>
              </w:rPr>
            </w:pPr>
            <w:r w:rsidRPr="006757CB">
              <w:rPr>
                <w:rFonts w:ascii="Calibri" w:hAnsi="Calibri"/>
                <w:i/>
                <w:iCs/>
                <w:sz w:val="14"/>
                <w:szCs w:val="14"/>
              </w:rPr>
              <w:t>304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8FB8C"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1.290,00 </w:t>
            </w:r>
          </w:p>
        </w:tc>
        <w:tc>
          <w:tcPr>
            <w:tcW w:w="0" w:type="auto"/>
            <w:tcBorders>
              <w:top w:val="nil"/>
              <w:left w:val="single" w:sz="4" w:space="0" w:color="auto"/>
              <w:bottom w:val="nil"/>
              <w:right w:val="single" w:sz="4" w:space="0" w:color="auto"/>
            </w:tcBorders>
            <w:shd w:val="clear" w:color="auto" w:fill="auto"/>
            <w:noWrap/>
            <w:vAlign w:val="bottom"/>
            <w:hideMark/>
          </w:tcPr>
          <w:p w14:paraId="0376F76A"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5FE50EA"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233.095,59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2C55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9C4D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0,17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1605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8.272 </w:t>
            </w:r>
          </w:p>
        </w:tc>
      </w:tr>
      <w:tr w:rsidR="006757CB" w:rsidRPr="006757CB" w14:paraId="1B779515"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7BB65" w14:textId="77777777" w:rsidR="001E2C09" w:rsidRPr="006757CB" w:rsidRDefault="001E2C09">
            <w:pPr>
              <w:jc w:val="center"/>
              <w:rPr>
                <w:rFonts w:ascii="Calibri" w:hAnsi="Calibri"/>
                <w:i/>
                <w:iCs/>
                <w:sz w:val="14"/>
                <w:szCs w:val="14"/>
              </w:rPr>
            </w:pPr>
            <w:r w:rsidRPr="006757CB">
              <w:rPr>
                <w:rFonts w:ascii="Calibri" w:hAnsi="Calibri"/>
                <w:i/>
                <w:iCs/>
                <w:sz w:val="14"/>
                <w:szCs w:val="14"/>
              </w:rPr>
              <w:t>01-sep-74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CF0B3"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AE927" w14:textId="77777777" w:rsidR="001E2C09" w:rsidRPr="006757CB" w:rsidRDefault="001E2C09">
            <w:pPr>
              <w:jc w:val="center"/>
              <w:rPr>
                <w:rFonts w:ascii="Calibri" w:hAnsi="Calibri"/>
                <w:i/>
                <w:iCs/>
                <w:sz w:val="14"/>
                <w:szCs w:val="14"/>
              </w:rPr>
            </w:pPr>
            <w:r w:rsidRPr="006757CB">
              <w:rPr>
                <w:rFonts w:ascii="Calibri" w:hAnsi="Calibri"/>
                <w:i/>
                <w:iCs/>
                <w:sz w:val="14"/>
                <w:szCs w:val="14"/>
              </w:rPr>
              <w:t>122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F6D1C" w14:textId="77777777" w:rsidR="001E2C09" w:rsidRPr="006757CB" w:rsidRDefault="001E2C09">
            <w:pPr>
              <w:rPr>
                <w:rFonts w:ascii="Calibri" w:hAnsi="Calibri"/>
                <w:i/>
                <w:iCs/>
                <w:sz w:val="14"/>
                <w:szCs w:val="14"/>
              </w:rPr>
            </w:pPr>
            <w:r w:rsidRPr="006757CB">
              <w:rPr>
                <w:rFonts w:ascii="Calibri" w:hAnsi="Calibri"/>
                <w:i/>
                <w:iCs/>
                <w:sz w:val="14"/>
                <w:szCs w:val="14"/>
              </w:rPr>
              <w:t xml:space="preserve">                     930,00 </w:t>
            </w:r>
          </w:p>
        </w:tc>
        <w:tc>
          <w:tcPr>
            <w:tcW w:w="0" w:type="auto"/>
            <w:tcBorders>
              <w:top w:val="nil"/>
              <w:left w:val="single" w:sz="4" w:space="0" w:color="auto"/>
              <w:bottom w:val="nil"/>
              <w:right w:val="single" w:sz="4" w:space="0" w:color="auto"/>
            </w:tcBorders>
            <w:shd w:val="clear" w:color="auto" w:fill="auto"/>
            <w:noWrap/>
            <w:vAlign w:val="bottom"/>
            <w:hideMark/>
          </w:tcPr>
          <w:p w14:paraId="4B59B33F"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B3E5D30"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104.186,06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9EA7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4532F"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0,28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8134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1.484 </w:t>
            </w:r>
          </w:p>
        </w:tc>
      </w:tr>
      <w:tr w:rsidR="006757CB" w:rsidRPr="006757CB" w14:paraId="4D214445"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F12C1"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F64EE" w14:textId="77777777" w:rsidR="001E2C09" w:rsidRPr="006757CB" w:rsidRDefault="001E2C09">
            <w:pPr>
              <w:jc w:val="right"/>
              <w:rPr>
                <w:rFonts w:ascii="Calibri" w:hAnsi="Calibri"/>
                <w:i/>
                <w:iCs/>
                <w:sz w:val="14"/>
                <w:szCs w:val="14"/>
              </w:rPr>
            </w:pPr>
            <w:r w:rsidRPr="006757CB">
              <w:rPr>
                <w:rFonts w:ascii="Calibri" w:hAnsi="Calibri"/>
                <w:i/>
                <w:iCs/>
                <w:sz w:val="14"/>
                <w:szCs w:val="14"/>
              </w:rPr>
              <w:t>31-ene-75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FF11A"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148D6" w14:textId="77777777" w:rsidR="001E2C09" w:rsidRPr="006757CB" w:rsidRDefault="001E2C09">
            <w:pPr>
              <w:rPr>
                <w:rFonts w:ascii="Calibri" w:hAnsi="Calibri"/>
                <w:i/>
                <w:iCs/>
                <w:sz w:val="14"/>
                <w:szCs w:val="14"/>
              </w:rPr>
            </w:pPr>
            <w:r w:rsidRPr="006757CB">
              <w:rPr>
                <w:rFonts w:ascii="Calibri" w:hAnsi="Calibri"/>
                <w:i/>
                <w:iCs/>
                <w:sz w:val="14"/>
                <w:szCs w:val="14"/>
              </w:rPr>
              <w:t xml:space="preserve">                     930,00 </w:t>
            </w:r>
          </w:p>
        </w:tc>
        <w:tc>
          <w:tcPr>
            <w:tcW w:w="0" w:type="auto"/>
            <w:tcBorders>
              <w:top w:val="nil"/>
              <w:left w:val="single" w:sz="4" w:space="0" w:color="auto"/>
              <w:bottom w:val="nil"/>
              <w:right w:val="single" w:sz="4" w:space="0" w:color="auto"/>
            </w:tcBorders>
            <w:shd w:val="clear" w:color="auto" w:fill="auto"/>
            <w:noWrap/>
            <w:vAlign w:val="bottom"/>
            <w:hideMark/>
          </w:tcPr>
          <w:p w14:paraId="5B542424"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5FB5038"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82.458,03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157B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E425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0,35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32AE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298 </w:t>
            </w:r>
          </w:p>
        </w:tc>
      </w:tr>
      <w:tr w:rsidR="006757CB" w:rsidRPr="006757CB" w14:paraId="05564442"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4E402" w14:textId="77777777" w:rsidR="001E2C09" w:rsidRPr="006757CB" w:rsidRDefault="001E2C09">
            <w:pPr>
              <w:jc w:val="center"/>
              <w:rPr>
                <w:rFonts w:ascii="Calibri" w:hAnsi="Calibri"/>
                <w:i/>
                <w:iCs/>
                <w:sz w:val="14"/>
                <w:szCs w:val="14"/>
              </w:rPr>
            </w:pPr>
            <w:r w:rsidRPr="006757CB">
              <w:rPr>
                <w:rFonts w:ascii="Calibri" w:hAnsi="Calibri"/>
                <w:i/>
                <w:iCs/>
                <w:sz w:val="14"/>
                <w:szCs w:val="14"/>
              </w:rPr>
              <w:t>01-feb-75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BEB81" w14:textId="77777777" w:rsidR="001E2C09" w:rsidRPr="006757CB" w:rsidRDefault="001E2C09">
            <w:pPr>
              <w:jc w:val="right"/>
              <w:rPr>
                <w:rFonts w:ascii="Calibri" w:hAnsi="Calibri"/>
                <w:i/>
                <w:iCs/>
                <w:sz w:val="14"/>
                <w:szCs w:val="14"/>
              </w:rPr>
            </w:pPr>
            <w:r w:rsidRPr="006757CB">
              <w:rPr>
                <w:rFonts w:ascii="Calibri" w:hAnsi="Calibri"/>
                <w:i/>
                <w:iCs/>
                <w:sz w:val="14"/>
                <w:szCs w:val="14"/>
              </w:rPr>
              <w:t>30-abr-75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69858" w14:textId="77777777" w:rsidR="001E2C09" w:rsidRPr="006757CB" w:rsidRDefault="001E2C09">
            <w:pPr>
              <w:jc w:val="center"/>
              <w:rPr>
                <w:rFonts w:ascii="Calibri" w:hAnsi="Calibri"/>
                <w:i/>
                <w:iCs/>
                <w:sz w:val="14"/>
                <w:szCs w:val="14"/>
              </w:rPr>
            </w:pPr>
            <w:r w:rsidRPr="006757CB">
              <w:rPr>
                <w:rFonts w:ascii="Calibri" w:hAnsi="Calibri"/>
                <w:i/>
                <w:iCs/>
                <w:sz w:val="14"/>
                <w:szCs w:val="14"/>
              </w:rPr>
              <w:t>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F31B2"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1.290,00 </w:t>
            </w:r>
          </w:p>
        </w:tc>
        <w:tc>
          <w:tcPr>
            <w:tcW w:w="0" w:type="auto"/>
            <w:tcBorders>
              <w:top w:val="nil"/>
              <w:left w:val="single" w:sz="4" w:space="0" w:color="auto"/>
              <w:bottom w:val="nil"/>
              <w:right w:val="single" w:sz="4" w:space="0" w:color="auto"/>
            </w:tcBorders>
            <w:shd w:val="clear" w:color="auto" w:fill="auto"/>
            <w:noWrap/>
            <w:vAlign w:val="bottom"/>
            <w:hideMark/>
          </w:tcPr>
          <w:p w14:paraId="22226FAE"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E231CE9"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114.377,26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8E10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E715D"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0,35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FB4C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1.188 </w:t>
            </w:r>
          </w:p>
        </w:tc>
      </w:tr>
      <w:tr w:rsidR="006757CB" w:rsidRPr="006757CB" w14:paraId="6B142511"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539EB" w14:textId="77777777" w:rsidR="001E2C09" w:rsidRPr="006757CB" w:rsidRDefault="001E2C09">
            <w:pPr>
              <w:jc w:val="center"/>
              <w:rPr>
                <w:rFonts w:ascii="Calibri" w:hAnsi="Calibri"/>
                <w:i/>
                <w:iCs/>
                <w:sz w:val="14"/>
                <w:szCs w:val="14"/>
              </w:rPr>
            </w:pPr>
            <w:r w:rsidRPr="006757CB">
              <w:rPr>
                <w:rFonts w:ascii="Calibri" w:hAnsi="Calibri"/>
                <w:i/>
                <w:iCs/>
                <w:sz w:val="14"/>
                <w:szCs w:val="14"/>
              </w:rPr>
              <w:t>01-may-75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BD113"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0A489" w14:textId="77777777" w:rsidR="001E2C09" w:rsidRPr="006757CB" w:rsidRDefault="001E2C09">
            <w:pPr>
              <w:jc w:val="center"/>
              <w:rPr>
                <w:rFonts w:ascii="Calibri" w:hAnsi="Calibri"/>
                <w:i/>
                <w:iCs/>
                <w:sz w:val="14"/>
                <w:szCs w:val="14"/>
              </w:rPr>
            </w:pPr>
            <w:r w:rsidRPr="006757CB">
              <w:rPr>
                <w:rFonts w:ascii="Calibri" w:hAnsi="Calibri"/>
                <w:i/>
                <w:iCs/>
                <w:sz w:val="14"/>
                <w:szCs w:val="14"/>
              </w:rPr>
              <w:t>245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5056B"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2.430,00 </w:t>
            </w:r>
          </w:p>
        </w:tc>
        <w:tc>
          <w:tcPr>
            <w:tcW w:w="0" w:type="auto"/>
            <w:tcBorders>
              <w:top w:val="nil"/>
              <w:left w:val="single" w:sz="4" w:space="0" w:color="auto"/>
              <w:bottom w:val="nil"/>
              <w:right w:val="single" w:sz="4" w:space="0" w:color="auto"/>
            </w:tcBorders>
            <w:shd w:val="clear" w:color="auto" w:fill="auto"/>
            <w:noWrap/>
            <w:vAlign w:val="bottom"/>
            <w:hideMark/>
          </w:tcPr>
          <w:p w14:paraId="50FDB80E"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08AD74A"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215.454,84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2026E"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419E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0,35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30BB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6.162 </w:t>
            </w:r>
          </w:p>
        </w:tc>
      </w:tr>
      <w:tr w:rsidR="006757CB" w:rsidRPr="006757CB" w14:paraId="2614F8BF"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EFDF9"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242F3" w14:textId="77777777" w:rsidR="001E2C09" w:rsidRPr="006757CB" w:rsidRDefault="001E2C09">
            <w:pPr>
              <w:jc w:val="right"/>
              <w:rPr>
                <w:rFonts w:ascii="Calibri" w:hAnsi="Calibri"/>
                <w:i/>
                <w:iCs/>
                <w:sz w:val="14"/>
                <w:szCs w:val="14"/>
              </w:rPr>
            </w:pPr>
            <w:r w:rsidRPr="006757CB">
              <w:rPr>
                <w:rFonts w:ascii="Calibri" w:hAnsi="Calibri"/>
                <w:i/>
                <w:iCs/>
                <w:sz w:val="14"/>
                <w:szCs w:val="14"/>
              </w:rPr>
              <w:t>31-ene-76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F4A1A"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AC1E0"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2.430,00 </w:t>
            </w:r>
          </w:p>
        </w:tc>
        <w:tc>
          <w:tcPr>
            <w:tcW w:w="0" w:type="auto"/>
            <w:tcBorders>
              <w:top w:val="nil"/>
              <w:left w:val="single" w:sz="4" w:space="0" w:color="auto"/>
              <w:bottom w:val="nil"/>
              <w:right w:val="single" w:sz="4" w:space="0" w:color="auto"/>
            </w:tcBorders>
            <w:shd w:val="clear" w:color="auto" w:fill="auto"/>
            <w:noWrap/>
            <w:vAlign w:val="bottom"/>
            <w:hideMark/>
          </w:tcPr>
          <w:p w14:paraId="078CA717"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9F2C272"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182.942,81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A65E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35A1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0,41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490D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662 </w:t>
            </w:r>
          </w:p>
        </w:tc>
      </w:tr>
      <w:tr w:rsidR="006757CB" w:rsidRPr="006757CB" w14:paraId="6F750878"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7882A" w14:textId="77777777" w:rsidR="001E2C09" w:rsidRPr="006757CB" w:rsidRDefault="001E2C09">
            <w:pPr>
              <w:jc w:val="center"/>
              <w:rPr>
                <w:rFonts w:ascii="Calibri" w:hAnsi="Calibri"/>
                <w:i/>
                <w:iCs/>
                <w:sz w:val="14"/>
                <w:szCs w:val="14"/>
              </w:rPr>
            </w:pPr>
            <w:r w:rsidRPr="006757CB">
              <w:rPr>
                <w:rFonts w:ascii="Calibri" w:hAnsi="Calibri"/>
                <w:i/>
                <w:iCs/>
                <w:sz w:val="14"/>
                <w:szCs w:val="14"/>
              </w:rPr>
              <w:t>01-feb-76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F5F65" w14:textId="77777777" w:rsidR="001E2C09" w:rsidRPr="006757CB" w:rsidRDefault="001E2C09">
            <w:pPr>
              <w:jc w:val="right"/>
              <w:rPr>
                <w:rFonts w:ascii="Calibri" w:hAnsi="Calibri"/>
                <w:i/>
                <w:iCs/>
                <w:sz w:val="14"/>
                <w:szCs w:val="14"/>
              </w:rPr>
            </w:pPr>
            <w:r w:rsidRPr="006757CB">
              <w:rPr>
                <w:rFonts w:ascii="Calibri" w:hAnsi="Calibri"/>
                <w:i/>
                <w:iCs/>
                <w:sz w:val="14"/>
                <w:szCs w:val="14"/>
              </w:rPr>
              <w:t>30-jun-76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B58A5" w14:textId="77777777" w:rsidR="001E2C09" w:rsidRPr="006757CB" w:rsidRDefault="001E2C09">
            <w:pPr>
              <w:jc w:val="center"/>
              <w:rPr>
                <w:rFonts w:ascii="Calibri" w:hAnsi="Calibri"/>
                <w:i/>
                <w:iCs/>
                <w:sz w:val="14"/>
                <w:szCs w:val="14"/>
              </w:rPr>
            </w:pPr>
            <w:r w:rsidRPr="006757CB">
              <w:rPr>
                <w:rFonts w:ascii="Calibri" w:hAnsi="Calibri"/>
                <w:i/>
                <w:iCs/>
                <w:sz w:val="14"/>
                <w:szCs w:val="14"/>
              </w:rPr>
              <w:t>151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47932" w14:textId="77777777" w:rsidR="001E2C09" w:rsidRPr="006757CB" w:rsidRDefault="001E2C09">
            <w:pPr>
              <w:rPr>
                <w:rFonts w:ascii="Calibri" w:hAnsi="Calibri"/>
                <w:i/>
                <w:iCs/>
                <w:sz w:val="14"/>
                <w:szCs w:val="14"/>
              </w:rPr>
            </w:pPr>
            <w:r w:rsidRPr="006757CB">
              <w:rPr>
                <w:rFonts w:ascii="Calibri" w:hAnsi="Calibri"/>
                <w:i/>
                <w:iCs/>
                <w:sz w:val="14"/>
                <w:szCs w:val="14"/>
              </w:rPr>
              <w:t xml:space="preserve">                 3.300,00 </w:t>
            </w:r>
          </w:p>
        </w:tc>
        <w:tc>
          <w:tcPr>
            <w:tcW w:w="0" w:type="auto"/>
            <w:tcBorders>
              <w:top w:val="nil"/>
              <w:left w:val="single" w:sz="4" w:space="0" w:color="auto"/>
              <w:bottom w:val="nil"/>
              <w:right w:val="single" w:sz="4" w:space="0" w:color="auto"/>
            </w:tcBorders>
            <w:shd w:val="clear" w:color="auto" w:fill="auto"/>
            <w:noWrap/>
            <w:vAlign w:val="bottom"/>
            <w:hideMark/>
          </w:tcPr>
          <w:p w14:paraId="46BA6967"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86A6004"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248.440,86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28439"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7417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0,41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76C5D"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4.379 </w:t>
            </w:r>
          </w:p>
        </w:tc>
      </w:tr>
      <w:tr w:rsidR="006757CB" w:rsidRPr="006757CB" w14:paraId="76BD1CC5"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2D7E1" w14:textId="77777777" w:rsidR="001E2C09" w:rsidRPr="006757CB" w:rsidRDefault="001E2C09">
            <w:pPr>
              <w:jc w:val="center"/>
              <w:rPr>
                <w:rFonts w:ascii="Calibri" w:hAnsi="Calibri"/>
                <w:i/>
                <w:iCs/>
                <w:sz w:val="14"/>
                <w:szCs w:val="14"/>
              </w:rPr>
            </w:pPr>
            <w:r w:rsidRPr="006757CB">
              <w:rPr>
                <w:rFonts w:ascii="Calibri" w:hAnsi="Calibri"/>
                <w:i/>
                <w:iCs/>
                <w:sz w:val="14"/>
                <w:szCs w:val="14"/>
              </w:rPr>
              <w:t>01-jul-76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0CF57"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F3F82" w14:textId="77777777" w:rsidR="001E2C09" w:rsidRPr="006757CB" w:rsidRDefault="001E2C09">
            <w:pPr>
              <w:jc w:val="center"/>
              <w:rPr>
                <w:rFonts w:ascii="Calibri" w:hAnsi="Calibri"/>
                <w:i/>
                <w:iCs/>
                <w:sz w:val="14"/>
                <w:szCs w:val="14"/>
              </w:rPr>
            </w:pPr>
            <w:r w:rsidRPr="006757CB">
              <w:rPr>
                <w:rFonts w:ascii="Calibri" w:hAnsi="Calibri"/>
                <w:i/>
                <w:iCs/>
                <w:sz w:val="14"/>
                <w:szCs w:val="14"/>
              </w:rPr>
              <w:t>184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41E4B" w14:textId="77777777" w:rsidR="001E2C09" w:rsidRPr="006757CB" w:rsidRDefault="001E2C09">
            <w:pPr>
              <w:rPr>
                <w:rFonts w:ascii="Calibri" w:hAnsi="Calibri"/>
                <w:i/>
                <w:iCs/>
                <w:sz w:val="14"/>
                <w:szCs w:val="14"/>
              </w:rPr>
            </w:pPr>
            <w:r w:rsidRPr="006757CB">
              <w:rPr>
                <w:rFonts w:ascii="Calibri" w:hAnsi="Calibri"/>
                <w:i/>
                <w:iCs/>
                <w:sz w:val="14"/>
                <w:szCs w:val="14"/>
              </w:rPr>
              <w:t xml:space="preserve">                 5.790,00 </w:t>
            </w:r>
          </w:p>
        </w:tc>
        <w:tc>
          <w:tcPr>
            <w:tcW w:w="0" w:type="auto"/>
            <w:tcBorders>
              <w:top w:val="nil"/>
              <w:left w:val="single" w:sz="4" w:space="0" w:color="auto"/>
              <w:bottom w:val="nil"/>
              <w:right w:val="single" w:sz="4" w:space="0" w:color="auto"/>
            </w:tcBorders>
            <w:shd w:val="clear" w:color="auto" w:fill="auto"/>
            <w:noWrap/>
            <w:vAlign w:val="bottom"/>
            <w:hideMark/>
          </w:tcPr>
          <w:p w14:paraId="1D0AE257"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599D4D5"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435.900,77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6D62E"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384A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0,41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470ED"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9.363 </w:t>
            </w:r>
          </w:p>
        </w:tc>
      </w:tr>
      <w:tr w:rsidR="006757CB" w:rsidRPr="006757CB" w14:paraId="2C9FA97E"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5A841"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494AB" w14:textId="77777777" w:rsidR="001E2C09" w:rsidRPr="006757CB" w:rsidRDefault="001E2C09">
            <w:pPr>
              <w:jc w:val="right"/>
              <w:rPr>
                <w:rFonts w:ascii="Calibri" w:hAnsi="Calibri"/>
                <w:i/>
                <w:iCs/>
                <w:sz w:val="14"/>
                <w:szCs w:val="14"/>
              </w:rPr>
            </w:pPr>
            <w:r w:rsidRPr="006757CB">
              <w:rPr>
                <w:rFonts w:ascii="Calibri" w:hAnsi="Calibri"/>
                <w:i/>
                <w:iCs/>
                <w:sz w:val="14"/>
                <w:szCs w:val="14"/>
              </w:rPr>
              <w:t>30-jun-77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80970" w14:textId="77777777" w:rsidR="001E2C09" w:rsidRPr="006757CB" w:rsidRDefault="001E2C09">
            <w:pPr>
              <w:jc w:val="center"/>
              <w:rPr>
                <w:rFonts w:ascii="Calibri" w:hAnsi="Calibri"/>
                <w:i/>
                <w:iCs/>
                <w:sz w:val="14"/>
                <w:szCs w:val="14"/>
              </w:rPr>
            </w:pPr>
            <w:r w:rsidRPr="006757CB">
              <w:rPr>
                <w:rFonts w:ascii="Calibri" w:hAnsi="Calibri"/>
                <w:i/>
                <w:iCs/>
                <w:sz w:val="14"/>
                <w:szCs w:val="14"/>
              </w:rPr>
              <w:t>181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ED2B2" w14:textId="77777777" w:rsidR="001E2C09" w:rsidRPr="006757CB" w:rsidRDefault="001E2C09">
            <w:pPr>
              <w:rPr>
                <w:rFonts w:ascii="Calibri" w:hAnsi="Calibri"/>
                <w:i/>
                <w:iCs/>
                <w:sz w:val="14"/>
                <w:szCs w:val="14"/>
              </w:rPr>
            </w:pPr>
            <w:r w:rsidRPr="006757CB">
              <w:rPr>
                <w:rFonts w:ascii="Calibri" w:hAnsi="Calibri"/>
                <w:i/>
                <w:iCs/>
                <w:sz w:val="14"/>
                <w:szCs w:val="14"/>
              </w:rPr>
              <w:t xml:space="preserve">                 9.480,00 </w:t>
            </w:r>
          </w:p>
        </w:tc>
        <w:tc>
          <w:tcPr>
            <w:tcW w:w="0" w:type="auto"/>
            <w:tcBorders>
              <w:top w:val="nil"/>
              <w:left w:val="single" w:sz="4" w:space="0" w:color="auto"/>
              <w:bottom w:val="nil"/>
              <w:right w:val="single" w:sz="4" w:space="0" w:color="auto"/>
            </w:tcBorders>
            <w:shd w:val="clear" w:color="auto" w:fill="auto"/>
            <w:noWrap/>
            <w:vAlign w:val="bottom"/>
            <w:hideMark/>
          </w:tcPr>
          <w:p w14:paraId="08D5DBAC"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F590345"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567.498,56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F20DE"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CC45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0,52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4C8FF"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11.991 </w:t>
            </w:r>
          </w:p>
        </w:tc>
      </w:tr>
      <w:tr w:rsidR="006757CB" w:rsidRPr="006757CB" w14:paraId="64971984"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60BDC" w14:textId="77777777" w:rsidR="001E2C09" w:rsidRPr="006757CB" w:rsidRDefault="001E2C09">
            <w:pPr>
              <w:jc w:val="center"/>
              <w:rPr>
                <w:rFonts w:ascii="Calibri" w:hAnsi="Calibri"/>
                <w:i/>
                <w:iCs/>
                <w:sz w:val="14"/>
                <w:szCs w:val="14"/>
              </w:rPr>
            </w:pPr>
            <w:r w:rsidRPr="006757CB">
              <w:rPr>
                <w:rFonts w:ascii="Calibri" w:hAnsi="Calibri"/>
                <w:i/>
                <w:iCs/>
                <w:sz w:val="14"/>
                <w:szCs w:val="14"/>
              </w:rPr>
              <w:t>01-jul-77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1BC88"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A7D6E" w14:textId="77777777" w:rsidR="001E2C09" w:rsidRPr="006757CB" w:rsidRDefault="001E2C09">
            <w:pPr>
              <w:jc w:val="center"/>
              <w:rPr>
                <w:rFonts w:ascii="Calibri" w:hAnsi="Calibri"/>
                <w:i/>
                <w:iCs/>
                <w:sz w:val="14"/>
                <w:szCs w:val="14"/>
              </w:rPr>
            </w:pPr>
            <w:r w:rsidRPr="006757CB">
              <w:rPr>
                <w:rFonts w:ascii="Calibri" w:hAnsi="Calibri"/>
                <w:i/>
                <w:iCs/>
                <w:sz w:val="14"/>
                <w:szCs w:val="14"/>
              </w:rPr>
              <w:t>184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ABE80"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11.850,00 </w:t>
            </w:r>
          </w:p>
        </w:tc>
        <w:tc>
          <w:tcPr>
            <w:tcW w:w="0" w:type="auto"/>
            <w:tcBorders>
              <w:top w:val="nil"/>
              <w:left w:val="single" w:sz="4" w:space="0" w:color="auto"/>
              <w:bottom w:val="nil"/>
              <w:right w:val="single" w:sz="4" w:space="0" w:color="auto"/>
            </w:tcBorders>
            <w:shd w:val="clear" w:color="auto" w:fill="auto"/>
            <w:noWrap/>
            <w:vAlign w:val="bottom"/>
            <w:hideMark/>
          </w:tcPr>
          <w:p w14:paraId="45BB10A9"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47B0D45"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709.373,20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8DCC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B3196"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0,52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A193D"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15.238 </w:t>
            </w:r>
          </w:p>
        </w:tc>
      </w:tr>
      <w:tr w:rsidR="006757CB" w:rsidRPr="006757CB" w14:paraId="5B11CD2B"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ACD6C"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7745E"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7DC3E" w14:textId="77777777" w:rsidR="001E2C09" w:rsidRPr="006757CB" w:rsidRDefault="001E2C09">
            <w:pPr>
              <w:jc w:val="center"/>
              <w:rPr>
                <w:rFonts w:ascii="Calibri" w:hAnsi="Calibri"/>
                <w:i/>
                <w:iCs/>
                <w:sz w:val="14"/>
                <w:szCs w:val="14"/>
              </w:rPr>
            </w:pPr>
            <w:r w:rsidRPr="006757CB">
              <w:rPr>
                <w:rFonts w:ascii="Calibri" w:hAnsi="Calibri"/>
                <w:i/>
                <w:iCs/>
                <w:sz w:val="14"/>
                <w:szCs w:val="14"/>
              </w:rPr>
              <w:t>365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902CE"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25.530,00 </w:t>
            </w:r>
          </w:p>
        </w:tc>
        <w:tc>
          <w:tcPr>
            <w:tcW w:w="0" w:type="auto"/>
            <w:tcBorders>
              <w:top w:val="nil"/>
              <w:left w:val="single" w:sz="4" w:space="0" w:color="auto"/>
              <w:bottom w:val="nil"/>
              <w:right w:val="single" w:sz="4" w:space="0" w:color="auto"/>
            </w:tcBorders>
            <w:shd w:val="clear" w:color="auto" w:fill="auto"/>
            <w:noWrap/>
            <w:vAlign w:val="bottom"/>
            <w:hideMark/>
          </w:tcPr>
          <w:p w14:paraId="73ED5740"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33917DA"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1.187.379,69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4EBB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3F6D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0,67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17FD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50.595 </w:t>
            </w:r>
          </w:p>
        </w:tc>
      </w:tr>
      <w:tr w:rsidR="006757CB" w:rsidRPr="006757CB" w14:paraId="690CB479"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8CCB4"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1E650"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D6B7E" w14:textId="77777777" w:rsidR="001E2C09" w:rsidRPr="006757CB" w:rsidRDefault="001E2C09">
            <w:pPr>
              <w:jc w:val="center"/>
              <w:rPr>
                <w:rFonts w:ascii="Calibri" w:hAnsi="Calibri"/>
                <w:i/>
                <w:iCs/>
                <w:sz w:val="14"/>
                <w:szCs w:val="14"/>
              </w:rPr>
            </w:pPr>
            <w:r w:rsidRPr="006757CB">
              <w:rPr>
                <w:rFonts w:ascii="Calibri" w:hAnsi="Calibri"/>
                <w:i/>
                <w:iCs/>
                <w:sz w:val="14"/>
                <w:szCs w:val="14"/>
              </w:rPr>
              <w:t>365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1B836"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25.530,00 </w:t>
            </w:r>
          </w:p>
        </w:tc>
        <w:tc>
          <w:tcPr>
            <w:tcW w:w="0" w:type="auto"/>
            <w:tcBorders>
              <w:top w:val="nil"/>
              <w:left w:val="single" w:sz="4" w:space="0" w:color="auto"/>
              <w:bottom w:val="nil"/>
              <w:right w:val="single" w:sz="4" w:space="0" w:color="auto"/>
            </w:tcBorders>
            <w:shd w:val="clear" w:color="auto" w:fill="auto"/>
            <w:noWrap/>
            <w:vAlign w:val="bottom"/>
            <w:hideMark/>
          </w:tcPr>
          <w:p w14:paraId="4954B7C6"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21AFDB2"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1.002.658,37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37C8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DA30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0,80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44F2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42.724 </w:t>
            </w:r>
          </w:p>
        </w:tc>
      </w:tr>
      <w:tr w:rsidR="006757CB" w:rsidRPr="006757CB" w14:paraId="4CA37C56"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48018"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2CF0B" w14:textId="77777777" w:rsidR="001E2C09" w:rsidRPr="006757CB" w:rsidRDefault="001E2C09">
            <w:pPr>
              <w:jc w:val="right"/>
              <w:rPr>
                <w:rFonts w:ascii="Calibri" w:hAnsi="Calibri"/>
                <w:i/>
                <w:iCs/>
                <w:sz w:val="14"/>
                <w:szCs w:val="14"/>
              </w:rPr>
            </w:pPr>
            <w:r w:rsidRPr="006757CB">
              <w:rPr>
                <w:rFonts w:ascii="Calibri" w:hAnsi="Calibri"/>
                <w:i/>
                <w:iCs/>
                <w:sz w:val="14"/>
                <w:szCs w:val="14"/>
              </w:rPr>
              <w:t>31-mar-80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DA6EC" w14:textId="77777777" w:rsidR="001E2C09" w:rsidRPr="006757CB" w:rsidRDefault="001E2C09">
            <w:pPr>
              <w:jc w:val="center"/>
              <w:rPr>
                <w:rFonts w:ascii="Calibri" w:hAnsi="Calibri"/>
                <w:i/>
                <w:iCs/>
                <w:sz w:val="14"/>
                <w:szCs w:val="14"/>
              </w:rPr>
            </w:pPr>
            <w:r w:rsidRPr="006757CB">
              <w:rPr>
                <w:rFonts w:ascii="Calibri" w:hAnsi="Calibri"/>
                <w:i/>
                <w:iCs/>
                <w:sz w:val="14"/>
                <w:szCs w:val="14"/>
              </w:rPr>
              <w:t>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981FB"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25.530,00 </w:t>
            </w:r>
          </w:p>
        </w:tc>
        <w:tc>
          <w:tcPr>
            <w:tcW w:w="0" w:type="auto"/>
            <w:tcBorders>
              <w:top w:val="nil"/>
              <w:left w:val="single" w:sz="4" w:space="0" w:color="auto"/>
              <w:bottom w:val="nil"/>
              <w:right w:val="single" w:sz="4" w:space="0" w:color="auto"/>
            </w:tcBorders>
            <w:shd w:val="clear" w:color="auto" w:fill="auto"/>
            <w:noWrap/>
            <w:vAlign w:val="bottom"/>
            <w:hideMark/>
          </w:tcPr>
          <w:p w14:paraId="512C3048"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745198B"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778.461,76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A5BE"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01EFF"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2069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8.270 </w:t>
            </w:r>
          </w:p>
        </w:tc>
      </w:tr>
      <w:tr w:rsidR="006757CB" w:rsidRPr="006757CB" w14:paraId="104B0B18"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5D2F9" w14:textId="77777777" w:rsidR="001E2C09" w:rsidRPr="006757CB" w:rsidRDefault="001E2C09">
            <w:pPr>
              <w:jc w:val="center"/>
              <w:rPr>
                <w:rFonts w:ascii="Calibri" w:hAnsi="Calibri"/>
                <w:i/>
                <w:iCs/>
                <w:sz w:val="14"/>
                <w:szCs w:val="14"/>
              </w:rPr>
            </w:pPr>
            <w:r w:rsidRPr="006757CB">
              <w:rPr>
                <w:rFonts w:ascii="Calibri" w:hAnsi="Calibri"/>
                <w:i/>
                <w:iCs/>
                <w:sz w:val="14"/>
                <w:szCs w:val="14"/>
              </w:rPr>
              <w:t>01-abr-80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B6B3B" w14:textId="77777777" w:rsidR="001E2C09" w:rsidRPr="006757CB" w:rsidRDefault="001E2C09">
            <w:pPr>
              <w:jc w:val="right"/>
              <w:rPr>
                <w:rFonts w:ascii="Calibri" w:hAnsi="Calibri"/>
                <w:i/>
                <w:iCs/>
                <w:sz w:val="14"/>
                <w:szCs w:val="14"/>
              </w:rPr>
            </w:pPr>
            <w:r w:rsidRPr="006757CB">
              <w:rPr>
                <w:rFonts w:ascii="Calibri" w:hAnsi="Calibri"/>
                <w:i/>
                <w:iCs/>
                <w:sz w:val="14"/>
                <w:szCs w:val="14"/>
              </w:rPr>
              <w:t>30-jun-80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D88EE" w14:textId="77777777" w:rsidR="001E2C09" w:rsidRPr="006757CB" w:rsidRDefault="001E2C09">
            <w:pPr>
              <w:jc w:val="center"/>
              <w:rPr>
                <w:rFonts w:ascii="Calibri" w:hAnsi="Calibri"/>
                <w:i/>
                <w:iCs/>
                <w:sz w:val="14"/>
                <w:szCs w:val="14"/>
              </w:rPr>
            </w:pPr>
            <w:r w:rsidRPr="006757CB">
              <w:rPr>
                <w:rFonts w:ascii="Calibri" w:hAnsi="Calibri"/>
                <w:i/>
                <w:iCs/>
                <w:sz w:val="14"/>
                <w:szCs w:val="14"/>
              </w:rPr>
              <w:t>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AEBC6"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14.610,00 </w:t>
            </w:r>
          </w:p>
        </w:tc>
        <w:tc>
          <w:tcPr>
            <w:tcW w:w="0" w:type="auto"/>
            <w:tcBorders>
              <w:top w:val="nil"/>
              <w:left w:val="single" w:sz="4" w:space="0" w:color="auto"/>
              <w:bottom w:val="nil"/>
              <w:right w:val="single" w:sz="4" w:space="0" w:color="auto"/>
            </w:tcBorders>
            <w:shd w:val="clear" w:color="auto" w:fill="auto"/>
            <w:noWrap/>
            <w:vAlign w:val="bottom"/>
            <w:hideMark/>
          </w:tcPr>
          <w:p w14:paraId="75E3F88C"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5C30919"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445.488,69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0CFD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210B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843B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4.733 </w:t>
            </w:r>
          </w:p>
        </w:tc>
      </w:tr>
      <w:tr w:rsidR="006757CB" w:rsidRPr="006757CB" w14:paraId="3A1B0178"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54700" w14:textId="77777777" w:rsidR="001E2C09" w:rsidRPr="006757CB" w:rsidRDefault="001E2C09">
            <w:pPr>
              <w:jc w:val="center"/>
              <w:rPr>
                <w:rFonts w:ascii="Calibri" w:hAnsi="Calibri"/>
                <w:i/>
                <w:iCs/>
                <w:sz w:val="14"/>
                <w:szCs w:val="14"/>
              </w:rPr>
            </w:pPr>
            <w:r w:rsidRPr="006757CB">
              <w:rPr>
                <w:rFonts w:ascii="Calibri" w:hAnsi="Calibri"/>
                <w:i/>
                <w:iCs/>
                <w:sz w:val="14"/>
                <w:szCs w:val="14"/>
              </w:rPr>
              <w:t>01-jul-80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19614"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75741" w14:textId="77777777" w:rsidR="001E2C09" w:rsidRPr="006757CB" w:rsidRDefault="001E2C09">
            <w:pPr>
              <w:jc w:val="center"/>
              <w:rPr>
                <w:rFonts w:ascii="Calibri" w:hAnsi="Calibri"/>
                <w:i/>
                <w:iCs/>
                <w:sz w:val="14"/>
                <w:szCs w:val="14"/>
              </w:rPr>
            </w:pPr>
            <w:r w:rsidRPr="006757CB">
              <w:rPr>
                <w:rFonts w:ascii="Calibri" w:hAnsi="Calibri"/>
                <w:i/>
                <w:iCs/>
                <w:sz w:val="14"/>
                <w:szCs w:val="14"/>
              </w:rPr>
              <w:t>184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B3838"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17.790,00 </w:t>
            </w:r>
          </w:p>
        </w:tc>
        <w:tc>
          <w:tcPr>
            <w:tcW w:w="0" w:type="auto"/>
            <w:tcBorders>
              <w:top w:val="nil"/>
              <w:left w:val="single" w:sz="4" w:space="0" w:color="auto"/>
              <w:bottom w:val="nil"/>
              <w:right w:val="single" w:sz="4" w:space="0" w:color="auto"/>
            </w:tcBorders>
            <w:shd w:val="clear" w:color="auto" w:fill="auto"/>
            <w:noWrap/>
            <w:vAlign w:val="bottom"/>
            <w:hideMark/>
          </w:tcPr>
          <w:p w14:paraId="4EE8B3DB"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048A788"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542.453,38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FF77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5F2D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0FA3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11.652 </w:t>
            </w:r>
          </w:p>
        </w:tc>
      </w:tr>
      <w:tr w:rsidR="006757CB" w:rsidRPr="006757CB" w14:paraId="3901C9D1"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42000"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C7DCF" w14:textId="77777777" w:rsidR="001E2C09" w:rsidRPr="006757CB" w:rsidRDefault="001E2C09">
            <w:pPr>
              <w:jc w:val="right"/>
              <w:rPr>
                <w:rFonts w:ascii="Calibri" w:hAnsi="Calibri"/>
                <w:i/>
                <w:iCs/>
                <w:sz w:val="14"/>
                <w:szCs w:val="14"/>
              </w:rPr>
            </w:pPr>
            <w:r w:rsidRPr="006757CB">
              <w:rPr>
                <w:rFonts w:ascii="Calibri" w:hAnsi="Calibri"/>
                <w:i/>
                <w:iCs/>
                <w:sz w:val="14"/>
                <w:szCs w:val="14"/>
              </w:rPr>
              <w:t>31-ene-81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357EC"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0DDE3"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17.790,00 </w:t>
            </w:r>
          </w:p>
        </w:tc>
        <w:tc>
          <w:tcPr>
            <w:tcW w:w="0" w:type="auto"/>
            <w:tcBorders>
              <w:top w:val="nil"/>
              <w:left w:val="single" w:sz="4" w:space="0" w:color="auto"/>
              <w:bottom w:val="nil"/>
              <w:right w:val="single" w:sz="4" w:space="0" w:color="auto"/>
            </w:tcBorders>
            <w:shd w:val="clear" w:color="auto" w:fill="auto"/>
            <w:noWrap/>
            <w:vAlign w:val="bottom"/>
            <w:hideMark/>
          </w:tcPr>
          <w:p w14:paraId="68ED2F8B"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E45DEC8"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431.017,82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07F1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8668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1,29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131D6"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1.560 </w:t>
            </w:r>
          </w:p>
        </w:tc>
      </w:tr>
      <w:tr w:rsidR="006757CB" w:rsidRPr="006757CB" w14:paraId="580332D6"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82022" w14:textId="77777777" w:rsidR="001E2C09" w:rsidRPr="006757CB" w:rsidRDefault="001E2C09">
            <w:pPr>
              <w:jc w:val="center"/>
              <w:rPr>
                <w:rFonts w:ascii="Calibri" w:hAnsi="Calibri"/>
                <w:i/>
                <w:iCs/>
                <w:sz w:val="14"/>
                <w:szCs w:val="14"/>
              </w:rPr>
            </w:pPr>
            <w:r w:rsidRPr="006757CB">
              <w:rPr>
                <w:rFonts w:ascii="Calibri" w:hAnsi="Calibri"/>
                <w:i/>
                <w:iCs/>
                <w:sz w:val="14"/>
                <w:szCs w:val="14"/>
              </w:rPr>
              <w:t>01-feb-81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57D97" w14:textId="77777777" w:rsidR="001E2C09" w:rsidRPr="006757CB" w:rsidRDefault="001E2C09">
            <w:pPr>
              <w:jc w:val="right"/>
              <w:rPr>
                <w:rFonts w:ascii="Calibri" w:hAnsi="Calibri"/>
                <w:i/>
                <w:iCs/>
                <w:sz w:val="14"/>
                <w:szCs w:val="14"/>
              </w:rPr>
            </w:pPr>
            <w:r w:rsidRPr="006757CB">
              <w:rPr>
                <w:rFonts w:ascii="Calibri" w:hAnsi="Calibri"/>
                <w:i/>
                <w:iCs/>
                <w:sz w:val="14"/>
                <w:szCs w:val="14"/>
              </w:rPr>
              <w:t>31-mar-81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FB709" w14:textId="77777777" w:rsidR="001E2C09" w:rsidRPr="006757CB" w:rsidRDefault="001E2C09">
            <w:pPr>
              <w:jc w:val="center"/>
              <w:rPr>
                <w:rFonts w:ascii="Calibri" w:hAnsi="Calibri"/>
                <w:i/>
                <w:iCs/>
                <w:sz w:val="14"/>
                <w:szCs w:val="14"/>
              </w:rPr>
            </w:pPr>
            <w:r w:rsidRPr="006757CB">
              <w:rPr>
                <w:rFonts w:ascii="Calibri" w:hAnsi="Calibri"/>
                <w:i/>
                <w:iCs/>
                <w:sz w:val="14"/>
                <w:szCs w:val="14"/>
              </w:rPr>
              <w:t>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DC26A" w14:textId="77777777" w:rsidR="001E2C09" w:rsidRPr="006757CB" w:rsidRDefault="001E2C09">
            <w:pPr>
              <w:rPr>
                <w:rFonts w:ascii="Calibri" w:hAnsi="Calibri"/>
                <w:i/>
                <w:iCs/>
                <w:sz w:val="14"/>
                <w:szCs w:val="14"/>
              </w:rPr>
            </w:pPr>
            <w:r w:rsidRPr="006757CB">
              <w:rPr>
                <w:rFonts w:ascii="Calibri" w:hAnsi="Calibri"/>
                <w:i/>
                <w:iCs/>
                <w:sz w:val="14"/>
                <w:szCs w:val="14"/>
              </w:rPr>
              <w:t xml:space="preserve">              41.040,00 </w:t>
            </w:r>
          </w:p>
        </w:tc>
        <w:tc>
          <w:tcPr>
            <w:tcW w:w="0" w:type="auto"/>
            <w:tcBorders>
              <w:top w:val="nil"/>
              <w:left w:val="single" w:sz="4" w:space="0" w:color="auto"/>
              <w:bottom w:val="nil"/>
              <w:right w:val="single" w:sz="4" w:space="0" w:color="auto"/>
            </w:tcBorders>
            <w:shd w:val="clear" w:color="auto" w:fill="auto"/>
            <w:noWrap/>
            <w:vAlign w:val="bottom"/>
            <w:hideMark/>
          </w:tcPr>
          <w:p w14:paraId="444836CC"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16B053B"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994.321,04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46919"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0B48F"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1,29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B889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6.849 </w:t>
            </w:r>
          </w:p>
        </w:tc>
      </w:tr>
      <w:tr w:rsidR="006757CB" w:rsidRPr="006757CB" w14:paraId="1570DA75"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227DE" w14:textId="77777777" w:rsidR="001E2C09" w:rsidRPr="006757CB" w:rsidRDefault="001E2C09">
            <w:pPr>
              <w:jc w:val="center"/>
              <w:rPr>
                <w:rFonts w:ascii="Calibri" w:hAnsi="Calibri"/>
                <w:i/>
                <w:iCs/>
                <w:sz w:val="14"/>
                <w:szCs w:val="14"/>
              </w:rPr>
            </w:pPr>
            <w:r w:rsidRPr="006757CB">
              <w:rPr>
                <w:rFonts w:ascii="Calibri" w:hAnsi="Calibri"/>
                <w:i/>
                <w:iCs/>
                <w:sz w:val="14"/>
                <w:szCs w:val="14"/>
              </w:rPr>
              <w:t>01-abr-81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0273E" w14:textId="77777777" w:rsidR="001E2C09" w:rsidRPr="006757CB" w:rsidRDefault="001E2C09">
            <w:pPr>
              <w:jc w:val="right"/>
              <w:rPr>
                <w:rFonts w:ascii="Calibri" w:hAnsi="Calibri"/>
                <w:i/>
                <w:iCs/>
                <w:sz w:val="14"/>
                <w:szCs w:val="14"/>
              </w:rPr>
            </w:pPr>
            <w:r w:rsidRPr="006757CB">
              <w:rPr>
                <w:rFonts w:ascii="Calibri" w:hAnsi="Calibri"/>
                <w:i/>
                <w:iCs/>
                <w:sz w:val="14"/>
                <w:szCs w:val="14"/>
              </w:rPr>
              <w:t>30-jun-81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E6D30" w14:textId="77777777" w:rsidR="001E2C09" w:rsidRPr="006757CB" w:rsidRDefault="001E2C09">
            <w:pPr>
              <w:jc w:val="center"/>
              <w:rPr>
                <w:rFonts w:ascii="Calibri" w:hAnsi="Calibri"/>
                <w:i/>
                <w:iCs/>
                <w:sz w:val="14"/>
                <w:szCs w:val="14"/>
              </w:rPr>
            </w:pPr>
            <w:r w:rsidRPr="006757CB">
              <w:rPr>
                <w:rFonts w:ascii="Calibri" w:hAnsi="Calibri"/>
                <w:i/>
                <w:iCs/>
                <w:sz w:val="14"/>
                <w:szCs w:val="14"/>
              </w:rPr>
              <w:t>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F8110" w14:textId="77777777" w:rsidR="001E2C09" w:rsidRPr="006757CB" w:rsidRDefault="001E2C09">
            <w:pPr>
              <w:rPr>
                <w:rFonts w:ascii="Calibri" w:hAnsi="Calibri"/>
                <w:i/>
                <w:iCs/>
                <w:sz w:val="14"/>
                <w:szCs w:val="14"/>
              </w:rPr>
            </w:pPr>
            <w:r w:rsidRPr="006757CB">
              <w:rPr>
                <w:rFonts w:ascii="Calibri" w:hAnsi="Calibri"/>
                <w:i/>
                <w:iCs/>
                <w:sz w:val="14"/>
                <w:szCs w:val="14"/>
              </w:rPr>
              <w:t xml:space="preserve">                 9.480,00 </w:t>
            </w:r>
          </w:p>
        </w:tc>
        <w:tc>
          <w:tcPr>
            <w:tcW w:w="0" w:type="auto"/>
            <w:tcBorders>
              <w:top w:val="nil"/>
              <w:left w:val="single" w:sz="4" w:space="0" w:color="auto"/>
              <w:bottom w:val="nil"/>
              <w:right w:val="single" w:sz="4" w:space="0" w:color="auto"/>
            </w:tcBorders>
            <w:shd w:val="clear" w:color="auto" w:fill="auto"/>
            <w:noWrap/>
            <w:vAlign w:val="bottom"/>
            <w:hideMark/>
          </w:tcPr>
          <w:p w14:paraId="38E70640"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1E78B03"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229.682,35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A9AF"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6963D"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1,29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E58C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2.440 </w:t>
            </w:r>
          </w:p>
        </w:tc>
      </w:tr>
      <w:tr w:rsidR="006757CB" w:rsidRPr="006757CB" w14:paraId="60E1AB79"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98044" w14:textId="77777777" w:rsidR="001E2C09" w:rsidRPr="006757CB" w:rsidRDefault="001E2C09">
            <w:pPr>
              <w:jc w:val="center"/>
              <w:rPr>
                <w:rFonts w:ascii="Calibri" w:hAnsi="Calibri"/>
                <w:i/>
                <w:iCs/>
                <w:sz w:val="14"/>
                <w:szCs w:val="14"/>
              </w:rPr>
            </w:pPr>
            <w:r w:rsidRPr="006757CB">
              <w:rPr>
                <w:rFonts w:ascii="Calibri" w:hAnsi="Calibri"/>
                <w:i/>
                <w:iCs/>
                <w:sz w:val="14"/>
                <w:szCs w:val="14"/>
              </w:rPr>
              <w:t>01-jul-81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A684D" w14:textId="77777777" w:rsidR="001E2C09" w:rsidRPr="006757CB" w:rsidRDefault="001E2C09">
            <w:pPr>
              <w:jc w:val="right"/>
              <w:rPr>
                <w:rFonts w:ascii="Calibri" w:hAnsi="Calibri"/>
                <w:i/>
                <w:iCs/>
                <w:sz w:val="14"/>
                <w:szCs w:val="14"/>
              </w:rPr>
            </w:pPr>
            <w:r w:rsidRPr="006757CB">
              <w:rPr>
                <w:rFonts w:ascii="Calibri" w:hAnsi="Calibri"/>
                <w:i/>
                <w:iCs/>
                <w:sz w:val="14"/>
                <w:szCs w:val="14"/>
              </w:rPr>
              <w:t>30-sep-81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02344" w14:textId="77777777" w:rsidR="001E2C09" w:rsidRPr="006757CB" w:rsidRDefault="001E2C09">
            <w:pPr>
              <w:jc w:val="center"/>
              <w:rPr>
                <w:rFonts w:ascii="Calibri" w:hAnsi="Calibri"/>
                <w:i/>
                <w:iCs/>
                <w:sz w:val="14"/>
                <w:szCs w:val="14"/>
              </w:rPr>
            </w:pPr>
            <w:r w:rsidRPr="006757CB">
              <w:rPr>
                <w:rFonts w:ascii="Calibri" w:hAnsi="Calibri"/>
                <w:i/>
                <w:iCs/>
                <w:sz w:val="14"/>
                <w:szCs w:val="14"/>
              </w:rPr>
              <w:t>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5EAF9"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17.790,00 </w:t>
            </w:r>
          </w:p>
        </w:tc>
        <w:tc>
          <w:tcPr>
            <w:tcW w:w="0" w:type="auto"/>
            <w:tcBorders>
              <w:top w:val="nil"/>
              <w:left w:val="single" w:sz="4" w:space="0" w:color="auto"/>
              <w:bottom w:val="nil"/>
              <w:right w:val="single" w:sz="4" w:space="0" w:color="auto"/>
            </w:tcBorders>
            <w:shd w:val="clear" w:color="auto" w:fill="auto"/>
            <w:noWrap/>
            <w:vAlign w:val="bottom"/>
            <w:hideMark/>
          </w:tcPr>
          <w:p w14:paraId="29E45BA7"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89CDF9F"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431.017,82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BBB5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DE32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1,29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F0E3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4.629 </w:t>
            </w:r>
          </w:p>
        </w:tc>
      </w:tr>
      <w:tr w:rsidR="006757CB" w:rsidRPr="006757CB" w14:paraId="758B7B44"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C2A15" w14:textId="77777777" w:rsidR="001E2C09" w:rsidRPr="006757CB" w:rsidRDefault="001E2C09">
            <w:pPr>
              <w:jc w:val="center"/>
              <w:rPr>
                <w:rFonts w:ascii="Calibri" w:hAnsi="Calibri"/>
                <w:i/>
                <w:iCs/>
                <w:sz w:val="14"/>
                <w:szCs w:val="14"/>
              </w:rPr>
            </w:pPr>
            <w:r w:rsidRPr="006757CB">
              <w:rPr>
                <w:rFonts w:ascii="Calibri" w:hAnsi="Calibri"/>
                <w:i/>
                <w:iCs/>
                <w:sz w:val="14"/>
                <w:szCs w:val="14"/>
              </w:rPr>
              <w:t>01-oct-81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3B66"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E94BD" w14:textId="77777777" w:rsidR="001E2C09" w:rsidRPr="006757CB" w:rsidRDefault="001E2C09">
            <w:pPr>
              <w:jc w:val="center"/>
              <w:rPr>
                <w:rFonts w:ascii="Calibri" w:hAnsi="Calibri"/>
                <w:i/>
                <w:iCs/>
                <w:sz w:val="14"/>
                <w:szCs w:val="14"/>
              </w:rPr>
            </w:pPr>
            <w:r w:rsidRPr="006757CB">
              <w:rPr>
                <w:rFonts w:ascii="Calibri" w:hAnsi="Calibri"/>
                <w:i/>
                <w:iCs/>
                <w:sz w:val="14"/>
                <w:szCs w:val="14"/>
              </w:rPr>
              <w:t>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D0AF4"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25.530,00 </w:t>
            </w:r>
          </w:p>
        </w:tc>
        <w:tc>
          <w:tcPr>
            <w:tcW w:w="0" w:type="auto"/>
            <w:tcBorders>
              <w:top w:val="nil"/>
              <w:left w:val="single" w:sz="4" w:space="0" w:color="auto"/>
              <w:bottom w:val="nil"/>
              <w:right w:val="single" w:sz="4" w:space="0" w:color="auto"/>
            </w:tcBorders>
            <w:shd w:val="clear" w:color="auto" w:fill="auto"/>
            <w:noWrap/>
            <w:vAlign w:val="bottom"/>
            <w:hideMark/>
          </w:tcPr>
          <w:p w14:paraId="2819E286"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413E4C8"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618.543,28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C85AE"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1207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1,29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6DD7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6.643 </w:t>
            </w:r>
          </w:p>
        </w:tc>
      </w:tr>
      <w:tr w:rsidR="006757CB" w:rsidRPr="006757CB" w14:paraId="6B950625"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4D9C4"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2E3A1" w14:textId="77777777" w:rsidR="001E2C09" w:rsidRPr="006757CB" w:rsidRDefault="001E2C09">
            <w:pPr>
              <w:jc w:val="right"/>
              <w:rPr>
                <w:rFonts w:ascii="Calibri" w:hAnsi="Calibri"/>
                <w:i/>
                <w:iCs/>
                <w:sz w:val="14"/>
                <w:szCs w:val="14"/>
              </w:rPr>
            </w:pPr>
            <w:r w:rsidRPr="006757CB">
              <w:rPr>
                <w:rFonts w:ascii="Calibri" w:hAnsi="Calibri"/>
                <w:i/>
                <w:iCs/>
                <w:sz w:val="14"/>
                <w:szCs w:val="14"/>
              </w:rPr>
              <w:t>31-mar-82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396DF" w14:textId="77777777" w:rsidR="001E2C09" w:rsidRPr="006757CB" w:rsidRDefault="001E2C09">
            <w:pPr>
              <w:jc w:val="center"/>
              <w:rPr>
                <w:rFonts w:ascii="Calibri" w:hAnsi="Calibri"/>
                <w:i/>
                <w:iCs/>
                <w:sz w:val="14"/>
                <w:szCs w:val="14"/>
              </w:rPr>
            </w:pPr>
            <w:r w:rsidRPr="006757CB">
              <w:rPr>
                <w:rFonts w:ascii="Calibri" w:hAnsi="Calibri"/>
                <w:i/>
                <w:iCs/>
                <w:sz w:val="14"/>
                <w:szCs w:val="14"/>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FAB7A" w14:textId="77777777" w:rsidR="001E2C09" w:rsidRPr="006757CB" w:rsidRDefault="001E2C09">
            <w:pPr>
              <w:rPr>
                <w:rFonts w:ascii="Calibri" w:hAnsi="Calibri"/>
                <w:i/>
                <w:iCs/>
                <w:sz w:val="14"/>
                <w:szCs w:val="14"/>
              </w:rPr>
            </w:pPr>
            <w:r w:rsidRPr="006757CB">
              <w:rPr>
                <w:rFonts w:ascii="Calibri" w:hAnsi="Calibri"/>
                <w:i/>
                <w:iCs/>
                <w:sz w:val="14"/>
                <w:szCs w:val="14"/>
              </w:rPr>
              <w:t xml:space="preserve">              47.370,00 </w:t>
            </w:r>
          </w:p>
        </w:tc>
        <w:tc>
          <w:tcPr>
            <w:tcW w:w="0" w:type="auto"/>
            <w:tcBorders>
              <w:top w:val="nil"/>
              <w:left w:val="single" w:sz="4" w:space="0" w:color="auto"/>
              <w:bottom w:val="nil"/>
              <w:right w:val="single" w:sz="4" w:space="0" w:color="auto"/>
            </w:tcBorders>
            <w:shd w:val="clear" w:color="auto" w:fill="auto"/>
            <w:noWrap/>
            <w:vAlign w:val="bottom"/>
            <w:hideMark/>
          </w:tcPr>
          <w:p w14:paraId="25A21F38"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7946E27"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907.554,98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2A8F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984B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1,63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55119"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9.535 </w:t>
            </w:r>
          </w:p>
        </w:tc>
      </w:tr>
      <w:tr w:rsidR="006757CB" w:rsidRPr="006757CB" w14:paraId="3778AD73"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A005" w14:textId="77777777" w:rsidR="001E2C09" w:rsidRPr="006757CB" w:rsidRDefault="001E2C09">
            <w:pPr>
              <w:jc w:val="center"/>
              <w:rPr>
                <w:rFonts w:ascii="Calibri" w:hAnsi="Calibri"/>
                <w:i/>
                <w:iCs/>
                <w:sz w:val="14"/>
                <w:szCs w:val="14"/>
              </w:rPr>
            </w:pPr>
            <w:r w:rsidRPr="006757CB">
              <w:rPr>
                <w:rFonts w:ascii="Calibri" w:hAnsi="Calibri"/>
                <w:i/>
                <w:iCs/>
                <w:sz w:val="14"/>
                <w:szCs w:val="14"/>
              </w:rPr>
              <w:t>01-abr-82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CACEB" w14:textId="77777777" w:rsidR="001E2C09" w:rsidRPr="006757CB" w:rsidRDefault="001E2C09">
            <w:pPr>
              <w:jc w:val="right"/>
              <w:rPr>
                <w:rFonts w:ascii="Calibri" w:hAnsi="Calibri"/>
                <w:i/>
                <w:iCs/>
                <w:sz w:val="14"/>
                <w:szCs w:val="14"/>
              </w:rPr>
            </w:pPr>
            <w:r w:rsidRPr="006757CB">
              <w:rPr>
                <w:rFonts w:ascii="Calibri" w:hAnsi="Calibri"/>
                <w:i/>
                <w:iCs/>
                <w:sz w:val="14"/>
                <w:szCs w:val="14"/>
              </w:rPr>
              <w:t>30-jun-82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289B0" w14:textId="77777777" w:rsidR="001E2C09" w:rsidRPr="006757CB" w:rsidRDefault="001E2C09">
            <w:pPr>
              <w:jc w:val="center"/>
              <w:rPr>
                <w:rFonts w:ascii="Calibri" w:hAnsi="Calibri"/>
                <w:i/>
                <w:iCs/>
                <w:sz w:val="14"/>
                <w:szCs w:val="14"/>
              </w:rPr>
            </w:pPr>
            <w:r w:rsidRPr="006757CB">
              <w:rPr>
                <w:rFonts w:ascii="Calibri" w:hAnsi="Calibri"/>
                <w:i/>
                <w:iCs/>
                <w:sz w:val="14"/>
                <w:szCs w:val="14"/>
              </w:rPr>
              <w:t>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9085E"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14.610,00 </w:t>
            </w:r>
          </w:p>
        </w:tc>
        <w:tc>
          <w:tcPr>
            <w:tcW w:w="0" w:type="auto"/>
            <w:tcBorders>
              <w:top w:val="nil"/>
              <w:left w:val="single" w:sz="4" w:space="0" w:color="auto"/>
              <w:bottom w:val="nil"/>
              <w:right w:val="single" w:sz="4" w:space="0" w:color="auto"/>
            </w:tcBorders>
            <w:shd w:val="clear" w:color="auto" w:fill="auto"/>
            <w:noWrap/>
            <w:vAlign w:val="bottom"/>
            <w:hideMark/>
          </w:tcPr>
          <w:p w14:paraId="3592D969"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DAB7420"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279.910,88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2C77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A0F6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1,63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D6B4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2.974 </w:t>
            </w:r>
          </w:p>
        </w:tc>
      </w:tr>
      <w:tr w:rsidR="006757CB" w:rsidRPr="006757CB" w14:paraId="1B952EED"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2F2E4" w14:textId="77777777" w:rsidR="001E2C09" w:rsidRPr="006757CB" w:rsidRDefault="001E2C09">
            <w:pPr>
              <w:jc w:val="center"/>
              <w:rPr>
                <w:rFonts w:ascii="Calibri" w:hAnsi="Calibri"/>
                <w:i/>
                <w:iCs/>
                <w:sz w:val="14"/>
                <w:szCs w:val="14"/>
              </w:rPr>
            </w:pPr>
            <w:r w:rsidRPr="006757CB">
              <w:rPr>
                <w:rFonts w:ascii="Calibri" w:hAnsi="Calibri"/>
                <w:i/>
                <w:iCs/>
                <w:sz w:val="14"/>
                <w:szCs w:val="14"/>
              </w:rPr>
              <w:t>01-jul-82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CCDB3" w14:textId="77777777" w:rsidR="001E2C09" w:rsidRPr="006757CB" w:rsidRDefault="001E2C09">
            <w:pPr>
              <w:jc w:val="right"/>
              <w:rPr>
                <w:rFonts w:ascii="Calibri" w:hAnsi="Calibri"/>
                <w:i/>
                <w:iCs/>
                <w:sz w:val="14"/>
                <w:szCs w:val="14"/>
              </w:rPr>
            </w:pPr>
            <w:r w:rsidRPr="006757CB">
              <w:rPr>
                <w:rFonts w:ascii="Calibri" w:hAnsi="Calibri"/>
                <w:i/>
                <w:iCs/>
                <w:sz w:val="14"/>
                <w:szCs w:val="14"/>
              </w:rPr>
              <w:t>31-ago-82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20B3" w14:textId="77777777" w:rsidR="001E2C09" w:rsidRPr="006757CB" w:rsidRDefault="001E2C09">
            <w:pPr>
              <w:jc w:val="center"/>
              <w:rPr>
                <w:rFonts w:ascii="Calibri" w:hAnsi="Calibri"/>
                <w:i/>
                <w:iCs/>
                <w:sz w:val="14"/>
                <w:szCs w:val="14"/>
              </w:rPr>
            </w:pPr>
            <w:r w:rsidRPr="006757CB">
              <w:rPr>
                <w:rFonts w:ascii="Calibri" w:hAnsi="Calibri"/>
                <w:i/>
                <w:iCs/>
                <w:sz w:val="14"/>
                <w:szCs w:val="14"/>
              </w:rPr>
              <w:t>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F303E"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21.420,00 </w:t>
            </w:r>
          </w:p>
        </w:tc>
        <w:tc>
          <w:tcPr>
            <w:tcW w:w="0" w:type="auto"/>
            <w:tcBorders>
              <w:top w:val="nil"/>
              <w:left w:val="single" w:sz="4" w:space="0" w:color="auto"/>
              <w:bottom w:val="nil"/>
              <w:right w:val="single" w:sz="4" w:space="0" w:color="auto"/>
            </w:tcBorders>
            <w:shd w:val="clear" w:color="auto" w:fill="auto"/>
            <w:noWrap/>
            <w:vAlign w:val="bottom"/>
            <w:hideMark/>
          </w:tcPr>
          <w:p w14:paraId="3AEAA3B9"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697CAF2"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410.382,68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17E7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02FD"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1,63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5504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2.970 </w:t>
            </w:r>
          </w:p>
        </w:tc>
      </w:tr>
      <w:tr w:rsidR="006757CB" w:rsidRPr="006757CB" w14:paraId="7B13B084"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5F4FE" w14:textId="77777777" w:rsidR="001E2C09" w:rsidRPr="006757CB" w:rsidRDefault="001E2C09">
            <w:pPr>
              <w:jc w:val="center"/>
              <w:rPr>
                <w:rFonts w:ascii="Calibri" w:hAnsi="Calibri"/>
                <w:i/>
                <w:iCs/>
                <w:sz w:val="14"/>
                <w:szCs w:val="14"/>
              </w:rPr>
            </w:pPr>
            <w:r w:rsidRPr="006757CB">
              <w:rPr>
                <w:rFonts w:ascii="Calibri" w:hAnsi="Calibri"/>
                <w:i/>
                <w:iCs/>
                <w:sz w:val="14"/>
                <w:szCs w:val="14"/>
              </w:rPr>
              <w:t>01-sep-82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48545" w14:textId="77777777" w:rsidR="001E2C09" w:rsidRPr="006757CB" w:rsidRDefault="001E2C09">
            <w:pPr>
              <w:jc w:val="right"/>
              <w:rPr>
                <w:rFonts w:ascii="Calibri" w:hAnsi="Calibri"/>
                <w:i/>
                <w:iCs/>
                <w:sz w:val="14"/>
                <w:szCs w:val="14"/>
              </w:rPr>
            </w:pPr>
            <w:r w:rsidRPr="006757CB">
              <w:rPr>
                <w:rFonts w:ascii="Calibri" w:hAnsi="Calibri"/>
                <w:i/>
                <w:iCs/>
                <w:sz w:val="14"/>
                <w:szCs w:val="14"/>
              </w:rPr>
              <w:t>30-sep-82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98F78" w14:textId="77777777" w:rsidR="001E2C09" w:rsidRPr="006757CB" w:rsidRDefault="001E2C09">
            <w:pPr>
              <w:jc w:val="center"/>
              <w:rPr>
                <w:rFonts w:ascii="Calibri" w:hAnsi="Calibri"/>
                <w:i/>
                <w:iCs/>
                <w:sz w:val="14"/>
                <w:szCs w:val="14"/>
              </w:rPr>
            </w:pPr>
            <w:r w:rsidRPr="006757CB">
              <w:rPr>
                <w:rFonts w:ascii="Calibri" w:hAnsi="Calibri"/>
                <w:i/>
                <w:iCs/>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1BB8B" w14:textId="77777777" w:rsidR="001E2C09" w:rsidRPr="006757CB" w:rsidRDefault="001E2C09">
            <w:pPr>
              <w:rPr>
                <w:rFonts w:ascii="Calibri" w:hAnsi="Calibri"/>
                <w:i/>
                <w:iCs/>
                <w:sz w:val="14"/>
                <w:szCs w:val="14"/>
              </w:rPr>
            </w:pPr>
            <w:r w:rsidRPr="006757CB">
              <w:rPr>
                <w:rFonts w:ascii="Calibri" w:hAnsi="Calibri"/>
                <w:i/>
                <w:iCs/>
                <w:sz w:val="14"/>
                <w:szCs w:val="14"/>
              </w:rPr>
              <w:t xml:space="preserve">              55.309,00 </w:t>
            </w:r>
          </w:p>
        </w:tc>
        <w:tc>
          <w:tcPr>
            <w:tcW w:w="0" w:type="auto"/>
            <w:tcBorders>
              <w:top w:val="nil"/>
              <w:left w:val="single" w:sz="4" w:space="0" w:color="auto"/>
              <w:bottom w:val="nil"/>
              <w:right w:val="single" w:sz="4" w:space="0" w:color="auto"/>
            </w:tcBorders>
            <w:shd w:val="clear" w:color="auto" w:fill="auto"/>
            <w:noWrap/>
            <w:vAlign w:val="bottom"/>
            <w:hideMark/>
          </w:tcPr>
          <w:p w14:paraId="2804B23E"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736B9D5"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1.059.657,14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3FAE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CE6D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1,63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113D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3.711 </w:t>
            </w:r>
          </w:p>
        </w:tc>
      </w:tr>
      <w:tr w:rsidR="006757CB" w:rsidRPr="006757CB" w14:paraId="50D2ED24"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B0BD" w14:textId="77777777" w:rsidR="001E2C09" w:rsidRPr="006757CB" w:rsidRDefault="001E2C09">
            <w:pPr>
              <w:jc w:val="center"/>
              <w:rPr>
                <w:rFonts w:ascii="Calibri" w:hAnsi="Calibri"/>
                <w:i/>
                <w:iCs/>
                <w:sz w:val="14"/>
                <w:szCs w:val="14"/>
              </w:rPr>
            </w:pPr>
            <w:r w:rsidRPr="006757CB">
              <w:rPr>
                <w:rFonts w:ascii="Calibri" w:hAnsi="Calibri"/>
                <w:i/>
                <w:iCs/>
                <w:sz w:val="14"/>
                <w:szCs w:val="14"/>
              </w:rPr>
              <w:t>01-oct-82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41501" w14:textId="77777777" w:rsidR="001E2C09" w:rsidRPr="006757CB" w:rsidRDefault="001E2C09">
            <w:pPr>
              <w:jc w:val="right"/>
              <w:rPr>
                <w:rFonts w:ascii="Calibri" w:hAnsi="Calibri"/>
                <w:i/>
                <w:iCs/>
                <w:sz w:val="14"/>
                <w:szCs w:val="14"/>
              </w:rPr>
            </w:pPr>
            <w:r w:rsidRPr="006757CB">
              <w:rPr>
                <w:rFonts w:ascii="Calibri" w:hAnsi="Calibri"/>
                <w:i/>
                <w:iCs/>
                <w:sz w:val="14"/>
                <w:szCs w:val="14"/>
              </w:rPr>
              <w:t>31-oct-82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B91B"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8104E"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26.119,00 </w:t>
            </w:r>
          </w:p>
        </w:tc>
        <w:tc>
          <w:tcPr>
            <w:tcW w:w="0" w:type="auto"/>
            <w:tcBorders>
              <w:top w:val="nil"/>
              <w:left w:val="single" w:sz="4" w:space="0" w:color="auto"/>
              <w:bottom w:val="nil"/>
              <w:right w:val="single" w:sz="4" w:space="0" w:color="auto"/>
            </w:tcBorders>
            <w:shd w:val="clear" w:color="auto" w:fill="auto"/>
            <w:noWrap/>
            <w:vAlign w:val="bottom"/>
            <w:hideMark/>
          </w:tcPr>
          <w:p w14:paraId="45E675D3"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542F24D"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500.410,15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634D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6C14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1,63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2779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1.811 </w:t>
            </w:r>
          </w:p>
        </w:tc>
      </w:tr>
      <w:tr w:rsidR="006757CB" w:rsidRPr="006757CB" w14:paraId="052A6676"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05FA3" w14:textId="77777777" w:rsidR="001E2C09" w:rsidRPr="006757CB" w:rsidRDefault="001E2C09">
            <w:pPr>
              <w:jc w:val="center"/>
              <w:rPr>
                <w:rFonts w:ascii="Calibri" w:hAnsi="Calibri"/>
                <w:i/>
                <w:iCs/>
                <w:sz w:val="14"/>
                <w:szCs w:val="14"/>
              </w:rPr>
            </w:pPr>
            <w:r w:rsidRPr="006757CB">
              <w:rPr>
                <w:rFonts w:ascii="Calibri" w:hAnsi="Calibri"/>
                <w:i/>
                <w:iCs/>
                <w:sz w:val="14"/>
                <w:szCs w:val="14"/>
              </w:rPr>
              <w:t>01-nov-82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1C230" w14:textId="77777777" w:rsidR="001E2C09" w:rsidRPr="006757CB" w:rsidRDefault="001E2C09">
            <w:pPr>
              <w:jc w:val="right"/>
              <w:rPr>
                <w:rFonts w:ascii="Calibri" w:hAnsi="Calibri"/>
                <w:i/>
                <w:iCs/>
                <w:sz w:val="14"/>
                <w:szCs w:val="14"/>
              </w:rPr>
            </w:pPr>
            <w:r w:rsidRPr="006757CB">
              <w:rPr>
                <w:rFonts w:ascii="Calibri" w:hAnsi="Calibri"/>
                <w:i/>
                <w:iCs/>
                <w:sz w:val="14"/>
                <w:szCs w:val="14"/>
              </w:rPr>
              <w:t>30-nov-82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37A57" w14:textId="77777777" w:rsidR="001E2C09" w:rsidRPr="006757CB" w:rsidRDefault="001E2C09">
            <w:pPr>
              <w:jc w:val="center"/>
              <w:rPr>
                <w:rFonts w:ascii="Calibri" w:hAnsi="Calibri"/>
                <w:i/>
                <w:iCs/>
                <w:sz w:val="14"/>
                <w:szCs w:val="14"/>
              </w:rPr>
            </w:pPr>
            <w:r w:rsidRPr="006757CB">
              <w:rPr>
                <w:rFonts w:ascii="Calibri" w:hAnsi="Calibri"/>
                <w:i/>
                <w:iCs/>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91959"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11.039,00 </w:t>
            </w:r>
          </w:p>
        </w:tc>
        <w:tc>
          <w:tcPr>
            <w:tcW w:w="0" w:type="auto"/>
            <w:tcBorders>
              <w:top w:val="nil"/>
              <w:left w:val="single" w:sz="4" w:space="0" w:color="auto"/>
              <w:bottom w:val="nil"/>
              <w:right w:val="single" w:sz="4" w:space="0" w:color="auto"/>
            </w:tcBorders>
            <w:shd w:val="clear" w:color="auto" w:fill="auto"/>
            <w:noWrap/>
            <w:vAlign w:val="bottom"/>
            <w:hideMark/>
          </w:tcPr>
          <w:p w14:paraId="5F0E3895"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F9D9062"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211.494,61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DAC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E536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1,63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25A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741 </w:t>
            </w:r>
          </w:p>
        </w:tc>
      </w:tr>
      <w:tr w:rsidR="006757CB" w:rsidRPr="006757CB" w14:paraId="4C2E52D8"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96FBE" w14:textId="77777777" w:rsidR="001E2C09" w:rsidRPr="006757CB" w:rsidRDefault="001E2C09">
            <w:pPr>
              <w:jc w:val="center"/>
              <w:rPr>
                <w:rFonts w:ascii="Calibri" w:hAnsi="Calibri"/>
                <w:i/>
                <w:iCs/>
                <w:sz w:val="14"/>
                <w:szCs w:val="14"/>
              </w:rPr>
            </w:pPr>
            <w:r w:rsidRPr="006757CB">
              <w:rPr>
                <w:rFonts w:ascii="Calibri" w:hAnsi="Calibri"/>
                <w:i/>
                <w:iCs/>
                <w:sz w:val="14"/>
                <w:szCs w:val="14"/>
              </w:rPr>
              <w:t>01-dic-82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0B2AC"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36AD9"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6ABC6" w14:textId="77777777" w:rsidR="001E2C09" w:rsidRPr="006757CB" w:rsidRDefault="001E2C09">
            <w:pPr>
              <w:rPr>
                <w:rFonts w:ascii="Calibri" w:hAnsi="Calibri"/>
                <w:i/>
                <w:iCs/>
                <w:sz w:val="14"/>
                <w:szCs w:val="14"/>
              </w:rPr>
            </w:pPr>
            <w:r w:rsidRPr="006757CB">
              <w:rPr>
                <w:rFonts w:ascii="Calibri" w:hAnsi="Calibri"/>
                <w:i/>
                <w:iCs/>
                <w:sz w:val="14"/>
                <w:szCs w:val="14"/>
              </w:rPr>
              <w:t xml:space="preserve">              32.187,00 </w:t>
            </w:r>
          </w:p>
        </w:tc>
        <w:tc>
          <w:tcPr>
            <w:tcW w:w="0" w:type="auto"/>
            <w:tcBorders>
              <w:top w:val="nil"/>
              <w:left w:val="single" w:sz="4" w:space="0" w:color="auto"/>
              <w:bottom w:val="nil"/>
              <w:right w:val="single" w:sz="4" w:space="0" w:color="auto"/>
            </w:tcBorders>
            <w:shd w:val="clear" w:color="auto" w:fill="auto"/>
            <w:noWrap/>
            <w:vAlign w:val="bottom"/>
            <w:hideMark/>
          </w:tcPr>
          <w:p w14:paraId="3ED89376"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59DF780"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616.666,08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CB6F9"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679E"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1,63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7E73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2.232 </w:t>
            </w:r>
          </w:p>
        </w:tc>
      </w:tr>
      <w:tr w:rsidR="006757CB" w:rsidRPr="006757CB" w14:paraId="2DAADA36"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CF9D8"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990FC" w14:textId="77777777" w:rsidR="001E2C09" w:rsidRPr="006757CB" w:rsidRDefault="001E2C09">
            <w:pPr>
              <w:jc w:val="right"/>
              <w:rPr>
                <w:rFonts w:ascii="Calibri" w:hAnsi="Calibri"/>
                <w:i/>
                <w:iCs/>
                <w:sz w:val="14"/>
                <w:szCs w:val="14"/>
              </w:rPr>
            </w:pPr>
            <w:r w:rsidRPr="006757CB">
              <w:rPr>
                <w:rFonts w:ascii="Calibri" w:hAnsi="Calibri"/>
                <w:i/>
                <w:iCs/>
                <w:sz w:val="14"/>
                <w:szCs w:val="14"/>
              </w:rPr>
              <w:t>31-mar-83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BF242" w14:textId="77777777" w:rsidR="001E2C09" w:rsidRPr="006757CB" w:rsidRDefault="001E2C09">
            <w:pPr>
              <w:jc w:val="center"/>
              <w:rPr>
                <w:rFonts w:ascii="Calibri" w:hAnsi="Calibri"/>
                <w:i/>
                <w:iCs/>
                <w:sz w:val="14"/>
                <w:szCs w:val="14"/>
              </w:rPr>
            </w:pPr>
            <w:r w:rsidRPr="006757CB">
              <w:rPr>
                <w:rFonts w:ascii="Calibri" w:hAnsi="Calibri"/>
                <w:i/>
                <w:iCs/>
                <w:sz w:val="14"/>
                <w:szCs w:val="14"/>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983A"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18.497,00 </w:t>
            </w:r>
          </w:p>
        </w:tc>
        <w:tc>
          <w:tcPr>
            <w:tcW w:w="0" w:type="auto"/>
            <w:tcBorders>
              <w:top w:val="nil"/>
              <w:left w:val="single" w:sz="4" w:space="0" w:color="auto"/>
              <w:bottom w:val="nil"/>
              <w:right w:val="single" w:sz="4" w:space="0" w:color="auto"/>
            </w:tcBorders>
            <w:shd w:val="clear" w:color="auto" w:fill="auto"/>
            <w:noWrap/>
            <w:vAlign w:val="bottom"/>
            <w:hideMark/>
          </w:tcPr>
          <w:p w14:paraId="7561E97F"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84793DD"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285.721,29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0605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C1E3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07B66"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3.002 </w:t>
            </w:r>
          </w:p>
        </w:tc>
      </w:tr>
      <w:tr w:rsidR="006757CB" w:rsidRPr="006757CB" w14:paraId="0F311830"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22183" w14:textId="77777777" w:rsidR="001E2C09" w:rsidRPr="006757CB" w:rsidRDefault="001E2C09">
            <w:pPr>
              <w:jc w:val="center"/>
              <w:rPr>
                <w:rFonts w:ascii="Calibri" w:hAnsi="Calibri"/>
                <w:i/>
                <w:iCs/>
                <w:sz w:val="14"/>
                <w:szCs w:val="14"/>
              </w:rPr>
            </w:pPr>
            <w:r w:rsidRPr="006757CB">
              <w:rPr>
                <w:rFonts w:ascii="Calibri" w:hAnsi="Calibri"/>
                <w:i/>
                <w:iCs/>
                <w:sz w:val="14"/>
                <w:szCs w:val="14"/>
              </w:rPr>
              <w:t>01-feb-83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C548A" w14:textId="77777777" w:rsidR="001E2C09" w:rsidRPr="006757CB" w:rsidRDefault="001E2C09">
            <w:pPr>
              <w:jc w:val="right"/>
              <w:rPr>
                <w:rFonts w:ascii="Calibri" w:hAnsi="Calibri"/>
                <w:i/>
                <w:iCs/>
                <w:sz w:val="14"/>
                <w:szCs w:val="14"/>
              </w:rPr>
            </w:pPr>
            <w:r w:rsidRPr="006757CB">
              <w:rPr>
                <w:rFonts w:ascii="Calibri" w:hAnsi="Calibri"/>
                <w:i/>
                <w:iCs/>
                <w:sz w:val="14"/>
                <w:szCs w:val="14"/>
              </w:rPr>
              <w:t>28-feb-83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40394" w14:textId="77777777" w:rsidR="001E2C09" w:rsidRPr="006757CB" w:rsidRDefault="001E2C09">
            <w:pPr>
              <w:jc w:val="center"/>
              <w:rPr>
                <w:rFonts w:ascii="Calibri" w:hAnsi="Calibri"/>
                <w:i/>
                <w:iCs/>
                <w:sz w:val="14"/>
                <w:szCs w:val="14"/>
              </w:rPr>
            </w:pPr>
            <w:r w:rsidRPr="006757CB">
              <w:rPr>
                <w:rFonts w:ascii="Calibri" w:hAnsi="Calibri"/>
                <w:i/>
                <w:iCs/>
                <w:sz w:val="14"/>
                <w:szCs w:val="14"/>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2F9D" w14:textId="77777777" w:rsidR="001E2C09" w:rsidRPr="006757CB" w:rsidRDefault="001E2C09">
            <w:pPr>
              <w:rPr>
                <w:rFonts w:ascii="Calibri" w:hAnsi="Calibri"/>
                <w:i/>
                <w:iCs/>
                <w:sz w:val="14"/>
                <w:szCs w:val="14"/>
              </w:rPr>
            </w:pPr>
            <w:r w:rsidRPr="006757CB">
              <w:rPr>
                <w:rFonts w:ascii="Calibri" w:hAnsi="Calibri"/>
                <w:i/>
                <w:iCs/>
                <w:sz w:val="14"/>
                <w:szCs w:val="14"/>
              </w:rPr>
              <w:t xml:space="preserve">                 9.261,00 </w:t>
            </w:r>
          </w:p>
        </w:tc>
        <w:tc>
          <w:tcPr>
            <w:tcW w:w="0" w:type="auto"/>
            <w:tcBorders>
              <w:top w:val="nil"/>
              <w:left w:val="single" w:sz="4" w:space="0" w:color="auto"/>
              <w:bottom w:val="nil"/>
              <w:right w:val="single" w:sz="4" w:space="0" w:color="auto"/>
            </w:tcBorders>
            <w:shd w:val="clear" w:color="auto" w:fill="auto"/>
            <w:noWrap/>
            <w:vAlign w:val="bottom"/>
            <w:hideMark/>
          </w:tcPr>
          <w:p w14:paraId="49A174A0"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203E8C1"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143.053,73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50AA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A10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B7269"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468 </w:t>
            </w:r>
          </w:p>
        </w:tc>
      </w:tr>
      <w:tr w:rsidR="006757CB" w:rsidRPr="006757CB" w14:paraId="2D368A56"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AE72" w14:textId="77777777" w:rsidR="001E2C09" w:rsidRPr="006757CB" w:rsidRDefault="001E2C09">
            <w:pPr>
              <w:jc w:val="center"/>
              <w:rPr>
                <w:rFonts w:ascii="Calibri" w:hAnsi="Calibri"/>
                <w:i/>
                <w:iCs/>
                <w:sz w:val="14"/>
                <w:szCs w:val="14"/>
              </w:rPr>
            </w:pPr>
            <w:r w:rsidRPr="006757CB">
              <w:rPr>
                <w:rFonts w:ascii="Calibri" w:hAnsi="Calibri"/>
                <w:i/>
                <w:iCs/>
                <w:sz w:val="14"/>
                <w:szCs w:val="14"/>
              </w:rPr>
              <w:t>01-mar-83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6306A" w14:textId="77777777" w:rsidR="001E2C09" w:rsidRPr="006757CB" w:rsidRDefault="001E2C09">
            <w:pPr>
              <w:jc w:val="right"/>
              <w:rPr>
                <w:rFonts w:ascii="Calibri" w:hAnsi="Calibri"/>
                <w:i/>
                <w:iCs/>
                <w:sz w:val="14"/>
                <w:szCs w:val="14"/>
              </w:rPr>
            </w:pPr>
            <w:r w:rsidRPr="006757CB">
              <w:rPr>
                <w:rFonts w:ascii="Calibri" w:hAnsi="Calibri"/>
                <w:i/>
                <w:iCs/>
                <w:sz w:val="14"/>
                <w:szCs w:val="14"/>
              </w:rPr>
              <w:t>31-mar-83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C4D04"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36BB2"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10.357,00 </w:t>
            </w:r>
          </w:p>
        </w:tc>
        <w:tc>
          <w:tcPr>
            <w:tcW w:w="0" w:type="auto"/>
            <w:tcBorders>
              <w:top w:val="nil"/>
              <w:left w:val="single" w:sz="4" w:space="0" w:color="auto"/>
              <w:bottom w:val="nil"/>
              <w:right w:val="single" w:sz="4" w:space="0" w:color="auto"/>
            </w:tcBorders>
            <w:shd w:val="clear" w:color="auto" w:fill="auto"/>
            <w:noWrap/>
            <w:vAlign w:val="bottom"/>
            <w:hideMark/>
          </w:tcPr>
          <w:p w14:paraId="3C074BF4"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EF9A3A2"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159.983,53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76F7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B29F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6333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579 </w:t>
            </w:r>
          </w:p>
        </w:tc>
      </w:tr>
      <w:tr w:rsidR="006757CB" w:rsidRPr="006757CB" w14:paraId="0AED549E"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5CD2D" w14:textId="77777777" w:rsidR="001E2C09" w:rsidRPr="006757CB" w:rsidRDefault="001E2C09">
            <w:pPr>
              <w:jc w:val="center"/>
              <w:rPr>
                <w:rFonts w:ascii="Calibri" w:hAnsi="Calibri"/>
                <w:i/>
                <w:iCs/>
                <w:sz w:val="14"/>
                <w:szCs w:val="14"/>
              </w:rPr>
            </w:pPr>
            <w:r w:rsidRPr="006757CB">
              <w:rPr>
                <w:rFonts w:ascii="Calibri" w:hAnsi="Calibri"/>
                <w:i/>
                <w:iCs/>
                <w:sz w:val="14"/>
                <w:szCs w:val="14"/>
              </w:rPr>
              <w:t>01-abr-83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CF935" w14:textId="77777777" w:rsidR="001E2C09" w:rsidRPr="006757CB" w:rsidRDefault="001E2C09">
            <w:pPr>
              <w:jc w:val="right"/>
              <w:rPr>
                <w:rFonts w:ascii="Calibri" w:hAnsi="Calibri"/>
                <w:i/>
                <w:iCs/>
                <w:sz w:val="14"/>
                <w:szCs w:val="14"/>
              </w:rPr>
            </w:pPr>
            <w:r w:rsidRPr="006757CB">
              <w:rPr>
                <w:rFonts w:ascii="Calibri" w:hAnsi="Calibri"/>
                <w:i/>
                <w:iCs/>
                <w:sz w:val="14"/>
                <w:szCs w:val="14"/>
              </w:rPr>
              <w:t>30-abr-83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1597E" w14:textId="77777777" w:rsidR="001E2C09" w:rsidRPr="006757CB" w:rsidRDefault="001E2C09">
            <w:pPr>
              <w:jc w:val="center"/>
              <w:rPr>
                <w:rFonts w:ascii="Calibri" w:hAnsi="Calibri"/>
                <w:i/>
                <w:iCs/>
                <w:sz w:val="14"/>
                <w:szCs w:val="14"/>
              </w:rPr>
            </w:pPr>
            <w:r w:rsidRPr="006757CB">
              <w:rPr>
                <w:rFonts w:ascii="Calibri" w:hAnsi="Calibri"/>
                <w:i/>
                <w:iCs/>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31EB3"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21.705,00 </w:t>
            </w:r>
          </w:p>
        </w:tc>
        <w:tc>
          <w:tcPr>
            <w:tcW w:w="0" w:type="auto"/>
            <w:tcBorders>
              <w:top w:val="nil"/>
              <w:left w:val="single" w:sz="4" w:space="0" w:color="auto"/>
              <w:bottom w:val="nil"/>
              <w:right w:val="single" w:sz="4" w:space="0" w:color="auto"/>
            </w:tcBorders>
            <w:shd w:val="clear" w:color="auto" w:fill="auto"/>
            <w:noWrap/>
            <w:vAlign w:val="bottom"/>
            <w:hideMark/>
          </w:tcPr>
          <w:p w14:paraId="453D9065"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5D94496"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335.274,94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91CC9"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2333E"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4C4C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1.174 </w:t>
            </w:r>
          </w:p>
        </w:tc>
      </w:tr>
      <w:tr w:rsidR="006757CB" w:rsidRPr="006757CB" w14:paraId="66AB1D58"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3FAD4" w14:textId="77777777" w:rsidR="001E2C09" w:rsidRPr="006757CB" w:rsidRDefault="001E2C09">
            <w:pPr>
              <w:jc w:val="center"/>
              <w:rPr>
                <w:rFonts w:ascii="Calibri" w:hAnsi="Calibri"/>
                <w:i/>
                <w:iCs/>
                <w:sz w:val="14"/>
                <w:szCs w:val="14"/>
              </w:rPr>
            </w:pPr>
            <w:r w:rsidRPr="006757CB">
              <w:rPr>
                <w:rFonts w:ascii="Calibri" w:hAnsi="Calibri"/>
                <w:i/>
                <w:iCs/>
                <w:sz w:val="14"/>
                <w:szCs w:val="14"/>
              </w:rPr>
              <w:t>01-may-83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A7127" w14:textId="77777777" w:rsidR="001E2C09" w:rsidRPr="006757CB" w:rsidRDefault="001E2C09">
            <w:pPr>
              <w:jc w:val="right"/>
              <w:rPr>
                <w:rFonts w:ascii="Calibri" w:hAnsi="Calibri"/>
                <w:i/>
                <w:iCs/>
                <w:sz w:val="14"/>
                <w:szCs w:val="14"/>
              </w:rPr>
            </w:pPr>
            <w:r w:rsidRPr="006757CB">
              <w:rPr>
                <w:rFonts w:ascii="Calibri" w:hAnsi="Calibri"/>
                <w:i/>
                <w:iCs/>
                <w:sz w:val="14"/>
                <w:szCs w:val="14"/>
              </w:rPr>
              <w:t>31-may-83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3D2B7"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77F63"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27.097,00 </w:t>
            </w:r>
          </w:p>
        </w:tc>
        <w:tc>
          <w:tcPr>
            <w:tcW w:w="0" w:type="auto"/>
            <w:tcBorders>
              <w:top w:val="nil"/>
              <w:left w:val="single" w:sz="4" w:space="0" w:color="auto"/>
              <w:bottom w:val="nil"/>
              <w:right w:val="single" w:sz="4" w:space="0" w:color="auto"/>
            </w:tcBorders>
            <w:shd w:val="clear" w:color="auto" w:fill="auto"/>
            <w:noWrap/>
            <w:vAlign w:val="bottom"/>
            <w:hideMark/>
          </w:tcPr>
          <w:p w14:paraId="0D7EC8B1"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3E5EBF7"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418.564,62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4F6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3FE4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DB81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1.515 </w:t>
            </w:r>
          </w:p>
        </w:tc>
      </w:tr>
      <w:tr w:rsidR="006757CB" w:rsidRPr="006757CB" w14:paraId="6FACCFAB"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1A983" w14:textId="77777777" w:rsidR="001E2C09" w:rsidRPr="006757CB" w:rsidRDefault="001E2C09">
            <w:pPr>
              <w:jc w:val="center"/>
              <w:rPr>
                <w:rFonts w:ascii="Calibri" w:hAnsi="Calibri"/>
                <w:i/>
                <w:iCs/>
                <w:sz w:val="14"/>
                <w:szCs w:val="14"/>
              </w:rPr>
            </w:pPr>
            <w:r w:rsidRPr="006757CB">
              <w:rPr>
                <w:rFonts w:ascii="Calibri" w:hAnsi="Calibri"/>
                <w:i/>
                <w:iCs/>
                <w:sz w:val="14"/>
                <w:szCs w:val="14"/>
              </w:rPr>
              <w:t>01-jun-83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0D9AF" w14:textId="77777777" w:rsidR="001E2C09" w:rsidRPr="006757CB" w:rsidRDefault="001E2C09">
            <w:pPr>
              <w:jc w:val="right"/>
              <w:rPr>
                <w:rFonts w:ascii="Calibri" w:hAnsi="Calibri"/>
                <w:i/>
                <w:iCs/>
                <w:sz w:val="14"/>
                <w:szCs w:val="14"/>
              </w:rPr>
            </w:pPr>
            <w:r w:rsidRPr="006757CB">
              <w:rPr>
                <w:rFonts w:ascii="Calibri" w:hAnsi="Calibri"/>
                <w:i/>
                <w:iCs/>
                <w:sz w:val="14"/>
                <w:szCs w:val="14"/>
              </w:rPr>
              <w:t>30-jun-83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BF946" w14:textId="77777777" w:rsidR="001E2C09" w:rsidRPr="006757CB" w:rsidRDefault="001E2C09">
            <w:pPr>
              <w:jc w:val="center"/>
              <w:rPr>
                <w:rFonts w:ascii="Calibri" w:hAnsi="Calibri"/>
                <w:i/>
                <w:iCs/>
                <w:sz w:val="14"/>
                <w:szCs w:val="14"/>
              </w:rPr>
            </w:pPr>
            <w:r w:rsidRPr="006757CB">
              <w:rPr>
                <w:rFonts w:ascii="Calibri" w:hAnsi="Calibri"/>
                <w:i/>
                <w:iCs/>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6BF15" w14:textId="77777777" w:rsidR="001E2C09" w:rsidRPr="006757CB" w:rsidRDefault="001E2C09">
            <w:pPr>
              <w:rPr>
                <w:rFonts w:ascii="Calibri" w:hAnsi="Calibri"/>
                <w:i/>
                <w:iCs/>
                <w:sz w:val="14"/>
                <w:szCs w:val="14"/>
              </w:rPr>
            </w:pPr>
            <w:r w:rsidRPr="006757CB">
              <w:rPr>
                <w:rFonts w:ascii="Calibri" w:hAnsi="Calibri"/>
                <w:i/>
                <w:iCs/>
                <w:sz w:val="14"/>
                <w:szCs w:val="14"/>
              </w:rPr>
              <w:t xml:space="preserve">                 9.261,00 </w:t>
            </w:r>
          </w:p>
        </w:tc>
        <w:tc>
          <w:tcPr>
            <w:tcW w:w="0" w:type="auto"/>
            <w:tcBorders>
              <w:top w:val="nil"/>
              <w:left w:val="single" w:sz="4" w:space="0" w:color="auto"/>
              <w:bottom w:val="nil"/>
              <w:right w:val="single" w:sz="4" w:space="0" w:color="auto"/>
            </w:tcBorders>
            <w:shd w:val="clear" w:color="auto" w:fill="auto"/>
            <w:noWrap/>
            <w:vAlign w:val="bottom"/>
            <w:hideMark/>
          </w:tcPr>
          <w:p w14:paraId="07FD5B81"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DAC134C"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143.053,73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CFD4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CC51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1BD6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501 </w:t>
            </w:r>
          </w:p>
        </w:tc>
      </w:tr>
      <w:tr w:rsidR="006757CB" w:rsidRPr="006757CB" w14:paraId="441A11AD"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7C1A4" w14:textId="77777777" w:rsidR="001E2C09" w:rsidRPr="006757CB" w:rsidRDefault="001E2C09">
            <w:pPr>
              <w:jc w:val="center"/>
              <w:rPr>
                <w:rFonts w:ascii="Calibri" w:hAnsi="Calibri"/>
                <w:i/>
                <w:iCs/>
                <w:sz w:val="14"/>
                <w:szCs w:val="14"/>
              </w:rPr>
            </w:pPr>
            <w:r w:rsidRPr="006757CB">
              <w:rPr>
                <w:rFonts w:ascii="Calibri" w:hAnsi="Calibri"/>
                <w:i/>
                <w:iCs/>
                <w:sz w:val="14"/>
                <w:szCs w:val="14"/>
              </w:rPr>
              <w:t>01-jul-83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C876B" w14:textId="77777777" w:rsidR="001E2C09" w:rsidRPr="006757CB" w:rsidRDefault="001E2C09">
            <w:pPr>
              <w:jc w:val="right"/>
              <w:rPr>
                <w:rFonts w:ascii="Calibri" w:hAnsi="Calibri"/>
                <w:i/>
                <w:iCs/>
                <w:sz w:val="14"/>
                <w:szCs w:val="14"/>
              </w:rPr>
            </w:pPr>
            <w:r w:rsidRPr="006757CB">
              <w:rPr>
                <w:rFonts w:ascii="Calibri" w:hAnsi="Calibri"/>
                <w:i/>
                <w:iCs/>
                <w:sz w:val="14"/>
                <w:szCs w:val="14"/>
              </w:rPr>
              <w:t>31-jul-83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401B8"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AE43"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15.529,00 </w:t>
            </w:r>
          </w:p>
        </w:tc>
        <w:tc>
          <w:tcPr>
            <w:tcW w:w="0" w:type="auto"/>
            <w:tcBorders>
              <w:top w:val="nil"/>
              <w:left w:val="single" w:sz="4" w:space="0" w:color="auto"/>
              <w:bottom w:val="nil"/>
              <w:right w:val="single" w:sz="4" w:space="0" w:color="auto"/>
            </w:tcBorders>
            <w:shd w:val="clear" w:color="auto" w:fill="auto"/>
            <w:noWrap/>
            <w:vAlign w:val="bottom"/>
            <w:hideMark/>
          </w:tcPr>
          <w:p w14:paraId="3543FF95"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CB0B64C"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239.874,89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E39CE"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C768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B885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868 </w:t>
            </w:r>
          </w:p>
        </w:tc>
      </w:tr>
      <w:tr w:rsidR="006757CB" w:rsidRPr="006757CB" w14:paraId="7B1462DB"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4E9CC" w14:textId="77777777" w:rsidR="001E2C09" w:rsidRPr="006757CB" w:rsidRDefault="001E2C09">
            <w:pPr>
              <w:jc w:val="center"/>
              <w:rPr>
                <w:rFonts w:ascii="Calibri" w:hAnsi="Calibri"/>
                <w:i/>
                <w:iCs/>
                <w:sz w:val="14"/>
                <w:szCs w:val="14"/>
              </w:rPr>
            </w:pPr>
            <w:r w:rsidRPr="006757CB">
              <w:rPr>
                <w:rFonts w:ascii="Calibri" w:hAnsi="Calibri"/>
                <w:i/>
                <w:iCs/>
                <w:sz w:val="14"/>
                <w:szCs w:val="14"/>
              </w:rPr>
              <w:t>01-ago-83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A09AF" w14:textId="77777777" w:rsidR="001E2C09" w:rsidRPr="006757CB" w:rsidRDefault="001E2C09">
            <w:pPr>
              <w:jc w:val="right"/>
              <w:rPr>
                <w:rFonts w:ascii="Calibri" w:hAnsi="Calibri"/>
                <w:i/>
                <w:iCs/>
                <w:sz w:val="14"/>
                <w:szCs w:val="14"/>
              </w:rPr>
            </w:pPr>
            <w:r w:rsidRPr="006757CB">
              <w:rPr>
                <w:rFonts w:ascii="Calibri" w:hAnsi="Calibri"/>
                <w:i/>
                <w:iCs/>
                <w:sz w:val="14"/>
                <w:szCs w:val="14"/>
              </w:rPr>
              <w:t>31-ago-83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2387E"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E2346"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17.439,00 </w:t>
            </w:r>
          </w:p>
        </w:tc>
        <w:tc>
          <w:tcPr>
            <w:tcW w:w="0" w:type="auto"/>
            <w:tcBorders>
              <w:top w:val="nil"/>
              <w:left w:val="single" w:sz="4" w:space="0" w:color="auto"/>
              <w:bottom w:val="nil"/>
              <w:right w:val="single" w:sz="4" w:space="0" w:color="auto"/>
            </w:tcBorders>
            <w:shd w:val="clear" w:color="auto" w:fill="auto"/>
            <w:noWrap/>
            <w:vAlign w:val="bottom"/>
            <w:hideMark/>
          </w:tcPr>
          <w:p w14:paraId="669C04AD"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A6C4F4C"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269.378,47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AC00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650FF"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E08C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975 </w:t>
            </w:r>
          </w:p>
        </w:tc>
      </w:tr>
      <w:tr w:rsidR="006757CB" w:rsidRPr="006757CB" w14:paraId="42387886"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16936" w14:textId="77777777" w:rsidR="001E2C09" w:rsidRPr="006757CB" w:rsidRDefault="001E2C09">
            <w:pPr>
              <w:jc w:val="center"/>
              <w:rPr>
                <w:rFonts w:ascii="Calibri" w:hAnsi="Calibri"/>
                <w:i/>
                <w:iCs/>
                <w:sz w:val="14"/>
                <w:szCs w:val="14"/>
              </w:rPr>
            </w:pPr>
            <w:r w:rsidRPr="006757CB">
              <w:rPr>
                <w:rFonts w:ascii="Calibri" w:hAnsi="Calibri"/>
                <w:i/>
                <w:iCs/>
                <w:sz w:val="14"/>
                <w:szCs w:val="14"/>
              </w:rPr>
              <w:t>01-sep-83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E2DFD" w14:textId="77777777" w:rsidR="001E2C09" w:rsidRPr="006757CB" w:rsidRDefault="001E2C09">
            <w:pPr>
              <w:jc w:val="right"/>
              <w:rPr>
                <w:rFonts w:ascii="Calibri" w:hAnsi="Calibri"/>
                <w:i/>
                <w:iCs/>
                <w:sz w:val="14"/>
                <w:szCs w:val="14"/>
              </w:rPr>
            </w:pPr>
            <w:r w:rsidRPr="006757CB">
              <w:rPr>
                <w:rFonts w:ascii="Calibri" w:hAnsi="Calibri"/>
                <w:i/>
                <w:iCs/>
                <w:sz w:val="14"/>
                <w:szCs w:val="14"/>
              </w:rPr>
              <w:t>30-sep-83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6EF91" w14:textId="77777777" w:rsidR="001E2C09" w:rsidRPr="006757CB" w:rsidRDefault="001E2C09">
            <w:pPr>
              <w:jc w:val="center"/>
              <w:rPr>
                <w:rFonts w:ascii="Calibri" w:hAnsi="Calibri"/>
                <w:i/>
                <w:iCs/>
                <w:sz w:val="14"/>
                <w:szCs w:val="14"/>
              </w:rPr>
            </w:pPr>
            <w:r w:rsidRPr="006757CB">
              <w:rPr>
                <w:rFonts w:ascii="Calibri" w:hAnsi="Calibri"/>
                <w:i/>
                <w:iCs/>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17168"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22.662,00 </w:t>
            </w:r>
          </w:p>
        </w:tc>
        <w:tc>
          <w:tcPr>
            <w:tcW w:w="0" w:type="auto"/>
            <w:tcBorders>
              <w:top w:val="nil"/>
              <w:left w:val="single" w:sz="4" w:space="0" w:color="auto"/>
              <w:bottom w:val="nil"/>
              <w:right w:val="single" w:sz="4" w:space="0" w:color="auto"/>
            </w:tcBorders>
            <w:shd w:val="clear" w:color="auto" w:fill="auto"/>
            <w:noWrap/>
            <w:vAlign w:val="bottom"/>
            <w:hideMark/>
          </w:tcPr>
          <w:p w14:paraId="49C8738E"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A05E115"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350.057,62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8BBF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EFA2D"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039D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1.226 </w:t>
            </w:r>
          </w:p>
        </w:tc>
      </w:tr>
      <w:tr w:rsidR="006757CB" w:rsidRPr="006757CB" w14:paraId="7E699AA6"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49116" w14:textId="77777777" w:rsidR="001E2C09" w:rsidRPr="006757CB" w:rsidRDefault="001E2C09">
            <w:pPr>
              <w:jc w:val="center"/>
              <w:rPr>
                <w:rFonts w:ascii="Calibri" w:hAnsi="Calibri"/>
                <w:i/>
                <w:iCs/>
                <w:sz w:val="14"/>
                <w:szCs w:val="14"/>
              </w:rPr>
            </w:pPr>
            <w:r w:rsidRPr="006757CB">
              <w:rPr>
                <w:rFonts w:ascii="Calibri" w:hAnsi="Calibri"/>
                <w:i/>
                <w:iCs/>
                <w:sz w:val="14"/>
                <w:szCs w:val="14"/>
              </w:rPr>
              <w:t>01-oct-83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EBBC2" w14:textId="77777777" w:rsidR="001E2C09" w:rsidRPr="006757CB" w:rsidRDefault="001E2C09">
            <w:pPr>
              <w:jc w:val="right"/>
              <w:rPr>
                <w:rFonts w:ascii="Calibri" w:hAnsi="Calibri"/>
                <w:i/>
                <w:iCs/>
                <w:sz w:val="14"/>
                <w:szCs w:val="14"/>
              </w:rPr>
            </w:pPr>
            <w:r w:rsidRPr="006757CB">
              <w:rPr>
                <w:rFonts w:ascii="Calibri" w:hAnsi="Calibri"/>
                <w:i/>
                <w:iCs/>
                <w:sz w:val="14"/>
                <w:szCs w:val="14"/>
              </w:rPr>
              <w:t>31-oct-83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5AEE3"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2F0CB"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20.501,00 </w:t>
            </w:r>
          </w:p>
        </w:tc>
        <w:tc>
          <w:tcPr>
            <w:tcW w:w="0" w:type="auto"/>
            <w:tcBorders>
              <w:top w:val="nil"/>
              <w:left w:val="single" w:sz="4" w:space="0" w:color="auto"/>
              <w:bottom w:val="nil"/>
              <w:right w:val="single" w:sz="4" w:space="0" w:color="auto"/>
            </w:tcBorders>
            <w:shd w:val="clear" w:color="auto" w:fill="auto"/>
            <w:noWrap/>
            <w:vAlign w:val="bottom"/>
            <w:hideMark/>
          </w:tcPr>
          <w:p w14:paraId="0E4C4350"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EBF03F2"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316.676,88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7110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47F7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B279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1.146 </w:t>
            </w:r>
          </w:p>
        </w:tc>
      </w:tr>
      <w:tr w:rsidR="006757CB" w:rsidRPr="006757CB" w14:paraId="0337E08E"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EBC41" w14:textId="77777777" w:rsidR="001E2C09" w:rsidRPr="006757CB" w:rsidRDefault="001E2C09">
            <w:pPr>
              <w:jc w:val="center"/>
              <w:rPr>
                <w:rFonts w:ascii="Calibri" w:hAnsi="Calibri"/>
                <w:i/>
                <w:iCs/>
                <w:sz w:val="14"/>
                <w:szCs w:val="14"/>
              </w:rPr>
            </w:pPr>
            <w:r w:rsidRPr="006757CB">
              <w:rPr>
                <w:rFonts w:ascii="Calibri" w:hAnsi="Calibri"/>
                <w:i/>
                <w:iCs/>
                <w:sz w:val="14"/>
                <w:szCs w:val="14"/>
              </w:rPr>
              <w:t>01-nov-83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8DD76" w14:textId="77777777" w:rsidR="001E2C09" w:rsidRPr="006757CB" w:rsidRDefault="001E2C09">
            <w:pPr>
              <w:jc w:val="right"/>
              <w:rPr>
                <w:rFonts w:ascii="Calibri" w:hAnsi="Calibri"/>
                <w:i/>
                <w:iCs/>
                <w:sz w:val="14"/>
                <w:szCs w:val="14"/>
              </w:rPr>
            </w:pPr>
            <w:r w:rsidRPr="006757CB">
              <w:rPr>
                <w:rFonts w:ascii="Calibri" w:hAnsi="Calibri"/>
                <w:i/>
                <w:iCs/>
                <w:sz w:val="14"/>
                <w:szCs w:val="14"/>
              </w:rPr>
              <w:t>30-nov-83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4B529" w14:textId="77777777" w:rsidR="001E2C09" w:rsidRPr="006757CB" w:rsidRDefault="001E2C09">
            <w:pPr>
              <w:jc w:val="center"/>
              <w:rPr>
                <w:rFonts w:ascii="Calibri" w:hAnsi="Calibri"/>
                <w:i/>
                <w:iCs/>
                <w:sz w:val="14"/>
                <w:szCs w:val="14"/>
              </w:rPr>
            </w:pPr>
            <w:r w:rsidRPr="006757CB">
              <w:rPr>
                <w:rFonts w:ascii="Calibri" w:hAnsi="Calibri"/>
                <w:i/>
                <w:iCs/>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6AFB4"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19.123,00 </w:t>
            </w:r>
          </w:p>
        </w:tc>
        <w:tc>
          <w:tcPr>
            <w:tcW w:w="0" w:type="auto"/>
            <w:tcBorders>
              <w:top w:val="nil"/>
              <w:left w:val="single" w:sz="4" w:space="0" w:color="auto"/>
              <w:bottom w:val="nil"/>
              <w:right w:val="single" w:sz="4" w:space="0" w:color="auto"/>
            </w:tcBorders>
            <w:shd w:val="clear" w:color="auto" w:fill="auto"/>
            <w:noWrap/>
            <w:vAlign w:val="bottom"/>
            <w:hideMark/>
          </w:tcPr>
          <w:p w14:paraId="1FAF3CA6"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0B65EE2"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295.391,05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2CEE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7723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5981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1.035 </w:t>
            </w:r>
          </w:p>
        </w:tc>
      </w:tr>
      <w:tr w:rsidR="006757CB" w:rsidRPr="006757CB" w14:paraId="25BA0353"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E5E49" w14:textId="77777777" w:rsidR="001E2C09" w:rsidRPr="006757CB" w:rsidRDefault="001E2C09">
            <w:pPr>
              <w:jc w:val="center"/>
              <w:rPr>
                <w:rFonts w:ascii="Calibri" w:hAnsi="Calibri"/>
                <w:i/>
                <w:iCs/>
                <w:sz w:val="14"/>
                <w:szCs w:val="14"/>
              </w:rPr>
            </w:pPr>
            <w:r w:rsidRPr="006757CB">
              <w:rPr>
                <w:rFonts w:ascii="Calibri" w:hAnsi="Calibri"/>
                <w:i/>
                <w:iCs/>
                <w:sz w:val="14"/>
                <w:szCs w:val="14"/>
              </w:rPr>
              <w:t>01-dic-83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3E0EC"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8BCBD"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D73EE"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22.804,00 </w:t>
            </w:r>
          </w:p>
        </w:tc>
        <w:tc>
          <w:tcPr>
            <w:tcW w:w="0" w:type="auto"/>
            <w:tcBorders>
              <w:top w:val="nil"/>
              <w:left w:val="single" w:sz="4" w:space="0" w:color="auto"/>
              <w:bottom w:val="nil"/>
              <w:right w:val="single" w:sz="4" w:space="0" w:color="auto"/>
            </w:tcBorders>
            <w:shd w:val="clear" w:color="auto" w:fill="auto"/>
            <w:noWrap/>
            <w:vAlign w:val="bottom"/>
            <w:hideMark/>
          </w:tcPr>
          <w:p w14:paraId="7BC5400F"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9376E0B"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352.251,08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579B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BDDB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923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1.275 </w:t>
            </w:r>
          </w:p>
        </w:tc>
      </w:tr>
      <w:tr w:rsidR="006757CB" w:rsidRPr="006757CB" w14:paraId="0B0EE999"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E5B98" w14:textId="77777777" w:rsidR="001E2C09" w:rsidRPr="006757CB" w:rsidRDefault="001E2C09">
            <w:pPr>
              <w:jc w:val="center"/>
              <w:rPr>
                <w:rFonts w:ascii="Calibri" w:hAnsi="Calibri"/>
                <w:i/>
                <w:iCs/>
                <w:sz w:val="14"/>
                <w:szCs w:val="14"/>
              </w:rPr>
            </w:pPr>
            <w:r w:rsidRPr="006757CB">
              <w:rPr>
                <w:rFonts w:ascii="Calibri" w:hAnsi="Calibri"/>
                <w:i/>
                <w:iCs/>
                <w:sz w:val="14"/>
                <w:szCs w:val="14"/>
              </w:rPr>
              <w:t>01-feb-84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CCB41" w14:textId="77777777" w:rsidR="001E2C09" w:rsidRPr="006757CB" w:rsidRDefault="001E2C09">
            <w:pPr>
              <w:jc w:val="right"/>
              <w:rPr>
                <w:rFonts w:ascii="Calibri" w:hAnsi="Calibri"/>
                <w:i/>
                <w:iCs/>
                <w:sz w:val="14"/>
                <w:szCs w:val="14"/>
              </w:rPr>
            </w:pPr>
            <w:r w:rsidRPr="006757CB">
              <w:rPr>
                <w:rFonts w:ascii="Calibri" w:hAnsi="Calibri"/>
                <w:i/>
                <w:iCs/>
                <w:sz w:val="14"/>
                <w:szCs w:val="14"/>
              </w:rPr>
              <w:t>29-feb-84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E7253" w14:textId="77777777" w:rsidR="001E2C09" w:rsidRPr="006757CB" w:rsidRDefault="001E2C09">
            <w:pPr>
              <w:jc w:val="center"/>
              <w:rPr>
                <w:rFonts w:ascii="Calibri" w:hAnsi="Calibri"/>
                <w:i/>
                <w:iCs/>
                <w:sz w:val="14"/>
                <w:szCs w:val="14"/>
              </w:rPr>
            </w:pPr>
            <w:r w:rsidRPr="006757CB">
              <w:rPr>
                <w:rFonts w:ascii="Calibri" w:hAnsi="Calibri"/>
                <w:i/>
                <w:iCs/>
                <w:sz w:val="14"/>
                <w:szCs w:val="14"/>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4C1B5"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11.298,00 </w:t>
            </w:r>
          </w:p>
        </w:tc>
        <w:tc>
          <w:tcPr>
            <w:tcW w:w="0" w:type="auto"/>
            <w:tcBorders>
              <w:top w:val="nil"/>
              <w:left w:val="single" w:sz="4" w:space="0" w:color="auto"/>
              <w:bottom w:val="nil"/>
              <w:right w:val="single" w:sz="4" w:space="0" w:color="auto"/>
            </w:tcBorders>
            <w:shd w:val="clear" w:color="auto" w:fill="auto"/>
            <w:noWrap/>
            <w:vAlign w:val="bottom"/>
            <w:hideMark/>
          </w:tcPr>
          <w:p w14:paraId="0C37F16F"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935D709"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149.625,58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7587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907FF"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2,36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4A1C6"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507 </w:t>
            </w:r>
          </w:p>
        </w:tc>
      </w:tr>
      <w:tr w:rsidR="006757CB" w:rsidRPr="006757CB" w14:paraId="5A7B26C0"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43CB1" w14:textId="77777777" w:rsidR="001E2C09" w:rsidRPr="006757CB" w:rsidRDefault="001E2C09">
            <w:pPr>
              <w:jc w:val="center"/>
              <w:rPr>
                <w:rFonts w:ascii="Calibri" w:hAnsi="Calibri"/>
                <w:i/>
                <w:iCs/>
                <w:sz w:val="14"/>
                <w:szCs w:val="14"/>
              </w:rPr>
            </w:pPr>
            <w:r w:rsidRPr="006757CB">
              <w:rPr>
                <w:rFonts w:ascii="Calibri" w:hAnsi="Calibri"/>
                <w:i/>
                <w:iCs/>
                <w:sz w:val="14"/>
                <w:szCs w:val="14"/>
              </w:rPr>
              <w:t>01-mar-84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92F49" w14:textId="77777777" w:rsidR="001E2C09" w:rsidRPr="006757CB" w:rsidRDefault="001E2C09">
            <w:pPr>
              <w:jc w:val="right"/>
              <w:rPr>
                <w:rFonts w:ascii="Calibri" w:hAnsi="Calibri"/>
                <w:i/>
                <w:iCs/>
                <w:sz w:val="14"/>
                <w:szCs w:val="14"/>
              </w:rPr>
            </w:pPr>
            <w:r w:rsidRPr="006757CB">
              <w:rPr>
                <w:rFonts w:ascii="Calibri" w:hAnsi="Calibri"/>
                <w:i/>
                <w:iCs/>
                <w:sz w:val="14"/>
                <w:szCs w:val="14"/>
              </w:rPr>
              <w:t>31-mar-84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7ED51"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8288C"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16.737,00 </w:t>
            </w:r>
          </w:p>
        </w:tc>
        <w:tc>
          <w:tcPr>
            <w:tcW w:w="0" w:type="auto"/>
            <w:tcBorders>
              <w:top w:val="nil"/>
              <w:left w:val="single" w:sz="4" w:space="0" w:color="auto"/>
              <w:bottom w:val="nil"/>
              <w:right w:val="single" w:sz="4" w:space="0" w:color="auto"/>
            </w:tcBorders>
            <w:shd w:val="clear" w:color="auto" w:fill="auto"/>
            <w:noWrap/>
            <w:vAlign w:val="bottom"/>
            <w:hideMark/>
          </w:tcPr>
          <w:p w14:paraId="00F860E6"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3AA0975"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221.657,22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9A64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D79E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2,36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AEAB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802 </w:t>
            </w:r>
          </w:p>
        </w:tc>
      </w:tr>
      <w:tr w:rsidR="006757CB" w:rsidRPr="006757CB" w14:paraId="76FA57EB"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A7D66" w14:textId="77777777" w:rsidR="001E2C09" w:rsidRPr="006757CB" w:rsidRDefault="001E2C09">
            <w:pPr>
              <w:jc w:val="center"/>
              <w:rPr>
                <w:rFonts w:ascii="Calibri" w:hAnsi="Calibri"/>
                <w:i/>
                <w:iCs/>
                <w:sz w:val="14"/>
                <w:szCs w:val="14"/>
              </w:rPr>
            </w:pPr>
            <w:r w:rsidRPr="006757CB">
              <w:rPr>
                <w:rFonts w:ascii="Calibri" w:hAnsi="Calibri"/>
                <w:i/>
                <w:iCs/>
                <w:sz w:val="14"/>
                <w:szCs w:val="14"/>
              </w:rPr>
              <w:t>01-abr-84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9903D" w14:textId="77777777" w:rsidR="001E2C09" w:rsidRPr="006757CB" w:rsidRDefault="001E2C09">
            <w:pPr>
              <w:jc w:val="right"/>
              <w:rPr>
                <w:rFonts w:ascii="Calibri" w:hAnsi="Calibri"/>
                <w:i/>
                <w:iCs/>
                <w:sz w:val="14"/>
                <w:szCs w:val="14"/>
              </w:rPr>
            </w:pPr>
            <w:r w:rsidRPr="006757CB">
              <w:rPr>
                <w:rFonts w:ascii="Calibri" w:hAnsi="Calibri"/>
                <w:i/>
                <w:iCs/>
                <w:sz w:val="14"/>
                <w:szCs w:val="14"/>
              </w:rPr>
              <w:t>30-abr-84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F5A5D" w14:textId="77777777" w:rsidR="001E2C09" w:rsidRPr="006757CB" w:rsidRDefault="001E2C09">
            <w:pPr>
              <w:jc w:val="center"/>
              <w:rPr>
                <w:rFonts w:ascii="Calibri" w:hAnsi="Calibri"/>
                <w:i/>
                <w:iCs/>
                <w:sz w:val="14"/>
                <w:szCs w:val="14"/>
              </w:rPr>
            </w:pPr>
            <w:r w:rsidRPr="006757CB">
              <w:rPr>
                <w:rFonts w:ascii="Calibri" w:hAnsi="Calibri"/>
                <w:i/>
                <w:iCs/>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A7255"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11.298,00 </w:t>
            </w:r>
          </w:p>
        </w:tc>
        <w:tc>
          <w:tcPr>
            <w:tcW w:w="0" w:type="auto"/>
            <w:tcBorders>
              <w:top w:val="nil"/>
              <w:left w:val="single" w:sz="4" w:space="0" w:color="auto"/>
              <w:bottom w:val="nil"/>
              <w:right w:val="single" w:sz="4" w:space="0" w:color="auto"/>
            </w:tcBorders>
            <w:shd w:val="clear" w:color="auto" w:fill="auto"/>
            <w:noWrap/>
            <w:vAlign w:val="bottom"/>
            <w:hideMark/>
          </w:tcPr>
          <w:p w14:paraId="71610AD5"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2E9730F"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149.625,58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FCCA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B2A7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2,36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7E99F"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524 </w:t>
            </w:r>
          </w:p>
        </w:tc>
      </w:tr>
      <w:tr w:rsidR="006757CB" w:rsidRPr="006757CB" w14:paraId="181AE5EC"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BC66E" w14:textId="77777777" w:rsidR="001E2C09" w:rsidRPr="006757CB" w:rsidRDefault="001E2C09">
            <w:pPr>
              <w:jc w:val="center"/>
              <w:rPr>
                <w:rFonts w:ascii="Calibri" w:hAnsi="Calibri"/>
                <w:i/>
                <w:iCs/>
                <w:sz w:val="14"/>
                <w:szCs w:val="14"/>
              </w:rPr>
            </w:pPr>
            <w:r w:rsidRPr="006757CB">
              <w:rPr>
                <w:rFonts w:ascii="Calibri" w:hAnsi="Calibri"/>
                <w:i/>
                <w:iCs/>
                <w:sz w:val="14"/>
                <w:szCs w:val="14"/>
              </w:rPr>
              <w:t>01-may-84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8781A" w14:textId="77777777" w:rsidR="001E2C09" w:rsidRPr="006757CB" w:rsidRDefault="001E2C09">
            <w:pPr>
              <w:jc w:val="right"/>
              <w:rPr>
                <w:rFonts w:ascii="Calibri" w:hAnsi="Calibri"/>
                <w:i/>
                <w:iCs/>
                <w:sz w:val="14"/>
                <w:szCs w:val="14"/>
              </w:rPr>
            </w:pPr>
            <w:r w:rsidRPr="006757CB">
              <w:rPr>
                <w:rFonts w:ascii="Calibri" w:hAnsi="Calibri"/>
                <w:i/>
                <w:iCs/>
                <w:sz w:val="14"/>
                <w:szCs w:val="14"/>
              </w:rPr>
              <w:t>31-may-84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46F3"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2B962"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12.962,00 </w:t>
            </w:r>
          </w:p>
        </w:tc>
        <w:tc>
          <w:tcPr>
            <w:tcW w:w="0" w:type="auto"/>
            <w:tcBorders>
              <w:top w:val="nil"/>
              <w:left w:val="single" w:sz="4" w:space="0" w:color="auto"/>
              <w:bottom w:val="nil"/>
              <w:right w:val="single" w:sz="4" w:space="0" w:color="auto"/>
            </w:tcBorders>
            <w:shd w:val="clear" w:color="auto" w:fill="auto"/>
            <w:noWrap/>
            <w:vAlign w:val="bottom"/>
            <w:hideMark/>
          </w:tcPr>
          <w:p w14:paraId="1C5ECE07"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C12ABD2"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171.662,84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689D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3660E"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2,36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F1CA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621 </w:t>
            </w:r>
          </w:p>
        </w:tc>
      </w:tr>
      <w:tr w:rsidR="006757CB" w:rsidRPr="006757CB" w14:paraId="59C52DE2"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34B80" w14:textId="77777777" w:rsidR="001E2C09" w:rsidRPr="006757CB" w:rsidRDefault="001E2C09">
            <w:pPr>
              <w:jc w:val="center"/>
              <w:rPr>
                <w:rFonts w:ascii="Calibri" w:hAnsi="Calibri"/>
                <w:i/>
                <w:iCs/>
                <w:sz w:val="14"/>
                <w:szCs w:val="14"/>
              </w:rPr>
            </w:pPr>
            <w:r w:rsidRPr="006757CB">
              <w:rPr>
                <w:rFonts w:ascii="Calibri" w:hAnsi="Calibri"/>
                <w:i/>
                <w:iCs/>
                <w:sz w:val="14"/>
                <w:szCs w:val="14"/>
              </w:rPr>
              <w:t>01-jun-84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45341" w14:textId="77777777" w:rsidR="001E2C09" w:rsidRPr="006757CB" w:rsidRDefault="001E2C09">
            <w:pPr>
              <w:jc w:val="right"/>
              <w:rPr>
                <w:rFonts w:ascii="Calibri" w:hAnsi="Calibri"/>
                <w:i/>
                <w:iCs/>
                <w:sz w:val="14"/>
                <w:szCs w:val="14"/>
              </w:rPr>
            </w:pPr>
            <w:r w:rsidRPr="006757CB">
              <w:rPr>
                <w:rFonts w:ascii="Calibri" w:hAnsi="Calibri"/>
                <w:i/>
                <w:iCs/>
                <w:sz w:val="14"/>
                <w:szCs w:val="14"/>
              </w:rPr>
              <w:t>30-jun-84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AB1B7" w14:textId="77777777" w:rsidR="001E2C09" w:rsidRPr="006757CB" w:rsidRDefault="001E2C09">
            <w:pPr>
              <w:jc w:val="center"/>
              <w:rPr>
                <w:rFonts w:ascii="Calibri" w:hAnsi="Calibri"/>
                <w:i/>
                <w:iCs/>
                <w:sz w:val="14"/>
                <w:szCs w:val="14"/>
              </w:rPr>
            </w:pPr>
            <w:r w:rsidRPr="006757CB">
              <w:rPr>
                <w:rFonts w:ascii="Calibri" w:hAnsi="Calibri"/>
                <w:i/>
                <w:iCs/>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08FCC"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16.051,00 </w:t>
            </w:r>
          </w:p>
        </w:tc>
        <w:tc>
          <w:tcPr>
            <w:tcW w:w="0" w:type="auto"/>
            <w:tcBorders>
              <w:top w:val="nil"/>
              <w:left w:val="single" w:sz="4" w:space="0" w:color="auto"/>
              <w:bottom w:val="nil"/>
              <w:right w:val="single" w:sz="4" w:space="0" w:color="auto"/>
            </w:tcBorders>
            <w:shd w:val="clear" w:color="auto" w:fill="auto"/>
            <w:noWrap/>
            <w:vAlign w:val="bottom"/>
            <w:hideMark/>
          </w:tcPr>
          <w:p w14:paraId="68396889"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D6C5164"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212.572,15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B72A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B085F"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2,36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D273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744 </w:t>
            </w:r>
          </w:p>
        </w:tc>
      </w:tr>
      <w:tr w:rsidR="006757CB" w:rsidRPr="006757CB" w14:paraId="0AB9D6C5"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E21F2" w14:textId="77777777" w:rsidR="001E2C09" w:rsidRPr="006757CB" w:rsidRDefault="001E2C09">
            <w:pPr>
              <w:jc w:val="center"/>
              <w:rPr>
                <w:rFonts w:ascii="Calibri" w:hAnsi="Calibri"/>
                <w:i/>
                <w:iCs/>
                <w:sz w:val="14"/>
                <w:szCs w:val="14"/>
              </w:rPr>
            </w:pPr>
            <w:r w:rsidRPr="006757CB">
              <w:rPr>
                <w:rFonts w:ascii="Calibri" w:hAnsi="Calibri"/>
                <w:i/>
                <w:iCs/>
                <w:sz w:val="14"/>
                <w:szCs w:val="14"/>
              </w:rPr>
              <w:t>01-jul-84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941DE" w14:textId="77777777" w:rsidR="001E2C09" w:rsidRPr="006757CB" w:rsidRDefault="001E2C09">
            <w:pPr>
              <w:jc w:val="right"/>
              <w:rPr>
                <w:rFonts w:ascii="Calibri" w:hAnsi="Calibri"/>
                <w:i/>
                <w:iCs/>
                <w:sz w:val="14"/>
                <w:szCs w:val="14"/>
              </w:rPr>
            </w:pPr>
            <w:r w:rsidRPr="006757CB">
              <w:rPr>
                <w:rFonts w:ascii="Calibri" w:hAnsi="Calibri"/>
                <w:i/>
                <w:iCs/>
                <w:sz w:val="14"/>
                <w:szCs w:val="14"/>
              </w:rPr>
              <w:t>31-jul-84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0AC5A"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0D634"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19.140,00 </w:t>
            </w:r>
          </w:p>
        </w:tc>
        <w:tc>
          <w:tcPr>
            <w:tcW w:w="0" w:type="auto"/>
            <w:tcBorders>
              <w:top w:val="nil"/>
              <w:left w:val="single" w:sz="4" w:space="0" w:color="auto"/>
              <w:bottom w:val="nil"/>
              <w:right w:val="single" w:sz="4" w:space="0" w:color="auto"/>
            </w:tcBorders>
            <w:shd w:val="clear" w:color="auto" w:fill="auto"/>
            <w:noWrap/>
            <w:vAlign w:val="bottom"/>
            <w:hideMark/>
          </w:tcPr>
          <w:p w14:paraId="79967D1A"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D4A4429"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253.481,46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59A2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7D26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2,36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F0259"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917 </w:t>
            </w:r>
          </w:p>
        </w:tc>
      </w:tr>
      <w:tr w:rsidR="006757CB" w:rsidRPr="006757CB" w14:paraId="7486B971"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0ED28" w14:textId="77777777" w:rsidR="001E2C09" w:rsidRPr="006757CB" w:rsidRDefault="001E2C09">
            <w:pPr>
              <w:jc w:val="center"/>
              <w:rPr>
                <w:rFonts w:ascii="Calibri" w:hAnsi="Calibri"/>
                <w:i/>
                <w:iCs/>
                <w:sz w:val="14"/>
                <w:szCs w:val="14"/>
              </w:rPr>
            </w:pPr>
            <w:r w:rsidRPr="006757CB">
              <w:rPr>
                <w:rFonts w:ascii="Calibri" w:hAnsi="Calibri"/>
                <w:i/>
                <w:iCs/>
                <w:sz w:val="14"/>
                <w:szCs w:val="14"/>
              </w:rPr>
              <w:t>01-ago-84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6C3BE" w14:textId="77777777" w:rsidR="001E2C09" w:rsidRPr="006757CB" w:rsidRDefault="001E2C09">
            <w:pPr>
              <w:jc w:val="right"/>
              <w:rPr>
                <w:rFonts w:ascii="Calibri" w:hAnsi="Calibri"/>
                <w:i/>
                <w:iCs/>
                <w:sz w:val="14"/>
                <w:szCs w:val="14"/>
              </w:rPr>
            </w:pPr>
            <w:r w:rsidRPr="006757CB">
              <w:rPr>
                <w:rFonts w:ascii="Calibri" w:hAnsi="Calibri"/>
                <w:i/>
                <w:iCs/>
                <w:sz w:val="14"/>
                <w:szCs w:val="14"/>
              </w:rPr>
              <w:t>31-ago-84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009F2"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A4C0C"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11.298,00 </w:t>
            </w:r>
          </w:p>
        </w:tc>
        <w:tc>
          <w:tcPr>
            <w:tcW w:w="0" w:type="auto"/>
            <w:tcBorders>
              <w:top w:val="nil"/>
              <w:left w:val="single" w:sz="4" w:space="0" w:color="auto"/>
              <w:bottom w:val="nil"/>
              <w:right w:val="single" w:sz="4" w:space="0" w:color="auto"/>
            </w:tcBorders>
            <w:shd w:val="clear" w:color="auto" w:fill="auto"/>
            <w:noWrap/>
            <w:vAlign w:val="bottom"/>
            <w:hideMark/>
          </w:tcPr>
          <w:p w14:paraId="69E45EF8"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91C3E9C"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149.625,58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AE3CD"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2168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2,36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5FCF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541 </w:t>
            </w:r>
          </w:p>
        </w:tc>
      </w:tr>
      <w:tr w:rsidR="006757CB" w:rsidRPr="006757CB" w14:paraId="3FD0E515"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50DD9" w14:textId="77777777" w:rsidR="001E2C09" w:rsidRPr="006757CB" w:rsidRDefault="001E2C09">
            <w:pPr>
              <w:jc w:val="center"/>
              <w:rPr>
                <w:rFonts w:ascii="Calibri" w:hAnsi="Calibri"/>
                <w:i/>
                <w:iCs/>
                <w:sz w:val="14"/>
                <w:szCs w:val="14"/>
              </w:rPr>
            </w:pPr>
            <w:r w:rsidRPr="006757CB">
              <w:rPr>
                <w:rFonts w:ascii="Calibri" w:hAnsi="Calibri"/>
                <w:i/>
                <w:iCs/>
                <w:sz w:val="14"/>
                <w:szCs w:val="14"/>
              </w:rPr>
              <w:t>02-oct-84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129F4"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353AD" w14:textId="77777777" w:rsidR="001E2C09" w:rsidRPr="006757CB" w:rsidRDefault="001E2C09">
            <w:pPr>
              <w:jc w:val="center"/>
              <w:rPr>
                <w:rFonts w:ascii="Calibri" w:hAnsi="Calibri"/>
                <w:i/>
                <w:iCs/>
                <w:sz w:val="14"/>
                <w:szCs w:val="14"/>
              </w:rPr>
            </w:pPr>
            <w:r w:rsidRPr="006757CB">
              <w:rPr>
                <w:rFonts w:ascii="Calibri" w:hAnsi="Calibri"/>
                <w:i/>
                <w:iCs/>
                <w:sz w:val="14"/>
                <w:szCs w:val="14"/>
              </w:rPr>
              <w:t>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DEC1E"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11.850,00 </w:t>
            </w:r>
          </w:p>
        </w:tc>
        <w:tc>
          <w:tcPr>
            <w:tcW w:w="0" w:type="auto"/>
            <w:tcBorders>
              <w:top w:val="nil"/>
              <w:left w:val="single" w:sz="4" w:space="0" w:color="auto"/>
              <w:bottom w:val="nil"/>
              <w:right w:val="single" w:sz="4" w:space="0" w:color="auto"/>
            </w:tcBorders>
            <w:shd w:val="clear" w:color="auto" w:fill="auto"/>
            <w:noWrap/>
            <w:vAlign w:val="bottom"/>
            <w:hideMark/>
          </w:tcPr>
          <w:p w14:paraId="2EA7ED54"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B486C5B"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156.936,01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1CBC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380B6"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2,36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DA3C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1.667 </w:t>
            </w:r>
          </w:p>
        </w:tc>
      </w:tr>
      <w:tr w:rsidR="006757CB" w:rsidRPr="006757CB" w14:paraId="6C7A4466"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11DA9"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BBDB9" w14:textId="77777777" w:rsidR="001E2C09" w:rsidRPr="006757CB" w:rsidRDefault="001E2C09">
            <w:pPr>
              <w:jc w:val="right"/>
              <w:rPr>
                <w:rFonts w:ascii="Calibri" w:hAnsi="Calibri"/>
                <w:i/>
                <w:iCs/>
                <w:sz w:val="14"/>
                <w:szCs w:val="14"/>
              </w:rPr>
            </w:pPr>
            <w:r w:rsidRPr="006757CB">
              <w:rPr>
                <w:rFonts w:ascii="Calibri" w:hAnsi="Calibri"/>
                <w:i/>
                <w:iCs/>
                <w:sz w:val="14"/>
                <w:szCs w:val="14"/>
              </w:rPr>
              <w:t>31-ene-85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A6089"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64B34"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14.610,00 </w:t>
            </w:r>
          </w:p>
        </w:tc>
        <w:tc>
          <w:tcPr>
            <w:tcW w:w="0" w:type="auto"/>
            <w:tcBorders>
              <w:top w:val="nil"/>
              <w:left w:val="single" w:sz="4" w:space="0" w:color="auto"/>
              <w:bottom w:val="nil"/>
              <w:right w:val="single" w:sz="4" w:space="0" w:color="auto"/>
            </w:tcBorders>
            <w:shd w:val="clear" w:color="auto" w:fill="auto"/>
            <w:noWrap/>
            <w:vAlign w:val="bottom"/>
            <w:hideMark/>
          </w:tcPr>
          <w:p w14:paraId="360FBECA"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5172E5E"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163.579,93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A7D9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15249"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2,79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EB67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592 </w:t>
            </w:r>
          </w:p>
        </w:tc>
      </w:tr>
      <w:tr w:rsidR="006757CB" w:rsidRPr="006757CB" w14:paraId="6F391D9C"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EE91A" w14:textId="77777777" w:rsidR="001E2C09" w:rsidRPr="006757CB" w:rsidRDefault="001E2C09">
            <w:pPr>
              <w:jc w:val="center"/>
              <w:rPr>
                <w:rFonts w:ascii="Calibri" w:hAnsi="Calibri"/>
                <w:i/>
                <w:iCs/>
                <w:sz w:val="14"/>
                <w:szCs w:val="14"/>
              </w:rPr>
            </w:pPr>
            <w:r w:rsidRPr="006757CB">
              <w:rPr>
                <w:rFonts w:ascii="Calibri" w:hAnsi="Calibri"/>
                <w:i/>
                <w:iCs/>
                <w:sz w:val="14"/>
                <w:szCs w:val="14"/>
              </w:rPr>
              <w:t>01-feb-85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16196" w14:textId="77777777" w:rsidR="001E2C09" w:rsidRPr="006757CB" w:rsidRDefault="001E2C09">
            <w:pPr>
              <w:jc w:val="right"/>
              <w:rPr>
                <w:rFonts w:ascii="Calibri" w:hAnsi="Calibri"/>
                <w:i/>
                <w:iCs/>
                <w:sz w:val="14"/>
                <w:szCs w:val="14"/>
              </w:rPr>
            </w:pPr>
            <w:r w:rsidRPr="006757CB">
              <w:rPr>
                <w:rFonts w:ascii="Calibri" w:hAnsi="Calibri"/>
                <w:i/>
                <w:iCs/>
                <w:sz w:val="14"/>
                <w:szCs w:val="14"/>
              </w:rPr>
              <w:t>01-feb-85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99AD9" w14:textId="77777777" w:rsidR="001E2C09" w:rsidRPr="006757CB" w:rsidRDefault="001E2C09">
            <w:pPr>
              <w:jc w:val="center"/>
              <w:rPr>
                <w:rFonts w:ascii="Calibri" w:hAnsi="Calibri"/>
                <w:i/>
                <w:iCs/>
                <w:sz w:val="14"/>
                <w:szCs w:val="14"/>
              </w:rPr>
            </w:pPr>
            <w:r w:rsidRPr="006757CB">
              <w:rPr>
                <w:rFonts w:ascii="Calibri" w:hAnsi="Calibri"/>
                <w:i/>
                <w:iCs/>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64B21"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21.420,00 </w:t>
            </w:r>
          </w:p>
        </w:tc>
        <w:tc>
          <w:tcPr>
            <w:tcW w:w="0" w:type="auto"/>
            <w:tcBorders>
              <w:top w:val="nil"/>
              <w:left w:val="single" w:sz="4" w:space="0" w:color="auto"/>
              <w:bottom w:val="nil"/>
              <w:right w:val="single" w:sz="4" w:space="0" w:color="auto"/>
            </w:tcBorders>
            <w:shd w:val="clear" w:color="auto" w:fill="auto"/>
            <w:noWrap/>
            <w:vAlign w:val="bottom"/>
            <w:hideMark/>
          </w:tcPr>
          <w:p w14:paraId="1BDCF1BB"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6324404"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239.827,66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7FFF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31DD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2,79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B9D2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28 </w:t>
            </w:r>
          </w:p>
        </w:tc>
      </w:tr>
      <w:tr w:rsidR="006757CB" w:rsidRPr="006757CB" w14:paraId="466EA96A"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1E334" w14:textId="77777777" w:rsidR="001E2C09" w:rsidRPr="006757CB" w:rsidRDefault="001E2C09">
            <w:pPr>
              <w:jc w:val="center"/>
              <w:rPr>
                <w:rFonts w:ascii="Calibri" w:hAnsi="Calibri"/>
                <w:i/>
                <w:iCs/>
                <w:sz w:val="14"/>
                <w:szCs w:val="14"/>
              </w:rPr>
            </w:pPr>
            <w:r w:rsidRPr="006757CB">
              <w:rPr>
                <w:rFonts w:ascii="Calibri" w:hAnsi="Calibri"/>
                <w:i/>
                <w:iCs/>
                <w:sz w:val="14"/>
                <w:szCs w:val="14"/>
              </w:rPr>
              <w:t>05-mar-85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633B4" w14:textId="77777777" w:rsidR="001E2C09" w:rsidRPr="006757CB" w:rsidRDefault="001E2C09">
            <w:pPr>
              <w:jc w:val="right"/>
              <w:rPr>
                <w:rFonts w:ascii="Calibri" w:hAnsi="Calibri"/>
                <w:i/>
                <w:iCs/>
                <w:sz w:val="14"/>
                <w:szCs w:val="14"/>
              </w:rPr>
            </w:pPr>
            <w:r w:rsidRPr="006757CB">
              <w:rPr>
                <w:rFonts w:ascii="Calibri" w:hAnsi="Calibri"/>
                <w:i/>
                <w:iCs/>
                <w:sz w:val="14"/>
                <w:szCs w:val="14"/>
              </w:rPr>
              <w:t>15-sep-85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A7D4D" w14:textId="77777777" w:rsidR="001E2C09" w:rsidRPr="006757CB" w:rsidRDefault="001E2C09">
            <w:pPr>
              <w:jc w:val="center"/>
              <w:rPr>
                <w:rFonts w:ascii="Calibri" w:hAnsi="Calibri"/>
                <w:i/>
                <w:iCs/>
                <w:sz w:val="14"/>
                <w:szCs w:val="14"/>
              </w:rPr>
            </w:pPr>
            <w:r w:rsidRPr="006757CB">
              <w:rPr>
                <w:rFonts w:ascii="Calibri" w:hAnsi="Calibri"/>
                <w:i/>
                <w:iCs/>
                <w:sz w:val="14"/>
                <w:szCs w:val="14"/>
              </w:rPr>
              <w:t>195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59EA8"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25.530,00 </w:t>
            </w:r>
          </w:p>
        </w:tc>
        <w:tc>
          <w:tcPr>
            <w:tcW w:w="0" w:type="auto"/>
            <w:tcBorders>
              <w:top w:val="nil"/>
              <w:left w:val="single" w:sz="4" w:space="0" w:color="auto"/>
              <w:bottom w:val="nil"/>
              <w:right w:val="single" w:sz="4" w:space="0" w:color="auto"/>
            </w:tcBorders>
            <w:shd w:val="clear" w:color="auto" w:fill="auto"/>
            <w:noWrap/>
            <w:vAlign w:val="bottom"/>
            <w:hideMark/>
          </w:tcPr>
          <w:p w14:paraId="3E2468E6"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5D91F8A"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285.845,01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BEC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1F93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2,79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2533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6.507 </w:t>
            </w:r>
          </w:p>
        </w:tc>
      </w:tr>
      <w:tr w:rsidR="006757CB" w:rsidRPr="006757CB" w14:paraId="6E3854AC"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628D8" w14:textId="77777777" w:rsidR="001E2C09" w:rsidRPr="006757CB" w:rsidRDefault="001E2C09">
            <w:pPr>
              <w:jc w:val="center"/>
              <w:rPr>
                <w:rFonts w:ascii="Calibri" w:hAnsi="Calibri"/>
                <w:i/>
                <w:iCs/>
                <w:sz w:val="14"/>
                <w:szCs w:val="14"/>
              </w:rPr>
            </w:pPr>
            <w:r w:rsidRPr="006757CB">
              <w:rPr>
                <w:rFonts w:ascii="Calibri" w:hAnsi="Calibri"/>
                <w:i/>
                <w:iCs/>
                <w:sz w:val="14"/>
                <w:szCs w:val="14"/>
              </w:rPr>
              <w:t>04-oct-85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99812"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BCDD2" w14:textId="77777777" w:rsidR="001E2C09" w:rsidRPr="006757CB" w:rsidRDefault="001E2C09">
            <w:pPr>
              <w:jc w:val="center"/>
              <w:rPr>
                <w:rFonts w:ascii="Calibri" w:hAnsi="Calibri"/>
                <w:i/>
                <w:iCs/>
                <w:sz w:val="14"/>
                <w:szCs w:val="14"/>
              </w:rPr>
            </w:pPr>
            <w:r w:rsidRPr="006757CB">
              <w:rPr>
                <w:rFonts w:ascii="Calibri" w:hAnsi="Calibri"/>
                <w:i/>
                <w:iCs/>
                <w:sz w:val="14"/>
                <w:szCs w:val="14"/>
              </w:rPr>
              <w:t>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3BE9E"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14.610,00 </w:t>
            </w:r>
          </w:p>
        </w:tc>
        <w:tc>
          <w:tcPr>
            <w:tcW w:w="0" w:type="auto"/>
            <w:tcBorders>
              <w:top w:val="nil"/>
              <w:left w:val="single" w:sz="4" w:space="0" w:color="auto"/>
              <w:bottom w:val="nil"/>
              <w:right w:val="single" w:sz="4" w:space="0" w:color="auto"/>
            </w:tcBorders>
            <w:shd w:val="clear" w:color="auto" w:fill="auto"/>
            <w:noWrap/>
            <w:vAlign w:val="bottom"/>
            <w:hideMark/>
          </w:tcPr>
          <w:p w14:paraId="4F947842"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DD6530C"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163.579,93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CA96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AED0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2,79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3992F"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1.700 </w:t>
            </w:r>
          </w:p>
        </w:tc>
      </w:tr>
      <w:tr w:rsidR="006757CB" w:rsidRPr="006757CB" w14:paraId="3707E450"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537F5"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07405" w14:textId="77777777" w:rsidR="001E2C09" w:rsidRPr="006757CB" w:rsidRDefault="001E2C09">
            <w:pPr>
              <w:jc w:val="right"/>
              <w:rPr>
                <w:rFonts w:ascii="Calibri" w:hAnsi="Calibri"/>
                <w:i/>
                <w:iCs/>
                <w:sz w:val="14"/>
                <w:szCs w:val="14"/>
              </w:rPr>
            </w:pPr>
            <w:r w:rsidRPr="006757CB">
              <w:rPr>
                <w:rFonts w:ascii="Calibri" w:hAnsi="Calibri"/>
                <w:i/>
                <w:iCs/>
                <w:sz w:val="14"/>
                <w:szCs w:val="14"/>
              </w:rPr>
              <w:t>18-mar-86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F9845" w14:textId="77777777" w:rsidR="001E2C09" w:rsidRPr="006757CB" w:rsidRDefault="001E2C09">
            <w:pPr>
              <w:jc w:val="center"/>
              <w:rPr>
                <w:rFonts w:ascii="Calibri" w:hAnsi="Calibri"/>
                <w:i/>
                <w:iCs/>
                <w:sz w:val="14"/>
                <w:szCs w:val="14"/>
              </w:rPr>
            </w:pPr>
            <w:r w:rsidRPr="006757CB">
              <w:rPr>
                <w:rFonts w:ascii="Calibri" w:hAnsi="Calibri"/>
                <w:i/>
                <w:iCs/>
                <w:sz w:val="14"/>
                <w:szCs w:val="14"/>
              </w:rPr>
              <w:t>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15F3D"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17.790,00 </w:t>
            </w:r>
          </w:p>
        </w:tc>
        <w:tc>
          <w:tcPr>
            <w:tcW w:w="0" w:type="auto"/>
            <w:tcBorders>
              <w:top w:val="nil"/>
              <w:left w:val="single" w:sz="4" w:space="0" w:color="auto"/>
              <w:bottom w:val="nil"/>
              <w:right w:val="single" w:sz="4" w:space="0" w:color="auto"/>
            </w:tcBorders>
            <w:shd w:val="clear" w:color="auto" w:fill="auto"/>
            <w:noWrap/>
            <w:vAlign w:val="bottom"/>
            <w:hideMark/>
          </w:tcPr>
          <w:p w14:paraId="206F60A2"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BDAE68A"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162.665,27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B251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B691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3,42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B1029"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1.462 </w:t>
            </w:r>
          </w:p>
        </w:tc>
      </w:tr>
      <w:tr w:rsidR="006757CB" w:rsidRPr="006757CB" w14:paraId="647EC5FD"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EAEB9" w14:textId="77777777" w:rsidR="001E2C09" w:rsidRPr="006757CB" w:rsidRDefault="001E2C09">
            <w:pPr>
              <w:jc w:val="center"/>
              <w:rPr>
                <w:rFonts w:ascii="Calibri" w:hAnsi="Calibri"/>
                <w:i/>
                <w:iCs/>
                <w:sz w:val="14"/>
                <w:szCs w:val="14"/>
              </w:rPr>
            </w:pPr>
            <w:r w:rsidRPr="006757CB">
              <w:rPr>
                <w:rFonts w:ascii="Calibri" w:hAnsi="Calibri"/>
                <w:i/>
                <w:iCs/>
                <w:sz w:val="14"/>
                <w:szCs w:val="14"/>
              </w:rPr>
              <w:t>04-jul-86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1CAFE" w14:textId="77777777" w:rsidR="001E2C09" w:rsidRPr="006757CB" w:rsidRDefault="001E2C09">
            <w:pPr>
              <w:jc w:val="right"/>
              <w:rPr>
                <w:rFonts w:ascii="Calibri" w:hAnsi="Calibri"/>
                <w:i/>
                <w:iCs/>
                <w:sz w:val="14"/>
                <w:szCs w:val="14"/>
              </w:rPr>
            </w:pPr>
            <w:r w:rsidRPr="006757CB">
              <w:rPr>
                <w:rFonts w:ascii="Calibri" w:hAnsi="Calibri"/>
                <w:i/>
                <w:iCs/>
                <w:sz w:val="14"/>
                <w:szCs w:val="14"/>
              </w:rPr>
              <w:t>31-jul-86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55FAB" w14:textId="77777777" w:rsidR="001E2C09" w:rsidRPr="006757CB" w:rsidRDefault="001E2C09">
            <w:pPr>
              <w:jc w:val="center"/>
              <w:rPr>
                <w:rFonts w:ascii="Calibri" w:hAnsi="Calibri"/>
                <w:i/>
                <w:iCs/>
                <w:sz w:val="14"/>
                <w:szCs w:val="14"/>
              </w:rPr>
            </w:pPr>
            <w:r w:rsidRPr="006757CB">
              <w:rPr>
                <w:rFonts w:ascii="Calibri" w:hAnsi="Calibri"/>
                <w:i/>
                <w:iCs/>
                <w:sz w:val="14"/>
                <w:szCs w:val="14"/>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40473"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17.790,00 </w:t>
            </w:r>
          </w:p>
        </w:tc>
        <w:tc>
          <w:tcPr>
            <w:tcW w:w="0" w:type="auto"/>
            <w:tcBorders>
              <w:top w:val="nil"/>
              <w:left w:val="single" w:sz="4" w:space="0" w:color="auto"/>
              <w:bottom w:val="nil"/>
              <w:right w:val="single" w:sz="4" w:space="0" w:color="auto"/>
            </w:tcBorders>
            <w:shd w:val="clear" w:color="auto" w:fill="auto"/>
            <w:noWrap/>
            <w:vAlign w:val="bottom"/>
            <w:hideMark/>
          </w:tcPr>
          <w:p w14:paraId="3E3BAE2F"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296050A"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162.665,27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FA7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3A88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3,42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516F6"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532 </w:t>
            </w:r>
          </w:p>
        </w:tc>
      </w:tr>
      <w:tr w:rsidR="006757CB" w:rsidRPr="006757CB" w14:paraId="35D5E19C"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E66F4" w14:textId="77777777" w:rsidR="001E2C09" w:rsidRPr="006757CB" w:rsidRDefault="001E2C09">
            <w:pPr>
              <w:jc w:val="center"/>
              <w:rPr>
                <w:rFonts w:ascii="Calibri" w:hAnsi="Calibri"/>
                <w:i/>
                <w:iCs/>
                <w:sz w:val="14"/>
                <w:szCs w:val="14"/>
              </w:rPr>
            </w:pPr>
            <w:r w:rsidRPr="006757CB">
              <w:rPr>
                <w:rFonts w:ascii="Calibri" w:hAnsi="Calibri"/>
                <w:i/>
                <w:iCs/>
                <w:sz w:val="14"/>
                <w:szCs w:val="14"/>
              </w:rPr>
              <w:t>01-ago-86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09C00" w14:textId="77777777" w:rsidR="001E2C09" w:rsidRPr="006757CB" w:rsidRDefault="001E2C09">
            <w:pPr>
              <w:jc w:val="right"/>
              <w:rPr>
                <w:rFonts w:ascii="Calibri" w:hAnsi="Calibri"/>
                <w:i/>
                <w:iCs/>
                <w:sz w:val="14"/>
                <w:szCs w:val="14"/>
              </w:rPr>
            </w:pPr>
            <w:r w:rsidRPr="006757CB">
              <w:rPr>
                <w:rFonts w:ascii="Calibri" w:hAnsi="Calibri"/>
                <w:i/>
                <w:iCs/>
                <w:sz w:val="14"/>
                <w:szCs w:val="14"/>
              </w:rPr>
              <w:t>30-sep-86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5B22" w14:textId="77777777" w:rsidR="001E2C09" w:rsidRPr="006757CB" w:rsidRDefault="001E2C09">
            <w:pPr>
              <w:jc w:val="center"/>
              <w:rPr>
                <w:rFonts w:ascii="Calibri" w:hAnsi="Calibri"/>
                <w:i/>
                <w:iCs/>
                <w:sz w:val="14"/>
                <w:szCs w:val="14"/>
              </w:rPr>
            </w:pPr>
            <w:r w:rsidRPr="006757CB">
              <w:rPr>
                <w:rFonts w:ascii="Calibri" w:hAnsi="Calibri"/>
                <w:i/>
                <w:iCs/>
                <w:sz w:val="14"/>
                <w:szCs w:val="14"/>
              </w:rPr>
              <w:t>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DE47F"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25.530,00 </w:t>
            </w:r>
          </w:p>
        </w:tc>
        <w:tc>
          <w:tcPr>
            <w:tcW w:w="0" w:type="auto"/>
            <w:tcBorders>
              <w:top w:val="nil"/>
              <w:left w:val="single" w:sz="4" w:space="0" w:color="auto"/>
              <w:bottom w:val="nil"/>
              <w:right w:val="single" w:sz="4" w:space="0" w:color="auto"/>
            </w:tcBorders>
            <w:shd w:val="clear" w:color="auto" w:fill="auto"/>
            <w:noWrap/>
            <w:vAlign w:val="bottom"/>
            <w:hideMark/>
          </w:tcPr>
          <w:p w14:paraId="5A83AEFF"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8DD598C"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233.437,00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1170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DC9E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3,42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772A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1.662 </w:t>
            </w:r>
          </w:p>
        </w:tc>
      </w:tr>
      <w:tr w:rsidR="006757CB" w:rsidRPr="006757CB" w14:paraId="5ED306FD"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CE3F4" w14:textId="77777777" w:rsidR="001E2C09" w:rsidRPr="006757CB" w:rsidRDefault="001E2C09">
            <w:pPr>
              <w:jc w:val="center"/>
              <w:rPr>
                <w:rFonts w:ascii="Calibri" w:hAnsi="Calibri"/>
                <w:i/>
                <w:iCs/>
                <w:sz w:val="14"/>
                <w:szCs w:val="14"/>
              </w:rPr>
            </w:pPr>
            <w:r w:rsidRPr="006757CB">
              <w:rPr>
                <w:rFonts w:ascii="Calibri" w:hAnsi="Calibri"/>
                <w:i/>
                <w:iCs/>
                <w:sz w:val="14"/>
                <w:szCs w:val="14"/>
              </w:rPr>
              <w:t>01-oct-86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1FE66"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98B6F" w14:textId="77777777" w:rsidR="001E2C09" w:rsidRPr="006757CB" w:rsidRDefault="001E2C09">
            <w:pPr>
              <w:jc w:val="center"/>
              <w:rPr>
                <w:rFonts w:ascii="Calibri" w:hAnsi="Calibri"/>
                <w:i/>
                <w:iCs/>
                <w:sz w:val="14"/>
                <w:szCs w:val="14"/>
              </w:rPr>
            </w:pPr>
            <w:r w:rsidRPr="006757CB">
              <w:rPr>
                <w:rFonts w:ascii="Calibri" w:hAnsi="Calibri"/>
                <w:i/>
                <w:iCs/>
                <w:sz w:val="14"/>
                <w:szCs w:val="14"/>
              </w:rPr>
              <w:t>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70F40" w14:textId="77777777" w:rsidR="001E2C09" w:rsidRPr="006757CB" w:rsidRDefault="001E2C09">
            <w:pPr>
              <w:rPr>
                <w:rFonts w:ascii="Calibri" w:hAnsi="Calibri"/>
                <w:i/>
                <w:iCs/>
                <w:sz w:val="14"/>
                <w:szCs w:val="14"/>
              </w:rPr>
            </w:pPr>
            <w:r w:rsidRPr="006757CB">
              <w:rPr>
                <w:rFonts w:ascii="Calibri" w:hAnsi="Calibri"/>
                <w:i/>
                <w:iCs/>
                <w:sz w:val="14"/>
                <w:szCs w:val="14"/>
              </w:rPr>
              <w:t xml:space="preserve">              41.040,00 </w:t>
            </w:r>
          </w:p>
        </w:tc>
        <w:tc>
          <w:tcPr>
            <w:tcW w:w="0" w:type="auto"/>
            <w:tcBorders>
              <w:top w:val="nil"/>
              <w:left w:val="single" w:sz="4" w:space="0" w:color="auto"/>
              <w:bottom w:val="nil"/>
              <w:right w:val="single" w:sz="4" w:space="0" w:color="auto"/>
            </w:tcBorders>
            <w:shd w:val="clear" w:color="auto" w:fill="auto"/>
            <w:noWrap/>
            <w:vAlign w:val="bottom"/>
            <w:hideMark/>
          </w:tcPr>
          <w:p w14:paraId="43D0A945"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6FA9D8D"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375.254,78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B00C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9312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3,42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05A4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4.030 </w:t>
            </w:r>
          </w:p>
        </w:tc>
      </w:tr>
      <w:tr w:rsidR="006757CB" w:rsidRPr="006757CB" w14:paraId="05FC22F9"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00B86"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6F7EF" w14:textId="77777777" w:rsidR="001E2C09" w:rsidRPr="006757CB" w:rsidRDefault="001E2C09">
            <w:pPr>
              <w:jc w:val="right"/>
              <w:rPr>
                <w:rFonts w:ascii="Calibri" w:hAnsi="Calibri"/>
                <w:i/>
                <w:iCs/>
                <w:sz w:val="14"/>
                <w:szCs w:val="14"/>
              </w:rPr>
            </w:pPr>
            <w:r w:rsidRPr="006757CB">
              <w:rPr>
                <w:rFonts w:ascii="Calibri" w:hAnsi="Calibri"/>
                <w:i/>
                <w:iCs/>
                <w:sz w:val="14"/>
                <w:szCs w:val="14"/>
              </w:rPr>
              <w:t>28-feb-87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26703" w14:textId="77777777" w:rsidR="001E2C09" w:rsidRPr="006757CB" w:rsidRDefault="001E2C09">
            <w:pPr>
              <w:jc w:val="center"/>
              <w:rPr>
                <w:rFonts w:ascii="Calibri" w:hAnsi="Calibri"/>
                <w:i/>
                <w:iCs/>
                <w:sz w:val="14"/>
                <w:szCs w:val="14"/>
              </w:rPr>
            </w:pPr>
            <w:r w:rsidRPr="006757CB">
              <w:rPr>
                <w:rFonts w:ascii="Calibri" w:hAnsi="Calibri"/>
                <w:i/>
                <w:iCs/>
                <w:sz w:val="14"/>
                <w:szCs w:val="14"/>
              </w:rPr>
              <w:t>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6BA1A" w14:textId="77777777" w:rsidR="001E2C09" w:rsidRPr="006757CB" w:rsidRDefault="001E2C09">
            <w:pPr>
              <w:rPr>
                <w:rFonts w:ascii="Calibri" w:hAnsi="Calibri"/>
                <w:i/>
                <w:iCs/>
                <w:sz w:val="14"/>
                <w:szCs w:val="14"/>
              </w:rPr>
            </w:pPr>
            <w:r w:rsidRPr="006757CB">
              <w:rPr>
                <w:rFonts w:ascii="Calibri" w:hAnsi="Calibri"/>
                <w:i/>
                <w:iCs/>
                <w:sz w:val="14"/>
                <w:szCs w:val="14"/>
              </w:rPr>
              <w:t xml:space="preserve">              54.630,00 </w:t>
            </w:r>
          </w:p>
        </w:tc>
        <w:tc>
          <w:tcPr>
            <w:tcW w:w="0" w:type="auto"/>
            <w:tcBorders>
              <w:top w:val="nil"/>
              <w:left w:val="single" w:sz="4" w:space="0" w:color="auto"/>
              <w:bottom w:val="nil"/>
              <w:right w:val="single" w:sz="4" w:space="0" w:color="auto"/>
            </w:tcBorders>
            <w:shd w:val="clear" w:color="auto" w:fill="auto"/>
            <w:noWrap/>
            <w:vAlign w:val="bottom"/>
            <w:hideMark/>
          </w:tcPr>
          <w:p w14:paraId="576E5362"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E81AB92"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413.005,90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FD92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99FB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4,13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098A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2.845 </w:t>
            </w:r>
          </w:p>
        </w:tc>
      </w:tr>
      <w:tr w:rsidR="006757CB" w:rsidRPr="006757CB" w14:paraId="3F65A22E"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663B4" w14:textId="77777777" w:rsidR="001E2C09" w:rsidRPr="006757CB" w:rsidRDefault="001E2C09">
            <w:pPr>
              <w:jc w:val="center"/>
              <w:rPr>
                <w:rFonts w:ascii="Calibri" w:hAnsi="Calibri"/>
                <w:i/>
                <w:iCs/>
                <w:sz w:val="14"/>
                <w:szCs w:val="14"/>
              </w:rPr>
            </w:pPr>
            <w:r w:rsidRPr="006757CB">
              <w:rPr>
                <w:rFonts w:ascii="Calibri" w:hAnsi="Calibri"/>
                <w:i/>
                <w:iCs/>
                <w:sz w:val="14"/>
                <w:szCs w:val="14"/>
              </w:rPr>
              <w:t>01-mar-87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BC18A" w14:textId="77777777" w:rsidR="001E2C09" w:rsidRPr="006757CB" w:rsidRDefault="001E2C09">
            <w:pPr>
              <w:jc w:val="right"/>
              <w:rPr>
                <w:rFonts w:ascii="Calibri" w:hAnsi="Calibri"/>
                <w:i/>
                <w:iCs/>
                <w:sz w:val="14"/>
                <w:szCs w:val="14"/>
              </w:rPr>
            </w:pPr>
            <w:r w:rsidRPr="006757CB">
              <w:rPr>
                <w:rFonts w:ascii="Calibri" w:hAnsi="Calibri"/>
                <w:i/>
                <w:iCs/>
                <w:sz w:val="14"/>
                <w:szCs w:val="14"/>
              </w:rPr>
              <w:t>30-abr-87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C9A1D" w14:textId="77777777" w:rsidR="001E2C09" w:rsidRPr="006757CB" w:rsidRDefault="001E2C09">
            <w:pPr>
              <w:jc w:val="center"/>
              <w:rPr>
                <w:rFonts w:ascii="Calibri" w:hAnsi="Calibri"/>
                <w:i/>
                <w:iCs/>
                <w:sz w:val="14"/>
                <w:szCs w:val="14"/>
              </w:rPr>
            </w:pPr>
            <w:r w:rsidRPr="006757CB">
              <w:rPr>
                <w:rFonts w:ascii="Calibri" w:hAnsi="Calibri"/>
                <w:i/>
                <w:iCs/>
                <w:sz w:val="14"/>
                <w:szCs w:val="14"/>
              </w:rPr>
              <w:t>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0E8E1" w14:textId="77777777" w:rsidR="001E2C09" w:rsidRPr="006757CB" w:rsidRDefault="001E2C09">
            <w:pPr>
              <w:rPr>
                <w:rFonts w:ascii="Calibri" w:hAnsi="Calibri"/>
                <w:i/>
                <w:iCs/>
                <w:sz w:val="14"/>
                <w:szCs w:val="14"/>
              </w:rPr>
            </w:pPr>
            <w:r w:rsidRPr="006757CB">
              <w:rPr>
                <w:rFonts w:ascii="Calibri" w:hAnsi="Calibri"/>
                <w:i/>
                <w:iCs/>
                <w:sz w:val="14"/>
                <w:szCs w:val="14"/>
              </w:rPr>
              <w:t xml:space="preserve">              79.290,00 </w:t>
            </w:r>
          </w:p>
        </w:tc>
        <w:tc>
          <w:tcPr>
            <w:tcW w:w="0" w:type="auto"/>
            <w:tcBorders>
              <w:top w:val="nil"/>
              <w:left w:val="single" w:sz="4" w:space="0" w:color="auto"/>
              <w:bottom w:val="nil"/>
              <w:right w:val="single" w:sz="4" w:space="0" w:color="auto"/>
            </w:tcBorders>
            <w:shd w:val="clear" w:color="auto" w:fill="auto"/>
            <w:noWrap/>
            <w:vAlign w:val="bottom"/>
            <w:hideMark/>
          </w:tcPr>
          <w:p w14:paraId="1EE2EF3C"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3009A9B"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599.436,91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7DC9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594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4,13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DF46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4.269 </w:t>
            </w:r>
          </w:p>
        </w:tc>
      </w:tr>
      <w:tr w:rsidR="006757CB" w:rsidRPr="006757CB" w14:paraId="66598498"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B904F" w14:textId="77777777" w:rsidR="001E2C09" w:rsidRPr="006757CB" w:rsidRDefault="001E2C09">
            <w:pPr>
              <w:jc w:val="center"/>
              <w:rPr>
                <w:rFonts w:ascii="Calibri" w:hAnsi="Calibri"/>
                <w:i/>
                <w:iCs/>
                <w:sz w:val="14"/>
                <w:szCs w:val="14"/>
              </w:rPr>
            </w:pPr>
            <w:r w:rsidRPr="006757CB">
              <w:rPr>
                <w:rFonts w:ascii="Calibri" w:hAnsi="Calibri"/>
                <w:i/>
                <w:iCs/>
                <w:sz w:val="14"/>
                <w:szCs w:val="14"/>
              </w:rPr>
              <w:t>01-may-87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BF920" w14:textId="77777777" w:rsidR="001E2C09" w:rsidRPr="006757CB" w:rsidRDefault="001E2C09">
            <w:pPr>
              <w:jc w:val="right"/>
              <w:rPr>
                <w:rFonts w:ascii="Calibri" w:hAnsi="Calibri"/>
                <w:i/>
                <w:iCs/>
                <w:sz w:val="14"/>
                <w:szCs w:val="14"/>
              </w:rPr>
            </w:pPr>
            <w:r w:rsidRPr="006757CB">
              <w:rPr>
                <w:rFonts w:ascii="Calibri" w:hAnsi="Calibri"/>
                <w:i/>
                <w:iCs/>
                <w:sz w:val="14"/>
                <w:szCs w:val="14"/>
              </w:rPr>
              <w:t>30-jun-87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EC9B" w14:textId="77777777" w:rsidR="001E2C09" w:rsidRPr="006757CB" w:rsidRDefault="001E2C09">
            <w:pPr>
              <w:jc w:val="center"/>
              <w:rPr>
                <w:rFonts w:ascii="Calibri" w:hAnsi="Calibri"/>
                <w:i/>
                <w:iCs/>
                <w:sz w:val="14"/>
                <w:szCs w:val="14"/>
              </w:rPr>
            </w:pPr>
            <w:r w:rsidRPr="006757CB">
              <w:rPr>
                <w:rFonts w:ascii="Calibri" w:hAnsi="Calibri"/>
                <w:i/>
                <w:iCs/>
                <w:sz w:val="14"/>
                <w:szCs w:val="14"/>
              </w:rPr>
              <w:t>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E80C" w14:textId="77777777" w:rsidR="001E2C09" w:rsidRPr="006757CB" w:rsidRDefault="001E2C09">
            <w:pPr>
              <w:rPr>
                <w:rFonts w:ascii="Calibri" w:hAnsi="Calibri"/>
                <w:i/>
                <w:iCs/>
                <w:sz w:val="14"/>
                <w:szCs w:val="14"/>
              </w:rPr>
            </w:pPr>
            <w:r w:rsidRPr="006757CB">
              <w:rPr>
                <w:rFonts w:ascii="Calibri" w:hAnsi="Calibri"/>
                <w:i/>
                <w:iCs/>
                <w:sz w:val="14"/>
                <w:szCs w:val="14"/>
              </w:rPr>
              <w:t xml:space="preserve">              89.070,00 </w:t>
            </w:r>
          </w:p>
        </w:tc>
        <w:tc>
          <w:tcPr>
            <w:tcW w:w="0" w:type="auto"/>
            <w:tcBorders>
              <w:top w:val="nil"/>
              <w:left w:val="single" w:sz="4" w:space="0" w:color="auto"/>
              <w:bottom w:val="nil"/>
              <w:right w:val="single" w:sz="4" w:space="0" w:color="auto"/>
            </w:tcBorders>
            <w:shd w:val="clear" w:color="auto" w:fill="auto"/>
            <w:noWrap/>
            <w:vAlign w:val="bottom"/>
            <w:hideMark/>
          </w:tcPr>
          <w:p w14:paraId="14300A39"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204FBE9"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673.374,26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0CCE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1505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4,13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33F8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4.795 </w:t>
            </w:r>
          </w:p>
        </w:tc>
      </w:tr>
      <w:tr w:rsidR="006757CB" w:rsidRPr="006757CB" w14:paraId="61B1B0F8"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0B7E7" w14:textId="77777777" w:rsidR="001E2C09" w:rsidRPr="006757CB" w:rsidRDefault="001E2C09">
            <w:pPr>
              <w:jc w:val="center"/>
              <w:rPr>
                <w:rFonts w:ascii="Calibri" w:hAnsi="Calibri"/>
                <w:i/>
                <w:iCs/>
                <w:sz w:val="14"/>
                <w:szCs w:val="14"/>
              </w:rPr>
            </w:pPr>
            <w:r w:rsidRPr="006757CB">
              <w:rPr>
                <w:rFonts w:ascii="Calibri" w:hAnsi="Calibri"/>
                <w:i/>
                <w:iCs/>
                <w:sz w:val="14"/>
                <w:szCs w:val="14"/>
              </w:rPr>
              <w:t>01-jul-87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BD5FC" w14:textId="77777777" w:rsidR="001E2C09" w:rsidRPr="006757CB" w:rsidRDefault="001E2C09">
            <w:pPr>
              <w:jc w:val="right"/>
              <w:rPr>
                <w:rFonts w:ascii="Calibri" w:hAnsi="Calibri"/>
                <w:i/>
                <w:iCs/>
                <w:sz w:val="14"/>
                <w:szCs w:val="14"/>
              </w:rPr>
            </w:pPr>
            <w:r w:rsidRPr="006757CB">
              <w:rPr>
                <w:rFonts w:ascii="Calibri" w:hAnsi="Calibri"/>
                <w:i/>
                <w:iCs/>
                <w:sz w:val="14"/>
                <w:szCs w:val="14"/>
              </w:rPr>
              <w:t>31-jul-87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CFFCF"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E8B2E" w14:textId="77777777" w:rsidR="001E2C09" w:rsidRPr="006757CB" w:rsidRDefault="001E2C09">
            <w:pPr>
              <w:rPr>
                <w:rFonts w:ascii="Calibri" w:hAnsi="Calibri"/>
                <w:i/>
                <w:iCs/>
                <w:sz w:val="14"/>
                <w:szCs w:val="14"/>
              </w:rPr>
            </w:pPr>
            <w:r w:rsidRPr="006757CB">
              <w:rPr>
                <w:rFonts w:ascii="Calibri" w:hAnsi="Calibri"/>
                <w:i/>
                <w:iCs/>
                <w:sz w:val="14"/>
                <w:szCs w:val="14"/>
              </w:rPr>
              <w:t xml:space="preserve">              54.630,00 </w:t>
            </w:r>
          </w:p>
        </w:tc>
        <w:tc>
          <w:tcPr>
            <w:tcW w:w="0" w:type="auto"/>
            <w:tcBorders>
              <w:top w:val="nil"/>
              <w:left w:val="single" w:sz="4" w:space="0" w:color="auto"/>
              <w:bottom w:val="nil"/>
              <w:right w:val="single" w:sz="4" w:space="0" w:color="auto"/>
            </w:tcBorders>
            <w:shd w:val="clear" w:color="auto" w:fill="auto"/>
            <w:noWrap/>
            <w:vAlign w:val="bottom"/>
            <w:hideMark/>
          </w:tcPr>
          <w:p w14:paraId="6F8E3B99"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E915F42"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413.005,90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0386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17216"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4,13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26A3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1.495 </w:t>
            </w:r>
          </w:p>
        </w:tc>
      </w:tr>
      <w:tr w:rsidR="006757CB" w:rsidRPr="006757CB" w14:paraId="5D4780B6"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F16FF" w14:textId="77777777" w:rsidR="001E2C09" w:rsidRPr="006757CB" w:rsidRDefault="001E2C09">
            <w:pPr>
              <w:jc w:val="center"/>
              <w:rPr>
                <w:rFonts w:ascii="Calibri" w:hAnsi="Calibri"/>
                <w:i/>
                <w:iCs/>
                <w:sz w:val="14"/>
                <w:szCs w:val="14"/>
              </w:rPr>
            </w:pPr>
            <w:r w:rsidRPr="006757CB">
              <w:rPr>
                <w:rFonts w:ascii="Calibri" w:hAnsi="Calibri"/>
                <w:i/>
                <w:iCs/>
                <w:sz w:val="14"/>
                <w:szCs w:val="14"/>
              </w:rPr>
              <w:t>01-ago-87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22CF9" w14:textId="77777777" w:rsidR="001E2C09" w:rsidRPr="006757CB" w:rsidRDefault="001E2C09">
            <w:pPr>
              <w:jc w:val="right"/>
              <w:rPr>
                <w:rFonts w:ascii="Calibri" w:hAnsi="Calibri"/>
                <w:i/>
                <w:iCs/>
                <w:sz w:val="14"/>
                <w:szCs w:val="14"/>
              </w:rPr>
            </w:pPr>
            <w:r w:rsidRPr="006757CB">
              <w:rPr>
                <w:rFonts w:ascii="Calibri" w:hAnsi="Calibri"/>
                <w:i/>
                <w:iCs/>
                <w:sz w:val="14"/>
                <w:szCs w:val="14"/>
              </w:rPr>
              <w:t>30-sep-87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41B82" w14:textId="77777777" w:rsidR="001E2C09" w:rsidRPr="006757CB" w:rsidRDefault="001E2C09">
            <w:pPr>
              <w:jc w:val="center"/>
              <w:rPr>
                <w:rFonts w:ascii="Calibri" w:hAnsi="Calibri"/>
                <w:i/>
                <w:iCs/>
                <w:sz w:val="14"/>
                <w:szCs w:val="14"/>
              </w:rPr>
            </w:pPr>
            <w:r w:rsidRPr="006757CB">
              <w:rPr>
                <w:rFonts w:ascii="Calibri" w:hAnsi="Calibri"/>
                <w:i/>
                <w:iCs/>
                <w:sz w:val="14"/>
                <w:szCs w:val="14"/>
              </w:rPr>
              <w:t>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015E8" w14:textId="77777777" w:rsidR="001E2C09" w:rsidRPr="006757CB" w:rsidRDefault="001E2C09">
            <w:pPr>
              <w:rPr>
                <w:rFonts w:ascii="Calibri" w:hAnsi="Calibri"/>
                <w:i/>
                <w:iCs/>
                <w:sz w:val="14"/>
                <w:szCs w:val="14"/>
              </w:rPr>
            </w:pPr>
            <w:r w:rsidRPr="006757CB">
              <w:rPr>
                <w:rFonts w:ascii="Calibri" w:hAnsi="Calibri"/>
                <w:i/>
                <w:iCs/>
                <w:sz w:val="14"/>
                <w:szCs w:val="14"/>
              </w:rPr>
              <w:t xml:space="preserve">              47.370,00 </w:t>
            </w:r>
          </w:p>
        </w:tc>
        <w:tc>
          <w:tcPr>
            <w:tcW w:w="0" w:type="auto"/>
            <w:tcBorders>
              <w:top w:val="nil"/>
              <w:left w:val="single" w:sz="4" w:space="0" w:color="auto"/>
              <w:bottom w:val="nil"/>
              <w:right w:val="single" w:sz="4" w:space="0" w:color="auto"/>
            </w:tcBorders>
            <w:shd w:val="clear" w:color="auto" w:fill="auto"/>
            <w:noWrap/>
            <w:vAlign w:val="bottom"/>
            <w:hideMark/>
          </w:tcPr>
          <w:p w14:paraId="5A752A4A"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BE43DE3"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358.119,89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7019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596D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4,13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86F6D"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2.550 </w:t>
            </w:r>
          </w:p>
        </w:tc>
      </w:tr>
      <w:tr w:rsidR="006757CB" w:rsidRPr="006757CB" w14:paraId="46C9D5EF"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1B756" w14:textId="77777777" w:rsidR="001E2C09" w:rsidRPr="006757CB" w:rsidRDefault="001E2C09">
            <w:pPr>
              <w:jc w:val="center"/>
              <w:rPr>
                <w:rFonts w:ascii="Calibri" w:hAnsi="Calibri"/>
                <w:i/>
                <w:iCs/>
                <w:sz w:val="14"/>
                <w:szCs w:val="14"/>
              </w:rPr>
            </w:pPr>
            <w:r w:rsidRPr="006757CB">
              <w:rPr>
                <w:rFonts w:ascii="Calibri" w:hAnsi="Calibri"/>
                <w:i/>
                <w:iCs/>
                <w:sz w:val="14"/>
                <w:szCs w:val="14"/>
              </w:rPr>
              <w:t>01-oct-87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32353"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F131F" w14:textId="77777777" w:rsidR="001E2C09" w:rsidRPr="006757CB" w:rsidRDefault="001E2C09">
            <w:pPr>
              <w:jc w:val="center"/>
              <w:rPr>
                <w:rFonts w:ascii="Calibri" w:hAnsi="Calibri"/>
                <w:i/>
                <w:iCs/>
                <w:sz w:val="14"/>
                <w:szCs w:val="14"/>
              </w:rPr>
            </w:pPr>
            <w:r w:rsidRPr="006757CB">
              <w:rPr>
                <w:rFonts w:ascii="Calibri" w:hAnsi="Calibri"/>
                <w:i/>
                <w:iCs/>
                <w:sz w:val="14"/>
                <w:szCs w:val="14"/>
              </w:rPr>
              <w:t>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D82B8" w14:textId="77777777" w:rsidR="001E2C09" w:rsidRPr="006757CB" w:rsidRDefault="001E2C09">
            <w:pPr>
              <w:rPr>
                <w:rFonts w:ascii="Calibri" w:hAnsi="Calibri"/>
                <w:i/>
                <w:iCs/>
                <w:sz w:val="14"/>
                <w:szCs w:val="14"/>
              </w:rPr>
            </w:pPr>
            <w:r w:rsidRPr="006757CB">
              <w:rPr>
                <w:rFonts w:ascii="Calibri" w:hAnsi="Calibri"/>
                <w:i/>
                <w:iCs/>
                <w:sz w:val="14"/>
                <w:szCs w:val="14"/>
              </w:rPr>
              <w:t xml:space="preserve">              79.290,00 </w:t>
            </w:r>
          </w:p>
        </w:tc>
        <w:tc>
          <w:tcPr>
            <w:tcW w:w="0" w:type="auto"/>
            <w:tcBorders>
              <w:top w:val="nil"/>
              <w:left w:val="single" w:sz="4" w:space="0" w:color="auto"/>
              <w:bottom w:val="nil"/>
              <w:right w:val="single" w:sz="4" w:space="0" w:color="auto"/>
            </w:tcBorders>
            <w:shd w:val="clear" w:color="auto" w:fill="auto"/>
            <w:noWrap/>
            <w:vAlign w:val="bottom"/>
            <w:hideMark/>
          </w:tcPr>
          <w:p w14:paraId="534CD3CA"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565CB78"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599.436,91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B815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D38F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4,13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90F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6.438 </w:t>
            </w:r>
          </w:p>
        </w:tc>
      </w:tr>
      <w:tr w:rsidR="006757CB" w:rsidRPr="006757CB" w14:paraId="5BCACE85"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1091E"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78ED4" w14:textId="77777777" w:rsidR="001E2C09" w:rsidRPr="006757CB" w:rsidRDefault="001E2C09">
            <w:pPr>
              <w:jc w:val="right"/>
              <w:rPr>
                <w:rFonts w:ascii="Calibri" w:hAnsi="Calibri"/>
                <w:i/>
                <w:iCs/>
                <w:sz w:val="14"/>
                <w:szCs w:val="14"/>
              </w:rPr>
            </w:pPr>
            <w:r w:rsidRPr="006757CB">
              <w:rPr>
                <w:rFonts w:ascii="Calibri" w:hAnsi="Calibri"/>
                <w:i/>
                <w:iCs/>
                <w:sz w:val="14"/>
                <w:szCs w:val="14"/>
              </w:rPr>
              <w:t>30-ene-88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F2711" w14:textId="77777777" w:rsidR="001E2C09" w:rsidRPr="006757CB" w:rsidRDefault="001E2C09">
            <w:pPr>
              <w:jc w:val="center"/>
              <w:rPr>
                <w:rFonts w:ascii="Calibri" w:hAnsi="Calibri"/>
                <w:i/>
                <w:iCs/>
                <w:sz w:val="14"/>
                <w:szCs w:val="14"/>
              </w:rPr>
            </w:pPr>
            <w:r w:rsidRPr="006757CB">
              <w:rPr>
                <w:rFonts w:ascii="Calibri" w:hAnsi="Calibri"/>
                <w:i/>
                <w:iCs/>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A9F07" w14:textId="77777777" w:rsidR="001E2C09" w:rsidRPr="006757CB" w:rsidRDefault="001E2C09">
            <w:pPr>
              <w:rPr>
                <w:rFonts w:ascii="Calibri" w:hAnsi="Calibri"/>
                <w:i/>
                <w:iCs/>
                <w:sz w:val="14"/>
                <w:szCs w:val="14"/>
              </w:rPr>
            </w:pPr>
            <w:r w:rsidRPr="006757CB">
              <w:rPr>
                <w:rFonts w:ascii="Calibri" w:hAnsi="Calibri"/>
                <w:i/>
                <w:iCs/>
                <w:sz w:val="14"/>
                <w:szCs w:val="14"/>
              </w:rPr>
              <w:t xml:space="preserve">              79.290,00 </w:t>
            </w:r>
          </w:p>
        </w:tc>
        <w:tc>
          <w:tcPr>
            <w:tcW w:w="0" w:type="auto"/>
            <w:tcBorders>
              <w:top w:val="nil"/>
              <w:left w:val="single" w:sz="4" w:space="0" w:color="auto"/>
              <w:bottom w:val="nil"/>
              <w:right w:val="single" w:sz="4" w:space="0" w:color="auto"/>
            </w:tcBorders>
            <w:shd w:val="clear" w:color="auto" w:fill="auto"/>
            <w:noWrap/>
            <w:vAlign w:val="bottom"/>
            <w:hideMark/>
          </w:tcPr>
          <w:p w14:paraId="27E39FF1"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27BB691"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483.332,50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C699"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AA0F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5,12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E053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1.693 </w:t>
            </w:r>
          </w:p>
        </w:tc>
      </w:tr>
      <w:tr w:rsidR="006757CB" w:rsidRPr="006757CB" w14:paraId="392515D0"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19F5C" w14:textId="77777777" w:rsidR="001E2C09" w:rsidRPr="006757CB" w:rsidRDefault="001E2C09">
            <w:pPr>
              <w:jc w:val="center"/>
              <w:rPr>
                <w:rFonts w:ascii="Calibri" w:hAnsi="Calibri"/>
                <w:i/>
                <w:iCs/>
                <w:sz w:val="14"/>
                <w:szCs w:val="14"/>
              </w:rPr>
            </w:pPr>
            <w:r w:rsidRPr="006757CB">
              <w:rPr>
                <w:rFonts w:ascii="Calibri" w:hAnsi="Calibri"/>
                <w:i/>
                <w:iCs/>
                <w:sz w:val="14"/>
                <w:szCs w:val="14"/>
              </w:rPr>
              <w:t>06-abr-88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B3422" w14:textId="77777777" w:rsidR="001E2C09" w:rsidRPr="006757CB" w:rsidRDefault="001E2C09">
            <w:pPr>
              <w:jc w:val="right"/>
              <w:rPr>
                <w:rFonts w:ascii="Calibri" w:hAnsi="Calibri"/>
                <w:i/>
                <w:iCs/>
                <w:sz w:val="14"/>
                <w:szCs w:val="14"/>
              </w:rPr>
            </w:pPr>
            <w:r w:rsidRPr="006757CB">
              <w:rPr>
                <w:rFonts w:ascii="Calibri" w:hAnsi="Calibri"/>
                <w:i/>
                <w:iCs/>
                <w:sz w:val="14"/>
                <w:szCs w:val="14"/>
              </w:rPr>
              <w:t>31-may-88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BE087" w14:textId="77777777" w:rsidR="001E2C09" w:rsidRPr="006757CB" w:rsidRDefault="001E2C09">
            <w:pPr>
              <w:jc w:val="center"/>
              <w:rPr>
                <w:rFonts w:ascii="Calibri" w:hAnsi="Calibri"/>
                <w:i/>
                <w:iCs/>
                <w:sz w:val="14"/>
                <w:szCs w:val="14"/>
              </w:rPr>
            </w:pPr>
            <w:r w:rsidRPr="006757CB">
              <w:rPr>
                <w:rFonts w:ascii="Calibri" w:hAnsi="Calibri"/>
                <w:i/>
                <w:iCs/>
                <w:sz w:val="14"/>
                <w:szCs w:val="14"/>
              </w:rPr>
              <w:t>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195A0" w14:textId="77777777" w:rsidR="001E2C09" w:rsidRPr="006757CB" w:rsidRDefault="001E2C09">
            <w:pPr>
              <w:rPr>
                <w:rFonts w:ascii="Calibri" w:hAnsi="Calibri"/>
                <w:i/>
                <w:iCs/>
                <w:sz w:val="14"/>
                <w:szCs w:val="14"/>
              </w:rPr>
            </w:pPr>
            <w:r w:rsidRPr="006757CB">
              <w:rPr>
                <w:rFonts w:ascii="Calibri" w:hAnsi="Calibri"/>
                <w:i/>
                <w:iCs/>
                <w:sz w:val="14"/>
                <w:szCs w:val="14"/>
              </w:rPr>
              <w:t xml:space="preserve">              25.530,00 </w:t>
            </w:r>
          </w:p>
        </w:tc>
        <w:tc>
          <w:tcPr>
            <w:tcW w:w="0" w:type="auto"/>
            <w:tcBorders>
              <w:top w:val="nil"/>
              <w:left w:val="single" w:sz="4" w:space="0" w:color="auto"/>
              <w:bottom w:val="nil"/>
              <w:right w:val="single" w:sz="4" w:space="0" w:color="auto"/>
            </w:tcBorders>
            <w:shd w:val="clear" w:color="auto" w:fill="auto"/>
            <w:noWrap/>
            <w:vAlign w:val="bottom"/>
            <w:hideMark/>
          </w:tcPr>
          <w:p w14:paraId="27B5FB43"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B74EE8B"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155.624,65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FFCA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B4D7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5,12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75859"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1.017 </w:t>
            </w:r>
          </w:p>
        </w:tc>
      </w:tr>
      <w:tr w:rsidR="006757CB" w:rsidRPr="006757CB" w14:paraId="1F795D71"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2B157" w14:textId="77777777" w:rsidR="001E2C09" w:rsidRPr="006757CB" w:rsidRDefault="001E2C09">
            <w:pPr>
              <w:jc w:val="center"/>
              <w:rPr>
                <w:rFonts w:ascii="Calibri" w:hAnsi="Calibri"/>
                <w:i/>
                <w:iCs/>
                <w:sz w:val="14"/>
                <w:szCs w:val="14"/>
              </w:rPr>
            </w:pPr>
            <w:r w:rsidRPr="006757CB">
              <w:rPr>
                <w:rFonts w:ascii="Calibri" w:hAnsi="Calibri"/>
                <w:i/>
                <w:iCs/>
                <w:sz w:val="14"/>
                <w:szCs w:val="14"/>
              </w:rPr>
              <w:t>01-jun-88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A3C35" w14:textId="77777777" w:rsidR="001E2C09" w:rsidRPr="006757CB" w:rsidRDefault="001E2C09">
            <w:pPr>
              <w:jc w:val="right"/>
              <w:rPr>
                <w:rFonts w:ascii="Calibri" w:hAnsi="Calibri"/>
                <w:i/>
                <w:iCs/>
                <w:sz w:val="14"/>
                <w:szCs w:val="14"/>
              </w:rPr>
            </w:pPr>
            <w:r w:rsidRPr="006757CB">
              <w:rPr>
                <w:rFonts w:ascii="Calibri" w:hAnsi="Calibri"/>
                <w:i/>
                <w:iCs/>
                <w:sz w:val="14"/>
                <w:szCs w:val="14"/>
              </w:rPr>
              <w:t>30-sep-88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4A2C7" w14:textId="77777777" w:rsidR="001E2C09" w:rsidRPr="006757CB" w:rsidRDefault="001E2C09">
            <w:pPr>
              <w:jc w:val="center"/>
              <w:rPr>
                <w:rFonts w:ascii="Calibri" w:hAnsi="Calibri"/>
                <w:i/>
                <w:iCs/>
                <w:sz w:val="14"/>
                <w:szCs w:val="14"/>
              </w:rPr>
            </w:pPr>
            <w:r w:rsidRPr="006757CB">
              <w:rPr>
                <w:rFonts w:ascii="Calibri" w:hAnsi="Calibri"/>
                <w:i/>
                <w:iCs/>
                <w:sz w:val="14"/>
                <w:szCs w:val="14"/>
              </w:rPr>
              <w:t>122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5B14B" w14:textId="77777777" w:rsidR="001E2C09" w:rsidRPr="006757CB" w:rsidRDefault="001E2C09">
            <w:pPr>
              <w:rPr>
                <w:rFonts w:ascii="Calibri" w:hAnsi="Calibri"/>
                <w:i/>
                <w:iCs/>
                <w:sz w:val="14"/>
                <w:szCs w:val="14"/>
              </w:rPr>
            </w:pPr>
            <w:r w:rsidRPr="006757CB">
              <w:rPr>
                <w:rFonts w:ascii="Calibri" w:hAnsi="Calibri"/>
                <w:i/>
                <w:iCs/>
                <w:sz w:val="14"/>
                <w:szCs w:val="14"/>
              </w:rPr>
              <w:t xml:space="preserve">              70.260,00 </w:t>
            </w:r>
          </w:p>
        </w:tc>
        <w:tc>
          <w:tcPr>
            <w:tcW w:w="0" w:type="auto"/>
            <w:tcBorders>
              <w:top w:val="nil"/>
              <w:left w:val="single" w:sz="4" w:space="0" w:color="auto"/>
              <w:bottom w:val="nil"/>
              <w:right w:val="single" w:sz="4" w:space="0" w:color="auto"/>
            </w:tcBorders>
            <w:shd w:val="clear" w:color="auto" w:fill="auto"/>
            <w:noWrap/>
            <w:vAlign w:val="bottom"/>
            <w:hideMark/>
          </w:tcPr>
          <w:p w14:paraId="3E4F4D9B"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3611877"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428.287,82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448F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F633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5,12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D7BF6"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6.100 </w:t>
            </w:r>
          </w:p>
        </w:tc>
      </w:tr>
      <w:tr w:rsidR="006757CB" w:rsidRPr="006757CB" w14:paraId="0DE7D83C"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2800F" w14:textId="77777777" w:rsidR="001E2C09" w:rsidRPr="006757CB" w:rsidRDefault="001E2C09">
            <w:pPr>
              <w:jc w:val="center"/>
              <w:rPr>
                <w:rFonts w:ascii="Calibri" w:hAnsi="Calibri"/>
                <w:i/>
                <w:iCs/>
                <w:sz w:val="14"/>
                <w:szCs w:val="14"/>
              </w:rPr>
            </w:pPr>
            <w:r w:rsidRPr="006757CB">
              <w:rPr>
                <w:rFonts w:ascii="Calibri" w:hAnsi="Calibri"/>
                <w:i/>
                <w:iCs/>
                <w:sz w:val="14"/>
                <w:szCs w:val="14"/>
              </w:rPr>
              <w:t>01-oct-88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78848"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3FAEA" w14:textId="77777777" w:rsidR="001E2C09" w:rsidRPr="006757CB" w:rsidRDefault="001E2C09">
            <w:pPr>
              <w:jc w:val="center"/>
              <w:rPr>
                <w:rFonts w:ascii="Calibri" w:hAnsi="Calibri"/>
                <w:i/>
                <w:iCs/>
                <w:sz w:val="14"/>
                <w:szCs w:val="14"/>
              </w:rPr>
            </w:pPr>
            <w:r w:rsidRPr="006757CB">
              <w:rPr>
                <w:rFonts w:ascii="Calibri" w:hAnsi="Calibri"/>
                <w:i/>
                <w:iCs/>
                <w:sz w:val="14"/>
                <w:szCs w:val="14"/>
              </w:rPr>
              <w:t>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DA4CB" w14:textId="77777777" w:rsidR="001E2C09" w:rsidRPr="006757CB" w:rsidRDefault="001E2C09">
            <w:pPr>
              <w:rPr>
                <w:rFonts w:ascii="Calibri" w:hAnsi="Calibri"/>
                <w:i/>
                <w:iCs/>
                <w:sz w:val="14"/>
                <w:szCs w:val="14"/>
              </w:rPr>
            </w:pPr>
            <w:r w:rsidRPr="006757CB">
              <w:rPr>
                <w:rFonts w:ascii="Calibri" w:hAnsi="Calibri"/>
                <w:i/>
                <w:iCs/>
                <w:sz w:val="14"/>
                <w:szCs w:val="14"/>
              </w:rPr>
              <w:t xml:space="preserve">              54.630,00 </w:t>
            </w:r>
          </w:p>
        </w:tc>
        <w:tc>
          <w:tcPr>
            <w:tcW w:w="0" w:type="auto"/>
            <w:tcBorders>
              <w:top w:val="nil"/>
              <w:left w:val="single" w:sz="4" w:space="0" w:color="auto"/>
              <w:bottom w:val="nil"/>
              <w:right w:val="single" w:sz="4" w:space="0" w:color="auto"/>
            </w:tcBorders>
            <w:shd w:val="clear" w:color="auto" w:fill="auto"/>
            <w:noWrap/>
            <w:vAlign w:val="bottom"/>
            <w:hideMark/>
          </w:tcPr>
          <w:p w14:paraId="7E17EC04"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6C6585A"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333.011,15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85B2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C99C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5,12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4B8F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3.577 </w:t>
            </w:r>
          </w:p>
        </w:tc>
      </w:tr>
      <w:tr w:rsidR="006757CB" w:rsidRPr="006757CB" w14:paraId="6F7A1A20"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F31D1"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6E55B" w14:textId="77777777" w:rsidR="001E2C09" w:rsidRPr="006757CB" w:rsidRDefault="001E2C09">
            <w:pPr>
              <w:jc w:val="right"/>
              <w:rPr>
                <w:rFonts w:ascii="Calibri" w:hAnsi="Calibri"/>
                <w:i/>
                <w:iCs/>
                <w:sz w:val="14"/>
                <w:szCs w:val="14"/>
              </w:rPr>
            </w:pPr>
            <w:r w:rsidRPr="006757CB">
              <w:rPr>
                <w:rFonts w:ascii="Calibri" w:hAnsi="Calibri"/>
                <w:i/>
                <w:iCs/>
                <w:sz w:val="14"/>
                <w:szCs w:val="14"/>
              </w:rPr>
              <w:t>31-jul-89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9CA5F" w14:textId="77777777" w:rsidR="001E2C09" w:rsidRPr="006757CB" w:rsidRDefault="001E2C09">
            <w:pPr>
              <w:jc w:val="center"/>
              <w:rPr>
                <w:rFonts w:ascii="Calibri" w:hAnsi="Calibri"/>
                <w:i/>
                <w:iCs/>
                <w:sz w:val="14"/>
                <w:szCs w:val="14"/>
              </w:rPr>
            </w:pPr>
            <w:r w:rsidRPr="006757CB">
              <w:rPr>
                <w:rFonts w:ascii="Calibri" w:hAnsi="Calibri"/>
                <w:i/>
                <w:iCs/>
                <w:sz w:val="14"/>
                <w:szCs w:val="14"/>
              </w:rPr>
              <w:t>212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57115" w14:textId="77777777" w:rsidR="001E2C09" w:rsidRPr="006757CB" w:rsidRDefault="001E2C09">
            <w:pPr>
              <w:rPr>
                <w:rFonts w:ascii="Calibri" w:hAnsi="Calibri"/>
                <w:i/>
                <w:iCs/>
                <w:sz w:val="14"/>
                <w:szCs w:val="14"/>
              </w:rPr>
            </w:pPr>
            <w:r w:rsidRPr="006757CB">
              <w:rPr>
                <w:rFonts w:ascii="Calibri" w:hAnsi="Calibri"/>
                <w:i/>
                <w:iCs/>
                <w:sz w:val="14"/>
                <w:szCs w:val="14"/>
              </w:rPr>
              <w:t xml:space="preserve">              54.630,00 </w:t>
            </w:r>
          </w:p>
        </w:tc>
        <w:tc>
          <w:tcPr>
            <w:tcW w:w="0" w:type="auto"/>
            <w:tcBorders>
              <w:top w:val="nil"/>
              <w:left w:val="single" w:sz="4" w:space="0" w:color="auto"/>
              <w:bottom w:val="nil"/>
              <w:right w:val="single" w:sz="4" w:space="0" w:color="auto"/>
            </w:tcBorders>
            <w:shd w:val="clear" w:color="auto" w:fill="auto"/>
            <w:noWrap/>
            <w:vAlign w:val="bottom"/>
            <w:hideMark/>
          </w:tcPr>
          <w:p w14:paraId="390012EA"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2E25E25"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259.912,34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281B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62B6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6,57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B1E66"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6.433 </w:t>
            </w:r>
          </w:p>
        </w:tc>
      </w:tr>
      <w:tr w:rsidR="006757CB" w:rsidRPr="006757CB" w14:paraId="5EC149B9"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92D32" w14:textId="77777777" w:rsidR="001E2C09" w:rsidRPr="006757CB" w:rsidRDefault="001E2C09">
            <w:pPr>
              <w:jc w:val="center"/>
              <w:rPr>
                <w:rFonts w:ascii="Calibri" w:hAnsi="Calibri"/>
                <w:i/>
                <w:iCs/>
                <w:sz w:val="14"/>
                <w:szCs w:val="14"/>
              </w:rPr>
            </w:pPr>
            <w:r w:rsidRPr="006757CB">
              <w:rPr>
                <w:rFonts w:ascii="Calibri" w:hAnsi="Calibri"/>
                <w:i/>
                <w:iCs/>
                <w:sz w:val="14"/>
                <w:szCs w:val="14"/>
              </w:rPr>
              <w:t>01-ago-89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79C7A" w14:textId="77777777" w:rsidR="001E2C09" w:rsidRPr="006757CB" w:rsidRDefault="001E2C09">
            <w:pPr>
              <w:jc w:val="right"/>
              <w:rPr>
                <w:rFonts w:ascii="Calibri" w:hAnsi="Calibri"/>
                <w:i/>
                <w:iCs/>
                <w:sz w:val="14"/>
                <w:szCs w:val="14"/>
              </w:rPr>
            </w:pPr>
            <w:r w:rsidRPr="006757CB">
              <w:rPr>
                <w:rFonts w:ascii="Calibri" w:hAnsi="Calibri"/>
                <w:i/>
                <w:iCs/>
                <w:sz w:val="14"/>
                <w:szCs w:val="14"/>
              </w:rPr>
              <w:t>30-nov-89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AA878" w14:textId="77777777" w:rsidR="001E2C09" w:rsidRPr="006757CB" w:rsidRDefault="001E2C09">
            <w:pPr>
              <w:jc w:val="center"/>
              <w:rPr>
                <w:rFonts w:ascii="Calibri" w:hAnsi="Calibri"/>
                <w:i/>
                <w:iCs/>
                <w:sz w:val="14"/>
                <w:szCs w:val="14"/>
              </w:rPr>
            </w:pPr>
            <w:r w:rsidRPr="006757CB">
              <w:rPr>
                <w:rFonts w:ascii="Calibri" w:hAnsi="Calibri"/>
                <w:i/>
                <w:iCs/>
                <w:sz w:val="14"/>
                <w:szCs w:val="14"/>
              </w:rPr>
              <w:t>122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DED9E" w14:textId="77777777" w:rsidR="001E2C09" w:rsidRPr="006757CB" w:rsidRDefault="001E2C09">
            <w:pPr>
              <w:rPr>
                <w:rFonts w:ascii="Calibri" w:hAnsi="Calibri"/>
                <w:i/>
                <w:iCs/>
                <w:sz w:val="14"/>
                <w:szCs w:val="14"/>
              </w:rPr>
            </w:pPr>
            <w:r w:rsidRPr="006757CB">
              <w:rPr>
                <w:rFonts w:ascii="Calibri" w:hAnsi="Calibri"/>
                <w:i/>
                <w:iCs/>
                <w:sz w:val="14"/>
                <w:szCs w:val="14"/>
              </w:rPr>
              <w:t xml:space="preserve">              89.070,00 </w:t>
            </w:r>
          </w:p>
        </w:tc>
        <w:tc>
          <w:tcPr>
            <w:tcW w:w="0" w:type="auto"/>
            <w:tcBorders>
              <w:top w:val="nil"/>
              <w:left w:val="single" w:sz="4" w:space="0" w:color="auto"/>
              <w:bottom w:val="nil"/>
              <w:right w:val="single" w:sz="4" w:space="0" w:color="auto"/>
            </w:tcBorders>
            <w:shd w:val="clear" w:color="auto" w:fill="auto"/>
            <w:noWrap/>
            <w:vAlign w:val="bottom"/>
            <w:hideMark/>
          </w:tcPr>
          <w:p w14:paraId="7651A10F"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49CB469"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423.767,01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1F2A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656E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6,57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0567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6.035 </w:t>
            </w:r>
          </w:p>
        </w:tc>
      </w:tr>
      <w:tr w:rsidR="006757CB" w:rsidRPr="006757CB" w14:paraId="2AE55A92"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63724" w14:textId="77777777" w:rsidR="001E2C09" w:rsidRPr="006757CB" w:rsidRDefault="001E2C09">
            <w:pPr>
              <w:jc w:val="center"/>
              <w:rPr>
                <w:rFonts w:ascii="Calibri" w:hAnsi="Calibri"/>
                <w:i/>
                <w:iCs/>
                <w:sz w:val="14"/>
                <w:szCs w:val="14"/>
              </w:rPr>
            </w:pPr>
            <w:r w:rsidRPr="006757CB">
              <w:rPr>
                <w:rFonts w:ascii="Calibri" w:hAnsi="Calibri"/>
                <w:i/>
                <w:iCs/>
                <w:sz w:val="14"/>
                <w:szCs w:val="14"/>
              </w:rPr>
              <w:t>01-dic-89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E405D"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7F2EB"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F17FB" w14:textId="77777777" w:rsidR="001E2C09" w:rsidRPr="006757CB" w:rsidRDefault="001E2C09">
            <w:pPr>
              <w:rPr>
                <w:rFonts w:ascii="Calibri" w:hAnsi="Calibri"/>
                <w:i/>
                <w:iCs/>
                <w:sz w:val="14"/>
                <w:szCs w:val="14"/>
              </w:rPr>
            </w:pPr>
            <w:r w:rsidRPr="006757CB">
              <w:rPr>
                <w:rFonts w:ascii="Calibri" w:hAnsi="Calibri"/>
                <w:i/>
                <w:iCs/>
                <w:sz w:val="14"/>
                <w:szCs w:val="14"/>
              </w:rPr>
              <w:t xml:space="preserve">              79.290,00 </w:t>
            </w:r>
          </w:p>
        </w:tc>
        <w:tc>
          <w:tcPr>
            <w:tcW w:w="0" w:type="auto"/>
            <w:tcBorders>
              <w:top w:val="nil"/>
              <w:left w:val="single" w:sz="4" w:space="0" w:color="auto"/>
              <w:bottom w:val="nil"/>
              <w:right w:val="single" w:sz="4" w:space="0" w:color="auto"/>
            </w:tcBorders>
            <w:shd w:val="clear" w:color="auto" w:fill="auto"/>
            <w:noWrap/>
            <w:vAlign w:val="bottom"/>
            <w:hideMark/>
          </w:tcPr>
          <w:p w14:paraId="2E67E6A1"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3077E6F"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377.236,85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A614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014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6,57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72A7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1.365 </w:t>
            </w:r>
          </w:p>
        </w:tc>
      </w:tr>
      <w:tr w:rsidR="006757CB" w:rsidRPr="006757CB" w14:paraId="6077C9DD"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05B1F"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4840F" w14:textId="77777777" w:rsidR="001E2C09" w:rsidRPr="006757CB" w:rsidRDefault="001E2C09">
            <w:pPr>
              <w:jc w:val="right"/>
              <w:rPr>
                <w:rFonts w:ascii="Calibri" w:hAnsi="Calibri"/>
                <w:i/>
                <w:iCs/>
                <w:sz w:val="14"/>
                <w:szCs w:val="14"/>
              </w:rPr>
            </w:pPr>
            <w:r w:rsidRPr="006757CB">
              <w:rPr>
                <w:rFonts w:ascii="Calibri" w:hAnsi="Calibri"/>
                <w:i/>
                <w:iCs/>
                <w:sz w:val="14"/>
                <w:szCs w:val="14"/>
              </w:rPr>
              <w:t>31-ene-90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B1E73" w14:textId="77777777" w:rsidR="001E2C09" w:rsidRPr="006757CB" w:rsidRDefault="001E2C09">
            <w:pPr>
              <w:jc w:val="center"/>
              <w:rPr>
                <w:rFonts w:ascii="Calibri" w:hAnsi="Calibri"/>
                <w:i/>
                <w:iCs/>
                <w:sz w:val="14"/>
                <w:szCs w:val="14"/>
              </w:rPr>
            </w:pPr>
            <w:r w:rsidRPr="006757CB">
              <w:rPr>
                <w:rFonts w:ascii="Calibri" w:hAnsi="Calibri"/>
                <w:i/>
                <w:iCs/>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BE3F1" w14:textId="77777777" w:rsidR="001E2C09" w:rsidRPr="006757CB" w:rsidRDefault="001E2C09">
            <w:pPr>
              <w:rPr>
                <w:rFonts w:ascii="Calibri" w:hAnsi="Calibri"/>
                <w:i/>
                <w:iCs/>
                <w:sz w:val="14"/>
                <w:szCs w:val="14"/>
              </w:rPr>
            </w:pPr>
            <w:r w:rsidRPr="006757CB">
              <w:rPr>
                <w:rFonts w:ascii="Calibri" w:hAnsi="Calibri"/>
                <w:i/>
                <w:iCs/>
                <w:sz w:val="14"/>
                <w:szCs w:val="14"/>
              </w:rPr>
              <w:t xml:space="preserve">              79.290,00 </w:t>
            </w:r>
          </w:p>
        </w:tc>
        <w:tc>
          <w:tcPr>
            <w:tcW w:w="0" w:type="auto"/>
            <w:tcBorders>
              <w:top w:val="nil"/>
              <w:left w:val="single" w:sz="4" w:space="0" w:color="auto"/>
              <w:bottom w:val="nil"/>
              <w:right w:val="single" w:sz="4" w:space="0" w:color="auto"/>
            </w:tcBorders>
            <w:shd w:val="clear" w:color="auto" w:fill="auto"/>
            <w:noWrap/>
            <w:vAlign w:val="bottom"/>
            <w:hideMark/>
          </w:tcPr>
          <w:p w14:paraId="530456F0"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8880C7A"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299.102,57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3959D"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F741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8,28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557D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1.082 </w:t>
            </w:r>
          </w:p>
        </w:tc>
      </w:tr>
      <w:tr w:rsidR="006757CB" w:rsidRPr="006757CB" w14:paraId="61D1F760"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81FBD" w14:textId="77777777" w:rsidR="001E2C09" w:rsidRPr="006757CB" w:rsidRDefault="001E2C09">
            <w:pPr>
              <w:jc w:val="center"/>
              <w:rPr>
                <w:rFonts w:ascii="Calibri" w:hAnsi="Calibri"/>
                <w:i/>
                <w:iCs/>
                <w:sz w:val="14"/>
                <w:szCs w:val="14"/>
              </w:rPr>
            </w:pPr>
            <w:r w:rsidRPr="006757CB">
              <w:rPr>
                <w:rFonts w:ascii="Calibri" w:hAnsi="Calibri"/>
                <w:i/>
                <w:iCs/>
                <w:sz w:val="14"/>
                <w:szCs w:val="14"/>
              </w:rPr>
              <w:t>01-feb-90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68A8C" w14:textId="77777777" w:rsidR="001E2C09" w:rsidRPr="006757CB" w:rsidRDefault="001E2C09">
            <w:pPr>
              <w:jc w:val="right"/>
              <w:rPr>
                <w:rFonts w:ascii="Calibri" w:hAnsi="Calibri"/>
                <w:i/>
                <w:iCs/>
                <w:sz w:val="14"/>
                <w:szCs w:val="14"/>
              </w:rPr>
            </w:pPr>
            <w:r w:rsidRPr="006757CB">
              <w:rPr>
                <w:rFonts w:ascii="Calibri" w:hAnsi="Calibri"/>
                <w:i/>
                <w:iCs/>
                <w:sz w:val="14"/>
                <w:szCs w:val="14"/>
              </w:rPr>
              <w:t>30-abr-90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E047D" w14:textId="77777777" w:rsidR="001E2C09" w:rsidRPr="006757CB" w:rsidRDefault="001E2C09">
            <w:pPr>
              <w:jc w:val="center"/>
              <w:rPr>
                <w:rFonts w:ascii="Calibri" w:hAnsi="Calibri"/>
                <w:i/>
                <w:iCs/>
                <w:sz w:val="14"/>
                <w:szCs w:val="14"/>
              </w:rPr>
            </w:pPr>
            <w:r w:rsidRPr="006757CB">
              <w:rPr>
                <w:rFonts w:ascii="Calibri" w:hAnsi="Calibri"/>
                <w:i/>
                <w:iCs/>
                <w:sz w:val="14"/>
                <w:szCs w:val="14"/>
              </w:rPr>
              <w:t>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EEAFA" w14:textId="77777777" w:rsidR="001E2C09" w:rsidRPr="006757CB" w:rsidRDefault="001E2C09">
            <w:pPr>
              <w:rPr>
                <w:rFonts w:ascii="Calibri" w:hAnsi="Calibri"/>
                <w:i/>
                <w:iCs/>
                <w:sz w:val="14"/>
                <w:szCs w:val="14"/>
              </w:rPr>
            </w:pPr>
            <w:r w:rsidRPr="006757CB">
              <w:rPr>
                <w:rFonts w:ascii="Calibri" w:hAnsi="Calibri"/>
                <w:i/>
                <w:iCs/>
                <w:sz w:val="14"/>
                <w:szCs w:val="14"/>
              </w:rPr>
              <w:t xml:space="preserve">              61.950,00 </w:t>
            </w:r>
          </w:p>
        </w:tc>
        <w:tc>
          <w:tcPr>
            <w:tcW w:w="0" w:type="auto"/>
            <w:tcBorders>
              <w:top w:val="nil"/>
              <w:left w:val="single" w:sz="4" w:space="0" w:color="auto"/>
              <w:bottom w:val="nil"/>
              <w:right w:val="single" w:sz="4" w:space="0" w:color="auto"/>
            </w:tcBorders>
            <w:shd w:val="clear" w:color="auto" w:fill="auto"/>
            <w:noWrap/>
            <w:vAlign w:val="bottom"/>
            <w:hideMark/>
          </w:tcPr>
          <w:p w14:paraId="3E79622C"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1B80B4C"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233.691,56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6503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0B74F"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8,28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51D4D"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2.428 </w:t>
            </w:r>
          </w:p>
        </w:tc>
      </w:tr>
      <w:tr w:rsidR="006757CB" w:rsidRPr="006757CB" w14:paraId="5A19DD0E"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C0700" w14:textId="77777777" w:rsidR="001E2C09" w:rsidRPr="006757CB" w:rsidRDefault="001E2C09">
            <w:pPr>
              <w:jc w:val="center"/>
              <w:rPr>
                <w:rFonts w:ascii="Calibri" w:hAnsi="Calibri"/>
                <w:i/>
                <w:iCs/>
                <w:sz w:val="14"/>
                <w:szCs w:val="14"/>
              </w:rPr>
            </w:pPr>
            <w:r w:rsidRPr="006757CB">
              <w:rPr>
                <w:rFonts w:ascii="Calibri" w:hAnsi="Calibri"/>
                <w:i/>
                <w:iCs/>
                <w:sz w:val="14"/>
                <w:szCs w:val="14"/>
              </w:rPr>
              <w:t>01-may-90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5EC6" w14:textId="77777777" w:rsidR="001E2C09" w:rsidRPr="006757CB" w:rsidRDefault="001E2C09">
            <w:pPr>
              <w:jc w:val="right"/>
              <w:rPr>
                <w:rFonts w:ascii="Calibri" w:hAnsi="Calibri"/>
                <w:i/>
                <w:iCs/>
                <w:sz w:val="14"/>
                <w:szCs w:val="14"/>
              </w:rPr>
            </w:pPr>
            <w:r w:rsidRPr="006757CB">
              <w:rPr>
                <w:rFonts w:ascii="Calibri" w:hAnsi="Calibri"/>
                <w:i/>
                <w:iCs/>
                <w:sz w:val="14"/>
                <w:szCs w:val="14"/>
              </w:rPr>
              <w:t>30-jun-90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18842" w14:textId="77777777" w:rsidR="001E2C09" w:rsidRPr="006757CB" w:rsidRDefault="001E2C09">
            <w:pPr>
              <w:jc w:val="center"/>
              <w:rPr>
                <w:rFonts w:ascii="Calibri" w:hAnsi="Calibri"/>
                <w:i/>
                <w:iCs/>
                <w:sz w:val="14"/>
                <w:szCs w:val="14"/>
              </w:rPr>
            </w:pPr>
            <w:r w:rsidRPr="006757CB">
              <w:rPr>
                <w:rFonts w:ascii="Calibri" w:hAnsi="Calibri"/>
                <w:i/>
                <w:iCs/>
                <w:sz w:val="14"/>
                <w:szCs w:val="14"/>
              </w:rPr>
              <w:t>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4F38B" w14:textId="77777777" w:rsidR="001E2C09" w:rsidRPr="006757CB" w:rsidRDefault="001E2C09">
            <w:pPr>
              <w:rPr>
                <w:rFonts w:ascii="Calibri" w:hAnsi="Calibri"/>
                <w:i/>
                <w:iCs/>
                <w:sz w:val="14"/>
                <w:szCs w:val="14"/>
              </w:rPr>
            </w:pPr>
            <w:r w:rsidRPr="006757CB">
              <w:rPr>
                <w:rFonts w:ascii="Calibri" w:hAnsi="Calibri"/>
                <w:i/>
                <w:iCs/>
                <w:sz w:val="14"/>
                <w:szCs w:val="14"/>
              </w:rPr>
              <w:t xml:space="preserve">              47.370,00 </w:t>
            </w:r>
          </w:p>
        </w:tc>
        <w:tc>
          <w:tcPr>
            <w:tcW w:w="0" w:type="auto"/>
            <w:tcBorders>
              <w:top w:val="nil"/>
              <w:left w:val="single" w:sz="4" w:space="0" w:color="auto"/>
              <w:bottom w:val="nil"/>
              <w:right w:val="single" w:sz="4" w:space="0" w:color="auto"/>
            </w:tcBorders>
            <w:shd w:val="clear" w:color="auto" w:fill="auto"/>
            <w:noWrap/>
            <w:vAlign w:val="bottom"/>
            <w:hideMark/>
          </w:tcPr>
          <w:p w14:paraId="3C4FCB61"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C3A09D6"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178.692,00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844BD"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1D30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8,28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8F77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1.272 </w:t>
            </w:r>
          </w:p>
        </w:tc>
      </w:tr>
      <w:tr w:rsidR="006757CB" w:rsidRPr="006757CB" w14:paraId="313D18E1"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239AE" w14:textId="77777777" w:rsidR="001E2C09" w:rsidRPr="006757CB" w:rsidRDefault="001E2C09">
            <w:pPr>
              <w:jc w:val="center"/>
              <w:rPr>
                <w:rFonts w:ascii="Calibri" w:hAnsi="Calibri"/>
                <w:i/>
                <w:iCs/>
                <w:sz w:val="14"/>
                <w:szCs w:val="14"/>
              </w:rPr>
            </w:pPr>
            <w:r w:rsidRPr="006757CB">
              <w:rPr>
                <w:rFonts w:ascii="Calibri" w:hAnsi="Calibri"/>
                <w:i/>
                <w:iCs/>
                <w:sz w:val="14"/>
                <w:szCs w:val="14"/>
              </w:rPr>
              <w:t>01-jul-90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B88A6" w14:textId="77777777" w:rsidR="001E2C09" w:rsidRPr="006757CB" w:rsidRDefault="001E2C09">
            <w:pPr>
              <w:jc w:val="right"/>
              <w:rPr>
                <w:rFonts w:ascii="Calibri" w:hAnsi="Calibri"/>
                <w:i/>
                <w:iCs/>
                <w:sz w:val="14"/>
                <w:szCs w:val="14"/>
              </w:rPr>
            </w:pPr>
            <w:r w:rsidRPr="006757CB">
              <w:rPr>
                <w:rFonts w:ascii="Calibri" w:hAnsi="Calibri"/>
                <w:i/>
                <w:iCs/>
                <w:sz w:val="14"/>
                <w:szCs w:val="14"/>
              </w:rPr>
              <w:t>30-sep-90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62A3D" w14:textId="77777777" w:rsidR="001E2C09" w:rsidRPr="006757CB" w:rsidRDefault="001E2C09">
            <w:pPr>
              <w:jc w:val="center"/>
              <w:rPr>
                <w:rFonts w:ascii="Calibri" w:hAnsi="Calibri"/>
                <w:i/>
                <w:iCs/>
                <w:sz w:val="14"/>
                <w:szCs w:val="14"/>
              </w:rPr>
            </w:pPr>
            <w:r w:rsidRPr="006757CB">
              <w:rPr>
                <w:rFonts w:ascii="Calibri" w:hAnsi="Calibri"/>
                <w:i/>
                <w:iCs/>
                <w:sz w:val="14"/>
                <w:szCs w:val="14"/>
              </w:rPr>
              <w:t>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F2926" w14:textId="77777777" w:rsidR="001E2C09" w:rsidRPr="006757CB" w:rsidRDefault="001E2C09">
            <w:pPr>
              <w:rPr>
                <w:rFonts w:ascii="Calibri" w:hAnsi="Calibri"/>
                <w:i/>
                <w:iCs/>
                <w:sz w:val="14"/>
                <w:szCs w:val="14"/>
              </w:rPr>
            </w:pPr>
            <w:r w:rsidRPr="006757CB">
              <w:rPr>
                <w:rFonts w:ascii="Calibri" w:hAnsi="Calibri"/>
                <w:i/>
                <w:iCs/>
                <w:sz w:val="14"/>
                <w:szCs w:val="14"/>
              </w:rPr>
              <w:t xml:space="preserve">              79.290,00 </w:t>
            </w:r>
          </w:p>
        </w:tc>
        <w:tc>
          <w:tcPr>
            <w:tcW w:w="0" w:type="auto"/>
            <w:tcBorders>
              <w:top w:val="nil"/>
              <w:left w:val="single" w:sz="4" w:space="0" w:color="auto"/>
              <w:bottom w:val="nil"/>
              <w:right w:val="single" w:sz="4" w:space="0" w:color="auto"/>
            </w:tcBorders>
            <w:shd w:val="clear" w:color="auto" w:fill="auto"/>
            <w:noWrap/>
            <w:vAlign w:val="bottom"/>
            <w:hideMark/>
          </w:tcPr>
          <w:p w14:paraId="1ECA591E"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3C9A438"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299.102,57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EDC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6F72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8,28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47EB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3.212 </w:t>
            </w:r>
          </w:p>
        </w:tc>
      </w:tr>
      <w:tr w:rsidR="006757CB" w:rsidRPr="006757CB" w14:paraId="28832A78"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03BCB" w14:textId="77777777" w:rsidR="001E2C09" w:rsidRPr="006757CB" w:rsidRDefault="001E2C09">
            <w:pPr>
              <w:jc w:val="center"/>
              <w:rPr>
                <w:rFonts w:ascii="Calibri" w:hAnsi="Calibri"/>
                <w:i/>
                <w:iCs/>
                <w:sz w:val="14"/>
                <w:szCs w:val="14"/>
              </w:rPr>
            </w:pPr>
            <w:r w:rsidRPr="006757CB">
              <w:rPr>
                <w:rFonts w:ascii="Calibri" w:hAnsi="Calibri"/>
                <w:i/>
                <w:iCs/>
                <w:sz w:val="14"/>
                <w:szCs w:val="14"/>
              </w:rPr>
              <w:lastRenderedPageBreak/>
              <w:t>01-oct-90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29C3D"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07A32" w14:textId="77777777" w:rsidR="001E2C09" w:rsidRPr="006757CB" w:rsidRDefault="001E2C09">
            <w:pPr>
              <w:jc w:val="center"/>
              <w:rPr>
                <w:rFonts w:ascii="Calibri" w:hAnsi="Calibri"/>
                <w:i/>
                <w:iCs/>
                <w:sz w:val="14"/>
                <w:szCs w:val="14"/>
              </w:rPr>
            </w:pPr>
            <w:r w:rsidRPr="006757CB">
              <w:rPr>
                <w:rFonts w:ascii="Calibri" w:hAnsi="Calibri"/>
                <w:i/>
                <w:iCs/>
                <w:sz w:val="14"/>
                <w:szCs w:val="14"/>
              </w:rPr>
              <w:t>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CA62F" w14:textId="77777777" w:rsidR="001E2C09" w:rsidRPr="006757CB" w:rsidRDefault="001E2C09">
            <w:pPr>
              <w:rPr>
                <w:rFonts w:ascii="Calibri" w:hAnsi="Calibri"/>
                <w:i/>
                <w:iCs/>
                <w:sz w:val="14"/>
                <w:szCs w:val="14"/>
              </w:rPr>
            </w:pPr>
            <w:r w:rsidRPr="006757CB">
              <w:rPr>
                <w:rFonts w:ascii="Calibri" w:hAnsi="Calibri"/>
                <w:i/>
                <w:iCs/>
                <w:sz w:val="14"/>
                <w:szCs w:val="14"/>
              </w:rPr>
              <w:t xml:space="preserve">              89.070,00 </w:t>
            </w:r>
          </w:p>
        </w:tc>
        <w:tc>
          <w:tcPr>
            <w:tcW w:w="0" w:type="auto"/>
            <w:tcBorders>
              <w:top w:val="nil"/>
              <w:left w:val="single" w:sz="4" w:space="0" w:color="auto"/>
              <w:bottom w:val="nil"/>
              <w:right w:val="single" w:sz="4" w:space="0" w:color="auto"/>
            </w:tcBorders>
            <w:shd w:val="clear" w:color="auto" w:fill="auto"/>
            <w:noWrap/>
            <w:vAlign w:val="bottom"/>
            <w:hideMark/>
          </w:tcPr>
          <w:p w14:paraId="6A0020A1"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1F0AC3D"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335.995,28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C5B4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698B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8,28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CBFB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3.609 </w:t>
            </w:r>
          </w:p>
        </w:tc>
      </w:tr>
      <w:tr w:rsidR="006757CB" w:rsidRPr="006757CB" w14:paraId="578DB43A"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0FB69"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9BF5C" w14:textId="77777777" w:rsidR="001E2C09" w:rsidRPr="006757CB" w:rsidRDefault="001E2C09">
            <w:pPr>
              <w:jc w:val="right"/>
              <w:rPr>
                <w:rFonts w:ascii="Calibri" w:hAnsi="Calibri"/>
                <w:i/>
                <w:iCs/>
                <w:sz w:val="14"/>
                <w:szCs w:val="14"/>
              </w:rPr>
            </w:pPr>
            <w:r w:rsidRPr="006757CB">
              <w:rPr>
                <w:rFonts w:ascii="Calibri" w:hAnsi="Calibri"/>
                <w:i/>
                <w:iCs/>
                <w:sz w:val="14"/>
                <w:szCs w:val="14"/>
              </w:rPr>
              <w:t>30-abr-91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F32EC" w14:textId="77777777" w:rsidR="001E2C09" w:rsidRPr="006757CB" w:rsidRDefault="001E2C09">
            <w:pPr>
              <w:jc w:val="center"/>
              <w:rPr>
                <w:rFonts w:ascii="Calibri" w:hAnsi="Calibri"/>
                <w:i/>
                <w:iCs/>
                <w:sz w:val="14"/>
                <w:szCs w:val="14"/>
              </w:rPr>
            </w:pPr>
            <w:r w:rsidRPr="006757CB">
              <w:rPr>
                <w:rFonts w:ascii="Calibri" w:hAnsi="Calibri"/>
                <w:i/>
                <w:iCs/>
                <w:sz w:val="14"/>
                <w:szCs w:val="14"/>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13D02" w14:textId="77777777" w:rsidR="001E2C09" w:rsidRPr="006757CB" w:rsidRDefault="001E2C09">
            <w:pPr>
              <w:rPr>
                <w:rFonts w:ascii="Calibri" w:hAnsi="Calibri"/>
                <w:i/>
                <w:iCs/>
                <w:sz w:val="14"/>
                <w:szCs w:val="14"/>
              </w:rPr>
            </w:pPr>
            <w:r w:rsidRPr="006757CB">
              <w:rPr>
                <w:rFonts w:ascii="Calibri" w:hAnsi="Calibri"/>
                <w:i/>
                <w:iCs/>
                <w:sz w:val="14"/>
                <w:szCs w:val="14"/>
              </w:rPr>
              <w:t xml:space="preserve">              54.630,00 </w:t>
            </w:r>
          </w:p>
        </w:tc>
        <w:tc>
          <w:tcPr>
            <w:tcW w:w="0" w:type="auto"/>
            <w:tcBorders>
              <w:top w:val="nil"/>
              <w:left w:val="single" w:sz="4" w:space="0" w:color="auto"/>
              <w:bottom w:val="nil"/>
              <w:right w:val="single" w:sz="4" w:space="0" w:color="auto"/>
            </w:tcBorders>
            <w:shd w:val="clear" w:color="auto" w:fill="auto"/>
            <w:noWrap/>
            <w:vAlign w:val="bottom"/>
            <w:hideMark/>
          </w:tcPr>
          <w:p w14:paraId="2B0E5530"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FE6D5A6"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155.686,47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F1886"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C90A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10,96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5B3C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2.181 </w:t>
            </w:r>
          </w:p>
        </w:tc>
      </w:tr>
      <w:tr w:rsidR="006757CB" w:rsidRPr="006757CB" w14:paraId="4FE36DA0"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7E8FD" w14:textId="77777777" w:rsidR="001E2C09" w:rsidRPr="006757CB" w:rsidRDefault="001E2C09">
            <w:pPr>
              <w:jc w:val="center"/>
              <w:rPr>
                <w:rFonts w:ascii="Calibri" w:hAnsi="Calibri"/>
                <w:i/>
                <w:iCs/>
                <w:sz w:val="14"/>
                <w:szCs w:val="14"/>
              </w:rPr>
            </w:pPr>
            <w:r w:rsidRPr="006757CB">
              <w:rPr>
                <w:rFonts w:ascii="Calibri" w:hAnsi="Calibri"/>
                <w:i/>
                <w:iCs/>
                <w:sz w:val="14"/>
                <w:szCs w:val="14"/>
              </w:rPr>
              <w:t>01-may-91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21C88" w14:textId="77777777" w:rsidR="001E2C09" w:rsidRPr="006757CB" w:rsidRDefault="001E2C09">
            <w:pPr>
              <w:jc w:val="right"/>
              <w:rPr>
                <w:rFonts w:ascii="Calibri" w:hAnsi="Calibri"/>
                <w:i/>
                <w:iCs/>
                <w:sz w:val="14"/>
                <w:szCs w:val="14"/>
              </w:rPr>
            </w:pPr>
            <w:r w:rsidRPr="006757CB">
              <w:rPr>
                <w:rFonts w:ascii="Calibri" w:hAnsi="Calibri"/>
                <w:i/>
                <w:iCs/>
                <w:sz w:val="14"/>
                <w:szCs w:val="14"/>
              </w:rPr>
              <w:t>28-jun-91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D7986" w14:textId="77777777" w:rsidR="001E2C09" w:rsidRPr="006757CB" w:rsidRDefault="001E2C09">
            <w:pPr>
              <w:jc w:val="center"/>
              <w:rPr>
                <w:rFonts w:ascii="Calibri" w:hAnsi="Calibri"/>
                <w:i/>
                <w:iCs/>
                <w:sz w:val="14"/>
                <w:szCs w:val="14"/>
              </w:rPr>
            </w:pPr>
            <w:r w:rsidRPr="006757CB">
              <w:rPr>
                <w:rFonts w:ascii="Calibri" w:hAnsi="Calibri"/>
                <w:i/>
                <w:iCs/>
                <w:sz w:val="14"/>
                <w:szCs w:val="14"/>
              </w:rPr>
              <w:t>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C0E02" w14:textId="77777777" w:rsidR="001E2C09" w:rsidRPr="006757CB" w:rsidRDefault="001E2C09">
            <w:pPr>
              <w:rPr>
                <w:rFonts w:ascii="Calibri" w:hAnsi="Calibri"/>
                <w:i/>
                <w:iCs/>
                <w:sz w:val="14"/>
                <w:szCs w:val="14"/>
              </w:rPr>
            </w:pPr>
            <w:r w:rsidRPr="006757CB">
              <w:rPr>
                <w:rFonts w:ascii="Calibri" w:hAnsi="Calibri"/>
                <w:i/>
                <w:iCs/>
                <w:sz w:val="14"/>
                <w:szCs w:val="14"/>
              </w:rPr>
              <w:t xml:space="preserve">              61.950,00 </w:t>
            </w:r>
          </w:p>
        </w:tc>
        <w:tc>
          <w:tcPr>
            <w:tcW w:w="0" w:type="auto"/>
            <w:tcBorders>
              <w:top w:val="nil"/>
              <w:left w:val="single" w:sz="4" w:space="0" w:color="auto"/>
              <w:bottom w:val="nil"/>
              <w:right w:val="single" w:sz="4" w:space="0" w:color="auto"/>
            </w:tcBorders>
            <w:shd w:val="clear" w:color="auto" w:fill="auto"/>
            <w:noWrap/>
            <w:vAlign w:val="bottom"/>
            <w:hideMark/>
          </w:tcPr>
          <w:p w14:paraId="6A720DCF"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488A90C"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176.547,26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A0BF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933E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10,96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921D3"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1.216 </w:t>
            </w:r>
          </w:p>
        </w:tc>
      </w:tr>
      <w:tr w:rsidR="006757CB" w:rsidRPr="006757CB" w14:paraId="5B0219AF"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16206" w14:textId="77777777" w:rsidR="001E2C09" w:rsidRPr="006757CB" w:rsidRDefault="001E2C09">
            <w:pPr>
              <w:jc w:val="center"/>
              <w:rPr>
                <w:rFonts w:ascii="Calibri" w:hAnsi="Calibri"/>
                <w:i/>
                <w:iCs/>
                <w:sz w:val="14"/>
                <w:szCs w:val="14"/>
              </w:rPr>
            </w:pPr>
            <w:r w:rsidRPr="006757CB">
              <w:rPr>
                <w:rFonts w:ascii="Calibri" w:hAnsi="Calibri"/>
                <w:i/>
                <w:iCs/>
                <w:sz w:val="14"/>
                <w:szCs w:val="14"/>
              </w:rPr>
              <w:t>23-jul-91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A6448"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611C4" w14:textId="77777777" w:rsidR="001E2C09" w:rsidRPr="006757CB" w:rsidRDefault="001E2C09">
            <w:pPr>
              <w:jc w:val="center"/>
              <w:rPr>
                <w:rFonts w:ascii="Calibri" w:hAnsi="Calibri"/>
                <w:i/>
                <w:iCs/>
                <w:sz w:val="14"/>
                <w:szCs w:val="14"/>
              </w:rPr>
            </w:pPr>
            <w:r w:rsidRPr="006757CB">
              <w:rPr>
                <w:rFonts w:ascii="Calibri" w:hAnsi="Calibri"/>
                <w:i/>
                <w:iCs/>
                <w:sz w:val="14"/>
                <w:szCs w:val="14"/>
              </w:rPr>
              <w:t>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496D2" w14:textId="77777777" w:rsidR="001E2C09" w:rsidRPr="006757CB" w:rsidRDefault="001E2C09">
            <w:pPr>
              <w:rPr>
                <w:rFonts w:ascii="Calibri" w:hAnsi="Calibri"/>
                <w:i/>
                <w:iCs/>
                <w:sz w:val="14"/>
                <w:szCs w:val="14"/>
              </w:rPr>
            </w:pPr>
            <w:r w:rsidRPr="006757CB">
              <w:rPr>
                <w:rFonts w:ascii="Calibri" w:hAnsi="Calibri"/>
                <w:i/>
                <w:iCs/>
                <w:sz w:val="14"/>
                <w:szCs w:val="14"/>
              </w:rPr>
              <w:t xml:space="preserve">              54.630,00 </w:t>
            </w:r>
          </w:p>
        </w:tc>
        <w:tc>
          <w:tcPr>
            <w:tcW w:w="0" w:type="auto"/>
            <w:tcBorders>
              <w:top w:val="nil"/>
              <w:left w:val="single" w:sz="4" w:space="0" w:color="auto"/>
              <w:bottom w:val="nil"/>
              <w:right w:val="single" w:sz="4" w:space="0" w:color="auto"/>
            </w:tcBorders>
            <w:shd w:val="clear" w:color="auto" w:fill="auto"/>
            <w:noWrap/>
            <w:vAlign w:val="bottom"/>
            <w:hideMark/>
          </w:tcPr>
          <w:p w14:paraId="04EAD1A1"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F78D113"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155.686,47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9999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6584D"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10,96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6540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2.944 </w:t>
            </w:r>
          </w:p>
        </w:tc>
      </w:tr>
      <w:tr w:rsidR="006757CB" w:rsidRPr="006757CB" w14:paraId="4A9A0812"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02E8E"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6F193"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E7522" w14:textId="77777777" w:rsidR="001E2C09" w:rsidRPr="006757CB" w:rsidRDefault="001E2C09">
            <w:pPr>
              <w:jc w:val="center"/>
              <w:rPr>
                <w:rFonts w:ascii="Calibri" w:hAnsi="Calibri"/>
                <w:i/>
                <w:iCs/>
                <w:sz w:val="14"/>
                <w:szCs w:val="14"/>
              </w:rPr>
            </w:pPr>
            <w:r w:rsidRPr="006757CB">
              <w:rPr>
                <w:rFonts w:ascii="Calibri" w:hAnsi="Calibri"/>
                <w:i/>
                <w:iCs/>
                <w:sz w:val="14"/>
                <w:szCs w:val="14"/>
              </w:rPr>
              <w:t>366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08660" w14:textId="77777777" w:rsidR="001E2C09" w:rsidRPr="006757CB" w:rsidRDefault="001E2C09">
            <w:pPr>
              <w:rPr>
                <w:rFonts w:ascii="Calibri" w:hAnsi="Calibri"/>
                <w:i/>
                <w:iCs/>
                <w:sz w:val="14"/>
                <w:szCs w:val="14"/>
              </w:rPr>
            </w:pPr>
            <w:r w:rsidRPr="006757CB">
              <w:rPr>
                <w:rFonts w:ascii="Calibri" w:hAnsi="Calibri"/>
                <w:i/>
                <w:iCs/>
                <w:sz w:val="14"/>
                <w:szCs w:val="14"/>
              </w:rPr>
              <w:t xml:space="preserve">              70.260,00 </w:t>
            </w:r>
          </w:p>
        </w:tc>
        <w:tc>
          <w:tcPr>
            <w:tcW w:w="0" w:type="auto"/>
            <w:tcBorders>
              <w:top w:val="nil"/>
              <w:left w:val="single" w:sz="4" w:space="0" w:color="auto"/>
              <w:bottom w:val="nil"/>
              <w:right w:val="single" w:sz="4" w:space="0" w:color="auto"/>
            </w:tcBorders>
            <w:shd w:val="clear" w:color="auto" w:fill="auto"/>
            <w:noWrap/>
            <w:vAlign w:val="bottom"/>
            <w:hideMark/>
          </w:tcPr>
          <w:p w14:paraId="7F1FCF5D"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2630F5C"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157.880,02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0F78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54F0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13,90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5FE5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6.746 </w:t>
            </w:r>
          </w:p>
        </w:tc>
      </w:tr>
      <w:tr w:rsidR="006757CB" w:rsidRPr="006757CB" w14:paraId="4A4FFF27"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47F8C"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DCBA5" w14:textId="77777777" w:rsidR="001E2C09" w:rsidRPr="006757CB" w:rsidRDefault="001E2C09">
            <w:pPr>
              <w:jc w:val="right"/>
              <w:rPr>
                <w:rFonts w:ascii="Calibri" w:hAnsi="Calibri"/>
                <w:i/>
                <w:iCs/>
                <w:sz w:val="14"/>
                <w:szCs w:val="14"/>
              </w:rPr>
            </w:pPr>
            <w:r w:rsidRPr="006757CB">
              <w:rPr>
                <w:rFonts w:ascii="Calibri" w:hAnsi="Calibri"/>
                <w:i/>
                <w:iCs/>
                <w:sz w:val="14"/>
                <w:szCs w:val="14"/>
              </w:rPr>
              <w:t>01-ene-93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A2BBE" w14:textId="77777777" w:rsidR="001E2C09" w:rsidRPr="006757CB" w:rsidRDefault="001E2C09">
            <w:pPr>
              <w:jc w:val="center"/>
              <w:rPr>
                <w:rFonts w:ascii="Calibri" w:hAnsi="Calibri"/>
                <w:i/>
                <w:iCs/>
                <w:sz w:val="14"/>
                <w:szCs w:val="14"/>
              </w:rPr>
            </w:pPr>
            <w:r w:rsidRPr="006757CB">
              <w:rPr>
                <w:rFonts w:ascii="Calibri" w:hAnsi="Calibri"/>
                <w:i/>
                <w:iCs/>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CF7B6" w14:textId="77777777" w:rsidR="001E2C09" w:rsidRPr="006757CB" w:rsidRDefault="001E2C09">
            <w:pPr>
              <w:rPr>
                <w:rFonts w:ascii="Calibri" w:hAnsi="Calibri"/>
                <w:i/>
                <w:iCs/>
                <w:sz w:val="14"/>
                <w:szCs w:val="14"/>
              </w:rPr>
            </w:pPr>
            <w:r w:rsidRPr="006757CB">
              <w:rPr>
                <w:rFonts w:ascii="Calibri" w:hAnsi="Calibri"/>
                <w:i/>
                <w:iCs/>
                <w:sz w:val="14"/>
                <w:szCs w:val="14"/>
              </w:rPr>
              <w:t xml:space="preserve">              89.070,00 </w:t>
            </w:r>
          </w:p>
        </w:tc>
        <w:tc>
          <w:tcPr>
            <w:tcW w:w="0" w:type="auto"/>
            <w:tcBorders>
              <w:top w:val="nil"/>
              <w:left w:val="single" w:sz="4" w:space="0" w:color="auto"/>
              <w:bottom w:val="nil"/>
              <w:right w:val="single" w:sz="4" w:space="0" w:color="auto"/>
            </w:tcBorders>
            <w:shd w:val="clear" w:color="auto" w:fill="auto"/>
            <w:noWrap/>
            <w:vAlign w:val="bottom"/>
            <w:hideMark/>
          </w:tcPr>
          <w:p w14:paraId="4837C9DF"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F48582A"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159.946,90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B092B"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B7C2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17,40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6D39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19 </w:t>
            </w:r>
          </w:p>
        </w:tc>
      </w:tr>
      <w:tr w:rsidR="006757CB" w:rsidRPr="006757CB" w14:paraId="7E59439F"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C571A" w14:textId="77777777" w:rsidR="001E2C09" w:rsidRPr="006757CB" w:rsidRDefault="001E2C09">
            <w:pPr>
              <w:jc w:val="center"/>
              <w:rPr>
                <w:rFonts w:ascii="Calibri" w:hAnsi="Calibri"/>
                <w:i/>
                <w:iCs/>
                <w:sz w:val="14"/>
                <w:szCs w:val="14"/>
              </w:rPr>
            </w:pPr>
            <w:r w:rsidRPr="006757CB">
              <w:rPr>
                <w:rFonts w:ascii="Calibri" w:hAnsi="Calibri"/>
                <w:i/>
                <w:iCs/>
                <w:sz w:val="14"/>
                <w:szCs w:val="14"/>
              </w:rPr>
              <w:t>26-feb-93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67BC7" w14:textId="77777777" w:rsidR="001E2C09" w:rsidRPr="006757CB" w:rsidRDefault="001E2C09">
            <w:pPr>
              <w:jc w:val="right"/>
              <w:rPr>
                <w:rFonts w:ascii="Calibri" w:hAnsi="Calibri"/>
                <w:i/>
                <w:iCs/>
                <w:sz w:val="14"/>
                <w:szCs w:val="14"/>
              </w:rPr>
            </w:pPr>
            <w:r w:rsidRPr="006757CB">
              <w:rPr>
                <w:rFonts w:ascii="Calibri" w:hAnsi="Calibri"/>
                <w:i/>
                <w:iCs/>
                <w:sz w:val="14"/>
                <w:szCs w:val="14"/>
              </w:rPr>
              <w:t>31-jul-93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75A88" w14:textId="77777777" w:rsidR="001E2C09" w:rsidRPr="006757CB" w:rsidRDefault="001E2C09">
            <w:pPr>
              <w:jc w:val="center"/>
              <w:rPr>
                <w:rFonts w:ascii="Calibri" w:hAnsi="Calibri"/>
                <w:i/>
                <w:iCs/>
                <w:sz w:val="14"/>
                <w:szCs w:val="14"/>
              </w:rPr>
            </w:pPr>
            <w:r w:rsidRPr="006757CB">
              <w:rPr>
                <w:rFonts w:ascii="Calibri" w:hAnsi="Calibri"/>
                <w:i/>
                <w:iCs/>
                <w:sz w:val="14"/>
                <w:szCs w:val="14"/>
              </w:rPr>
              <w:t>156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8FA0E" w14:textId="77777777" w:rsidR="001E2C09" w:rsidRPr="006757CB" w:rsidRDefault="001E2C09">
            <w:pPr>
              <w:rPr>
                <w:rFonts w:ascii="Calibri" w:hAnsi="Calibri"/>
                <w:i/>
                <w:iCs/>
                <w:sz w:val="14"/>
                <w:szCs w:val="14"/>
              </w:rPr>
            </w:pPr>
            <w:r w:rsidRPr="006757CB">
              <w:rPr>
                <w:rFonts w:ascii="Calibri" w:hAnsi="Calibri"/>
                <w:i/>
                <w:iCs/>
                <w:sz w:val="14"/>
                <w:szCs w:val="14"/>
              </w:rPr>
              <w:t xml:space="preserve">              89.070,00 </w:t>
            </w:r>
          </w:p>
        </w:tc>
        <w:tc>
          <w:tcPr>
            <w:tcW w:w="0" w:type="auto"/>
            <w:tcBorders>
              <w:top w:val="nil"/>
              <w:left w:val="single" w:sz="4" w:space="0" w:color="auto"/>
              <w:bottom w:val="nil"/>
              <w:right w:val="single" w:sz="4" w:space="0" w:color="auto"/>
            </w:tcBorders>
            <w:shd w:val="clear" w:color="auto" w:fill="auto"/>
            <w:noWrap/>
            <w:vAlign w:val="bottom"/>
            <w:hideMark/>
          </w:tcPr>
          <w:p w14:paraId="24EDE598"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58DD162"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159.946,90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67C49"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AD4A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17,40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C3C1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2.913 </w:t>
            </w:r>
          </w:p>
        </w:tc>
      </w:tr>
      <w:tr w:rsidR="006757CB" w:rsidRPr="006757CB" w14:paraId="44F88EA1"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416BC" w14:textId="77777777" w:rsidR="001E2C09" w:rsidRPr="006757CB" w:rsidRDefault="001E2C09">
            <w:pPr>
              <w:jc w:val="center"/>
              <w:rPr>
                <w:rFonts w:ascii="Calibri" w:hAnsi="Calibri"/>
                <w:i/>
                <w:iCs/>
                <w:sz w:val="14"/>
                <w:szCs w:val="14"/>
              </w:rPr>
            </w:pPr>
            <w:r w:rsidRPr="006757CB">
              <w:rPr>
                <w:rFonts w:ascii="Calibri" w:hAnsi="Calibri"/>
                <w:i/>
                <w:iCs/>
                <w:sz w:val="14"/>
                <w:szCs w:val="14"/>
              </w:rPr>
              <w:t>01-ago-93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8FA66" w14:textId="77777777" w:rsidR="001E2C09" w:rsidRPr="006757CB" w:rsidRDefault="001E2C09">
            <w:pPr>
              <w:jc w:val="right"/>
              <w:rPr>
                <w:rFonts w:ascii="Calibri" w:hAnsi="Calibri"/>
                <w:i/>
                <w:iCs/>
                <w:sz w:val="14"/>
                <w:szCs w:val="14"/>
              </w:rPr>
            </w:pPr>
            <w:r w:rsidRPr="006757CB">
              <w:rPr>
                <w:rFonts w:ascii="Calibri" w:hAnsi="Calibri"/>
                <w:i/>
                <w:iCs/>
                <w:sz w:val="14"/>
                <w:szCs w:val="14"/>
              </w:rPr>
              <w:t>20-dic-93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AD532" w14:textId="77777777" w:rsidR="001E2C09" w:rsidRPr="006757CB" w:rsidRDefault="001E2C09">
            <w:pPr>
              <w:jc w:val="center"/>
              <w:rPr>
                <w:rFonts w:ascii="Calibri" w:hAnsi="Calibri"/>
                <w:i/>
                <w:iCs/>
                <w:sz w:val="14"/>
                <w:szCs w:val="14"/>
              </w:rPr>
            </w:pPr>
            <w:r w:rsidRPr="006757CB">
              <w:rPr>
                <w:rFonts w:ascii="Calibri" w:hAnsi="Calibri"/>
                <w:i/>
                <w:iCs/>
                <w:sz w:val="14"/>
                <w:szCs w:val="14"/>
              </w:rPr>
              <w:t>142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1DD91"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111.000,00 </w:t>
            </w:r>
          </w:p>
        </w:tc>
        <w:tc>
          <w:tcPr>
            <w:tcW w:w="0" w:type="auto"/>
            <w:tcBorders>
              <w:top w:val="nil"/>
              <w:left w:val="single" w:sz="4" w:space="0" w:color="auto"/>
              <w:bottom w:val="nil"/>
              <w:right w:val="single" w:sz="4" w:space="0" w:color="auto"/>
            </w:tcBorders>
            <w:shd w:val="clear" w:color="auto" w:fill="auto"/>
            <w:noWrap/>
            <w:vAlign w:val="bottom"/>
            <w:hideMark/>
          </w:tcPr>
          <w:p w14:paraId="528DEE00"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9F0462D"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199.327,57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0ED77"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29BC9"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17,40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58A6"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3.304 </w:t>
            </w:r>
          </w:p>
        </w:tc>
      </w:tr>
      <w:tr w:rsidR="006757CB" w:rsidRPr="006757CB" w14:paraId="2408F116"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4846B" w14:textId="77777777" w:rsidR="001E2C09" w:rsidRPr="006757CB" w:rsidRDefault="001E2C09">
            <w:pPr>
              <w:jc w:val="center"/>
              <w:rPr>
                <w:rFonts w:ascii="Calibri" w:hAnsi="Calibri"/>
                <w:i/>
                <w:iCs/>
                <w:sz w:val="14"/>
                <w:szCs w:val="14"/>
              </w:rPr>
            </w:pPr>
            <w:r w:rsidRPr="006757CB">
              <w:rPr>
                <w:rFonts w:ascii="Calibri" w:hAnsi="Calibri"/>
                <w:i/>
                <w:iCs/>
                <w:sz w:val="14"/>
                <w:szCs w:val="14"/>
              </w:rPr>
              <w:t>09-mar-94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ACC1" w14:textId="77777777" w:rsidR="001E2C09" w:rsidRPr="006757CB" w:rsidRDefault="001E2C09">
            <w:pPr>
              <w:jc w:val="right"/>
              <w:rPr>
                <w:rFonts w:ascii="Calibri" w:hAnsi="Calibri"/>
                <w:i/>
                <w:iCs/>
                <w:sz w:val="14"/>
                <w:szCs w:val="14"/>
              </w:rPr>
            </w:pPr>
            <w:r w:rsidRPr="006757CB">
              <w:rPr>
                <w:rFonts w:ascii="Calibri" w:hAnsi="Calibri"/>
                <w:i/>
                <w:iCs/>
                <w:sz w:val="14"/>
                <w:szCs w:val="14"/>
              </w:rPr>
              <w:t>31-ago-94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81E35" w14:textId="77777777" w:rsidR="001E2C09" w:rsidRPr="006757CB" w:rsidRDefault="001E2C09">
            <w:pPr>
              <w:jc w:val="center"/>
              <w:rPr>
                <w:rFonts w:ascii="Calibri" w:hAnsi="Calibri"/>
                <w:i/>
                <w:iCs/>
                <w:sz w:val="14"/>
                <w:szCs w:val="14"/>
              </w:rPr>
            </w:pPr>
            <w:r w:rsidRPr="006757CB">
              <w:rPr>
                <w:rFonts w:ascii="Calibri" w:hAnsi="Calibri"/>
                <w:i/>
                <w:iCs/>
                <w:sz w:val="14"/>
                <w:szCs w:val="14"/>
              </w:rPr>
              <w:t>176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BDD01" w14:textId="77777777" w:rsidR="001E2C09" w:rsidRPr="006757CB" w:rsidRDefault="001E2C09">
            <w:pPr>
              <w:rPr>
                <w:rFonts w:ascii="Calibri" w:hAnsi="Calibri"/>
                <w:i/>
                <w:iCs/>
                <w:sz w:val="14"/>
                <w:szCs w:val="14"/>
              </w:rPr>
            </w:pPr>
            <w:r w:rsidRPr="006757CB">
              <w:rPr>
                <w:rFonts w:ascii="Calibri" w:hAnsi="Calibri"/>
                <w:i/>
                <w:iCs/>
                <w:sz w:val="14"/>
                <w:szCs w:val="14"/>
              </w:rPr>
              <w:t xml:space="preserve">              98.700,00 </w:t>
            </w:r>
          </w:p>
        </w:tc>
        <w:tc>
          <w:tcPr>
            <w:tcW w:w="0" w:type="auto"/>
            <w:tcBorders>
              <w:top w:val="nil"/>
              <w:left w:val="single" w:sz="4" w:space="0" w:color="auto"/>
              <w:bottom w:val="nil"/>
              <w:right w:val="single" w:sz="4" w:space="0" w:color="auto"/>
            </w:tcBorders>
            <w:shd w:val="clear" w:color="auto" w:fill="auto"/>
            <w:noWrap/>
            <w:vAlign w:val="bottom"/>
            <w:hideMark/>
          </w:tcPr>
          <w:p w14:paraId="473A2BAE"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DAA9485"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144.558,27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071C8"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9D9B9"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21,33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286C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2.970 </w:t>
            </w:r>
          </w:p>
        </w:tc>
      </w:tr>
      <w:tr w:rsidR="006757CB" w:rsidRPr="006757CB" w14:paraId="2B4E6661"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59158"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580DD" w14:textId="77777777" w:rsidR="001E2C09" w:rsidRPr="006757CB" w:rsidRDefault="001E2C09">
            <w:pPr>
              <w:jc w:val="right"/>
              <w:rPr>
                <w:rFonts w:ascii="Calibri" w:hAnsi="Calibri"/>
                <w:i/>
                <w:iCs/>
                <w:sz w:val="14"/>
                <w:szCs w:val="14"/>
              </w:rPr>
            </w:pPr>
            <w:r w:rsidRPr="006757CB">
              <w:rPr>
                <w:rFonts w:ascii="Calibri" w:hAnsi="Calibri"/>
                <w:i/>
                <w:iCs/>
                <w:sz w:val="14"/>
                <w:szCs w:val="14"/>
              </w:rPr>
              <w:t>31-ene-95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D51FD" w14:textId="77777777" w:rsidR="001E2C09" w:rsidRPr="006757CB" w:rsidRDefault="001E2C09">
            <w:pPr>
              <w:jc w:val="center"/>
              <w:rPr>
                <w:rFonts w:ascii="Calibri" w:hAnsi="Calibri"/>
                <w:i/>
                <w:iCs/>
                <w:sz w:val="14"/>
                <w:szCs w:val="14"/>
              </w:rPr>
            </w:pPr>
            <w:r w:rsidRPr="006757CB">
              <w:rPr>
                <w:rFonts w:ascii="Calibri" w:hAnsi="Calibri"/>
                <w:i/>
                <w:iCs/>
                <w:sz w:val="14"/>
                <w:szCs w:val="14"/>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F1721" w14:textId="77777777" w:rsidR="001E2C09" w:rsidRPr="006757CB" w:rsidRDefault="001E2C09">
            <w:pPr>
              <w:rPr>
                <w:rFonts w:ascii="Calibri" w:hAnsi="Calibri"/>
                <w:i/>
                <w:iCs/>
                <w:sz w:val="14"/>
                <w:szCs w:val="14"/>
              </w:rPr>
            </w:pPr>
            <w:r w:rsidRPr="006757CB">
              <w:rPr>
                <w:rFonts w:ascii="Calibri" w:hAnsi="Calibri"/>
                <w:i/>
                <w:iCs/>
                <w:sz w:val="14"/>
                <w:szCs w:val="14"/>
              </w:rPr>
              <w:t xml:space="preserve">              30.000,00 </w:t>
            </w:r>
          </w:p>
        </w:tc>
        <w:tc>
          <w:tcPr>
            <w:tcW w:w="0" w:type="auto"/>
            <w:tcBorders>
              <w:top w:val="nil"/>
              <w:left w:val="single" w:sz="4" w:space="0" w:color="auto"/>
              <w:bottom w:val="nil"/>
              <w:right w:val="single" w:sz="4" w:space="0" w:color="auto"/>
            </w:tcBorders>
            <w:shd w:val="clear" w:color="auto" w:fill="auto"/>
            <w:noWrap/>
            <w:vAlign w:val="bottom"/>
            <w:hideMark/>
          </w:tcPr>
          <w:p w14:paraId="7D46F3A6"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5FE1D05"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35.840,27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C0A1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B832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21EA4"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25 </w:t>
            </w:r>
          </w:p>
        </w:tc>
      </w:tr>
      <w:tr w:rsidR="006757CB" w:rsidRPr="006757CB" w14:paraId="70DF25B4"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A57E6" w14:textId="77777777" w:rsidR="001E2C09" w:rsidRPr="006757CB" w:rsidRDefault="001E2C09">
            <w:pPr>
              <w:jc w:val="center"/>
              <w:rPr>
                <w:rFonts w:ascii="Calibri" w:hAnsi="Calibri"/>
                <w:i/>
                <w:iCs/>
                <w:sz w:val="14"/>
                <w:szCs w:val="14"/>
              </w:rPr>
            </w:pPr>
            <w:r w:rsidRPr="006757CB">
              <w:rPr>
                <w:rFonts w:ascii="Calibri" w:hAnsi="Calibri"/>
                <w:i/>
                <w:iCs/>
                <w:sz w:val="14"/>
                <w:szCs w:val="14"/>
              </w:rPr>
              <w:t>01-feb-95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B0963" w14:textId="77777777" w:rsidR="001E2C09" w:rsidRPr="006757CB" w:rsidRDefault="001E2C09">
            <w:pPr>
              <w:jc w:val="right"/>
              <w:rPr>
                <w:rFonts w:ascii="Calibri" w:hAnsi="Calibri"/>
                <w:i/>
                <w:iCs/>
                <w:sz w:val="14"/>
                <w:szCs w:val="14"/>
              </w:rPr>
            </w:pPr>
            <w:r w:rsidRPr="006757CB">
              <w:rPr>
                <w:rFonts w:ascii="Calibri" w:hAnsi="Calibri"/>
                <w:i/>
                <w:iCs/>
                <w:sz w:val="14"/>
                <w:szCs w:val="14"/>
              </w:rPr>
              <w:t>30-sep-95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41E78" w14:textId="77777777" w:rsidR="001E2C09" w:rsidRPr="006757CB" w:rsidRDefault="001E2C09">
            <w:pPr>
              <w:jc w:val="center"/>
              <w:rPr>
                <w:rFonts w:ascii="Calibri" w:hAnsi="Calibri"/>
                <w:i/>
                <w:iCs/>
                <w:sz w:val="14"/>
                <w:szCs w:val="14"/>
              </w:rPr>
            </w:pPr>
            <w:r w:rsidRPr="006757CB">
              <w:rPr>
                <w:rFonts w:ascii="Calibri" w:hAnsi="Calibri"/>
                <w:i/>
                <w:iCs/>
                <w:sz w:val="14"/>
                <w:szCs w:val="14"/>
              </w:rPr>
              <w:t>232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18CAE"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118.933,00 </w:t>
            </w:r>
          </w:p>
        </w:tc>
        <w:tc>
          <w:tcPr>
            <w:tcW w:w="0" w:type="auto"/>
            <w:tcBorders>
              <w:top w:val="nil"/>
              <w:left w:val="single" w:sz="4" w:space="0" w:color="auto"/>
              <w:bottom w:val="nil"/>
              <w:right w:val="single" w:sz="4" w:space="0" w:color="auto"/>
            </w:tcBorders>
            <w:shd w:val="clear" w:color="auto" w:fill="auto"/>
            <w:noWrap/>
            <w:vAlign w:val="bottom"/>
            <w:hideMark/>
          </w:tcPr>
          <w:p w14:paraId="3AFEB3B2"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8408E40"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142.086,37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E1E3E"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B0711"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AE926"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3.848 </w:t>
            </w:r>
          </w:p>
        </w:tc>
      </w:tr>
      <w:tr w:rsidR="006757CB" w:rsidRPr="006757CB" w14:paraId="005C2A90"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64E7F" w14:textId="77777777" w:rsidR="001E2C09" w:rsidRPr="006757CB" w:rsidRDefault="001E2C09">
            <w:pPr>
              <w:jc w:val="center"/>
              <w:rPr>
                <w:rFonts w:ascii="Calibri" w:hAnsi="Calibri"/>
                <w:i/>
                <w:iCs/>
                <w:sz w:val="14"/>
                <w:szCs w:val="14"/>
              </w:rPr>
            </w:pPr>
            <w:r w:rsidRPr="006757CB">
              <w:rPr>
                <w:rFonts w:ascii="Calibri" w:hAnsi="Calibri"/>
                <w:i/>
                <w:iCs/>
                <w:sz w:val="14"/>
                <w:szCs w:val="14"/>
              </w:rPr>
              <w:t>01-dic-95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E2B63" w14:textId="77777777" w:rsidR="001E2C09" w:rsidRPr="006757CB" w:rsidRDefault="001E2C09">
            <w:pPr>
              <w:jc w:val="right"/>
              <w:rPr>
                <w:rFonts w:ascii="Calibri" w:hAnsi="Calibri"/>
                <w:i/>
                <w:iCs/>
                <w:sz w:val="14"/>
                <w:szCs w:val="14"/>
              </w:rPr>
            </w:pPr>
            <w:r w:rsidRPr="006757CB">
              <w:rPr>
                <w:rFonts w:ascii="Calibri" w:hAnsi="Calibri"/>
                <w:i/>
                <w:iCs/>
                <w:sz w:val="14"/>
                <w:szCs w:val="14"/>
              </w:rPr>
              <w:t>31-dic-95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35938" w14:textId="77777777" w:rsidR="001E2C09" w:rsidRPr="006757CB" w:rsidRDefault="001E2C09">
            <w:pPr>
              <w:jc w:val="center"/>
              <w:rPr>
                <w:rFonts w:ascii="Calibri" w:hAnsi="Calibri"/>
                <w:i/>
                <w:iCs/>
                <w:sz w:val="14"/>
                <w:szCs w:val="14"/>
              </w:rPr>
            </w:pPr>
            <w:r w:rsidRPr="006757CB">
              <w:rPr>
                <w:rFonts w:ascii="Calibri" w:hAnsi="Calibri"/>
                <w:i/>
                <w:iCs/>
                <w:sz w:val="14"/>
                <w:szCs w:val="14"/>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29488" w14:textId="77777777" w:rsidR="001E2C09" w:rsidRPr="006757CB" w:rsidRDefault="001E2C09">
            <w:pPr>
              <w:rPr>
                <w:rFonts w:ascii="Calibri" w:hAnsi="Calibri"/>
                <w:i/>
                <w:iCs/>
                <w:sz w:val="14"/>
                <w:szCs w:val="14"/>
              </w:rPr>
            </w:pPr>
            <w:r w:rsidRPr="006757CB">
              <w:rPr>
                <w:rFonts w:ascii="Calibri" w:hAnsi="Calibri"/>
                <w:i/>
                <w:iCs/>
                <w:sz w:val="14"/>
                <w:szCs w:val="14"/>
              </w:rPr>
              <w:t xml:space="preserve">              59.467,00 </w:t>
            </w:r>
          </w:p>
        </w:tc>
        <w:tc>
          <w:tcPr>
            <w:tcW w:w="0" w:type="auto"/>
            <w:tcBorders>
              <w:top w:val="nil"/>
              <w:left w:val="single" w:sz="4" w:space="0" w:color="auto"/>
              <w:bottom w:val="nil"/>
              <w:right w:val="single" w:sz="4" w:space="0" w:color="auto"/>
            </w:tcBorders>
            <w:shd w:val="clear" w:color="auto" w:fill="auto"/>
            <w:noWrap/>
            <w:vAlign w:val="bottom"/>
            <w:hideMark/>
          </w:tcPr>
          <w:p w14:paraId="6E89016A" w14:textId="77777777" w:rsidR="001E2C09" w:rsidRPr="006757CB" w:rsidRDefault="001E2C09">
            <w:pPr>
              <w:rPr>
                <w:rFonts w:ascii="Calibri" w:hAnsi="Calibri"/>
                <w:i/>
                <w:i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90841D0"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71.043,78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1773E"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86595"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DD9E0"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124 </w:t>
            </w:r>
          </w:p>
        </w:tc>
      </w:tr>
      <w:tr w:rsidR="006757CB" w:rsidRPr="006757CB" w14:paraId="0FE5CC9A" w14:textId="77777777" w:rsidTr="001E2C0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99506" w14:textId="77777777" w:rsidR="001E2C09" w:rsidRPr="006757CB" w:rsidRDefault="001E2C09">
            <w:pPr>
              <w:jc w:val="center"/>
              <w:rPr>
                <w:rFonts w:ascii="Calibri" w:hAnsi="Calibri"/>
                <w:i/>
                <w:iCs/>
                <w:sz w:val="14"/>
                <w:szCs w:val="14"/>
              </w:rPr>
            </w:pPr>
            <w:r w:rsidRPr="006757CB">
              <w:rPr>
                <w:rFonts w:ascii="Calibri" w:hAnsi="Calibri"/>
                <w:i/>
                <w:iCs/>
                <w:sz w:val="14"/>
                <w:szCs w:val="14"/>
              </w:rPr>
              <w:t>01-ene-96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708A8" w14:textId="77777777" w:rsidR="001E2C09" w:rsidRPr="006757CB" w:rsidRDefault="001E2C09">
            <w:pPr>
              <w:jc w:val="right"/>
              <w:rPr>
                <w:rFonts w:ascii="Calibri" w:hAnsi="Calibri"/>
                <w:i/>
                <w:iCs/>
                <w:sz w:val="14"/>
                <w:szCs w:val="14"/>
              </w:rPr>
            </w:pPr>
            <w:r w:rsidRPr="006757CB">
              <w:rPr>
                <w:rFonts w:ascii="Calibri" w:hAnsi="Calibri"/>
                <w:i/>
                <w:iCs/>
                <w:sz w:val="14"/>
                <w:szCs w:val="14"/>
              </w:rPr>
              <w:t>31-jul-96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3F876" w14:textId="77777777" w:rsidR="001E2C09" w:rsidRPr="006757CB" w:rsidRDefault="001E2C09">
            <w:pPr>
              <w:jc w:val="center"/>
              <w:rPr>
                <w:rFonts w:ascii="Calibri" w:hAnsi="Calibri"/>
                <w:i/>
                <w:iCs/>
                <w:sz w:val="14"/>
                <w:szCs w:val="14"/>
              </w:rPr>
            </w:pPr>
            <w:r w:rsidRPr="006757CB">
              <w:rPr>
                <w:rFonts w:ascii="Calibri" w:hAnsi="Calibri"/>
                <w:i/>
                <w:iCs/>
                <w:sz w:val="14"/>
                <w:szCs w:val="14"/>
              </w:rPr>
              <w:t>209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FA221" w14:textId="77777777" w:rsidR="001E2C09" w:rsidRPr="006757CB" w:rsidRDefault="001E2C09">
            <w:pPr>
              <w:rPr>
                <w:rFonts w:ascii="Calibri" w:hAnsi="Calibri"/>
                <w:i/>
                <w:iCs/>
                <w:sz w:val="14"/>
                <w:szCs w:val="14"/>
              </w:rPr>
            </w:pPr>
            <w:r w:rsidRPr="006757CB">
              <w:rPr>
                <w:rFonts w:ascii="Calibri" w:hAnsi="Calibri"/>
                <w:i/>
                <w:iCs/>
                <w:sz w:val="14"/>
                <w:szCs w:val="14"/>
              </w:rPr>
              <w:t xml:space="preserve">           142.125,00 </w:t>
            </w:r>
          </w:p>
        </w:tc>
        <w:tc>
          <w:tcPr>
            <w:tcW w:w="0" w:type="auto"/>
            <w:tcBorders>
              <w:top w:val="nil"/>
              <w:left w:val="single" w:sz="4" w:space="0" w:color="auto"/>
              <w:bottom w:val="nil"/>
              <w:right w:val="single" w:sz="4" w:space="0" w:color="auto"/>
            </w:tcBorders>
            <w:shd w:val="clear" w:color="auto" w:fill="auto"/>
            <w:noWrap/>
            <w:vAlign w:val="bottom"/>
            <w:hideMark/>
          </w:tcPr>
          <w:p w14:paraId="07ABAEF9"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06437E8" w14:textId="77777777" w:rsidR="001E2C09" w:rsidRPr="006757CB" w:rsidRDefault="001E2C09" w:rsidP="001E2C09">
            <w:pPr>
              <w:jc w:val="right"/>
              <w:rPr>
                <w:rFonts w:ascii="Calibri" w:hAnsi="Calibri"/>
                <w:b/>
                <w:bCs/>
                <w:i/>
                <w:iCs/>
                <w:sz w:val="14"/>
                <w:szCs w:val="14"/>
              </w:rPr>
            </w:pPr>
            <w:r w:rsidRPr="006757CB">
              <w:rPr>
                <w:rFonts w:ascii="Calibri" w:hAnsi="Calibri"/>
                <w:b/>
                <w:bCs/>
                <w:i/>
                <w:iCs/>
                <w:sz w:val="14"/>
                <w:szCs w:val="14"/>
              </w:rPr>
              <w:t xml:space="preserve">               142.125,00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1BAFC"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F517A"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59FF2" w14:textId="77777777" w:rsidR="001E2C09" w:rsidRPr="006757CB" w:rsidRDefault="001E2C09" w:rsidP="001E2C09">
            <w:pPr>
              <w:jc w:val="right"/>
              <w:rPr>
                <w:rFonts w:ascii="Calibri" w:hAnsi="Calibri"/>
                <w:i/>
                <w:iCs/>
                <w:sz w:val="14"/>
                <w:szCs w:val="14"/>
              </w:rPr>
            </w:pPr>
            <w:r w:rsidRPr="006757CB">
              <w:rPr>
                <w:rFonts w:ascii="Calibri" w:hAnsi="Calibri"/>
                <w:i/>
                <w:iCs/>
                <w:sz w:val="14"/>
                <w:szCs w:val="14"/>
              </w:rPr>
              <w:t xml:space="preserve">             3.468 </w:t>
            </w:r>
          </w:p>
        </w:tc>
      </w:tr>
      <w:tr w:rsidR="006757CB" w:rsidRPr="006757CB" w14:paraId="4EE73D59" w14:textId="77777777" w:rsidTr="001E2C09">
        <w:trPr>
          <w:trHeight w:val="20"/>
        </w:trPr>
        <w:tc>
          <w:tcPr>
            <w:tcW w:w="0" w:type="auto"/>
            <w:tcBorders>
              <w:top w:val="single" w:sz="4" w:space="0" w:color="auto"/>
              <w:left w:val="nil"/>
              <w:bottom w:val="single" w:sz="4" w:space="0" w:color="auto"/>
              <w:right w:val="nil"/>
            </w:tcBorders>
            <w:shd w:val="clear" w:color="auto" w:fill="auto"/>
            <w:noWrap/>
            <w:vAlign w:val="bottom"/>
            <w:hideMark/>
          </w:tcPr>
          <w:p w14:paraId="7DE6E092" w14:textId="77777777" w:rsidR="001E2C09" w:rsidRPr="006757CB" w:rsidRDefault="001E2C09">
            <w:pPr>
              <w:rPr>
                <w:rFonts w:ascii="Calibri" w:hAnsi="Calibri"/>
                <w:i/>
                <w:iCs/>
                <w:sz w:val="14"/>
                <w:szCs w:val="14"/>
              </w:rPr>
            </w:pPr>
          </w:p>
        </w:tc>
        <w:tc>
          <w:tcPr>
            <w:tcW w:w="0" w:type="auto"/>
            <w:tcBorders>
              <w:top w:val="single" w:sz="4" w:space="0" w:color="auto"/>
              <w:left w:val="nil"/>
              <w:bottom w:val="single" w:sz="4" w:space="0" w:color="auto"/>
              <w:right w:val="nil"/>
            </w:tcBorders>
            <w:shd w:val="clear" w:color="auto" w:fill="auto"/>
            <w:noWrap/>
            <w:vAlign w:val="bottom"/>
            <w:hideMark/>
          </w:tcPr>
          <w:p w14:paraId="1D423CD3" w14:textId="77777777" w:rsidR="001E2C09" w:rsidRPr="006757CB" w:rsidRDefault="001E2C09">
            <w:pPr>
              <w:rPr>
                <w:sz w:val="14"/>
                <w:szCs w:val="14"/>
              </w:rPr>
            </w:pPr>
          </w:p>
        </w:tc>
        <w:tc>
          <w:tcPr>
            <w:tcW w:w="0" w:type="auto"/>
            <w:tcBorders>
              <w:top w:val="single" w:sz="4" w:space="0" w:color="auto"/>
              <w:left w:val="nil"/>
              <w:bottom w:val="nil"/>
              <w:right w:val="nil"/>
            </w:tcBorders>
            <w:shd w:val="clear" w:color="auto" w:fill="auto"/>
            <w:noWrap/>
            <w:vAlign w:val="bottom"/>
            <w:hideMark/>
          </w:tcPr>
          <w:p w14:paraId="112420D4" w14:textId="77777777" w:rsidR="001E2C09" w:rsidRPr="006757CB" w:rsidRDefault="001E2C09">
            <w:pPr>
              <w:rPr>
                <w:sz w:val="14"/>
                <w:szCs w:val="14"/>
              </w:rPr>
            </w:pPr>
          </w:p>
        </w:tc>
        <w:tc>
          <w:tcPr>
            <w:tcW w:w="0" w:type="auto"/>
            <w:tcBorders>
              <w:top w:val="single" w:sz="4" w:space="0" w:color="auto"/>
              <w:left w:val="nil"/>
              <w:bottom w:val="nil"/>
              <w:right w:val="nil"/>
            </w:tcBorders>
            <w:shd w:val="clear" w:color="auto" w:fill="auto"/>
            <w:noWrap/>
            <w:vAlign w:val="bottom"/>
            <w:hideMark/>
          </w:tcPr>
          <w:p w14:paraId="320C2501" w14:textId="77777777" w:rsidR="001E2C09" w:rsidRPr="006757CB" w:rsidRDefault="001E2C09">
            <w:pPr>
              <w:rPr>
                <w:sz w:val="14"/>
                <w:szCs w:val="14"/>
              </w:rPr>
            </w:pPr>
          </w:p>
        </w:tc>
        <w:tc>
          <w:tcPr>
            <w:tcW w:w="0" w:type="auto"/>
            <w:tcBorders>
              <w:top w:val="nil"/>
              <w:left w:val="nil"/>
              <w:bottom w:val="nil"/>
              <w:right w:val="nil"/>
            </w:tcBorders>
            <w:shd w:val="clear" w:color="auto" w:fill="auto"/>
            <w:noWrap/>
            <w:vAlign w:val="bottom"/>
            <w:hideMark/>
          </w:tcPr>
          <w:p w14:paraId="16F475DA" w14:textId="77777777" w:rsidR="001E2C09" w:rsidRPr="006757CB" w:rsidRDefault="001E2C09">
            <w:pPr>
              <w:rPr>
                <w:sz w:val="14"/>
                <w:szCs w:val="14"/>
              </w:rPr>
            </w:pPr>
          </w:p>
        </w:tc>
        <w:tc>
          <w:tcPr>
            <w:tcW w:w="0" w:type="auto"/>
            <w:tcBorders>
              <w:top w:val="single" w:sz="4" w:space="0" w:color="auto"/>
              <w:left w:val="nil"/>
              <w:bottom w:val="nil"/>
              <w:right w:val="nil"/>
            </w:tcBorders>
            <w:shd w:val="clear" w:color="auto" w:fill="auto"/>
            <w:noWrap/>
            <w:vAlign w:val="bottom"/>
            <w:hideMark/>
          </w:tcPr>
          <w:p w14:paraId="3B59E18B" w14:textId="77777777" w:rsidR="001E2C09" w:rsidRPr="006757CB" w:rsidRDefault="001E2C09">
            <w:pPr>
              <w:rPr>
                <w:sz w:val="14"/>
                <w:szCs w:val="14"/>
              </w:rPr>
            </w:pPr>
          </w:p>
        </w:tc>
        <w:tc>
          <w:tcPr>
            <w:tcW w:w="0" w:type="auto"/>
            <w:tcBorders>
              <w:top w:val="single" w:sz="4" w:space="0" w:color="auto"/>
              <w:left w:val="nil"/>
              <w:bottom w:val="nil"/>
              <w:right w:val="nil"/>
            </w:tcBorders>
            <w:shd w:val="clear" w:color="auto" w:fill="auto"/>
            <w:noWrap/>
            <w:vAlign w:val="bottom"/>
            <w:hideMark/>
          </w:tcPr>
          <w:p w14:paraId="022E77ED" w14:textId="77777777" w:rsidR="001E2C09" w:rsidRPr="006757CB" w:rsidRDefault="001E2C09">
            <w:pPr>
              <w:rPr>
                <w:sz w:val="14"/>
                <w:szCs w:val="14"/>
              </w:rPr>
            </w:pPr>
          </w:p>
        </w:tc>
        <w:tc>
          <w:tcPr>
            <w:tcW w:w="0" w:type="auto"/>
            <w:tcBorders>
              <w:top w:val="single" w:sz="4" w:space="0" w:color="auto"/>
              <w:left w:val="nil"/>
              <w:bottom w:val="nil"/>
              <w:right w:val="nil"/>
            </w:tcBorders>
            <w:shd w:val="clear" w:color="auto" w:fill="auto"/>
            <w:noWrap/>
            <w:vAlign w:val="bottom"/>
            <w:hideMark/>
          </w:tcPr>
          <w:p w14:paraId="4BBB7E30" w14:textId="77777777" w:rsidR="001E2C09" w:rsidRPr="006757CB" w:rsidRDefault="001E2C09">
            <w:pPr>
              <w:rPr>
                <w:sz w:val="14"/>
                <w:szCs w:val="14"/>
              </w:rPr>
            </w:pPr>
          </w:p>
        </w:tc>
        <w:tc>
          <w:tcPr>
            <w:tcW w:w="0" w:type="auto"/>
            <w:tcBorders>
              <w:top w:val="single" w:sz="4" w:space="0" w:color="auto"/>
              <w:left w:val="nil"/>
              <w:bottom w:val="nil"/>
              <w:right w:val="nil"/>
            </w:tcBorders>
            <w:shd w:val="clear" w:color="auto" w:fill="auto"/>
            <w:noWrap/>
            <w:vAlign w:val="bottom"/>
            <w:hideMark/>
          </w:tcPr>
          <w:p w14:paraId="72E4CF07" w14:textId="77777777" w:rsidR="001E2C09" w:rsidRPr="006757CB" w:rsidRDefault="001E2C09">
            <w:pPr>
              <w:rPr>
                <w:sz w:val="14"/>
                <w:szCs w:val="14"/>
              </w:rPr>
            </w:pPr>
          </w:p>
        </w:tc>
      </w:tr>
      <w:tr w:rsidR="006757CB" w:rsidRPr="006757CB" w14:paraId="351CF704" w14:textId="77777777" w:rsidTr="001E2C09">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95846"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TOTAL DIAS</w:t>
            </w:r>
          </w:p>
        </w:tc>
        <w:tc>
          <w:tcPr>
            <w:tcW w:w="0" w:type="auto"/>
            <w:tcBorders>
              <w:top w:val="single" w:sz="4" w:space="0" w:color="333300"/>
              <w:left w:val="single" w:sz="4" w:space="0" w:color="auto"/>
              <w:bottom w:val="single" w:sz="4" w:space="0" w:color="333300"/>
              <w:right w:val="single" w:sz="4" w:space="0" w:color="333300"/>
            </w:tcBorders>
            <w:shd w:val="clear" w:color="000000" w:fill="FFFF99"/>
            <w:noWrap/>
            <w:vAlign w:val="center"/>
            <w:hideMark/>
          </w:tcPr>
          <w:p w14:paraId="052C4036"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8.566</w:t>
            </w:r>
          </w:p>
        </w:tc>
        <w:tc>
          <w:tcPr>
            <w:tcW w:w="0" w:type="auto"/>
            <w:tcBorders>
              <w:top w:val="nil"/>
              <w:left w:val="nil"/>
              <w:bottom w:val="nil"/>
              <w:right w:val="nil"/>
            </w:tcBorders>
            <w:shd w:val="clear" w:color="auto" w:fill="auto"/>
            <w:noWrap/>
            <w:vAlign w:val="bottom"/>
            <w:hideMark/>
          </w:tcPr>
          <w:p w14:paraId="0DA815BC" w14:textId="77777777" w:rsidR="001E2C09" w:rsidRPr="006757CB" w:rsidRDefault="001E2C09">
            <w:pPr>
              <w:jc w:val="center"/>
              <w:rPr>
                <w:rFonts w:ascii="Calibri" w:hAnsi="Calibri"/>
                <w:b/>
                <w:bCs/>
                <w:i/>
                <w:iCs/>
                <w:sz w:val="14"/>
                <w:szCs w:val="14"/>
              </w:rPr>
            </w:pPr>
          </w:p>
        </w:tc>
        <w:tc>
          <w:tcPr>
            <w:tcW w:w="0" w:type="auto"/>
            <w:tcBorders>
              <w:top w:val="nil"/>
              <w:left w:val="nil"/>
              <w:bottom w:val="nil"/>
              <w:right w:val="nil"/>
            </w:tcBorders>
            <w:shd w:val="clear" w:color="auto" w:fill="auto"/>
            <w:noWrap/>
            <w:vAlign w:val="bottom"/>
            <w:hideMark/>
          </w:tcPr>
          <w:p w14:paraId="04569708" w14:textId="77777777" w:rsidR="001E2C09" w:rsidRPr="006757CB" w:rsidRDefault="001E2C09">
            <w:pPr>
              <w:rPr>
                <w:sz w:val="14"/>
                <w:szCs w:val="14"/>
              </w:rPr>
            </w:pPr>
          </w:p>
        </w:tc>
        <w:tc>
          <w:tcPr>
            <w:tcW w:w="0" w:type="auto"/>
            <w:tcBorders>
              <w:top w:val="nil"/>
              <w:left w:val="nil"/>
              <w:bottom w:val="nil"/>
              <w:right w:val="nil"/>
            </w:tcBorders>
            <w:shd w:val="clear" w:color="auto" w:fill="auto"/>
            <w:noWrap/>
            <w:vAlign w:val="bottom"/>
            <w:hideMark/>
          </w:tcPr>
          <w:p w14:paraId="08ECB732" w14:textId="77777777" w:rsidR="001E2C09" w:rsidRPr="006757CB" w:rsidRDefault="001E2C09">
            <w:pPr>
              <w:rPr>
                <w:sz w:val="14"/>
                <w:szCs w:val="14"/>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7C3CAFDC"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IBL</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3F337BB0" w14:textId="77777777" w:rsidR="001E2C09" w:rsidRPr="006757CB" w:rsidRDefault="001E2C09">
            <w:pPr>
              <w:jc w:val="center"/>
              <w:rPr>
                <w:rFonts w:ascii="Calibri" w:hAnsi="Calibri"/>
                <w:sz w:val="14"/>
                <w:szCs w:val="14"/>
              </w:rPr>
            </w:pPr>
            <w:r w:rsidRPr="006757CB">
              <w:rPr>
                <w:rFonts w:ascii="Calibri" w:hAnsi="Calibri"/>
                <w:sz w:val="14"/>
                <w:szCs w:val="14"/>
              </w:rPr>
              <w:t xml:space="preserve">   368.754 </w:t>
            </w:r>
          </w:p>
        </w:tc>
      </w:tr>
      <w:tr w:rsidR="006757CB" w:rsidRPr="006757CB" w14:paraId="25B7B8A0" w14:textId="77777777" w:rsidTr="001E2C09">
        <w:trPr>
          <w:trHeight w:val="20"/>
        </w:trPr>
        <w:tc>
          <w:tcPr>
            <w:tcW w:w="0" w:type="auto"/>
            <w:tcBorders>
              <w:top w:val="single" w:sz="4" w:space="0" w:color="auto"/>
              <w:left w:val="nil"/>
              <w:bottom w:val="nil"/>
              <w:right w:val="nil"/>
            </w:tcBorders>
            <w:shd w:val="clear" w:color="auto" w:fill="auto"/>
            <w:noWrap/>
            <w:vAlign w:val="bottom"/>
            <w:hideMark/>
          </w:tcPr>
          <w:p w14:paraId="333D1365" w14:textId="77777777" w:rsidR="001E2C09" w:rsidRPr="006757CB" w:rsidRDefault="001E2C09">
            <w:pPr>
              <w:jc w:val="center"/>
              <w:rPr>
                <w:rFonts w:ascii="Calibri" w:hAnsi="Calibri"/>
                <w:sz w:val="14"/>
                <w:szCs w:val="14"/>
              </w:rPr>
            </w:pPr>
          </w:p>
        </w:tc>
        <w:tc>
          <w:tcPr>
            <w:tcW w:w="0" w:type="auto"/>
            <w:tcBorders>
              <w:top w:val="single" w:sz="4" w:space="0" w:color="auto"/>
              <w:left w:val="nil"/>
              <w:bottom w:val="nil"/>
              <w:right w:val="nil"/>
            </w:tcBorders>
            <w:shd w:val="clear" w:color="auto" w:fill="auto"/>
            <w:noWrap/>
            <w:vAlign w:val="bottom"/>
            <w:hideMark/>
          </w:tcPr>
          <w:p w14:paraId="491DD358" w14:textId="77777777" w:rsidR="001E2C09" w:rsidRPr="006757CB" w:rsidRDefault="001E2C09">
            <w:pPr>
              <w:rPr>
                <w:sz w:val="14"/>
                <w:szCs w:val="14"/>
              </w:rPr>
            </w:pPr>
          </w:p>
        </w:tc>
        <w:tc>
          <w:tcPr>
            <w:tcW w:w="0" w:type="auto"/>
            <w:tcBorders>
              <w:top w:val="nil"/>
              <w:left w:val="nil"/>
              <w:bottom w:val="nil"/>
              <w:right w:val="nil"/>
            </w:tcBorders>
            <w:shd w:val="clear" w:color="auto" w:fill="auto"/>
            <w:noWrap/>
            <w:vAlign w:val="bottom"/>
            <w:hideMark/>
          </w:tcPr>
          <w:p w14:paraId="1841C604" w14:textId="77777777" w:rsidR="001E2C09" w:rsidRPr="006757CB" w:rsidRDefault="001E2C09">
            <w:pPr>
              <w:rPr>
                <w:sz w:val="14"/>
                <w:szCs w:val="14"/>
              </w:rPr>
            </w:pPr>
          </w:p>
        </w:tc>
        <w:tc>
          <w:tcPr>
            <w:tcW w:w="0" w:type="auto"/>
            <w:tcBorders>
              <w:top w:val="nil"/>
              <w:left w:val="nil"/>
              <w:bottom w:val="nil"/>
              <w:right w:val="nil"/>
            </w:tcBorders>
            <w:shd w:val="clear" w:color="auto" w:fill="auto"/>
            <w:noWrap/>
            <w:vAlign w:val="bottom"/>
            <w:hideMark/>
          </w:tcPr>
          <w:p w14:paraId="2E564246" w14:textId="77777777" w:rsidR="001E2C09" w:rsidRPr="006757CB" w:rsidRDefault="001E2C09">
            <w:pPr>
              <w:rPr>
                <w:sz w:val="14"/>
                <w:szCs w:val="14"/>
              </w:rPr>
            </w:pPr>
          </w:p>
        </w:tc>
        <w:tc>
          <w:tcPr>
            <w:tcW w:w="0" w:type="auto"/>
            <w:tcBorders>
              <w:top w:val="nil"/>
              <w:left w:val="nil"/>
              <w:bottom w:val="nil"/>
              <w:right w:val="nil"/>
            </w:tcBorders>
            <w:shd w:val="clear" w:color="auto" w:fill="auto"/>
            <w:noWrap/>
            <w:vAlign w:val="bottom"/>
            <w:hideMark/>
          </w:tcPr>
          <w:p w14:paraId="3E394176" w14:textId="77777777" w:rsidR="001E2C09" w:rsidRPr="006757CB" w:rsidRDefault="001E2C09">
            <w:pPr>
              <w:rPr>
                <w:sz w:val="14"/>
                <w:szCs w:val="14"/>
              </w:rPr>
            </w:pPr>
          </w:p>
        </w:tc>
        <w:tc>
          <w:tcPr>
            <w:tcW w:w="0" w:type="auto"/>
            <w:tcBorders>
              <w:top w:val="nil"/>
              <w:left w:val="nil"/>
              <w:bottom w:val="nil"/>
              <w:right w:val="nil"/>
            </w:tcBorders>
            <w:shd w:val="clear" w:color="auto" w:fill="auto"/>
            <w:noWrap/>
            <w:vAlign w:val="bottom"/>
            <w:hideMark/>
          </w:tcPr>
          <w:p w14:paraId="35911107" w14:textId="77777777" w:rsidR="001E2C09" w:rsidRPr="006757CB" w:rsidRDefault="001E2C09">
            <w:pPr>
              <w:rPr>
                <w:sz w:val="14"/>
                <w:szCs w:val="14"/>
              </w:rPr>
            </w:pPr>
          </w:p>
        </w:tc>
        <w:tc>
          <w:tcPr>
            <w:tcW w:w="0" w:type="auto"/>
            <w:tcBorders>
              <w:top w:val="nil"/>
              <w:left w:val="nil"/>
              <w:bottom w:val="nil"/>
              <w:right w:val="nil"/>
            </w:tcBorders>
            <w:shd w:val="clear" w:color="auto" w:fill="auto"/>
            <w:noWrap/>
            <w:vAlign w:val="bottom"/>
            <w:hideMark/>
          </w:tcPr>
          <w:p w14:paraId="1947061F" w14:textId="77777777" w:rsidR="001E2C09" w:rsidRPr="006757CB" w:rsidRDefault="001E2C09">
            <w:pPr>
              <w:rPr>
                <w:sz w:val="14"/>
                <w:szCs w:val="14"/>
              </w:rPr>
            </w:pPr>
          </w:p>
        </w:tc>
        <w:tc>
          <w:tcPr>
            <w:tcW w:w="0" w:type="auto"/>
            <w:tcBorders>
              <w:top w:val="nil"/>
              <w:left w:val="nil"/>
              <w:bottom w:val="nil"/>
              <w:right w:val="nil"/>
            </w:tcBorders>
            <w:shd w:val="clear" w:color="auto" w:fill="auto"/>
            <w:noWrap/>
            <w:vAlign w:val="bottom"/>
            <w:hideMark/>
          </w:tcPr>
          <w:p w14:paraId="54C29F2A" w14:textId="77777777" w:rsidR="001E2C09" w:rsidRPr="006757CB" w:rsidRDefault="001E2C09">
            <w:pPr>
              <w:rPr>
                <w:sz w:val="14"/>
                <w:szCs w:val="14"/>
              </w:rPr>
            </w:pPr>
          </w:p>
        </w:tc>
        <w:tc>
          <w:tcPr>
            <w:tcW w:w="0" w:type="auto"/>
            <w:tcBorders>
              <w:top w:val="nil"/>
              <w:left w:val="nil"/>
              <w:bottom w:val="nil"/>
              <w:right w:val="nil"/>
            </w:tcBorders>
            <w:shd w:val="clear" w:color="auto" w:fill="auto"/>
            <w:noWrap/>
            <w:vAlign w:val="bottom"/>
            <w:hideMark/>
          </w:tcPr>
          <w:p w14:paraId="4960E82C" w14:textId="77777777" w:rsidR="001E2C09" w:rsidRPr="006757CB" w:rsidRDefault="001E2C09">
            <w:pPr>
              <w:rPr>
                <w:sz w:val="14"/>
                <w:szCs w:val="14"/>
              </w:rPr>
            </w:pPr>
          </w:p>
        </w:tc>
      </w:tr>
      <w:tr w:rsidR="006757CB" w:rsidRPr="006757CB" w14:paraId="4D5E6877" w14:textId="77777777" w:rsidTr="001E2C09">
        <w:trPr>
          <w:trHeight w:val="20"/>
        </w:trPr>
        <w:tc>
          <w:tcPr>
            <w:tcW w:w="0" w:type="auto"/>
            <w:tcBorders>
              <w:top w:val="nil"/>
              <w:left w:val="nil"/>
              <w:bottom w:val="nil"/>
              <w:right w:val="nil"/>
            </w:tcBorders>
            <w:shd w:val="clear" w:color="auto" w:fill="auto"/>
            <w:noWrap/>
            <w:vAlign w:val="bottom"/>
            <w:hideMark/>
          </w:tcPr>
          <w:p w14:paraId="1432A765" w14:textId="77777777" w:rsidR="001E2C09" w:rsidRPr="006757CB" w:rsidRDefault="001E2C09">
            <w:pPr>
              <w:rPr>
                <w:sz w:val="14"/>
                <w:szCs w:val="14"/>
              </w:rPr>
            </w:pPr>
          </w:p>
        </w:tc>
        <w:tc>
          <w:tcPr>
            <w:tcW w:w="0" w:type="auto"/>
            <w:tcBorders>
              <w:top w:val="nil"/>
              <w:left w:val="nil"/>
              <w:bottom w:val="nil"/>
              <w:right w:val="nil"/>
            </w:tcBorders>
            <w:shd w:val="clear" w:color="auto" w:fill="auto"/>
            <w:noWrap/>
            <w:vAlign w:val="bottom"/>
            <w:hideMark/>
          </w:tcPr>
          <w:p w14:paraId="764C9C4A" w14:textId="77777777" w:rsidR="001E2C09" w:rsidRPr="006757CB" w:rsidRDefault="001E2C09">
            <w:pPr>
              <w:rPr>
                <w:sz w:val="14"/>
                <w:szCs w:val="14"/>
              </w:rPr>
            </w:pPr>
          </w:p>
        </w:tc>
        <w:tc>
          <w:tcPr>
            <w:tcW w:w="0" w:type="auto"/>
            <w:tcBorders>
              <w:top w:val="nil"/>
              <w:left w:val="nil"/>
              <w:bottom w:val="nil"/>
              <w:right w:val="nil"/>
            </w:tcBorders>
            <w:shd w:val="clear" w:color="auto" w:fill="auto"/>
            <w:noWrap/>
            <w:vAlign w:val="bottom"/>
            <w:hideMark/>
          </w:tcPr>
          <w:p w14:paraId="7414B179" w14:textId="77777777" w:rsidR="001E2C09" w:rsidRPr="006757CB" w:rsidRDefault="001E2C09">
            <w:pPr>
              <w:rPr>
                <w:sz w:val="14"/>
                <w:szCs w:val="14"/>
              </w:rPr>
            </w:pPr>
          </w:p>
        </w:tc>
        <w:tc>
          <w:tcPr>
            <w:tcW w:w="0" w:type="auto"/>
            <w:tcBorders>
              <w:top w:val="nil"/>
              <w:left w:val="nil"/>
              <w:bottom w:val="nil"/>
              <w:right w:val="nil"/>
            </w:tcBorders>
            <w:shd w:val="clear" w:color="auto" w:fill="auto"/>
            <w:noWrap/>
            <w:vAlign w:val="bottom"/>
            <w:hideMark/>
          </w:tcPr>
          <w:p w14:paraId="58E9730E" w14:textId="77777777" w:rsidR="001E2C09" w:rsidRPr="006757CB" w:rsidRDefault="001E2C09">
            <w:pPr>
              <w:rPr>
                <w:sz w:val="14"/>
                <w:szCs w:val="14"/>
              </w:rPr>
            </w:pPr>
          </w:p>
        </w:tc>
        <w:tc>
          <w:tcPr>
            <w:tcW w:w="0" w:type="auto"/>
            <w:tcBorders>
              <w:top w:val="nil"/>
              <w:left w:val="nil"/>
              <w:bottom w:val="nil"/>
              <w:right w:val="nil"/>
            </w:tcBorders>
            <w:shd w:val="clear" w:color="auto" w:fill="auto"/>
            <w:noWrap/>
            <w:vAlign w:val="bottom"/>
            <w:hideMark/>
          </w:tcPr>
          <w:p w14:paraId="0EEFC2EB" w14:textId="77777777" w:rsidR="001E2C09" w:rsidRPr="006757CB" w:rsidRDefault="001E2C09">
            <w:pPr>
              <w:rPr>
                <w:sz w:val="14"/>
                <w:szCs w:val="14"/>
              </w:rPr>
            </w:pPr>
          </w:p>
        </w:tc>
        <w:tc>
          <w:tcPr>
            <w:tcW w:w="0" w:type="auto"/>
            <w:tcBorders>
              <w:top w:val="nil"/>
              <w:left w:val="nil"/>
              <w:bottom w:val="nil"/>
              <w:right w:val="nil"/>
            </w:tcBorders>
            <w:shd w:val="clear" w:color="auto" w:fill="auto"/>
            <w:noWrap/>
            <w:vAlign w:val="bottom"/>
            <w:hideMark/>
          </w:tcPr>
          <w:p w14:paraId="1F157B41" w14:textId="77777777" w:rsidR="001E2C09" w:rsidRPr="006757CB" w:rsidRDefault="001E2C09">
            <w:pPr>
              <w:rPr>
                <w:sz w:val="14"/>
                <w:szCs w:val="14"/>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162623D7"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50399D8F" w14:textId="77777777" w:rsidR="001E2C09" w:rsidRPr="006757CB" w:rsidRDefault="001E2C09">
            <w:pPr>
              <w:jc w:val="center"/>
              <w:rPr>
                <w:rFonts w:ascii="Calibri" w:hAnsi="Calibri"/>
                <w:b/>
                <w:bCs/>
                <w:i/>
                <w:iCs/>
                <w:sz w:val="14"/>
                <w:szCs w:val="14"/>
              </w:rPr>
            </w:pPr>
            <w:r w:rsidRPr="006757CB">
              <w:rPr>
                <w:rFonts w:ascii="Calibri" w:hAnsi="Calibri"/>
                <w:b/>
                <w:bCs/>
                <w:i/>
                <w:iCs/>
                <w:sz w:val="14"/>
                <w:szCs w:val="14"/>
              </w:rPr>
              <w:t xml:space="preserve">  320.816 </w:t>
            </w:r>
          </w:p>
        </w:tc>
      </w:tr>
    </w:tbl>
    <w:p w14:paraId="5935997F" w14:textId="77777777" w:rsidR="001E2C09" w:rsidRPr="006757CB" w:rsidRDefault="001E2C09" w:rsidP="001B17E9">
      <w:pPr>
        <w:spacing w:line="276" w:lineRule="auto"/>
        <w:ind w:left="708"/>
        <w:jc w:val="center"/>
        <w:rPr>
          <w:rFonts w:ascii="Tahoma" w:hAnsi="Tahoma" w:cs="Tahoma"/>
        </w:rPr>
      </w:pPr>
    </w:p>
    <w:p w14:paraId="784E9039" w14:textId="77777777" w:rsidR="001E2C09" w:rsidRPr="006757CB" w:rsidRDefault="001E2C09" w:rsidP="001B17E9">
      <w:pPr>
        <w:spacing w:line="276" w:lineRule="auto"/>
        <w:ind w:left="708"/>
        <w:jc w:val="center"/>
        <w:rPr>
          <w:rFonts w:ascii="Tahoma" w:hAnsi="Tahoma" w:cs="Tahoma"/>
        </w:rPr>
      </w:pPr>
    </w:p>
    <w:p w14:paraId="78FFDAE8" w14:textId="77777777" w:rsidR="001E2C09" w:rsidRPr="006757CB" w:rsidRDefault="001E2C09" w:rsidP="001B17E9">
      <w:pPr>
        <w:spacing w:line="276" w:lineRule="auto"/>
        <w:ind w:left="708"/>
        <w:jc w:val="center"/>
        <w:rPr>
          <w:rFonts w:ascii="Tahoma" w:hAnsi="Tahoma" w:cs="Tahoma"/>
        </w:rPr>
      </w:pPr>
    </w:p>
    <w:tbl>
      <w:tblPr>
        <w:tblW w:w="9062" w:type="dxa"/>
        <w:tblInd w:w="80" w:type="dxa"/>
        <w:tblLayout w:type="fixed"/>
        <w:tblCellMar>
          <w:left w:w="70" w:type="dxa"/>
          <w:right w:w="70" w:type="dxa"/>
        </w:tblCellMar>
        <w:tblLook w:val="04A0" w:firstRow="1" w:lastRow="0" w:firstColumn="1" w:lastColumn="0" w:noHBand="0" w:noVBand="1"/>
      </w:tblPr>
      <w:tblGrid>
        <w:gridCol w:w="699"/>
        <w:gridCol w:w="1418"/>
        <w:gridCol w:w="1134"/>
        <w:gridCol w:w="850"/>
        <w:gridCol w:w="851"/>
        <w:gridCol w:w="986"/>
        <w:gridCol w:w="715"/>
        <w:gridCol w:w="850"/>
        <w:gridCol w:w="580"/>
        <w:gridCol w:w="979"/>
      </w:tblGrid>
      <w:tr w:rsidR="006757CB" w:rsidRPr="006757CB" w14:paraId="243C9847" w14:textId="77777777" w:rsidTr="001E2C09">
        <w:trPr>
          <w:trHeight w:val="20"/>
        </w:trPr>
        <w:tc>
          <w:tcPr>
            <w:tcW w:w="699" w:type="dxa"/>
            <w:tcBorders>
              <w:top w:val="single" w:sz="4" w:space="0" w:color="auto"/>
              <w:left w:val="single" w:sz="4" w:space="0" w:color="auto"/>
              <w:bottom w:val="single" w:sz="4" w:space="0" w:color="auto"/>
              <w:right w:val="single" w:sz="4" w:space="0" w:color="808000"/>
            </w:tcBorders>
            <w:shd w:val="clear" w:color="000000" w:fill="FFFFCC"/>
            <w:vAlign w:val="center"/>
            <w:hideMark/>
          </w:tcPr>
          <w:p w14:paraId="4F6F7375" w14:textId="77777777" w:rsidR="001E2C09" w:rsidRPr="006757CB" w:rsidRDefault="001E2C09">
            <w:pPr>
              <w:jc w:val="center"/>
              <w:rPr>
                <w:rFonts w:ascii="Calibri" w:hAnsi="Calibri"/>
                <w:b/>
                <w:bCs/>
                <w:sz w:val="14"/>
                <w:szCs w:val="14"/>
              </w:rPr>
            </w:pPr>
            <w:r w:rsidRPr="006757CB">
              <w:rPr>
                <w:rFonts w:ascii="Calibri" w:hAnsi="Calibri"/>
                <w:b/>
                <w:bCs/>
                <w:sz w:val="14"/>
                <w:szCs w:val="14"/>
              </w:rPr>
              <w:t>Fecha Liquida:</w:t>
            </w:r>
          </w:p>
        </w:tc>
        <w:tc>
          <w:tcPr>
            <w:tcW w:w="1418" w:type="dxa"/>
            <w:tcBorders>
              <w:top w:val="single" w:sz="4" w:space="0" w:color="auto"/>
              <w:left w:val="nil"/>
              <w:bottom w:val="single" w:sz="4" w:space="0" w:color="auto"/>
              <w:right w:val="single" w:sz="4" w:space="0" w:color="808000"/>
            </w:tcBorders>
            <w:shd w:val="clear" w:color="auto" w:fill="auto"/>
            <w:noWrap/>
            <w:vAlign w:val="center"/>
            <w:hideMark/>
          </w:tcPr>
          <w:p w14:paraId="01AD1E08" w14:textId="77777777" w:rsidR="001E2C09" w:rsidRPr="006757CB" w:rsidRDefault="001E2C09">
            <w:pPr>
              <w:jc w:val="right"/>
              <w:rPr>
                <w:rFonts w:ascii="Calibri" w:hAnsi="Calibri"/>
                <w:sz w:val="14"/>
                <w:szCs w:val="14"/>
              </w:rPr>
            </w:pPr>
            <w:r w:rsidRPr="006757CB">
              <w:rPr>
                <w:rFonts w:ascii="Calibri" w:hAnsi="Calibri"/>
                <w:sz w:val="14"/>
                <w:szCs w:val="14"/>
              </w:rPr>
              <w:t>31-ago-16</w:t>
            </w:r>
          </w:p>
        </w:tc>
        <w:tc>
          <w:tcPr>
            <w:tcW w:w="1134" w:type="dxa"/>
            <w:tcBorders>
              <w:top w:val="single" w:sz="4" w:space="0" w:color="auto"/>
              <w:left w:val="nil"/>
              <w:bottom w:val="single" w:sz="4" w:space="0" w:color="auto"/>
              <w:right w:val="single" w:sz="4" w:space="0" w:color="808000"/>
            </w:tcBorders>
            <w:shd w:val="clear" w:color="000000" w:fill="FFFFCC"/>
            <w:vAlign w:val="center"/>
            <w:hideMark/>
          </w:tcPr>
          <w:p w14:paraId="6965DA2B" w14:textId="77777777" w:rsidR="001E2C09" w:rsidRPr="006757CB" w:rsidRDefault="001E2C09">
            <w:pPr>
              <w:jc w:val="center"/>
              <w:rPr>
                <w:rFonts w:ascii="Calibri" w:hAnsi="Calibri"/>
                <w:b/>
                <w:bCs/>
                <w:sz w:val="14"/>
                <w:szCs w:val="14"/>
              </w:rPr>
            </w:pPr>
            <w:proofErr w:type="spellStart"/>
            <w:r w:rsidRPr="006757CB">
              <w:rPr>
                <w:rFonts w:ascii="Calibri" w:hAnsi="Calibri"/>
                <w:b/>
                <w:bCs/>
                <w:sz w:val="14"/>
                <w:szCs w:val="14"/>
              </w:rPr>
              <w:t>Ipc</w:t>
            </w:r>
            <w:proofErr w:type="spellEnd"/>
            <w:r w:rsidRPr="006757CB">
              <w:rPr>
                <w:rFonts w:ascii="Calibri" w:hAnsi="Calibri"/>
                <w:b/>
                <w:bCs/>
                <w:sz w:val="14"/>
                <w:szCs w:val="14"/>
              </w:rPr>
              <w:t xml:space="preserve"> (</w:t>
            </w:r>
            <w:proofErr w:type="spellStart"/>
            <w:r w:rsidRPr="006757CB">
              <w:rPr>
                <w:rFonts w:ascii="Calibri" w:hAnsi="Calibri"/>
                <w:b/>
                <w:bCs/>
                <w:sz w:val="14"/>
                <w:szCs w:val="14"/>
              </w:rPr>
              <w:t>Vf</w:t>
            </w:r>
            <w:proofErr w:type="spellEnd"/>
            <w:r w:rsidRPr="006757CB">
              <w:rPr>
                <w:rFonts w:ascii="Calibri" w:hAnsi="Calibri"/>
                <w:b/>
                <w:bCs/>
                <w:sz w:val="14"/>
                <w:szCs w:val="14"/>
              </w:rPr>
              <w:t>)</w:t>
            </w:r>
          </w:p>
        </w:tc>
        <w:tc>
          <w:tcPr>
            <w:tcW w:w="850" w:type="dxa"/>
            <w:tcBorders>
              <w:top w:val="nil"/>
              <w:left w:val="nil"/>
              <w:bottom w:val="nil"/>
              <w:right w:val="nil"/>
            </w:tcBorders>
            <w:shd w:val="clear" w:color="FFFFFF" w:fill="33CCCC"/>
            <w:vAlign w:val="center"/>
            <w:hideMark/>
          </w:tcPr>
          <w:p w14:paraId="036F857C" w14:textId="77777777" w:rsidR="001E2C09" w:rsidRPr="006757CB" w:rsidRDefault="001E2C09">
            <w:pPr>
              <w:jc w:val="center"/>
              <w:rPr>
                <w:rFonts w:ascii="Calibri" w:hAnsi="Calibri"/>
                <w:sz w:val="14"/>
                <w:szCs w:val="14"/>
              </w:rPr>
            </w:pPr>
            <w:r w:rsidRPr="006757CB">
              <w:rPr>
                <w:rFonts w:ascii="Calibri" w:hAnsi="Calibri"/>
                <w:sz w:val="14"/>
                <w:szCs w:val="14"/>
              </w:rPr>
              <w:t xml:space="preserve">             133,27 </w:t>
            </w:r>
          </w:p>
        </w:tc>
        <w:tc>
          <w:tcPr>
            <w:tcW w:w="851" w:type="dxa"/>
            <w:tcBorders>
              <w:top w:val="nil"/>
              <w:left w:val="nil"/>
              <w:bottom w:val="nil"/>
              <w:right w:val="nil"/>
            </w:tcBorders>
            <w:shd w:val="clear" w:color="auto" w:fill="auto"/>
            <w:noWrap/>
            <w:vAlign w:val="bottom"/>
            <w:hideMark/>
          </w:tcPr>
          <w:p w14:paraId="686092B4" w14:textId="77777777" w:rsidR="001E2C09" w:rsidRPr="006757CB" w:rsidRDefault="001E2C09">
            <w:pPr>
              <w:jc w:val="center"/>
              <w:rPr>
                <w:rFonts w:ascii="Calibri" w:hAnsi="Calibri"/>
                <w:sz w:val="14"/>
                <w:szCs w:val="14"/>
              </w:rPr>
            </w:pPr>
          </w:p>
        </w:tc>
        <w:tc>
          <w:tcPr>
            <w:tcW w:w="986" w:type="dxa"/>
            <w:tcBorders>
              <w:top w:val="nil"/>
              <w:left w:val="nil"/>
              <w:bottom w:val="nil"/>
              <w:right w:val="nil"/>
            </w:tcBorders>
            <w:shd w:val="clear" w:color="auto" w:fill="auto"/>
            <w:noWrap/>
            <w:vAlign w:val="bottom"/>
            <w:hideMark/>
          </w:tcPr>
          <w:p w14:paraId="5BE8E71E" w14:textId="77777777" w:rsidR="001E2C09" w:rsidRPr="006757CB" w:rsidRDefault="001E2C09">
            <w:pPr>
              <w:rPr>
                <w:sz w:val="14"/>
                <w:szCs w:val="14"/>
              </w:rPr>
            </w:pPr>
          </w:p>
        </w:tc>
        <w:tc>
          <w:tcPr>
            <w:tcW w:w="715" w:type="dxa"/>
            <w:tcBorders>
              <w:top w:val="nil"/>
              <w:left w:val="nil"/>
              <w:bottom w:val="nil"/>
              <w:right w:val="nil"/>
            </w:tcBorders>
            <w:shd w:val="clear" w:color="auto" w:fill="auto"/>
            <w:noWrap/>
            <w:vAlign w:val="bottom"/>
            <w:hideMark/>
          </w:tcPr>
          <w:p w14:paraId="10F7610A" w14:textId="77777777" w:rsidR="001E2C09" w:rsidRPr="006757CB" w:rsidRDefault="001E2C09">
            <w:pPr>
              <w:rPr>
                <w:sz w:val="14"/>
                <w:szCs w:val="14"/>
              </w:rPr>
            </w:pPr>
          </w:p>
        </w:tc>
        <w:tc>
          <w:tcPr>
            <w:tcW w:w="850" w:type="dxa"/>
            <w:tcBorders>
              <w:top w:val="nil"/>
              <w:left w:val="nil"/>
              <w:bottom w:val="nil"/>
              <w:right w:val="nil"/>
            </w:tcBorders>
            <w:shd w:val="clear" w:color="auto" w:fill="auto"/>
            <w:noWrap/>
            <w:vAlign w:val="bottom"/>
            <w:hideMark/>
          </w:tcPr>
          <w:p w14:paraId="7D5268C3" w14:textId="77777777" w:rsidR="001E2C09" w:rsidRPr="006757CB" w:rsidRDefault="001E2C09">
            <w:pPr>
              <w:rPr>
                <w:sz w:val="14"/>
                <w:szCs w:val="14"/>
              </w:rPr>
            </w:pPr>
          </w:p>
        </w:tc>
        <w:tc>
          <w:tcPr>
            <w:tcW w:w="580" w:type="dxa"/>
            <w:tcBorders>
              <w:top w:val="nil"/>
              <w:left w:val="nil"/>
              <w:bottom w:val="nil"/>
              <w:right w:val="nil"/>
            </w:tcBorders>
            <w:shd w:val="clear" w:color="auto" w:fill="auto"/>
            <w:noWrap/>
            <w:vAlign w:val="bottom"/>
            <w:hideMark/>
          </w:tcPr>
          <w:p w14:paraId="5D8A0084" w14:textId="77777777" w:rsidR="001E2C09" w:rsidRPr="006757CB" w:rsidRDefault="001E2C09">
            <w:pPr>
              <w:rPr>
                <w:sz w:val="14"/>
                <w:szCs w:val="14"/>
              </w:rPr>
            </w:pPr>
          </w:p>
        </w:tc>
        <w:tc>
          <w:tcPr>
            <w:tcW w:w="979" w:type="dxa"/>
            <w:tcBorders>
              <w:top w:val="nil"/>
              <w:left w:val="nil"/>
              <w:bottom w:val="nil"/>
              <w:right w:val="nil"/>
            </w:tcBorders>
            <w:shd w:val="clear" w:color="auto" w:fill="auto"/>
            <w:noWrap/>
            <w:vAlign w:val="bottom"/>
            <w:hideMark/>
          </w:tcPr>
          <w:p w14:paraId="1242B594" w14:textId="77777777" w:rsidR="001E2C09" w:rsidRPr="006757CB" w:rsidRDefault="001E2C09">
            <w:pPr>
              <w:rPr>
                <w:sz w:val="14"/>
                <w:szCs w:val="14"/>
              </w:rPr>
            </w:pPr>
          </w:p>
        </w:tc>
      </w:tr>
      <w:tr w:rsidR="006757CB" w:rsidRPr="006757CB" w14:paraId="3624811E" w14:textId="77777777" w:rsidTr="001E2C09">
        <w:trPr>
          <w:trHeight w:val="20"/>
        </w:trPr>
        <w:tc>
          <w:tcPr>
            <w:tcW w:w="699" w:type="dxa"/>
            <w:tcBorders>
              <w:top w:val="nil"/>
              <w:left w:val="nil"/>
              <w:bottom w:val="nil"/>
              <w:right w:val="nil"/>
            </w:tcBorders>
            <w:shd w:val="clear" w:color="auto" w:fill="auto"/>
            <w:noWrap/>
            <w:vAlign w:val="bottom"/>
            <w:hideMark/>
          </w:tcPr>
          <w:p w14:paraId="43AAA765" w14:textId="77777777" w:rsidR="001E2C09" w:rsidRPr="006757CB" w:rsidRDefault="001E2C09">
            <w:pPr>
              <w:rPr>
                <w:sz w:val="14"/>
                <w:szCs w:val="14"/>
              </w:rPr>
            </w:pPr>
          </w:p>
        </w:tc>
        <w:tc>
          <w:tcPr>
            <w:tcW w:w="1418" w:type="dxa"/>
            <w:tcBorders>
              <w:top w:val="nil"/>
              <w:left w:val="nil"/>
              <w:bottom w:val="nil"/>
              <w:right w:val="nil"/>
            </w:tcBorders>
            <w:shd w:val="clear" w:color="auto" w:fill="auto"/>
            <w:noWrap/>
            <w:vAlign w:val="bottom"/>
            <w:hideMark/>
          </w:tcPr>
          <w:p w14:paraId="04E4B219" w14:textId="77777777" w:rsidR="001E2C09" w:rsidRPr="006757CB" w:rsidRDefault="001E2C09">
            <w:pPr>
              <w:rPr>
                <w:sz w:val="14"/>
                <w:szCs w:val="14"/>
              </w:rPr>
            </w:pPr>
          </w:p>
        </w:tc>
        <w:tc>
          <w:tcPr>
            <w:tcW w:w="1134" w:type="dxa"/>
            <w:tcBorders>
              <w:top w:val="nil"/>
              <w:left w:val="nil"/>
              <w:bottom w:val="nil"/>
              <w:right w:val="nil"/>
            </w:tcBorders>
            <w:shd w:val="clear" w:color="auto" w:fill="auto"/>
            <w:noWrap/>
            <w:vAlign w:val="bottom"/>
            <w:hideMark/>
          </w:tcPr>
          <w:p w14:paraId="54912BD8" w14:textId="77777777" w:rsidR="001E2C09" w:rsidRPr="006757CB" w:rsidRDefault="001E2C09">
            <w:pPr>
              <w:rPr>
                <w:sz w:val="14"/>
                <w:szCs w:val="14"/>
              </w:rPr>
            </w:pPr>
          </w:p>
        </w:tc>
        <w:tc>
          <w:tcPr>
            <w:tcW w:w="850" w:type="dxa"/>
            <w:tcBorders>
              <w:top w:val="nil"/>
              <w:left w:val="nil"/>
              <w:bottom w:val="nil"/>
              <w:right w:val="nil"/>
            </w:tcBorders>
            <w:shd w:val="clear" w:color="auto" w:fill="auto"/>
            <w:noWrap/>
            <w:vAlign w:val="bottom"/>
            <w:hideMark/>
          </w:tcPr>
          <w:p w14:paraId="604BD13D" w14:textId="77777777" w:rsidR="001E2C09" w:rsidRPr="006757CB" w:rsidRDefault="001E2C09">
            <w:pPr>
              <w:rPr>
                <w:sz w:val="14"/>
                <w:szCs w:val="14"/>
              </w:rPr>
            </w:pPr>
          </w:p>
        </w:tc>
        <w:tc>
          <w:tcPr>
            <w:tcW w:w="851" w:type="dxa"/>
            <w:tcBorders>
              <w:top w:val="nil"/>
              <w:left w:val="nil"/>
              <w:bottom w:val="nil"/>
              <w:right w:val="nil"/>
            </w:tcBorders>
            <w:shd w:val="clear" w:color="auto" w:fill="auto"/>
            <w:noWrap/>
            <w:vAlign w:val="bottom"/>
            <w:hideMark/>
          </w:tcPr>
          <w:p w14:paraId="57A6EDD8" w14:textId="77777777" w:rsidR="001E2C09" w:rsidRPr="006757CB" w:rsidRDefault="001E2C09">
            <w:pPr>
              <w:rPr>
                <w:sz w:val="14"/>
                <w:szCs w:val="14"/>
              </w:rPr>
            </w:pPr>
          </w:p>
        </w:tc>
        <w:tc>
          <w:tcPr>
            <w:tcW w:w="986" w:type="dxa"/>
            <w:tcBorders>
              <w:top w:val="nil"/>
              <w:left w:val="nil"/>
              <w:bottom w:val="nil"/>
              <w:right w:val="nil"/>
            </w:tcBorders>
            <w:shd w:val="clear" w:color="auto" w:fill="auto"/>
            <w:noWrap/>
            <w:vAlign w:val="bottom"/>
            <w:hideMark/>
          </w:tcPr>
          <w:p w14:paraId="39FF6BC2" w14:textId="77777777" w:rsidR="001E2C09" w:rsidRPr="006757CB" w:rsidRDefault="001E2C09">
            <w:pPr>
              <w:rPr>
                <w:sz w:val="14"/>
                <w:szCs w:val="14"/>
              </w:rPr>
            </w:pPr>
          </w:p>
        </w:tc>
        <w:tc>
          <w:tcPr>
            <w:tcW w:w="715" w:type="dxa"/>
            <w:tcBorders>
              <w:top w:val="nil"/>
              <w:left w:val="nil"/>
              <w:bottom w:val="nil"/>
              <w:right w:val="nil"/>
            </w:tcBorders>
            <w:shd w:val="clear" w:color="auto" w:fill="auto"/>
            <w:noWrap/>
            <w:vAlign w:val="bottom"/>
            <w:hideMark/>
          </w:tcPr>
          <w:p w14:paraId="16D5C7B9" w14:textId="77777777" w:rsidR="001E2C09" w:rsidRPr="006757CB" w:rsidRDefault="001E2C09">
            <w:pPr>
              <w:rPr>
                <w:sz w:val="14"/>
                <w:szCs w:val="14"/>
              </w:rPr>
            </w:pPr>
          </w:p>
        </w:tc>
        <w:tc>
          <w:tcPr>
            <w:tcW w:w="850" w:type="dxa"/>
            <w:tcBorders>
              <w:top w:val="nil"/>
              <w:left w:val="nil"/>
              <w:bottom w:val="nil"/>
              <w:right w:val="nil"/>
            </w:tcBorders>
            <w:shd w:val="clear" w:color="auto" w:fill="auto"/>
            <w:noWrap/>
            <w:vAlign w:val="bottom"/>
            <w:hideMark/>
          </w:tcPr>
          <w:p w14:paraId="225BBA4F" w14:textId="77777777" w:rsidR="001E2C09" w:rsidRPr="006757CB" w:rsidRDefault="001E2C09">
            <w:pPr>
              <w:rPr>
                <w:sz w:val="14"/>
                <w:szCs w:val="14"/>
              </w:rPr>
            </w:pPr>
          </w:p>
        </w:tc>
        <w:tc>
          <w:tcPr>
            <w:tcW w:w="580" w:type="dxa"/>
            <w:tcBorders>
              <w:top w:val="nil"/>
              <w:left w:val="nil"/>
              <w:bottom w:val="nil"/>
              <w:right w:val="nil"/>
            </w:tcBorders>
            <w:shd w:val="clear" w:color="auto" w:fill="auto"/>
            <w:noWrap/>
            <w:vAlign w:val="bottom"/>
            <w:hideMark/>
          </w:tcPr>
          <w:p w14:paraId="340721B9" w14:textId="77777777" w:rsidR="001E2C09" w:rsidRPr="006757CB" w:rsidRDefault="001E2C09">
            <w:pPr>
              <w:rPr>
                <w:sz w:val="14"/>
                <w:szCs w:val="14"/>
              </w:rPr>
            </w:pPr>
          </w:p>
        </w:tc>
        <w:tc>
          <w:tcPr>
            <w:tcW w:w="979" w:type="dxa"/>
            <w:tcBorders>
              <w:top w:val="nil"/>
              <w:left w:val="nil"/>
              <w:bottom w:val="nil"/>
              <w:right w:val="nil"/>
            </w:tcBorders>
            <w:shd w:val="clear" w:color="auto" w:fill="auto"/>
            <w:noWrap/>
            <w:vAlign w:val="bottom"/>
            <w:hideMark/>
          </w:tcPr>
          <w:p w14:paraId="10A57274" w14:textId="77777777" w:rsidR="001E2C09" w:rsidRPr="006757CB" w:rsidRDefault="001E2C09">
            <w:pPr>
              <w:rPr>
                <w:sz w:val="14"/>
                <w:szCs w:val="14"/>
              </w:rPr>
            </w:pPr>
          </w:p>
        </w:tc>
      </w:tr>
      <w:tr w:rsidR="006757CB" w:rsidRPr="006757CB" w14:paraId="316B799C" w14:textId="77777777" w:rsidTr="001E2C09">
        <w:trPr>
          <w:trHeight w:val="20"/>
        </w:trPr>
        <w:tc>
          <w:tcPr>
            <w:tcW w:w="699" w:type="dxa"/>
            <w:tcBorders>
              <w:top w:val="single" w:sz="8" w:space="0" w:color="auto"/>
              <w:left w:val="single" w:sz="8" w:space="0" w:color="auto"/>
              <w:bottom w:val="nil"/>
              <w:right w:val="single" w:sz="4" w:space="0" w:color="808000"/>
            </w:tcBorders>
            <w:shd w:val="clear" w:color="000000" w:fill="FFFF99"/>
            <w:vAlign w:val="center"/>
            <w:hideMark/>
          </w:tcPr>
          <w:p w14:paraId="317A1F7C" w14:textId="77777777" w:rsidR="001E2C09" w:rsidRPr="006757CB" w:rsidRDefault="001E2C09">
            <w:pPr>
              <w:jc w:val="center"/>
              <w:rPr>
                <w:rFonts w:ascii="Calibri" w:hAnsi="Calibri"/>
                <w:b/>
                <w:bCs/>
                <w:sz w:val="14"/>
                <w:szCs w:val="14"/>
              </w:rPr>
            </w:pPr>
            <w:r w:rsidRPr="006757CB">
              <w:rPr>
                <w:rFonts w:ascii="Calibri" w:hAnsi="Calibri"/>
                <w:b/>
                <w:bCs/>
                <w:sz w:val="14"/>
                <w:szCs w:val="14"/>
              </w:rPr>
              <w:t xml:space="preserve">IPC  </w:t>
            </w:r>
          </w:p>
        </w:tc>
        <w:tc>
          <w:tcPr>
            <w:tcW w:w="1418" w:type="dxa"/>
            <w:tcBorders>
              <w:top w:val="single" w:sz="8" w:space="0" w:color="auto"/>
              <w:left w:val="nil"/>
              <w:bottom w:val="nil"/>
              <w:right w:val="single" w:sz="4" w:space="0" w:color="808000"/>
            </w:tcBorders>
            <w:shd w:val="clear" w:color="000000" w:fill="FFFF99"/>
            <w:vAlign w:val="center"/>
            <w:hideMark/>
          </w:tcPr>
          <w:p w14:paraId="3516ABBE" w14:textId="77777777" w:rsidR="001E2C09" w:rsidRPr="006757CB" w:rsidRDefault="001E2C09">
            <w:pPr>
              <w:jc w:val="center"/>
              <w:rPr>
                <w:rFonts w:ascii="Calibri" w:hAnsi="Calibri"/>
                <w:b/>
                <w:bCs/>
                <w:sz w:val="14"/>
                <w:szCs w:val="14"/>
              </w:rPr>
            </w:pPr>
            <w:r w:rsidRPr="006757CB">
              <w:rPr>
                <w:rFonts w:ascii="Calibri" w:hAnsi="Calibri"/>
                <w:b/>
                <w:bCs/>
                <w:sz w:val="14"/>
                <w:szCs w:val="14"/>
              </w:rPr>
              <w:t>Desde</w:t>
            </w:r>
          </w:p>
        </w:tc>
        <w:tc>
          <w:tcPr>
            <w:tcW w:w="1134" w:type="dxa"/>
            <w:tcBorders>
              <w:top w:val="single" w:sz="8" w:space="0" w:color="auto"/>
              <w:left w:val="nil"/>
              <w:bottom w:val="nil"/>
              <w:right w:val="single" w:sz="4" w:space="0" w:color="808000"/>
            </w:tcBorders>
            <w:shd w:val="clear" w:color="000000" w:fill="FFFF99"/>
            <w:vAlign w:val="center"/>
            <w:hideMark/>
          </w:tcPr>
          <w:p w14:paraId="41C76DBE" w14:textId="77777777" w:rsidR="001E2C09" w:rsidRPr="006757CB" w:rsidRDefault="001E2C09">
            <w:pPr>
              <w:jc w:val="center"/>
              <w:rPr>
                <w:rFonts w:ascii="Calibri" w:hAnsi="Calibri"/>
                <w:b/>
                <w:bCs/>
                <w:sz w:val="14"/>
                <w:szCs w:val="14"/>
              </w:rPr>
            </w:pPr>
            <w:r w:rsidRPr="006757CB">
              <w:rPr>
                <w:rFonts w:ascii="Calibri" w:hAnsi="Calibri"/>
                <w:b/>
                <w:bCs/>
                <w:sz w:val="14"/>
                <w:szCs w:val="14"/>
              </w:rPr>
              <w:t>Hasta</w:t>
            </w:r>
          </w:p>
        </w:tc>
        <w:tc>
          <w:tcPr>
            <w:tcW w:w="850" w:type="dxa"/>
            <w:tcBorders>
              <w:top w:val="single" w:sz="8" w:space="0" w:color="auto"/>
              <w:left w:val="nil"/>
              <w:bottom w:val="nil"/>
              <w:right w:val="single" w:sz="4" w:space="0" w:color="808000"/>
            </w:tcBorders>
            <w:shd w:val="clear" w:color="000000" w:fill="FFFF99"/>
            <w:vAlign w:val="center"/>
            <w:hideMark/>
          </w:tcPr>
          <w:p w14:paraId="1AC9E413" w14:textId="77777777" w:rsidR="001E2C09" w:rsidRPr="006757CB" w:rsidRDefault="001E2C09">
            <w:pPr>
              <w:jc w:val="center"/>
              <w:rPr>
                <w:rFonts w:ascii="Calibri" w:hAnsi="Calibri"/>
                <w:b/>
                <w:bCs/>
                <w:sz w:val="14"/>
                <w:szCs w:val="14"/>
              </w:rPr>
            </w:pPr>
            <w:r w:rsidRPr="006757CB">
              <w:rPr>
                <w:rFonts w:ascii="Calibri" w:hAnsi="Calibri"/>
                <w:b/>
                <w:bCs/>
                <w:sz w:val="14"/>
                <w:szCs w:val="14"/>
              </w:rPr>
              <w:t>Causadas</w:t>
            </w:r>
          </w:p>
        </w:tc>
        <w:tc>
          <w:tcPr>
            <w:tcW w:w="851" w:type="dxa"/>
            <w:tcBorders>
              <w:top w:val="single" w:sz="8" w:space="0" w:color="auto"/>
              <w:left w:val="nil"/>
              <w:bottom w:val="nil"/>
              <w:right w:val="single" w:sz="4" w:space="0" w:color="808000"/>
            </w:tcBorders>
            <w:shd w:val="clear" w:color="000000" w:fill="FFFF99"/>
            <w:vAlign w:val="center"/>
            <w:hideMark/>
          </w:tcPr>
          <w:p w14:paraId="4E3F5C68" w14:textId="77777777" w:rsidR="001E2C09" w:rsidRPr="006757CB" w:rsidRDefault="001E2C09">
            <w:pPr>
              <w:jc w:val="center"/>
              <w:rPr>
                <w:rFonts w:ascii="Calibri" w:hAnsi="Calibri"/>
                <w:b/>
                <w:bCs/>
                <w:sz w:val="14"/>
                <w:szCs w:val="14"/>
              </w:rPr>
            </w:pPr>
            <w:r w:rsidRPr="006757CB">
              <w:rPr>
                <w:rFonts w:ascii="Calibri" w:hAnsi="Calibri"/>
                <w:b/>
                <w:bCs/>
                <w:sz w:val="14"/>
                <w:szCs w:val="14"/>
              </w:rPr>
              <w:t xml:space="preserve">Mesada </w:t>
            </w:r>
            <w:proofErr w:type="spellStart"/>
            <w:r w:rsidRPr="006757CB">
              <w:rPr>
                <w:rFonts w:ascii="Calibri" w:hAnsi="Calibri"/>
                <w:b/>
                <w:bCs/>
                <w:sz w:val="14"/>
                <w:szCs w:val="14"/>
              </w:rPr>
              <w:t>reliquidada</w:t>
            </w:r>
            <w:proofErr w:type="spellEnd"/>
          </w:p>
        </w:tc>
        <w:tc>
          <w:tcPr>
            <w:tcW w:w="986" w:type="dxa"/>
            <w:tcBorders>
              <w:top w:val="single" w:sz="8" w:space="0" w:color="auto"/>
              <w:left w:val="nil"/>
              <w:bottom w:val="nil"/>
              <w:right w:val="single" w:sz="4" w:space="0" w:color="808000"/>
            </w:tcBorders>
            <w:shd w:val="clear" w:color="000000" w:fill="FFFF99"/>
            <w:vAlign w:val="center"/>
            <w:hideMark/>
          </w:tcPr>
          <w:p w14:paraId="6FC8E1C3" w14:textId="77777777" w:rsidR="001E2C09" w:rsidRPr="006757CB" w:rsidRDefault="001E2C09">
            <w:pPr>
              <w:jc w:val="center"/>
              <w:rPr>
                <w:rFonts w:ascii="Calibri" w:hAnsi="Calibri"/>
                <w:b/>
                <w:bCs/>
                <w:sz w:val="14"/>
                <w:szCs w:val="14"/>
              </w:rPr>
            </w:pPr>
            <w:r w:rsidRPr="006757CB">
              <w:rPr>
                <w:rFonts w:ascii="Calibri" w:hAnsi="Calibri"/>
                <w:b/>
                <w:bCs/>
                <w:sz w:val="14"/>
                <w:szCs w:val="14"/>
              </w:rPr>
              <w:t>Mesada anterior</w:t>
            </w:r>
          </w:p>
        </w:tc>
        <w:tc>
          <w:tcPr>
            <w:tcW w:w="715" w:type="dxa"/>
            <w:tcBorders>
              <w:top w:val="single" w:sz="8" w:space="0" w:color="auto"/>
              <w:left w:val="nil"/>
              <w:bottom w:val="nil"/>
              <w:right w:val="single" w:sz="4" w:space="0" w:color="808000"/>
            </w:tcBorders>
            <w:shd w:val="clear" w:color="000000" w:fill="FFFF99"/>
            <w:vAlign w:val="center"/>
            <w:hideMark/>
          </w:tcPr>
          <w:p w14:paraId="0889E9D5" w14:textId="77777777" w:rsidR="001E2C09" w:rsidRPr="006757CB" w:rsidRDefault="001E2C09">
            <w:pPr>
              <w:jc w:val="center"/>
              <w:rPr>
                <w:rFonts w:ascii="Calibri" w:hAnsi="Calibri"/>
                <w:b/>
                <w:bCs/>
                <w:sz w:val="14"/>
                <w:szCs w:val="14"/>
              </w:rPr>
            </w:pPr>
            <w:r w:rsidRPr="006757CB">
              <w:rPr>
                <w:rFonts w:ascii="Calibri" w:hAnsi="Calibri"/>
                <w:b/>
                <w:bCs/>
                <w:sz w:val="14"/>
                <w:szCs w:val="14"/>
              </w:rPr>
              <w:t>Prescritas</w:t>
            </w:r>
          </w:p>
        </w:tc>
        <w:tc>
          <w:tcPr>
            <w:tcW w:w="850" w:type="dxa"/>
            <w:tcBorders>
              <w:top w:val="single" w:sz="8" w:space="0" w:color="auto"/>
              <w:left w:val="nil"/>
              <w:bottom w:val="nil"/>
              <w:right w:val="single" w:sz="4" w:space="0" w:color="808000"/>
            </w:tcBorders>
            <w:shd w:val="clear" w:color="000000" w:fill="FFFF99"/>
            <w:vAlign w:val="center"/>
            <w:hideMark/>
          </w:tcPr>
          <w:p w14:paraId="2DDC4AC0" w14:textId="77777777" w:rsidR="001E2C09" w:rsidRPr="006757CB" w:rsidRDefault="001E2C09">
            <w:pPr>
              <w:jc w:val="center"/>
              <w:rPr>
                <w:rFonts w:ascii="Calibri" w:hAnsi="Calibri"/>
                <w:b/>
                <w:bCs/>
                <w:sz w:val="14"/>
                <w:szCs w:val="14"/>
              </w:rPr>
            </w:pPr>
            <w:r w:rsidRPr="006757CB">
              <w:rPr>
                <w:rFonts w:ascii="Calibri" w:hAnsi="Calibri"/>
                <w:b/>
                <w:bCs/>
                <w:sz w:val="14"/>
                <w:szCs w:val="14"/>
              </w:rPr>
              <w:t xml:space="preserve"> Diferencias a cancelar </w:t>
            </w:r>
          </w:p>
        </w:tc>
        <w:tc>
          <w:tcPr>
            <w:tcW w:w="580" w:type="dxa"/>
            <w:tcBorders>
              <w:top w:val="single" w:sz="8" w:space="0" w:color="auto"/>
              <w:left w:val="nil"/>
              <w:bottom w:val="nil"/>
              <w:right w:val="single" w:sz="4" w:space="0" w:color="808000"/>
            </w:tcBorders>
            <w:shd w:val="clear" w:color="000000" w:fill="FFFF99"/>
            <w:vAlign w:val="center"/>
            <w:hideMark/>
          </w:tcPr>
          <w:p w14:paraId="772C6E54" w14:textId="77777777" w:rsidR="001E2C09" w:rsidRPr="006757CB" w:rsidRDefault="001E2C09">
            <w:pPr>
              <w:jc w:val="center"/>
              <w:rPr>
                <w:rFonts w:ascii="Calibri" w:hAnsi="Calibri"/>
                <w:b/>
                <w:bCs/>
                <w:sz w:val="14"/>
                <w:szCs w:val="14"/>
              </w:rPr>
            </w:pPr>
            <w:r w:rsidRPr="006757CB">
              <w:rPr>
                <w:rFonts w:ascii="Calibri" w:hAnsi="Calibri"/>
                <w:b/>
                <w:bCs/>
                <w:sz w:val="14"/>
                <w:szCs w:val="14"/>
              </w:rPr>
              <w:t xml:space="preserve">IPC </w:t>
            </w:r>
            <w:proofErr w:type="spellStart"/>
            <w:r w:rsidRPr="006757CB">
              <w:rPr>
                <w:rFonts w:ascii="Calibri" w:hAnsi="Calibri"/>
                <w:b/>
                <w:bCs/>
                <w:sz w:val="14"/>
                <w:szCs w:val="14"/>
              </w:rPr>
              <w:t>Vo</w:t>
            </w:r>
            <w:proofErr w:type="spellEnd"/>
          </w:p>
        </w:tc>
        <w:tc>
          <w:tcPr>
            <w:tcW w:w="979" w:type="dxa"/>
            <w:tcBorders>
              <w:top w:val="single" w:sz="8" w:space="0" w:color="auto"/>
              <w:left w:val="nil"/>
              <w:bottom w:val="nil"/>
              <w:right w:val="single" w:sz="8" w:space="0" w:color="auto"/>
            </w:tcBorders>
            <w:shd w:val="clear" w:color="000000" w:fill="FFFF99"/>
            <w:vAlign w:val="center"/>
            <w:hideMark/>
          </w:tcPr>
          <w:p w14:paraId="7E9190C3" w14:textId="77777777" w:rsidR="001E2C09" w:rsidRPr="006757CB" w:rsidRDefault="001E2C09">
            <w:pPr>
              <w:jc w:val="center"/>
              <w:rPr>
                <w:rFonts w:ascii="Calibri" w:hAnsi="Calibri"/>
                <w:b/>
                <w:bCs/>
                <w:sz w:val="14"/>
                <w:szCs w:val="14"/>
              </w:rPr>
            </w:pPr>
            <w:r w:rsidRPr="006757CB">
              <w:rPr>
                <w:rFonts w:ascii="Calibri" w:hAnsi="Calibri"/>
                <w:b/>
                <w:bCs/>
                <w:sz w:val="14"/>
                <w:szCs w:val="14"/>
              </w:rPr>
              <w:t>Diferencia indexada</w:t>
            </w:r>
          </w:p>
        </w:tc>
      </w:tr>
      <w:tr w:rsidR="006757CB" w:rsidRPr="006757CB" w14:paraId="02FB8BFC" w14:textId="77777777" w:rsidTr="001E2C09">
        <w:trPr>
          <w:trHeight w:val="20"/>
        </w:trPr>
        <w:tc>
          <w:tcPr>
            <w:tcW w:w="699" w:type="dxa"/>
            <w:tcBorders>
              <w:top w:val="single" w:sz="4" w:space="0" w:color="003366"/>
              <w:left w:val="single" w:sz="8" w:space="0" w:color="auto"/>
              <w:bottom w:val="single" w:sz="4" w:space="0" w:color="003366"/>
              <w:right w:val="single" w:sz="4" w:space="0" w:color="003366"/>
            </w:tcBorders>
            <w:shd w:val="clear" w:color="000000" w:fill="FFFFCC"/>
            <w:noWrap/>
            <w:vAlign w:val="bottom"/>
            <w:hideMark/>
          </w:tcPr>
          <w:p w14:paraId="03251763" w14:textId="77777777" w:rsidR="001E2C09" w:rsidRPr="006757CB" w:rsidRDefault="001E2C09">
            <w:pPr>
              <w:jc w:val="center"/>
              <w:rPr>
                <w:rFonts w:ascii="Calibri" w:hAnsi="Calibri"/>
                <w:sz w:val="14"/>
                <w:szCs w:val="14"/>
              </w:rPr>
            </w:pPr>
            <w:r w:rsidRPr="006757CB">
              <w:rPr>
                <w:rFonts w:ascii="Calibri" w:hAnsi="Calibri"/>
                <w:sz w:val="14"/>
                <w:szCs w:val="14"/>
              </w:rPr>
              <w:t>21,63</w:t>
            </w:r>
          </w:p>
        </w:tc>
        <w:tc>
          <w:tcPr>
            <w:tcW w:w="141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0FEEFE8" w14:textId="77777777" w:rsidR="001E2C09" w:rsidRPr="006757CB" w:rsidRDefault="001E2C09">
            <w:pPr>
              <w:jc w:val="right"/>
              <w:rPr>
                <w:rFonts w:ascii="Calibri" w:hAnsi="Calibri"/>
                <w:sz w:val="14"/>
                <w:szCs w:val="14"/>
              </w:rPr>
            </w:pPr>
            <w:r w:rsidRPr="006757CB">
              <w:rPr>
                <w:rFonts w:ascii="Calibri" w:hAnsi="Calibri"/>
                <w:sz w:val="14"/>
                <w:szCs w:val="14"/>
              </w:rPr>
              <w:t>28-sep-96</w:t>
            </w:r>
          </w:p>
        </w:tc>
        <w:tc>
          <w:tcPr>
            <w:tcW w:w="1134" w:type="dxa"/>
            <w:tcBorders>
              <w:top w:val="single" w:sz="4" w:space="0" w:color="808000"/>
              <w:left w:val="nil"/>
              <w:bottom w:val="single" w:sz="4" w:space="0" w:color="808000"/>
              <w:right w:val="single" w:sz="4" w:space="0" w:color="808000"/>
            </w:tcBorders>
            <w:shd w:val="clear" w:color="auto" w:fill="auto"/>
            <w:noWrap/>
            <w:vAlign w:val="center"/>
            <w:hideMark/>
          </w:tcPr>
          <w:p w14:paraId="0F4660F1" w14:textId="77777777" w:rsidR="001E2C09" w:rsidRPr="006757CB" w:rsidRDefault="001E2C09">
            <w:pPr>
              <w:jc w:val="right"/>
              <w:rPr>
                <w:rFonts w:ascii="Calibri" w:hAnsi="Calibri"/>
                <w:sz w:val="14"/>
                <w:szCs w:val="14"/>
              </w:rPr>
            </w:pPr>
            <w:r w:rsidRPr="006757CB">
              <w:rPr>
                <w:rFonts w:ascii="Calibri" w:hAnsi="Calibri"/>
                <w:sz w:val="14"/>
                <w:szCs w:val="14"/>
              </w:rPr>
              <w:t>31-dic-96</w:t>
            </w:r>
          </w:p>
        </w:tc>
        <w:tc>
          <w:tcPr>
            <w:tcW w:w="850"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1A01B6E0" w14:textId="77777777" w:rsidR="001E2C09" w:rsidRPr="006757CB" w:rsidRDefault="001E2C09">
            <w:pPr>
              <w:jc w:val="center"/>
              <w:rPr>
                <w:rFonts w:ascii="Calibri" w:hAnsi="Calibri"/>
                <w:sz w:val="14"/>
                <w:szCs w:val="14"/>
              </w:rPr>
            </w:pPr>
            <w:r w:rsidRPr="006757CB">
              <w:rPr>
                <w:rFonts w:ascii="Calibri" w:hAnsi="Calibri"/>
                <w:sz w:val="14"/>
                <w:szCs w:val="14"/>
              </w:rPr>
              <w:t>4,07</w:t>
            </w:r>
          </w:p>
        </w:tc>
        <w:tc>
          <w:tcPr>
            <w:tcW w:w="851" w:type="dxa"/>
            <w:tcBorders>
              <w:top w:val="single" w:sz="4" w:space="0" w:color="003366"/>
              <w:left w:val="nil"/>
              <w:bottom w:val="single" w:sz="4" w:space="0" w:color="003366"/>
              <w:right w:val="single" w:sz="4" w:space="0" w:color="003366"/>
            </w:tcBorders>
            <w:shd w:val="clear" w:color="000000" w:fill="FFFFCC"/>
            <w:vAlign w:val="bottom"/>
            <w:hideMark/>
          </w:tcPr>
          <w:p w14:paraId="4ED16120" w14:textId="77777777" w:rsidR="001E2C09" w:rsidRPr="006757CB" w:rsidRDefault="001E2C09">
            <w:pPr>
              <w:rPr>
                <w:rFonts w:ascii="Calibri" w:hAnsi="Calibri"/>
                <w:sz w:val="14"/>
                <w:szCs w:val="14"/>
              </w:rPr>
            </w:pPr>
            <w:r w:rsidRPr="006757CB">
              <w:rPr>
                <w:rFonts w:ascii="Calibri" w:hAnsi="Calibri"/>
                <w:sz w:val="14"/>
                <w:szCs w:val="14"/>
              </w:rPr>
              <w:t xml:space="preserve">          320.816 </w:t>
            </w:r>
          </w:p>
        </w:tc>
        <w:tc>
          <w:tcPr>
            <w:tcW w:w="986" w:type="dxa"/>
            <w:tcBorders>
              <w:top w:val="single" w:sz="4" w:space="0" w:color="003366"/>
              <w:left w:val="nil"/>
              <w:bottom w:val="single" w:sz="4" w:space="0" w:color="003366"/>
              <w:right w:val="single" w:sz="4" w:space="0" w:color="003366"/>
            </w:tcBorders>
            <w:shd w:val="clear" w:color="000000" w:fill="FFFFFF"/>
            <w:noWrap/>
            <w:vAlign w:val="center"/>
            <w:hideMark/>
          </w:tcPr>
          <w:p w14:paraId="5187F9D7" w14:textId="77777777" w:rsidR="001E2C09" w:rsidRPr="006757CB" w:rsidRDefault="001E2C09">
            <w:pPr>
              <w:jc w:val="right"/>
              <w:rPr>
                <w:rFonts w:ascii="Calibri" w:hAnsi="Calibri"/>
                <w:sz w:val="14"/>
                <w:szCs w:val="14"/>
              </w:rPr>
            </w:pPr>
            <w:r w:rsidRPr="006757CB">
              <w:rPr>
                <w:rFonts w:ascii="Calibri" w:hAnsi="Calibri"/>
                <w:sz w:val="14"/>
                <w:szCs w:val="14"/>
              </w:rPr>
              <w:t xml:space="preserve">             142.125 </w:t>
            </w:r>
          </w:p>
        </w:tc>
        <w:tc>
          <w:tcPr>
            <w:tcW w:w="715" w:type="dxa"/>
            <w:tcBorders>
              <w:top w:val="single" w:sz="4" w:space="0" w:color="003366"/>
              <w:left w:val="nil"/>
              <w:bottom w:val="single" w:sz="4" w:space="0" w:color="003366"/>
              <w:right w:val="single" w:sz="4" w:space="0" w:color="003366"/>
            </w:tcBorders>
            <w:shd w:val="clear" w:color="000000" w:fill="FFFFFF"/>
            <w:noWrap/>
            <w:vAlign w:val="bottom"/>
            <w:hideMark/>
          </w:tcPr>
          <w:p w14:paraId="6888988D" w14:textId="77777777" w:rsidR="001E2C09" w:rsidRPr="006757CB" w:rsidRDefault="001E2C09">
            <w:pPr>
              <w:jc w:val="center"/>
              <w:rPr>
                <w:rFonts w:ascii="Calibri" w:hAnsi="Calibri"/>
                <w:sz w:val="14"/>
                <w:szCs w:val="14"/>
              </w:rPr>
            </w:pPr>
            <w:r w:rsidRPr="006757CB">
              <w:rPr>
                <w:rFonts w:ascii="Calibri" w:hAnsi="Calibri"/>
                <w:sz w:val="14"/>
                <w:szCs w:val="14"/>
              </w:rPr>
              <w:t xml:space="preserve">             4 </w:t>
            </w:r>
          </w:p>
        </w:tc>
        <w:tc>
          <w:tcPr>
            <w:tcW w:w="850" w:type="dxa"/>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14:paraId="5B514531"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57D85F30" w14:textId="77777777" w:rsidR="001E2C09" w:rsidRPr="006757CB" w:rsidRDefault="001E2C09">
            <w:pPr>
              <w:jc w:val="center"/>
              <w:rPr>
                <w:rFonts w:ascii="Calibri" w:hAnsi="Calibri"/>
                <w:sz w:val="14"/>
                <w:szCs w:val="14"/>
              </w:rPr>
            </w:pPr>
            <w:r w:rsidRPr="006757CB">
              <w:rPr>
                <w:rFonts w:ascii="Calibri" w:hAnsi="Calibri"/>
                <w:sz w:val="14"/>
                <w:szCs w:val="14"/>
              </w:rPr>
              <w:t xml:space="preserve">        38,00 </w:t>
            </w:r>
          </w:p>
        </w:tc>
        <w:tc>
          <w:tcPr>
            <w:tcW w:w="979" w:type="dxa"/>
            <w:tcBorders>
              <w:top w:val="single" w:sz="4" w:space="0" w:color="003366"/>
              <w:left w:val="single" w:sz="4" w:space="0" w:color="003366"/>
              <w:bottom w:val="single" w:sz="4" w:space="0" w:color="003366"/>
              <w:right w:val="single" w:sz="8" w:space="0" w:color="auto"/>
            </w:tcBorders>
            <w:shd w:val="clear" w:color="000000" w:fill="FFFFCC"/>
            <w:vAlign w:val="bottom"/>
            <w:hideMark/>
          </w:tcPr>
          <w:p w14:paraId="22C88DFB"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54FF630C"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07360610" w14:textId="77777777" w:rsidR="001E2C09" w:rsidRPr="006757CB" w:rsidRDefault="001E2C09">
            <w:pPr>
              <w:jc w:val="center"/>
              <w:rPr>
                <w:rFonts w:ascii="Calibri" w:hAnsi="Calibri"/>
                <w:sz w:val="14"/>
                <w:szCs w:val="14"/>
              </w:rPr>
            </w:pPr>
            <w:r w:rsidRPr="006757CB">
              <w:rPr>
                <w:rFonts w:ascii="Calibri" w:hAnsi="Calibri"/>
                <w:sz w:val="14"/>
                <w:szCs w:val="14"/>
              </w:rPr>
              <w:t>17,68</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3E933A2E" w14:textId="77777777" w:rsidR="001E2C09" w:rsidRPr="006757CB" w:rsidRDefault="001E2C09">
            <w:pPr>
              <w:jc w:val="right"/>
              <w:rPr>
                <w:rFonts w:ascii="Calibri" w:hAnsi="Calibri"/>
                <w:sz w:val="14"/>
                <w:szCs w:val="14"/>
              </w:rPr>
            </w:pPr>
            <w:r w:rsidRPr="006757CB">
              <w:rPr>
                <w:rFonts w:ascii="Calibri" w:hAnsi="Calibri"/>
                <w:sz w:val="14"/>
                <w:szCs w:val="14"/>
              </w:rPr>
              <w:t>01-ene-97</w:t>
            </w:r>
          </w:p>
        </w:tc>
        <w:tc>
          <w:tcPr>
            <w:tcW w:w="1134" w:type="dxa"/>
            <w:tcBorders>
              <w:top w:val="nil"/>
              <w:left w:val="nil"/>
              <w:bottom w:val="single" w:sz="4" w:space="0" w:color="808000"/>
              <w:right w:val="single" w:sz="4" w:space="0" w:color="808000"/>
            </w:tcBorders>
            <w:shd w:val="clear" w:color="auto" w:fill="auto"/>
            <w:noWrap/>
            <w:vAlign w:val="center"/>
            <w:hideMark/>
          </w:tcPr>
          <w:p w14:paraId="312BC12E" w14:textId="77777777" w:rsidR="001E2C09" w:rsidRPr="006757CB" w:rsidRDefault="001E2C09">
            <w:pPr>
              <w:jc w:val="right"/>
              <w:rPr>
                <w:rFonts w:ascii="Calibri" w:hAnsi="Calibri"/>
                <w:sz w:val="14"/>
                <w:szCs w:val="14"/>
              </w:rPr>
            </w:pPr>
            <w:r w:rsidRPr="006757CB">
              <w:rPr>
                <w:rFonts w:ascii="Calibri" w:hAnsi="Calibri"/>
                <w:sz w:val="14"/>
                <w:szCs w:val="14"/>
              </w:rPr>
              <w:t>31-dic-97</w:t>
            </w:r>
          </w:p>
        </w:tc>
        <w:tc>
          <w:tcPr>
            <w:tcW w:w="850" w:type="dxa"/>
            <w:tcBorders>
              <w:top w:val="nil"/>
              <w:left w:val="single" w:sz="4" w:space="0" w:color="003366"/>
              <w:bottom w:val="single" w:sz="4" w:space="0" w:color="003366"/>
              <w:right w:val="single" w:sz="4" w:space="0" w:color="003366"/>
            </w:tcBorders>
            <w:shd w:val="clear" w:color="000000" w:fill="FFFFCC"/>
            <w:noWrap/>
            <w:vAlign w:val="bottom"/>
            <w:hideMark/>
          </w:tcPr>
          <w:p w14:paraId="769EE164"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nil"/>
              <w:bottom w:val="single" w:sz="4" w:space="0" w:color="003366"/>
              <w:right w:val="single" w:sz="4" w:space="0" w:color="003366"/>
            </w:tcBorders>
            <w:shd w:val="clear" w:color="000000" w:fill="FFFFCC"/>
            <w:vAlign w:val="bottom"/>
            <w:hideMark/>
          </w:tcPr>
          <w:p w14:paraId="4839B7CF" w14:textId="77777777" w:rsidR="001E2C09" w:rsidRPr="006757CB" w:rsidRDefault="001E2C09">
            <w:pPr>
              <w:rPr>
                <w:rFonts w:ascii="Calibri" w:hAnsi="Calibri"/>
                <w:sz w:val="14"/>
                <w:szCs w:val="14"/>
              </w:rPr>
            </w:pPr>
            <w:r w:rsidRPr="006757CB">
              <w:rPr>
                <w:rFonts w:ascii="Calibri" w:hAnsi="Calibri"/>
                <w:sz w:val="14"/>
                <w:szCs w:val="14"/>
              </w:rPr>
              <w:t xml:space="preserve">          390.209 </w:t>
            </w:r>
          </w:p>
        </w:tc>
        <w:tc>
          <w:tcPr>
            <w:tcW w:w="986" w:type="dxa"/>
            <w:tcBorders>
              <w:top w:val="nil"/>
              <w:left w:val="nil"/>
              <w:bottom w:val="single" w:sz="4" w:space="0" w:color="003366"/>
              <w:right w:val="single" w:sz="4" w:space="0" w:color="003366"/>
            </w:tcBorders>
            <w:shd w:val="clear" w:color="000000" w:fill="FFFFCC"/>
            <w:vAlign w:val="bottom"/>
            <w:hideMark/>
          </w:tcPr>
          <w:p w14:paraId="694D4B0D" w14:textId="77777777" w:rsidR="001E2C09" w:rsidRPr="006757CB" w:rsidRDefault="001E2C09">
            <w:pPr>
              <w:rPr>
                <w:rFonts w:ascii="Calibri" w:hAnsi="Calibri"/>
                <w:sz w:val="14"/>
                <w:szCs w:val="14"/>
              </w:rPr>
            </w:pPr>
            <w:r w:rsidRPr="006757CB">
              <w:rPr>
                <w:rFonts w:ascii="Calibri" w:hAnsi="Calibri"/>
                <w:sz w:val="14"/>
                <w:szCs w:val="14"/>
              </w:rPr>
              <w:t xml:space="preserve">             172.867 </w:t>
            </w:r>
          </w:p>
        </w:tc>
        <w:tc>
          <w:tcPr>
            <w:tcW w:w="715" w:type="dxa"/>
            <w:tcBorders>
              <w:top w:val="nil"/>
              <w:left w:val="nil"/>
              <w:bottom w:val="single" w:sz="4" w:space="0" w:color="003366"/>
              <w:right w:val="single" w:sz="4" w:space="0" w:color="003366"/>
            </w:tcBorders>
            <w:shd w:val="clear" w:color="000000" w:fill="FFFFFF"/>
            <w:noWrap/>
            <w:vAlign w:val="bottom"/>
            <w:hideMark/>
          </w:tcPr>
          <w:p w14:paraId="55451D2B" w14:textId="77777777" w:rsidR="001E2C09" w:rsidRPr="006757CB" w:rsidRDefault="001E2C09">
            <w:pPr>
              <w:jc w:val="center"/>
              <w:rPr>
                <w:rFonts w:ascii="Calibri" w:hAnsi="Calibri"/>
                <w:sz w:val="14"/>
                <w:szCs w:val="14"/>
              </w:rPr>
            </w:pPr>
            <w:r w:rsidRPr="006757CB">
              <w:rPr>
                <w:rFonts w:ascii="Calibri" w:hAnsi="Calibri"/>
                <w:sz w:val="14"/>
                <w:szCs w:val="14"/>
              </w:rPr>
              <w:t xml:space="preserve">          14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577CE697"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6DA7253D" w14:textId="77777777" w:rsidR="001E2C09" w:rsidRPr="006757CB" w:rsidRDefault="001E2C09">
            <w:pPr>
              <w:jc w:val="center"/>
              <w:rPr>
                <w:rFonts w:ascii="Calibri" w:hAnsi="Calibri"/>
                <w:sz w:val="14"/>
                <w:szCs w:val="14"/>
              </w:rPr>
            </w:pPr>
            <w:r w:rsidRPr="006757CB">
              <w:rPr>
                <w:rFonts w:ascii="Calibri" w:hAnsi="Calibri"/>
                <w:sz w:val="14"/>
                <w:szCs w:val="14"/>
              </w:rPr>
              <w:t xml:space="preserve">        44,72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404C9510"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2055EAA4"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6487B433" w14:textId="77777777" w:rsidR="001E2C09" w:rsidRPr="006757CB" w:rsidRDefault="001E2C09">
            <w:pPr>
              <w:jc w:val="center"/>
              <w:rPr>
                <w:rFonts w:ascii="Calibri" w:hAnsi="Calibri"/>
                <w:sz w:val="14"/>
                <w:szCs w:val="14"/>
              </w:rPr>
            </w:pPr>
            <w:r w:rsidRPr="006757CB">
              <w:rPr>
                <w:rFonts w:ascii="Calibri" w:hAnsi="Calibri"/>
                <w:sz w:val="14"/>
                <w:szCs w:val="14"/>
              </w:rPr>
              <w:t>16,70</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4518F77F" w14:textId="77777777" w:rsidR="001E2C09" w:rsidRPr="006757CB" w:rsidRDefault="001E2C09">
            <w:pPr>
              <w:jc w:val="right"/>
              <w:rPr>
                <w:rFonts w:ascii="Calibri" w:hAnsi="Calibri"/>
                <w:sz w:val="14"/>
                <w:szCs w:val="14"/>
              </w:rPr>
            </w:pPr>
            <w:r w:rsidRPr="006757CB">
              <w:rPr>
                <w:rFonts w:ascii="Calibri" w:hAnsi="Calibri"/>
                <w:sz w:val="14"/>
                <w:szCs w:val="14"/>
              </w:rPr>
              <w:t>01-ene-98</w:t>
            </w:r>
          </w:p>
        </w:tc>
        <w:tc>
          <w:tcPr>
            <w:tcW w:w="1134" w:type="dxa"/>
            <w:tcBorders>
              <w:top w:val="nil"/>
              <w:left w:val="nil"/>
              <w:bottom w:val="single" w:sz="4" w:space="0" w:color="808000"/>
              <w:right w:val="single" w:sz="4" w:space="0" w:color="808000"/>
            </w:tcBorders>
            <w:shd w:val="clear" w:color="auto" w:fill="auto"/>
            <w:noWrap/>
            <w:vAlign w:val="center"/>
            <w:hideMark/>
          </w:tcPr>
          <w:p w14:paraId="69DB9D59" w14:textId="77777777" w:rsidR="001E2C09" w:rsidRPr="006757CB" w:rsidRDefault="001E2C09">
            <w:pPr>
              <w:jc w:val="right"/>
              <w:rPr>
                <w:rFonts w:ascii="Calibri" w:hAnsi="Calibri"/>
                <w:sz w:val="14"/>
                <w:szCs w:val="14"/>
              </w:rPr>
            </w:pPr>
            <w:r w:rsidRPr="006757CB">
              <w:rPr>
                <w:rFonts w:ascii="Calibri" w:hAnsi="Calibri"/>
                <w:sz w:val="14"/>
                <w:szCs w:val="14"/>
              </w:rPr>
              <w:t>31-dic-98</w:t>
            </w:r>
          </w:p>
        </w:tc>
        <w:tc>
          <w:tcPr>
            <w:tcW w:w="850" w:type="dxa"/>
            <w:tcBorders>
              <w:top w:val="nil"/>
              <w:left w:val="single" w:sz="4" w:space="0" w:color="003366"/>
              <w:bottom w:val="single" w:sz="4" w:space="0" w:color="003366"/>
              <w:right w:val="single" w:sz="4" w:space="0" w:color="003366"/>
            </w:tcBorders>
            <w:shd w:val="clear" w:color="000000" w:fill="FFFFCC"/>
            <w:noWrap/>
            <w:vAlign w:val="bottom"/>
            <w:hideMark/>
          </w:tcPr>
          <w:p w14:paraId="293053D9"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nil"/>
              <w:bottom w:val="single" w:sz="4" w:space="0" w:color="003366"/>
              <w:right w:val="single" w:sz="4" w:space="0" w:color="003366"/>
            </w:tcBorders>
            <w:shd w:val="clear" w:color="000000" w:fill="FFFFCC"/>
            <w:vAlign w:val="bottom"/>
            <w:hideMark/>
          </w:tcPr>
          <w:p w14:paraId="3E0D709E" w14:textId="77777777" w:rsidR="001E2C09" w:rsidRPr="006757CB" w:rsidRDefault="001E2C09">
            <w:pPr>
              <w:rPr>
                <w:rFonts w:ascii="Calibri" w:hAnsi="Calibri"/>
                <w:sz w:val="14"/>
                <w:szCs w:val="14"/>
              </w:rPr>
            </w:pPr>
            <w:r w:rsidRPr="006757CB">
              <w:rPr>
                <w:rFonts w:ascii="Calibri" w:hAnsi="Calibri"/>
                <w:sz w:val="14"/>
                <w:szCs w:val="14"/>
              </w:rPr>
              <w:t xml:space="preserve">          459.197 </w:t>
            </w:r>
          </w:p>
        </w:tc>
        <w:tc>
          <w:tcPr>
            <w:tcW w:w="986" w:type="dxa"/>
            <w:tcBorders>
              <w:top w:val="nil"/>
              <w:left w:val="nil"/>
              <w:bottom w:val="single" w:sz="4" w:space="0" w:color="003366"/>
              <w:right w:val="single" w:sz="4" w:space="0" w:color="003366"/>
            </w:tcBorders>
            <w:shd w:val="clear" w:color="000000" w:fill="FFFFCC"/>
            <w:vAlign w:val="bottom"/>
            <w:hideMark/>
          </w:tcPr>
          <w:p w14:paraId="24A62D80" w14:textId="77777777" w:rsidR="001E2C09" w:rsidRPr="006757CB" w:rsidRDefault="001E2C09">
            <w:pPr>
              <w:rPr>
                <w:rFonts w:ascii="Calibri" w:hAnsi="Calibri"/>
                <w:sz w:val="14"/>
                <w:szCs w:val="14"/>
              </w:rPr>
            </w:pPr>
            <w:r w:rsidRPr="006757CB">
              <w:rPr>
                <w:rFonts w:ascii="Calibri" w:hAnsi="Calibri"/>
                <w:sz w:val="14"/>
                <w:szCs w:val="14"/>
              </w:rPr>
              <w:t xml:space="preserve">             203.429 </w:t>
            </w:r>
          </w:p>
        </w:tc>
        <w:tc>
          <w:tcPr>
            <w:tcW w:w="715" w:type="dxa"/>
            <w:tcBorders>
              <w:top w:val="nil"/>
              <w:left w:val="nil"/>
              <w:bottom w:val="single" w:sz="4" w:space="0" w:color="003366"/>
              <w:right w:val="single" w:sz="4" w:space="0" w:color="003366"/>
            </w:tcBorders>
            <w:shd w:val="clear" w:color="000000" w:fill="FFFFFF"/>
            <w:noWrap/>
            <w:vAlign w:val="bottom"/>
            <w:hideMark/>
          </w:tcPr>
          <w:p w14:paraId="162C41A6" w14:textId="77777777" w:rsidR="001E2C09" w:rsidRPr="006757CB" w:rsidRDefault="001E2C09">
            <w:pPr>
              <w:jc w:val="center"/>
              <w:rPr>
                <w:rFonts w:ascii="Calibri" w:hAnsi="Calibri"/>
                <w:sz w:val="14"/>
                <w:szCs w:val="14"/>
              </w:rPr>
            </w:pPr>
            <w:r w:rsidRPr="006757CB">
              <w:rPr>
                <w:rFonts w:ascii="Calibri" w:hAnsi="Calibri"/>
                <w:sz w:val="14"/>
                <w:szCs w:val="14"/>
              </w:rPr>
              <w:t xml:space="preserve">          14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3ADF2EFC"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1F1A3D6F" w14:textId="77777777" w:rsidR="001E2C09" w:rsidRPr="006757CB" w:rsidRDefault="001E2C09">
            <w:pPr>
              <w:jc w:val="center"/>
              <w:rPr>
                <w:rFonts w:ascii="Calibri" w:hAnsi="Calibri"/>
                <w:sz w:val="14"/>
                <w:szCs w:val="14"/>
              </w:rPr>
            </w:pPr>
            <w:r w:rsidRPr="006757CB">
              <w:rPr>
                <w:rFonts w:ascii="Calibri" w:hAnsi="Calibri"/>
                <w:sz w:val="14"/>
                <w:szCs w:val="14"/>
              </w:rPr>
              <w:t xml:space="preserve">        52,18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4CB39487"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0E41C9F0"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1B176920" w14:textId="77777777" w:rsidR="001E2C09" w:rsidRPr="006757CB" w:rsidRDefault="001E2C09">
            <w:pPr>
              <w:jc w:val="center"/>
              <w:rPr>
                <w:rFonts w:ascii="Calibri" w:hAnsi="Calibri"/>
                <w:sz w:val="14"/>
                <w:szCs w:val="14"/>
              </w:rPr>
            </w:pPr>
            <w:r w:rsidRPr="006757CB">
              <w:rPr>
                <w:rFonts w:ascii="Calibri" w:hAnsi="Calibri"/>
                <w:sz w:val="14"/>
                <w:szCs w:val="14"/>
              </w:rPr>
              <w:t>9,23</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6C28B867" w14:textId="77777777" w:rsidR="001E2C09" w:rsidRPr="006757CB" w:rsidRDefault="001E2C09">
            <w:pPr>
              <w:jc w:val="right"/>
              <w:rPr>
                <w:rFonts w:ascii="Calibri" w:hAnsi="Calibri"/>
                <w:sz w:val="14"/>
                <w:szCs w:val="14"/>
              </w:rPr>
            </w:pPr>
            <w:r w:rsidRPr="006757CB">
              <w:rPr>
                <w:rFonts w:ascii="Calibri" w:hAnsi="Calibri"/>
                <w:sz w:val="14"/>
                <w:szCs w:val="14"/>
              </w:rPr>
              <w:t>01-ene-99</w:t>
            </w:r>
          </w:p>
        </w:tc>
        <w:tc>
          <w:tcPr>
            <w:tcW w:w="1134" w:type="dxa"/>
            <w:tcBorders>
              <w:top w:val="nil"/>
              <w:left w:val="nil"/>
              <w:bottom w:val="single" w:sz="4" w:space="0" w:color="808000"/>
              <w:right w:val="single" w:sz="4" w:space="0" w:color="808000"/>
            </w:tcBorders>
            <w:shd w:val="clear" w:color="auto" w:fill="auto"/>
            <w:noWrap/>
            <w:vAlign w:val="center"/>
            <w:hideMark/>
          </w:tcPr>
          <w:p w14:paraId="71374811" w14:textId="77777777" w:rsidR="001E2C09" w:rsidRPr="006757CB" w:rsidRDefault="001E2C09">
            <w:pPr>
              <w:jc w:val="right"/>
              <w:rPr>
                <w:rFonts w:ascii="Calibri" w:hAnsi="Calibri"/>
                <w:sz w:val="14"/>
                <w:szCs w:val="14"/>
              </w:rPr>
            </w:pPr>
            <w:r w:rsidRPr="006757CB">
              <w:rPr>
                <w:rFonts w:ascii="Calibri" w:hAnsi="Calibri"/>
                <w:sz w:val="14"/>
                <w:szCs w:val="14"/>
              </w:rPr>
              <w:t>31-dic-99</w:t>
            </w:r>
          </w:p>
        </w:tc>
        <w:tc>
          <w:tcPr>
            <w:tcW w:w="850" w:type="dxa"/>
            <w:tcBorders>
              <w:top w:val="nil"/>
              <w:left w:val="single" w:sz="4" w:space="0" w:color="003366"/>
              <w:bottom w:val="single" w:sz="4" w:space="0" w:color="003366"/>
              <w:right w:val="single" w:sz="4" w:space="0" w:color="003366"/>
            </w:tcBorders>
            <w:shd w:val="clear" w:color="000000" w:fill="FFFFCC"/>
            <w:noWrap/>
            <w:vAlign w:val="bottom"/>
            <w:hideMark/>
          </w:tcPr>
          <w:p w14:paraId="70D4AFBB"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nil"/>
              <w:bottom w:val="single" w:sz="4" w:space="0" w:color="003366"/>
              <w:right w:val="single" w:sz="4" w:space="0" w:color="003366"/>
            </w:tcBorders>
            <w:shd w:val="clear" w:color="000000" w:fill="FFFFCC"/>
            <w:vAlign w:val="bottom"/>
            <w:hideMark/>
          </w:tcPr>
          <w:p w14:paraId="2A668701" w14:textId="77777777" w:rsidR="001E2C09" w:rsidRPr="006757CB" w:rsidRDefault="001E2C09">
            <w:pPr>
              <w:rPr>
                <w:rFonts w:ascii="Calibri" w:hAnsi="Calibri"/>
                <w:sz w:val="14"/>
                <w:szCs w:val="14"/>
              </w:rPr>
            </w:pPr>
            <w:r w:rsidRPr="006757CB">
              <w:rPr>
                <w:rFonts w:ascii="Calibri" w:hAnsi="Calibri"/>
                <w:sz w:val="14"/>
                <w:szCs w:val="14"/>
              </w:rPr>
              <w:t xml:space="preserve">          535.883 </w:t>
            </w:r>
          </w:p>
        </w:tc>
        <w:tc>
          <w:tcPr>
            <w:tcW w:w="986" w:type="dxa"/>
            <w:tcBorders>
              <w:top w:val="nil"/>
              <w:left w:val="nil"/>
              <w:bottom w:val="single" w:sz="4" w:space="0" w:color="003366"/>
              <w:right w:val="single" w:sz="4" w:space="0" w:color="003366"/>
            </w:tcBorders>
            <w:shd w:val="clear" w:color="000000" w:fill="FFFFCC"/>
            <w:vAlign w:val="bottom"/>
            <w:hideMark/>
          </w:tcPr>
          <w:p w14:paraId="3A5604C2" w14:textId="77777777" w:rsidR="001E2C09" w:rsidRPr="006757CB" w:rsidRDefault="001E2C09">
            <w:pPr>
              <w:rPr>
                <w:rFonts w:ascii="Calibri" w:hAnsi="Calibri"/>
                <w:sz w:val="14"/>
                <w:szCs w:val="14"/>
              </w:rPr>
            </w:pPr>
            <w:r w:rsidRPr="006757CB">
              <w:rPr>
                <w:rFonts w:ascii="Calibri" w:hAnsi="Calibri"/>
                <w:sz w:val="14"/>
                <w:szCs w:val="14"/>
              </w:rPr>
              <w:t xml:space="preserve">             237.402 </w:t>
            </w:r>
          </w:p>
        </w:tc>
        <w:tc>
          <w:tcPr>
            <w:tcW w:w="715" w:type="dxa"/>
            <w:tcBorders>
              <w:top w:val="nil"/>
              <w:left w:val="nil"/>
              <w:bottom w:val="single" w:sz="4" w:space="0" w:color="003366"/>
              <w:right w:val="single" w:sz="4" w:space="0" w:color="003366"/>
            </w:tcBorders>
            <w:shd w:val="clear" w:color="000000" w:fill="FFFFFF"/>
            <w:noWrap/>
            <w:vAlign w:val="bottom"/>
            <w:hideMark/>
          </w:tcPr>
          <w:p w14:paraId="110166B0" w14:textId="77777777" w:rsidR="001E2C09" w:rsidRPr="006757CB" w:rsidRDefault="001E2C09">
            <w:pPr>
              <w:jc w:val="center"/>
              <w:rPr>
                <w:rFonts w:ascii="Calibri" w:hAnsi="Calibri"/>
                <w:sz w:val="14"/>
                <w:szCs w:val="14"/>
              </w:rPr>
            </w:pPr>
            <w:r w:rsidRPr="006757CB">
              <w:rPr>
                <w:rFonts w:ascii="Calibri" w:hAnsi="Calibri"/>
                <w:sz w:val="14"/>
                <w:szCs w:val="14"/>
              </w:rPr>
              <w:t xml:space="preserve">          14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7DCD2A1A"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42D5222E" w14:textId="77777777" w:rsidR="001E2C09" w:rsidRPr="006757CB" w:rsidRDefault="001E2C09">
            <w:pPr>
              <w:jc w:val="center"/>
              <w:rPr>
                <w:rFonts w:ascii="Calibri" w:hAnsi="Calibri"/>
                <w:sz w:val="14"/>
                <w:szCs w:val="14"/>
              </w:rPr>
            </w:pPr>
            <w:r w:rsidRPr="006757CB">
              <w:rPr>
                <w:rFonts w:ascii="Calibri" w:hAnsi="Calibri"/>
                <w:sz w:val="14"/>
                <w:szCs w:val="14"/>
              </w:rPr>
              <w:t xml:space="preserve">        57,00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058D0692"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60D01B93"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0CECA6D3" w14:textId="77777777" w:rsidR="001E2C09" w:rsidRPr="006757CB" w:rsidRDefault="001E2C09">
            <w:pPr>
              <w:jc w:val="center"/>
              <w:rPr>
                <w:rFonts w:ascii="Calibri" w:hAnsi="Calibri"/>
                <w:sz w:val="14"/>
                <w:szCs w:val="14"/>
              </w:rPr>
            </w:pPr>
            <w:r w:rsidRPr="006757CB">
              <w:rPr>
                <w:rFonts w:ascii="Calibri" w:hAnsi="Calibri"/>
                <w:sz w:val="14"/>
                <w:szCs w:val="14"/>
              </w:rPr>
              <w:t>8,75</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6DC8ADB0" w14:textId="77777777" w:rsidR="001E2C09" w:rsidRPr="006757CB" w:rsidRDefault="001E2C09">
            <w:pPr>
              <w:jc w:val="right"/>
              <w:rPr>
                <w:rFonts w:ascii="Calibri" w:hAnsi="Calibri"/>
                <w:sz w:val="14"/>
                <w:szCs w:val="14"/>
              </w:rPr>
            </w:pPr>
            <w:r w:rsidRPr="006757CB">
              <w:rPr>
                <w:rFonts w:ascii="Calibri" w:hAnsi="Calibri"/>
                <w:sz w:val="14"/>
                <w:szCs w:val="14"/>
              </w:rPr>
              <w:t>01-ene-00</w:t>
            </w:r>
          </w:p>
        </w:tc>
        <w:tc>
          <w:tcPr>
            <w:tcW w:w="1134" w:type="dxa"/>
            <w:tcBorders>
              <w:top w:val="nil"/>
              <w:left w:val="nil"/>
              <w:bottom w:val="single" w:sz="4" w:space="0" w:color="808000"/>
              <w:right w:val="single" w:sz="4" w:space="0" w:color="808000"/>
            </w:tcBorders>
            <w:shd w:val="clear" w:color="auto" w:fill="auto"/>
            <w:noWrap/>
            <w:vAlign w:val="center"/>
            <w:hideMark/>
          </w:tcPr>
          <w:p w14:paraId="46BC2C41" w14:textId="77777777" w:rsidR="001E2C09" w:rsidRPr="006757CB" w:rsidRDefault="001E2C09">
            <w:pPr>
              <w:jc w:val="right"/>
              <w:rPr>
                <w:rFonts w:ascii="Calibri" w:hAnsi="Calibri"/>
                <w:sz w:val="14"/>
                <w:szCs w:val="14"/>
              </w:rPr>
            </w:pPr>
            <w:r w:rsidRPr="006757CB">
              <w:rPr>
                <w:rFonts w:ascii="Calibri" w:hAnsi="Calibri"/>
                <w:sz w:val="14"/>
                <w:szCs w:val="14"/>
              </w:rPr>
              <w:t>31-dic-00</w:t>
            </w:r>
          </w:p>
        </w:tc>
        <w:tc>
          <w:tcPr>
            <w:tcW w:w="850" w:type="dxa"/>
            <w:tcBorders>
              <w:top w:val="nil"/>
              <w:left w:val="single" w:sz="4" w:space="0" w:color="003366"/>
              <w:bottom w:val="single" w:sz="4" w:space="0" w:color="003366"/>
              <w:right w:val="single" w:sz="4" w:space="0" w:color="003366"/>
            </w:tcBorders>
            <w:shd w:val="clear" w:color="000000" w:fill="FFFFCC"/>
            <w:noWrap/>
            <w:vAlign w:val="bottom"/>
            <w:hideMark/>
          </w:tcPr>
          <w:p w14:paraId="3BFA8212"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nil"/>
              <w:bottom w:val="single" w:sz="4" w:space="0" w:color="003366"/>
              <w:right w:val="single" w:sz="4" w:space="0" w:color="003366"/>
            </w:tcBorders>
            <w:shd w:val="clear" w:color="000000" w:fill="FFFFCC"/>
            <w:vAlign w:val="bottom"/>
            <w:hideMark/>
          </w:tcPr>
          <w:p w14:paraId="145CB8D2" w14:textId="77777777" w:rsidR="001E2C09" w:rsidRPr="006757CB" w:rsidRDefault="001E2C09">
            <w:pPr>
              <w:rPr>
                <w:rFonts w:ascii="Calibri" w:hAnsi="Calibri"/>
                <w:sz w:val="14"/>
                <w:szCs w:val="14"/>
              </w:rPr>
            </w:pPr>
            <w:r w:rsidRPr="006757CB">
              <w:rPr>
                <w:rFonts w:ascii="Calibri" w:hAnsi="Calibri"/>
                <w:sz w:val="14"/>
                <w:szCs w:val="14"/>
              </w:rPr>
              <w:t xml:space="preserve">          585.345 </w:t>
            </w:r>
          </w:p>
        </w:tc>
        <w:tc>
          <w:tcPr>
            <w:tcW w:w="986" w:type="dxa"/>
            <w:tcBorders>
              <w:top w:val="nil"/>
              <w:left w:val="nil"/>
              <w:bottom w:val="single" w:sz="4" w:space="0" w:color="003366"/>
              <w:right w:val="single" w:sz="4" w:space="0" w:color="003366"/>
            </w:tcBorders>
            <w:shd w:val="clear" w:color="000000" w:fill="FFFFCC"/>
            <w:vAlign w:val="bottom"/>
            <w:hideMark/>
          </w:tcPr>
          <w:p w14:paraId="442B0051" w14:textId="77777777" w:rsidR="001E2C09" w:rsidRPr="006757CB" w:rsidRDefault="001E2C09">
            <w:pPr>
              <w:rPr>
                <w:rFonts w:ascii="Calibri" w:hAnsi="Calibri"/>
                <w:sz w:val="14"/>
                <w:szCs w:val="14"/>
              </w:rPr>
            </w:pPr>
            <w:r w:rsidRPr="006757CB">
              <w:rPr>
                <w:rFonts w:ascii="Calibri" w:hAnsi="Calibri"/>
                <w:sz w:val="14"/>
                <w:szCs w:val="14"/>
              </w:rPr>
              <w:t xml:space="preserve">             259.314 </w:t>
            </w:r>
          </w:p>
        </w:tc>
        <w:tc>
          <w:tcPr>
            <w:tcW w:w="715" w:type="dxa"/>
            <w:tcBorders>
              <w:top w:val="nil"/>
              <w:left w:val="nil"/>
              <w:bottom w:val="single" w:sz="4" w:space="0" w:color="003366"/>
              <w:right w:val="single" w:sz="4" w:space="0" w:color="003366"/>
            </w:tcBorders>
            <w:shd w:val="clear" w:color="000000" w:fill="FFFFFF"/>
            <w:noWrap/>
            <w:vAlign w:val="bottom"/>
            <w:hideMark/>
          </w:tcPr>
          <w:p w14:paraId="40B80DD3" w14:textId="77777777" w:rsidR="001E2C09" w:rsidRPr="006757CB" w:rsidRDefault="001E2C09">
            <w:pPr>
              <w:jc w:val="center"/>
              <w:rPr>
                <w:rFonts w:ascii="Calibri" w:hAnsi="Calibri"/>
                <w:sz w:val="14"/>
                <w:szCs w:val="14"/>
              </w:rPr>
            </w:pPr>
            <w:r w:rsidRPr="006757CB">
              <w:rPr>
                <w:rFonts w:ascii="Calibri" w:hAnsi="Calibri"/>
                <w:sz w:val="14"/>
                <w:szCs w:val="14"/>
              </w:rPr>
              <w:t xml:space="preserve">          14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6FF72ECB"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78CB0519" w14:textId="77777777" w:rsidR="001E2C09" w:rsidRPr="006757CB" w:rsidRDefault="001E2C09">
            <w:pPr>
              <w:jc w:val="center"/>
              <w:rPr>
                <w:rFonts w:ascii="Calibri" w:hAnsi="Calibri"/>
                <w:sz w:val="14"/>
                <w:szCs w:val="14"/>
              </w:rPr>
            </w:pPr>
            <w:r w:rsidRPr="006757CB">
              <w:rPr>
                <w:rFonts w:ascii="Calibri" w:hAnsi="Calibri"/>
                <w:sz w:val="14"/>
                <w:szCs w:val="14"/>
              </w:rPr>
              <w:t xml:space="preserve">        61,99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1F8F8AE4"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42D27F1B"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2ABED2EF" w14:textId="77777777" w:rsidR="001E2C09" w:rsidRPr="006757CB" w:rsidRDefault="001E2C09">
            <w:pPr>
              <w:jc w:val="center"/>
              <w:rPr>
                <w:rFonts w:ascii="Calibri" w:hAnsi="Calibri"/>
                <w:sz w:val="14"/>
                <w:szCs w:val="14"/>
              </w:rPr>
            </w:pPr>
            <w:r w:rsidRPr="006757CB">
              <w:rPr>
                <w:rFonts w:ascii="Calibri" w:hAnsi="Calibri"/>
                <w:sz w:val="14"/>
                <w:szCs w:val="14"/>
              </w:rPr>
              <w:t>7,65</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75AEF050" w14:textId="77777777" w:rsidR="001E2C09" w:rsidRPr="006757CB" w:rsidRDefault="001E2C09">
            <w:pPr>
              <w:jc w:val="right"/>
              <w:rPr>
                <w:rFonts w:ascii="Calibri" w:hAnsi="Calibri"/>
                <w:sz w:val="14"/>
                <w:szCs w:val="14"/>
              </w:rPr>
            </w:pPr>
            <w:r w:rsidRPr="006757CB">
              <w:rPr>
                <w:rFonts w:ascii="Calibri" w:hAnsi="Calibri"/>
                <w:sz w:val="14"/>
                <w:szCs w:val="14"/>
              </w:rPr>
              <w:t>01-ene-01</w:t>
            </w:r>
          </w:p>
        </w:tc>
        <w:tc>
          <w:tcPr>
            <w:tcW w:w="1134" w:type="dxa"/>
            <w:tcBorders>
              <w:top w:val="nil"/>
              <w:left w:val="nil"/>
              <w:bottom w:val="single" w:sz="4" w:space="0" w:color="808000"/>
              <w:right w:val="single" w:sz="4" w:space="0" w:color="808000"/>
            </w:tcBorders>
            <w:shd w:val="clear" w:color="auto" w:fill="auto"/>
            <w:noWrap/>
            <w:vAlign w:val="center"/>
            <w:hideMark/>
          </w:tcPr>
          <w:p w14:paraId="534636EE" w14:textId="77777777" w:rsidR="001E2C09" w:rsidRPr="006757CB" w:rsidRDefault="001E2C09">
            <w:pPr>
              <w:jc w:val="right"/>
              <w:rPr>
                <w:rFonts w:ascii="Calibri" w:hAnsi="Calibri"/>
                <w:sz w:val="14"/>
                <w:szCs w:val="14"/>
              </w:rPr>
            </w:pPr>
            <w:r w:rsidRPr="006757CB">
              <w:rPr>
                <w:rFonts w:ascii="Calibri" w:hAnsi="Calibri"/>
                <w:sz w:val="14"/>
                <w:szCs w:val="14"/>
              </w:rPr>
              <w:t>31-dic-01</w:t>
            </w:r>
          </w:p>
        </w:tc>
        <w:tc>
          <w:tcPr>
            <w:tcW w:w="850" w:type="dxa"/>
            <w:tcBorders>
              <w:top w:val="nil"/>
              <w:left w:val="nil"/>
              <w:bottom w:val="nil"/>
              <w:right w:val="nil"/>
            </w:tcBorders>
            <w:shd w:val="clear" w:color="000000" w:fill="FFFFCC"/>
            <w:noWrap/>
            <w:vAlign w:val="bottom"/>
            <w:hideMark/>
          </w:tcPr>
          <w:p w14:paraId="47B62AB1"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3290A729" w14:textId="77777777" w:rsidR="001E2C09" w:rsidRPr="006757CB" w:rsidRDefault="001E2C09">
            <w:pPr>
              <w:rPr>
                <w:rFonts w:ascii="Calibri" w:hAnsi="Calibri"/>
                <w:sz w:val="14"/>
                <w:szCs w:val="14"/>
              </w:rPr>
            </w:pPr>
            <w:r w:rsidRPr="006757CB">
              <w:rPr>
                <w:rFonts w:ascii="Calibri" w:hAnsi="Calibri"/>
                <w:sz w:val="14"/>
                <w:szCs w:val="14"/>
              </w:rPr>
              <w:t xml:space="preserve">          636.563 </w:t>
            </w:r>
          </w:p>
        </w:tc>
        <w:tc>
          <w:tcPr>
            <w:tcW w:w="986" w:type="dxa"/>
            <w:tcBorders>
              <w:top w:val="nil"/>
              <w:left w:val="nil"/>
              <w:bottom w:val="single" w:sz="4" w:space="0" w:color="003366"/>
              <w:right w:val="single" w:sz="4" w:space="0" w:color="003366"/>
            </w:tcBorders>
            <w:shd w:val="clear" w:color="000000" w:fill="FFFFCC"/>
            <w:vAlign w:val="bottom"/>
            <w:hideMark/>
          </w:tcPr>
          <w:p w14:paraId="7269A815" w14:textId="77777777" w:rsidR="001E2C09" w:rsidRPr="006757CB" w:rsidRDefault="001E2C09">
            <w:pPr>
              <w:rPr>
                <w:rFonts w:ascii="Calibri" w:hAnsi="Calibri"/>
                <w:sz w:val="14"/>
                <w:szCs w:val="14"/>
              </w:rPr>
            </w:pPr>
            <w:r w:rsidRPr="006757CB">
              <w:rPr>
                <w:rFonts w:ascii="Calibri" w:hAnsi="Calibri"/>
                <w:sz w:val="14"/>
                <w:szCs w:val="14"/>
              </w:rPr>
              <w:t xml:space="preserve">             282.004 </w:t>
            </w:r>
          </w:p>
        </w:tc>
        <w:tc>
          <w:tcPr>
            <w:tcW w:w="715" w:type="dxa"/>
            <w:tcBorders>
              <w:top w:val="nil"/>
              <w:left w:val="nil"/>
              <w:bottom w:val="single" w:sz="4" w:space="0" w:color="003366"/>
              <w:right w:val="single" w:sz="4" w:space="0" w:color="003366"/>
            </w:tcBorders>
            <w:shd w:val="clear" w:color="000000" w:fill="FFFFFF"/>
            <w:noWrap/>
            <w:vAlign w:val="bottom"/>
            <w:hideMark/>
          </w:tcPr>
          <w:p w14:paraId="5A6225D0" w14:textId="77777777" w:rsidR="001E2C09" w:rsidRPr="006757CB" w:rsidRDefault="001E2C09">
            <w:pPr>
              <w:jc w:val="center"/>
              <w:rPr>
                <w:rFonts w:ascii="Calibri" w:hAnsi="Calibri"/>
                <w:sz w:val="14"/>
                <w:szCs w:val="14"/>
              </w:rPr>
            </w:pPr>
            <w:r w:rsidRPr="006757CB">
              <w:rPr>
                <w:rFonts w:ascii="Calibri" w:hAnsi="Calibri"/>
                <w:sz w:val="14"/>
                <w:szCs w:val="14"/>
              </w:rPr>
              <w:t xml:space="preserve">          14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025183E5"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0C3D87D1" w14:textId="77777777" w:rsidR="001E2C09" w:rsidRPr="006757CB" w:rsidRDefault="001E2C09">
            <w:pPr>
              <w:jc w:val="center"/>
              <w:rPr>
                <w:rFonts w:ascii="Calibri" w:hAnsi="Calibri"/>
                <w:sz w:val="14"/>
                <w:szCs w:val="14"/>
              </w:rPr>
            </w:pPr>
            <w:r w:rsidRPr="006757CB">
              <w:rPr>
                <w:rFonts w:ascii="Calibri" w:hAnsi="Calibri"/>
                <w:sz w:val="14"/>
                <w:szCs w:val="14"/>
              </w:rPr>
              <w:t xml:space="preserve">        66,73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2F900311"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279A7503"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2062F488" w14:textId="77777777" w:rsidR="001E2C09" w:rsidRPr="006757CB" w:rsidRDefault="001E2C09">
            <w:pPr>
              <w:jc w:val="center"/>
              <w:rPr>
                <w:rFonts w:ascii="Calibri" w:hAnsi="Calibri"/>
                <w:sz w:val="14"/>
                <w:szCs w:val="14"/>
              </w:rPr>
            </w:pPr>
            <w:r w:rsidRPr="006757CB">
              <w:rPr>
                <w:rFonts w:ascii="Calibri" w:hAnsi="Calibri"/>
                <w:sz w:val="14"/>
                <w:szCs w:val="14"/>
              </w:rPr>
              <w:t>6,99</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0F4BCCBE" w14:textId="77777777" w:rsidR="001E2C09" w:rsidRPr="006757CB" w:rsidRDefault="001E2C09">
            <w:pPr>
              <w:jc w:val="right"/>
              <w:rPr>
                <w:rFonts w:ascii="Calibri" w:hAnsi="Calibri"/>
                <w:sz w:val="14"/>
                <w:szCs w:val="14"/>
              </w:rPr>
            </w:pPr>
            <w:r w:rsidRPr="006757CB">
              <w:rPr>
                <w:rFonts w:ascii="Calibri" w:hAnsi="Calibri"/>
                <w:sz w:val="14"/>
                <w:szCs w:val="14"/>
              </w:rPr>
              <w:t>01-ene-02</w:t>
            </w:r>
          </w:p>
        </w:tc>
        <w:tc>
          <w:tcPr>
            <w:tcW w:w="1134" w:type="dxa"/>
            <w:tcBorders>
              <w:top w:val="nil"/>
              <w:left w:val="nil"/>
              <w:bottom w:val="single" w:sz="4" w:space="0" w:color="808000"/>
              <w:right w:val="single" w:sz="4" w:space="0" w:color="808000"/>
            </w:tcBorders>
            <w:shd w:val="clear" w:color="auto" w:fill="auto"/>
            <w:noWrap/>
            <w:vAlign w:val="center"/>
            <w:hideMark/>
          </w:tcPr>
          <w:p w14:paraId="69FA4580" w14:textId="77777777" w:rsidR="001E2C09" w:rsidRPr="006757CB" w:rsidRDefault="001E2C09">
            <w:pPr>
              <w:jc w:val="right"/>
              <w:rPr>
                <w:rFonts w:ascii="Calibri" w:hAnsi="Calibri"/>
                <w:sz w:val="14"/>
                <w:szCs w:val="14"/>
              </w:rPr>
            </w:pPr>
            <w:r w:rsidRPr="006757CB">
              <w:rPr>
                <w:rFonts w:ascii="Calibri" w:hAnsi="Calibri"/>
                <w:sz w:val="14"/>
                <w:szCs w:val="14"/>
              </w:rPr>
              <w:t>31-dic-02</w:t>
            </w:r>
          </w:p>
        </w:tc>
        <w:tc>
          <w:tcPr>
            <w:tcW w:w="850" w:type="dxa"/>
            <w:tcBorders>
              <w:top w:val="nil"/>
              <w:left w:val="nil"/>
              <w:bottom w:val="nil"/>
              <w:right w:val="nil"/>
            </w:tcBorders>
            <w:shd w:val="clear" w:color="000000" w:fill="FFFFCC"/>
            <w:noWrap/>
            <w:vAlign w:val="bottom"/>
            <w:hideMark/>
          </w:tcPr>
          <w:p w14:paraId="41492D58"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2F5D6DC0" w14:textId="77777777" w:rsidR="001E2C09" w:rsidRPr="006757CB" w:rsidRDefault="001E2C09">
            <w:pPr>
              <w:rPr>
                <w:rFonts w:ascii="Calibri" w:hAnsi="Calibri"/>
                <w:sz w:val="14"/>
                <w:szCs w:val="14"/>
              </w:rPr>
            </w:pPr>
            <w:r w:rsidRPr="006757CB">
              <w:rPr>
                <w:rFonts w:ascii="Calibri" w:hAnsi="Calibri"/>
                <w:sz w:val="14"/>
                <w:szCs w:val="14"/>
              </w:rPr>
              <w:t xml:space="preserve">          685.260 </w:t>
            </w:r>
          </w:p>
        </w:tc>
        <w:tc>
          <w:tcPr>
            <w:tcW w:w="986" w:type="dxa"/>
            <w:tcBorders>
              <w:top w:val="nil"/>
              <w:left w:val="nil"/>
              <w:bottom w:val="single" w:sz="4" w:space="0" w:color="003366"/>
              <w:right w:val="single" w:sz="4" w:space="0" w:color="003366"/>
            </w:tcBorders>
            <w:shd w:val="clear" w:color="000000" w:fill="FFFFCC"/>
            <w:vAlign w:val="bottom"/>
            <w:hideMark/>
          </w:tcPr>
          <w:p w14:paraId="2E481DFE" w14:textId="77777777" w:rsidR="001E2C09" w:rsidRPr="006757CB" w:rsidRDefault="001E2C09">
            <w:pPr>
              <w:rPr>
                <w:rFonts w:ascii="Calibri" w:hAnsi="Calibri"/>
                <w:sz w:val="14"/>
                <w:szCs w:val="14"/>
              </w:rPr>
            </w:pPr>
            <w:r w:rsidRPr="006757CB">
              <w:rPr>
                <w:rFonts w:ascii="Calibri" w:hAnsi="Calibri"/>
                <w:sz w:val="14"/>
                <w:szCs w:val="14"/>
              </w:rPr>
              <w:t xml:space="preserve">             303.578 </w:t>
            </w:r>
          </w:p>
        </w:tc>
        <w:tc>
          <w:tcPr>
            <w:tcW w:w="715" w:type="dxa"/>
            <w:tcBorders>
              <w:top w:val="nil"/>
              <w:left w:val="nil"/>
              <w:bottom w:val="single" w:sz="4" w:space="0" w:color="003366"/>
              <w:right w:val="single" w:sz="4" w:space="0" w:color="003366"/>
            </w:tcBorders>
            <w:shd w:val="clear" w:color="000000" w:fill="FFFFFF"/>
            <w:noWrap/>
            <w:vAlign w:val="bottom"/>
            <w:hideMark/>
          </w:tcPr>
          <w:p w14:paraId="1FB35871" w14:textId="77777777" w:rsidR="001E2C09" w:rsidRPr="006757CB" w:rsidRDefault="001E2C09">
            <w:pPr>
              <w:jc w:val="center"/>
              <w:rPr>
                <w:rFonts w:ascii="Calibri" w:hAnsi="Calibri"/>
                <w:sz w:val="14"/>
                <w:szCs w:val="14"/>
              </w:rPr>
            </w:pPr>
            <w:r w:rsidRPr="006757CB">
              <w:rPr>
                <w:rFonts w:ascii="Calibri" w:hAnsi="Calibri"/>
                <w:sz w:val="14"/>
                <w:szCs w:val="14"/>
              </w:rPr>
              <w:t xml:space="preserve">          14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3E549F3F"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4F6E1691" w14:textId="77777777" w:rsidR="001E2C09" w:rsidRPr="006757CB" w:rsidRDefault="001E2C09">
            <w:pPr>
              <w:jc w:val="center"/>
              <w:rPr>
                <w:rFonts w:ascii="Calibri" w:hAnsi="Calibri"/>
                <w:sz w:val="14"/>
                <w:szCs w:val="14"/>
              </w:rPr>
            </w:pPr>
            <w:r w:rsidRPr="006757CB">
              <w:rPr>
                <w:rFonts w:ascii="Calibri" w:hAnsi="Calibri"/>
                <w:sz w:val="14"/>
                <w:szCs w:val="14"/>
              </w:rPr>
              <w:t xml:space="preserve">        71,40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4D649AFB"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51F53CEF"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6B87C828" w14:textId="77777777" w:rsidR="001E2C09" w:rsidRPr="006757CB" w:rsidRDefault="001E2C09">
            <w:pPr>
              <w:jc w:val="center"/>
              <w:rPr>
                <w:rFonts w:ascii="Calibri" w:hAnsi="Calibri"/>
                <w:sz w:val="14"/>
                <w:szCs w:val="14"/>
              </w:rPr>
            </w:pPr>
            <w:r w:rsidRPr="006757CB">
              <w:rPr>
                <w:rFonts w:ascii="Calibri" w:hAnsi="Calibri"/>
                <w:sz w:val="14"/>
                <w:szCs w:val="14"/>
              </w:rPr>
              <w:t>6,49</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53169F17" w14:textId="77777777" w:rsidR="001E2C09" w:rsidRPr="006757CB" w:rsidRDefault="001E2C09">
            <w:pPr>
              <w:jc w:val="right"/>
              <w:rPr>
                <w:rFonts w:ascii="Calibri" w:hAnsi="Calibri"/>
                <w:sz w:val="14"/>
                <w:szCs w:val="14"/>
              </w:rPr>
            </w:pPr>
            <w:r w:rsidRPr="006757CB">
              <w:rPr>
                <w:rFonts w:ascii="Calibri" w:hAnsi="Calibri"/>
                <w:sz w:val="14"/>
                <w:szCs w:val="14"/>
              </w:rPr>
              <w:t>01-ene-03</w:t>
            </w:r>
          </w:p>
        </w:tc>
        <w:tc>
          <w:tcPr>
            <w:tcW w:w="1134" w:type="dxa"/>
            <w:tcBorders>
              <w:top w:val="nil"/>
              <w:left w:val="nil"/>
              <w:bottom w:val="single" w:sz="4" w:space="0" w:color="808000"/>
              <w:right w:val="single" w:sz="4" w:space="0" w:color="808000"/>
            </w:tcBorders>
            <w:shd w:val="clear" w:color="auto" w:fill="auto"/>
            <w:noWrap/>
            <w:vAlign w:val="center"/>
            <w:hideMark/>
          </w:tcPr>
          <w:p w14:paraId="25E2193D" w14:textId="77777777" w:rsidR="001E2C09" w:rsidRPr="006757CB" w:rsidRDefault="001E2C09">
            <w:pPr>
              <w:jc w:val="right"/>
              <w:rPr>
                <w:rFonts w:ascii="Calibri" w:hAnsi="Calibri"/>
                <w:sz w:val="14"/>
                <w:szCs w:val="14"/>
              </w:rPr>
            </w:pPr>
            <w:r w:rsidRPr="006757CB">
              <w:rPr>
                <w:rFonts w:ascii="Calibri" w:hAnsi="Calibri"/>
                <w:sz w:val="14"/>
                <w:szCs w:val="14"/>
              </w:rPr>
              <w:t>31-dic-03</w:t>
            </w:r>
          </w:p>
        </w:tc>
        <w:tc>
          <w:tcPr>
            <w:tcW w:w="850" w:type="dxa"/>
            <w:tcBorders>
              <w:top w:val="nil"/>
              <w:left w:val="nil"/>
              <w:bottom w:val="nil"/>
              <w:right w:val="nil"/>
            </w:tcBorders>
            <w:shd w:val="clear" w:color="000000" w:fill="FFFFCC"/>
            <w:noWrap/>
            <w:vAlign w:val="bottom"/>
            <w:hideMark/>
          </w:tcPr>
          <w:p w14:paraId="6DEEF181"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02B3D27C" w14:textId="77777777" w:rsidR="001E2C09" w:rsidRPr="006757CB" w:rsidRDefault="001E2C09">
            <w:pPr>
              <w:rPr>
                <w:rFonts w:ascii="Calibri" w:hAnsi="Calibri"/>
                <w:sz w:val="14"/>
                <w:szCs w:val="14"/>
              </w:rPr>
            </w:pPr>
            <w:r w:rsidRPr="006757CB">
              <w:rPr>
                <w:rFonts w:ascii="Calibri" w:hAnsi="Calibri"/>
                <w:sz w:val="14"/>
                <w:szCs w:val="14"/>
              </w:rPr>
              <w:t xml:space="preserve">          733.160 </w:t>
            </w:r>
          </w:p>
        </w:tc>
        <w:tc>
          <w:tcPr>
            <w:tcW w:w="986" w:type="dxa"/>
            <w:tcBorders>
              <w:top w:val="nil"/>
              <w:left w:val="nil"/>
              <w:bottom w:val="single" w:sz="4" w:space="0" w:color="003366"/>
              <w:right w:val="single" w:sz="4" w:space="0" w:color="003366"/>
            </w:tcBorders>
            <w:shd w:val="clear" w:color="000000" w:fill="FFFFCC"/>
            <w:vAlign w:val="bottom"/>
            <w:hideMark/>
          </w:tcPr>
          <w:p w14:paraId="479E92D2" w14:textId="77777777" w:rsidR="001E2C09" w:rsidRPr="006757CB" w:rsidRDefault="001E2C09">
            <w:pPr>
              <w:rPr>
                <w:rFonts w:ascii="Calibri" w:hAnsi="Calibri"/>
                <w:sz w:val="14"/>
                <w:szCs w:val="14"/>
              </w:rPr>
            </w:pPr>
            <w:r w:rsidRPr="006757CB">
              <w:rPr>
                <w:rFonts w:ascii="Calibri" w:hAnsi="Calibri"/>
                <w:sz w:val="14"/>
                <w:szCs w:val="14"/>
              </w:rPr>
              <w:t xml:space="preserve">             324.798 </w:t>
            </w:r>
          </w:p>
        </w:tc>
        <w:tc>
          <w:tcPr>
            <w:tcW w:w="715" w:type="dxa"/>
            <w:tcBorders>
              <w:top w:val="nil"/>
              <w:left w:val="nil"/>
              <w:bottom w:val="single" w:sz="4" w:space="0" w:color="003366"/>
              <w:right w:val="single" w:sz="4" w:space="0" w:color="003366"/>
            </w:tcBorders>
            <w:shd w:val="clear" w:color="000000" w:fill="FFFFFF"/>
            <w:noWrap/>
            <w:vAlign w:val="bottom"/>
            <w:hideMark/>
          </w:tcPr>
          <w:p w14:paraId="29736FD7" w14:textId="77777777" w:rsidR="001E2C09" w:rsidRPr="006757CB" w:rsidRDefault="001E2C09">
            <w:pPr>
              <w:jc w:val="center"/>
              <w:rPr>
                <w:rFonts w:ascii="Calibri" w:hAnsi="Calibri"/>
                <w:sz w:val="14"/>
                <w:szCs w:val="14"/>
              </w:rPr>
            </w:pPr>
            <w:r w:rsidRPr="006757CB">
              <w:rPr>
                <w:rFonts w:ascii="Calibri" w:hAnsi="Calibri"/>
                <w:sz w:val="14"/>
                <w:szCs w:val="14"/>
              </w:rPr>
              <w:t xml:space="preserve">          14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4C9644A6"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3BD48153" w14:textId="77777777" w:rsidR="001E2C09" w:rsidRPr="006757CB" w:rsidRDefault="001E2C09">
            <w:pPr>
              <w:jc w:val="center"/>
              <w:rPr>
                <w:rFonts w:ascii="Calibri" w:hAnsi="Calibri"/>
                <w:sz w:val="14"/>
                <w:szCs w:val="14"/>
              </w:rPr>
            </w:pPr>
            <w:r w:rsidRPr="006757CB">
              <w:rPr>
                <w:rFonts w:ascii="Calibri" w:hAnsi="Calibri"/>
                <w:sz w:val="14"/>
                <w:szCs w:val="14"/>
              </w:rPr>
              <w:t xml:space="preserve">        76,03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62723201"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6CCF7C7A"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482F7E3B" w14:textId="77777777" w:rsidR="001E2C09" w:rsidRPr="006757CB" w:rsidRDefault="001E2C09">
            <w:pPr>
              <w:jc w:val="center"/>
              <w:rPr>
                <w:rFonts w:ascii="Calibri" w:hAnsi="Calibri"/>
                <w:sz w:val="14"/>
                <w:szCs w:val="14"/>
              </w:rPr>
            </w:pPr>
            <w:r w:rsidRPr="006757CB">
              <w:rPr>
                <w:rFonts w:ascii="Calibri" w:hAnsi="Calibri"/>
                <w:sz w:val="14"/>
                <w:szCs w:val="14"/>
              </w:rPr>
              <w:t>5,50</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610A7C5E" w14:textId="77777777" w:rsidR="001E2C09" w:rsidRPr="006757CB" w:rsidRDefault="001E2C09">
            <w:pPr>
              <w:jc w:val="right"/>
              <w:rPr>
                <w:rFonts w:ascii="Calibri" w:hAnsi="Calibri"/>
                <w:sz w:val="14"/>
                <w:szCs w:val="14"/>
              </w:rPr>
            </w:pPr>
            <w:r w:rsidRPr="006757CB">
              <w:rPr>
                <w:rFonts w:ascii="Calibri" w:hAnsi="Calibri"/>
                <w:sz w:val="14"/>
                <w:szCs w:val="14"/>
              </w:rPr>
              <w:t>01-ene-04</w:t>
            </w:r>
          </w:p>
        </w:tc>
        <w:tc>
          <w:tcPr>
            <w:tcW w:w="1134" w:type="dxa"/>
            <w:tcBorders>
              <w:top w:val="nil"/>
              <w:left w:val="nil"/>
              <w:bottom w:val="single" w:sz="4" w:space="0" w:color="808000"/>
              <w:right w:val="single" w:sz="4" w:space="0" w:color="808000"/>
            </w:tcBorders>
            <w:shd w:val="clear" w:color="auto" w:fill="auto"/>
            <w:noWrap/>
            <w:vAlign w:val="center"/>
            <w:hideMark/>
          </w:tcPr>
          <w:p w14:paraId="6A52014E" w14:textId="77777777" w:rsidR="001E2C09" w:rsidRPr="006757CB" w:rsidRDefault="001E2C09">
            <w:pPr>
              <w:jc w:val="right"/>
              <w:rPr>
                <w:rFonts w:ascii="Calibri" w:hAnsi="Calibri"/>
                <w:sz w:val="14"/>
                <w:szCs w:val="14"/>
              </w:rPr>
            </w:pPr>
            <w:r w:rsidRPr="006757CB">
              <w:rPr>
                <w:rFonts w:ascii="Calibri" w:hAnsi="Calibri"/>
                <w:sz w:val="14"/>
                <w:szCs w:val="14"/>
              </w:rPr>
              <w:t>31-dic-04</w:t>
            </w:r>
          </w:p>
        </w:tc>
        <w:tc>
          <w:tcPr>
            <w:tcW w:w="850" w:type="dxa"/>
            <w:tcBorders>
              <w:top w:val="nil"/>
              <w:left w:val="nil"/>
              <w:bottom w:val="nil"/>
              <w:right w:val="nil"/>
            </w:tcBorders>
            <w:shd w:val="clear" w:color="000000" w:fill="FFFFCC"/>
            <w:noWrap/>
            <w:vAlign w:val="bottom"/>
            <w:hideMark/>
          </w:tcPr>
          <w:p w14:paraId="67090166"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5F878DC1" w14:textId="77777777" w:rsidR="001E2C09" w:rsidRPr="006757CB" w:rsidRDefault="001E2C09">
            <w:pPr>
              <w:rPr>
                <w:rFonts w:ascii="Calibri" w:hAnsi="Calibri"/>
                <w:sz w:val="14"/>
                <w:szCs w:val="14"/>
              </w:rPr>
            </w:pPr>
            <w:r w:rsidRPr="006757CB">
              <w:rPr>
                <w:rFonts w:ascii="Calibri" w:hAnsi="Calibri"/>
                <w:sz w:val="14"/>
                <w:szCs w:val="14"/>
              </w:rPr>
              <w:t xml:space="preserve">          780.742 </w:t>
            </w:r>
          </w:p>
        </w:tc>
        <w:tc>
          <w:tcPr>
            <w:tcW w:w="986" w:type="dxa"/>
            <w:tcBorders>
              <w:top w:val="nil"/>
              <w:left w:val="nil"/>
              <w:bottom w:val="single" w:sz="4" w:space="0" w:color="003366"/>
              <w:right w:val="single" w:sz="4" w:space="0" w:color="003366"/>
            </w:tcBorders>
            <w:shd w:val="clear" w:color="000000" w:fill="FFFFCC"/>
            <w:vAlign w:val="bottom"/>
            <w:hideMark/>
          </w:tcPr>
          <w:p w14:paraId="6E560DEF" w14:textId="77777777" w:rsidR="001E2C09" w:rsidRPr="006757CB" w:rsidRDefault="001E2C09">
            <w:pPr>
              <w:rPr>
                <w:rFonts w:ascii="Calibri" w:hAnsi="Calibri"/>
                <w:sz w:val="14"/>
                <w:szCs w:val="14"/>
              </w:rPr>
            </w:pPr>
            <w:r w:rsidRPr="006757CB">
              <w:rPr>
                <w:rFonts w:ascii="Calibri" w:hAnsi="Calibri"/>
                <w:sz w:val="14"/>
                <w:szCs w:val="14"/>
              </w:rPr>
              <w:t xml:space="preserve">             345.877 </w:t>
            </w:r>
          </w:p>
        </w:tc>
        <w:tc>
          <w:tcPr>
            <w:tcW w:w="715" w:type="dxa"/>
            <w:tcBorders>
              <w:top w:val="nil"/>
              <w:left w:val="nil"/>
              <w:bottom w:val="single" w:sz="4" w:space="0" w:color="003366"/>
              <w:right w:val="single" w:sz="4" w:space="0" w:color="003366"/>
            </w:tcBorders>
            <w:shd w:val="clear" w:color="000000" w:fill="FFFFFF"/>
            <w:noWrap/>
            <w:vAlign w:val="bottom"/>
            <w:hideMark/>
          </w:tcPr>
          <w:p w14:paraId="76618E72" w14:textId="77777777" w:rsidR="001E2C09" w:rsidRPr="006757CB" w:rsidRDefault="001E2C09">
            <w:pPr>
              <w:jc w:val="center"/>
              <w:rPr>
                <w:rFonts w:ascii="Calibri" w:hAnsi="Calibri"/>
                <w:sz w:val="14"/>
                <w:szCs w:val="14"/>
              </w:rPr>
            </w:pPr>
            <w:r w:rsidRPr="006757CB">
              <w:rPr>
                <w:rFonts w:ascii="Calibri" w:hAnsi="Calibri"/>
                <w:sz w:val="14"/>
                <w:szCs w:val="14"/>
              </w:rPr>
              <w:t xml:space="preserve">          14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17A298BD"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53CA3EBC" w14:textId="77777777" w:rsidR="001E2C09" w:rsidRPr="006757CB" w:rsidRDefault="001E2C09">
            <w:pPr>
              <w:jc w:val="center"/>
              <w:rPr>
                <w:rFonts w:ascii="Calibri" w:hAnsi="Calibri"/>
                <w:sz w:val="14"/>
                <w:szCs w:val="14"/>
              </w:rPr>
            </w:pPr>
            <w:r w:rsidRPr="006757CB">
              <w:rPr>
                <w:rFonts w:ascii="Calibri" w:hAnsi="Calibri"/>
                <w:sz w:val="14"/>
                <w:szCs w:val="14"/>
              </w:rPr>
              <w:t xml:space="preserve">        80,21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10D5955B"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649C11E4"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6EE74BE7" w14:textId="77777777" w:rsidR="001E2C09" w:rsidRPr="006757CB" w:rsidRDefault="001E2C09">
            <w:pPr>
              <w:jc w:val="center"/>
              <w:rPr>
                <w:rFonts w:ascii="Calibri" w:hAnsi="Calibri"/>
                <w:sz w:val="14"/>
                <w:szCs w:val="14"/>
              </w:rPr>
            </w:pPr>
            <w:r w:rsidRPr="006757CB">
              <w:rPr>
                <w:rFonts w:ascii="Calibri" w:hAnsi="Calibri"/>
                <w:sz w:val="14"/>
                <w:szCs w:val="14"/>
              </w:rPr>
              <w:t>4,85</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3A57D93A" w14:textId="77777777" w:rsidR="001E2C09" w:rsidRPr="006757CB" w:rsidRDefault="001E2C09">
            <w:pPr>
              <w:jc w:val="right"/>
              <w:rPr>
                <w:rFonts w:ascii="Calibri" w:hAnsi="Calibri"/>
                <w:sz w:val="14"/>
                <w:szCs w:val="14"/>
              </w:rPr>
            </w:pPr>
            <w:r w:rsidRPr="006757CB">
              <w:rPr>
                <w:rFonts w:ascii="Calibri" w:hAnsi="Calibri"/>
                <w:sz w:val="14"/>
                <w:szCs w:val="14"/>
              </w:rPr>
              <w:t>01-ene-05</w:t>
            </w:r>
          </w:p>
        </w:tc>
        <w:tc>
          <w:tcPr>
            <w:tcW w:w="1134" w:type="dxa"/>
            <w:tcBorders>
              <w:top w:val="nil"/>
              <w:left w:val="nil"/>
              <w:bottom w:val="single" w:sz="4" w:space="0" w:color="808000"/>
              <w:right w:val="single" w:sz="4" w:space="0" w:color="808000"/>
            </w:tcBorders>
            <w:shd w:val="clear" w:color="auto" w:fill="auto"/>
            <w:noWrap/>
            <w:vAlign w:val="center"/>
            <w:hideMark/>
          </w:tcPr>
          <w:p w14:paraId="573546BB" w14:textId="77777777" w:rsidR="001E2C09" w:rsidRPr="006757CB" w:rsidRDefault="001E2C09">
            <w:pPr>
              <w:jc w:val="right"/>
              <w:rPr>
                <w:rFonts w:ascii="Calibri" w:hAnsi="Calibri"/>
                <w:sz w:val="14"/>
                <w:szCs w:val="14"/>
              </w:rPr>
            </w:pPr>
            <w:r w:rsidRPr="006757CB">
              <w:rPr>
                <w:rFonts w:ascii="Calibri" w:hAnsi="Calibri"/>
                <w:sz w:val="14"/>
                <w:szCs w:val="14"/>
              </w:rPr>
              <w:t>31-dic-05</w:t>
            </w:r>
          </w:p>
        </w:tc>
        <w:tc>
          <w:tcPr>
            <w:tcW w:w="850" w:type="dxa"/>
            <w:tcBorders>
              <w:top w:val="nil"/>
              <w:left w:val="nil"/>
              <w:bottom w:val="nil"/>
              <w:right w:val="nil"/>
            </w:tcBorders>
            <w:shd w:val="clear" w:color="000000" w:fill="FFFFCC"/>
            <w:noWrap/>
            <w:vAlign w:val="bottom"/>
            <w:hideMark/>
          </w:tcPr>
          <w:p w14:paraId="31E76AC5"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15F7E48E" w14:textId="77777777" w:rsidR="001E2C09" w:rsidRPr="006757CB" w:rsidRDefault="001E2C09">
            <w:pPr>
              <w:rPr>
                <w:rFonts w:ascii="Calibri" w:hAnsi="Calibri"/>
                <w:sz w:val="14"/>
                <w:szCs w:val="14"/>
              </w:rPr>
            </w:pPr>
            <w:r w:rsidRPr="006757CB">
              <w:rPr>
                <w:rFonts w:ascii="Calibri" w:hAnsi="Calibri"/>
                <w:sz w:val="14"/>
                <w:szCs w:val="14"/>
              </w:rPr>
              <w:t xml:space="preserve">          823.683 </w:t>
            </w:r>
          </w:p>
        </w:tc>
        <w:tc>
          <w:tcPr>
            <w:tcW w:w="986" w:type="dxa"/>
            <w:tcBorders>
              <w:top w:val="nil"/>
              <w:left w:val="nil"/>
              <w:bottom w:val="single" w:sz="4" w:space="0" w:color="003366"/>
              <w:right w:val="single" w:sz="4" w:space="0" w:color="003366"/>
            </w:tcBorders>
            <w:shd w:val="clear" w:color="000000" w:fill="FFFFCC"/>
            <w:vAlign w:val="bottom"/>
            <w:hideMark/>
          </w:tcPr>
          <w:p w14:paraId="6207DF05" w14:textId="77777777" w:rsidR="001E2C09" w:rsidRPr="006757CB" w:rsidRDefault="001E2C09">
            <w:pPr>
              <w:rPr>
                <w:rFonts w:ascii="Calibri" w:hAnsi="Calibri"/>
                <w:sz w:val="14"/>
                <w:szCs w:val="14"/>
              </w:rPr>
            </w:pPr>
            <w:r w:rsidRPr="006757CB">
              <w:rPr>
                <w:rFonts w:ascii="Calibri" w:hAnsi="Calibri"/>
                <w:sz w:val="14"/>
                <w:szCs w:val="14"/>
              </w:rPr>
              <w:t xml:space="preserve">             364.900 </w:t>
            </w:r>
          </w:p>
        </w:tc>
        <w:tc>
          <w:tcPr>
            <w:tcW w:w="715" w:type="dxa"/>
            <w:tcBorders>
              <w:top w:val="nil"/>
              <w:left w:val="nil"/>
              <w:bottom w:val="single" w:sz="4" w:space="0" w:color="003366"/>
              <w:right w:val="single" w:sz="4" w:space="0" w:color="003366"/>
            </w:tcBorders>
            <w:shd w:val="clear" w:color="000000" w:fill="FFFFFF"/>
            <w:noWrap/>
            <w:vAlign w:val="bottom"/>
            <w:hideMark/>
          </w:tcPr>
          <w:p w14:paraId="6303AEF0" w14:textId="77777777" w:rsidR="001E2C09" w:rsidRPr="006757CB" w:rsidRDefault="001E2C09">
            <w:pPr>
              <w:jc w:val="center"/>
              <w:rPr>
                <w:rFonts w:ascii="Calibri" w:hAnsi="Calibri"/>
                <w:sz w:val="14"/>
                <w:szCs w:val="14"/>
              </w:rPr>
            </w:pPr>
            <w:r w:rsidRPr="006757CB">
              <w:rPr>
                <w:rFonts w:ascii="Calibri" w:hAnsi="Calibri"/>
                <w:sz w:val="14"/>
                <w:szCs w:val="14"/>
              </w:rPr>
              <w:t xml:space="preserve">          14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1F5B0B26"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02C7821B" w14:textId="77777777" w:rsidR="001E2C09" w:rsidRPr="006757CB" w:rsidRDefault="001E2C09">
            <w:pPr>
              <w:jc w:val="center"/>
              <w:rPr>
                <w:rFonts w:ascii="Calibri" w:hAnsi="Calibri"/>
                <w:sz w:val="14"/>
                <w:szCs w:val="14"/>
              </w:rPr>
            </w:pPr>
            <w:r w:rsidRPr="006757CB">
              <w:rPr>
                <w:rFonts w:ascii="Calibri" w:hAnsi="Calibri"/>
                <w:sz w:val="14"/>
                <w:szCs w:val="14"/>
              </w:rPr>
              <w:t xml:space="preserve">        84,10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3AD6FC5B"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3C7EA98D"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526738B6" w14:textId="77777777" w:rsidR="001E2C09" w:rsidRPr="006757CB" w:rsidRDefault="001E2C09">
            <w:pPr>
              <w:jc w:val="center"/>
              <w:rPr>
                <w:rFonts w:ascii="Calibri" w:hAnsi="Calibri"/>
                <w:sz w:val="14"/>
                <w:szCs w:val="14"/>
              </w:rPr>
            </w:pPr>
            <w:r w:rsidRPr="006757CB">
              <w:rPr>
                <w:rFonts w:ascii="Calibri" w:hAnsi="Calibri"/>
                <w:sz w:val="14"/>
                <w:szCs w:val="14"/>
              </w:rPr>
              <w:t>4,48</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5CF772A3" w14:textId="77777777" w:rsidR="001E2C09" w:rsidRPr="006757CB" w:rsidRDefault="001E2C09">
            <w:pPr>
              <w:jc w:val="right"/>
              <w:rPr>
                <w:rFonts w:ascii="Calibri" w:hAnsi="Calibri"/>
                <w:sz w:val="14"/>
                <w:szCs w:val="14"/>
              </w:rPr>
            </w:pPr>
            <w:r w:rsidRPr="006757CB">
              <w:rPr>
                <w:rFonts w:ascii="Calibri" w:hAnsi="Calibri"/>
                <w:sz w:val="14"/>
                <w:szCs w:val="14"/>
              </w:rPr>
              <w:t>01-ene-06</w:t>
            </w:r>
          </w:p>
        </w:tc>
        <w:tc>
          <w:tcPr>
            <w:tcW w:w="1134" w:type="dxa"/>
            <w:tcBorders>
              <w:top w:val="nil"/>
              <w:left w:val="nil"/>
              <w:bottom w:val="single" w:sz="4" w:space="0" w:color="808000"/>
              <w:right w:val="single" w:sz="4" w:space="0" w:color="808000"/>
            </w:tcBorders>
            <w:shd w:val="clear" w:color="auto" w:fill="auto"/>
            <w:noWrap/>
            <w:vAlign w:val="center"/>
            <w:hideMark/>
          </w:tcPr>
          <w:p w14:paraId="1BF5ACDC" w14:textId="77777777" w:rsidR="001E2C09" w:rsidRPr="006757CB" w:rsidRDefault="001E2C09">
            <w:pPr>
              <w:jc w:val="right"/>
              <w:rPr>
                <w:rFonts w:ascii="Calibri" w:hAnsi="Calibri"/>
                <w:sz w:val="14"/>
                <w:szCs w:val="14"/>
              </w:rPr>
            </w:pPr>
            <w:r w:rsidRPr="006757CB">
              <w:rPr>
                <w:rFonts w:ascii="Calibri" w:hAnsi="Calibri"/>
                <w:sz w:val="14"/>
                <w:szCs w:val="14"/>
              </w:rPr>
              <w:t>31-dic-06</w:t>
            </w:r>
          </w:p>
        </w:tc>
        <w:tc>
          <w:tcPr>
            <w:tcW w:w="850" w:type="dxa"/>
            <w:tcBorders>
              <w:top w:val="nil"/>
              <w:left w:val="nil"/>
              <w:bottom w:val="nil"/>
              <w:right w:val="nil"/>
            </w:tcBorders>
            <w:shd w:val="clear" w:color="000000" w:fill="FFFFCC"/>
            <w:noWrap/>
            <w:vAlign w:val="bottom"/>
            <w:hideMark/>
          </w:tcPr>
          <w:p w14:paraId="3AF53F00"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6D7EBCFD" w14:textId="77777777" w:rsidR="001E2C09" w:rsidRPr="006757CB" w:rsidRDefault="001E2C09">
            <w:pPr>
              <w:rPr>
                <w:rFonts w:ascii="Calibri" w:hAnsi="Calibri"/>
                <w:sz w:val="14"/>
                <w:szCs w:val="14"/>
              </w:rPr>
            </w:pPr>
            <w:r w:rsidRPr="006757CB">
              <w:rPr>
                <w:rFonts w:ascii="Calibri" w:hAnsi="Calibri"/>
                <w:sz w:val="14"/>
                <w:szCs w:val="14"/>
              </w:rPr>
              <w:t xml:space="preserve">          863.631 </w:t>
            </w:r>
          </w:p>
        </w:tc>
        <w:tc>
          <w:tcPr>
            <w:tcW w:w="986" w:type="dxa"/>
            <w:tcBorders>
              <w:top w:val="nil"/>
              <w:left w:val="nil"/>
              <w:bottom w:val="single" w:sz="4" w:space="0" w:color="003366"/>
              <w:right w:val="single" w:sz="4" w:space="0" w:color="003366"/>
            </w:tcBorders>
            <w:shd w:val="clear" w:color="000000" w:fill="FFFFCC"/>
            <w:vAlign w:val="bottom"/>
            <w:hideMark/>
          </w:tcPr>
          <w:p w14:paraId="32251585" w14:textId="77777777" w:rsidR="001E2C09" w:rsidRPr="006757CB" w:rsidRDefault="001E2C09">
            <w:pPr>
              <w:rPr>
                <w:rFonts w:ascii="Calibri" w:hAnsi="Calibri"/>
                <w:sz w:val="14"/>
                <w:szCs w:val="14"/>
              </w:rPr>
            </w:pPr>
            <w:r w:rsidRPr="006757CB">
              <w:rPr>
                <w:rFonts w:ascii="Calibri" w:hAnsi="Calibri"/>
                <w:sz w:val="14"/>
                <w:szCs w:val="14"/>
              </w:rPr>
              <w:t xml:space="preserve">             382.598 </w:t>
            </w:r>
          </w:p>
        </w:tc>
        <w:tc>
          <w:tcPr>
            <w:tcW w:w="715" w:type="dxa"/>
            <w:tcBorders>
              <w:top w:val="nil"/>
              <w:left w:val="nil"/>
              <w:bottom w:val="single" w:sz="4" w:space="0" w:color="003366"/>
              <w:right w:val="single" w:sz="4" w:space="0" w:color="003366"/>
            </w:tcBorders>
            <w:shd w:val="clear" w:color="000000" w:fill="FFFFFF"/>
            <w:noWrap/>
            <w:vAlign w:val="bottom"/>
            <w:hideMark/>
          </w:tcPr>
          <w:p w14:paraId="53B76076" w14:textId="77777777" w:rsidR="001E2C09" w:rsidRPr="006757CB" w:rsidRDefault="001E2C09">
            <w:pPr>
              <w:jc w:val="center"/>
              <w:rPr>
                <w:rFonts w:ascii="Calibri" w:hAnsi="Calibri"/>
                <w:sz w:val="14"/>
                <w:szCs w:val="14"/>
              </w:rPr>
            </w:pPr>
            <w:r w:rsidRPr="006757CB">
              <w:rPr>
                <w:rFonts w:ascii="Calibri" w:hAnsi="Calibri"/>
                <w:sz w:val="14"/>
                <w:szCs w:val="14"/>
              </w:rPr>
              <w:t xml:space="preserve">          14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3CFC8435"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3E68A9F7" w14:textId="77777777" w:rsidR="001E2C09" w:rsidRPr="006757CB" w:rsidRDefault="001E2C09">
            <w:pPr>
              <w:jc w:val="center"/>
              <w:rPr>
                <w:rFonts w:ascii="Calibri" w:hAnsi="Calibri"/>
                <w:sz w:val="14"/>
                <w:szCs w:val="14"/>
              </w:rPr>
            </w:pPr>
            <w:r w:rsidRPr="006757CB">
              <w:rPr>
                <w:rFonts w:ascii="Calibri" w:hAnsi="Calibri"/>
                <w:sz w:val="14"/>
                <w:szCs w:val="14"/>
              </w:rPr>
              <w:t xml:space="preserve">        87,87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504D31DC"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7FD67992"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623B5DE3" w14:textId="77777777" w:rsidR="001E2C09" w:rsidRPr="006757CB" w:rsidRDefault="001E2C09">
            <w:pPr>
              <w:jc w:val="center"/>
              <w:rPr>
                <w:rFonts w:ascii="Calibri" w:hAnsi="Calibri"/>
                <w:sz w:val="14"/>
                <w:szCs w:val="14"/>
              </w:rPr>
            </w:pPr>
            <w:r w:rsidRPr="006757CB">
              <w:rPr>
                <w:rFonts w:ascii="Calibri" w:hAnsi="Calibri"/>
                <w:sz w:val="14"/>
                <w:szCs w:val="14"/>
              </w:rPr>
              <w:t>5,69</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1A8DBB3D" w14:textId="77777777" w:rsidR="001E2C09" w:rsidRPr="006757CB" w:rsidRDefault="001E2C09">
            <w:pPr>
              <w:jc w:val="right"/>
              <w:rPr>
                <w:rFonts w:ascii="Calibri" w:hAnsi="Calibri"/>
                <w:sz w:val="14"/>
                <w:szCs w:val="14"/>
              </w:rPr>
            </w:pPr>
            <w:r w:rsidRPr="006757CB">
              <w:rPr>
                <w:rFonts w:ascii="Calibri" w:hAnsi="Calibri"/>
                <w:sz w:val="14"/>
                <w:szCs w:val="14"/>
              </w:rPr>
              <w:t>01-ene-07</w:t>
            </w:r>
          </w:p>
        </w:tc>
        <w:tc>
          <w:tcPr>
            <w:tcW w:w="1134" w:type="dxa"/>
            <w:tcBorders>
              <w:top w:val="nil"/>
              <w:left w:val="nil"/>
              <w:bottom w:val="single" w:sz="4" w:space="0" w:color="808000"/>
              <w:right w:val="single" w:sz="4" w:space="0" w:color="808000"/>
            </w:tcBorders>
            <w:shd w:val="clear" w:color="auto" w:fill="auto"/>
            <w:noWrap/>
            <w:vAlign w:val="center"/>
            <w:hideMark/>
          </w:tcPr>
          <w:p w14:paraId="4A54CA9B" w14:textId="77777777" w:rsidR="001E2C09" w:rsidRPr="006757CB" w:rsidRDefault="001E2C09">
            <w:pPr>
              <w:jc w:val="right"/>
              <w:rPr>
                <w:rFonts w:ascii="Calibri" w:hAnsi="Calibri"/>
                <w:sz w:val="14"/>
                <w:szCs w:val="14"/>
              </w:rPr>
            </w:pPr>
            <w:r w:rsidRPr="006757CB">
              <w:rPr>
                <w:rFonts w:ascii="Calibri" w:hAnsi="Calibri"/>
                <w:sz w:val="14"/>
                <w:szCs w:val="14"/>
              </w:rPr>
              <w:t>31-dic-07</w:t>
            </w:r>
          </w:p>
        </w:tc>
        <w:tc>
          <w:tcPr>
            <w:tcW w:w="850" w:type="dxa"/>
            <w:tcBorders>
              <w:top w:val="nil"/>
              <w:left w:val="nil"/>
              <w:bottom w:val="nil"/>
              <w:right w:val="nil"/>
            </w:tcBorders>
            <w:shd w:val="clear" w:color="000000" w:fill="FFFFCC"/>
            <w:noWrap/>
            <w:vAlign w:val="bottom"/>
            <w:hideMark/>
          </w:tcPr>
          <w:p w14:paraId="31ED8609"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003BC610" w14:textId="77777777" w:rsidR="001E2C09" w:rsidRPr="006757CB" w:rsidRDefault="001E2C09">
            <w:pPr>
              <w:rPr>
                <w:rFonts w:ascii="Calibri" w:hAnsi="Calibri"/>
                <w:sz w:val="14"/>
                <w:szCs w:val="14"/>
              </w:rPr>
            </w:pPr>
            <w:r w:rsidRPr="006757CB">
              <w:rPr>
                <w:rFonts w:ascii="Calibri" w:hAnsi="Calibri"/>
                <w:sz w:val="14"/>
                <w:szCs w:val="14"/>
              </w:rPr>
              <w:t xml:space="preserve">          902.322 </w:t>
            </w:r>
          </w:p>
        </w:tc>
        <w:tc>
          <w:tcPr>
            <w:tcW w:w="986" w:type="dxa"/>
            <w:tcBorders>
              <w:top w:val="nil"/>
              <w:left w:val="nil"/>
              <w:bottom w:val="single" w:sz="4" w:space="0" w:color="003366"/>
              <w:right w:val="single" w:sz="4" w:space="0" w:color="003366"/>
            </w:tcBorders>
            <w:shd w:val="clear" w:color="000000" w:fill="FFFFCC"/>
            <w:vAlign w:val="bottom"/>
            <w:hideMark/>
          </w:tcPr>
          <w:p w14:paraId="102A0F89" w14:textId="77777777" w:rsidR="001E2C09" w:rsidRPr="006757CB" w:rsidRDefault="001E2C09">
            <w:pPr>
              <w:rPr>
                <w:rFonts w:ascii="Calibri" w:hAnsi="Calibri"/>
                <w:sz w:val="14"/>
                <w:szCs w:val="14"/>
              </w:rPr>
            </w:pPr>
            <w:r w:rsidRPr="006757CB">
              <w:rPr>
                <w:rFonts w:ascii="Calibri" w:hAnsi="Calibri"/>
                <w:sz w:val="14"/>
                <w:szCs w:val="14"/>
              </w:rPr>
              <w:t xml:space="preserve">             399.739 </w:t>
            </w:r>
          </w:p>
        </w:tc>
        <w:tc>
          <w:tcPr>
            <w:tcW w:w="715" w:type="dxa"/>
            <w:tcBorders>
              <w:top w:val="nil"/>
              <w:left w:val="nil"/>
              <w:bottom w:val="single" w:sz="4" w:space="0" w:color="003366"/>
              <w:right w:val="single" w:sz="4" w:space="0" w:color="003366"/>
            </w:tcBorders>
            <w:shd w:val="clear" w:color="000000" w:fill="FFFFFF"/>
            <w:noWrap/>
            <w:vAlign w:val="bottom"/>
            <w:hideMark/>
          </w:tcPr>
          <w:p w14:paraId="38A2A555" w14:textId="77777777" w:rsidR="001E2C09" w:rsidRPr="006757CB" w:rsidRDefault="001E2C09">
            <w:pPr>
              <w:jc w:val="center"/>
              <w:rPr>
                <w:rFonts w:ascii="Calibri" w:hAnsi="Calibri"/>
                <w:sz w:val="14"/>
                <w:szCs w:val="14"/>
              </w:rPr>
            </w:pPr>
            <w:r w:rsidRPr="006757CB">
              <w:rPr>
                <w:rFonts w:ascii="Calibri" w:hAnsi="Calibri"/>
                <w:sz w:val="14"/>
                <w:szCs w:val="14"/>
              </w:rPr>
              <w:t xml:space="preserve">          14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52AD7651"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63A0D592" w14:textId="77777777" w:rsidR="001E2C09" w:rsidRPr="006757CB" w:rsidRDefault="001E2C09">
            <w:pPr>
              <w:jc w:val="center"/>
              <w:rPr>
                <w:rFonts w:ascii="Calibri" w:hAnsi="Calibri"/>
                <w:sz w:val="14"/>
                <w:szCs w:val="14"/>
              </w:rPr>
            </w:pPr>
            <w:r w:rsidRPr="006757CB">
              <w:rPr>
                <w:rFonts w:ascii="Calibri" w:hAnsi="Calibri"/>
                <w:sz w:val="14"/>
                <w:szCs w:val="14"/>
              </w:rPr>
              <w:t xml:space="preserve">        92,87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2C2E1B35"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425D0520"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6202D484" w14:textId="77777777" w:rsidR="001E2C09" w:rsidRPr="006757CB" w:rsidRDefault="001E2C09">
            <w:pPr>
              <w:jc w:val="center"/>
              <w:rPr>
                <w:rFonts w:ascii="Calibri" w:hAnsi="Calibri"/>
                <w:sz w:val="14"/>
                <w:szCs w:val="14"/>
              </w:rPr>
            </w:pPr>
            <w:r w:rsidRPr="006757CB">
              <w:rPr>
                <w:rFonts w:ascii="Calibri" w:hAnsi="Calibri"/>
                <w:sz w:val="14"/>
                <w:szCs w:val="14"/>
              </w:rPr>
              <w:t>7,67</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219FBD2C" w14:textId="77777777" w:rsidR="001E2C09" w:rsidRPr="006757CB" w:rsidRDefault="001E2C09">
            <w:pPr>
              <w:jc w:val="right"/>
              <w:rPr>
                <w:rFonts w:ascii="Calibri" w:hAnsi="Calibri"/>
                <w:sz w:val="14"/>
                <w:szCs w:val="14"/>
              </w:rPr>
            </w:pPr>
            <w:r w:rsidRPr="006757CB">
              <w:rPr>
                <w:rFonts w:ascii="Calibri" w:hAnsi="Calibri"/>
                <w:sz w:val="14"/>
                <w:szCs w:val="14"/>
              </w:rPr>
              <w:t>01-ene-08</w:t>
            </w:r>
          </w:p>
        </w:tc>
        <w:tc>
          <w:tcPr>
            <w:tcW w:w="1134" w:type="dxa"/>
            <w:tcBorders>
              <w:top w:val="nil"/>
              <w:left w:val="nil"/>
              <w:bottom w:val="single" w:sz="4" w:space="0" w:color="808000"/>
              <w:right w:val="single" w:sz="4" w:space="0" w:color="808000"/>
            </w:tcBorders>
            <w:shd w:val="clear" w:color="auto" w:fill="auto"/>
            <w:noWrap/>
            <w:vAlign w:val="center"/>
            <w:hideMark/>
          </w:tcPr>
          <w:p w14:paraId="08290612" w14:textId="77777777" w:rsidR="001E2C09" w:rsidRPr="006757CB" w:rsidRDefault="001E2C09">
            <w:pPr>
              <w:jc w:val="right"/>
              <w:rPr>
                <w:rFonts w:ascii="Calibri" w:hAnsi="Calibri"/>
                <w:sz w:val="14"/>
                <w:szCs w:val="14"/>
              </w:rPr>
            </w:pPr>
            <w:r w:rsidRPr="006757CB">
              <w:rPr>
                <w:rFonts w:ascii="Calibri" w:hAnsi="Calibri"/>
                <w:sz w:val="14"/>
                <w:szCs w:val="14"/>
              </w:rPr>
              <w:t>31-dic-08</w:t>
            </w:r>
          </w:p>
        </w:tc>
        <w:tc>
          <w:tcPr>
            <w:tcW w:w="850" w:type="dxa"/>
            <w:tcBorders>
              <w:top w:val="nil"/>
              <w:left w:val="nil"/>
              <w:bottom w:val="nil"/>
              <w:right w:val="nil"/>
            </w:tcBorders>
            <w:shd w:val="clear" w:color="000000" w:fill="FFFFCC"/>
            <w:noWrap/>
            <w:vAlign w:val="bottom"/>
            <w:hideMark/>
          </w:tcPr>
          <w:p w14:paraId="28DAA626"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6724CFD3" w14:textId="77777777" w:rsidR="001E2C09" w:rsidRPr="006757CB" w:rsidRDefault="001E2C09">
            <w:pPr>
              <w:rPr>
                <w:rFonts w:ascii="Calibri" w:hAnsi="Calibri"/>
                <w:sz w:val="14"/>
                <w:szCs w:val="14"/>
              </w:rPr>
            </w:pPr>
            <w:r w:rsidRPr="006757CB">
              <w:rPr>
                <w:rFonts w:ascii="Calibri" w:hAnsi="Calibri"/>
                <w:sz w:val="14"/>
                <w:szCs w:val="14"/>
              </w:rPr>
              <w:t xml:space="preserve">          953.664 </w:t>
            </w:r>
          </w:p>
        </w:tc>
        <w:tc>
          <w:tcPr>
            <w:tcW w:w="986" w:type="dxa"/>
            <w:tcBorders>
              <w:top w:val="nil"/>
              <w:left w:val="nil"/>
              <w:bottom w:val="single" w:sz="4" w:space="0" w:color="003366"/>
              <w:right w:val="single" w:sz="4" w:space="0" w:color="003366"/>
            </w:tcBorders>
            <w:shd w:val="clear" w:color="000000" w:fill="FFFFCC"/>
            <w:vAlign w:val="bottom"/>
            <w:hideMark/>
          </w:tcPr>
          <w:p w14:paraId="0A45D18F" w14:textId="77777777" w:rsidR="001E2C09" w:rsidRPr="006757CB" w:rsidRDefault="001E2C09">
            <w:pPr>
              <w:rPr>
                <w:rFonts w:ascii="Calibri" w:hAnsi="Calibri"/>
                <w:sz w:val="14"/>
                <w:szCs w:val="14"/>
              </w:rPr>
            </w:pPr>
            <w:r w:rsidRPr="006757CB">
              <w:rPr>
                <w:rFonts w:ascii="Calibri" w:hAnsi="Calibri"/>
                <w:sz w:val="14"/>
                <w:szCs w:val="14"/>
              </w:rPr>
              <w:t xml:space="preserve">             422.484 </w:t>
            </w:r>
          </w:p>
        </w:tc>
        <w:tc>
          <w:tcPr>
            <w:tcW w:w="715" w:type="dxa"/>
            <w:tcBorders>
              <w:top w:val="nil"/>
              <w:left w:val="nil"/>
              <w:bottom w:val="single" w:sz="4" w:space="0" w:color="003366"/>
              <w:right w:val="single" w:sz="4" w:space="0" w:color="003366"/>
            </w:tcBorders>
            <w:shd w:val="clear" w:color="000000" w:fill="FFFFFF"/>
            <w:noWrap/>
            <w:vAlign w:val="bottom"/>
            <w:hideMark/>
          </w:tcPr>
          <w:p w14:paraId="338510C0" w14:textId="77777777" w:rsidR="001E2C09" w:rsidRPr="006757CB" w:rsidRDefault="001E2C09">
            <w:pPr>
              <w:jc w:val="center"/>
              <w:rPr>
                <w:rFonts w:ascii="Calibri" w:hAnsi="Calibri"/>
                <w:sz w:val="14"/>
                <w:szCs w:val="14"/>
              </w:rPr>
            </w:pPr>
            <w:r w:rsidRPr="006757CB">
              <w:rPr>
                <w:rFonts w:ascii="Calibri" w:hAnsi="Calibri"/>
                <w:sz w:val="14"/>
                <w:szCs w:val="14"/>
              </w:rPr>
              <w:t xml:space="preserve">          14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12E05943"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43CD2C11" w14:textId="77777777" w:rsidR="001E2C09" w:rsidRPr="006757CB" w:rsidRDefault="001E2C09">
            <w:pPr>
              <w:jc w:val="center"/>
              <w:rPr>
                <w:rFonts w:ascii="Calibri" w:hAnsi="Calibri"/>
                <w:sz w:val="14"/>
                <w:szCs w:val="14"/>
              </w:rPr>
            </w:pPr>
            <w:r w:rsidRPr="006757CB">
              <w:rPr>
                <w:rFonts w:ascii="Calibri" w:hAnsi="Calibri"/>
                <w:sz w:val="14"/>
                <w:szCs w:val="14"/>
              </w:rPr>
              <w:t xml:space="preserve">     100,00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31206204"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43E4D79D"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059A7605" w14:textId="77777777" w:rsidR="001E2C09" w:rsidRPr="006757CB" w:rsidRDefault="001E2C09">
            <w:pPr>
              <w:jc w:val="center"/>
              <w:rPr>
                <w:rFonts w:ascii="Calibri" w:hAnsi="Calibri"/>
                <w:sz w:val="14"/>
                <w:szCs w:val="14"/>
              </w:rPr>
            </w:pPr>
            <w:r w:rsidRPr="006757CB">
              <w:rPr>
                <w:rFonts w:ascii="Calibri" w:hAnsi="Calibri"/>
                <w:sz w:val="14"/>
                <w:szCs w:val="14"/>
              </w:rPr>
              <w:t>2,00</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11AE45AE" w14:textId="77777777" w:rsidR="001E2C09" w:rsidRPr="006757CB" w:rsidRDefault="001E2C09">
            <w:pPr>
              <w:jc w:val="right"/>
              <w:rPr>
                <w:rFonts w:ascii="Calibri" w:hAnsi="Calibri"/>
                <w:sz w:val="14"/>
                <w:szCs w:val="14"/>
              </w:rPr>
            </w:pPr>
            <w:r w:rsidRPr="006757CB">
              <w:rPr>
                <w:rFonts w:ascii="Calibri" w:hAnsi="Calibri"/>
                <w:sz w:val="14"/>
                <w:szCs w:val="14"/>
              </w:rPr>
              <w:t>01-ene-09</w:t>
            </w:r>
          </w:p>
        </w:tc>
        <w:tc>
          <w:tcPr>
            <w:tcW w:w="1134" w:type="dxa"/>
            <w:tcBorders>
              <w:top w:val="nil"/>
              <w:left w:val="nil"/>
              <w:bottom w:val="single" w:sz="4" w:space="0" w:color="808000"/>
              <w:right w:val="single" w:sz="4" w:space="0" w:color="808000"/>
            </w:tcBorders>
            <w:shd w:val="clear" w:color="auto" w:fill="auto"/>
            <w:noWrap/>
            <w:vAlign w:val="center"/>
            <w:hideMark/>
          </w:tcPr>
          <w:p w14:paraId="65B3EFF6" w14:textId="77777777" w:rsidR="001E2C09" w:rsidRPr="006757CB" w:rsidRDefault="001E2C09">
            <w:pPr>
              <w:jc w:val="right"/>
              <w:rPr>
                <w:rFonts w:ascii="Calibri" w:hAnsi="Calibri"/>
                <w:sz w:val="14"/>
                <w:szCs w:val="14"/>
              </w:rPr>
            </w:pPr>
            <w:r w:rsidRPr="006757CB">
              <w:rPr>
                <w:rFonts w:ascii="Calibri" w:hAnsi="Calibri"/>
                <w:sz w:val="14"/>
                <w:szCs w:val="14"/>
              </w:rPr>
              <w:t>31-dic-09</w:t>
            </w:r>
          </w:p>
        </w:tc>
        <w:tc>
          <w:tcPr>
            <w:tcW w:w="850" w:type="dxa"/>
            <w:tcBorders>
              <w:top w:val="nil"/>
              <w:left w:val="nil"/>
              <w:bottom w:val="nil"/>
              <w:right w:val="nil"/>
            </w:tcBorders>
            <w:shd w:val="clear" w:color="000000" w:fill="FFFFCC"/>
            <w:noWrap/>
            <w:vAlign w:val="bottom"/>
            <w:hideMark/>
          </w:tcPr>
          <w:p w14:paraId="4309A2B5"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63B3DAA2" w14:textId="77777777" w:rsidR="001E2C09" w:rsidRPr="006757CB" w:rsidRDefault="001E2C09">
            <w:pPr>
              <w:rPr>
                <w:rFonts w:ascii="Calibri" w:hAnsi="Calibri"/>
                <w:sz w:val="14"/>
                <w:szCs w:val="14"/>
              </w:rPr>
            </w:pPr>
            <w:r w:rsidRPr="006757CB">
              <w:rPr>
                <w:rFonts w:ascii="Calibri" w:hAnsi="Calibri"/>
                <w:sz w:val="14"/>
                <w:szCs w:val="14"/>
              </w:rPr>
              <w:t xml:space="preserve">       1.026.810 </w:t>
            </w:r>
          </w:p>
        </w:tc>
        <w:tc>
          <w:tcPr>
            <w:tcW w:w="986" w:type="dxa"/>
            <w:tcBorders>
              <w:top w:val="nil"/>
              <w:left w:val="nil"/>
              <w:bottom w:val="single" w:sz="4" w:space="0" w:color="003366"/>
              <w:right w:val="single" w:sz="4" w:space="0" w:color="003366"/>
            </w:tcBorders>
            <w:shd w:val="clear" w:color="000000" w:fill="FFFFCC"/>
            <w:vAlign w:val="bottom"/>
            <w:hideMark/>
          </w:tcPr>
          <w:p w14:paraId="05D773BD" w14:textId="77777777" w:rsidR="001E2C09" w:rsidRPr="006757CB" w:rsidRDefault="001E2C09">
            <w:pPr>
              <w:rPr>
                <w:rFonts w:ascii="Calibri" w:hAnsi="Calibri"/>
                <w:sz w:val="14"/>
                <w:szCs w:val="14"/>
              </w:rPr>
            </w:pPr>
            <w:r w:rsidRPr="006757CB">
              <w:rPr>
                <w:rFonts w:ascii="Calibri" w:hAnsi="Calibri"/>
                <w:sz w:val="14"/>
                <w:szCs w:val="14"/>
              </w:rPr>
              <w:t xml:space="preserve">             454.888 </w:t>
            </w:r>
          </w:p>
        </w:tc>
        <w:tc>
          <w:tcPr>
            <w:tcW w:w="715" w:type="dxa"/>
            <w:tcBorders>
              <w:top w:val="nil"/>
              <w:left w:val="nil"/>
              <w:bottom w:val="single" w:sz="4" w:space="0" w:color="003366"/>
              <w:right w:val="single" w:sz="4" w:space="0" w:color="003366"/>
            </w:tcBorders>
            <w:shd w:val="clear" w:color="000000" w:fill="FFFFFF"/>
            <w:noWrap/>
            <w:vAlign w:val="bottom"/>
            <w:hideMark/>
          </w:tcPr>
          <w:p w14:paraId="357FC8F1" w14:textId="77777777" w:rsidR="001E2C09" w:rsidRPr="006757CB" w:rsidRDefault="001E2C09">
            <w:pPr>
              <w:jc w:val="center"/>
              <w:rPr>
                <w:rFonts w:ascii="Calibri" w:hAnsi="Calibri"/>
                <w:sz w:val="14"/>
                <w:szCs w:val="14"/>
              </w:rPr>
            </w:pPr>
            <w:r w:rsidRPr="006757CB">
              <w:rPr>
                <w:rFonts w:ascii="Calibri" w:hAnsi="Calibri"/>
                <w:sz w:val="14"/>
                <w:szCs w:val="14"/>
              </w:rPr>
              <w:t xml:space="preserve">          14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024C90A2"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4E554A7A" w14:textId="77777777" w:rsidR="001E2C09" w:rsidRPr="006757CB" w:rsidRDefault="001E2C09">
            <w:pPr>
              <w:jc w:val="center"/>
              <w:rPr>
                <w:rFonts w:ascii="Calibri" w:hAnsi="Calibri"/>
                <w:sz w:val="14"/>
                <w:szCs w:val="14"/>
              </w:rPr>
            </w:pPr>
            <w:r w:rsidRPr="006757CB">
              <w:rPr>
                <w:rFonts w:ascii="Calibri" w:hAnsi="Calibri"/>
                <w:sz w:val="14"/>
                <w:szCs w:val="14"/>
              </w:rPr>
              <w:t xml:space="preserve">     102,00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391709EF"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73800693"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3D3067F2" w14:textId="77777777" w:rsidR="001E2C09" w:rsidRPr="006757CB" w:rsidRDefault="001E2C09">
            <w:pPr>
              <w:jc w:val="center"/>
              <w:rPr>
                <w:rFonts w:ascii="Calibri" w:hAnsi="Calibri"/>
                <w:sz w:val="14"/>
                <w:szCs w:val="14"/>
              </w:rPr>
            </w:pPr>
            <w:r w:rsidRPr="006757CB">
              <w:rPr>
                <w:rFonts w:ascii="Calibri" w:hAnsi="Calibri"/>
                <w:sz w:val="14"/>
                <w:szCs w:val="14"/>
              </w:rPr>
              <w:t>3,17</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05107474" w14:textId="77777777" w:rsidR="001E2C09" w:rsidRPr="006757CB" w:rsidRDefault="001E2C09">
            <w:pPr>
              <w:jc w:val="right"/>
              <w:rPr>
                <w:rFonts w:ascii="Calibri" w:hAnsi="Calibri"/>
                <w:sz w:val="14"/>
                <w:szCs w:val="14"/>
              </w:rPr>
            </w:pPr>
            <w:r w:rsidRPr="006757CB">
              <w:rPr>
                <w:rFonts w:ascii="Calibri" w:hAnsi="Calibri"/>
                <w:sz w:val="14"/>
                <w:szCs w:val="14"/>
              </w:rPr>
              <w:t>01-ene-10</w:t>
            </w:r>
          </w:p>
        </w:tc>
        <w:tc>
          <w:tcPr>
            <w:tcW w:w="1134" w:type="dxa"/>
            <w:tcBorders>
              <w:top w:val="nil"/>
              <w:left w:val="nil"/>
              <w:bottom w:val="single" w:sz="4" w:space="0" w:color="808000"/>
              <w:right w:val="single" w:sz="4" w:space="0" w:color="808000"/>
            </w:tcBorders>
            <w:shd w:val="clear" w:color="auto" w:fill="auto"/>
            <w:noWrap/>
            <w:vAlign w:val="center"/>
            <w:hideMark/>
          </w:tcPr>
          <w:p w14:paraId="635028D5" w14:textId="77777777" w:rsidR="001E2C09" w:rsidRPr="006757CB" w:rsidRDefault="001E2C09">
            <w:pPr>
              <w:jc w:val="right"/>
              <w:rPr>
                <w:rFonts w:ascii="Calibri" w:hAnsi="Calibri"/>
                <w:sz w:val="14"/>
                <w:szCs w:val="14"/>
              </w:rPr>
            </w:pPr>
            <w:r w:rsidRPr="006757CB">
              <w:rPr>
                <w:rFonts w:ascii="Calibri" w:hAnsi="Calibri"/>
                <w:sz w:val="14"/>
                <w:szCs w:val="14"/>
              </w:rPr>
              <w:t>31-dic-10</w:t>
            </w:r>
          </w:p>
        </w:tc>
        <w:tc>
          <w:tcPr>
            <w:tcW w:w="850" w:type="dxa"/>
            <w:tcBorders>
              <w:top w:val="nil"/>
              <w:left w:val="nil"/>
              <w:bottom w:val="nil"/>
              <w:right w:val="nil"/>
            </w:tcBorders>
            <w:shd w:val="clear" w:color="000000" w:fill="FFFFCC"/>
            <w:noWrap/>
            <w:vAlign w:val="bottom"/>
            <w:hideMark/>
          </w:tcPr>
          <w:p w14:paraId="153B510B"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1FA0C86C" w14:textId="77777777" w:rsidR="001E2C09" w:rsidRPr="006757CB" w:rsidRDefault="001E2C09">
            <w:pPr>
              <w:rPr>
                <w:rFonts w:ascii="Calibri" w:hAnsi="Calibri"/>
                <w:sz w:val="14"/>
                <w:szCs w:val="14"/>
              </w:rPr>
            </w:pPr>
            <w:r w:rsidRPr="006757CB">
              <w:rPr>
                <w:rFonts w:ascii="Calibri" w:hAnsi="Calibri"/>
                <w:sz w:val="14"/>
                <w:szCs w:val="14"/>
              </w:rPr>
              <w:t xml:space="preserve">       1.047.347 </w:t>
            </w:r>
          </w:p>
        </w:tc>
        <w:tc>
          <w:tcPr>
            <w:tcW w:w="986" w:type="dxa"/>
            <w:tcBorders>
              <w:top w:val="nil"/>
              <w:left w:val="nil"/>
              <w:bottom w:val="single" w:sz="4" w:space="0" w:color="003366"/>
              <w:right w:val="single" w:sz="4" w:space="0" w:color="003366"/>
            </w:tcBorders>
            <w:shd w:val="clear" w:color="000000" w:fill="FFFFCC"/>
            <w:vAlign w:val="bottom"/>
            <w:hideMark/>
          </w:tcPr>
          <w:p w14:paraId="76359E43" w14:textId="77777777" w:rsidR="001E2C09" w:rsidRPr="006757CB" w:rsidRDefault="001E2C09">
            <w:pPr>
              <w:rPr>
                <w:rFonts w:ascii="Calibri" w:hAnsi="Calibri"/>
                <w:sz w:val="14"/>
                <w:szCs w:val="14"/>
              </w:rPr>
            </w:pPr>
            <w:r w:rsidRPr="006757CB">
              <w:rPr>
                <w:rFonts w:ascii="Calibri" w:hAnsi="Calibri"/>
                <w:sz w:val="14"/>
                <w:szCs w:val="14"/>
              </w:rPr>
              <w:t xml:space="preserve">             463.986 </w:t>
            </w:r>
          </w:p>
        </w:tc>
        <w:tc>
          <w:tcPr>
            <w:tcW w:w="715" w:type="dxa"/>
            <w:tcBorders>
              <w:top w:val="nil"/>
              <w:left w:val="nil"/>
              <w:bottom w:val="single" w:sz="4" w:space="0" w:color="003366"/>
              <w:right w:val="single" w:sz="4" w:space="0" w:color="003366"/>
            </w:tcBorders>
            <w:shd w:val="clear" w:color="000000" w:fill="FFFFFF"/>
            <w:noWrap/>
            <w:vAlign w:val="bottom"/>
            <w:hideMark/>
          </w:tcPr>
          <w:p w14:paraId="0205780A" w14:textId="77777777" w:rsidR="001E2C09" w:rsidRPr="006757CB" w:rsidRDefault="001E2C09">
            <w:pPr>
              <w:jc w:val="center"/>
              <w:rPr>
                <w:rFonts w:ascii="Calibri" w:hAnsi="Calibri"/>
                <w:sz w:val="14"/>
                <w:szCs w:val="14"/>
              </w:rPr>
            </w:pPr>
            <w:r w:rsidRPr="006757CB">
              <w:rPr>
                <w:rFonts w:ascii="Calibri" w:hAnsi="Calibri"/>
                <w:sz w:val="14"/>
                <w:szCs w:val="14"/>
              </w:rPr>
              <w:t xml:space="preserve">          14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26DAC950"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3269C5F3" w14:textId="77777777" w:rsidR="001E2C09" w:rsidRPr="006757CB" w:rsidRDefault="001E2C09">
            <w:pPr>
              <w:jc w:val="center"/>
              <w:rPr>
                <w:rFonts w:ascii="Calibri" w:hAnsi="Calibri"/>
                <w:sz w:val="14"/>
                <w:szCs w:val="14"/>
              </w:rPr>
            </w:pPr>
            <w:r w:rsidRPr="006757CB">
              <w:rPr>
                <w:rFonts w:ascii="Calibri" w:hAnsi="Calibri"/>
                <w:sz w:val="14"/>
                <w:szCs w:val="14"/>
              </w:rPr>
              <w:t xml:space="preserve">     105,24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1EDBDB7D"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01FC6012"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11893023" w14:textId="77777777" w:rsidR="001E2C09" w:rsidRPr="006757CB" w:rsidRDefault="001E2C09">
            <w:pPr>
              <w:jc w:val="center"/>
              <w:rPr>
                <w:rFonts w:ascii="Calibri" w:hAnsi="Calibri"/>
                <w:sz w:val="14"/>
                <w:szCs w:val="14"/>
              </w:rPr>
            </w:pPr>
            <w:r w:rsidRPr="006757CB">
              <w:rPr>
                <w:rFonts w:ascii="Calibri" w:hAnsi="Calibri"/>
                <w:sz w:val="14"/>
                <w:szCs w:val="14"/>
              </w:rPr>
              <w:t>3,73</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57087692" w14:textId="77777777" w:rsidR="001E2C09" w:rsidRPr="006757CB" w:rsidRDefault="001E2C09">
            <w:pPr>
              <w:jc w:val="right"/>
              <w:rPr>
                <w:rFonts w:ascii="Calibri" w:hAnsi="Calibri"/>
                <w:sz w:val="14"/>
                <w:szCs w:val="14"/>
              </w:rPr>
            </w:pPr>
            <w:r w:rsidRPr="006757CB">
              <w:rPr>
                <w:rFonts w:ascii="Calibri" w:hAnsi="Calibri"/>
                <w:sz w:val="14"/>
                <w:szCs w:val="14"/>
              </w:rPr>
              <w:t>01-ene-11</w:t>
            </w:r>
          </w:p>
        </w:tc>
        <w:tc>
          <w:tcPr>
            <w:tcW w:w="1134" w:type="dxa"/>
            <w:tcBorders>
              <w:top w:val="nil"/>
              <w:left w:val="nil"/>
              <w:bottom w:val="single" w:sz="4" w:space="0" w:color="808000"/>
              <w:right w:val="single" w:sz="4" w:space="0" w:color="808000"/>
            </w:tcBorders>
            <w:shd w:val="clear" w:color="auto" w:fill="auto"/>
            <w:noWrap/>
            <w:vAlign w:val="center"/>
            <w:hideMark/>
          </w:tcPr>
          <w:p w14:paraId="7AB9A04B" w14:textId="77777777" w:rsidR="001E2C09" w:rsidRPr="006757CB" w:rsidRDefault="001E2C09">
            <w:pPr>
              <w:jc w:val="right"/>
              <w:rPr>
                <w:rFonts w:ascii="Calibri" w:hAnsi="Calibri"/>
                <w:sz w:val="14"/>
                <w:szCs w:val="14"/>
              </w:rPr>
            </w:pPr>
            <w:r w:rsidRPr="006757CB">
              <w:rPr>
                <w:rFonts w:ascii="Calibri" w:hAnsi="Calibri"/>
                <w:sz w:val="14"/>
                <w:szCs w:val="14"/>
              </w:rPr>
              <w:t>22-oct-11</w:t>
            </w:r>
          </w:p>
        </w:tc>
        <w:tc>
          <w:tcPr>
            <w:tcW w:w="850" w:type="dxa"/>
            <w:tcBorders>
              <w:top w:val="nil"/>
              <w:left w:val="nil"/>
              <w:bottom w:val="nil"/>
              <w:right w:val="nil"/>
            </w:tcBorders>
            <w:shd w:val="clear" w:color="000000" w:fill="FFFFCC"/>
            <w:noWrap/>
            <w:vAlign w:val="bottom"/>
            <w:hideMark/>
          </w:tcPr>
          <w:p w14:paraId="3E47549B" w14:textId="77777777" w:rsidR="001E2C09" w:rsidRPr="006757CB" w:rsidRDefault="001E2C09">
            <w:pPr>
              <w:jc w:val="center"/>
              <w:rPr>
                <w:rFonts w:ascii="Calibri" w:hAnsi="Calibri"/>
                <w:sz w:val="14"/>
                <w:szCs w:val="14"/>
              </w:rPr>
            </w:pPr>
            <w:r w:rsidRPr="006757CB">
              <w:rPr>
                <w:rFonts w:ascii="Calibri" w:hAnsi="Calibri"/>
                <w:sz w:val="14"/>
                <w:szCs w:val="14"/>
              </w:rPr>
              <w:t>10,73</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5185A5C9" w14:textId="77777777" w:rsidR="001E2C09" w:rsidRPr="006757CB" w:rsidRDefault="001E2C09">
            <w:pPr>
              <w:rPr>
                <w:rFonts w:ascii="Calibri" w:hAnsi="Calibri"/>
                <w:sz w:val="14"/>
                <w:szCs w:val="14"/>
              </w:rPr>
            </w:pPr>
            <w:r w:rsidRPr="006757CB">
              <w:rPr>
                <w:rFonts w:ascii="Calibri" w:hAnsi="Calibri"/>
                <w:sz w:val="14"/>
                <w:szCs w:val="14"/>
              </w:rPr>
              <w:t xml:space="preserve">       1.080.560 </w:t>
            </w:r>
          </w:p>
        </w:tc>
        <w:tc>
          <w:tcPr>
            <w:tcW w:w="986" w:type="dxa"/>
            <w:tcBorders>
              <w:top w:val="nil"/>
              <w:left w:val="nil"/>
              <w:bottom w:val="single" w:sz="4" w:space="0" w:color="003366"/>
              <w:right w:val="single" w:sz="4" w:space="0" w:color="003366"/>
            </w:tcBorders>
            <w:shd w:val="clear" w:color="000000" w:fill="FFFFCC"/>
            <w:vAlign w:val="bottom"/>
            <w:hideMark/>
          </w:tcPr>
          <w:p w14:paraId="0F35E3F1" w14:textId="77777777" w:rsidR="001E2C09" w:rsidRPr="006757CB" w:rsidRDefault="001E2C09">
            <w:pPr>
              <w:rPr>
                <w:rFonts w:ascii="Calibri" w:hAnsi="Calibri"/>
                <w:sz w:val="14"/>
                <w:szCs w:val="14"/>
              </w:rPr>
            </w:pPr>
            <w:r w:rsidRPr="006757CB">
              <w:rPr>
                <w:rFonts w:ascii="Calibri" w:hAnsi="Calibri"/>
                <w:sz w:val="14"/>
                <w:szCs w:val="14"/>
              </w:rPr>
              <w:t xml:space="preserve">             604.338 </w:t>
            </w:r>
          </w:p>
        </w:tc>
        <w:tc>
          <w:tcPr>
            <w:tcW w:w="715" w:type="dxa"/>
            <w:tcBorders>
              <w:top w:val="nil"/>
              <w:left w:val="nil"/>
              <w:bottom w:val="single" w:sz="4" w:space="0" w:color="003366"/>
              <w:right w:val="single" w:sz="4" w:space="0" w:color="003366"/>
            </w:tcBorders>
            <w:shd w:val="clear" w:color="000000" w:fill="FFFFFF"/>
            <w:noWrap/>
            <w:vAlign w:val="bottom"/>
            <w:hideMark/>
          </w:tcPr>
          <w:p w14:paraId="217658D0" w14:textId="77777777" w:rsidR="001E2C09" w:rsidRPr="006757CB" w:rsidRDefault="001E2C09">
            <w:pPr>
              <w:jc w:val="center"/>
              <w:rPr>
                <w:rFonts w:ascii="Calibri" w:hAnsi="Calibri"/>
                <w:sz w:val="14"/>
                <w:szCs w:val="14"/>
              </w:rPr>
            </w:pPr>
            <w:r w:rsidRPr="006757CB">
              <w:rPr>
                <w:rFonts w:ascii="Calibri" w:hAnsi="Calibri"/>
                <w:sz w:val="14"/>
                <w:szCs w:val="14"/>
              </w:rPr>
              <w:t xml:space="preserve">     10,73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5439E93F" w14:textId="77777777" w:rsidR="001E2C09" w:rsidRPr="006757CB" w:rsidRDefault="001E2C09">
            <w:pPr>
              <w:rPr>
                <w:rFonts w:ascii="Calibri" w:hAnsi="Calibri"/>
                <w:sz w:val="14"/>
                <w:szCs w:val="14"/>
              </w:rPr>
            </w:pPr>
            <w:r w:rsidRPr="006757CB">
              <w:rPr>
                <w:rFonts w:ascii="Calibri" w:hAnsi="Calibri"/>
                <w:sz w:val="14"/>
                <w:szCs w:val="14"/>
              </w:rPr>
              <w:t xml:space="preserve">                      -   </w:t>
            </w:r>
          </w:p>
        </w:tc>
        <w:tc>
          <w:tcPr>
            <w:tcW w:w="580" w:type="dxa"/>
            <w:tcBorders>
              <w:top w:val="nil"/>
              <w:left w:val="nil"/>
              <w:bottom w:val="nil"/>
              <w:right w:val="nil"/>
            </w:tcBorders>
            <w:shd w:val="clear" w:color="FFFFFF" w:fill="33CCCC"/>
            <w:vAlign w:val="center"/>
            <w:hideMark/>
          </w:tcPr>
          <w:p w14:paraId="4CB5ECE1" w14:textId="77777777" w:rsidR="001E2C09" w:rsidRPr="006757CB" w:rsidRDefault="001E2C09">
            <w:pPr>
              <w:jc w:val="center"/>
              <w:rPr>
                <w:rFonts w:ascii="Calibri" w:hAnsi="Calibri"/>
                <w:sz w:val="14"/>
                <w:szCs w:val="14"/>
              </w:rPr>
            </w:pPr>
            <w:r w:rsidRPr="006757CB">
              <w:rPr>
                <w:rFonts w:ascii="Calibri" w:hAnsi="Calibri"/>
                <w:sz w:val="14"/>
                <w:szCs w:val="14"/>
              </w:rPr>
              <w:t xml:space="preserve">     108,35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7A4D4927"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64C011B9"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49FE529A" w14:textId="77777777" w:rsidR="001E2C09" w:rsidRPr="006757CB" w:rsidRDefault="001E2C09">
            <w:pPr>
              <w:jc w:val="center"/>
              <w:rPr>
                <w:rFonts w:ascii="Calibri" w:hAnsi="Calibri"/>
                <w:sz w:val="14"/>
                <w:szCs w:val="14"/>
              </w:rPr>
            </w:pPr>
            <w:r w:rsidRPr="006757CB">
              <w:rPr>
                <w:rFonts w:ascii="Calibri" w:hAnsi="Calibri"/>
                <w:sz w:val="14"/>
                <w:szCs w:val="14"/>
              </w:rPr>
              <w:t>3,73</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3CB3C367" w14:textId="77777777" w:rsidR="001E2C09" w:rsidRPr="006757CB" w:rsidRDefault="001E2C09">
            <w:pPr>
              <w:jc w:val="right"/>
              <w:rPr>
                <w:rFonts w:ascii="Calibri" w:hAnsi="Calibri"/>
                <w:sz w:val="14"/>
                <w:szCs w:val="14"/>
              </w:rPr>
            </w:pPr>
            <w:r w:rsidRPr="006757CB">
              <w:rPr>
                <w:rFonts w:ascii="Calibri" w:hAnsi="Calibri"/>
                <w:sz w:val="14"/>
                <w:szCs w:val="14"/>
              </w:rPr>
              <w:t>23-oct-11</w:t>
            </w:r>
          </w:p>
        </w:tc>
        <w:tc>
          <w:tcPr>
            <w:tcW w:w="1134" w:type="dxa"/>
            <w:tcBorders>
              <w:top w:val="nil"/>
              <w:left w:val="nil"/>
              <w:bottom w:val="single" w:sz="4" w:space="0" w:color="808000"/>
              <w:right w:val="single" w:sz="4" w:space="0" w:color="808000"/>
            </w:tcBorders>
            <w:shd w:val="clear" w:color="auto" w:fill="auto"/>
            <w:noWrap/>
            <w:vAlign w:val="center"/>
            <w:hideMark/>
          </w:tcPr>
          <w:p w14:paraId="575C0EA6" w14:textId="77777777" w:rsidR="001E2C09" w:rsidRPr="006757CB" w:rsidRDefault="001E2C09">
            <w:pPr>
              <w:jc w:val="right"/>
              <w:rPr>
                <w:rFonts w:ascii="Calibri" w:hAnsi="Calibri"/>
                <w:sz w:val="14"/>
                <w:szCs w:val="14"/>
              </w:rPr>
            </w:pPr>
            <w:r w:rsidRPr="006757CB">
              <w:rPr>
                <w:rFonts w:ascii="Calibri" w:hAnsi="Calibri"/>
                <w:sz w:val="14"/>
                <w:szCs w:val="14"/>
              </w:rPr>
              <w:t>31-dic-11</w:t>
            </w:r>
          </w:p>
        </w:tc>
        <w:tc>
          <w:tcPr>
            <w:tcW w:w="850" w:type="dxa"/>
            <w:tcBorders>
              <w:top w:val="nil"/>
              <w:left w:val="nil"/>
              <w:bottom w:val="nil"/>
              <w:right w:val="nil"/>
            </w:tcBorders>
            <w:shd w:val="clear" w:color="000000" w:fill="FFFFCC"/>
            <w:noWrap/>
            <w:vAlign w:val="bottom"/>
            <w:hideMark/>
          </w:tcPr>
          <w:p w14:paraId="01AAD40B" w14:textId="77777777" w:rsidR="001E2C09" w:rsidRPr="006757CB" w:rsidRDefault="001E2C09">
            <w:pPr>
              <w:jc w:val="center"/>
              <w:rPr>
                <w:rFonts w:ascii="Calibri" w:hAnsi="Calibri"/>
                <w:sz w:val="14"/>
                <w:szCs w:val="14"/>
              </w:rPr>
            </w:pPr>
            <w:r w:rsidRPr="006757CB">
              <w:rPr>
                <w:rFonts w:ascii="Calibri" w:hAnsi="Calibri"/>
                <w:sz w:val="14"/>
                <w:szCs w:val="14"/>
              </w:rPr>
              <w:t>3,27</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11956664" w14:textId="77777777" w:rsidR="001E2C09" w:rsidRPr="006757CB" w:rsidRDefault="001E2C09">
            <w:pPr>
              <w:rPr>
                <w:rFonts w:ascii="Calibri" w:hAnsi="Calibri"/>
                <w:sz w:val="14"/>
                <w:szCs w:val="14"/>
              </w:rPr>
            </w:pPr>
            <w:r w:rsidRPr="006757CB">
              <w:rPr>
                <w:rFonts w:ascii="Calibri" w:hAnsi="Calibri"/>
                <w:sz w:val="14"/>
                <w:szCs w:val="14"/>
              </w:rPr>
              <w:t xml:space="preserve">       1.080.560 </w:t>
            </w:r>
          </w:p>
        </w:tc>
        <w:tc>
          <w:tcPr>
            <w:tcW w:w="986" w:type="dxa"/>
            <w:tcBorders>
              <w:top w:val="nil"/>
              <w:left w:val="nil"/>
              <w:bottom w:val="single" w:sz="4" w:space="0" w:color="003366"/>
              <w:right w:val="single" w:sz="4" w:space="0" w:color="003366"/>
            </w:tcBorders>
            <w:shd w:val="clear" w:color="000000" w:fill="FFFFCC"/>
            <w:vAlign w:val="bottom"/>
            <w:hideMark/>
          </w:tcPr>
          <w:p w14:paraId="2B85CD3E" w14:textId="77777777" w:rsidR="001E2C09" w:rsidRPr="006757CB" w:rsidRDefault="001E2C09">
            <w:pPr>
              <w:rPr>
                <w:rFonts w:ascii="Calibri" w:hAnsi="Calibri"/>
                <w:sz w:val="14"/>
                <w:szCs w:val="14"/>
              </w:rPr>
            </w:pPr>
            <w:r w:rsidRPr="006757CB">
              <w:rPr>
                <w:rFonts w:ascii="Calibri" w:hAnsi="Calibri"/>
                <w:sz w:val="14"/>
                <w:szCs w:val="14"/>
              </w:rPr>
              <w:t xml:space="preserve">             604.338 </w:t>
            </w:r>
          </w:p>
        </w:tc>
        <w:tc>
          <w:tcPr>
            <w:tcW w:w="715" w:type="dxa"/>
            <w:tcBorders>
              <w:top w:val="nil"/>
              <w:left w:val="nil"/>
              <w:bottom w:val="single" w:sz="4" w:space="0" w:color="003366"/>
              <w:right w:val="single" w:sz="4" w:space="0" w:color="003366"/>
            </w:tcBorders>
            <w:shd w:val="clear" w:color="000000" w:fill="FFFFFF"/>
            <w:noWrap/>
            <w:vAlign w:val="bottom"/>
            <w:hideMark/>
          </w:tcPr>
          <w:p w14:paraId="471F95DF" w14:textId="77777777" w:rsidR="001E2C09" w:rsidRPr="006757CB" w:rsidRDefault="001E2C09">
            <w:pPr>
              <w:jc w:val="center"/>
              <w:rPr>
                <w:rFonts w:ascii="Calibri" w:hAnsi="Calibri"/>
                <w:sz w:val="14"/>
                <w:szCs w:val="14"/>
              </w:rPr>
            </w:pPr>
            <w:r w:rsidRPr="006757CB">
              <w:rPr>
                <w:rFonts w:ascii="Calibri" w:hAnsi="Calibri"/>
                <w:sz w:val="14"/>
                <w:szCs w:val="14"/>
              </w:rPr>
              <w:t>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21C55764" w14:textId="77777777" w:rsidR="001E2C09" w:rsidRPr="006757CB" w:rsidRDefault="001E2C09">
            <w:pPr>
              <w:rPr>
                <w:rFonts w:ascii="Calibri" w:hAnsi="Calibri"/>
                <w:sz w:val="14"/>
                <w:szCs w:val="14"/>
              </w:rPr>
            </w:pPr>
            <w:r w:rsidRPr="006757CB">
              <w:rPr>
                <w:rFonts w:ascii="Calibri" w:hAnsi="Calibri"/>
                <w:sz w:val="14"/>
                <w:szCs w:val="14"/>
              </w:rPr>
              <w:t xml:space="preserve">       1.557.247 </w:t>
            </w:r>
          </w:p>
        </w:tc>
        <w:tc>
          <w:tcPr>
            <w:tcW w:w="580" w:type="dxa"/>
            <w:tcBorders>
              <w:top w:val="nil"/>
              <w:left w:val="nil"/>
              <w:bottom w:val="nil"/>
              <w:right w:val="nil"/>
            </w:tcBorders>
            <w:shd w:val="clear" w:color="FFFFFF" w:fill="33CCCC"/>
            <w:vAlign w:val="center"/>
            <w:hideMark/>
          </w:tcPr>
          <w:p w14:paraId="2AB666D4" w14:textId="77777777" w:rsidR="001E2C09" w:rsidRPr="006757CB" w:rsidRDefault="001E2C09">
            <w:pPr>
              <w:jc w:val="center"/>
              <w:rPr>
                <w:rFonts w:ascii="Calibri" w:hAnsi="Calibri"/>
                <w:sz w:val="14"/>
                <w:szCs w:val="14"/>
              </w:rPr>
            </w:pPr>
            <w:r w:rsidRPr="006757CB">
              <w:rPr>
                <w:rFonts w:ascii="Calibri" w:hAnsi="Calibri"/>
                <w:sz w:val="14"/>
                <w:szCs w:val="14"/>
              </w:rPr>
              <w:t xml:space="preserve">     109,16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3293A224" w14:textId="77777777" w:rsidR="001E2C09" w:rsidRPr="006757CB" w:rsidRDefault="001E2C09">
            <w:pPr>
              <w:jc w:val="right"/>
              <w:rPr>
                <w:rFonts w:ascii="Calibri" w:hAnsi="Calibri"/>
                <w:sz w:val="14"/>
                <w:szCs w:val="14"/>
              </w:rPr>
            </w:pPr>
            <w:r w:rsidRPr="006757CB">
              <w:rPr>
                <w:rFonts w:ascii="Calibri" w:hAnsi="Calibri"/>
                <w:sz w:val="14"/>
                <w:szCs w:val="14"/>
              </w:rPr>
              <w:t xml:space="preserve">          343.947 </w:t>
            </w:r>
          </w:p>
        </w:tc>
      </w:tr>
      <w:tr w:rsidR="006757CB" w:rsidRPr="006757CB" w14:paraId="71D8AFDB"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3774CD76" w14:textId="77777777" w:rsidR="001E2C09" w:rsidRPr="006757CB" w:rsidRDefault="001E2C09">
            <w:pPr>
              <w:jc w:val="center"/>
              <w:rPr>
                <w:rFonts w:ascii="Calibri" w:hAnsi="Calibri"/>
                <w:sz w:val="14"/>
                <w:szCs w:val="14"/>
              </w:rPr>
            </w:pPr>
            <w:r w:rsidRPr="006757CB">
              <w:rPr>
                <w:rFonts w:ascii="Calibri" w:hAnsi="Calibri"/>
                <w:sz w:val="14"/>
                <w:szCs w:val="14"/>
              </w:rPr>
              <w:t>2,44</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16FAE6E2" w14:textId="77777777" w:rsidR="001E2C09" w:rsidRPr="006757CB" w:rsidRDefault="001E2C09">
            <w:pPr>
              <w:jc w:val="right"/>
              <w:rPr>
                <w:rFonts w:ascii="Calibri" w:hAnsi="Calibri"/>
                <w:sz w:val="14"/>
                <w:szCs w:val="14"/>
              </w:rPr>
            </w:pPr>
            <w:r w:rsidRPr="006757CB">
              <w:rPr>
                <w:rFonts w:ascii="Calibri" w:hAnsi="Calibri"/>
                <w:sz w:val="14"/>
                <w:szCs w:val="14"/>
              </w:rPr>
              <w:t>01-ene-12</w:t>
            </w:r>
          </w:p>
        </w:tc>
        <w:tc>
          <w:tcPr>
            <w:tcW w:w="1134" w:type="dxa"/>
            <w:tcBorders>
              <w:top w:val="nil"/>
              <w:left w:val="nil"/>
              <w:bottom w:val="single" w:sz="4" w:space="0" w:color="808000"/>
              <w:right w:val="single" w:sz="4" w:space="0" w:color="808000"/>
            </w:tcBorders>
            <w:shd w:val="clear" w:color="auto" w:fill="auto"/>
            <w:noWrap/>
            <w:vAlign w:val="center"/>
            <w:hideMark/>
          </w:tcPr>
          <w:p w14:paraId="32783CBA" w14:textId="77777777" w:rsidR="001E2C09" w:rsidRPr="006757CB" w:rsidRDefault="001E2C09">
            <w:pPr>
              <w:jc w:val="right"/>
              <w:rPr>
                <w:rFonts w:ascii="Calibri" w:hAnsi="Calibri"/>
                <w:sz w:val="14"/>
                <w:szCs w:val="14"/>
              </w:rPr>
            </w:pPr>
            <w:r w:rsidRPr="006757CB">
              <w:rPr>
                <w:rFonts w:ascii="Calibri" w:hAnsi="Calibri"/>
                <w:sz w:val="14"/>
                <w:szCs w:val="14"/>
              </w:rPr>
              <w:t>31-dic-12</w:t>
            </w:r>
          </w:p>
        </w:tc>
        <w:tc>
          <w:tcPr>
            <w:tcW w:w="850" w:type="dxa"/>
            <w:tcBorders>
              <w:top w:val="nil"/>
              <w:left w:val="nil"/>
              <w:bottom w:val="nil"/>
              <w:right w:val="nil"/>
            </w:tcBorders>
            <w:shd w:val="clear" w:color="000000" w:fill="FFFFCC"/>
            <w:noWrap/>
            <w:vAlign w:val="bottom"/>
            <w:hideMark/>
          </w:tcPr>
          <w:p w14:paraId="49BE7021"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29E0838C" w14:textId="77777777" w:rsidR="001E2C09" w:rsidRPr="006757CB" w:rsidRDefault="001E2C09">
            <w:pPr>
              <w:rPr>
                <w:rFonts w:ascii="Calibri" w:hAnsi="Calibri"/>
                <w:sz w:val="14"/>
                <w:szCs w:val="14"/>
              </w:rPr>
            </w:pPr>
            <w:r w:rsidRPr="006757CB">
              <w:rPr>
                <w:rFonts w:ascii="Calibri" w:hAnsi="Calibri"/>
                <w:sz w:val="14"/>
                <w:szCs w:val="14"/>
              </w:rPr>
              <w:t xml:space="preserve">       1.120.865 </w:t>
            </w:r>
          </w:p>
        </w:tc>
        <w:tc>
          <w:tcPr>
            <w:tcW w:w="986" w:type="dxa"/>
            <w:tcBorders>
              <w:top w:val="nil"/>
              <w:left w:val="nil"/>
              <w:bottom w:val="single" w:sz="4" w:space="0" w:color="003366"/>
              <w:right w:val="single" w:sz="4" w:space="0" w:color="003366"/>
            </w:tcBorders>
            <w:shd w:val="clear" w:color="000000" w:fill="FFFFCC"/>
            <w:vAlign w:val="bottom"/>
            <w:hideMark/>
          </w:tcPr>
          <w:p w14:paraId="2523585E" w14:textId="77777777" w:rsidR="001E2C09" w:rsidRPr="006757CB" w:rsidRDefault="001E2C09">
            <w:pPr>
              <w:rPr>
                <w:rFonts w:ascii="Calibri" w:hAnsi="Calibri"/>
                <w:sz w:val="14"/>
                <w:szCs w:val="14"/>
              </w:rPr>
            </w:pPr>
            <w:r w:rsidRPr="006757CB">
              <w:rPr>
                <w:rFonts w:ascii="Calibri" w:hAnsi="Calibri"/>
                <w:sz w:val="14"/>
                <w:szCs w:val="14"/>
              </w:rPr>
              <w:t xml:space="preserve">             626.880 </w:t>
            </w:r>
          </w:p>
        </w:tc>
        <w:tc>
          <w:tcPr>
            <w:tcW w:w="715" w:type="dxa"/>
            <w:tcBorders>
              <w:top w:val="nil"/>
              <w:left w:val="nil"/>
              <w:bottom w:val="single" w:sz="4" w:space="0" w:color="003366"/>
              <w:right w:val="single" w:sz="4" w:space="0" w:color="003366"/>
            </w:tcBorders>
            <w:shd w:val="clear" w:color="000000" w:fill="FFFFFF"/>
            <w:noWrap/>
            <w:vAlign w:val="bottom"/>
            <w:hideMark/>
          </w:tcPr>
          <w:p w14:paraId="5801E510" w14:textId="77777777" w:rsidR="001E2C09" w:rsidRPr="006757CB" w:rsidRDefault="001E2C09">
            <w:pPr>
              <w:jc w:val="center"/>
              <w:rPr>
                <w:rFonts w:ascii="Calibri" w:hAnsi="Calibri"/>
                <w:sz w:val="14"/>
                <w:szCs w:val="14"/>
              </w:rPr>
            </w:pPr>
            <w:r w:rsidRPr="006757CB">
              <w:rPr>
                <w:rFonts w:ascii="Calibri" w:hAnsi="Calibri"/>
                <w:sz w:val="14"/>
                <w:szCs w:val="14"/>
              </w:rPr>
              <w:t>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5BBD8BA0" w14:textId="77777777" w:rsidR="001E2C09" w:rsidRPr="006757CB" w:rsidRDefault="001E2C09">
            <w:pPr>
              <w:rPr>
                <w:rFonts w:ascii="Calibri" w:hAnsi="Calibri"/>
                <w:sz w:val="14"/>
                <w:szCs w:val="14"/>
              </w:rPr>
            </w:pPr>
            <w:r w:rsidRPr="006757CB">
              <w:rPr>
                <w:rFonts w:ascii="Calibri" w:hAnsi="Calibri"/>
                <w:sz w:val="14"/>
                <w:szCs w:val="14"/>
              </w:rPr>
              <w:t xml:space="preserve">       6.915.795 </w:t>
            </w:r>
          </w:p>
        </w:tc>
        <w:tc>
          <w:tcPr>
            <w:tcW w:w="580" w:type="dxa"/>
            <w:tcBorders>
              <w:top w:val="nil"/>
              <w:left w:val="nil"/>
              <w:bottom w:val="nil"/>
              <w:right w:val="nil"/>
            </w:tcBorders>
            <w:shd w:val="clear" w:color="FFFFFF" w:fill="33CCCC"/>
            <w:vAlign w:val="center"/>
            <w:hideMark/>
          </w:tcPr>
          <w:p w14:paraId="11A259C9" w14:textId="77777777" w:rsidR="001E2C09" w:rsidRPr="006757CB" w:rsidRDefault="001E2C09">
            <w:pPr>
              <w:jc w:val="center"/>
              <w:rPr>
                <w:rFonts w:ascii="Calibri" w:hAnsi="Calibri"/>
                <w:sz w:val="14"/>
                <w:szCs w:val="14"/>
              </w:rPr>
            </w:pPr>
            <w:r w:rsidRPr="006757CB">
              <w:rPr>
                <w:rFonts w:ascii="Calibri" w:hAnsi="Calibri"/>
                <w:sz w:val="14"/>
                <w:szCs w:val="14"/>
              </w:rPr>
              <w:t xml:space="preserve">     111,82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1C5B33A3" w14:textId="77777777" w:rsidR="001E2C09" w:rsidRPr="006757CB" w:rsidRDefault="001E2C09">
            <w:pPr>
              <w:jc w:val="right"/>
              <w:rPr>
                <w:rFonts w:ascii="Calibri" w:hAnsi="Calibri"/>
                <w:sz w:val="14"/>
                <w:szCs w:val="14"/>
              </w:rPr>
            </w:pPr>
            <w:r w:rsidRPr="006757CB">
              <w:rPr>
                <w:rFonts w:ascii="Calibri" w:hAnsi="Calibri"/>
                <w:sz w:val="14"/>
                <w:szCs w:val="14"/>
              </w:rPr>
              <w:t xml:space="preserve">       1.326.630 </w:t>
            </w:r>
          </w:p>
        </w:tc>
      </w:tr>
      <w:tr w:rsidR="006757CB" w:rsidRPr="006757CB" w14:paraId="3FE8B928"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20DF54E1" w14:textId="77777777" w:rsidR="001E2C09" w:rsidRPr="006757CB" w:rsidRDefault="001E2C09">
            <w:pPr>
              <w:jc w:val="center"/>
              <w:rPr>
                <w:rFonts w:ascii="Calibri" w:hAnsi="Calibri"/>
                <w:sz w:val="14"/>
                <w:szCs w:val="14"/>
              </w:rPr>
            </w:pPr>
            <w:r w:rsidRPr="006757CB">
              <w:rPr>
                <w:rFonts w:ascii="Calibri" w:hAnsi="Calibri"/>
                <w:sz w:val="14"/>
                <w:szCs w:val="14"/>
              </w:rPr>
              <w:t>1,94</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32C7FA01" w14:textId="77777777" w:rsidR="001E2C09" w:rsidRPr="006757CB" w:rsidRDefault="001E2C09">
            <w:pPr>
              <w:jc w:val="right"/>
              <w:rPr>
                <w:rFonts w:ascii="Calibri" w:hAnsi="Calibri"/>
                <w:sz w:val="14"/>
                <w:szCs w:val="14"/>
              </w:rPr>
            </w:pPr>
            <w:r w:rsidRPr="006757CB">
              <w:rPr>
                <w:rFonts w:ascii="Calibri" w:hAnsi="Calibri"/>
                <w:sz w:val="14"/>
                <w:szCs w:val="14"/>
              </w:rPr>
              <w:t>01-ene-13</w:t>
            </w:r>
          </w:p>
        </w:tc>
        <w:tc>
          <w:tcPr>
            <w:tcW w:w="1134" w:type="dxa"/>
            <w:tcBorders>
              <w:top w:val="nil"/>
              <w:left w:val="nil"/>
              <w:bottom w:val="single" w:sz="4" w:space="0" w:color="808000"/>
              <w:right w:val="single" w:sz="4" w:space="0" w:color="808000"/>
            </w:tcBorders>
            <w:shd w:val="clear" w:color="auto" w:fill="auto"/>
            <w:noWrap/>
            <w:vAlign w:val="center"/>
            <w:hideMark/>
          </w:tcPr>
          <w:p w14:paraId="3CCED008" w14:textId="77777777" w:rsidR="001E2C09" w:rsidRPr="006757CB" w:rsidRDefault="001E2C09">
            <w:pPr>
              <w:jc w:val="right"/>
              <w:rPr>
                <w:rFonts w:ascii="Calibri" w:hAnsi="Calibri"/>
                <w:sz w:val="14"/>
                <w:szCs w:val="14"/>
              </w:rPr>
            </w:pPr>
            <w:r w:rsidRPr="006757CB">
              <w:rPr>
                <w:rFonts w:ascii="Calibri" w:hAnsi="Calibri"/>
                <w:sz w:val="14"/>
                <w:szCs w:val="14"/>
              </w:rPr>
              <w:t>31-dic-13</w:t>
            </w:r>
          </w:p>
        </w:tc>
        <w:tc>
          <w:tcPr>
            <w:tcW w:w="850" w:type="dxa"/>
            <w:tcBorders>
              <w:top w:val="nil"/>
              <w:left w:val="nil"/>
              <w:bottom w:val="nil"/>
              <w:right w:val="nil"/>
            </w:tcBorders>
            <w:shd w:val="clear" w:color="000000" w:fill="FFFFCC"/>
            <w:noWrap/>
            <w:vAlign w:val="bottom"/>
            <w:hideMark/>
          </w:tcPr>
          <w:p w14:paraId="650F8A50"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2039FCE0" w14:textId="77777777" w:rsidR="001E2C09" w:rsidRPr="006757CB" w:rsidRDefault="001E2C09">
            <w:pPr>
              <w:rPr>
                <w:rFonts w:ascii="Calibri" w:hAnsi="Calibri"/>
                <w:sz w:val="14"/>
                <w:szCs w:val="14"/>
              </w:rPr>
            </w:pPr>
            <w:r w:rsidRPr="006757CB">
              <w:rPr>
                <w:rFonts w:ascii="Calibri" w:hAnsi="Calibri"/>
                <w:sz w:val="14"/>
                <w:szCs w:val="14"/>
              </w:rPr>
              <w:t xml:space="preserve">       1.148.214 </w:t>
            </w:r>
          </w:p>
        </w:tc>
        <w:tc>
          <w:tcPr>
            <w:tcW w:w="986" w:type="dxa"/>
            <w:tcBorders>
              <w:top w:val="nil"/>
              <w:left w:val="nil"/>
              <w:bottom w:val="single" w:sz="4" w:space="0" w:color="003366"/>
              <w:right w:val="single" w:sz="4" w:space="0" w:color="003366"/>
            </w:tcBorders>
            <w:shd w:val="clear" w:color="000000" w:fill="FFFFCC"/>
            <w:vAlign w:val="bottom"/>
            <w:hideMark/>
          </w:tcPr>
          <w:p w14:paraId="6BA6E0BC" w14:textId="77777777" w:rsidR="001E2C09" w:rsidRPr="006757CB" w:rsidRDefault="001E2C09">
            <w:pPr>
              <w:rPr>
                <w:rFonts w:ascii="Calibri" w:hAnsi="Calibri"/>
                <w:sz w:val="14"/>
                <w:szCs w:val="14"/>
              </w:rPr>
            </w:pPr>
            <w:r w:rsidRPr="006757CB">
              <w:rPr>
                <w:rFonts w:ascii="Calibri" w:hAnsi="Calibri"/>
                <w:sz w:val="14"/>
                <w:szCs w:val="14"/>
              </w:rPr>
              <w:t xml:space="preserve">             642.176 </w:t>
            </w:r>
          </w:p>
        </w:tc>
        <w:tc>
          <w:tcPr>
            <w:tcW w:w="715" w:type="dxa"/>
            <w:tcBorders>
              <w:top w:val="nil"/>
              <w:left w:val="nil"/>
              <w:bottom w:val="single" w:sz="4" w:space="0" w:color="003366"/>
              <w:right w:val="single" w:sz="4" w:space="0" w:color="003366"/>
            </w:tcBorders>
            <w:shd w:val="clear" w:color="000000" w:fill="FFFFFF"/>
            <w:noWrap/>
            <w:vAlign w:val="bottom"/>
            <w:hideMark/>
          </w:tcPr>
          <w:p w14:paraId="7C087172" w14:textId="77777777" w:rsidR="001E2C09" w:rsidRPr="006757CB" w:rsidRDefault="001E2C09">
            <w:pPr>
              <w:jc w:val="center"/>
              <w:rPr>
                <w:rFonts w:ascii="Calibri" w:hAnsi="Calibri"/>
                <w:sz w:val="14"/>
                <w:szCs w:val="14"/>
              </w:rPr>
            </w:pPr>
            <w:r w:rsidRPr="006757CB">
              <w:rPr>
                <w:rFonts w:ascii="Calibri" w:hAnsi="Calibri"/>
                <w:sz w:val="14"/>
                <w:szCs w:val="14"/>
              </w:rPr>
              <w:t>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6AF52B02" w14:textId="77777777" w:rsidR="001E2C09" w:rsidRPr="006757CB" w:rsidRDefault="001E2C09">
            <w:pPr>
              <w:rPr>
                <w:rFonts w:ascii="Calibri" w:hAnsi="Calibri"/>
                <w:sz w:val="14"/>
                <w:szCs w:val="14"/>
              </w:rPr>
            </w:pPr>
            <w:r w:rsidRPr="006757CB">
              <w:rPr>
                <w:rFonts w:ascii="Calibri" w:hAnsi="Calibri"/>
                <w:sz w:val="14"/>
                <w:szCs w:val="14"/>
              </w:rPr>
              <w:t xml:space="preserve">       7.084.540 </w:t>
            </w:r>
          </w:p>
        </w:tc>
        <w:tc>
          <w:tcPr>
            <w:tcW w:w="580" w:type="dxa"/>
            <w:tcBorders>
              <w:top w:val="nil"/>
              <w:left w:val="nil"/>
              <w:bottom w:val="nil"/>
              <w:right w:val="nil"/>
            </w:tcBorders>
            <w:shd w:val="clear" w:color="FFFFFF" w:fill="33CCCC"/>
            <w:vAlign w:val="center"/>
            <w:hideMark/>
          </w:tcPr>
          <w:p w14:paraId="5A7FCAA9" w14:textId="77777777" w:rsidR="001E2C09" w:rsidRPr="006757CB" w:rsidRDefault="001E2C09">
            <w:pPr>
              <w:jc w:val="center"/>
              <w:rPr>
                <w:rFonts w:ascii="Calibri" w:hAnsi="Calibri"/>
                <w:sz w:val="14"/>
                <w:szCs w:val="14"/>
              </w:rPr>
            </w:pPr>
            <w:r w:rsidRPr="006757CB">
              <w:rPr>
                <w:rFonts w:ascii="Calibri" w:hAnsi="Calibri"/>
                <w:sz w:val="14"/>
                <w:szCs w:val="14"/>
              </w:rPr>
              <w:t xml:space="preserve">     113,98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738E94A0" w14:textId="77777777" w:rsidR="001E2C09" w:rsidRPr="006757CB" w:rsidRDefault="001E2C09">
            <w:pPr>
              <w:jc w:val="right"/>
              <w:rPr>
                <w:rFonts w:ascii="Calibri" w:hAnsi="Calibri"/>
                <w:sz w:val="14"/>
                <w:szCs w:val="14"/>
              </w:rPr>
            </w:pPr>
            <w:r w:rsidRPr="006757CB">
              <w:rPr>
                <w:rFonts w:ascii="Calibri" w:hAnsi="Calibri"/>
                <w:sz w:val="14"/>
                <w:szCs w:val="14"/>
              </w:rPr>
              <w:t xml:space="preserve">       1.198.989 </w:t>
            </w:r>
          </w:p>
        </w:tc>
      </w:tr>
      <w:tr w:rsidR="006757CB" w:rsidRPr="006757CB" w14:paraId="0B6FD89E"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5E141742" w14:textId="77777777" w:rsidR="001E2C09" w:rsidRPr="006757CB" w:rsidRDefault="001E2C09">
            <w:pPr>
              <w:jc w:val="center"/>
              <w:rPr>
                <w:rFonts w:ascii="Calibri" w:hAnsi="Calibri"/>
                <w:sz w:val="14"/>
                <w:szCs w:val="14"/>
              </w:rPr>
            </w:pPr>
            <w:r w:rsidRPr="006757CB">
              <w:rPr>
                <w:rFonts w:ascii="Calibri" w:hAnsi="Calibri"/>
                <w:sz w:val="14"/>
                <w:szCs w:val="14"/>
              </w:rPr>
              <w:t>3,66</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43CD361D" w14:textId="77777777" w:rsidR="001E2C09" w:rsidRPr="006757CB" w:rsidRDefault="001E2C09">
            <w:pPr>
              <w:jc w:val="right"/>
              <w:rPr>
                <w:rFonts w:ascii="Calibri" w:hAnsi="Calibri"/>
                <w:sz w:val="14"/>
                <w:szCs w:val="14"/>
              </w:rPr>
            </w:pPr>
            <w:r w:rsidRPr="006757CB">
              <w:rPr>
                <w:rFonts w:ascii="Calibri" w:hAnsi="Calibri"/>
                <w:sz w:val="14"/>
                <w:szCs w:val="14"/>
              </w:rPr>
              <w:t>01-ene-14</w:t>
            </w:r>
          </w:p>
        </w:tc>
        <w:tc>
          <w:tcPr>
            <w:tcW w:w="1134" w:type="dxa"/>
            <w:tcBorders>
              <w:top w:val="nil"/>
              <w:left w:val="nil"/>
              <w:bottom w:val="single" w:sz="4" w:space="0" w:color="808000"/>
              <w:right w:val="single" w:sz="4" w:space="0" w:color="808000"/>
            </w:tcBorders>
            <w:shd w:val="clear" w:color="auto" w:fill="auto"/>
            <w:noWrap/>
            <w:vAlign w:val="center"/>
            <w:hideMark/>
          </w:tcPr>
          <w:p w14:paraId="32A1C908" w14:textId="77777777" w:rsidR="001E2C09" w:rsidRPr="006757CB" w:rsidRDefault="001E2C09">
            <w:pPr>
              <w:jc w:val="right"/>
              <w:rPr>
                <w:rFonts w:ascii="Calibri" w:hAnsi="Calibri"/>
                <w:sz w:val="14"/>
                <w:szCs w:val="14"/>
              </w:rPr>
            </w:pPr>
            <w:r w:rsidRPr="006757CB">
              <w:rPr>
                <w:rFonts w:ascii="Calibri" w:hAnsi="Calibri"/>
                <w:sz w:val="14"/>
                <w:szCs w:val="14"/>
              </w:rPr>
              <w:t>31-dic-14</w:t>
            </w:r>
          </w:p>
        </w:tc>
        <w:tc>
          <w:tcPr>
            <w:tcW w:w="850" w:type="dxa"/>
            <w:tcBorders>
              <w:top w:val="nil"/>
              <w:left w:val="nil"/>
              <w:bottom w:val="nil"/>
              <w:right w:val="nil"/>
            </w:tcBorders>
            <w:shd w:val="clear" w:color="000000" w:fill="FFFFCC"/>
            <w:noWrap/>
            <w:vAlign w:val="bottom"/>
            <w:hideMark/>
          </w:tcPr>
          <w:p w14:paraId="03AA113A"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2E637EF7" w14:textId="77777777" w:rsidR="001E2C09" w:rsidRPr="006757CB" w:rsidRDefault="001E2C09">
            <w:pPr>
              <w:rPr>
                <w:rFonts w:ascii="Calibri" w:hAnsi="Calibri"/>
                <w:sz w:val="14"/>
                <w:szCs w:val="14"/>
              </w:rPr>
            </w:pPr>
            <w:r w:rsidRPr="006757CB">
              <w:rPr>
                <w:rFonts w:ascii="Calibri" w:hAnsi="Calibri"/>
                <w:sz w:val="14"/>
                <w:szCs w:val="14"/>
              </w:rPr>
              <w:t xml:space="preserve">       1.170.490 </w:t>
            </w:r>
          </w:p>
        </w:tc>
        <w:tc>
          <w:tcPr>
            <w:tcW w:w="986" w:type="dxa"/>
            <w:tcBorders>
              <w:top w:val="nil"/>
              <w:left w:val="nil"/>
              <w:bottom w:val="single" w:sz="4" w:space="0" w:color="003366"/>
              <w:right w:val="single" w:sz="4" w:space="0" w:color="003366"/>
            </w:tcBorders>
            <w:shd w:val="clear" w:color="000000" w:fill="FFFFCC"/>
            <w:vAlign w:val="bottom"/>
            <w:hideMark/>
          </w:tcPr>
          <w:p w14:paraId="3A0A999B" w14:textId="77777777" w:rsidR="001E2C09" w:rsidRPr="006757CB" w:rsidRDefault="001E2C09">
            <w:pPr>
              <w:rPr>
                <w:rFonts w:ascii="Calibri" w:hAnsi="Calibri"/>
                <w:sz w:val="14"/>
                <w:szCs w:val="14"/>
              </w:rPr>
            </w:pPr>
            <w:r w:rsidRPr="006757CB">
              <w:rPr>
                <w:rFonts w:ascii="Calibri" w:hAnsi="Calibri"/>
                <w:sz w:val="14"/>
                <w:szCs w:val="14"/>
              </w:rPr>
              <w:t xml:space="preserve">             654.634 </w:t>
            </w:r>
          </w:p>
        </w:tc>
        <w:tc>
          <w:tcPr>
            <w:tcW w:w="715" w:type="dxa"/>
            <w:tcBorders>
              <w:top w:val="nil"/>
              <w:left w:val="nil"/>
              <w:bottom w:val="single" w:sz="4" w:space="0" w:color="003366"/>
              <w:right w:val="single" w:sz="4" w:space="0" w:color="003366"/>
            </w:tcBorders>
            <w:shd w:val="clear" w:color="000000" w:fill="FFFFFF"/>
            <w:noWrap/>
            <w:vAlign w:val="bottom"/>
            <w:hideMark/>
          </w:tcPr>
          <w:p w14:paraId="43B39AE9" w14:textId="77777777" w:rsidR="001E2C09" w:rsidRPr="006757CB" w:rsidRDefault="001E2C09">
            <w:pPr>
              <w:jc w:val="center"/>
              <w:rPr>
                <w:rFonts w:ascii="Calibri" w:hAnsi="Calibri"/>
                <w:sz w:val="14"/>
                <w:szCs w:val="14"/>
              </w:rPr>
            </w:pPr>
            <w:r w:rsidRPr="006757CB">
              <w:rPr>
                <w:rFonts w:ascii="Calibri" w:hAnsi="Calibri"/>
                <w:sz w:val="14"/>
                <w:szCs w:val="14"/>
              </w:rPr>
              <w:t>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5C4AC10C" w14:textId="77777777" w:rsidR="001E2C09" w:rsidRPr="006757CB" w:rsidRDefault="001E2C09">
            <w:pPr>
              <w:rPr>
                <w:rFonts w:ascii="Calibri" w:hAnsi="Calibri"/>
                <w:sz w:val="14"/>
                <w:szCs w:val="14"/>
              </w:rPr>
            </w:pPr>
            <w:r w:rsidRPr="006757CB">
              <w:rPr>
                <w:rFonts w:ascii="Calibri" w:hAnsi="Calibri"/>
                <w:sz w:val="14"/>
                <w:szCs w:val="14"/>
              </w:rPr>
              <w:t xml:space="preserve">       7.221.980 </w:t>
            </w:r>
          </w:p>
        </w:tc>
        <w:tc>
          <w:tcPr>
            <w:tcW w:w="580" w:type="dxa"/>
            <w:tcBorders>
              <w:top w:val="nil"/>
              <w:left w:val="nil"/>
              <w:bottom w:val="nil"/>
              <w:right w:val="nil"/>
            </w:tcBorders>
            <w:shd w:val="clear" w:color="FFFFFF" w:fill="33CCCC"/>
            <w:vAlign w:val="center"/>
            <w:hideMark/>
          </w:tcPr>
          <w:p w14:paraId="3ADCD27C" w14:textId="77777777" w:rsidR="001E2C09" w:rsidRPr="006757CB" w:rsidRDefault="001E2C09">
            <w:pPr>
              <w:jc w:val="center"/>
              <w:rPr>
                <w:rFonts w:ascii="Calibri" w:hAnsi="Calibri"/>
                <w:sz w:val="14"/>
                <w:szCs w:val="14"/>
              </w:rPr>
            </w:pPr>
            <w:r w:rsidRPr="006757CB">
              <w:rPr>
                <w:rFonts w:ascii="Calibri" w:hAnsi="Calibri"/>
                <w:sz w:val="14"/>
                <w:szCs w:val="14"/>
              </w:rPr>
              <w:t xml:space="preserve">     118,15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4483B2D1" w14:textId="77777777" w:rsidR="001E2C09" w:rsidRPr="006757CB" w:rsidRDefault="001E2C09">
            <w:pPr>
              <w:jc w:val="right"/>
              <w:rPr>
                <w:rFonts w:ascii="Calibri" w:hAnsi="Calibri"/>
                <w:sz w:val="14"/>
                <w:szCs w:val="14"/>
              </w:rPr>
            </w:pPr>
            <w:r w:rsidRPr="006757CB">
              <w:rPr>
                <w:rFonts w:ascii="Calibri" w:hAnsi="Calibri"/>
                <w:sz w:val="14"/>
                <w:szCs w:val="14"/>
              </w:rPr>
              <w:t xml:space="preserve">          924.218 </w:t>
            </w:r>
          </w:p>
        </w:tc>
      </w:tr>
      <w:tr w:rsidR="006757CB" w:rsidRPr="006757CB" w14:paraId="795196BB" w14:textId="77777777" w:rsidTr="001E2C09">
        <w:trPr>
          <w:trHeight w:val="20"/>
        </w:trPr>
        <w:tc>
          <w:tcPr>
            <w:tcW w:w="699" w:type="dxa"/>
            <w:tcBorders>
              <w:top w:val="nil"/>
              <w:left w:val="single" w:sz="8" w:space="0" w:color="auto"/>
              <w:bottom w:val="single" w:sz="4" w:space="0" w:color="003366"/>
              <w:right w:val="single" w:sz="4" w:space="0" w:color="003366"/>
            </w:tcBorders>
            <w:shd w:val="clear" w:color="000000" w:fill="FFFFCC"/>
            <w:noWrap/>
            <w:vAlign w:val="bottom"/>
            <w:hideMark/>
          </w:tcPr>
          <w:p w14:paraId="5CD5CCF6" w14:textId="77777777" w:rsidR="001E2C09" w:rsidRPr="006757CB" w:rsidRDefault="001E2C09">
            <w:pPr>
              <w:jc w:val="center"/>
              <w:rPr>
                <w:rFonts w:ascii="Calibri" w:hAnsi="Calibri"/>
                <w:sz w:val="14"/>
                <w:szCs w:val="14"/>
              </w:rPr>
            </w:pPr>
            <w:r w:rsidRPr="006757CB">
              <w:rPr>
                <w:rFonts w:ascii="Calibri" w:hAnsi="Calibri"/>
                <w:sz w:val="14"/>
                <w:szCs w:val="14"/>
              </w:rPr>
              <w:t>6,77</w:t>
            </w:r>
          </w:p>
        </w:tc>
        <w:tc>
          <w:tcPr>
            <w:tcW w:w="1418" w:type="dxa"/>
            <w:tcBorders>
              <w:top w:val="nil"/>
              <w:left w:val="single" w:sz="4" w:space="0" w:color="808000"/>
              <w:bottom w:val="single" w:sz="4" w:space="0" w:color="808000"/>
              <w:right w:val="single" w:sz="4" w:space="0" w:color="808000"/>
            </w:tcBorders>
            <w:shd w:val="clear" w:color="auto" w:fill="auto"/>
            <w:noWrap/>
            <w:vAlign w:val="center"/>
            <w:hideMark/>
          </w:tcPr>
          <w:p w14:paraId="1124CF9D" w14:textId="77777777" w:rsidR="001E2C09" w:rsidRPr="006757CB" w:rsidRDefault="001E2C09">
            <w:pPr>
              <w:jc w:val="right"/>
              <w:rPr>
                <w:rFonts w:ascii="Calibri" w:hAnsi="Calibri"/>
                <w:sz w:val="14"/>
                <w:szCs w:val="14"/>
              </w:rPr>
            </w:pPr>
            <w:r w:rsidRPr="006757CB">
              <w:rPr>
                <w:rFonts w:ascii="Calibri" w:hAnsi="Calibri"/>
                <w:sz w:val="14"/>
                <w:szCs w:val="14"/>
              </w:rPr>
              <w:t>01-ene-15</w:t>
            </w:r>
          </w:p>
        </w:tc>
        <w:tc>
          <w:tcPr>
            <w:tcW w:w="1134" w:type="dxa"/>
            <w:tcBorders>
              <w:top w:val="nil"/>
              <w:left w:val="nil"/>
              <w:bottom w:val="single" w:sz="4" w:space="0" w:color="808000"/>
              <w:right w:val="single" w:sz="4" w:space="0" w:color="808000"/>
            </w:tcBorders>
            <w:shd w:val="clear" w:color="auto" w:fill="auto"/>
            <w:noWrap/>
            <w:vAlign w:val="center"/>
            <w:hideMark/>
          </w:tcPr>
          <w:p w14:paraId="4C3D7022" w14:textId="77777777" w:rsidR="001E2C09" w:rsidRPr="006757CB" w:rsidRDefault="001E2C09">
            <w:pPr>
              <w:jc w:val="right"/>
              <w:rPr>
                <w:rFonts w:ascii="Calibri" w:hAnsi="Calibri"/>
                <w:sz w:val="14"/>
                <w:szCs w:val="14"/>
              </w:rPr>
            </w:pPr>
            <w:r w:rsidRPr="006757CB">
              <w:rPr>
                <w:rFonts w:ascii="Calibri" w:hAnsi="Calibri"/>
                <w:sz w:val="14"/>
                <w:szCs w:val="14"/>
              </w:rPr>
              <w:t>31-dic-15</w:t>
            </w:r>
          </w:p>
        </w:tc>
        <w:tc>
          <w:tcPr>
            <w:tcW w:w="850" w:type="dxa"/>
            <w:tcBorders>
              <w:top w:val="nil"/>
              <w:left w:val="nil"/>
              <w:bottom w:val="nil"/>
              <w:right w:val="nil"/>
            </w:tcBorders>
            <w:shd w:val="clear" w:color="000000" w:fill="FFFFCC"/>
            <w:noWrap/>
            <w:vAlign w:val="bottom"/>
            <w:hideMark/>
          </w:tcPr>
          <w:p w14:paraId="6C03A7BC" w14:textId="77777777" w:rsidR="001E2C09" w:rsidRPr="006757CB" w:rsidRDefault="001E2C09">
            <w:pPr>
              <w:jc w:val="center"/>
              <w:rPr>
                <w:rFonts w:ascii="Calibri" w:hAnsi="Calibri"/>
                <w:sz w:val="14"/>
                <w:szCs w:val="14"/>
              </w:rPr>
            </w:pPr>
            <w:r w:rsidRPr="006757CB">
              <w:rPr>
                <w:rFonts w:ascii="Calibri" w:hAnsi="Calibri"/>
                <w:sz w:val="14"/>
                <w:szCs w:val="14"/>
              </w:rPr>
              <w:t>14,00</w:t>
            </w:r>
          </w:p>
        </w:tc>
        <w:tc>
          <w:tcPr>
            <w:tcW w:w="851" w:type="dxa"/>
            <w:tcBorders>
              <w:top w:val="nil"/>
              <w:left w:val="single" w:sz="4" w:space="0" w:color="003366"/>
              <w:bottom w:val="single" w:sz="4" w:space="0" w:color="003366"/>
              <w:right w:val="single" w:sz="4" w:space="0" w:color="003366"/>
            </w:tcBorders>
            <w:shd w:val="clear" w:color="000000" w:fill="FFFFCC"/>
            <w:vAlign w:val="bottom"/>
            <w:hideMark/>
          </w:tcPr>
          <w:p w14:paraId="6346B9E7" w14:textId="77777777" w:rsidR="001E2C09" w:rsidRPr="006757CB" w:rsidRDefault="001E2C09">
            <w:pPr>
              <w:rPr>
                <w:rFonts w:ascii="Calibri" w:hAnsi="Calibri"/>
                <w:sz w:val="14"/>
                <w:szCs w:val="14"/>
              </w:rPr>
            </w:pPr>
            <w:r w:rsidRPr="006757CB">
              <w:rPr>
                <w:rFonts w:ascii="Calibri" w:hAnsi="Calibri"/>
                <w:sz w:val="14"/>
                <w:szCs w:val="14"/>
              </w:rPr>
              <w:t xml:space="preserve">       1.213.330 </w:t>
            </w:r>
          </w:p>
        </w:tc>
        <w:tc>
          <w:tcPr>
            <w:tcW w:w="986" w:type="dxa"/>
            <w:tcBorders>
              <w:top w:val="nil"/>
              <w:left w:val="nil"/>
              <w:bottom w:val="single" w:sz="4" w:space="0" w:color="003366"/>
              <w:right w:val="single" w:sz="4" w:space="0" w:color="003366"/>
            </w:tcBorders>
            <w:shd w:val="clear" w:color="000000" w:fill="FFFFCC"/>
            <w:vAlign w:val="bottom"/>
            <w:hideMark/>
          </w:tcPr>
          <w:p w14:paraId="2B56AE42" w14:textId="77777777" w:rsidR="001E2C09" w:rsidRPr="006757CB" w:rsidRDefault="001E2C09">
            <w:pPr>
              <w:rPr>
                <w:rFonts w:ascii="Calibri" w:hAnsi="Calibri"/>
                <w:sz w:val="14"/>
                <w:szCs w:val="14"/>
              </w:rPr>
            </w:pPr>
            <w:r w:rsidRPr="006757CB">
              <w:rPr>
                <w:rFonts w:ascii="Calibri" w:hAnsi="Calibri"/>
                <w:sz w:val="14"/>
                <w:szCs w:val="14"/>
              </w:rPr>
              <w:t xml:space="preserve">             678.593 </w:t>
            </w:r>
          </w:p>
        </w:tc>
        <w:tc>
          <w:tcPr>
            <w:tcW w:w="715" w:type="dxa"/>
            <w:tcBorders>
              <w:top w:val="nil"/>
              <w:left w:val="nil"/>
              <w:bottom w:val="single" w:sz="4" w:space="0" w:color="003366"/>
              <w:right w:val="single" w:sz="4" w:space="0" w:color="003366"/>
            </w:tcBorders>
            <w:shd w:val="clear" w:color="000000" w:fill="FFFFFF"/>
            <w:noWrap/>
            <w:vAlign w:val="bottom"/>
            <w:hideMark/>
          </w:tcPr>
          <w:p w14:paraId="3767DD90" w14:textId="77777777" w:rsidR="001E2C09" w:rsidRPr="006757CB" w:rsidRDefault="001E2C09">
            <w:pPr>
              <w:jc w:val="center"/>
              <w:rPr>
                <w:rFonts w:ascii="Calibri" w:hAnsi="Calibri"/>
                <w:sz w:val="14"/>
                <w:szCs w:val="14"/>
              </w:rPr>
            </w:pPr>
            <w:r w:rsidRPr="006757CB">
              <w:rPr>
                <w:rFonts w:ascii="Calibri" w:hAnsi="Calibri"/>
                <w:sz w:val="14"/>
                <w:szCs w:val="14"/>
              </w:rPr>
              <w:t> </w:t>
            </w:r>
          </w:p>
        </w:tc>
        <w:tc>
          <w:tcPr>
            <w:tcW w:w="850" w:type="dxa"/>
            <w:tcBorders>
              <w:top w:val="nil"/>
              <w:left w:val="single" w:sz="4" w:space="0" w:color="808000"/>
              <w:bottom w:val="single" w:sz="4" w:space="0" w:color="808000"/>
              <w:right w:val="single" w:sz="4" w:space="0" w:color="808000"/>
            </w:tcBorders>
            <w:shd w:val="clear" w:color="000000" w:fill="FFFFCC"/>
            <w:noWrap/>
            <w:vAlign w:val="center"/>
            <w:hideMark/>
          </w:tcPr>
          <w:p w14:paraId="26ABB102" w14:textId="77777777" w:rsidR="001E2C09" w:rsidRPr="006757CB" w:rsidRDefault="001E2C09">
            <w:pPr>
              <w:rPr>
                <w:rFonts w:ascii="Calibri" w:hAnsi="Calibri"/>
                <w:sz w:val="14"/>
                <w:szCs w:val="14"/>
              </w:rPr>
            </w:pPr>
            <w:r w:rsidRPr="006757CB">
              <w:rPr>
                <w:rFonts w:ascii="Calibri" w:hAnsi="Calibri"/>
                <w:sz w:val="14"/>
                <w:szCs w:val="14"/>
              </w:rPr>
              <w:t xml:space="preserve">       7.486.305 </w:t>
            </w:r>
          </w:p>
        </w:tc>
        <w:tc>
          <w:tcPr>
            <w:tcW w:w="580" w:type="dxa"/>
            <w:tcBorders>
              <w:top w:val="nil"/>
              <w:left w:val="nil"/>
              <w:bottom w:val="nil"/>
              <w:right w:val="nil"/>
            </w:tcBorders>
            <w:shd w:val="clear" w:color="FFFFFF" w:fill="33CCCC"/>
            <w:vAlign w:val="center"/>
            <w:hideMark/>
          </w:tcPr>
          <w:p w14:paraId="23B26F72" w14:textId="77777777" w:rsidR="001E2C09" w:rsidRPr="006757CB" w:rsidRDefault="001E2C09">
            <w:pPr>
              <w:jc w:val="center"/>
              <w:rPr>
                <w:rFonts w:ascii="Calibri" w:hAnsi="Calibri"/>
                <w:sz w:val="14"/>
                <w:szCs w:val="14"/>
              </w:rPr>
            </w:pPr>
            <w:r w:rsidRPr="006757CB">
              <w:rPr>
                <w:rFonts w:ascii="Calibri" w:hAnsi="Calibri"/>
                <w:sz w:val="14"/>
                <w:szCs w:val="14"/>
              </w:rPr>
              <w:t xml:space="preserve">     126,15 </w:t>
            </w:r>
          </w:p>
        </w:tc>
        <w:tc>
          <w:tcPr>
            <w:tcW w:w="979" w:type="dxa"/>
            <w:tcBorders>
              <w:top w:val="nil"/>
              <w:left w:val="single" w:sz="4" w:space="0" w:color="003366"/>
              <w:bottom w:val="single" w:sz="4" w:space="0" w:color="003366"/>
              <w:right w:val="single" w:sz="8" w:space="0" w:color="auto"/>
            </w:tcBorders>
            <w:shd w:val="clear" w:color="000000" w:fill="FFFFCC"/>
            <w:vAlign w:val="bottom"/>
            <w:hideMark/>
          </w:tcPr>
          <w:p w14:paraId="0F6A3A77" w14:textId="77777777" w:rsidR="001E2C09" w:rsidRPr="006757CB" w:rsidRDefault="001E2C09">
            <w:pPr>
              <w:jc w:val="right"/>
              <w:rPr>
                <w:rFonts w:ascii="Calibri" w:hAnsi="Calibri"/>
                <w:sz w:val="14"/>
                <w:szCs w:val="14"/>
              </w:rPr>
            </w:pPr>
            <w:r w:rsidRPr="006757CB">
              <w:rPr>
                <w:rFonts w:ascii="Calibri" w:hAnsi="Calibri"/>
                <w:sz w:val="14"/>
                <w:szCs w:val="14"/>
              </w:rPr>
              <w:t xml:space="preserve">          422.533 </w:t>
            </w:r>
          </w:p>
        </w:tc>
      </w:tr>
      <w:tr w:rsidR="006757CB" w:rsidRPr="006757CB" w14:paraId="16ED052D" w14:textId="77777777" w:rsidTr="001E2C09">
        <w:trPr>
          <w:trHeight w:val="20"/>
        </w:trPr>
        <w:tc>
          <w:tcPr>
            <w:tcW w:w="699" w:type="dxa"/>
            <w:tcBorders>
              <w:top w:val="nil"/>
              <w:left w:val="single" w:sz="8" w:space="0" w:color="auto"/>
              <w:bottom w:val="nil"/>
              <w:right w:val="single" w:sz="4" w:space="0" w:color="003366"/>
            </w:tcBorders>
            <w:shd w:val="clear" w:color="000000" w:fill="FFFFCC"/>
            <w:noWrap/>
            <w:vAlign w:val="bottom"/>
            <w:hideMark/>
          </w:tcPr>
          <w:p w14:paraId="4A108A48" w14:textId="77777777" w:rsidR="001E2C09" w:rsidRPr="006757CB" w:rsidRDefault="001E2C09">
            <w:pPr>
              <w:jc w:val="center"/>
              <w:rPr>
                <w:rFonts w:ascii="Calibri" w:hAnsi="Calibri"/>
                <w:sz w:val="14"/>
                <w:szCs w:val="14"/>
              </w:rPr>
            </w:pPr>
            <w:r w:rsidRPr="006757CB">
              <w:rPr>
                <w:rFonts w:ascii="Calibri" w:hAnsi="Calibri"/>
                <w:sz w:val="14"/>
                <w:szCs w:val="14"/>
              </w:rPr>
              <w:t>0,00</w:t>
            </w:r>
          </w:p>
        </w:tc>
        <w:tc>
          <w:tcPr>
            <w:tcW w:w="1418" w:type="dxa"/>
            <w:tcBorders>
              <w:top w:val="nil"/>
              <w:left w:val="single" w:sz="4" w:space="0" w:color="808000"/>
              <w:bottom w:val="nil"/>
              <w:right w:val="single" w:sz="4" w:space="0" w:color="808000"/>
            </w:tcBorders>
            <w:shd w:val="clear" w:color="auto" w:fill="auto"/>
            <w:noWrap/>
            <w:vAlign w:val="center"/>
            <w:hideMark/>
          </w:tcPr>
          <w:p w14:paraId="7795B9DB" w14:textId="77777777" w:rsidR="001E2C09" w:rsidRPr="006757CB" w:rsidRDefault="001E2C09">
            <w:pPr>
              <w:jc w:val="right"/>
              <w:rPr>
                <w:rFonts w:ascii="Calibri" w:hAnsi="Calibri"/>
                <w:sz w:val="14"/>
                <w:szCs w:val="14"/>
              </w:rPr>
            </w:pPr>
            <w:r w:rsidRPr="006757CB">
              <w:rPr>
                <w:rFonts w:ascii="Calibri" w:hAnsi="Calibri"/>
                <w:sz w:val="14"/>
                <w:szCs w:val="14"/>
              </w:rPr>
              <w:t>01-ene-16</w:t>
            </w:r>
          </w:p>
        </w:tc>
        <w:tc>
          <w:tcPr>
            <w:tcW w:w="1134" w:type="dxa"/>
            <w:tcBorders>
              <w:top w:val="nil"/>
              <w:left w:val="nil"/>
              <w:bottom w:val="nil"/>
              <w:right w:val="single" w:sz="4" w:space="0" w:color="808000"/>
            </w:tcBorders>
            <w:shd w:val="clear" w:color="auto" w:fill="auto"/>
            <w:noWrap/>
            <w:vAlign w:val="center"/>
            <w:hideMark/>
          </w:tcPr>
          <w:p w14:paraId="4607EE42" w14:textId="77777777" w:rsidR="001E2C09" w:rsidRPr="006757CB" w:rsidRDefault="001E2C09">
            <w:pPr>
              <w:jc w:val="right"/>
              <w:rPr>
                <w:rFonts w:ascii="Calibri" w:hAnsi="Calibri"/>
                <w:sz w:val="14"/>
                <w:szCs w:val="14"/>
              </w:rPr>
            </w:pPr>
            <w:r w:rsidRPr="006757CB">
              <w:rPr>
                <w:rFonts w:ascii="Calibri" w:hAnsi="Calibri"/>
                <w:sz w:val="14"/>
                <w:szCs w:val="14"/>
              </w:rPr>
              <w:t>31-ago-16</w:t>
            </w:r>
          </w:p>
        </w:tc>
        <w:tc>
          <w:tcPr>
            <w:tcW w:w="850" w:type="dxa"/>
            <w:tcBorders>
              <w:top w:val="nil"/>
              <w:left w:val="nil"/>
              <w:bottom w:val="nil"/>
              <w:right w:val="nil"/>
            </w:tcBorders>
            <w:shd w:val="clear" w:color="000000" w:fill="FFFFCC"/>
            <w:noWrap/>
            <w:vAlign w:val="bottom"/>
            <w:hideMark/>
          </w:tcPr>
          <w:p w14:paraId="394C42CD" w14:textId="77777777" w:rsidR="001E2C09" w:rsidRPr="006757CB" w:rsidRDefault="001E2C09">
            <w:pPr>
              <w:jc w:val="center"/>
              <w:rPr>
                <w:rFonts w:ascii="Calibri" w:hAnsi="Calibri"/>
                <w:sz w:val="14"/>
                <w:szCs w:val="14"/>
              </w:rPr>
            </w:pPr>
            <w:r w:rsidRPr="006757CB">
              <w:rPr>
                <w:rFonts w:ascii="Calibri" w:hAnsi="Calibri"/>
                <w:sz w:val="14"/>
                <w:szCs w:val="14"/>
              </w:rPr>
              <w:t>9,00</w:t>
            </w:r>
          </w:p>
        </w:tc>
        <w:tc>
          <w:tcPr>
            <w:tcW w:w="851" w:type="dxa"/>
            <w:tcBorders>
              <w:top w:val="nil"/>
              <w:left w:val="single" w:sz="4" w:space="0" w:color="003366"/>
              <w:bottom w:val="nil"/>
              <w:right w:val="single" w:sz="4" w:space="0" w:color="003366"/>
            </w:tcBorders>
            <w:shd w:val="clear" w:color="000000" w:fill="FFFFCC"/>
            <w:vAlign w:val="bottom"/>
            <w:hideMark/>
          </w:tcPr>
          <w:p w14:paraId="3DAB90BC" w14:textId="77777777" w:rsidR="001E2C09" w:rsidRPr="006757CB" w:rsidRDefault="001E2C09">
            <w:pPr>
              <w:rPr>
                <w:rFonts w:ascii="Calibri" w:hAnsi="Calibri"/>
                <w:sz w:val="14"/>
                <w:szCs w:val="14"/>
              </w:rPr>
            </w:pPr>
            <w:r w:rsidRPr="006757CB">
              <w:rPr>
                <w:rFonts w:ascii="Calibri" w:hAnsi="Calibri"/>
                <w:sz w:val="14"/>
                <w:szCs w:val="14"/>
              </w:rPr>
              <w:t xml:space="preserve">       1.295.472 </w:t>
            </w:r>
          </w:p>
        </w:tc>
        <w:tc>
          <w:tcPr>
            <w:tcW w:w="986" w:type="dxa"/>
            <w:tcBorders>
              <w:top w:val="nil"/>
              <w:left w:val="nil"/>
              <w:bottom w:val="nil"/>
              <w:right w:val="single" w:sz="4" w:space="0" w:color="003366"/>
            </w:tcBorders>
            <w:shd w:val="clear" w:color="000000" w:fill="FFFFCC"/>
            <w:vAlign w:val="bottom"/>
            <w:hideMark/>
          </w:tcPr>
          <w:p w14:paraId="79DC431A" w14:textId="77777777" w:rsidR="001E2C09" w:rsidRPr="006757CB" w:rsidRDefault="001E2C09">
            <w:pPr>
              <w:rPr>
                <w:rFonts w:ascii="Calibri" w:hAnsi="Calibri"/>
                <w:sz w:val="14"/>
                <w:szCs w:val="14"/>
              </w:rPr>
            </w:pPr>
            <w:r w:rsidRPr="006757CB">
              <w:rPr>
                <w:rFonts w:ascii="Calibri" w:hAnsi="Calibri"/>
                <w:sz w:val="14"/>
                <w:szCs w:val="14"/>
              </w:rPr>
              <w:t xml:space="preserve">             724.534 </w:t>
            </w:r>
          </w:p>
        </w:tc>
        <w:tc>
          <w:tcPr>
            <w:tcW w:w="715" w:type="dxa"/>
            <w:tcBorders>
              <w:top w:val="nil"/>
              <w:left w:val="nil"/>
              <w:bottom w:val="nil"/>
              <w:right w:val="single" w:sz="4" w:space="0" w:color="003366"/>
            </w:tcBorders>
            <w:shd w:val="clear" w:color="000000" w:fill="FFFFFF"/>
            <w:noWrap/>
            <w:vAlign w:val="bottom"/>
            <w:hideMark/>
          </w:tcPr>
          <w:p w14:paraId="12072F3D" w14:textId="77777777" w:rsidR="001E2C09" w:rsidRPr="006757CB" w:rsidRDefault="001E2C09">
            <w:pPr>
              <w:jc w:val="center"/>
              <w:rPr>
                <w:rFonts w:ascii="Calibri" w:hAnsi="Calibri"/>
                <w:sz w:val="14"/>
                <w:szCs w:val="14"/>
              </w:rPr>
            </w:pPr>
            <w:r w:rsidRPr="006757CB">
              <w:rPr>
                <w:rFonts w:ascii="Calibri" w:hAnsi="Calibri"/>
                <w:sz w:val="14"/>
                <w:szCs w:val="14"/>
              </w:rPr>
              <w:t> </w:t>
            </w:r>
          </w:p>
        </w:tc>
        <w:tc>
          <w:tcPr>
            <w:tcW w:w="850" w:type="dxa"/>
            <w:tcBorders>
              <w:top w:val="nil"/>
              <w:left w:val="single" w:sz="4" w:space="0" w:color="808000"/>
              <w:bottom w:val="nil"/>
              <w:right w:val="single" w:sz="4" w:space="0" w:color="808000"/>
            </w:tcBorders>
            <w:shd w:val="clear" w:color="000000" w:fill="FFFFCC"/>
            <w:noWrap/>
            <w:vAlign w:val="center"/>
            <w:hideMark/>
          </w:tcPr>
          <w:p w14:paraId="38ABF520" w14:textId="77777777" w:rsidR="001E2C09" w:rsidRPr="006757CB" w:rsidRDefault="001E2C09">
            <w:pPr>
              <w:rPr>
                <w:rFonts w:ascii="Calibri" w:hAnsi="Calibri"/>
                <w:sz w:val="14"/>
                <w:szCs w:val="14"/>
              </w:rPr>
            </w:pPr>
            <w:r w:rsidRPr="006757CB">
              <w:rPr>
                <w:rFonts w:ascii="Calibri" w:hAnsi="Calibri"/>
                <w:sz w:val="14"/>
                <w:szCs w:val="14"/>
              </w:rPr>
              <w:t xml:space="preserve">       5.138.439 </w:t>
            </w:r>
          </w:p>
        </w:tc>
        <w:tc>
          <w:tcPr>
            <w:tcW w:w="580" w:type="dxa"/>
            <w:tcBorders>
              <w:top w:val="nil"/>
              <w:left w:val="nil"/>
              <w:bottom w:val="nil"/>
              <w:right w:val="nil"/>
            </w:tcBorders>
            <w:shd w:val="clear" w:color="FFFFFF" w:fill="33CCCC"/>
            <w:vAlign w:val="center"/>
            <w:hideMark/>
          </w:tcPr>
          <w:p w14:paraId="37E7AEC8" w14:textId="77777777" w:rsidR="001E2C09" w:rsidRPr="006757CB" w:rsidRDefault="001E2C09">
            <w:pPr>
              <w:jc w:val="center"/>
              <w:rPr>
                <w:rFonts w:ascii="Calibri" w:hAnsi="Calibri"/>
                <w:sz w:val="14"/>
                <w:szCs w:val="14"/>
              </w:rPr>
            </w:pPr>
            <w:r w:rsidRPr="006757CB">
              <w:rPr>
                <w:rFonts w:ascii="Calibri" w:hAnsi="Calibri"/>
                <w:sz w:val="14"/>
                <w:szCs w:val="14"/>
              </w:rPr>
              <w:t xml:space="preserve">     133,27 </w:t>
            </w:r>
          </w:p>
        </w:tc>
        <w:tc>
          <w:tcPr>
            <w:tcW w:w="979" w:type="dxa"/>
            <w:tcBorders>
              <w:top w:val="nil"/>
              <w:left w:val="single" w:sz="4" w:space="0" w:color="003366"/>
              <w:bottom w:val="nil"/>
              <w:right w:val="single" w:sz="8" w:space="0" w:color="auto"/>
            </w:tcBorders>
            <w:shd w:val="clear" w:color="000000" w:fill="FFFFCC"/>
            <w:vAlign w:val="bottom"/>
            <w:hideMark/>
          </w:tcPr>
          <w:p w14:paraId="4E29068C" w14:textId="77777777" w:rsidR="001E2C09" w:rsidRPr="006757CB" w:rsidRDefault="001E2C09">
            <w:pPr>
              <w:jc w:val="right"/>
              <w:rPr>
                <w:rFonts w:ascii="Calibri" w:hAnsi="Calibri"/>
                <w:sz w:val="14"/>
                <w:szCs w:val="14"/>
              </w:rPr>
            </w:pPr>
            <w:r w:rsidRPr="006757CB">
              <w:rPr>
                <w:rFonts w:ascii="Calibri" w:hAnsi="Calibri"/>
                <w:sz w:val="14"/>
                <w:szCs w:val="14"/>
              </w:rPr>
              <w:t xml:space="preserve">                      -   </w:t>
            </w:r>
          </w:p>
        </w:tc>
      </w:tr>
      <w:tr w:rsidR="006757CB" w:rsidRPr="006757CB" w14:paraId="5A4FC875" w14:textId="77777777" w:rsidTr="001E2C09">
        <w:trPr>
          <w:trHeight w:val="20"/>
        </w:trPr>
        <w:tc>
          <w:tcPr>
            <w:tcW w:w="699" w:type="dxa"/>
            <w:tcBorders>
              <w:top w:val="single" w:sz="8" w:space="0" w:color="auto"/>
              <w:left w:val="single" w:sz="8" w:space="0" w:color="auto"/>
              <w:bottom w:val="single" w:sz="4" w:space="0" w:color="auto"/>
              <w:right w:val="nil"/>
            </w:tcBorders>
            <w:shd w:val="clear" w:color="000000" w:fill="FFFFCC"/>
            <w:noWrap/>
            <w:vAlign w:val="bottom"/>
            <w:hideMark/>
          </w:tcPr>
          <w:p w14:paraId="1DEC3A6F" w14:textId="77777777" w:rsidR="001E2C09" w:rsidRPr="006757CB" w:rsidRDefault="001E2C09">
            <w:pPr>
              <w:jc w:val="center"/>
              <w:rPr>
                <w:rFonts w:ascii="Calibri" w:hAnsi="Calibri"/>
                <w:sz w:val="14"/>
                <w:szCs w:val="14"/>
              </w:rPr>
            </w:pPr>
            <w:r w:rsidRPr="006757CB">
              <w:rPr>
                <w:rFonts w:ascii="Calibri" w:hAnsi="Calibri"/>
                <w:sz w:val="14"/>
                <w:szCs w:val="14"/>
              </w:rPr>
              <w:t> </w:t>
            </w:r>
          </w:p>
        </w:tc>
        <w:tc>
          <w:tcPr>
            <w:tcW w:w="1418" w:type="dxa"/>
            <w:tcBorders>
              <w:top w:val="single" w:sz="8" w:space="0" w:color="auto"/>
              <w:left w:val="nil"/>
              <w:bottom w:val="single" w:sz="4" w:space="0" w:color="auto"/>
              <w:right w:val="nil"/>
            </w:tcBorders>
            <w:shd w:val="clear" w:color="auto" w:fill="auto"/>
            <w:noWrap/>
            <w:vAlign w:val="center"/>
            <w:hideMark/>
          </w:tcPr>
          <w:p w14:paraId="0A8A78D0" w14:textId="77777777" w:rsidR="001E2C09" w:rsidRPr="006757CB" w:rsidRDefault="001E2C09">
            <w:pPr>
              <w:rPr>
                <w:rFonts w:ascii="Calibri" w:hAnsi="Calibri"/>
                <w:sz w:val="14"/>
                <w:szCs w:val="14"/>
              </w:rPr>
            </w:pPr>
            <w:r w:rsidRPr="006757CB">
              <w:rPr>
                <w:rFonts w:ascii="Calibri" w:hAnsi="Calibri"/>
                <w:sz w:val="14"/>
                <w:szCs w:val="14"/>
              </w:rPr>
              <w:t> </w:t>
            </w:r>
          </w:p>
        </w:tc>
        <w:tc>
          <w:tcPr>
            <w:tcW w:w="1134" w:type="dxa"/>
            <w:tcBorders>
              <w:top w:val="single" w:sz="8" w:space="0" w:color="auto"/>
              <w:left w:val="nil"/>
              <w:bottom w:val="single" w:sz="4" w:space="0" w:color="auto"/>
              <w:right w:val="nil"/>
            </w:tcBorders>
            <w:shd w:val="clear" w:color="auto" w:fill="auto"/>
            <w:noWrap/>
            <w:vAlign w:val="center"/>
            <w:hideMark/>
          </w:tcPr>
          <w:p w14:paraId="7D4977C9" w14:textId="77777777" w:rsidR="001E2C09" w:rsidRPr="006757CB" w:rsidRDefault="001E2C09">
            <w:pPr>
              <w:rPr>
                <w:rFonts w:ascii="Calibri" w:hAnsi="Calibri"/>
                <w:sz w:val="14"/>
                <w:szCs w:val="14"/>
              </w:rPr>
            </w:pPr>
            <w:r w:rsidRPr="006757CB">
              <w:rPr>
                <w:rFonts w:ascii="Calibri" w:hAnsi="Calibri"/>
                <w:sz w:val="14"/>
                <w:szCs w:val="14"/>
              </w:rPr>
              <w:t> </w:t>
            </w:r>
          </w:p>
        </w:tc>
        <w:tc>
          <w:tcPr>
            <w:tcW w:w="850" w:type="dxa"/>
            <w:tcBorders>
              <w:top w:val="single" w:sz="8" w:space="0" w:color="auto"/>
              <w:left w:val="nil"/>
              <w:bottom w:val="single" w:sz="4" w:space="0" w:color="auto"/>
              <w:right w:val="nil"/>
            </w:tcBorders>
            <w:shd w:val="clear" w:color="000000" w:fill="FFFFCC"/>
            <w:noWrap/>
            <w:vAlign w:val="bottom"/>
            <w:hideMark/>
          </w:tcPr>
          <w:p w14:paraId="06854B04" w14:textId="77777777" w:rsidR="001E2C09" w:rsidRPr="006757CB" w:rsidRDefault="001E2C09">
            <w:pPr>
              <w:jc w:val="center"/>
              <w:rPr>
                <w:rFonts w:ascii="Calibri" w:hAnsi="Calibri"/>
                <w:sz w:val="14"/>
                <w:szCs w:val="14"/>
              </w:rPr>
            </w:pPr>
            <w:r w:rsidRPr="006757CB">
              <w:rPr>
                <w:rFonts w:ascii="Calibri" w:hAnsi="Calibri"/>
                <w:sz w:val="14"/>
                <w:szCs w:val="14"/>
              </w:rPr>
              <w:t> </w:t>
            </w:r>
          </w:p>
        </w:tc>
        <w:tc>
          <w:tcPr>
            <w:tcW w:w="1837" w:type="dxa"/>
            <w:gridSpan w:val="2"/>
            <w:tcBorders>
              <w:top w:val="single" w:sz="8" w:space="0" w:color="auto"/>
              <w:left w:val="single" w:sz="4" w:space="0" w:color="003366"/>
              <w:bottom w:val="single" w:sz="4" w:space="0" w:color="auto"/>
              <w:right w:val="single" w:sz="4" w:space="0" w:color="003366"/>
            </w:tcBorders>
            <w:shd w:val="clear" w:color="000000" w:fill="FFFFCC"/>
            <w:vAlign w:val="bottom"/>
            <w:hideMark/>
          </w:tcPr>
          <w:p w14:paraId="429B88A2" w14:textId="77777777" w:rsidR="001E2C09" w:rsidRPr="006757CB" w:rsidRDefault="001E2C09">
            <w:pPr>
              <w:jc w:val="center"/>
              <w:rPr>
                <w:rFonts w:ascii="Calibri" w:hAnsi="Calibri"/>
                <w:sz w:val="14"/>
                <w:szCs w:val="14"/>
              </w:rPr>
            </w:pPr>
            <w:r w:rsidRPr="006757CB">
              <w:rPr>
                <w:rFonts w:ascii="Calibri" w:hAnsi="Calibri"/>
                <w:sz w:val="14"/>
                <w:szCs w:val="14"/>
              </w:rPr>
              <w:t xml:space="preserve"> SUBTOTALES </w:t>
            </w:r>
          </w:p>
        </w:tc>
        <w:tc>
          <w:tcPr>
            <w:tcW w:w="715" w:type="dxa"/>
            <w:tcBorders>
              <w:top w:val="single" w:sz="8" w:space="0" w:color="auto"/>
              <w:left w:val="nil"/>
              <w:bottom w:val="single" w:sz="4" w:space="0" w:color="auto"/>
              <w:right w:val="nil"/>
            </w:tcBorders>
            <w:shd w:val="clear" w:color="000000" w:fill="FFFFFF"/>
            <w:noWrap/>
            <w:vAlign w:val="bottom"/>
            <w:hideMark/>
          </w:tcPr>
          <w:p w14:paraId="63D580D2" w14:textId="77777777" w:rsidR="001E2C09" w:rsidRPr="006757CB" w:rsidRDefault="001E2C09">
            <w:pPr>
              <w:jc w:val="center"/>
              <w:rPr>
                <w:rFonts w:ascii="Calibri" w:hAnsi="Calibri"/>
                <w:sz w:val="14"/>
                <w:szCs w:val="14"/>
              </w:rPr>
            </w:pPr>
            <w:r w:rsidRPr="006757CB">
              <w:rPr>
                <w:rFonts w:ascii="Calibri" w:hAnsi="Calibri"/>
                <w:sz w:val="14"/>
                <w:szCs w:val="14"/>
              </w:rPr>
              <w:t> </w:t>
            </w:r>
          </w:p>
        </w:tc>
        <w:tc>
          <w:tcPr>
            <w:tcW w:w="850" w:type="dxa"/>
            <w:tcBorders>
              <w:top w:val="single" w:sz="8" w:space="0" w:color="auto"/>
              <w:left w:val="nil"/>
              <w:bottom w:val="single" w:sz="4" w:space="0" w:color="auto"/>
              <w:right w:val="nil"/>
            </w:tcBorders>
            <w:shd w:val="clear" w:color="000000" w:fill="FFFFCC"/>
            <w:noWrap/>
            <w:vAlign w:val="center"/>
            <w:hideMark/>
          </w:tcPr>
          <w:p w14:paraId="10BBED8E" w14:textId="77777777" w:rsidR="001E2C09" w:rsidRPr="006757CB" w:rsidRDefault="001E2C09">
            <w:pPr>
              <w:rPr>
                <w:rFonts w:ascii="Calibri" w:hAnsi="Calibri"/>
                <w:sz w:val="14"/>
                <w:szCs w:val="14"/>
              </w:rPr>
            </w:pPr>
            <w:r w:rsidRPr="006757CB">
              <w:rPr>
                <w:rFonts w:ascii="Calibri" w:hAnsi="Calibri"/>
                <w:sz w:val="14"/>
                <w:szCs w:val="14"/>
              </w:rPr>
              <w:t xml:space="preserve">     35.404.307 </w:t>
            </w:r>
          </w:p>
        </w:tc>
        <w:tc>
          <w:tcPr>
            <w:tcW w:w="580" w:type="dxa"/>
            <w:tcBorders>
              <w:top w:val="single" w:sz="8" w:space="0" w:color="auto"/>
              <w:left w:val="nil"/>
              <w:bottom w:val="single" w:sz="4" w:space="0" w:color="auto"/>
              <w:right w:val="nil"/>
            </w:tcBorders>
            <w:shd w:val="clear" w:color="FFFFFF" w:fill="33CCCC"/>
            <w:vAlign w:val="center"/>
            <w:hideMark/>
          </w:tcPr>
          <w:p w14:paraId="14951E54" w14:textId="77777777" w:rsidR="001E2C09" w:rsidRPr="006757CB" w:rsidRDefault="001E2C09">
            <w:pPr>
              <w:jc w:val="center"/>
              <w:rPr>
                <w:rFonts w:ascii="Calibri" w:hAnsi="Calibri"/>
                <w:sz w:val="14"/>
                <w:szCs w:val="14"/>
              </w:rPr>
            </w:pPr>
            <w:r w:rsidRPr="006757CB">
              <w:rPr>
                <w:rFonts w:ascii="Calibri" w:hAnsi="Calibri"/>
                <w:sz w:val="14"/>
                <w:szCs w:val="14"/>
              </w:rPr>
              <w:t> </w:t>
            </w:r>
          </w:p>
        </w:tc>
        <w:tc>
          <w:tcPr>
            <w:tcW w:w="979" w:type="dxa"/>
            <w:tcBorders>
              <w:top w:val="single" w:sz="8" w:space="0" w:color="auto"/>
              <w:left w:val="nil"/>
              <w:bottom w:val="single" w:sz="4" w:space="0" w:color="auto"/>
              <w:right w:val="single" w:sz="8" w:space="0" w:color="auto"/>
            </w:tcBorders>
            <w:shd w:val="clear" w:color="000000" w:fill="FFFFCC"/>
            <w:vAlign w:val="bottom"/>
            <w:hideMark/>
          </w:tcPr>
          <w:p w14:paraId="37B949C4" w14:textId="77777777" w:rsidR="001E2C09" w:rsidRPr="006757CB" w:rsidRDefault="001E2C09">
            <w:pPr>
              <w:jc w:val="right"/>
              <w:rPr>
                <w:rFonts w:ascii="Calibri" w:hAnsi="Calibri"/>
                <w:sz w:val="14"/>
                <w:szCs w:val="14"/>
              </w:rPr>
            </w:pPr>
            <w:r w:rsidRPr="006757CB">
              <w:rPr>
                <w:rFonts w:ascii="Calibri" w:hAnsi="Calibri"/>
                <w:sz w:val="14"/>
                <w:szCs w:val="14"/>
              </w:rPr>
              <w:t xml:space="preserve">       4.216.317 </w:t>
            </w:r>
          </w:p>
        </w:tc>
      </w:tr>
      <w:tr w:rsidR="006757CB" w:rsidRPr="006757CB" w14:paraId="065BF11D" w14:textId="77777777" w:rsidTr="001E2C09">
        <w:trPr>
          <w:trHeight w:val="20"/>
        </w:trPr>
        <w:tc>
          <w:tcPr>
            <w:tcW w:w="699" w:type="dxa"/>
            <w:tcBorders>
              <w:top w:val="single" w:sz="4" w:space="0" w:color="auto"/>
              <w:left w:val="single" w:sz="4" w:space="0" w:color="auto"/>
              <w:bottom w:val="single" w:sz="4" w:space="0" w:color="auto"/>
            </w:tcBorders>
            <w:shd w:val="clear" w:color="auto" w:fill="auto"/>
            <w:noWrap/>
            <w:vAlign w:val="bottom"/>
            <w:hideMark/>
          </w:tcPr>
          <w:p w14:paraId="41CA0BB1"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1418" w:type="dxa"/>
            <w:tcBorders>
              <w:top w:val="single" w:sz="4" w:space="0" w:color="auto"/>
              <w:bottom w:val="single" w:sz="4" w:space="0" w:color="auto"/>
            </w:tcBorders>
            <w:shd w:val="clear" w:color="auto" w:fill="auto"/>
            <w:noWrap/>
            <w:vAlign w:val="center"/>
            <w:hideMark/>
          </w:tcPr>
          <w:p w14:paraId="7F2F614F" w14:textId="20B13EC4" w:rsidR="001E2C09" w:rsidRPr="006757CB" w:rsidRDefault="001E2C09" w:rsidP="001E2C09">
            <w:pPr>
              <w:jc w:val="right"/>
              <w:rPr>
                <w:rFonts w:ascii="Calibri" w:hAnsi="Calibri"/>
                <w:b/>
                <w:bCs/>
                <w:sz w:val="14"/>
                <w:szCs w:val="14"/>
              </w:rPr>
            </w:pPr>
            <w:r w:rsidRPr="006757CB">
              <w:rPr>
                <w:rFonts w:ascii="Calibri" w:hAnsi="Calibri"/>
                <w:b/>
                <w:bCs/>
                <w:sz w:val="14"/>
                <w:szCs w:val="14"/>
              </w:rPr>
              <w:t xml:space="preserve"> Valores a cancelar </w:t>
            </w:r>
          </w:p>
        </w:tc>
        <w:tc>
          <w:tcPr>
            <w:tcW w:w="1134" w:type="dxa"/>
            <w:tcBorders>
              <w:top w:val="single" w:sz="4" w:space="0" w:color="auto"/>
              <w:bottom w:val="single" w:sz="4" w:space="0" w:color="auto"/>
            </w:tcBorders>
            <w:shd w:val="clear" w:color="auto" w:fill="auto"/>
            <w:noWrap/>
            <w:vAlign w:val="center"/>
            <w:hideMark/>
          </w:tcPr>
          <w:p w14:paraId="57B51600" w14:textId="0283806F" w:rsidR="001E2C09" w:rsidRPr="006757CB" w:rsidRDefault="001E2C09" w:rsidP="001E2C09">
            <w:pPr>
              <w:jc w:val="center"/>
              <w:rPr>
                <w:rFonts w:ascii="Calibri" w:hAnsi="Calibri"/>
                <w:b/>
                <w:bCs/>
                <w:sz w:val="14"/>
                <w:szCs w:val="14"/>
              </w:rPr>
            </w:pPr>
            <w:r w:rsidRPr="006757CB">
              <w:rPr>
                <w:rFonts w:ascii="Calibri" w:hAnsi="Calibri"/>
                <w:b/>
                <w:bCs/>
                <w:sz w:val="14"/>
                <w:szCs w:val="14"/>
              </w:rPr>
              <w:t>Diferencia</w:t>
            </w:r>
          </w:p>
        </w:tc>
        <w:tc>
          <w:tcPr>
            <w:tcW w:w="850" w:type="dxa"/>
            <w:tcBorders>
              <w:top w:val="single" w:sz="4" w:space="0" w:color="auto"/>
              <w:bottom w:val="single" w:sz="4" w:space="0" w:color="auto"/>
            </w:tcBorders>
            <w:shd w:val="clear" w:color="auto" w:fill="auto"/>
            <w:noWrap/>
            <w:vAlign w:val="center"/>
            <w:hideMark/>
          </w:tcPr>
          <w:p w14:paraId="5919D30B" w14:textId="7BC922EC" w:rsidR="001E2C09" w:rsidRPr="006757CB" w:rsidRDefault="001E2C09">
            <w:pPr>
              <w:rPr>
                <w:rFonts w:ascii="Calibri" w:hAnsi="Calibri"/>
                <w:b/>
                <w:bCs/>
                <w:sz w:val="14"/>
                <w:szCs w:val="14"/>
              </w:rPr>
            </w:pPr>
            <w:r w:rsidRPr="006757CB">
              <w:rPr>
                <w:rFonts w:ascii="Calibri" w:hAnsi="Calibri"/>
                <w:b/>
                <w:bCs/>
                <w:sz w:val="14"/>
                <w:szCs w:val="14"/>
              </w:rPr>
              <w:t> Mesada +</w:t>
            </w:r>
          </w:p>
        </w:tc>
        <w:tc>
          <w:tcPr>
            <w:tcW w:w="851" w:type="dxa"/>
            <w:tcBorders>
              <w:top w:val="single" w:sz="4" w:space="0" w:color="auto"/>
              <w:bottom w:val="single" w:sz="4" w:space="0" w:color="auto"/>
            </w:tcBorders>
            <w:shd w:val="clear" w:color="auto" w:fill="auto"/>
            <w:noWrap/>
            <w:vAlign w:val="center"/>
            <w:hideMark/>
          </w:tcPr>
          <w:p w14:paraId="4EC22D0E" w14:textId="0EFE1598" w:rsidR="001E2C09" w:rsidRPr="006757CB" w:rsidRDefault="001E2C09">
            <w:pPr>
              <w:rPr>
                <w:rFonts w:ascii="Calibri" w:hAnsi="Calibri"/>
                <w:b/>
                <w:bCs/>
                <w:sz w:val="14"/>
                <w:szCs w:val="14"/>
              </w:rPr>
            </w:pPr>
            <w:r w:rsidRPr="006757CB">
              <w:rPr>
                <w:rFonts w:ascii="Calibri" w:hAnsi="Calibri"/>
                <w:b/>
                <w:bCs/>
                <w:sz w:val="14"/>
                <w:szCs w:val="14"/>
              </w:rPr>
              <w:t> </w:t>
            </w:r>
            <w:proofErr w:type="spellStart"/>
            <w:r w:rsidRPr="006757CB">
              <w:rPr>
                <w:rFonts w:ascii="Calibri" w:hAnsi="Calibri"/>
                <w:b/>
                <w:bCs/>
                <w:sz w:val="14"/>
                <w:szCs w:val="14"/>
              </w:rPr>
              <w:t>indexacion</w:t>
            </w:r>
            <w:proofErr w:type="spellEnd"/>
          </w:p>
        </w:tc>
        <w:tc>
          <w:tcPr>
            <w:tcW w:w="986" w:type="dxa"/>
            <w:tcBorders>
              <w:top w:val="single" w:sz="4" w:space="0" w:color="auto"/>
              <w:bottom w:val="single" w:sz="4" w:space="0" w:color="auto"/>
            </w:tcBorders>
            <w:shd w:val="clear" w:color="auto" w:fill="auto"/>
            <w:noWrap/>
            <w:vAlign w:val="center"/>
            <w:hideMark/>
          </w:tcPr>
          <w:p w14:paraId="0A4746AF" w14:textId="32E6D706" w:rsidR="001E2C09" w:rsidRPr="006757CB" w:rsidRDefault="001E2C09">
            <w:pPr>
              <w:rPr>
                <w:rFonts w:ascii="Calibri" w:hAnsi="Calibri"/>
                <w:b/>
                <w:bCs/>
                <w:sz w:val="14"/>
                <w:szCs w:val="14"/>
              </w:rPr>
            </w:pPr>
            <w:r w:rsidRPr="006757CB">
              <w:rPr>
                <w:rFonts w:ascii="Calibri" w:hAnsi="Calibri"/>
                <w:b/>
                <w:bCs/>
                <w:sz w:val="14"/>
                <w:szCs w:val="14"/>
              </w:rPr>
              <w:t> ===&gt;</w:t>
            </w:r>
          </w:p>
        </w:tc>
        <w:tc>
          <w:tcPr>
            <w:tcW w:w="715" w:type="dxa"/>
            <w:tcBorders>
              <w:top w:val="single" w:sz="4" w:space="0" w:color="auto"/>
              <w:bottom w:val="single" w:sz="4" w:space="0" w:color="auto"/>
            </w:tcBorders>
            <w:shd w:val="clear" w:color="auto" w:fill="auto"/>
            <w:noWrap/>
            <w:vAlign w:val="bottom"/>
            <w:hideMark/>
          </w:tcPr>
          <w:p w14:paraId="6B6F5DD2" w14:textId="77777777" w:rsidR="001E2C09" w:rsidRPr="006757CB" w:rsidRDefault="001E2C09">
            <w:pPr>
              <w:rPr>
                <w:rFonts w:ascii="Calibri" w:hAnsi="Calibri"/>
                <w:i/>
                <w:iCs/>
                <w:sz w:val="14"/>
                <w:szCs w:val="14"/>
              </w:rPr>
            </w:pPr>
            <w:r w:rsidRPr="006757CB">
              <w:rPr>
                <w:rFonts w:ascii="Calibri" w:hAnsi="Calibri"/>
                <w:i/>
                <w:iCs/>
                <w:sz w:val="14"/>
                <w:szCs w:val="14"/>
              </w:rPr>
              <w:t> </w:t>
            </w:r>
          </w:p>
        </w:tc>
        <w:tc>
          <w:tcPr>
            <w:tcW w:w="2409" w:type="dxa"/>
            <w:gridSpan w:val="3"/>
            <w:tcBorders>
              <w:top w:val="single" w:sz="4" w:space="0" w:color="auto"/>
              <w:bottom w:val="single" w:sz="4" w:space="0" w:color="auto"/>
              <w:right w:val="single" w:sz="4" w:space="0" w:color="auto"/>
            </w:tcBorders>
            <w:shd w:val="clear" w:color="auto" w:fill="auto"/>
            <w:noWrap/>
            <w:vAlign w:val="center"/>
            <w:hideMark/>
          </w:tcPr>
          <w:p w14:paraId="2A6F2E9C" w14:textId="77777777" w:rsidR="001E2C09" w:rsidRPr="006757CB" w:rsidRDefault="001E2C09">
            <w:pPr>
              <w:jc w:val="center"/>
              <w:rPr>
                <w:rFonts w:ascii="Calibri" w:hAnsi="Calibri"/>
                <w:b/>
                <w:bCs/>
                <w:sz w:val="14"/>
                <w:szCs w:val="14"/>
              </w:rPr>
            </w:pPr>
            <w:r w:rsidRPr="006757CB">
              <w:rPr>
                <w:rFonts w:ascii="Calibri" w:hAnsi="Calibri"/>
                <w:b/>
                <w:bCs/>
                <w:sz w:val="14"/>
                <w:szCs w:val="14"/>
              </w:rPr>
              <w:t xml:space="preserve"> $                             39.620.623,68 </w:t>
            </w:r>
          </w:p>
        </w:tc>
      </w:tr>
    </w:tbl>
    <w:p w14:paraId="0A7DEE65" w14:textId="77777777" w:rsidR="001E2C09" w:rsidRPr="006757CB" w:rsidRDefault="001E2C09" w:rsidP="001B17E9">
      <w:pPr>
        <w:spacing w:line="276" w:lineRule="auto"/>
        <w:ind w:left="708"/>
        <w:jc w:val="center"/>
        <w:rPr>
          <w:rFonts w:ascii="Tahoma" w:hAnsi="Tahoma" w:cs="Tahoma"/>
        </w:rPr>
      </w:pPr>
    </w:p>
    <w:p w14:paraId="1C2F52C3" w14:textId="77777777" w:rsidR="001E2C09" w:rsidRPr="006757CB" w:rsidRDefault="001E2C09" w:rsidP="001B17E9">
      <w:pPr>
        <w:spacing w:line="276" w:lineRule="auto"/>
        <w:ind w:left="708"/>
        <w:jc w:val="center"/>
        <w:rPr>
          <w:rFonts w:ascii="Tahoma" w:hAnsi="Tahoma" w:cs="Tahoma"/>
        </w:rPr>
      </w:pPr>
    </w:p>
    <w:bookmarkEnd w:id="0"/>
    <w:p w14:paraId="16077CC2" w14:textId="77777777" w:rsidR="005501BA" w:rsidRPr="006757CB" w:rsidRDefault="005501BA" w:rsidP="00376339">
      <w:pPr>
        <w:rPr>
          <w:rFonts w:ascii="Tahoma" w:hAnsi="Tahoma" w:cs="Tahoma"/>
        </w:rPr>
      </w:pPr>
    </w:p>
    <w:sectPr w:rsidR="005501BA" w:rsidRPr="006757CB" w:rsidSect="002146A5">
      <w:headerReference w:type="even" r:id="rId8"/>
      <w:head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3FD3F" w14:textId="77777777" w:rsidR="00C62B48" w:rsidRDefault="00C62B48">
      <w:r>
        <w:separator/>
      </w:r>
    </w:p>
  </w:endnote>
  <w:endnote w:type="continuationSeparator" w:id="0">
    <w:p w14:paraId="370A130E" w14:textId="77777777" w:rsidR="00C62B48" w:rsidRDefault="00C6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B5EF9" w14:textId="77777777" w:rsidR="00C62B48" w:rsidRDefault="00C62B48">
      <w:r>
        <w:separator/>
      </w:r>
    </w:p>
  </w:footnote>
  <w:footnote w:type="continuationSeparator" w:id="0">
    <w:p w14:paraId="3CDCF996" w14:textId="77777777" w:rsidR="00C62B48" w:rsidRDefault="00C6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D49C3" w14:textId="77777777" w:rsidR="006757CB" w:rsidRDefault="006757C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D3A71D" w14:textId="77777777" w:rsidR="006757CB" w:rsidRDefault="006757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02FD6" w14:textId="77777777" w:rsidR="006757CB" w:rsidRDefault="006757C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54C5">
      <w:rPr>
        <w:rStyle w:val="Nmerodepgina"/>
        <w:noProof/>
      </w:rPr>
      <w:t>7</w:t>
    </w:r>
    <w:r>
      <w:rPr>
        <w:rStyle w:val="Nmerodepgina"/>
      </w:rPr>
      <w:fldChar w:fldCharType="end"/>
    </w:r>
  </w:p>
  <w:p w14:paraId="11E815AA" w14:textId="2F32E2A9" w:rsidR="006757CB" w:rsidRPr="0003464F" w:rsidRDefault="006757CB"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3</w:t>
    </w:r>
    <w:r w:rsidRPr="0003464F">
      <w:rPr>
        <w:rFonts w:ascii="Tahoma" w:hAnsi="Tahoma" w:cs="Tahoma"/>
        <w:b w:val="0"/>
        <w:sz w:val="14"/>
        <w:szCs w:val="14"/>
      </w:rPr>
      <w:t>-201</w:t>
    </w:r>
    <w:r>
      <w:rPr>
        <w:rFonts w:ascii="Tahoma" w:hAnsi="Tahoma" w:cs="Tahoma"/>
        <w:b w:val="0"/>
        <w:sz w:val="14"/>
        <w:szCs w:val="14"/>
      </w:rPr>
      <w:t>4-00685-01</w:t>
    </w:r>
  </w:p>
  <w:p w14:paraId="0F93C3F9" w14:textId="5E926FEF" w:rsidR="006757CB" w:rsidRPr="0003464F" w:rsidRDefault="006757CB"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 xml:space="preserve">Arturo Granada Bernal </w:t>
    </w:r>
  </w:p>
  <w:p w14:paraId="32D1D730" w14:textId="77777777" w:rsidR="006757CB" w:rsidRDefault="006757CB" w:rsidP="00B02E21">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14:paraId="1E68C66A" w14:textId="77777777" w:rsidR="006757CB" w:rsidRPr="00B02E21" w:rsidRDefault="006757CB" w:rsidP="00B02E21">
    <w:pPr>
      <w:pStyle w:val="Puesto"/>
      <w:spacing w:line="240" w:lineRule="auto"/>
      <w:ind w:left="708" w:hanging="708"/>
      <w:jc w:val="both"/>
      <w:rPr>
        <w:rFonts w:ascii="Tahoma" w:hAnsi="Tahoma" w:cs="Tahoma"/>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
    <w:nsid w:val="2AC808C2"/>
    <w:multiLevelType w:val="hybridMultilevel"/>
    <w:tmpl w:val="6860842E"/>
    <w:lvl w:ilvl="0" w:tplc="35C06552">
      <w:start w:val="1"/>
      <w:numFmt w:val="lowerLetter"/>
      <w:lvlText w:val="%1."/>
      <w:lvlJc w:val="left"/>
      <w:pPr>
        <w:ind w:left="1068" w:hanging="360"/>
      </w:pPr>
      <w:rPr>
        <w:rFonts w:hint="default"/>
        <w:sz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1"/>
  </w:num>
  <w:num w:numId="2">
    <w:abstractNumId w:val="2"/>
  </w:num>
  <w:num w:numId="3">
    <w:abstractNumId w:val="7"/>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4B85"/>
    <w:rsid w:val="00005028"/>
    <w:rsid w:val="00007D41"/>
    <w:rsid w:val="00012DB5"/>
    <w:rsid w:val="00020603"/>
    <w:rsid w:val="00026F7F"/>
    <w:rsid w:val="000300D6"/>
    <w:rsid w:val="0003464F"/>
    <w:rsid w:val="00035519"/>
    <w:rsid w:val="00035F70"/>
    <w:rsid w:val="00036C6C"/>
    <w:rsid w:val="00042881"/>
    <w:rsid w:val="00047862"/>
    <w:rsid w:val="0005654F"/>
    <w:rsid w:val="000571D6"/>
    <w:rsid w:val="00063238"/>
    <w:rsid w:val="00065DF0"/>
    <w:rsid w:val="00066A9C"/>
    <w:rsid w:val="000718BC"/>
    <w:rsid w:val="00073D25"/>
    <w:rsid w:val="00074DB2"/>
    <w:rsid w:val="000809AA"/>
    <w:rsid w:val="00083E77"/>
    <w:rsid w:val="00086572"/>
    <w:rsid w:val="0008794B"/>
    <w:rsid w:val="00092DE0"/>
    <w:rsid w:val="00095F3A"/>
    <w:rsid w:val="000973FA"/>
    <w:rsid w:val="000A01D2"/>
    <w:rsid w:val="000B0AAB"/>
    <w:rsid w:val="000B6A20"/>
    <w:rsid w:val="000B7E3E"/>
    <w:rsid w:val="000C54C5"/>
    <w:rsid w:val="000C5E89"/>
    <w:rsid w:val="000C72D6"/>
    <w:rsid w:val="000C782A"/>
    <w:rsid w:val="000D25C7"/>
    <w:rsid w:val="000D2D64"/>
    <w:rsid w:val="000D4B70"/>
    <w:rsid w:val="000D6DC3"/>
    <w:rsid w:val="000D6E67"/>
    <w:rsid w:val="000D7F81"/>
    <w:rsid w:val="000E1A83"/>
    <w:rsid w:val="000E6166"/>
    <w:rsid w:val="000F0AEC"/>
    <w:rsid w:val="000F0BF3"/>
    <w:rsid w:val="000F19BF"/>
    <w:rsid w:val="000F4F7B"/>
    <w:rsid w:val="000F67F1"/>
    <w:rsid w:val="00100C29"/>
    <w:rsid w:val="00103CAF"/>
    <w:rsid w:val="0010412C"/>
    <w:rsid w:val="00105AB4"/>
    <w:rsid w:val="001073E8"/>
    <w:rsid w:val="0010792F"/>
    <w:rsid w:val="001124D2"/>
    <w:rsid w:val="00112949"/>
    <w:rsid w:val="00112C0D"/>
    <w:rsid w:val="00112FDA"/>
    <w:rsid w:val="00114543"/>
    <w:rsid w:val="00115119"/>
    <w:rsid w:val="00123B0F"/>
    <w:rsid w:val="00123C66"/>
    <w:rsid w:val="0013008E"/>
    <w:rsid w:val="00135300"/>
    <w:rsid w:val="00135BFA"/>
    <w:rsid w:val="001366A4"/>
    <w:rsid w:val="00137CFB"/>
    <w:rsid w:val="001406DC"/>
    <w:rsid w:val="00145118"/>
    <w:rsid w:val="0014590F"/>
    <w:rsid w:val="00145A7C"/>
    <w:rsid w:val="001460B1"/>
    <w:rsid w:val="00147837"/>
    <w:rsid w:val="0015291F"/>
    <w:rsid w:val="00153691"/>
    <w:rsid w:val="0015678E"/>
    <w:rsid w:val="0015714C"/>
    <w:rsid w:val="00163CAF"/>
    <w:rsid w:val="00163E5D"/>
    <w:rsid w:val="001679FF"/>
    <w:rsid w:val="00171ECD"/>
    <w:rsid w:val="0017317A"/>
    <w:rsid w:val="0017333E"/>
    <w:rsid w:val="00175149"/>
    <w:rsid w:val="00177630"/>
    <w:rsid w:val="00184427"/>
    <w:rsid w:val="00185933"/>
    <w:rsid w:val="00187141"/>
    <w:rsid w:val="00191E34"/>
    <w:rsid w:val="00193F63"/>
    <w:rsid w:val="001947CE"/>
    <w:rsid w:val="001A029F"/>
    <w:rsid w:val="001B17E9"/>
    <w:rsid w:val="001B1969"/>
    <w:rsid w:val="001B71BE"/>
    <w:rsid w:val="001C1284"/>
    <w:rsid w:val="001D3F42"/>
    <w:rsid w:val="001D77FA"/>
    <w:rsid w:val="001E1997"/>
    <w:rsid w:val="001E2836"/>
    <w:rsid w:val="001E2C09"/>
    <w:rsid w:val="001E4A76"/>
    <w:rsid w:val="001E4F25"/>
    <w:rsid w:val="001E662C"/>
    <w:rsid w:val="001F10CC"/>
    <w:rsid w:val="001F2407"/>
    <w:rsid w:val="001F30B1"/>
    <w:rsid w:val="001F47A6"/>
    <w:rsid w:val="001F581F"/>
    <w:rsid w:val="002108C4"/>
    <w:rsid w:val="00212C99"/>
    <w:rsid w:val="002133DC"/>
    <w:rsid w:val="002146A5"/>
    <w:rsid w:val="002150F3"/>
    <w:rsid w:val="0021548F"/>
    <w:rsid w:val="00215F25"/>
    <w:rsid w:val="00216E05"/>
    <w:rsid w:val="00220A29"/>
    <w:rsid w:val="00227D10"/>
    <w:rsid w:val="00237416"/>
    <w:rsid w:val="00240606"/>
    <w:rsid w:val="002416AF"/>
    <w:rsid w:val="0024296A"/>
    <w:rsid w:val="00246D63"/>
    <w:rsid w:val="00255805"/>
    <w:rsid w:val="00260404"/>
    <w:rsid w:val="002640B0"/>
    <w:rsid w:val="00264B9C"/>
    <w:rsid w:val="002703CB"/>
    <w:rsid w:val="00270580"/>
    <w:rsid w:val="00271256"/>
    <w:rsid w:val="00274936"/>
    <w:rsid w:val="002759FE"/>
    <w:rsid w:val="002768FD"/>
    <w:rsid w:val="00284E7D"/>
    <w:rsid w:val="00293216"/>
    <w:rsid w:val="002936D1"/>
    <w:rsid w:val="002A2D5B"/>
    <w:rsid w:val="002A60CF"/>
    <w:rsid w:val="002A7584"/>
    <w:rsid w:val="002B4ADF"/>
    <w:rsid w:val="002B7B53"/>
    <w:rsid w:val="002C20B0"/>
    <w:rsid w:val="002C2FEC"/>
    <w:rsid w:val="002C5F28"/>
    <w:rsid w:val="002C7790"/>
    <w:rsid w:val="002D3170"/>
    <w:rsid w:val="002D4DE5"/>
    <w:rsid w:val="002D7EE7"/>
    <w:rsid w:val="002E7568"/>
    <w:rsid w:val="002E7E3B"/>
    <w:rsid w:val="002F12F5"/>
    <w:rsid w:val="002F2301"/>
    <w:rsid w:val="002F5E29"/>
    <w:rsid w:val="002F700C"/>
    <w:rsid w:val="00303A94"/>
    <w:rsid w:val="00303C61"/>
    <w:rsid w:val="00304276"/>
    <w:rsid w:val="00304C37"/>
    <w:rsid w:val="003108F4"/>
    <w:rsid w:val="00321053"/>
    <w:rsid w:val="00324D36"/>
    <w:rsid w:val="0032527C"/>
    <w:rsid w:val="003312CB"/>
    <w:rsid w:val="00332A0C"/>
    <w:rsid w:val="0033332B"/>
    <w:rsid w:val="00334230"/>
    <w:rsid w:val="0033507E"/>
    <w:rsid w:val="00340662"/>
    <w:rsid w:val="00343CA2"/>
    <w:rsid w:val="00344A67"/>
    <w:rsid w:val="00354339"/>
    <w:rsid w:val="003547A0"/>
    <w:rsid w:val="00355A36"/>
    <w:rsid w:val="0036013A"/>
    <w:rsid w:val="00363949"/>
    <w:rsid w:val="003646D3"/>
    <w:rsid w:val="00372F95"/>
    <w:rsid w:val="00373B73"/>
    <w:rsid w:val="003741A0"/>
    <w:rsid w:val="00375007"/>
    <w:rsid w:val="00376339"/>
    <w:rsid w:val="00376CE9"/>
    <w:rsid w:val="003775DF"/>
    <w:rsid w:val="00384CB9"/>
    <w:rsid w:val="00385863"/>
    <w:rsid w:val="00385BB5"/>
    <w:rsid w:val="00387181"/>
    <w:rsid w:val="00393FCA"/>
    <w:rsid w:val="00394348"/>
    <w:rsid w:val="00397C21"/>
    <w:rsid w:val="003A55A8"/>
    <w:rsid w:val="003A727A"/>
    <w:rsid w:val="003A7AB2"/>
    <w:rsid w:val="003B02C3"/>
    <w:rsid w:val="003B2804"/>
    <w:rsid w:val="003B3E83"/>
    <w:rsid w:val="003C03E1"/>
    <w:rsid w:val="003C3C56"/>
    <w:rsid w:val="003C628A"/>
    <w:rsid w:val="003D1580"/>
    <w:rsid w:val="003D6A86"/>
    <w:rsid w:val="003D7969"/>
    <w:rsid w:val="003E0B20"/>
    <w:rsid w:val="003E1280"/>
    <w:rsid w:val="003F0B87"/>
    <w:rsid w:val="003F4632"/>
    <w:rsid w:val="00403413"/>
    <w:rsid w:val="004036A0"/>
    <w:rsid w:val="004037CE"/>
    <w:rsid w:val="004040A4"/>
    <w:rsid w:val="00404698"/>
    <w:rsid w:val="004073DF"/>
    <w:rsid w:val="00410778"/>
    <w:rsid w:val="00410EB2"/>
    <w:rsid w:val="00413389"/>
    <w:rsid w:val="00422E74"/>
    <w:rsid w:val="004230D6"/>
    <w:rsid w:val="0042440F"/>
    <w:rsid w:val="004269C9"/>
    <w:rsid w:val="00426A89"/>
    <w:rsid w:val="00427FFD"/>
    <w:rsid w:val="00431010"/>
    <w:rsid w:val="00434695"/>
    <w:rsid w:val="0043557F"/>
    <w:rsid w:val="00437AF7"/>
    <w:rsid w:val="00440836"/>
    <w:rsid w:val="00440972"/>
    <w:rsid w:val="00440A70"/>
    <w:rsid w:val="00441417"/>
    <w:rsid w:val="00443DEE"/>
    <w:rsid w:val="00444DBD"/>
    <w:rsid w:val="004470B8"/>
    <w:rsid w:val="0044717D"/>
    <w:rsid w:val="00451426"/>
    <w:rsid w:val="00453839"/>
    <w:rsid w:val="00465A32"/>
    <w:rsid w:val="00466D48"/>
    <w:rsid w:val="00471C5D"/>
    <w:rsid w:val="00472C3E"/>
    <w:rsid w:val="00474334"/>
    <w:rsid w:val="00483B41"/>
    <w:rsid w:val="004904A5"/>
    <w:rsid w:val="00493CA8"/>
    <w:rsid w:val="004945EE"/>
    <w:rsid w:val="00494A43"/>
    <w:rsid w:val="004978BF"/>
    <w:rsid w:val="004A0AAF"/>
    <w:rsid w:val="004A43E7"/>
    <w:rsid w:val="004A4728"/>
    <w:rsid w:val="004A5A96"/>
    <w:rsid w:val="004A788C"/>
    <w:rsid w:val="004B02AB"/>
    <w:rsid w:val="004B2639"/>
    <w:rsid w:val="004C1635"/>
    <w:rsid w:val="004D1F25"/>
    <w:rsid w:val="004D23FB"/>
    <w:rsid w:val="004D7BAC"/>
    <w:rsid w:val="004D7E26"/>
    <w:rsid w:val="004D7FBE"/>
    <w:rsid w:val="004E678C"/>
    <w:rsid w:val="004F0B32"/>
    <w:rsid w:val="004F1A32"/>
    <w:rsid w:val="004F3B41"/>
    <w:rsid w:val="004F7067"/>
    <w:rsid w:val="005139F2"/>
    <w:rsid w:val="0052015E"/>
    <w:rsid w:val="00520F2F"/>
    <w:rsid w:val="00524EFE"/>
    <w:rsid w:val="00531779"/>
    <w:rsid w:val="00532249"/>
    <w:rsid w:val="0053245F"/>
    <w:rsid w:val="0054274D"/>
    <w:rsid w:val="00545C85"/>
    <w:rsid w:val="005501BA"/>
    <w:rsid w:val="00554F1C"/>
    <w:rsid w:val="005620B2"/>
    <w:rsid w:val="00565A63"/>
    <w:rsid w:val="0057601B"/>
    <w:rsid w:val="005810F9"/>
    <w:rsid w:val="00582199"/>
    <w:rsid w:val="00582ABD"/>
    <w:rsid w:val="00583FD6"/>
    <w:rsid w:val="00587857"/>
    <w:rsid w:val="00587FDA"/>
    <w:rsid w:val="00597B20"/>
    <w:rsid w:val="005A45B1"/>
    <w:rsid w:val="005B0581"/>
    <w:rsid w:val="005B0A63"/>
    <w:rsid w:val="005C288D"/>
    <w:rsid w:val="005C363A"/>
    <w:rsid w:val="005C53C2"/>
    <w:rsid w:val="005C6AFD"/>
    <w:rsid w:val="005C6CC7"/>
    <w:rsid w:val="005C7BE4"/>
    <w:rsid w:val="005D471D"/>
    <w:rsid w:val="005E0731"/>
    <w:rsid w:val="005E147D"/>
    <w:rsid w:val="005E14FF"/>
    <w:rsid w:val="005E2583"/>
    <w:rsid w:val="005E31B0"/>
    <w:rsid w:val="005E354F"/>
    <w:rsid w:val="005E3AFC"/>
    <w:rsid w:val="005E6111"/>
    <w:rsid w:val="005E6A35"/>
    <w:rsid w:val="005F1883"/>
    <w:rsid w:val="005F4320"/>
    <w:rsid w:val="005F4AEF"/>
    <w:rsid w:val="005F5A01"/>
    <w:rsid w:val="005F636B"/>
    <w:rsid w:val="005F6EE0"/>
    <w:rsid w:val="00601E52"/>
    <w:rsid w:val="00602742"/>
    <w:rsid w:val="00604B14"/>
    <w:rsid w:val="0060601C"/>
    <w:rsid w:val="00607149"/>
    <w:rsid w:val="0061581E"/>
    <w:rsid w:val="00616F3F"/>
    <w:rsid w:val="00617150"/>
    <w:rsid w:val="0062158A"/>
    <w:rsid w:val="00622F22"/>
    <w:rsid w:val="0062335F"/>
    <w:rsid w:val="00626628"/>
    <w:rsid w:val="006305E4"/>
    <w:rsid w:val="00632E6F"/>
    <w:rsid w:val="00633D46"/>
    <w:rsid w:val="00636555"/>
    <w:rsid w:val="00644CAA"/>
    <w:rsid w:val="00647132"/>
    <w:rsid w:val="00652A50"/>
    <w:rsid w:val="006544A8"/>
    <w:rsid w:val="00661FBC"/>
    <w:rsid w:val="00663AFF"/>
    <w:rsid w:val="00665F8F"/>
    <w:rsid w:val="00667917"/>
    <w:rsid w:val="0067096B"/>
    <w:rsid w:val="00670E29"/>
    <w:rsid w:val="00672383"/>
    <w:rsid w:val="00674579"/>
    <w:rsid w:val="00674FA9"/>
    <w:rsid w:val="006757CB"/>
    <w:rsid w:val="00676B61"/>
    <w:rsid w:val="00677340"/>
    <w:rsid w:val="006874F5"/>
    <w:rsid w:val="00687E13"/>
    <w:rsid w:val="00693EFF"/>
    <w:rsid w:val="006A0488"/>
    <w:rsid w:val="006A141E"/>
    <w:rsid w:val="006A2B76"/>
    <w:rsid w:val="006A64EA"/>
    <w:rsid w:val="006B0498"/>
    <w:rsid w:val="006B15E3"/>
    <w:rsid w:val="006B3E8D"/>
    <w:rsid w:val="006B5234"/>
    <w:rsid w:val="006B724A"/>
    <w:rsid w:val="006C73A4"/>
    <w:rsid w:val="006D0910"/>
    <w:rsid w:val="006D0CD9"/>
    <w:rsid w:val="006D12A7"/>
    <w:rsid w:val="006D15FC"/>
    <w:rsid w:val="006D1C85"/>
    <w:rsid w:val="006D4B20"/>
    <w:rsid w:val="006D790F"/>
    <w:rsid w:val="006E172F"/>
    <w:rsid w:val="006E2486"/>
    <w:rsid w:val="006E2DDE"/>
    <w:rsid w:val="006E374D"/>
    <w:rsid w:val="006E6626"/>
    <w:rsid w:val="006E78E8"/>
    <w:rsid w:val="006E7C2D"/>
    <w:rsid w:val="006F29C8"/>
    <w:rsid w:val="00702240"/>
    <w:rsid w:val="007028F1"/>
    <w:rsid w:val="0070532C"/>
    <w:rsid w:val="00705A6C"/>
    <w:rsid w:val="007064B0"/>
    <w:rsid w:val="0071315E"/>
    <w:rsid w:val="00713FA1"/>
    <w:rsid w:val="007142EA"/>
    <w:rsid w:val="00722170"/>
    <w:rsid w:val="00722E2F"/>
    <w:rsid w:val="00723025"/>
    <w:rsid w:val="00723054"/>
    <w:rsid w:val="007233C6"/>
    <w:rsid w:val="00726DCF"/>
    <w:rsid w:val="007305F3"/>
    <w:rsid w:val="00730E76"/>
    <w:rsid w:val="007318E8"/>
    <w:rsid w:val="00731BDE"/>
    <w:rsid w:val="00732834"/>
    <w:rsid w:val="00736E0C"/>
    <w:rsid w:val="00740218"/>
    <w:rsid w:val="00741DFF"/>
    <w:rsid w:val="00742DC6"/>
    <w:rsid w:val="00747BE3"/>
    <w:rsid w:val="00753464"/>
    <w:rsid w:val="00755A0C"/>
    <w:rsid w:val="00755E08"/>
    <w:rsid w:val="00765BEE"/>
    <w:rsid w:val="00775D84"/>
    <w:rsid w:val="0077733A"/>
    <w:rsid w:val="00781178"/>
    <w:rsid w:val="00783996"/>
    <w:rsid w:val="00794993"/>
    <w:rsid w:val="00794A08"/>
    <w:rsid w:val="00794A40"/>
    <w:rsid w:val="00794F03"/>
    <w:rsid w:val="007960D1"/>
    <w:rsid w:val="0079712E"/>
    <w:rsid w:val="007A0603"/>
    <w:rsid w:val="007A0D6B"/>
    <w:rsid w:val="007A19F9"/>
    <w:rsid w:val="007A479B"/>
    <w:rsid w:val="007A5829"/>
    <w:rsid w:val="007B002F"/>
    <w:rsid w:val="007B0B02"/>
    <w:rsid w:val="007B33FF"/>
    <w:rsid w:val="007B3991"/>
    <w:rsid w:val="007B5F6C"/>
    <w:rsid w:val="007B712E"/>
    <w:rsid w:val="007C0948"/>
    <w:rsid w:val="007C17D2"/>
    <w:rsid w:val="007C2585"/>
    <w:rsid w:val="007C4253"/>
    <w:rsid w:val="007C4321"/>
    <w:rsid w:val="007D0E2C"/>
    <w:rsid w:val="007E40F9"/>
    <w:rsid w:val="007E769F"/>
    <w:rsid w:val="007E7DCB"/>
    <w:rsid w:val="007F09E8"/>
    <w:rsid w:val="007F1D1C"/>
    <w:rsid w:val="007F3C57"/>
    <w:rsid w:val="007F514B"/>
    <w:rsid w:val="007F5254"/>
    <w:rsid w:val="007F5BEA"/>
    <w:rsid w:val="007F7A0D"/>
    <w:rsid w:val="0080025B"/>
    <w:rsid w:val="008010A1"/>
    <w:rsid w:val="0080548B"/>
    <w:rsid w:val="008079AE"/>
    <w:rsid w:val="0081336D"/>
    <w:rsid w:val="00814CCB"/>
    <w:rsid w:val="0082096F"/>
    <w:rsid w:val="00821189"/>
    <w:rsid w:val="00821719"/>
    <w:rsid w:val="00822D5F"/>
    <w:rsid w:val="00823530"/>
    <w:rsid w:val="00824FCB"/>
    <w:rsid w:val="00827CFE"/>
    <w:rsid w:val="00831631"/>
    <w:rsid w:val="0084104B"/>
    <w:rsid w:val="008422C1"/>
    <w:rsid w:val="00842538"/>
    <w:rsid w:val="0084767D"/>
    <w:rsid w:val="00850ACF"/>
    <w:rsid w:val="00861E9E"/>
    <w:rsid w:val="0086689F"/>
    <w:rsid w:val="00866D3F"/>
    <w:rsid w:val="00871E94"/>
    <w:rsid w:val="00876491"/>
    <w:rsid w:val="00880083"/>
    <w:rsid w:val="00880098"/>
    <w:rsid w:val="008802D1"/>
    <w:rsid w:val="0088137A"/>
    <w:rsid w:val="00882D6A"/>
    <w:rsid w:val="00885462"/>
    <w:rsid w:val="0089084D"/>
    <w:rsid w:val="00893C70"/>
    <w:rsid w:val="008943D7"/>
    <w:rsid w:val="008943FE"/>
    <w:rsid w:val="008B1DA1"/>
    <w:rsid w:val="008B2922"/>
    <w:rsid w:val="008C75A9"/>
    <w:rsid w:val="008D0272"/>
    <w:rsid w:val="008D24CC"/>
    <w:rsid w:val="008D498E"/>
    <w:rsid w:val="008E0267"/>
    <w:rsid w:val="008E0F46"/>
    <w:rsid w:val="008E17BD"/>
    <w:rsid w:val="008E58B7"/>
    <w:rsid w:val="008F4DEC"/>
    <w:rsid w:val="008F6797"/>
    <w:rsid w:val="00903C1D"/>
    <w:rsid w:val="00904761"/>
    <w:rsid w:val="00907272"/>
    <w:rsid w:val="00910F1A"/>
    <w:rsid w:val="0091175F"/>
    <w:rsid w:val="0091375E"/>
    <w:rsid w:val="00913C3C"/>
    <w:rsid w:val="0091448D"/>
    <w:rsid w:val="00915901"/>
    <w:rsid w:val="00915F89"/>
    <w:rsid w:val="00915FDE"/>
    <w:rsid w:val="00920F05"/>
    <w:rsid w:val="009217E5"/>
    <w:rsid w:val="00931AF2"/>
    <w:rsid w:val="00937C8A"/>
    <w:rsid w:val="00941D3B"/>
    <w:rsid w:val="009435BA"/>
    <w:rsid w:val="0094487E"/>
    <w:rsid w:val="009457B7"/>
    <w:rsid w:val="00950969"/>
    <w:rsid w:val="00950C09"/>
    <w:rsid w:val="0095257C"/>
    <w:rsid w:val="00956C46"/>
    <w:rsid w:val="00957E5E"/>
    <w:rsid w:val="00960114"/>
    <w:rsid w:val="0096113F"/>
    <w:rsid w:val="009638A9"/>
    <w:rsid w:val="00966F51"/>
    <w:rsid w:val="009676A3"/>
    <w:rsid w:val="00970ABC"/>
    <w:rsid w:val="00970BB6"/>
    <w:rsid w:val="00972BBF"/>
    <w:rsid w:val="009750A9"/>
    <w:rsid w:val="009768DE"/>
    <w:rsid w:val="00980CDA"/>
    <w:rsid w:val="009835ED"/>
    <w:rsid w:val="00985F49"/>
    <w:rsid w:val="00990B6B"/>
    <w:rsid w:val="00997B7B"/>
    <w:rsid w:val="009A33C7"/>
    <w:rsid w:val="009A3EDB"/>
    <w:rsid w:val="009A4059"/>
    <w:rsid w:val="009A588D"/>
    <w:rsid w:val="009A6FC0"/>
    <w:rsid w:val="009B0213"/>
    <w:rsid w:val="009B1C64"/>
    <w:rsid w:val="009C29D3"/>
    <w:rsid w:val="009C30B5"/>
    <w:rsid w:val="009C3992"/>
    <w:rsid w:val="009C7CEA"/>
    <w:rsid w:val="009D22BB"/>
    <w:rsid w:val="009D4C09"/>
    <w:rsid w:val="009D7452"/>
    <w:rsid w:val="009D7B4A"/>
    <w:rsid w:val="009E2CE9"/>
    <w:rsid w:val="009E7143"/>
    <w:rsid w:val="009F2AE3"/>
    <w:rsid w:val="00A07765"/>
    <w:rsid w:val="00A111FA"/>
    <w:rsid w:val="00A113B0"/>
    <w:rsid w:val="00A1731C"/>
    <w:rsid w:val="00A2022C"/>
    <w:rsid w:val="00A2190B"/>
    <w:rsid w:val="00A22DB1"/>
    <w:rsid w:val="00A26F16"/>
    <w:rsid w:val="00A27099"/>
    <w:rsid w:val="00A355DC"/>
    <w:rsid w:val="00A40333"/>
    <w:rsid w:val="00A40E3C"/>
    <w:rsid w:val="00A4593F"/>
    <w:rsid w:val="00A46EBD"/>
    <w:rsid w:val="00A47E71"/>
    <w:rsid w:val="00A52A7E"/>
    <w:rsid w:val="00A52B4D"/>
    <w:rsid w:val="00A53B13"/>
    <w:rsid w:val="00A561C3"/>
    <w:rsid w:val="00A57848"/>
    <w:rsid w:val="00A57F25"/>
    <w:rsid w:val="00A6237C"/>
    <w:rsid w:val="00A6619E"/>
    <w:rsid w:val="00A75635"/>
    <w:rsid w:val="00A912DF"/>
    <w:rsid w:val="00A93DEC"/>
    <w:rsid w:val="00AA05DF"/>
    <w:rsid w:val="00AA26BB"/>
    <w:rsid w:val="00AA407F"/>
    <w:rsid w:val="00AA68DC"/>
    <w:rsid w:val="00AB34E3"/>
    <w:rsid w:val="00AB7A2F"/>
    <w:rsid w:val="00AC3805"/>
    <w:rsid w:val="00AC4184"/>
    <w:rsid w:val="00AD2158"/>
    <w:rsid w:val="00AD58A6"/>
    <w:rsid w:val="00AD6F58"/>
    <w:rsid w:val="00AD7C75"/>
    <w:rsid w:val="00AE103C"/>
    <w:rsid w:val="00AF4E73"/>
    <w:rsid w:val="00B003F1"/>
    <w:rsid w:val="00B00B8A"/>
    <w:rsid w:val="00B02064"/>
    <w:rsid w:val="00B02E21"/>
    <w:rsid w:val="00B04CE1"/>
    <w:rsid w:val="00B05FD1"/>
    <w:rsid w:val="00B12EB7"/>
    <w:rsid w:val="00B15DC8"/>
    <w:rsid w:val="00B1619D"/>
    <w:rsid w:val="00B16FEA"/>
    <w:rsid w:val="00B22B3B"/>
    <w:rsid w:val="00B23567"/>
    <w:rsid w:val="00B23BA7"/>
    <w:rsid w:val="00B246D4"/>
    <w:rsid w:val="00B3066E"/>
    <w:rsid w:val="00B30E20"/>
    <w:rsid w:val="00B30F65"/>
    <w:rsid w:val="00B3518C"/>
    <w:rsid w:val="00B37F4F"/>
    <w:rsid w:val="00B4239D"/>
    <w:rsid w:val="00B44497"/>
    <w:rsid w:val="00B454FF"/>
    <w:rsid w:val="00B47552"/>
    <w:rsid w:val="00B47E25"/>
    <w:rsid w:val="00B503FA"/>
    <w:rsid w:val="00B5526D"/>
    <w:rsid w:val="00B647EE"/>
    <w:rsid w:val="00B660AE"/>
    <w:rsid w:val="00B6678A"/>
    <w:rsid w:val="00B66A97"/>
    <w:rsid w:val="00B67706"/>
    <w:rsid w:val="00B67A12"/>
    <w:rsid w:val="00B70BC1"/>
    <w:rsid w:val="00B711CA"/>
    <w:rsid w:val="00B72282"/>
    <w:rsid w:val="00B76046"/>
    <w:rsid w:val="00B80804"/>
    <w:rsid w:val="00B86F89"/>
    <w:rsid w:val="00B870FC"/>
    <w:rsid w:val="00B915E1"/>
    <w:rsid w:val="00B926F5"/>
    <w:rsid w:val="00BA1C09"/>
    <w:rsid w:val="00BA3DE3"/>
    <w:rsid w:val="00BB3A8B"/>
    <w:rsid w:val="00BC0060"/>
    <w:rsid w:val="00BC3710"/>
    <w:rsid w:val="00BC5024"/>
    <w:rsid w:val="00BC62EF"/>
    <w:rsid w:val="00BD15AE"/>
    <w:rsid w:val="00BD42A2"/>
    <w:rsid w:val="00BD6904"/>
    <w:rsid w:val="00BF0FC3"/>
    <w:rsid w:val="00BF274C"/>
    <w:rsid w:val="00BF3B8F"/>
    <w:rsid w:val="00BF70E8"/>
    <w:rsid w:val="00C141B3"/>
    <w:rsid w:val="00C16548"/>
    <w:rsid w:val="00C174A6"/>
    <w:rsid w:val="00C176B3"/>
    <w:rsid w:val="00C20097"/>
    <w:rsid w:val="00C21AEF"/>
    <w:rsid w:val="00C2228F"/>
    <w:rsid w:val="00C22677"/>
    <w:rsid w:val="00C24558"/>
    <w:rsid w:val="00C2605A"/>
    <w:rsid w:val="00C30D72"/>
    <w:rsid w:val="00C32647"/>
    <w:rsid w:val="00C3314B"/>
    <w:rsid w:val="00C360BB"/>
    <w:rsid w:val="00C40D90"/>
    <w:rsid w:val="00C47C71"/>
    <w:rsid w:val="00C52AB3"/>
    <w:rsid w:val="00C55D1C"/>
    <w:rsid w:val="00C56292"/>
    <w:rsid w:val="00C61A77"/>
    <w:rsid w:val="00C62B48"/>
    <w:rsid w:val="00C64F60"/>
    <w:rsid w:val="00C65305"/>
    <w:rsid w:val="00C6736C"/>
    <w:rsid w:val="00C75AA9"/>
    <w:rsid w:val="00C81A02"/>
    <w:rsid w:val="00C8527A"/>
    <w:rsid w:val="00C90795"/>
    <w:rsid w:val="00C90A0B"/>
    <w:rsid w:val="00C93C87"/>
    <w:rsid w:val="00CA224D"/>
    <w:rsid w:val="00CA310A"/>
    <w:rsid w:val="00CA50CF"/>
    <w:rsid w:val="00CA5FE4"/>
    <w:rsid w:val="00CB61AC"/>
    <w:rsid w:val="00CC4768"/>
    <w:rsid w:val="00CC7ADF"/>
    <w:rsid w:val="00CD05C1"/>
    <w:rsid w:val="00CD4B55"/>
    <w:rsid w:val="00CD67D5"/>
    <w:rsid w:val="00CD7C37"/>
    <w:rsid w:val="00CE02F8"/>
    <w:rsid w:val="00CE0D35"/>
    <w:rsid w:val="00CE0F94"/>
    <w:rsid w:val="00CE4A89"/>
    <w:rsid w:val="00CE6A89"/>
    <w:rsid w:val="00CE719F"/>
    <w:rsid w:val="00CE773D"/>
    <w:rsid w:val="00CF00BA"/>
    <w:rsid w:val="00CF0A2C"/>
    <w:rsid w:val="00CF1189"/>
    <w:rsid w:val="00CF6476"/>
    <w:rsid w:val="00D02404"/>
    <w:rsid w:val="00D03EDB"/>
    <w:rsid w:val="00D23957"/>
    <w:rsid w:val="00D26E61"/>
    <w:rsid w:val="00D347C4"/>
    <w:rsid w:val="00D34818"/>
    <w:rsid w:val="00D35B73"/>
    <w:rsid w:val="00D36A75"/>
    <w:rsid w:val="00D40A51"/>
    <w:rsid w:val="00D4270E"/>
    <w:rsid w:val="00D429B7"/>
    <w:rsid w:val="00D436A6"/>
    <w:rsid w:val="00D46D37"/>
    <w:rsid w:val="00D4717E"/>
    <w:rsid w:val="00D50BC7"/>
    <w:rsid w:val="00D52475"/>
    <w:rsid w:val="00D524E2"/>
    <w:rsid w:val="00D55C8D"/>
    <w:rsid w:val="00D56F34"/>
    <w:rsid w:val="00D60597"/>
    <w:rsid w:val="00D609CF"/>
    <w:rsid w:val="00D73A8A"/>
    <w:rsid w:val="00D749EF"/>
    <w:rsid w:val="00D75703"/>
    <w:rsid w:val="00D7714B"/>
    <w:rsid w:val="00D77B1A"/>
    <w:rsid w:val="00D8346D"/>
    <w:rsid w:val="00D83F33"/>
    <w:rsid w:val="00D85EEC"/>
    <w:rsid w:val="00D8628F"/>
    <w:rsid w:val="00D871A5"/>
    <w:rsid w:val="00D90180"/>
    <w:rsid w:val="00D9299C"/>
    <w:rsid w:val="00D943F7"/>
    <w:rsid w:val="00D97653"/>
    <w:rsid w:val="00D97C0D"/>
    <w:rsid w:val="00DA0D50"/>
    <w:rsid w:val="00DA18EA"/>
    <w:rsid w:val="00DA3BE3"/>
    <w:rsid w:val="00DA5B4B"/>
    <w:rsid w:val="00DA6630"/>
    <w:rsid w:val="00DA6BA4"/>
    <w:rsid w:val="00DB2B94"/>
    <w:rsid w:val="00DB6A92"/>
    <w:rsid w:val="00DC3D38"/>
    <w:rsid w:val="00DC66EF"/>
    <w:rsid w:val="00DD19DB"/>
    <w:rsid w:val="00DD2B8C"/>
    <w:rsid w:val="00DD7013"/>
    <w:rsid w:val="00DF4C31"/>
    <w:rsid w:val="00DF4FF0"/>
    <w:rsid w:val="00DF62C9"/>
    <w:rsid w:val="00DF64E3"/>
    <w:rsid w:val="00E00595"/>
    <w:rsid w:val="00E00D95"/>
    <w:rsid w:val="00E0212E"/>
    <w:rsid w:val="00E073A2"/>
    <w:rsid w:val="00E1276E"/>
    <w:rsid w:val="00E1749E"/>
    <w:rsid w:val="00E21AB6"/>
    <w:rsid w:val="00E2535D"/>
    <w:rsid w:val="00E35029"/>
    <w:rsid w:val="00E35E46"/>
    <w:rsid w:val="00E42849"/>
    <w:rsid w:val="00E4447C"/>
    <w:rsid w:val="00E44903"/>
    <w:rsid w:val="00E46003"/>
    <w:rsid w:val="00E46457"/>
    <w:rsid w:val="00E5032B"/>
    <w:rsid w:val="00E526FB"/>
    <w:rsid w:val="00E52C11"/>
    <w:rsid w:val="00E62A49"/>
    <w:rsid w:val="00E62F5D"/>
    <w:rsid w:val="00E65DDC"/>
    <w:rsid w:val="00E70D00"/>
    <w:rsid w:val="00E80289"/>
    <w:rsid w:val="00E8354D"/>
    <w:rsid w:val="00E85619"/>
    <w:rsid w:val="00E90014"/>
    <w:rsid w:val="00E90515"/>
    <w:rsid w:val="00EA12F2"/>
    <w:rsid w:val="00EA29F0"/>
    <w:rsid w:val="00EA2CC4"/>
    <w:rsid w:val="00EA3B25"/>
    <w:rsid w:val="00EA56D6"/>
    <w:rsid w:val="00EA77EE"/>
    <w:rsid w:val="00EA7AD9"/>
    <w:rsid w:val="00EB0716"/>
    <w:rsid w:val="00EB474A"/>
    <w:rsid w:val="00EC59F0"/>
    <w:rsid w:val="00EC7E81"/>
    <w:rsid w:val="00ED17B2"/>
    <w:rsid w:val="00ED49B8"/>
    <w:rsid w:val="00ED6E5F"/>
    <w:rsid w:val="00ED7D6B"/>
    <w:rsid w:val="00EE09BF"/>
    <w:rsid w:val="00EF49BC"/>
    <w:rsid w:val="00EF522E"/>
    <w:rsid w:val="00F00B6F"/>
    <w:rsid w:val="00F013B8"/>
    <w:rsid w:val="00F01623"/>
    <w:rsid w:val="00F030A7"/>
    <w:rsid w:val="00F07E02"/>
    <w:rsid w:val="00F2087F"/>
    <w:rsid w:val="00F22BD0"/>
    <w:rsid w:val="00F310ED"/>
    <w:rsid w:val="00F361FF"/>
    <w:rsid w:val="00F41A6B"/>
    <w:rsid w:val="00F42839"/>
    <w:rsid w:val="00F43B9B"/>
    <w:rsid w:val="00F469FF"/>
    <w:rsid w:val="00F47E1C"/>
    <w:rsid w:val="00F51547"/>
    <w:rsid w:val="00F559DA"/>
    <w:rsid w:val="00F628C2"/>
    <w:rsid w:val="00F649A6"/>
    <w:rsid w:val="00F70563"/>
    <w:rsid w:val="00F727EE"/>
    <w:rsid w:val="00F73B81"/>
    <w:rsid w:val="00F7690A"/>
    <w:rsid w:val="00F77CD6"/>
    <w:rsid w:val="00F80278"/>
    <w:rsid w:val="00F81435"/>
    <w:rsid w:val="00F91EB1"/>
    <w:rsid w:val="00FA5074"/>
    <w:rsid w:val="00FA6AA2"/>
    <w:rsid w:val="00FB093A"/>
    <w:rsid w:val="00FB1066"/>
    <w:rsid w:val="00FB2380"/>
    <w:rsid w:val="00FB2BDC"/>
    <w:rsid w:val="00FB3461"/>
    <w:rsid w:val="00FB5EDE"/>
    <w:rsid w:val="00FC0A99"/>
    <w:rsid w:val="00FC3EBD"/>
    <w:rsid w:val="00FC6763"/>
    <w:rsid w:val="00FC7EC4"/>
    <w:rsid w:val="00FD0423"/>
    <w:rsid w:val="00FD18DD"/>
    <w:rsid w:val="00FD294B"/>
    <w:rsid w:val="00FD3065"/>
    <w:rsid w:val="00FD313A"/>
    <w:rsid w:val="00FD70C5"/>
    <w:rsid w:val="00FE0F59"/>
    <w:rsid w:val="00FE3604"/>
    <w:rsid w:val="00FE7960"/>
    <w:rsid w:val="00FF1014"/>
    <w:rsid w:val="00FF3C86"/>
    <w:rsid w:val="00FF6336"/>
    <w:rsid w:val="00FF72D0"/>
    <w:rsid w:val="00FF75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4245E"/>
  <w15:docId w15:val="{6BF146CB-5ABC-47BD-9390-55383DBC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732834"/>
    <w:rPr>
      <w:sz w:val="24"/>
      <w:szCs w:val="24"/>
    </w:rPr>
  </w:style>
  <w:style w:type="character" w:styleId="Textoennegrita">
    <w:name w:val="Strong"/>
    <w:basedOn w:val="Fuentedeprrafopredeter"/>
    <w:qFormat/>
    <w:rsid w:val="00966F51"/>
    <w:rPr>
      <w:b/>
      <w:bCs/>
    </w:rPr>
  </w:style>
  <w:style w:type="character" w:styleId="nfasissutil">
    <w:name w:val="Subtle Emphasis"/>
    <w:basedOn w:val="Fuentedeprrafopredeter"/>
    <w:uiPriority w:val="19"/>
    <w:qFormat/>
    <w:rsid w:val="002416A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3833419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93326014">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1682860">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1214472">
      <w:bodyDiv w:val="1"/>
      <w:marLeft w:val="0"/>
      <w:marRight w:val="0"/>
      <w:marTop w:val="0"/>
      <w:marBottom w:val="0"/>
      <w:divBdr>
        <w:top w:val="none" w:sz="0" w:space="0" w:color="auto"/>
        <w:left w:val="none" w:sz="0" w:space="0" w:color="auto"/>
        <w:bottom w:val="none" w:sz="0" w:space="0" w:color="auto"/>
        <w:right w:val="none" w:sz="0" w:space="0" w:color="auto"/>
      </w:divBdr>
    </w:div>
    <w:div w:id="902062708">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13675326">
      <w:bodyDiv w:val="1"/>
      <w:marLeft w:val="0"/>
      <w:marRight w:val="0"/>
      <w:marTop w:val="0"/>
      <w:marBottom w:val="0"/>
      <w:divBdr>
        <w:top w:val="none" w:sz="0" w:space="0" w:color="auto"/>
        <w:left w:val="none" w:sz="0" w:space="0" w:color="auto"/>
        <w:bottom w:val="none" w:sz="0" w:space="0" w:color="auto"/>
        <w:right w:val="none" w:sz="0" w:space="0" w:color="auto"/>
      </w:divBdr>
    </w:div>
    <w:div w:id="121373759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7286155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1928739">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50150649">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03111987">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0659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DE05-58F3-43B5-A426-38E65183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4938</Words>
  <Characters>27160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32034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3</cp:revision>
  <cp:lastPrinted>2016-08-26T18:59:00Z</cp:lastPrinted>
  <dcterms:created xsi:type="dcterms:W3CDTF">2016-08-26T15:57:00Z</dcterms:created>
  <dcterms:modified xsi:type="dcterms:W3CDTF">2016-08-26T19:02:00Z</dcterms:modified>
</cp:coreProperties>
</file>