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64E2A" w:rsidRPr="00B74E4D" w:rsidRDefault="00B64E2A" w:rsidP="00B64E2A">
      <w:pPr>
        <w:pStyle w:val="Puesto"/>
        <w:spacing w:line="240" w:lineRule="auto"/>
        <w:jc w:val="both"/>
        <w:rPr>
          <w:rFonts w:ascii="Tahoma" w:hAnsi="Tahoma" w:cs="Tahoma"/>
          <w:b w:val="0"/>
          <w:sz w:val="18"/>
          <w:szCs w:val="18"/>
        </w:rPr>
      </w:pPr>
      <w:r w:rsidRPr="00B74E4D">
        <w:rPr>
          <w:rFonts w:ascii="Tahoma" w:hAnsi="Tahoma" w:cs="Tahoma"/>
          <w:b w:val="0"/>
          <w:sz w:val="18"/>
          <w:szCs w:val="18"/>
        </w:rPr>
        <w:t xml:space="preserve">Providencia: </w:t>
      </w:r>
      <w:r w:rsidRPr="00B74E4D">
        <w:rPr>
          <w:rFonts w:ascii="Tahoma" w:hAnsi="Tahoma" w:cs="Tahoma"/>
          <w:b w:val="0"/>
          <w:sz w:val="18"/>
          <w:szCs w:val="18"/>
        </w:rPr>
        <w:tab/>
      </w:r>
      <w:r w:rsidRPr="00B74E4D">
        <w:rPr>
          <w:rFonts w:ascii="Tahoma" w:hAnsi="Tahoma" w:cs="Tahoma"/>
          <w:b w:val="0"/>
          <w:sz w:val="18"/>
          <w:szCs w:val="18"/>
        </w:rPr>
        <w:tab/>
      </w:r>
      <w:r w:rsidRPr="00B74E4D">
        <w:rPr>
          <w:rFonts w:ascii="Tahoma" w:hAnsi="Tahoma" w:cs="Tahoma"/>
          <w:b w:val="0"/>
          <w:sz w:val="18"/>
          <w:szCs w:val="18"/>
        </w:rPr>
        <w:tab/>
      </w:r>
      <w:r w:rsidR="00DC74B9" w:rsidRPr="00B74E4D">
        <w:rPr>
          <w:rFonts w:ascii="Tahoma" w:hAnsi="Tahoma" w:cs="Tahoma"/>
          <w:b w:val="0"/>
          <w:sz w:val="18"/>
          <w:szCs w:val="18"/>
        </w:rPr>
        <w:t xml:space="preserve">Sentencia del </w:t>
      </w:r>
      <w:r w:rsidR="008A3902">
        <w:rPr>
          <w:rFonts w:ascii="Tahoma" w:hAnsi="Tahoma" w:cs="Tahoma"/>
          <w:b w:val="0"/>
          <w:sz w:val="18"/>
          <w:szCs w:val="18"/>
        </w:rPr>
        <w:t>2</w:t>
      </w:r>
      <w:r w:rsidR="00974F0D">
        <w:rPr>
          <w:rFonts w:ascii="Tahoma" w:hAnsi="Tahoma" w:cs="Tahoma"/>
          <w:b w:val="0"/>
          <w:sz w:val="18"/>
          <w:szCs w:val="18"/>
        </w:rPr>
        <w:t>8</w:t>
      </w:r>
      <w:r w:rsidR="008A3902">
        <w:rPr>
          <w:rFonts w:ascii="Tahoma" w:hAnsi="Tahoma" w:cs="Tahoma"/>
          <w:b w:val="0"/>
          <w:sz w:val="18"/>
          <w:szCs w:val="18"/>
        </w:rPr>
        <w:t xml:space="preserve"> de </w:t>
      </w:r>
      <w:r w:rsidR="00974F0D">
        <w:rPr>
          <w:rFonts w:ascii="Tahoma" w:hAnsi="Tahoma" w:cs="Tahoma"/>
          <w:b w:val="0"/>
          <w:sz w:val="18"/>
          <w:szCs w:val="18"/>
        </w:rPr>
        <w:t>noviem</w:t>
      </w:r>
      <w:r w:rsidR="008A3902">
        <w:rPr>
          <w:rFonts w:ascii="Tahoma" w:hAnsi="Tahoma" w:cs="Tahoma"/>
          <w:b w:val="0"/>
          <w:sz w:val="18"/>
          <w:szCs w:val="18"/>
        </w:rPr>
        <w:t xml:space="preserve">bre </w:t>
      </w:r>
      <w:r w:rsidR="00D02A91" w:rsidRPr="00B74E4D">
        <w:rPr>
          <w:rFonts w:ascii="Tahoma" w:hAnsi="Tahoma" w:cs="Tahoma"/>
          <w:b w:val="0"/>
          <w:sz w:val="18"/>
          <w:szCs w:val="18"/>
        </w:rPr>
        <w:t>de 2016</w:t>
      </w:r>
    </w:p>
    <w:p w:rsidR="00534531" w:rsidRDefault="00534531" w:rsidP="00534531">
      <w:pPr>
        <w:pStyle w:val="Puesto"/>
        <w:spacing w:line="240" w:lineRule="auto"/>
        <w:jc w:val="both"/>
        <w:rPr>
          <w:rFonts w:ascii="Tahoma" w:hAnsi="Tahoma" w:cs="Tahoma"/>
          <w:b w:val="0"/>
          <w:sz w:val="18"/>
          <w:szCs w:val="18"/>
        </w:rPr>
      </w:pPr>
      <w:r w:rsidRPr="00534531">
        <w:rPr>
          <w:rFonts w:ascii="Tahoma" w:hAnsi="Tahoma" w:cs="Tahoma"/>
          <w:b w:val="0"/>
          <w:sz w:val="18"/>
          <w:szCs w:val="18"/>
        </w:rPr>
        <w:t>Radicación No.:</w:t>
      </w:r>
      <w:r w:rsidRPr="00534531">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66001-31-05-00</w:t>
      </w:r>
      <w:r w:rsidR="00974F0D">
        <w:rPr>
          <w:rFonts w:ascii="Tahoma" w:hAnsi="Tahoma" w:cs="Tahoma"/>
          <w:b w:val="0"/>
          <w:sz w:val="18"/>
          <w:szCs w:val="18"/>
        </w:rPr>
        <w:t>2</w:t>
      </w:r>
      <w:r>
        <w:rPr>
          <w:rFonts w:ascii="Tahoma" w:hAnsi="Tahoma" w:cs="Tahoma"/>
          <w:b w:val="0"/>
          <w:sz w:val="18"/>
          <w:szCs w:val="18"/>
        </w:rPr>
        <w:t>-201</w:t>
      </w:r>
      <w:r w:rsidR="00974F0D">
        <w:rPr>
          <w:rFonts w:ascii="Tahoma" w:hAnsi="Tahoma" w:cs="Tahoma"/>
          <w:b w:val="0"/>
          <w:sz w:val="18"/>
          <w:szCs w:val="18"/>
        </w:rPr>
        <w:t>3</w:t>
      </w:r>
      <w:r>
        <w:rPr>
          <w:rFonts w:ascii="Tahoma" w:hAnsi="Tahoma" w:cs="Tahoma"/>
          <w:b w:val="0"/>
          <w:sz w:val="18"/>
          <w:szCs w:val="18"/>
        </w:rPr>
        <w:t>-00</w:t>
      </w:r>
      <w:r w:rsidR="00974F0D">
        <w:rPr>
          <w:rFonts w:ascii="Tahoma" w:hAnsi="Tahoma" w:cs="Tahoma"/>
          <w:b w:val="0"/>
          <w:sz w:val="18"/>
          <w:szCs w:val="18"/>
        </w:rPr>
        <w:t>562</w:t>
      </w:r>
      <w:r>
        <w:rPr>
          <w:rFonts w:ascii="Tahoma" w:hAnsi="Tahoma" w:cs="Tahoma"/>
          <w:b w:val="0"/>
          <w:sz w:val="18"/>
          <w:szCs w:val="18"/>
        </w:rPr>
        <w:t>-01</w:t>
      </w:r>
    </w:p>
    <w:p w:rsidR="00534531" w:rsidRDefault="00534531" w:rsidP="00534531">
      <w:pPr>
        <w:pStyle w:val="Puesto"/>
        <w:spacing w:line="240" w:lineRule="auto"/>
        <w:jc w:val="both"/>
        <w:rPr>
          <w:rFonts w:ascii="Tahoma" w:hAnsi="Tahoma" w:cs="Tahoma"/>
          <w:b w:val="0"/>
          <w:sz w:val="18"/>
          <w:szCs w:val="18"/>
        </w:rPr>
      </w:pPr>
      <w:r w:rsidRPr="00534531">
        <w:rPr>
          <w:rFonts w:ascii="Tahoma" w:hAnsi="Tahoma" w:cs="Tahoma"/>
          <w:b w:val="0"/>
          <w:sz w:val="18"/>
          <w:szCs w:val="18"/>
        </w:rPr>
        <w:t>Proceso:</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 xml:space="preserve">Ordinario laboral </w:t>
      </w:r>
    </w:p>
    <w:p w:rsidR="00534531" w:rsidRDefault="00534531" w:rsidP="00534531">
      <w:pPr>
        <w:pStyle w:val="Puesto"/>
        <w:spacing w:line="240" w:lineRule="auto"/>
        <w:jc w:val="both"/>
        <w:rPr>
          <w:rFonts w:ascii="Tahoma" w:hAnsi="Tahoma" w:cs="Tahoma"/>
          <w:b w:val="0"/>
          <w:sz w:val="18"/>
          <w:szCs w:val="18"/>
        </w:rPr>
      </w:pPr>
      <w:r w:rsidRPr="00534531">
        <w:rPr>
          <w:rFonts w:ascii="Tahoma" w:hAnsi="Tahoma" w:cs="Tahoma"/>
          <w:b w:val="0"/>
          <w:sz w:val="18"/>
          <w:szCs w:val="18"/>
        </w:rPr>
        <w:t>Demandante:</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r>
      <w:r w:rsidR="00675F6A">
        <w:rPr>
          <w:rFonts w:ascii="Tahoma" w:hAnsi="Tahoma" w:cs="Tahoma"/>
          <w:b w:val="0"/>
          <w:sz w:val="18"/>
          <w:szCs w:val="18"/>
        </w:rPr>
        <w:t xml:space="preserve">Olmedo Antonio Acevedo Romero </w:t>
      </w:r>
    </w:p>
    <w:p w:rsidR="00534531" w:rsidRDefault="00534531" w:rsidP="00534531">
      <w:pPr>
        <w:pStyle w:val="Puesto"/>
        <w:spacing w:line="240" w:lineRule="auto"/>
        <w:ind w:left="708" w:hanging="708"/>
        <w:jc w:val="both"/>
        <w:rPr>
          <w:rFonts w:ascii="Tahoma" w:hAnsi="Tahoma" w:cs="Tahoma"/>
          <w:b w:val="0"/>
          <w:sz w:val="18"/>
          <w:szCs w:val="18"/>
        </w:rPr>
      </w:pPr>
      <w:r w:rsidRPr="00534531">
        <w:rPr>
          <w:rFonts w:ascii="Tahoma" w:hAnsi="Tahoma" w:cs="Tahoma"/>
          <w:b w:val="0"/>
          <w:sz w:val="18"/>
          <w:szCs w:val="18"/>
        </w:rPr>
        <w:t>Demandado:</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r>
      <w:proofErr w:type="spellStart"/>
      <w:r>
        <w:rPr>
          <w:rFonts w:ascii="Tahoma" w:hAnsi="Tahoma" w:cs="Tahoma"/>
          <w:b w:val="0"/>
          <w:sz w:val="18"/>
          <w:szCs w:val="18"/>
        </w:rPr>
        <w:t>Colpensiones</w:t>
      </w:r>
      <w:proofErr w:type="spellEnd"/>
      <w:r>
        <w:rPr>
          <w:rFonts w:ascii="Tahoma" w:hAnsi="Tahoma" w:cs="Tahoma"/>
          <w:b w:val="0"/>
          <w:sz w:val="18"/>
          <w:szCs w:val="18"/>
        </w:rPr>
        <w:t xml:space="preserve"> </w:t>
      </w:r>
    </w:p>
    <w:p w:rsidR="008A3902" w:rsidRDefault="008A3902" w:rsidP="008A3902">
      <w:pPr>
        <w:pStyle w:val="Puesto"/>
        <w:spacing w:line="240" w:lineRule="auto"/>
        <w:jc w:val="both"/>
        <w:rPr>
          <w:rFonts w:ascii="Tahoma" w:hAnsi="Tahoma" w:cs="Tahoma"/>
          <w:b w:val="0"/>
          <w:sz w:val="18"/>
          <w:szCs w:val="18"/>
        </w:rPr>
      </w:pPr>
      <w:r w:rsidRPr="001E4ACB">
        <w:rPr>
          <w:rFonts w:ascii="Tahoma" w:hAnsi="Tahoma" w:cs="Tahoma"/>
          <w:b w:val="0"/>
          <w:sz w:val="18"/>
          <w:szCs w:val="18"/>
        </w:rPr>
        <w:t>Magistrad</w:t>
      </w:r>
      <w:r>
        <w:rPr>
          <w:rFonts w:ascii="Tahoma" w:hAnsi="Tahoma" w:cs="Tahoma"/>
          <w:b w:val="0"/>
          <w:sz w:val="18"/>
          <w:szCs w:val="18"/>
        </w:rPr>
        <w:t>a</w:t>
      </w:r>
      <w:r w:rsidRPr="001E4ACB">
        <w:rPr>
          <w:rFonts w:ascii="Tahoma" w:hAnsi="Tahoma" w:cs="Tahoma"/>
          <w:b w:val="0"/>
          <w:sz w:val="18"/>
          <w:szCs w:val="18"/>
        </w:rPr>
        <w:t xml:space="preserve"> Ponente:</w:t>
      </w:r>
      <w:r w:rsidRPr="001E4ACB">
        <w:rPr>
          <w:rFonts w:ascii="Tahoma" w:hAnsi="Tahoma" w:cs="Tahoma"/>
          <w:b w:val="0"/>
          <w:sz w:val="18"/>
          <w:szCs w:val="18"/>
        </w:rPr>
        <w:tab/>
      </w:r>
      <w:r w:rsidRPr="001E4ACB">
        <w:rPr>
          <w:rFonts w:ascii="Tahoma" w:hAnsi="Tahoma" w:cs="Tahoma"/>
          <w:b w:val="0"/>
          <w:sz w:val="18"/>
          <w:szCs w:val="18"/>
        </w:rPr>
        <w:tab/>
        <w:t>Dr</w:t>
      </w:r>
      <w:r>
        <w:rPr>
          <w:rFonts w:ascii="Tahoma" w:hAnsi="Tahoma" w:cs="Tahoma"/>
          <w:b w:val="0"/>
          <w:sz w:val="18"/>
          <w:szCs w:val="18"/>
        </w:rPr>
        <w:t>a</w:t>
      </w:r>
      <w:r w:rsidRPr="001E4ACB">
        <w:rPr>
          <w:rFonts w:ascii="Tahoma" w:hAnsi="Tahoma" w:cs="Tahoma"/>
          <w:b w:val="0"/>
          <w:sz w:val="18"/>
          <w:szCs w:val="18"/>
        </w:rPr>
        <w:t xml:space="preserve">. </w:t>
      </w:r>
      <w:r>
        <w:rPr>
          <w:rFonts w:ascii="Tahoma" w:hAnsi="Tahoma" w:cs="Tahoma"/>
          <w:b w:val="0"/>
          <w:sz w:val="18"/>
          <w:szCs w:val="18"/>
        </w:rPr>
        <w:t>Olga Lucía Hoyos Sepúlveda</w:t>
      </w:r>
    </w:p>
    <w:p w:rsidR="00DC74B9" w:rsidRPr="00B74E4D" w:rsidRDefault="00DC74B9" w:rsidP="001B1BBE">
      <w:pPr>
        <w:pStyle w:val="Puesto"/>
        <w:spacing w:line="240" w:lineRule="auto"/>
        <w:ind w:left="2805" w:hanging="2805"/>
        <w:jc w:val="both"/>
        <w:rPr>
          <w:rFonts w:ascii="Tahoma" w:hAnsi="Tahoma" w:cs="Tahoma"/>
          <w:b w:val="0"/>
          <w:sz w:val="18"/>
          <w:szCs w:val="18"/>
        </w:rPr>
      </w:pPr>
      <w:r w:rsidRPr="00B74E4D">
        <w:rPr>
          <w:rFonts w:ascii="Tahoma" w:hAnsi="Tahoma" w:cs="Tahoma"/>
          <w:b w:val="0"/>
          <w:sz w:val="18"/>
          <w:szCs w:val="18"/>
        </w:rPr>
        <w:t>Magistrada que salva voto:</w:t>
      </w:r>
      <w:r w:rsidRPr="00B74E4D">
        <w:rPr>
          <w:rFonts w:ascii="Tahoma" w:hAnsi="Tahoma" w:cs="Tahoma"/>
          <w:sz w:val="18"/>
          <w:szCs w:val="18"/>
        </w:rPr>
        <w:tab/>
      </w:r>
      <w:r w:rsidRPr="00B74E4D">
        <w:rPr>
          <w:rFonts w:ascii="Tahoma" w:hAnsi="Tahoma" w:cs="Tahoma"/>
          <w:b w:val="0"/>
          <w:sz w:val="18"/>
          <w:szCs w:val="18"/>
        </w:rPr>
        <w:t xml:space="preserve">Dra. </w:t>
      </w:r>
      <w:r w:rsidR="00DE0FDF" w:rsidRPr="00B74E4D">
        <w:rPr>
          <w:rFonts w:ascii="Tahoma" w:hAnsi="Tahoma" w:cs="Tahoma"/>
          <w:b w:val="0"/>
          <w:sz w:val="18"/>
          <w:szCs w:val="18"/>
        </w:rPr>
        <w:t>Ana Lucia Caicedo Calderón</w:t>
      </w:r>
    </w:p>
    <w:p w:rsidR="00DE0FDF" w:rsidRPr="00B74E4D" w:rsidRDefault="004C7FD6" w:rsidP="007145A4">
      <w:pPr>
        <w:pStyle w:val="Puesto"/>
        <w:spacing w:line="240" w:lineRule="auto"/>
        <w:ind w:left="2805" w:hanging="2805"/>
        <w:jc w:val="both"/>
        <w:rPr>
          <w:rFonts w:ascii="Tahoma" w:hAnsi="Tahoma" w:cs="Tahoma"/>
          <w:sz w:val="18"/>
          <w:szCs w:val="18"/>
        </w:rPr>
      </w:pPr>
      <w:r w:rsidRPr="00B74E4D">
        <w:rPr>
          <w:rFonts w:ascii="Tahoma" w:hAnsi="Tahoma" w:cs="Tahoma"/>
          <w:b w:val="0"/>
          <w:sz w:val="18"/>
          <w:szCs w:val="18"/>
        </w:rPr>
        <w:t>Tema</w:t>
      </w:r>
      <w:r w:rsidRPr="00B74E4D">
        <w:rPr>
          <w:rFonts w:ascii="Tahoma" w:hAnsi="Tahoma" w:cs="Tahoma"/>
          <w:sz w:val="18"/>
          <w:szCs w:val="18"/>
        </w:rPr>
        <w:t>:</w:t>
      </w:r>
      <w:r w:rsidR="0083123E" w:rsidRPr="00B74E4D">
        <w:rPr>
          <w:rFonts w:ascii="Tahoma" w:hAnsi="Tahoma" w:cs="Tahoma"/>
          <w:sz w:val="18"/>
          <w:szCs w:val="18"/>
        </w:rPr>
        <w:t xml:space="preserve"> </w:t>
      </w:r>
      <w:r w:rsidR="0083123E" w:rsidRPr="00B74E4D">
        <w:rPr>
          <w:rFonts w:ascii="Tahoma" w:hAnsi="Tahoma" w:cs="Tahoma"/>
          <w:sz w:val="18"/>
          <w:szCs w:val="18"/>
        </w:rPr>
        <w:tab/>
      </w:r>
    </w:p>
    <w:p w:rsidR="00E15C02" w:rsidRDefault="00471AC1" w:rsidP="00E15C02">
      <w:pPr>
        <w:ind w:left="2805"/>
        <w:jc w:val="both"/>
        <w:rPr>
          <w:lang w:val="es-CO" w:eastAsia="es-MX"/>
        </w:rPr>
      </w:pPr>
      <w:r w:rsidRPr="00471AC1">
        <w:rPr>
          <w:rFonts w:ascii="Tahoma" w:hAnsi="Tahoma" w:cs="Tahoma"/>
          <w:b/>
          <w:sz w:val="18"/>
          <w:szCs w:val="18"/>
        </w:rPr>
        <w:t>Pensión de vejez Acuerdo 049 de 1990 – Posibilidad de acumular cotizaciones en los sectores público y privado:</w:t>
      </w:r>
      <w:r>
        <w:rPr>
          <w:rFonts w:ascii="Tahoma" w:hAnsi="Tahoma" w:cs="Tahoma"/>
          <w:sz w:val="18"/>
          <w:szCs w:val="18"/>
        </w:rPr>
        <w:t xml:space="preserve"> </w:t>
      </w:r>
      <w:r w:rsidRPr="008075F0">
        <w:rPr>
          <w:rFonts w:ascii="Tahoma" w:hAnsi="Tahoma" w:cs="Tahoma"/>
          <w:bCs/>
          <w:sz w:val="18"/>
          <w:szCs w:val="18"/>
        </w:rPr>
        <w:t xml:space="preserve">La Corte Constitucional en la Sentencia SU-769 de 2014, con ponencia del Magistrado Jorge Iván Palacio </w:t>
      </w:r>
      <w:proofErr w:type="spellStart"/>
      <w:r w:rsidRPr="008075F0">
        <w:rPr>
          <w:rFonts w:ascii="Tahoma" w:hAnsi="Tahoma" w:cs="Tahoma"/>
          <w:bCs/>
          <w:sz w:val="18"/>
          <w:szCs w:val="18"/>
        </w:rPr>
        <w:t>Palacio</w:t>
      </w:r>
      <w:proofErr w:type="spellEnd"/>
      <w:r w:rsidRPr="008075F0">
        <w:rPr>
          <w:rFonts w:ascii="Tahoma" w:hAnsi="Tahoma" w:cs="Tahoma"/>
          <w:bCs/>
          <w:sz w:val="18"/>
          <w:szCs w:val="18"/>
        </w:rPr>
        <w:t xml:space="preserve">,  precisó </w:t>
      </w:r>
      <w:r w:rsidRPr="00206953">
        <w:rPr>
          <w:rFonts w:ascii="Tahoma" w:hAnsi="Tahoma" w:cs="Tahoma"/>
          <w:bCs/>
          <w:i/>
          <w:sz w:val="18"/>
          <w:szCs w:val="18"/>
        </w:rPr>
        <w:t>–en un asunto donde se buscaba la aplicación del Acuerdo 049 de 1990 en virtud del régimen de transición-</w:t>
      </w:r>
      <w:r w:rsidRPr="008075F0">
        <w:rPr>
          <w:rFonts w:ascii="Tahoma" w:hAnsi="Tahoma" w:cs="Tahoma"/>
          <w:bCs/>
          <w:sz w:val="18"/>
          <w:szCs w:val="18"/>
        </w:rPr>
        <w:t xml:space="preserve">, que dicha norma no estableció que las cotizaciones debieran efectuarse exclusivamente en el </w:t>
      </w:r>
      <w:proofErr w:type="spellStart"/>
      <w:r w:rsidRPr="008075F0">
        <w:rPr>
          <w:rFonts w:ascii="Tahoma" w:hAnsi="Tahoma" w:cs="Tahoma"/>
          <w:bCs/>
          <w:sz w:val="18"/>
          <w:szCs w:val="18"/>
        </w:rPr>
        <w:t>I.S.S</w:t>
      </w:r>
      <w:proofErr w:type="spellEnd"/>
      <w:r w:rsidRPr="008075F0">
        <w:rPr>
          <w:rFonts w:ascii="Tahoma" w:hAnsi="Tahoma" w:cs="Tahoma"/>
          <w:bCs/>
          <w:sz w:val="18"/>
          <w:szCs w:val="18"/>
        </w:rPr>
        <w:t>., ni fijó un modo restringido</w:t>
      </w:r>
      <w:bookmarkStart w:id="0" w:name="_GoBack"/>
      <w:bookmarkEnd w:id="0"/>
      <w:r w:rsidRPr="008075F0">
        <w:rPr>
          <w:rFonts w:ascii="Tahoma" w:hAnsi="Tahoma" w:cs="Tahoma"/>
          <w:bCs/>
          <w:sz w:val="18"/>
          <w:szCs w:val="18"/>
        </w:rPr>
        <w:t xml:space="preserve"> para computar las semanas, sino que exige simplemente que se hubieran hecho en la cantidad </w:t>
      </w:r>
      <w:r>
        <w:rPr>
          <w:rFonts w:ascii="Tahoma" w:hAnsi="Tahoma" w:cs="Tahoma"/>
          <w:bCs/>
          <w:sz w:val="18"/>
          <w:szCs w:val="18"/>
        </w:rPr>
        <w:t>requerida</w:t>
      </w:r>
      <w:r w:rsidRPr="008075F0">
        <w:rPr>
          <w:rFonts w:ascii="Tahoma" w:hAnsi="Tahoma" w:cs="Tahoma"/>
          <w:bCs/>
          <w:sz w:val="18"/>
          <w:szCs w:val="18"/>
        </w:rPr>
        <w:t>, independientemente de si se efectuaron en los sectores público o privado; interpretación que resulta más favorable para los intereses del afiliado, de acuerdo con los artículos 53 de la Constitución Política y el 21 del Código Sustantivo del Trabajo</w:t>
      </w:r>
      <w:r>
        <w:rPr>
          <w:rFonts w:ascii="Tahoma" w:hAnsi="Tahoma" w:cs="Tahoma"/>
          <w:bCs/>
          <w:sz w:val="18"/>
          <w:szCs w:val="18"/>
        </w:rPr>
        <w:t xml:space="preserve">, y que esta </w:t>
      </w:r>
      <w:r w:rsidRPr="008075F0">
        <w:rPr>
          <w:rFonts w:ascii="Tahoma" w:hAnsi="Tahoma" w:cs="Tahoma"/>
          <w:bCs/>
          <w:sz w:val="18"/>
          <w:szCs w:val="18"/>
        </w:rPr>
        <w:t xml:space="preserve">Corporación </w:t>
      </w:r>
      <w:r>
        <w:rPr>
          <w:rFonts w:ascii="Tahoma" w:hAnsi="Tahoma" w:cs="Tahoma"/>
          <w:bCs/>
          <w:sz w:val="18"/>
          <w:szCs w:val="18"/>
        </w:rPr>
        <w:t xml:space="preserve">acogió </w:t>
      </w:r>
      <w:r w:rsidRPr="008075F0">
        <w:rPr>
          <w:rFonts w:ascii="Tahoma" w:hAnsi="Tahoma" w:cs="Tahoma"/>
          <w:bCs/>
          <w:sz w:val="18"/>
          <w:szCs w:val="18"/>
        </w:rPr>
        <w:t>en sentencia del 30 de octubre de 2015, proferida dentro del proceso radicado con el número 2013-00483</w:t>
      </w:r>
      <w:r w:rsidR="00D67870">
        <w:rPr>
          <w:rFonts w:ascii="Tahoma" w:hAnsi="Tahoma" w:cs="Tahoma"/>
          <w:bCs/>
          <w:sz w:val="18"/>
          <w:szCs w:val="18"/>
        </w:rPr>
        <w:t>.</w:t>
      </w:r>
    </w:p>
    <w:p w:rsidR="00D67870" w:rsidRDefault="00D67870" w:rsidP="00E15C02">
      <w:pPr>
        <w:ind w:left="2805"/>
        <w:jc w:val="both"/>
        <w:rPr>
          <w:lang w:val="es-CO" w:eastAsia="es-MX"/>
        </w:rPr>
      </w:pPr>
    </w:p>
    <w:p w:rsidR="00B92B26" w:rsidRPr="00C76801" w:rsidRDefault="00B92B26" w:rsidP="00E15C02">
      <w:pPr>
        <w:ind w:left="2805"/>
        <w:jc w:val="both"/>
        <w:rPr>
          <w:lang w:val="es-CO" w:eastAsia="es-MX"/>
        </w:rPr>
      </w:pPr>
    </w:p>
    <w:p w:rsidR="00782D3A" w:rsidRPr="00C76801" w:rsidRDefault="00F0306B" w:rsidP="006E0E51">
      <w:pPr>
        <w:pStyle w:val="Ttulo1"/>
        <w:widowControl/>
        <w:autoSpaceDE/>
        <w:autoSpaceDN/>
        <w:adjustRightInd/>
        <w:rPr>
          <w:rFonts w:ascii="Tahoma" w:hAnsi="Tahoma" w:cs="Tahoma"/>
          <w:bCs/>
          <w:u w:val="single"/>
        </w:rPr>
      </w:pPr>
      <w:r>
        <w:rPr>
          <w:rFonts w:ascii="Tahoma" w:hAnsi="Tahoma" w:cs="Tahoma"/>
          <w:bCs/>
          <w:u w:val="single"/>
        </w:rPr>
        <w:t>SALVAMENTO</w:t>
      </w:r>
      <w:r w:rsidR="00974F0D">
        <w:rPr>
          <w:rFonts w:ascii="Tahoma" w:hAnsi="Tahoma" w:cs="Tahoma"/>
          <w:bCs/>
          <w:u w:val="single"/>
        </w:rPr>
        <w:t xml:space="preserve"> PARCIAL </w:t>
      </w:r>
      <w:r w:rsidR="00782D3A" w:rsidRPr="00C76801">
        <w:rPr>
          <w:rFonts w:ascii="Tahoma" w:hAnsi="Tahoma" w:cs="Tahoma"/>
          <w:bCs/>
          <w:u w:val="single"/>
        </w:rPr>
        <w:t>DE VOTO</w:t>
      </w:r>
    </w:p>
    <w:p w:rsidR="00782D3A" w:rsidRPr="00C76801" w:rsidRDefault="00782D3A" w:rsidP="006E0E51">
      <w:pPr>
        <w:jc w:val="both"/>
        <w:rPr>
          <w:rFonts w:ascii="Tahoma" w:hAnsi="Tahoma" w:cs="Tahoma"/>
          <w:b/>
          <w:bCs/>
          <w:sz w:val="28"/>
        </w:rPr>
      </w:pPr>
    </w:p>
    <w:p w:rsidR="00A717A9" w:rsidRPr="00E15C02" w:rsidRDefault="004C7FD6" w:rsidP="006E0E51">
      <w:pPr>
        <w:ind w:firstLine="851"/>
        <w:jc w:val="both"/>
        <w:rPr>
          <w:rFonts w:ascii="Tahoma" w:hAnsi="Tahoma" w:cs="Tahoma"/>
          <w:sz w:val="22"/>
          <w:szCs w:val="22"/>
        </w:rPr>
      </w:pPr>
      <w:r w:rsidRPr="00E15C02">
        <w:rPr>
          <w:rFonts w:ascii="Tahoma" w:hAnsi="Tahoma" w:cs="Tahoma"/>
          <w:sz w:val="22"/>
          <w:szCs w:val="22"/>
        </w:rPr>
        <w:t xml:space="preserve">Con mi acostumbrado respeto, </w:t>
      </w:r>
      <w:r w:rsidR="009A54E6" w:rsidRPr="00E15C02">
        <w:rPr>
          <w:rFonts w:ascii="Tahoma" w:hAnsi="Tahoma" w:cs="Tahoma"/>
          <w:sz w:val="22"/>
          <w:szCs w:val="22"/>
        </w:rPr>
        <w:t>manifiesto mi inconformidad</w:t>
      </w:r>
      <w:r w:rsidR="00974F0D">
        <w:rPr>
          <w:rFonts w:ascii="Tahoma" w:hAnsi="Tahoma" w:cs="Tahoma"/>
          <w:sz w:val="22"/>
          <w:szCs w:val="22"/>
        </w:rPr>
        <w:t xml:space="preserve"> parcial</w:t>
      </w:r>
      <w:r w:rsidRPr="00E15C02">
        <w:rPr>
          <w:rFonts w:ascii="Tahoma" w:hAnsi="Tahoma" w:cs="Tahoma"/>
          <w:sz w:val="22"/>
          <w:szCs w:val="22"/>
        </w:rPr>
        <w:t xml:space="preserve"> frente </w:t>
      </w:r>
      <w:r w:rsidR="0012673F" w:rsidRPr="00E15C02">
        <w:rPr>
          <w:rFonts w:ascii="Tahoma" w:hAnsi="Tahoma" w:cs="Tahoma"/>
          <w:sz w:val="22"/>
          <w:szCs w:val="22"/>
        </w:rPr>
        <w:t xml:space="preserve">a la </w:t>
      </w:r>
      <w:r w:rsidR="00F44F7C" w:rsidRPr="00E15C02">
        <w:rPr>
          <w:rFonts w:ascii="Tahoma" w:hAnsi="Tahoma" w:cs="Tahoma"/>
          <w:sz w:val="22"/>
          <w:szCs w:val="22"/>
        </w:rPr>
        <w:t>sentencia mayoritaria</w:t>
      </w:r>
      <w:r w:rsidR="009A54E6" w:rsidRPr="00E15C02">
        <w:rPr>
          <w:rFonts w:ascii="Tahoma" w:hAnsi="Tahoma" w:cs="Tahoma"/>
          <w:sz w:val="22"/>
          <w:szCs w:val="22"/>
        </w:rPr>
        <w:t xml:space="preserve">, </w:t>
      </w:r>
      <w:r w:rsidR="0083571A" w:rsidRPr="00E15C02">
        <w:rPr>
          <w:rFonts w:ascii="Tahoma" w:hAnsi="Tahoma" w:cs="Tahoma"/>
          <w:sz w:val="22"/>
          <w:szCs w:val="22"/>
        </w:rPr>
        <w:t>por cua</w:t>
      </w:r>
      <w:r w:rsidR="00D02A91" w:rsidRPr="00E15C02">
        <w:rPr>
          <w:rFonts w:ascii="Tahoma" w:hAnsi="Tahoma" w:cs="Tahoma"/>
          <w:sz w:val="22"/>
          <w:szCs w:val="22"/>
        </w:rPr>
        <w:t xml:space="preserve">nto </w:t>
      </w:r>
      <w:r w:rsidR="00497A9F" w:rsidRPr="00E15C02">
        <w:rPr>
          <w:rFonts w:ascii="Tahoma" w:hAnsi="Tahoma" w:cs="Tahoma"/>
          <w:sz w:val="22"/>
          <w:szCs w:val="22"/>
        </w:rPr>
        <w:t xml:space="preserve">considero que en el presente caso </w:t>
      </w:r>
      <w:r w:rsidR="0012673F" w:rsidRPr="00E15C02">
        <w:rPr>
          <w:rFonts w:ascii="Tahoma" w:hAnsi="Tahoma" w:cs="Tahoma"/>
          <w:sz w:val="22"/>
          <w:szCs w:val="22"/>
        </w:rPr>
        <w:t>h</w:t>
      </w:r>
      <w:r w:rsidR="00497A9F" w:rsidRPr="00E15C02">
        <w:rPr>
          <w:rFonts w:ascii="Tahoma" w:hAnsi="Tahoma" w:cs="Tahoma"/>
          <w:sz w:val="22"/>
          <w:szCs w:val="22"/>
        </w:rPr>
        <w:t xml:space="preserve">abía lugar a </w:t>
      </w:r>
      <w:proofErr w:type="spellStart"/>
      <w:r w:rsidR="00D67870">
        <w:rPr>
          <w:rFonts w:ascii="Tahoma" w:hAnsi="Tahoma" w:cs="Tahoma"/>
          <w:sz w:val="22"/>
          <w:szCs w:val="22"/>
        </w:rPr>
        <w:t>re</w:t>
      </w:r>
      <w:r w:rsidR="00974F0D">
        <w:rPr>
          <w:rFonts w:ascii="Tahoma" w:hAnsi="Tahoma" w:cs="Tahoma"/>
          <w:sz w:val="22"/>
          <w:szCs w:val="22"/>
        </w:rPr>
        <w:t>liquidar</w:t>
      </w:r>
      <w:proofErr w:type="spellEnd"/>
      <w:r w:rsidR="00974F0D">
        <w:rPr>
          <w:rFonts w:ascii="Tahoma" w:hAnsi="Tahoma" w:cs="Tahoma"/>
          <w:sz w:val="22"/>
          <w:szCs w:val="22"/>
        </w:rPr>
        <w:t xml:space="preserve"> </w:t>
      </w:r>
      <w:r w:rsidR="00D67870">
        <w:rPr>
          <w:rFonts w:ascii="Tahoma" w:hAnsi="Tahoma" w:cs="Tahoma"/>
          <w:sz w:val="22"/>
          <w:szCs w:val="22"/>
        </w:rPr>
        <w:t xml:space="preserve">la pensión de vejez </w:t>
      </w:r>
      <w:r w:rsidR="00974F0D">
        <w:rPr>
          <w:rFonts w:ascii="Tahoma" w:hAnsi="Tahoma" w:cs="Tahoma"/>
          <w:sz w:val="22"/>
          <w:szCs w:val="22"/>
        </w:rPr>
        <w:t xml:space="preserve">del actor </w:t>
      </w:r>
      <w:r w:rsidR="00D02A91" w:rsidRPr="00E15C02">
        <w:rPr>
          <w:rFonts w:ascii="Tahoma" w:hAnsi="Tahoma" w:cs="Tahoma"/>
          <w:sz w:val="22"/>
          <w:szCs w:val="22"/>
        </w:rPr>
        <w:t>por las siguientes razones</w:t>
      </w:r>
      <w:r w:rsidR="00497A9F" w:rsidRPr="00E15C02">
        <w:rPr>
          <w:rFonts w:ascii="Tahoma" w:hAnsi="Tahoma" w:cs="Tahoma"/>
          <w:sz w:val="22"/>
          <w:szCs w:val="22"/>
        </w:rPr>
        <w:t xml:space="preserve">: </w:t>
      </w:r>
    </w:p>
    <w:p w:rsidR="0012673F" w:rsidRPr="00E15C02" w:rsidRDefault="0012673F" w:rsidP="006E0E51">
      <w:pPr>
        <w:ind w:firstLine="851"/>
        <w:jc w:val="both"/>
        <w:rPr>
          <w:rFonts w:ascii="Tahoma" w:hAnsi="Tahoma" w:cs="Tahoma"/>
          <w:sz w:val="22"/>
          <w:szCs w:val="22"/>
        </w:rPr>
      </w:pPr>
    </w:p>
    <w:p w:rsidR="00DE0FDF" w:rsidRDefault="00D67870" w:rsidP="006E0E51">
      <w:pPr>
        <w:pStyle w:val="Sinespaciado"/>
        <w:numPr>
          <w:ilvl w:val="0"/>
          <w:numId w:val="24"/>
        </w:numPr>
        <w:rPr>
          <w:rFonts w:ascii="Tahoma" w:eastAsia="Times New Roman" w:hAnsi="Tahoma" w:cs="Tahoma"/>
          <w:b/>
          <w:lang w:val="es-ES" w:eastAsia="es-ES"/>
        </w:rPr>
      </w:pPr>
      <w:r w:rsidRPr="00D67870">
        <w:rPr>
          <w:rFonts w:ascii="Tahoma" w:eastAsia="Times New Roman" w:hAnsi="Tahoma" w:cs="Tahoma"/>
          <w:b/>
          <w:lang w:val="es-ES" w:eastAsia="es-ES"/>
        </w:rPr>
        <w:t>Pensión de vejez Acuerdo 049 de 1990 – Posibilidad de acumular cotizaciones en los sectores público y privado:</w:t>
      </w:r>
    </w:p>
    <w:p w:rsidR="00D67870" w:rsidRPr="00E15C02" w:rsidRDefault="00D67870" w:rsidP="006E0E51">
      <w:pPr>
        <w:pStyle w:val="Sinespaciado"/>
        <w:ind w:firstLine="709"/>
      </w:pPr>
    </w:p>
    <w:p w:rsidR="00D67870" w:rsidRPr="00D67870" w:rsidRDefault="00D67870" w:rsidP="006E0E51">
      <w:pPr>
        <w:ind w:firstLine="851"/>
        <w:jc w:val="both"/>
        <w:rPr>
          <w:rFonts w:ascii="Tahoma" w:hAnsi="Tahoma" w:cs="Tahoma"/>
          <w:sz w:val="22"/>
          <w:szCs w:val="22"/>
        </w:rPr>
      </w:pPr>
      <w:r w:rsidRPr="00D67870">
        <w:rPr>
          <w:rFonts w:ascii="Tahoma" w:hAnsi="Tahoma" w:cs="Tahoma"/>
          <w:sz w:val="22"/>
          <w:szCs w:val="22"/>
        </w:rPr>
        <w:t xml:space="preserve">La H. Corte Constitucional a través de la sentencia SU-769 de 2014, con ponencia del Magistrado Jorge Iván Palacio </w:t>
      </w:r>
      <w:proofErr w:type="spellStart"/>
      <w:r w:rsidRPr="00D67870">
        <w:rPr>
          <w:rFonts w:ascii="Tahoma" w:hAnsi="Tahoma" w:cs="Tahoma"/>
          <w:sz w:val="22"/>
          <w:szCs w:val="22"/>
        </w:rPr>
        <w:t>Palacio</w:t>
      </w:r>
      <w:proofErr w:type="spellEnd"/>
      <w:r w:rsidRPr="00D67870">
        <w:rPr>
          <w:rFonts w:ascii="Tahoma" w:hAnsi="Tahoma" w:cs="Tahoma"/>
          <w:sz w:val="22"/>
          <w:szCs w:val="22"/>
        </w:rPr>
        <w:t>, expuso una línea jurisprudencial en la cual se plasma la posibilidad de acumular cotizaciones efectuadas tanto en los sectores público y privado a efectos de reconocer, en virtud del régimen de transición, una pensión de vejez en aplicación del Acuerdo 049 de 1990. En distintos apartes de la aludida providencia se expuso lo siguiente:</w:t>
      </w:r>
    </w:p>
    <w:p w:rsidR="00D67870" w:rsidRPr="00D67870" w:rsidRDefault="00D67870" w:rsidP="006E0E51">
      <w:pPr>
        <w:ind w:firstLine="851"/>
        <w:jc w:val="both"/>
        <w:rPr>
          <w:rFonts w:ascii="Tahoma" w:hAnsi="Tahoma" w:cs="Tahoma"/>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 xml:space="preserve">““Como ya se mencionó, reiterada Jurisprudencia de la Corte Constitucional, ha sostenido que las personas cotizan y por consiguiente, cumplen los requisitos ante el Sistema General de Seguridad Social en Pensiones y no ante las entidades específicas que lo componen. </w:t>
      </w:r>
    </w:p>
    <w:p w:rsidR="00D67870" w:rsidRPr="00D67870" w:rsidRDefault="00D67870" w:rsidP="006E0E51">
      <w:pPr>
        <w:ind w:left="567"/>
        <w:jc w:val="both"/>
        <w:rPr>
          <w:rFonts w:ascii="Arial Narrow" w:hAnsi="Arial Narrow" w:cs="Tahoma"/>
          <w:i/>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 xml:space="preserve">Justamente en aplicación de esta tesis, la jurisprudencia de esta Corporación ha sostenido expresamente que (i) ‘el artículo 12 del Decreto 758 de 1990 en ninguno de sus apartes exige que las cotizaciones se efectúen de manera exclusiva al  fondo del Instituto de Seguros Sociales’ por lo que se incurre en un error al interpretar esta norma de manera distinta a lo que realmente se encuentra establecido en ella y (ii) en virtud del principio hermenéutico de interpretación más favorable a los intereses del trabajador, es posible computar las semanas que cotizó una persona en el sector público antes de entrar en vigencia la ley 100 de 1993 con las que cotizó como empleado del sector privado en cualquier tiempo ”.  </w:t>
      </w:r>
    </w:p>
    <w:p w:rsidR="00D67870" w:rsidRPr="00D67870" w:rsidRDefault="00D67870" w:rsidP="006E0E51">
      <w:pPr>
        <w:ind w:firstLine="851"/>
        <w:jc w:val="both"/>
        <w:rPr>
          <w:rFonts w:ascii="Tahoma" w:hAnsi="Tahoma" w:cs="Tahoma"/>
          <w:sz w:val="22"/>
          <w:szCs w:val="22"/>
        </w:rPr>
      </w:pPr>
    </w:p>
    <w:p w:rsidR="00D67870" w:rsidRPr="00D67870" w:rsidRDefault="00D67870" w:rsidP="006E0E51">
      <w:pPr>
        <w:ind w:firstLine="567"/>
        <w:jc w:val="both"/>
        <w:rPr>
          <w:rFonts w:ascii="Tahoma" w:hAnsi="Tahoma" w:cs="Tahoma"/>
          <w:sz w:val="22"/>
          <w:szCs w:val="22"/>
        </w:rPr>
      </w:pPr>
      <w:r w:rsidRPr="00D67870">
        <w:rPr>
          <w:rFonts w:ascii="Tahoma" w:hAnsi="Tahoma" w:cs="Tahoma"/>
          <w:sz w:val="22"/>
          <w:szCs w:val="22"/>
        </w:rPr>
        <w:t>Más adelante, plasmó un aparte de la sentencia  T-334 de 2011 en el siguiente sentido:</w:t>
      </w:r>
    </w:p>
    <w:p w:rsidR="00D67870" w:rsidRPr="00D67870" w:rsidRDefault="00D67870" w:rsidP="006E0E51">
      <w:pPr>
        <w:ind w:firstLine="851"/>
        <w:jc w:val="both"/>
        <w:rPr>
          <w:rFonts w:ascii="Tahoma" w:hAnsi="Tahoma" w:cs="Tahoma"/>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 xml:space="preserve">“Teniendo en cuenta que el cómputo de semanas cotizadas quedó consagrado en la Ley 100, precisamente para evitar las injusticias que durante mucho tiempo se cometieron cuando era imposible acumular semanas laborados con diferentes empleadores, con lo cual las posibilidades de muchos trabajadores de acceder a la pensión eran mínimas; surge la duda seria y objetiva de si es preciso interpretar favorablemente o no dicho artículo para que los beneficiarios de la transición puedan computar semanas, sin perder por ello dicha prerrogativa.  </w:t>
      </w:r>
    </w:p>
    <w:p w:rsidR="00D67870" w:rsidRPr="00D67870" w:rsidRDefault="00D67870" w:rsidP="006E0E51">
      <w:pPr>
        <w:ind w:left="567"/>
        <w:jc w:val="both"/>
        <w:rPr>
          <w:rFonts w:ascii="Arial Narrow" w:hAnsi="Arial Narrow" w:cs="Tahoma"/>
          <w:i/>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 xml:space="preserve">Existiendo concurrentemente esas posibilidades de interpretación, el principio rector pro operario hace obligatorio asumir la opción favorable al trabajador, es decir, el </w:t>
      </w:r>
      <w:proofErr w:type="spellStart"/>
      <w:r w:rsidRPr="00D67870">
        <w:rPr>
          <w:rFonts w:ascii="Arial Narrow" w:hAnsi="Arial Narrow" w:cs="Tahoma"/>
          <w:i/>
          <w:sz w:val="22"/>
          <w:szCs w:val="22"/>
        </w:rPr>
        <w:t>ISS</w:t>
      </w:r>
      <w:proofErr w:type="spellEnd"/>
      <w:r w:rsidRPr="00D67870">
        <w:rPr>
          <w:rFonts w:ascii="Arial Narrow" w:hAnsi="Arial Narrow" w:cs="Tahoma"/>
          <w:i/>
          <w:sz w:val="22"/>
          <w:szCs w:val="22"/>
        </w:rPr>
        <w:t xml:space="preserve"> debe computar el período referido y, a su vez, permitir a la señora Martínez Escobar pensionarse bajo el régimen de transición”.</w:t>
      </w:r>
    </w:p>
    <w:p w:rsidR="00D67870" w:rsidRPr="00D67870" w:rsidRDefault="00D67870" w:rsidP="006E0E51">
      <w:pPr>
        <w:ind w:firstLine="851"/>
        <w:jc w:val="both"/>
        <w:rPr>
          <w:rFonts w:ascii="Tahoma" w:hAnsi="Tahoma" w:cs="Tahoma"/>
          <w:sz w:val="22"/>
          <w:szCs w:val="22"/>
        </w:rPr>
      </w:pPr>
    </w:p>
    <w:p w:rsidR="00D67870" w:rsidRPr="00D67870" w:rsidRDefault="00D67870" w:rsidP="006E0E51">
      <w:pPr>
        <w:ind w:firstLine="567"/>
        <w:jc w:val="both"/>
        <w:rPr>
          <w:rFonts w:ascii="Tahoma" w:hAnsi="Tahoma" w:cs="Tahoma"/>
          <w:sz w:val="22"/>
          <w:szCs w:val="22"/>
        </w:rPr>
      </w:pPr>
      <w:r w:rsidRPr="00D67870">
        <w:rPr>
          <w:rFonts w:ascii="Tahoma" w:hAnsi="Tahoma" w:cs="Tahoma"/>
          <w:sz w:val="22"/>
          <w:szCs w:val="22"/>
        </w:rPr>
        <w:t>Igualmente indicó el Alto Tribunal en la Sentencia SU-769 de 2014:</w:t>
      </w:r>
    </w:p>
    <w:p w:rsidR="00D67870" w:rsidRPr="00D67870" w:rsidRDefault="00D67870" w:rsidP="006E0E51">
      <w:pPr>
        <w:ind w:firstLine="851"/>
        <w:jc w:val="both"/>
        <w:rPr>
          <w:rFonts w:ascii="Tahoma" w:hAnsi="Tahoma" w:cs="Tahoma"/>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 xml:space="preserve">“7.3.7. En jurisprudencia más reciente la Corte se pronunció sobre el caso de una señora de 77 años que laboró 405 semanas como servidor público y cotizó 596 semanas al Instituto de Seguros Sociales, para un total de 1001, a quien </w:t>
      </w:r>
      <w:r w:rsidRPr="00D67870">
        <w:rPr>
          <w:rFonts w:ascii="Arial Narrow" w:hAnsi="Arial Narrow" w:cs="Tahoma"/>
          <w:i/>
          <w:sz w:val="22"/>
          <w:szCs w:val="22"/>
        </w:rPr>
        <w:lastRenderedPageBreak/>
        <w:t xml:space="preserve">le fue negada la pensión de vejez por no ser posible, según esa entidad, acumular tiempos de servicio bajo el régimen contenido en el Acuerdo 049 de 1990. Así, mediante la sentencia T-100 de 2012, consideró: </w:t>
      </w:r>
    </w:p>
    <w:p w:rsidR="00D67870" w:rsidRPr="00D67870" w:rsidRDefault="00D67870" w:rsidP="006E0E51">
      <w:pPr>
        <w:ind w:left="567"/>
        <w:jc w:val="both"/>
        <w:rPr>
          <w:rFonts w:ascii="Arial Narrow" w:hAnsi="Arial Narrow" w:cs="Tahoma"/>
          <w:i/>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 xml:space="preserve">“[L]a jurisprudencia de esta Corporación ha sido enfática al resaltar que esta interpretación de la normativa es errónea y atenta contra los derechos fundamentales de los beneficiarios del régimen de transición. </w:t>
      </w:r>
    </w:p>
    <w:p w:rsidR="00D67870" w:rsidRPr="00D67870" w:rsidRDefault="00D67870" w:rsidP="006E0E51">
      <w:pPr>
        <w:ind w:left="567"/>
        <w:jc w:val="both"/>
        <w:rPr>
          <w:rFonts w:ascii="Arial Narrow" w:hAnsi="Arial Narrow" w:cs="Tahoma"/>
          <w:i/>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Esto por cuanto: (i) al exigir que para acceder a la pensión de vejez de acuerdo con el Decreto 758 de 1990 las cotizaciones se hayan realizado de manera exclusiva al Seguro Social, se está requiriendo el cumplimiento de un elemento que la norma no consagra; (ii) los requisitos para acceder a los beneficios Sistema General de Seguridad Social se acreditan es ante el sistema mismo y no ante las entidades que lo conforman; y (iii) el artículo 36 de la Ley 100 de 1993 limitó el régimen de transición a solo tres ítems (edad, tiempo y monto) y estableció que ‘[l]as demás condiciones y requisitos aplicables a estas personas para acceder a la pensión de vejez, se regirán por las disposiciones contenidas en la presente Ley’, por lo que haciendo una lectura integral de la Ley 100 de 1993 -especialmente del literal f) del artículo 13, el parágrafo 1º del artículo 33 y el parágrafo del artículo 36 de la misma-, los tiempos deben acumularse para efectos de la contabilización del número de semanas de cotización requeridas”.”</w:t>
      </w:r>
    </w:p>
    <w:p w:rsidR="00D67870" w:rsidRDefault="00D67870" w:rsidP="006E0E51">
      <w:pPr>
        <w:ind w:firstLine="851"/>
        <w:jc w:val="both"/>
        <w:rPr>
          <w:rFonts w:ascii="Tahoma" w:hAnsi="Tahoma" w:cs="Tahoma"/>
          <w:sz w:val="22"/>
          <w:szCs w:val="22"/>
        </w:rPr>
      </w:pPr>
    </w:p>
    <w:p w:rsidR="00D67870" w:rsidRPr="00D67870" w:rsidRDefault="00D67870" w:rsidP="006E0E51">
      <w:pPr>
        <w:ind w:firstLine="567"/>
        <w:jc w:val="both"/>
        <w:rPr>
          <w:rFonts w:ascii="Tahoma" w:hAnsi="Tahoma" w:cs="Tahoma"/>
          <w:sz w:val="22"/>
          <w:szCs w:val="22"/>
        </w:rPr>
      </w:pPr>
      <w:r>
        <w:rPr>
          <w:rFonts w:ascii="Tahoma" w:hAnsi="Tahoma" w:cs="Tahoma"/>
          <w:sz w:val="22"/>
          <w:szCs w:val="22"/>
        </w:rPr>
        <w:t xml:space="preserve">De lo anterior se colige que </w:t>
      </w:r>
      <w:r w:rsidRPr="00D67870">
        <w:rPr>
          <w:rFonts w:ascii="Tahoma" w:hAnsi="Tahoma" w:cs="Tahoma"/>
          <w:sz w:val="22"/>
          <w:szCs w:val="22"/>
        </w:rPr>
        <w:t>la Corte Constitucional –en un asunto donde se buscaba la aplicación del Acuerdo 049 de 1990 en vir</w:t>
      </w:r>
      <w:r>
        <w:rPr>
          <w:rFonts w:ascii="Tahoma" w:hAnsi="Tahoma" w:cs="Tahoma"/>
          <w:sz w:val="22"/>
          <w:szCs w:val="22"/>
        </w:rPr>
        <w:t xml:space="preserve">tud del régimen de transición- aclaró </w:t>
      </w:r>
      <w:r w:rsidRPr="00D67870">
        <w:rPr>
          <w:rFonts w:ascii="Tahoma" w:hAnsi="Tahoma" w:cs="Tahoma"/>
          <w:sz w:val="22"/>
          <w:szCs w:val="22"/>
        </w:rPr>
        <w:t xml:space="preserve">que dicha norma no estableció que las cotizaciones debieran efectuarse exclusivamente en el </w:t>
      </w:r>
      <w:proofErr w:type="spellStart"/>
      <w:r w:rsidRPr="00D67870">
        <w:rPr>
          <w:rFonts w:ascii="Tahoma" w:hAnsi="Tahoma" w:cs="Tahoma"/>
          <w:sz w:val="22"/>
          <w:szCs w:val="22"/>
        </w:rPr>
        <w:t>I.S.S</w:t>
      </w:r>
      <w:proofErr w:type="spellEnd"/>
      <w:r w:rsidRPr="00D67870">
        <w:rPr>
          <w:rFonts w:ascii="Tahoma" w:hAnsi="Tahoma" w:cs="Tahoma"/>
          <w:sz w:val="22"/>
          <w:szCs w:val="22"/>
        </w:rPr>
        <w:t xml:space="preserve">., ni fijó un modo restringido para computar las semanas, sino que exige simplemente que se hubieran hecho en la cantidad requerida, independientemente de si se efectuaron en los sectores público o privado; interpretación que resulta más favorable para los intereses del afiliado, de acuerdo con los artículos 53 de la Constitución Política y el 21 del Código Sustantivo del Trabajo, y que esta Corporación acogió en sentencia del 30 de octubre de 2015, proferida dentro del proceso radicado con el número 2013-00483, con ponencia </w:t>
      </w:r>
      <w:r>
        <w:rPr>
          <w:rFonts w:ascii="Tahoma" w:hAnsi="Tahoma" w:cs="Tahoma"/>
          <w:sz w:val="22"/>
          <w:szCs w:val="22"/>
        </w:rPr>
        <w:t>de la suscrita Magistrada.</w:t>
      </w:r>
    </w:p>
    <w:p w:rsidR="00D67870" w:rsidRPr="00D67870" w:rsidRDefault="00D67870" w:rsidP="006E0E51">
      <w:pPr>
        <w:ind w:firstLine="851"/>
        <w:jc w:val="both"/>
        <w:rPr>
          <w:rFonts w:ascii="Tahoma" w:hAnsi="Tahoma" w:cs="Tahoma"/>
          <w:sz w:val="22"/>
          <w:szCs w:val="22"/>
        </w:rPr>
      </w:pPr>
    </w:p>
    <w:p w:rsidR="00853607" w:rsidRDefault="00D67870" w:rsidP="006E0E51">
      <w:pPr>
        <w:ind w:firstLine="567"/>
        <w:jc w:val="both"/>
        <w:rPr>
          <w:rFonts w:ascii="Tahoma" w:hAnsi="Tahoma" w:cs="Tahoma"/>
          <w:sz w:val="22"/>
          <w:szCs w:val="22"/>
        </w:rPr>
      </w:pPr>
      <w:r>
        <w:rPr>
          <w:rFonts w:ascii="Tahoma" w:hAnsi="Tahoma" w:cs="Tahoma"/>
          <w:sz w:val="22"/>
          <w:szCs w:val="22"/>
        </w:rPr>
        <w:t>En consecuencia</w:t>
      </w:r>
      <w:r w:rsidRPr="00D67870">
        <w:rPr>
          <w:rFonts w:ascii="Tahoma" w:hAnsi="Tahoma" w:cs="Tahoma"/>
          <w:sz w:val="22"/>
          <w:szCs w:val="22"/>
        </w:rPr>
        <w:t>, es evidente que</w:t>
      </w:r>
      <w:r>
        <w:rPr>
          <w:rFonts w:ascii="Tahoma" w:hAnsi="Tahoma" w:cs="Tahoma"/>
          <w:sz w:val="22"/>
          <w:szCs w:val="22"/>
        </w:rPr>
        <w:t xml:space="preserve"> </w:t>
      </w:r>
      <w:r w:rsidR="007921DE">
        <w:rPr>
          <w:rFonts w:ascii="Tahoma" w:hAnsi="Tahoma" w:cs="Tahoma"/>
          <w:sz w:val="22"/>
          <w:szCs w:val="22"/>
        </w:rPr>
        <w:t xml:space="preserve">al contar el actor con más de 1300 semanas cotizadas en los sectores público y privado, tenía derecho a que la tasa de reemplazo que se aplicara a su </w:t>
      </w:r>
      <w:proofErr w:type="spellStart"/>
      <w:r w:rsidR="007921DE">
        <w:rPr>
          <w:rFonts w:ascii="Tahoma" w:hAnsi="Tahoma" w:cs="Tahoma"/>
          <w:sz w:val="22"/>
          <w:szCs w:val="22"/>
        </w:rPr>
        <w:t>IBL</w:t>
      </w:r>
      <w:proofErr w:type="spellEnd"/>
      <w:r w:rsidR="007921DE">
        <w:rPr>
          <w:rFonts w:ascii="Tahoma" w:hAnsi="Tahoma" w:cs="Tahoma"/>
          <w:sz w:val="22"/>
          <w:szCs w:val="22"/>
        </w:rPr>
        <w:t xml:space="preserve"> fuera del 90%</w:t>
      </w:r>
      <w:r w:rsidR="00853607">
        <w:rPr>
          <w:rFonts w:ascii="Tahoma" w:hAnsi="Tahoma" w:cs="Tahoma"/>
          <w:sz w:val="22"/>
          <w:szCs w:val="22"/>
        </w:rPr>
        <w:t>.</w:t>
      </w:r>
    </w:p>
    <w:p w:rsidR="00B52E48" w:rsidRDefault="0084245B" w:rsidP="006E0E51">
      <w:pPr>
        <w:ind w:firstLine="851"/>
        <w:jc w:val="both"/>
        <w:rPr>
          <w:rFonts w:ascii="Tahoma" w:hAnsi="Tahoma" w:cs="Tahoma"/>
          <w:sz w:val="22"/>
          <w:szCs w:val="22"/>
        </w:rPr>
      </w:pPr>
      <w:r w:rsidRPr="00D67870">
        <w:rPr>
          <w:rFonts w:ascii="Tahoma" w:hAnsi="Tahoma" w:cs="Tahoma"/>
          <w:sz w:val="22"/>
          <w:szCs w:val="22"/>
        </w:rPr>
        <w:tab/>
      </w:r>
    </w:p>
    <w:p w:rsidR="00782D3A" w:rsidRPr="00E15C02" w:rsidRDefault="00782D3A" w:rsidP="006E0E51">
      <w:pPr>
        <w:widowControl w:val="0"/>
        <w:autoSpaceDE w:val="0"/>
        <w:autoSpaceDN w:val="0"/>
        <w:adjustRightInd w:val="0"/>
        <w:jc w:val="both"/>
        <w:rPr>
          <w:rFonts w:ascii="Tahoma" w:hAnsi="Tahoma" w:cs="Tahoma"/>
          <w:sz w:val="22"/>
          <w:szCs w:val="22"/>
        </w:rPr>
      </w:pPr>
    </w:p>
    <w:p w:rsidR="00534531" w:rsidRDefault="008508E3" w:rsidP="008508E3">
      <w:pPr>
        <w:widowControl w:val="0"/>
        <w:autoSpaceDE w:val="0"/>
        <w:autoSpaceDN w:val="0"/>
        <w:adjustRightInd w:val="0"/>
        <w:ind w:firstLine="708"/>
        <w:jc w:val="both"/>
        <w:rPr>
          <w:rFonts w:ascii="Tahoma" w:hAnsi="Tahoma" w:cs="Tahoma"/>
          <w:sz w:val="22"/>
          <w:szCs w:val="22"/>
        </w:rPr>
      </w:pPr>
      <w:r>
        <w:rPr>
          <w:rFonts w:ascii="Tahoma" w:hAnsi="Tahoma" w:cs="Tahoma"/>
          <w:sz w:val="22"/>
          <w:szCs w:val="22"/>
        </w:rPr>
        <w:t>En esos términos sustento mi salvamento</w:t>
      </w:r>
      <w:r w:rsidR="007921DE">
        <w:rPr>
          <w:rFonts w:ascii="Tahoma" w:hAnsi="Tahoma" w:cs="Tahoma"/>
          <w:sz w:val="22"/>
          <w:szCs w:val="22"/>
        </w:rPr>
        <w:t xml:space="preserve"> parcial</w:t>
      </w:r>
      <w:r>
        <w:rPr>
          <w:rFonts w:ascii="Tahoma" w:hAnsi="Tahoma" w:cs="Tahoma"/>
          <w:sz w:val="22"/>
          <w:szCs w:val="22"/>
        </w:rPr>
        <w:t xml:space="preserve"> de voto.</w:t>
      </w:r>
    </w:p>
    <w:p w:rsidR="00F45DDF" w:rsidRPr="00E15C02" w:rsidRDefault="00F45DDF" w:rsidP="006E0E51">
      <w:pPr>
        <w:widowControl w:val="0"/>
        <w:autoSpaceDE w:val="0"/>
        <w:autoSpaceDN w:val="0"/>
        <w:adjustRightInd w:val="0"/>
        <w:jc w:val="both"/>
        <w:rPr>
          <w:rFonts w:ascii="Tahoma" w:hAnsi="Tahoma" w:cs="Tahoma"/>
          <w:sz w:val="22"/>
          <w:szCs w:val="22"/>
        </w:rPr>
      </w:pPr>
    </w:p>
    <w:p w:rsidR="00782D3A" w:rsidRDefault="00782D3A" w:rsidP="006E0E51">
      <w:pPr>
        <w:widowControl w:val="0"/>
        <w:autoSpaceDE w:val="0"/>
        <w:autoSpaceDN w:val="0"/>
        <w:adjustRightInd w:val="0"/>
        <w:jc w:val="both"/>
        <w:rPr>
          <w:rFonts w:ascii="Tahoma" w:hAnsi="Tahoma" w:cs="Tahoma"/>
          <w:sz w:val="22"/>
          <w:szCs w:val="22"/>
        </w:rPr>
      </w:pPr>
    </w:p>
    <w:p w:rsidR="008508E3" w:rsidRDefault="008508E3" w:rsidP="006E0E51">
      <w:pPr>
        <w:widowControl w:val="0"/>
        <w:autoSpaceDE w:val="0"/>
        <w:autoSpaceDN w:val="0"/>
        <w:adjustRightInd w:val="0"/>
        <w:jc w:val="both"/>
        <w:rPr>
          <w:rFonts w:ascii="Tahoma" w:hAnsi="Tahoma" w:cs="Tahoma"/>
          <w:sz w:val="22"/>
          <w:szCs w:val="22"/>
        </w:rPr>
      </w:pPr>
    </w:p>
    <w:p w:rsidR="008508E3" w:rsidRDefault="008508E3" w:rsidP="006E0E51">
      <w:pPr>
        <w:widowControl w:val="0"/>
        <w:autoSpaceDE w:val="0"/>
        <w:autoSpaceDN w:val="0"/>
        <w:adjustRightInd w:val="0"/>
        <w:jc w:val="both"/>
        <w:rPr>
          <w:rFonts w:ascii="Tahoma" w:hAnsi="Tahoma" w:cs="Tahoma"/>
          <w:sz w:val="22"/>
          <w:szCs w:val="22"/>
        </w:rPr>
      </w:pPr>
    </w:p>
    <w:p w:rsidR="008508E3" w:rsidRDefault="008508E3" w:rsidP="006E0E51">
      <w:pPr>
        <w:widowControl w:val="0"/>
        <w:autoSpaceDE w:val="0"/>
        <w:autoSpaceDN w:val="0"/>
        <w:adjustRightInd w:val="0"/>
        <w:jc w:val="both"/>
        <w:rPr>
          <w:rFonts w:ascii="Tahoma" w:hAnsi="Tahoma" w:cs="Tahoma"/>
          <w:sz w:val="22"/>
          <w:szCs w:val="22"/>
        </w:rPr>
      </w:pPr>
    </w:p>
    <w:p w:rsidR="008508E3" w:rsidRDefault="008508E3" w:rsidP="006E0E51">
      <w:pPr>
        <w:widowControl w:val="0"/>
        <w:autoSpaceDE w:val="0"/>
        <w:autoSpaceDN w:val="0"/>
        <w:adjustRightInd w:val="0"/>
        <w:jc w:val="both"/>
        <w:rPr>
          <w:rFonts w:ascii="Tahoma" w:hAnsi="Tahoma" w:cs="Tahoma"/>
          <w:sz w:val="22"/>
          <w:szCs w:val="22"/>
        </w:rPr>
      </w:pPr>
    </w:p>
    <w:p w:rsidR="008508E3" w:rsidRDefault="008508E3" w:rsidP="006E0E51">
      <w:pPr>
        <w:widowControl w:val="0"/>
        <w:autoSpaceDE w:val="0"/>
        <w:autoSpaceDN w:val="0"/>
        <w:adjustRightInd w:val="0"/>
        <w:jc w:val="both"/>
        <w:rPr>
          <w:rFonts w:ascii="Tahoma" w:hAnsi="Tahoma" w:cs="Tahoma"/>
          <w:sz w:val="22"/>
          <w:szCs w:val="22"/>
        </w:rPr>
      </w:pPr>
    </w:p>
    <w:p w:rsidR="008508E3" w:rsidRPr="00E15C02" w:rsidRDefault="008508E3" w:rsidP="006E0E51">
      <w:pPr>
        <w:widowControl w:val="0"/>
        <w:autoSpaceDE w:val="0"/>
        <w:autoSpaceDN w:val="0"/>
        <w:adjustRightInd w:val="0"/>
        <w:jc w:val="both"/>
        <w:rPr>
          <w:rFonts w:ascii="Tahoma" w:hAnsi="Tahoma" w:cs="Tahoma"/>
          <w:sz w:val="22"/>
          <w:szCs w:val="22"/>
        </w:rPr>
      </w:pPr>
    </w:p>
    <w:p w:rsidR="00782D3A" w:rsidRPr="00E15C02" w:rsidRDefault="00782D3A" w:rsidP="006E0E51">
      <w:pPr>
        <w:pStyle w:val="Ttulo3"/>
        <w:spacing w:line="240" w:lineRule="auto"/>
        <w:rPr>
          <w:rFonts w:ascii="Tahoma" w:hAnsi="Tahoma" w:cs="Tahoma"/>
          <w:sz w:val="22"/>
          <w:szCs w:val="22"/>
        </w:rPr>
      </w:pPr>
      <w:r w:rsidRPr="00E15C02">
        <w:rPr>
          <w:rFonts w:ascii="Tahoma" w:hAnsi="Tahoma" w:cs="Tahoma"/>
          <w:sz w:val="22"/>
          <w:szCs w:val="22"/>
        </w:rPr>
        <w:t>ANA LUCÍA CAICEDO CALDERÓN</w:t>
      </w:r>
    </w:p>
    <w:sectPr w:rsidR="00782D3A" w:rsidRPr="00E15C02" w:rsidSect="00B74E4D">
      <w:footerReference w:type="even" r:id="rId8"/>
      <w:footerReference w:type="default" r:id="rId9"/>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267" w:rsidRDefault="00763267">
      <w:r>
        <w:separator/>
      </w:r>
    </w:p>
  </w:endnote>
  <w:endnote w:type="continuationSeparator" w:id="0">
    <w:p w:rsidR="00763267" w:rsidRDefault="0076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courie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F0306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F030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F0306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1279C">
      <w:rPr>
        <w:rStyle w:val="Nmerodepgina"/>
        <w:noProof/>
      </w:rPr>
      <w:t>2</w:t>
    </w:r>
    <w:r>
      <w:rPr>
        <w:rStyle w:val="Nmerodepgina"/>
      </w:rPr>
      <w:fldChar w:fldCharType="end"/>
    </w:r>
  </w:p>
  <w:p w:rsidR="00F0306B" w:rsidRDefault="00F030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267" w:rsidRDefault="00763267">
      <w:r>
        <w:separator/>
      </w:r>
    </w:p>
  </w:footnote>
  <w:footnote w:type="continuationSeparator" w:id="0">
    <w:p w:rsidR="00763267" w:rsidRDefault="00763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5FC3"/>
    <w:multiLevelType w:val="hybridMultilevel"/>
    <w:tmpl w:val="21842D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383E22"/>
    <w:multiLevelType w:val="multilevel"/>
    <w:tmpl w:val="AE6CFBB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086275D"/>
    <w:multiLevelType w:val="hybridMultilevel"/>
    <w:tmpl w:val="E440EE6E"/>
    <w:lvl w:ilvl="0" w:tplc="2894106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DC43C7"/>
    <w:multiLevelType w:val="hybridMultilevel"/>
    <w:tmpl w:val="DBFC14C6"/>
    <w:lvl w:ilvl="0" w:tplc="0C0A0001">
      <w:start w:val="1"/>
      <w:numFmt w:val="bullet"/>
      <w:lvlText w:val=""/>
      <w:lvlJc w:val="left"/>
      <w:pPr>
        <w:tabs>
          <w:tab w:val="num" w:pos="840"/>
        </w:tabs>
        <w:ind w:left="840" w:hanging="360"/>
      </w:pPr>
      <w:rPr>
        <w:rFonts w:ascii="Symbol" w:hAnsi="Symbol" w:cs="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cs="Wingdings" w:hint="default"/>
      </w:rPr>
    </w:lvl>
    <w:lvl w:ilvl="3" w:tplc="0C0A0001">
      <w:start w:val="1"/>
      <w:numFmt w:val="bullet"/>
      <w:lvlText w:val=""/>
      <w:lvlJc w:val="left"/>
      <w:pPr>
        <w:tabs>
          <w:tab w:val="num" w:pos="3000"/>
        </w:tabs>
        <w:ind w:left="3000" w:hanging="360"/>
      </w:pPr>
      <w:rPr>
        <w:rFonts w:ascii="Symbol" w:hAnsi="Symbol" w:cs="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cs="Wingdings" w:hint="default"/>
      </w:rPr>
    </w:lvl>
    <w:lvl w:ilvl="6" w:tplc="0C0A0001">
      <w:start w:val="1"/>
      <w:numFmt w:val="bullet"/>
      <w:lvlText w:val=""/>
      <w:lvlJc w:val="left"/>
      <w:pPr>
        <w:tabs>
          <w:tab w:val="num" w:pos="5160"/>
        </w:tabs>
        <w:ind w:left="5160" w:hanging="360"/>
      </w:pPr>
      <w:rPr>
        <w:rFonts w:ascii="Symbol" w:hAnsi="Symbol" w:cs="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cs="Wingdings" w:hint="default"/>
      </w:r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23C20E23"/>
    <w:multiLevelType w:val="hybridMultilevel"/>
    <w:tmpl w:val="FD58D4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C6A1C1D"/>
    <w:multiLevelType w:val="hybridMultilevel"/>
    <w:tmpl w:val="9B6867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11663FE"/>
    <w:multiLevelType w:val="hybridMultilevel"/>
    <w:tmpl w:val="EA66C8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6226CE2"/>
    <w:multiLevelType w:val="hybridMultilevel"/>
    <w:tmpl w:val="521C93AA"/>
    <w:lvl w:ilvl="0" w:tplc="7C6C992A">
      <w:start w:val="1"/>
      <w:numFmt w:val="lowerLetter"/>
      <w:lvlText w:val="%1)"/>
      <w:lvlJc w:val="left"/>
      <w:pPr>
        <w:tabs>
          <w:tab w:val="num" w:pos="519"/>
        </w:tabs>
        <w:ind w:left="519" w:hanging="360"/>
      </w:pPr>
      <w:rPr>
        <w:rFonts w:hint="default"/>
      </w:rPr>
    </w:lvl>
    <w:lvl w:ilvl="1" w:tplc="0C0A0019" w:tentative="1">
      <w:start w:val="1"/>
      <w:numFmt w:val="lowerLetter"/>
      <w:lvlText w:val="%2."/>
      <w:lvlJc w:val="left"/>
      <w:pPr>
        <w:tabs>
          <w:tab w:val="num" w:pos="1239"/>
        </w:tabs>
        <w:ind w:left="1239" w:hanging="360"/>
      </w:pPr>
    </w:lvl>
    <w:lvl w:ilvl="2" w:tplc="0C0A001B" w:tentative="1">
      <w:start w:val="1"/>
      <w:numFmt w:val="lowerRoman"/>
      <w:lvlText w:val="%3."/>
      <w:lvlJc w:val="right"/>
      <w:pPr>
        <w:tabs>
          <w:tab w:val="num" w:pos="1959"/>
        </w:tabs>
        <w:ind w:left="1959" w:hanging="180"/>
      </w:pPr>
    </w:lvl>
    <w:lvl w:ilvl="3" w:tplc="0C0A000F" w:tentative="1">
      <w:start w:val="1"/>
      <w:numFmt w:val="decimal"/>
      <w:lvlText w:val="%4."/>
      <w:lvlJc w:val="left"/>
      <w:pPr>
        <w:tabs>
          <w:tab w:val="num" w:pos="2679"/>
        </w:tabs>
        <w:ind w:left="2679" w:hanging="360"/>
      </w:pPr>
    </w:lvl>
    <w:lvl w:ilvl="4" w:tplc="0C0A0019" w:tentative="1">
      <w:start w:val="1"/>
      <w:numFmt w:val="lowerLetter"/>
      <w:lvlText w:val="%5."/>
      <w:lvlJc w:val="left"/>
      <w:pPr>
        <w:tabs>
          <w:tab w:val="num" w:pos="3399"/>
        </w:tabs>
        <w:ind w:left="3399" w:hanging="360"/>
      </w:pPr>
    </w:lvl>
    <w:lvl w:ilvl="5" w:tplc="0C0A001B" w:tentative="1">
      <w:start w:val="1"/>
      <w:numFmt w:val="lowerRoman"/>
      <w:lvlText w:val="%6."/>
      <w:lvlJc w:val="right"/>
      <w:pPr>
        <w:tabs>
          <w:tab w:val="num" w:pos="4119"/>
        </w:tabs>
        <w:ind w:left="4119" w:hanging="180"/>
      </w:pPr>
    </w:lvl>
    <w:lvl w:ilvl="6" w:tplc="0C0A000F" w:tentative="1">
      <w:start w:val="1"/>
      <w:numFmt w:val="decimal"/>
      <w:lvlText w:val="%7."/>
      <w:lvlJc w:val="left"/>
      <w:pPr>
        <w:tabs>
          <w:tab w:val="num" w:pos="4839"/>
        </w:tabs>
        <w:ind w:left="4839" w:hanging="360"/>
      </w:pPr>
    </w:lvl>
    <w:lvl w:ilvl="7" w:tplc="0C0A0019" w:tentative="1">
      <w:start w:val="1"/>
      <w:numFmt w:val="lowerLetter"/>
      <w:lvlText w:val="%8."/>
      <w:lvlJc w:val="left"/>
      <w:pPr>
        <w:tabs>
          <w:tab w:val="num" w:pos="5559"/>
        </w:tabs>
        <w:ind w:left="5559" w:hanging="360"/>
      </w:pPr>
    </w:lvl>
    <w:lvl w:ilvl="8" w:tplc="0C0A001B" w:tentative="1">
      <w:start w:val="1"/>
      <w:numFmt w:val="lowerRoman"/>
      <w:lvlText w:val="%9."/>
      <w:lvlJc w:val="right"/>
      <w:pPr>
        <w:tabs>
          <w:tab w:val="num" w:pos="6279"/>
        </w:tabs>
        <w:ind w:left="6279" w:hanging="180"/>
      </w:pPr>
    </w:lvl>
  </w:abstractNum>
  <w:abstractNum w:abstractNumId="12">
    <w:nsid w:val="52584BB7"/>
    <w:multiLevelType w:val="hybridMultilevel"/>
    <w:tmpl w:val="40D6A400"/>
    <w:lvl w:ilvl="0" w:tplc="E0B65BC6">
      <w:start w:val="1"/>
      <w:numFmt w:val="lowerRoman"/>
      <w:lvlText w:val="%1)"/>
      <w:lvlJc w:val="left"/>
      <w:pPr>
        <w:tabs>
          <w:tab w:val="num" w:pos="1428"/>
        </w:tabs>
        <w:ind w:left="1428" w:hanging="720"/>
      </w:pPr>
      <w:rPr>
        <w:rFonts w:hint="default"/>
        <w:i/>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52B76E59"/>
    <w:multiLevelType w:val="hybridMultilevel"/>
    <w:tmpl w:val="AD9815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38D1471"/>
    <w:multiLevelType w:val="hybridMultilevel"/>
    <w:tmpl w:val="5252A3AC"/>
    <w:lvl w:ilvl="0" w:tplc="FCA6335A">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5">
    <w:nsid w:val="543965FD"/>
    <w:multiLevelType w:val="hybridMultilevel"/>
    <w:tmpl w:val="B6C661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75A6BF4"/>
    <w:multiLevelType w:val="hybridMultilevel"/>
    <w:tmpl w:val="42FAF3B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8F16E6A"/>
    <w:multiLevelType w:val="hybridMultilevel"/>
    <w:tmpl w:val="378C67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B3A79D6"/>
    <w:multiLevelType w:val="hybridMultilevel"/>
    <w:tmpl w:val="ECBC84C6"/>
    <w:lvl w:ilvl="0" w:tplc="0C0A000F">
      <w:start w:val="1"/>
      <w:numFmt w:val="decimal"/>
      <w:lvlText w:val="%1."/>
      <w:lvlJc w:val="left"/>
      <w:pPr>
        <w:tabs>
          <w:tab w:val="num" w:pos="720"/>
        </w:tabs>
        <w:ind w:left="720" w:hanging="360"/>
      </w:pPr>
    </w:lvl>
    <w:lvl w:ilvl="1" w:tplc="11A43FEE">
      <w:start w:val="1"/>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D3D24DC"/>
    <w:multiLevelType w:val="hybridMultilevel"/>
    <w:tmpl w:val="0596AD7E"/>
    <w:lvl w:ilvl="0" w:tplc="0C0A000F">
      <w:start w:val="1"/>
      <w:numFmt w:val="decimal"/>
      <w:lvlText w:val="%1."/>
      <w:lvlJc w:val="left"/>
      <w:pPr>
        <w:tabs>
          <w:tab w:val="num" w:pos="720"/>
        </w:tabs>
        <w:ind w:left="720" w:hanging="360"/>
      </w:pPr>
      <w:rPr>
        <w:rFonts w:hint="default"/>
      </w:rPr>
    </w:lvl>
    <w:lvl w:ilvl="1" w:tplc="5502C32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7626DBC"/>
    <w:multiLevelType w:val="hybridMultilevel"/>
    <w:tmpl w:val="24DC7A8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B3D57D1"/>
    <w:multiLevelType w:val="multilevel"/>
    <w:tmpl w:val="7F6005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2">
    <w:nsid w:val="7E240C7A"/>
    <w:multiLevelType w:val="hybridMultilevel"/>
    <w:tmpl w:val="CA7C8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EA30698"/>
    <w:multiLevelType w:val="hybridMultilevel"/>
    <w:tmpl w:val="D5BE68D2"/>
    <w:lvl w:ilvl="0" w:tplc="0C0A000F">
      <w:start w:val="3"/>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num w:numId="1">
    <w:abstractNumId w:val="4"/>
  </w:num>
  <w:num w:numId="2">
    <w:abstractNumId w:val="13"/>
  </w:num>
  <w:num w:numId="3">
    <w:abstractNumId w:val="8"/>
  </w:num>
  <w:num w:numId="4">
    <w:abstractNumId w:val="16"/>
  </w:num>
  <w:num w:numId="5">
    <w:abstractNumId w:val="9"/>
  </w:num>
  <w:num w:numId="6">
    <w:abstractNumId w:val="17"/>
  </w:num>
  <w:num w:numId="7">
    <w:abstractNumId w:val="11"/>
  </w:num>
  <w:num w:numId="8">
    <w:abstractNumId w:val="0"/>
  </w:num>
  <w:num w:numId="9">
    <w:abstractNumId w:val="19"/>
  </w:num>
  <w:num w:numId="10">
    <w:abstractNumId w:val="23"/>
  </w:num>
  <w:num w:numId="11">
    <w:abstractNumId w:val="21"/>
  </w:num>
  <w:num w:numId="12">
    <w:abstractNumId w:val="20"/>
  </w:num>
  <w:num w:numId="13">
    <w:abstractNumId w:val="12"/>
  </w:num>
  <w:num w:numId="14">
    <w:abstractNumId w:val="18"/>
  </w:num>
  <w:num w:numId="15">
    <w:abstractNumId w:val="2"/>
  </w:num>
  <w:num w:numId="16">
    <w:abstractNumId w:val="7"/>
  </w:num>
  <w:num w:numId="17">
    <w:abstractNumId w:val="3"/>
  </w:num>
  <w:num w:numId="18">
    <w:abstractNumId w:val="5"/>
  </w:num>
  <w:num w:numId="19">
    <w:abstractNumId w:val="15"/>
  </w:num>
  <w:num w:numId="20">
    <w:abstractNumId w:val="1"/>
  </w:num>
  <w:num w:numId="21">
    <w:abstractNumId w:val="6"/>
  </w:num>
  <w:num w:numId="22">
    <w:abstractNumId w:val="10"/>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04"/>
    <w:rsid w:val="00001D9E"/>
    <w:rsid w:val="00005FE7"/>
    <w:rsid w:val="00031AD6"/>
    <w:rsid w:val="0003459A"/>
    <w:rsid w:val="00055D56"/>
    <w:rsid w:val="00080EDF"/>
    <w:rsid w:val="00085817"/>
    <w:rsid w:val="00087702"/>
    <w:rsid w:val="0009080D"/>
    <w:rsid w:val="0009221C"/>
    <w:rsid w:val="00095044"/>
    <w:rsid w:val="00095BCE"/>
    <w:rsid w:val="000A56AE"/>
    <w:rsid w:val="000A681C"/>
    <w:rsid w:val="000B2D41"/>
    <w:rsid w:val="000C6E42"/>
    <w:rsid w:val="00103495"/>
    <w:rsid w:val="00107A5B"/>
    <w:rsid w:val="001103D7"/>
    <w:rsid w:val="00115AFF"/>
    <w:rsid w:val="00121694"/>
    <w:rsid w:val="0012673F"/>
    <w:rsid w:val="00156484"/>
    <w:rsid w:val="00173C9C"/>
    <w:rsid w:val="001811C6"/>
    <w:rsid w:val="001A16A0"/>
    <w:rsid w:val="001A56E3"/>
    <w:rsid w:val="001A7ABE"/>
    <w:rsid w:val="001B051C"/>
    <w:rsid w:val="001B1BBE"/>
    <w:rsid w:val="001C0EBE"/>
    <w:rsid w:val="001C332E"/>
    <w:rsid w:val="001C3B62"/>
    <w:rsid w:val="001D0F0B"/>
    <w:rsid w:val="001D1D11"/>
    <w:rsid w:val="001D688D"/>
    <w:rsid w:val="001E6555"/>
    <w:rsid w:val="00201C0A"/>
    <w:rsid w:val="00210B65"/>
    <w:rsid w:val="00221E3E"/>
    <w:rsid w:val="002228D3"/>
    <w:rsid w:val="00222EC4"/>
    <w:rsid w:val="00231DFB"/>
    <w:rsid w:val="00233C49"/>
    <w:rsid w:val="00234FC1"/>
    <w:rsid w:val="00253F96"/>
    <w:rsid w:val="002551FF"/>
    <w:rsid w:val="0025601E"/>
    <w:rsid w:val="002643DF"/>
    <w:rsid w:val="0028043A"/>
    <w:rsid w:val="00283CAB"/>
    <w:rsid w:val="002C7A6B"/>
    <w:rsid w:val="002F2E49"/>
    <w:rsid w:val="003021B2"/>
    <w:rsid w:val="003224A8"/>
    <w:rsid w:val="003245A0"/>
    <w:rsid w:val="00326D68"/>
    <w:rsid w:val="003325AA"/>
    <w:rsid w:val="00363522"/>
    <w:rsid w:val="003720CF"/>
    <w:rsid w:val="003A53D9"/>
    <w:rsid w:val="003A6AB6"/>
    <w:rsid w:val="003B67F2"/>
    <w:rsid w:val="003D4F25"/>
    <w:rsid w:val="00411366"/>
    <w:rsid w:val="00421A82"/>
    <w:rsid w:val="00423330"/>
    <w:rsid w:val="00471AC1"/>
    <w:rsid w:val="00496E67"/>
    <w:rsid w:val="00497A9F"/>
    <w:rsid w:val="004A1075"/>
    <w:rsid w:val="004A7232"/>
    <w:rsid w:val="004C10F3"/>
    <w:rsid w:val="004C1DC8"/>
    <w:rsid w:val="004C4FC3"/>
    <w:rsid w:val="004C5D20"/>
    <w:rsid w:val="004C7FD6"/>
    <w:rsid w:val="004D1C41"/>
    <w:rsid w:val="004D24A4"/>
    <w:rsid w:val="004E24AF"/>
    <w:rsid w:val="004E5FAC"/>
    <w:rsid w:val="00503C57"/>
    <w:rsid w:val="00504CB1"/>
    <w:rsid w:val="00510B20"/>
    <w:rsid w:val="0051471B"/>
    <w:rsid w:val="00527AE4"/>
    <w:rsid w:val="00534531"/>
    <w:rsid w:val="00554071"/>
    <w:rsid w:val="00554F04"/>
    <w:rsid w:val="00562945"/>
    <w:rsid w:val="0056523C"/>
    <w:rsid w:val="0056685B"/>
    <w:rsid w:val="00571A61"/>
    <w:rsid w:val="00583F42"/>
    <w:rsid w:val="00593D49"/>
    <w:rsid w:val="00594BBA"/>
    <w:rsid w:val="005A6189"/>
    <w:rsid w:val="005B4CD3"/>
    <w:rsid w:val="005B6D57"/>
    <w:rsid w:val="005C432E"/>
    <w:rsid w:val="005D0315"/>
    <w:rsid w:val="005D6C17"/>
    <w:rsid w:val="005D73E1"/>
    <w:rsid w:val="005F1C18"/>
    <w:rsid w:val="005F3741"/>
    <w:rsid w:val="0060110F"/>
    <w:rsid w:val="00601BB9"/>
    <w:rsid w:val="006235BE"/>
    <w:rsid w:val="006532E4"/>
    <w:rsid w:val="00675F6A"/>
    <w:rsid w:val="00676EB0"/>
    <w:rsid w:val="00676FC1"/>
    <w:rsid w:val="006959D3"/>
    <w:rsid w:val="006A38A3"/>
    <w:rsid w:val="006D7882"/>
    <w:rsid w:val="006E0E51"/>
    <w:rsid w:val="00705E20"/>
    <w:rsid w:val="0070606F"/>
    <w:rsid w:val="007145A4"/>
    <w:rsid w:val="00757AFF"/>
    <w:rsid w:val="00760339"/>
    <w:rsid w:val="00762F4A"/>
    <w:rsid w:val="00763267"/>
    <w:rsid w:val="00777535"/>
    <w:rsid w:val="00777A28"/>
    <w:rsid w:val="00782D3A"/>
    <w:rsid w:val="007921DE"/>
    <w:rsid w:val="007A7DE2"/>
    <w:rsid w:val="007E7A37"/>
    <w:rsid w:val="007F721C"/>
    <w:rsid w:val="00800F64"/>
    <w:rsid w:val="00817723"/>
    <w:rsid w:val="008229C8"/>
    <w:rsid w:val="0083123E"/>
    <w:rsid w:val="00832A84"/>
    <w:rsid w:val="0083571A"/>
    <w:rsid w:val="0084245B"/>
    <w:rsid w:val="008508E3"/>
    <w:rsid w:val="00853607"/>
    <w:rsid w:val="0086126A"/>
    <w:rsid w:val="00864105"/>
    <w:rsid w:val="0086564D"/>
    <w:rsid w:val="0086762A"/>
    <w:rsid w:val="00872948"/>
    <w:rsid w:val="008768A2"/>
    <w:rsid w:val="00880685"/>
    <w:rsid w:val="00891AF1"/>
    <w:rsid w:val="008A3902"/>
    <w:rsid w:val="008C09D3"/>
    <w:rsid w:val="008C29B3"/>
    <w:rsid w:val="008F0F3E"/>
    <w:rsid w:val="008F5548"/>
    <w:rsid w:val="009046D3"/>
    <w:rsid w:val="00905052"/>
    <w:rsid w:val="00916332"/>
    <w:rsid w:val="0092576C"/>
    <w:rsid w:val="0094648D"/>
    <w:rsid w:val="00974F0D"/>
    <w:rsid w:val="00993F8A"/>
    <w:rsid w:val="009A1FF7"/>
    <w:rsid w:val="009A54E6"/>
    <w:rsid w:val="009B280C"/>
    <w:rsid w:val="009D0461"/>
    <w:rsid w:val="009F40F9"/>
    <w:rsid w:val="00A01BB0"/>
    <w:rsid w:val="00A14181"/>
    <w:rsid w:val="00A22CC1"/>
    <w:rsid w:val="00A25CE2"/>
    <w:rsid w:val="00A33025"/>
    <w:rsid w:val="00A541A3"/>
    <w:rsid w:val="00A717A9"/>
    <w:rsid w:val="00A73491"/>
    <w:rsid w:val="00A7446C"/>
    <w:rsid w:val="00A7792B"/>
    <w:rsid w:val="00A90B60"/>
    <w:rsid w:val="00A92BAB"/>
    <w:rsid w:val="00A97FA1"/>
    <w:rsid w:val="00AC143D"/>
    <w:rsid w:val="00AC1565"/>
    <w:rsid w:val="00AC64F9"/>
    <w:rsid w:val="00AD141F"/>
    <w:rsid w:val="00AD4352"/>
    <w:rsid w:val="00AE4607"/>
    <w:rsid w:val="00AF5FA9"/>
    <w:rsid w:val="00B0436C"/>
    <w:rsid w:val="00B42A97"/>
    <w:rsid w:val="00B43BEF"/>
    <w:rsid w:val="00B517E1"/>
    <w:rsid w:val="00B52E48"/>
    <w:rsid w:val="00B629B3"/>
    <w:rsid w:val="00B64E2A"/>
    <w:rsid w:val="00B7056E"/>
    <w:rsid w:val="00B74E4D"/>
    <w:rsid w:val="00B92B26"/>
    <w:rsid w:val="00BD21AA"/>
    <w:rsid w:val="00C213B4"/>
    <w:rsid w:val="00C2296F"/>
    <w:rsid w:val="00C24428"/>
    <w:rsid w:val="00C4311E"/>
    <w:rsid w:val="00C5427A"/>
    <w:rsid w:val="00C64469"/>
    <w:rsid w:val="00C76801"/>
    <w:rsid w:val="00C83E77"/>
    <w:rsid w:val="00C842BE"/>
    <w:rsid w:val="00C86633"/>
    <w:rsid w:val="00C9423D"/>
    <w:rsid w:val="00CB739E"/>
    <w:rsid w:val="00CD2BBF"/>
    <w:rsid w:val="00CD59F2"/>
    <w:rsid w:val="00CF6C5C"/>
    <w:rsid w:val="00D02A91"/>
    <w:rsid w:val="00D03D70"/>
    <w:rsid w:val="00D14814"/>
    <w:rsid w:val="00D308BA"/>
    <w:rsid w:val="00D67870"/>
    <w:rsid w:val="00D75804"/>
    <w:rsid w:val="00D80C31"/>
    <w:rsid w:val="00D83073"/>
    <w:rsid w:val="00D84A29"/>
    <w:rsid w:val="00D935F4"/>
    <w:rsid w:val="00D93C01"/>
    <w:rsid w:val="00DB49AA"/>
    <w:rsid w:val="00DC0E7B"/>
    <w:rsid w:val="00DC1551"/>
    <w:rsid w:val="00DC74B9"/>
    <w:rsid w:val="00DE0FDF"/>
    <w:rsid w:val="00DF58E1"/>
    <w:rsid w:val="00E03CAC"/>
    <w:rsid w:val="00E068D8"/>
    <w:rsid w:val="00E148E0"/>
    <w:rsid w:val="00E15C02"/>
    <w:rsid w:val="00E178A4"/>
    <w:rsid w:val="00E25ADB"/>
    <w:rsid w:val="00E314D4"/>
    <w:rsid w:val="00E5059E"/>
    <w:rsid w:val="00E5165C"/>
    <w:rsid w:val="00E568CD"/>
    <w:rsid w:val="00E612B4"/>
    <w:rsid w:val="00E62799"/>
    <w:rsid w:val="00E63B7B"/>
    <w:rsid w:val="00E63E9B"/>
    <w:rsid w:val="00E71BA8"/>
    <w:rsid w:val="00E8735A"/>
    <w:rsid w:val="00E9440F"/>
    <w:rsid w:val="00EB3E16"/>
    <w:rsid w:val="00EB620B"/>
    <w:rsid w:val="00EC047D"/>
    <w:rsid w:val="00ED79BB"/>
    <w:rsid w:val="00F01155"/>
    <w:rsid w:val="00F02782"/>
    <w:rsid w:val="00F0306B"/>
    <w:rsid w:val="00F1279C"/>
    <w:rsid w:val="00F13218"/>
    <w:rsid w:val="00F17120"/>
    <w:rsid w:val="00F21178"/>
    <w:rsid w:val="00F233A1"/>
    <w:rsid w:val="00F308E1"/>
    <w:rsid w:val="00F43092"/>
    <w:rsid w:val="00F44F7C"/>
    <w:rsid w:val="00F45DDF"/>
    <w:rsid w:val="00F47ADB"/>
    <w:rsid w:val="00F53ED3"/>
    <w:rsid w:val="00F55905"/>
    <w:rsid w:val="00F67008"/>
    <w:rsid w:val="00F77C73"/>
    <w:rsid w:val="00F81906"/>
    <w:rsid w:val="00F90957"/>
    <w:rsid w:val="00F91F81"/>
    <w:rsid w:val="00F92B7A"/>
    <w:rsid w:val="00FA3F02"/>
    <w:rsid w:val="00FB0904"/>
    <w:rsid w:val="00FC0800"/>
    <w:rsid w:val="00FC5548"/>
    <w:rsid w:val="00FD0051"/>
    <w:rsid w:val="00FD2216"/>
    <w:rsid w:val="00FD61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9C031C-9F58-433F-9AD9-4199A3D3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widowControl w:val="0"/>
      <w:autoSpaceDE w:val="0"/>
      <w:autoSpaceDN w:val="0"/>
      <w:adjustRightInd w:val="0"/>
      <w:spacing w:line="360" w:lineRule="auto"/>
      <w:jc w:val="center"/>
      <w:outlineLvl w:val="2"/>
    </w:pPr>
    <w:rPr>
      <w:rFonts w:ascii="Arial" w:hAnsi="Arial" w:cs="Arial"/>
      <w:b/>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keepNext/>
      <w:widowControl w:val="0"/>
      <w:autoSpaceDE w:val="0"/>
      <w:autoSpaceDN w:val="0"/>
      <w:adjustRightInd w:val="0"/>
      <w:spacing w:line="360" w:lineRule="auto"/>
      <w:jc w:val="both"/>
      <w:outlineLvl w:val="5"/>
    </w:pPr>
    <w:rPr>
      <w:rFonts w:ascii="Arial" w:hAnsi="Arial" w:cs="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Ref. de nota al pie1,Texto de nota al pie,Footnote Text Char Char Char Char Char,Footnote Text Char Char Char Char,FA Fu,Footnote Text Char Char Char,referencia nota al pie,Footnote Text Char"/>
    <w:basedOn w:val="Normal"/>
    <w:link w:val="TextonotapieCar1"/>
    <w:uiPriority w:val="99"/>
    <w:rPr>
      <w:sz w:val="20"/>
      <w:szCs w:val="20"/>
    </w:rPr>
  </w:style>
  <w:style w:type="character" w:styleId="Refdenotaalpie">
    <w:name w:val="footnote reference"/>
    <w:uiPriority w:val="99"/>
    <w:rPr>
      <w:vertAlign w:val="superscript"/>
    </w:rPr>
  </w:style>
  <w:style w:type="paragraph" w:styleId="Textoindependiente">
    <w:name w:val="Body Text"/>
    <w:basedOn w:val="Normal"/>
    <w:pPr>
      <w:autoSpaceDE w:val="0"/>
      <w:autoSpaceDN w:val="0"/>
      <w:adjustRightInd w:val="0"/>
      <w:jc w:val="both"/>
    </w:pPr>
    <w:rPr>
      <w:lang w:val="es-CO"/>
    </w:rPr>
  </w:style>
  <w:style w:type="paragraph" w:styleId="Sangradetextonormal">
    <w:name w:val="Body Text Indent"/>
    <w:basedOn w:val="Normal"/>
    <w:pPr>
      <w:autoSpaceDE w:val="0"/>
      <w:autoSpaceDN w:val="0"/>
      <w:adjustRightInd w:val="0"/>
      <w:spacing w:line="360" w:lineRule="auto"/>
      <w:ind w:left="60"/>
      <w:jc w:val="both"/>
    </w:pPr>
    <w:rPr>
      <w:rFonts w:ascii="Arial" w:hAnsi="Arial" w:cs="Arial"/>
      <w:lang w:val="es-CO"/>
    </w:rPr>
  </w:style>
  <w:style w:type="paragraph" w:styleId="Sangra3detindependiente">
    <w:name w:val="Body Text Indent 3"/>
    <w:basedOn w:val="Normal"/>
    <w:pPr>
      <w:spacing w:line="480" w:lineRule="auto"/>
      <w:ind w:firstLine="708"/>
      <w:jc w:val="both"/>
    </w:pPr>
    <w:rPr>
      <w:rFonts w:ascii="Arial" w:hAnsi="Arial" w:cs="Arial"/>
      <w:b/>
      <w:bCs/>
      <w:sz w:val="28"/>
      <w:szCs w:val="28"/>
      <w:lang w:val="es-ES_tradnl"/>
    </w:rPr>
  </w:style>
  <w:style w:type="paragraph" w:customStyle="1" w:styleId="Nueve">
    <w:name w:val="Nueve"/>
    <w:pPr>
      <w:widowControl w:val="0"/>
      <w:autoSpaceDE w:val="0"/>
      <w:autoSpaceDN w:val="0"/>
      <w:adjustRightInd w:val="0"/>
      <w:spacing w:before="71" w:after="71"/>
      <w:ind w:firstLine="159"/>
      <w:jc w:val="both"/>
    </w:pPr>
    <w:rPr>
      <w:rFonts w:ascii="Arial" w:hAnsi="Arial" w:cs="Arial"/>
      <w:color w:val="000000"/>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paragraph" w:styleId="Textoindependiente2">
    <w:name w:val="Body Text 2"/>
    <w:basedOn w:val="Normal"/>
    <w:pPr>
      <w:widowControl w:val="0"/>
      <w:autoSpaceDE w:val="0"/>
      <w:autoSpaceDN w:val="0"/>
      <w:adjustRightInd w:val="0"/>
      <w:jc w:val="both"/>
    </w:pPr>
    <w:rPr>
      <w:rFonts w:ascii="Arial" w:hAnsi="Arial" w:cs="Arial"/>
      <w:sz w:val="28"/>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paragraph" w:styleId="Textodebloque">
    <w:name w:val="Block Text"/>
    <w:basedOn w:val="Normal"/>
    <w:pPr>
      <w:spacing w:line="360" w:lineRule="auto"/>
      <w:ind w:left="1134" w:right="567"/>
      <w:jc w:val="both"/>
    </w:pPr>
    <w:rPr>
      <w:rFonts w:ascii="Book Antiqua" w:hAnsi="Book Antiqua" w:cs="Arial"/>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customStyle="1" w:styleId="TextonotapieCar1">
    <w:name w:val="Texto nota pie Car1"/>
    <w:aliases w:val="Texto nota pie Car Car,Ref. de nota al pie1 Car1,Texto de nota al pie Car1,Footnote Text Char Char Char Char Char Car1,Footnote Text Char Char Char Char Car1,FA Fu Car1,Footnote Text Char Char Char Car1,referencia nota al pie Car1"/>
    <w:link w:val="Textonotapie"/>
    <w:rsid w:val="003A6AB6"/>
    <w:rPr>
      <w:lang w:val="es-ES" w:eastAsia="es-ES" w:bidi="ar-SA"/>
    </w:rPr>
  </w:style>
  <w:style w:type="paragraph" w:customStyle="1" w:styleId="Textoindependiente21">
    <w:name w:val="Texto independiente 21"/>
    <w:basedOn w:val="Normal"/>
    <w:rsid w:val="003021B2"/>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Encabezado">
    <w:name w:val="header"/>
    <w:basedOn w:val="Normal"/>
    <w:rsid w:val="008C29B3"/>
    <w:pPr>
      <w:tabs>
        <w:tab w:val="center" w:pos="4252"/>
        <w:tab w:val="right" w:pos="8504"/>
      </w:tabs>
      <w:overflowPunct w:val="0"/>
      <w:autoSpaceDE w:val="0"/>
      <w:autoSpaceDN w:val="0"/>
      <w:adjustRightInd w:val="0"/>
      <w:textAlignment w:val="baseline"/>
    </w:pPr>
    <w:rPr>
      <w:rFonts w:ascii="Arial" w:hAnsi="Arial"/>
      <w:szCs w:val="20"/>
    </w:rPr>
  </w:style>
  <w:style w:type="paragraph" w:styleId="NormalWeb">
    <w:name w:val="Normal (Web)"/>
    <w:basedOn w:val="Normal"/>
    <w:rsid w:val="008C29B3"/>
    <w:pPr>
      <w:spacing w:before="100" w:beforeAutospacing="1" w:after="100" w:afterAutospacing="1"/>
    </w:pPr>
  </w:style>
  <w:style w:type="character" w:customStyle="1" w:styleId="textonavy1">
    <w:name w:val="texto_navy1"/>
    <w:rsid w:val="003A53D9"/>
    <w:rPr>
      <w:color w:val="000080"/>
    </w:rPr>
  </w:style>
  <w:style w:type="character" w:customStyle="1" w:styleId="apple-converted-space">
    <w:name w:val="apple-converted-space"/>
    <w:basedOn w:val="Fuentedeprrafopredeter"/>
    <w:rsid w:val="00503C57"/>
  </w:style>
  <w:style w:type="paragraph" w:styleId="Textodeglobo">
    <w:name w:val="Balloon Text"/>
    <w:basedOn w:val="Normal"/>
    <w:link w:val="TextodegloboCar"/>
    <w:rsid w:val="00C842BE"/>
    <w:rPr>
      <w:rFonts w:ascii="Segoe UI" w:hAnsi="Segoe UI" w:cs="Segoe UI"/>
      <w:sz w:val="18"/>
      <w:szCs w:val="18"/>
    </w:rPr>
  </w:style>
  <w:style w:type="character" w:customStyle="1" w:styleId="TextodegloboCar">
    <w:name w:val="Texto de globo Car"/>
    <w:basedOn w:val="Fuentedeprrafopredeter"/>
    <w:link w:val="Textodeglobo"/>
    <w:rsid w:val="00C842BE"/>
    <w:rPr>
      <w:rFonts w:ascii="Segoe UI" w:hAnsi="Segoe UI" w:cs="Segoe UI"/>
      <w:sz w:val="18"/>
      <w:szCs w:val="18"/>
    </w:rPr>
  </w:style>
  <w:style w:type="character" w:customStyle="1" w:styleId="PuestoCar">
    <w:name w:val="Puesto Car"/>
    <w:basedOn w:val="Fuentedeprrafopredeter"/>
    <w:link w:val="Puesto"/>
    <w:rsid w:val="0012673F"/>
    <w:rPr>
      <w:rFonts w:ascii="Arial" w:hAnsi="Arial" w:cs="Arial"/>
      <w:b/>
      <w:sz w:val="24"/>
      <w:szCs w:val="24"/>
    </w:rPr>
  </w:style>
  <w:style w:type="character" w:customStyle="1" w:styleId="Refdenotaalpie1Car">
    <w:name w:val="Ref. de nota al pie1 Car"/>
    <w:aliases w:val="Texto de nota al pie Car,Footnote Text Char Char Char Char Char Car,Footnote Text Char Char Char Char Car,FA Fu Car,Footnote Text Char Char Char Car,referencia nota al pie Car,Footnote Text Char Car"/>
    <w:basedOn w:val="Fuentedeprrafopredeter"/>
    <w:uiPriority w:val="99"/>
    <w:rsid w:val="0012673F"/>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2673F"/>
    <w:pPr>
      <w:ind w:left="720"/>
      <w:contextualSpacing/>
    </w:pPr>
  </w:style>
  <w:style w:type="paragraph" w:customStyle="1" w:styleId="Textoindependiente31">
    <w:name w:val="Texto independiente 31"/>
    <w:basedOn w:val="Normal"/>
    <w:rsid w:val="00121694"/>
    <w:pPr>
      <w:spacing w:line="360" w:lineRule="auto"/>
      <w:jc w:val="both"/>
    </w:pPr>
    <w:rPr>
      <w:rFonts w:ascii="Arial" w:hAnsi="Arial"/>
      <w:szCs w:val="20"/>
      <w:lang w:val="es-ES_tradnl"/>
    </w:rPr>
  </w:style>
  <w:style w:type="paragraph" w:styleId="Sinespaciado">
    <w:name w:val="No Spacing"/>
    <w:uiPriority w:val="1"/>
    <w:qFormat/>
    <w:rsid w:val="00121694"/>
    <w:rPr>
      <w:rFonts w:asciiTheme="minorHAnsi" w:eastAsiaTheme="minorHAnsi" w:hAnsiTheme="minorHAnsi" w:cstheme="minorBidi"/>
      <w:sz w:val="22"/>
      <w:szCs w:val="22"/>
      <w:lang w:val="es-ES_tradnl" w:eastAsia="en-US"/>
    </w:rPr>
  </w:style>
  <w:style w:type="paragraph" w:customStyle="1" w:styleId="Textoindependiente32">
    <w:name w:val="Texto independiente 32"/>
    <w:basedOn w:val="Normal"/>
    <w:rsid w:val="00121694"/>
    <w:pPr>
      <w:spacing w:line="360" w:lineRule="auto"/>
      <w:jc w:val="both"/>
    </w:pPr>
    <w:rPr>
      <w:rFonts w:ascii="Arial" w:hAnsi="Arial"/>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18066">
      <w:bodyDiv w:val="1"/>
      <w:marLeft w:val="0"/>
      <w:marRight w:val="0"/>
      <w:marTop w:val="0"/>
      <w:marBottom w:val="0"/>
      <w:divBdr>
        <w:top w:val="none" w:sz="0" w:space="0" w:color="auto"/>
        <w:left w:val="none" w:sz="0" w:space="0" w:color="auto"/>
        <w:bottom w:val="none" w:sz="0" w:space="0" w:color="auto"/>
        <w:right w:val="none" w:sz="0" w:space="0" w:color="auto"/>
      </w:divBdr>
    </w:div>
    <w:div w:id="1634941078">
      <w:bodyDiv w:val="1"/>
      <w:marLeft w:val="0"/>
      <w:marRight w:val="0"/>
      <w:marTop w:val="0"/>
      <w:marBottom w:val="0"/>
      <w:divBdr>
        <w:top w:val="none" w:sz="0" w:space="0" w:color="auto"/>
        <w:left w:val="none" w:sz="0" w:space="0" w:color="auto"/>
        <w:bottom w:val="none" w:sz="0" w:space="0" w:color="auto"/>
        <w:right w:val="none" w:sz="0" w:space="0" w:color="auto"/>
      </w:divBdr>
    </w:div>
    <w:div w:id="193331391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07249830">
          <w:marLeft w:val="0"/>
          <w:marRight w:val="0"/>
          <w:marTop w:val="0"/>
          <w:marBottom w:val="0"/>
          <w:divBdr>
            <w:top w:val="none" w:sz="0" w:space="0" w:color="auto"/>
            <w:left w:val="none" w:sz="0" w:space="0" w:color="auto"/>
            <w:bottom w:val="none" w:sz="0" w:space="0" w:color="auto"/>
            <w:right w:val="none" w:sz="0" w:space="0" w:color="auto"/>
          </w:divBdr>
        </w:div>
        <w:div w:id="2038849322">
          <w:marLeft w:val="0"/>
          <w:marRight w:val="0"/>
          <w:marTop w:val="0"/>
          <w:marBottom w:val="0"/>
          <w:divBdr>
            <w:top w:val="none" w:sz="0" w:space="0" w:color="auto"/>
            <w:left w:val="none" w:sz="0" w:space="0" w:color="auto"/>
            <w:bottom w:val="none" w:sz="0" w:space="0" w:color="auto"/>
            <w:right w:val="none" w:sz="0" w:space="0" w:color="auto"/>
          </w:divBdr>
        </w:div>
        <w:div w:id="212757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C7BF7-EAE9-44EF-8661-F74F1799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1063</Words>
  <Characters>5847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bjbjqPqP</vt:lpstr>
    </vt:vector>
  </TitlesOfParts>
  <Company>Personal</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bjbjqPqP</dc:title>
  <dc:subject/>
  <dc:creator>Usuario</dc:creator>
  <cp:keywords/>
  <dc:description/>
  <cp:lastModifiedBy>Henry Lora Rodriguez</cp:lastModifiedBy>
  <cp:revision>9</cp:revision>
  <cp:lastPrinted>2016-11-25T19:53:00Z</cp:lastPrinted>
  <dcterms:created xsi:type="dcterms:W3CDTF">2016-09-19T18:41:00Z</dcterms:created>
  <dcterms:modified xsi:type="dcterms:W3CDTF">2017-02-20T21:26:00Z</dcterms:modified>
</cp:coreProperties>
</file>