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BC31C2">
        <w:rPr>
          <w:rFonts w:ascii="Arial" w:hAnsi="Arial" w:cs="Arial"/>
          <w:bCs/>
          <w:sz w:val="18"/>
          <w:szCs w:val="18"/>
        </w:rPr>
        <w:t>3</w:t>
      </w:r>
      <w:r w:rsidR="00290C0B">
        <w:rPr>
          <w:rFonts w:ascii="Arial" w:hAnsi="Arial" w:cs="Arial"/>
          <w:bCs/>
          <w:sz w:val="18"/>
          <w:szCs w:val="18"/>
        </w:rPr>
        <w:t>-201</w:t>
      </w:r>
      <w:r w:rsidR="00BC31C2">
        <w:rPr>
          <w:rFonts w:ascii="Arial" w:hAnsi="Arial" w:cs="Arial"/>
          <w:bCs/>
          <w:sz w:val="18"/>
          <w:szCs w:val="18"/>
        </w:rPr>
        <w:t>5</w:t>
      </w:r>
      <w:r w:rsidRPr="007C5A02">
        <w:rPr>
          <w:rFonts w:ascii="Arial" w:hAnsi="Arial" w:cs="Arial"/>
          <w:bCs/>
          <w:sz w:val="18"/>
          <w:szCs w:val="18"/>
        </w:rPr>
        <w:t>-0</w:t>
      </w:r>
      <w:r w:rsidR="00BC31C2">
        <w:rPr>
          <w:rFonts w:ascii="Arial" w:hAnsi="Arial" w:cs="Arial"/>
          <w:bCs/>
          <w:sz w:val="18"/>
          <w:szCs w:val="18"/>
        </w:rPr>
        <w:t>0162</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90466">
        <w:rPr>
          <w:rFonts w:ascii="Arial" w:hAnsi="Arial" w:cs="Arial"/>
          <w:iCs/>
          <w:sz w:val="18"/>
          <w:szCs w:val="18"/>
        </w:rPr>
        <w:t xml:space="preserve">María </w:t>
      </w:r>
      <w:proofErr w:type="spellStart"/>
      <w:r w:rsidR="00BC31C2">
        <w:rPr>
          <w:rFonts w:ascii="Arial" w:hAnsi="Arial" w:cs="Arial"/>
          <w:iCs/>
          <w:sz w:val="18"/>
          <w:szCs w:val="18"/>
        </w:rPr>
        <w:t>Ismelda</w:t>
      </w:r>
      <w:proofErr w:type="spellEnd"/>
      <w:r w:rsidR="00BC31C2">
        <w:rPr>
          <w:rFonts w:ascii="Arial" w:hAnsi="Arial" w:cs="Arial"/>
          <w:iCs/>
          <w:sz w:val="18"/>
          <w:szCs w:val="18"/>
        </w:rPr>
        <w:t xml:space="preserve"> López de Valencia</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995A19">
        <w:rPr>
          <w:rFonts w:ascii="Arial" w:hAnsi="Arial" w:cs="Arial"/>
          <w:bCs/>
          <w:sz w:val="18"/>
          <w:szCs w:val="18"/>
        </w:rPr>
        <w:t xml:space="preserve">Colpensiones </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C31C2">
        <w:rPr>
          <w:rFonts w:ascii="Arial" w:hAnsi="Arial" w:cs="Arial"/>
          <w:sz w:val="18"/>
          <w:szCs w:val="18"/>
        </w:rPr>
        <w:t xml:space="preserve">Tercero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D81FFA" w:rsidRPr="00007B72" w:rsidRDefault="00D81FFA" w:rsidP="00D81FFA">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t xml:space="preserve">Pensión de sobrevivientes – Condición más beneficiosa: </w:t>
      </w:r>
    </w:p>
    <w:p w:rsidR="00D81FFA" w:rsidRPr="00007B72" w:rsidRDefault="00D81FFA" w:rsidP="00D81FFA">
      <w:pPr>
        <w:autoSpaceDE w:val="0"/>
        <w:autoSpaceDN w:val="0"/>
        <w:adjustRightInd w:val="0"/>
        <w:spacing w:line="276" w:lineRule="auto"/>
        <w:ind w:left="2127"/>
        <w:jc w:val="both"/>
        <w:rPr>
          <w:rFonts w:ascii="Arial" w:hAnsi="Arial" w:cs="Arial"/>
          <w:sz w:val="18"/>
          <w:szCs w:val="18"/>
        </w:rPr>
      </w:pPr>
      <w:r w:rsidRPr="00007B72">
        <w:rPr>
          <w:rFonts w:ascii="Arial" w:hAnsi="Arial" w:cs="Arial"/>
          <w:color w:val="000000"/>
          <w:sz w:val="18"/>
          <w:szCs w:val="18"/>
          <w:lang w:val="es-ES"/>
        </w:rPr>
        <w:t xml:space="preserve">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w:t>
      </w:r>
    </w:p>
    <w:p w:rsidR="00D81FFA" w:rsidRPr="00007B72" w:rsidRDefault="00D81FFA" w:rsidP="00D81FFA">
      <w:pPr>
        <w:autoSpaceDE w:val="0"/>
        <w:autoSpaceDN w:val="0"/>
        <w:adjustRightInd w:val="0"/>
        <w:spacing w:line="276" w:lineRule="auto"/>
        <w:ind w:left="2127"/>
        <w:jc w:val="both"/>
        <w:rPr>
          <w:rFonts w:ascii="Arial" w:hAnsi="Arial" w:cs="Arial"/>
          <w:sz w:val="18"/>
          <w:szCs w:val="18"/>
        </w:rPr>
      </w:pPr>
    </w:p>
    <w:p w:rsidR="00D81FFA" w:rsidRPr="00007B72" w:rsidRDefault="00D81FFA" w:rsidP="00D81FFA">
      <w:pPr>
        <w:spacing w:line="276" w:lineRule="auto"/>
        <w:ind w:left="2127"/>
        <w:jc w:val="both"/>
        <w:rPr>
          <w:rFonts w:ascii="Arial" w:hAnsi="Arial" w:cs="Arial"/>
          <w:sz w:val="18"/>
          <w:szCs w:val="18"/>
          <w:lang w:val="es-ES"/>
        </w:rPr>
      </w:pPr>
      <w:r w:rsidRPr="00007B72">
        <w:rPr>
          <w:rFonts w:ascii="Arial" w:hAnsi="Arial" w:cs="Arial"/>
          <w:sz w:val="18"/>
          <w:szCs w:val="18"/>
        </w:rPr>
        <w:t>Dicho en otros términos,</w:t>
      </w:r>
      <w:r w:rsidRPr="00007B72">
        <w:rPr>
          <w:rFonts w:ascii="Arial" w:hAnsi="Arial" w:cs="Arial"/>
          <w:color w:val="000000"/>
          <w:sz w:val="18"/>
          <w:szCs w:val="18"/>
          <w:lang w:val="es-ES"/>
        </w:rPr>
        <w:t xml:space="preserve"> </w:t>
      </w:r>
      <w:r w:rsidRPr="00007B72">
        <w:rPr>
          <w:rFonts w:ascii="Arial" w:hAnsi="Arial" w:cs="Arial"/>
          <w:sz w:val="18"/>
          <w:szCs w:val="18"/>
        </w:rPr>
        <w:t>la aplicación del principio de la condición más beneficiosa tiene aplicación para acudir a la legislación inmediatamente anterior a aquella en que haya ocurrido el hecho generador de la subvención, que en el caso particular de las pensiones de sobrevivientes lo sería el deceso del afiliad</w:t>
      </w:r>
      <w:r>
        <w:rPr>
          <w:rFonts w:ascii="Arial" w:hAnsi="Arial" w:cs="Arial"/>
          <w:sz w:val="18"/>
          <w:szCs w:val="18"/>
        </w:rPr>
        <w:t>o.</w:t>
      </w:r>
    </w:p>
    <w:p w:rsidR="00D81FFA" w:rsidRPr="00F75C8A" w:rsidRDefault="00D81FFA" w:rsidP="00D81FFA">
      <w:pPr>
        <w:spacing w:line="276" w:lineRule="auto"/>
        <w:ind w:left="2127"/>
        <w:jc w:val="both"/>
        <w:rPr>
          <w:rFonts w:ascii="Arial" w:hAnsi="Arial" w:cs="Arial"/>
          <w:sz w:val="18"/>
          <w:szCs w:val="18"/>
        </w:rPr>
      </w:pPr>
    </w:p>
    <w:p w:rsidR="00F75C8A" w:rsidRPr="00F75C8A" w:rsidRDefault="00F75C8A" w:rsidP="00F75C8A">
      <w:pPr>
        <w:jc w:val="both"/>
        <w:rPr>
          <w:rFonts w:ascii="Arial" w:hAnsi="Arial" w:cs="Arial"/>
          <w:sz w:val="18"/>
          <w:szCs w:val="18"/>
        </w:rPr>
      </w:pPr>
      <w:r w:rsidRPr="00F75C8A">
        <w:rPr>
          <w:rFonts w:ascii="Arial" w:hAnsi="Arial" w:cs="Arial"/>
          <w:b/>
          <w:sz w:val="18"/>
          <w:szCs w:val="18"/>
        </w:rPr>
        <w:t>Citación jurisprudencial: CONDICIÓN MÁS BENEFICIOSA /</w:t>
      </w:r>
      <w:r w:rsidRPr="00F75C8A">
        <w:rPr>
          <w:rFonts w:ascii="Arial" w:hAnsi="Arial" w:cs="Arial"/>
          <w:sz w:val="18"/>
          <w:szCs w:val="18"/>
        </w:rPr>
        <w:t xml:space="preserve"> Corte S</w:t>
      </w:r>
      <w:bookmarkStart w:id="0" w:name="_GoBack"/>
      <w:bookmarkEnd w:id="0"/>
      <w:r w:rsidRPr="00F75C8A">
        <w:rPr>
          <w:rFonts w:ascii="Arial" w:hAnsi="Arial" w:cs="Arial"/>
          <w:sz w:val="18"/>
          <w:szCs w:val="18"/>
        </w:rPr>
        <w:t xml:space="preserve">uprema de Justicia. </w:t>
      </w:r>
      <w:proofErr w:type="spellStart"/>
      <w:r w:rsidRPr="00F75C8A">
        <w:rPr>
          <w:rFonts w:ascii="Arial" w:hAnsi="Arial" w:cs="Arial"/>
          <w:sz w:val="18"/>
          <w:szCs w:val="18"/>
        </w:rPr>
        <w:t>M.P</w:t>
      </w:r>
      <w:proofErr w:type="spellEnd"/>
      <w:r w:rsidRPr="00F75C8A">
        <w:rPr>
          <w:rFonts w:ascii="Arial" w:hAnsi="Arial" w:cs="Arial"/>
          <w:sz w:val="18"/>
          <w:szCs w:val="18"/>
        </w:rPr>
        <w:t xml:space="preserve">. Gustavo Hernando López </w:t>
      </w:r>
      <w:proofErr w:type="spellStart"/>
      <w:r w:rsidRPr="00F75C8A">
        <w:rPr>
          <w:rFonts w:ascii="Arial" w:hAnsi="Arial" w:cs="Arial"/>
          <w:sz w:val="18"/>
          <w:szCs w:val="18"/>
        </w:rPr>
        <w:t>Algarra</w:t>
      </w:r>
      <w:proofErr w:type="spellEnd"/>
      <w:r w:rsidRPr="00F75C8A">
        <w:rPr>
          <w:rFonts w:ascii="Arial" w:hAnsi="Arial" w:cs="Arial"/>
          <w:sz w:val="18"/>
          <w:szCs w:val="18"/>
        </w:rPr>
        <w:t xml:space="preserve">. SL16867-2015. Radicación N° 47022 de 2 de diciembre de 2015. / sentencia CSJ </w:t>
      </w:r>
      <w:proofErr w:type="spellStart"/>
      <w:r w:rsidRPr="00F75C8A">
        <w:rPr>
          <w:rFonts w:ascii="Arial" w:hAnsi="Arial" w:cs="Arial"/>
          <w:sz w:val="18"/>
          <w:szCs w:val="18"/>
        </w:rPr>
        <w:t>SL</w:t>
      </w:r>
      <w:proofErr w:type="spellEnd"/>
      <w:r w:rsidRPr="00F75C8A">
        <w:rPr>
          <w:rFonts w:ascii="Arial" w:hAnsi="Arial" w:cs="Arial"/>
          <w:sz w:val="18"/>
          <w:szCs w:val="18"/>
        </w:rPr>
        <w:t xml:space="preserve"> 9 sept 2015. Rad. 48124 / </w:t>
      </w:r>
    </w:p>
    <w:p w:rsidR="005E1981" w:rsidRPr="00F75C8A" w:rsidRDefault="005E1981" w:rsidP="00417928">
      <w:pPr>
        <w:ind w:left="2127" w:right="51"/>
        <w:jc w:val="both"/>
        <w:rPr>
          <w:rFonts w:ascii="Arial" w:hAnsi="Arial" w:cs="Arial"/>
          <w:sz w:val="18"/>
          <w:szCs w:val="18"/>
        </w:rPr>
      </w:pPr>
    </w:p>
    <w:p w:rsidR="009378A8" w:rsidRPr="00F75C8A" w:rsidRDefault="009378A8" w:rsidP="009378A8">
      <w:pPr>
        <w:shd w:val="clear" w:color="auto" w:fill="FFFFFF"/>
        <w:tabs>
          <w:tab w:val="left" w:pos="5197"/>
        </w:tabs>
        <w:spacing w:line="276" w:lineRule="auto"/>
        <w:ind w:left="2127"/>
        <w:jc w:val="both"/>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EE309C">
        <w:rPr>
          <w:rFonts w:ascii="Arial" w:eastAsia="Calibri" w:hAnsi="Arial" w:cs="Arial"/>
          <w:szCs w:val="24"/>
          <w:lang w:val="es-CO" w:eastAsia="en-US"/>
        </w:rPr>
        <w:t xml:space="preserve">veinte </w:t>
      </w:r>
      <w:r w:rsidRPr="00AC486E">
        <w:rPr>
          <w:rFonts w:ascii="Arial" w:eastAsia="Calibri" w:hAnsi="Arial" w:cs="Arial"/>
          <w:szCs w:val="24"/>
          <w:lang w:val="es-CO" w:eastAsia="en-US"/>
        </w:rPr>
        <w:t>(</w:t>
      </w:r>
      <w:r w:rsidR="00EE309C">
        <w:rPr>
          <w:rFonts w:ascii="Arial" w:eastAsia="Calibri" w:hAnsi="Arial" w:cs="Arial"/>
          <w:szCs w:val="24"/>
          <w:lang w:val="es-CO" w:eastAsia="en-US"/>
        </w:rPr>
        <w:t>20</w:t>
      </w:r>
      <w:r w:rsidRPr="00AC486E">
        <w:rPr>
          <w:rFonts w:ascii="Arial" w:eastAsia="Calibri" w:hAnsi="Arial" w:cs="Arial"/>
          <w:szCs w:val="24"/>
          <w:lang w:val="es-CO" w:eastAsia="en-US"/>
        </w:rPr>
        <w:t xml:space="preserve">) días del mes de </w:t>
      </w:r>
      <w:r w:rsidR="000C79DB">
        <w:rPr>
          <w:rFonts w:ascii="Arial" w:eastAsia="Calibri" w:hAnsi="Arial" w:cs="Arial"/>
          <w:szCs w:val="24"/>
          <w:lang w:val="es-CO" w:eastAsia="en-US"/>
        </w:rPr>
        <w:t xml:space="preserve">septiembre </w:t>
      </w:r>
      <w:r w:rsidR="00995A1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BC31C2">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BC31C2">
        <w:rPr>
          <w:rFonts w:ascii="Arial" w:eastAsia="Calibri" w:hAnsi="Arial" w:cs="Arial"/>
          <w:szCs w:val="24"/>
          <w:lang w:val="es-CO" w:eastAsia="en-US"/>
        </w:rPr>
        <w:t>08:0</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A2BBF">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EE309C">
        <w:rPr>
          <w:rFonts w:ascii="Arial" w:hAnsi="Arial" w:cs="Arial"/>
          <w:szCs w:val="24"/>
        </w:rPr>
        <w:t>2</w:t>
      </w:r>
      <w:r w:rsidR="000A2BBF">
        <w:rPr>
          <w:rFonts w:ascii="Arial" w:hAnsi="Arial" w:cs="Arial"/>
          <w:szCs w:val="24"/>
        </w:rPr>
        <w:t>4</w:t>
      </w:r>
      <w:r w:rsidR="00EE309C">
        <w:rPr>
          <w:rFonts w:ascii="Arial" w:hAnsi="Arial" w:cs="Arial"/>
          <w:szCs w:val="24"/>
        </w:rPr>
        <w:t xml:space="preserve"> </w:t>
      </w:r>
      <w:r w:rsidRPr="00AC486E">
        <w:rPr>
          <w:rFonts w:ascii="Arial" w:hAnsi="Arial" w:cs="Arial"/>
          <w:szCs w:val="24"/>
        </w:rPr>
        <w:t xml:space="preserve">de </w:t>
      </w:r>
      <w:r w:rsidR="000A2BBF">
        <w:rPr>
          <w:rFonts w:ascii="Arial" w:hAnsi="Arial" w:cs="Arial"/>
          <w:szCs w:val="24"/>
        </w:rPr>
        <w:t xml:space="preserve">septiembre </w:t>
      </w:r>
      <w:r w:rsidRPr="00AC486E">
        <w:rPr>
          <w:rFonts w:ascii="Arial" w:hAnsi="Arial" w:cs="Arial"/>
          <w:szCs w:val="24"/>
        </w:rPr>
        <w:t>de 201</w:t>
      </w:r>
      <w:r w:rsidR="000A2BBF">
        <w:rPr>
          <w:rFonts w:ascii="Arial" w:hAnsi="Arial" w:cs="Arial"/>
          <w:szCs w:val="24"/>
        </w:rPr>
        <w:t>5</w:t>
      </w:r>
      <w:r w:rsidRPr="00AC486E">
        <w:rPr>
          <w:rFonts w:ascii="Arial" w:hAnsi="Arial" w:cs="Arial"/>
          <w:szCs w:val="24"/>
        </w:rPr>
        <w:t xml:space="preserve"> por el Juzgado </w:t>
      </w:r>
      <w:r w:rsidR="000A2BBF">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433ACE">
        <w:rPr>
          <w:rFonts w:ascii="Arial" w:hAnsi="Arial" w:cs="Arial"/>
          <w:szCs w:val="24"/>
        </w:rPr>
        <w:t>l</w:t>
      </w:r>
      <w:r w:rsidR="00995A19">
        <w:rPr>
          <w:rFonts w:ascii="Arial" w:hAnsi="Arial" w:cs="Arial"/>
          <w:szCs w:val="24"/>
        </w:rPr>
        <w:t>a</w:t>
      </w:r>
      <w:r w:rsidR="00433ACE">
        <w:rPr>
          <w:rFonts w:ascii="Arial" w:hAnsi="Arial" w:cs="Arial"/>
          <w:szCs w:val="24"/>
        </w:rPr>
        <w:t xml:space="preserve"> </w:t>
      </w:r>
      <w:r w:rsidR="003440CA">
        <w:rPr>
          <w:rFonts w:ascii="Arial" w:hAnsi="Arial" w:cs="Arial"/>
          <w:szCs w:val="24"/>
        </w:rPr>
        <w:t>señor</w:t>
      </w:r>
      <w:r w:rsidR="00995A19">
        <w:rPr>
          <w:rFonts w:ascii="Arial" w:hAnsi="Arial" w:cs="Arial"/>
          <w:szCs w:val="24"/>
        </w:rPr>
        <w:t>a</w:t>
      </w:r>
      <w:r w:rsidR="003440CA">
        <w:rPr>
          <w:rFonts w:ascii="Arial" w:hAnsi="Arial" w:cs="Arial"/>
          <w:szCs w:val="24"/>
        </w:rPr>
        <w:t xml:space="preserve"> </w:t>
      </w:r>
      <w:r w:rsidR="00EE309C">
        <w:rPr>
          <w:rFonts w:ascii="Arial" w:hAnsi="Arial" w:cs="Arial"/>
          <w:b/>
          <w:szCs w:val="24"/>
        </w:rPr>
        <w:t xml:space="preserve">María </w:t>
      </w:r>
      <w:proofErr w:type="spellStart"/>
      <w:r w:rsidR="000A2BBF">
        <w:rPr>
          <w:rFonts w:ascii="Arial" w:hAnsi="Arial" w:cs="Arial"/>
          <w:b/>
          <w:szCs w:val="24"/>
        </w:rPr>
        <w:t>Ismelda</w:t>
      </w:r>
      <w:proofErr w:type="spellEnd"/>
      <w:r w:rsidR="000A2BBF">
        <w:rPr>
          <w:rFonts w:ascii="Arial" w:hAnsi="Arial" w:cs="Arial"/>
          <w:b/>
          <w:szCs w:val="24"/>
        </w:rPr>
        <w:t xml:space="preserve"> López de Valencia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0A2BBF">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0A2BBF">
        <w:rPr>
          <w:rFonts w:ascii="Arial" w:hAnsi="Arial" w:cs="Arial"/>
          <w:bCs/>
          <w:szCs w:val="24"/>
        </w:rPr>
        <w:t>5</w:t>
      </w:r>
      <w:r w:rsidR="00777072">
        <w:rPr>
          <w:rFonts w:ascii="Arial" w:hAnsi="Arial" w:cs="Arial"/>
          <w:bCs/>
          <w:szCs w:val="24"/>
        </w:rPr>
        <w:t>-00</w:t>
      </w:r>
      <w:r w:rsidR="000A2BBF">
        <w:rPr>
          <w:rFonts w:ascii="Arial" w:hAnsi="Arial" w:cs="Arial"/>
          <w:bCs/>
          <w:szCs w:val="24"/>
        </w:rPr>
        <w:t>162</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lastRenderedPageBreak/>
        <w:t>Síntesis de la demanda y su contestación</w:t>
      </w:r>
    </w:p>
    <w:p w:rsidR="00226D5F" w:rsidRDefault="00433ACE" w:rsidP="00312238">
      <w:pPr>
        <w:spacing w:line="276" w:lineRule="auto"/>
        <w:jc w:val="both"/>
        <w:rPr>
          <w:rFonts w:ascii="Arial" w:hAnsi="Arial" w:cs="Arial"/>
          <w:szCs w:val="24"/>
        </w:rPr>
      </w:pPr>
      <w:r>
        <w:rPr>
          <w:rFonts w:ascii="Arial" w:hAnsi="Arial" w:cs="Arial"/>
          <w:szCs w:val="24"/>
        </w:rPr>
        <w:t>L</w:t>
      </w:r>
      <w:r w:rsidR="00D07E82">
        <w:rPr>
          <w:rFonts w:ascii="Arial" w:hAnsi="Arial" w:cs="Arial"/>
          <w:szCs w:val="24"/>
        </w:rPr>
        <w:t>a</w:t>
      </w:r>
      <w:r>
        <w:rPr>
          <w:rFonts w:ascii="Arial" w:hAnsi="Arial" w:cs="Arial"/>
          <w:szCs w:val="24"/>
        </w:rPr>
        <w:t xml:space="preserve"> señor</w:t>
      </w:r>
      <w:r w:rsidR="00D07E82">
        <w:rPr>
          <w:rFonts w:ascii="Arial" w:hAnsi="Arial" w:cs="Arial"/>
          <w:szCs w:val="24"/>
        </w:rPr>
        <w:t>a</w:t>
      </w:r>
      <w:r>
        <w:rPr>
          <w:rFonts w:ascii="Arial" w:hAnsi="Arial" w:cs="Arial"/>
          <w:szCs w:val="24"/>
        </w:rPr>
        <w:t xml:space="preserve"> </w:t>
      </w:r>
      <w:r w:rsidR="003D362A">
        <w:rPr>
          <w:rFonts w:ascii="Arial" w:hAnsi="Arial" w:cs="Arial"/>
          <w:szCs w:val="24"/>
        </w:rPr>
        <w:t xml:space="preserve">María </w:t>
      </w:r>
      <w:proofErr w:type="spellStart"/>
      <w:r w:rsidR="000A2BBF">
        <w:rPr>
          <w:rFonts w:ascii="Arial" w:hAnsi="Arial" w:cs="Arial"/>
          <w:szCs w:val="24"/>
        </w:rPr>
        <w:t>Ismelda</w:t>
      </w:r>
      <w:proofErr w:type="spellEnd"/>
      <w:r w:rsidR="000A2BBF">
        <w:rPr>
          <w:rFonts w:ascii="Arial" w:hAnsi="Arial" w:cs="Arial"/>
          <w:szCs w:val="24"/>
        </w:rPr>
        <w:t xml:space="preserve"> López de Valencia </w:t>
      </w:r>
      <w:r>
        <w:rPr>
          <w:rFonts w:ascii="Arial" w:hAnsi="Arial" w:cs="Arial"/>
          <w:szCs w:val="24"/>
        </w:rPr>
        <w:t xml:space="preserve">solicita </w:t>
      </w:r>
      <w:r w:rsidR="00947CCF">
        <w:rPr>
          <w:rFonts w:ascii="Arial" w:hAnsi="Arial" w:cs="Arial"/>
          <w:szCs w:val="24"/>
        </w:rPr>
        <w:t>que se declare que</w:t>
      </w:r>
      <w:r w:rsidR="009A2A82">
        <w:rPr>
          <w:rFonts w:ascii="Arial" w:hAnsi="Arial" w:cs="Arial"/>
          <w:szCs w:val="24"/>
        </w:rPr>
        <w:t xml:space="preserve"> es beneficiaria del principio de la condición más beneficiosa y que Colpensiones es responsable del </w:t>
      </w:r>
      <w:r w:rsidR="000C79DB">
        <w:rPr>
          <w:rFonts w:ascii="Arial" w:hAnsi="Arial" w:cs="Arial"/>
          <w:szCs w:val="24"/>
        </w:rPr>
        <w:t xml:space="preserve">reconocimiento de la pensión de sobrevivientes desde el fallecimiento del señor </w:t>
      </w:r>
      <w:r w:rsidR="009A2A82">
        <w:rPr>
          <w:rFonts w:ascii="Arial" w:hAnsi="Arial" w:cs="Arial"/>
          <w:szCs w:val="24"/>
        </w:rPr>
        <w:t xml:space="preserve">José </w:t>
      </w:r>
      <w:proofErr w:type="spellStart"/>
      <w:r w:rsidR="009A2A82">
        <w:rPr>
          <w:rFonts w:ascii="Arial" w:hAnsi="Arial" w:cs="Arial"/>
          <w:szCs w:val="24"/>
        </w:rPr>
        <w:t>Gilmer</w:t>
      </w:r>
      <w:proofErr w:type="spellEnd"/>
      <w:r w:rsidR="009A2A82">
        <w:rPr>
          <w:rFonts w:ascii="Arial" w:hAnsi="Arial" w:cs="Arial"/>
          <w:szCs w:val="24"/>
        </w:rPr>
        <w:t xml:space="preserve"> Valencia Álvarez</w:t>
      </w:r>
      <w:r w:rsidR="000C79DB">
        <w:rPr>
          <w:rFonts w:ascii="Arial" w:hAnsi="Arial" w:cs="Arial"/>
          <w:szCs w:val="24"/>
        </w:rPr>
        <w:t xml:space="preserve">, ocurrido el </w:t>
      </w:r>
      <w:r w:rsidR="009A2A82">
        <w:rPr>
          <w:rFonts w:ascii="Arial" w:hAnsi="Arial" w:cs="Arial"/>
          <w:szCs w:val="24"/>
        </w:rPr>
        <w:t xml:space="preserve">05 </w:t>
      </w:r>
      <w:r w:rsidR="000C79DB">
        <w:rPr>
          <w:rFonts w:ascii="Arial" w:hAnsi="Arial" w:cs="Arial"/>
          <w:szCs w:val="24"/>
        </w:rPr>
        <w:t xml:space="preserve">de </w:t>
      </w:r>
      <w:r w:rsidR="009A2A82">
        <w:rPr>
          <w:rFonts w:ascii="Arial" w:hAnsi="Arial" w:cs="Arial"/>
          <w:szCs w:val="24"/>
        </w:rPr>
        <w:t xml:space="preserve">mayo </w:t>
      </w:r>
      <w:r w:rsidR="000C79DB">
        <w:rPr>
          <w:rFonts w:ascii="Arial" w:hAnsi="Arial" w:cs="Arial"/>
          <w:szCs w:val="24"/>
        </w:rPr>
        <w:t xml:space="preserve">de </w:t>
      </w:r>
      <w:r w:rsidR="009A2A82">
        <w:rPr>
          <w:rFonts w:ascii="Arial" w:hAnsi="Arial" w:cs="Arial"/>
          <w:szCs w:val="24"/>
        </w:rPr>
        <w:t>2012</w:t>
      </w:r>
      <w:r w:rsidR="00644DEC">
        <w:rPr>
          <w:rFonts w:ascii="Arial" w:hAnsi="Arial" w:cs="Arial"/>
          <w:szCs w:val="24"/>
        </w:rPr>
        <w:t>;</w:t>
      </w:r>
      <w:r w:rsidR="000C79DB">
        <w:rPr>
          <w:rFonts w:ascii="Arial" w:hAnsi="Arial" w:cs="Arial"/>
          <w:szCs w:val="24"/>
        </w:rPr>
        <w:t xml:space="preserve"> en consecuencia, se </w:t>
      </w:r>
      <w:r w:rsidR="009A2A82">
        <w:rPr>
          <w:rFonts w:ascii="Arial" w:hAnsi="Arial" w:cs="Arial"/>
          <w:szCs w:val="24"/>
        </w:rPr>
        <w:t xml:space="preserve">le reconozca </w:t>
      </w:r>
      <w:r w:rsidR="000C79DB">
        <w:rPr>
          <w:rFonts w:ascii="Arial" w:hAnsi="Arial" w:cs="Arial"/>
          <w:szCs w:val="24"/>
        </w:rPr>
        <w:t xml:space="preserve">la prestación y </w:t>
      </w:r>
      <w:r w:rsidR="009A2A82">
        <w:rPr>
          <w:rFonts w:ascii="Arial" w:hAnsi="Arial" w:cs="Arial"/>
          <w:szCs w:val="24"/>
        </w:rPr>
        <w:t xml:space="preserve">el </w:t>
      </w:r>
      <w:r w:rsidR="000C79DB">
        <w:rPr>
          <w:rFonts w:ascii="Arial" w:hAnsi="Arial" w:cs="Arial"/>
          <w:szCs w:val="24"/>
        </w:rPr>
        <w:t>pago del retroactivo, los intereses moratorios, las costas procesales</w:t>
      </w:r>
      <w:r w:rsidR="009A2A82">
        <w:rPr>
          <w:rFonts w:ascii="Arial" w:hAnsi="Arial" w:cs="Arial"/>
          <w:szCs w:val="24"/>
        </w:rPr>
        <w:t xml:space="preserve"> y, lo ultra y extra </w:t>
      </w:r>
      <w:proofErr w:type="spellStart"/>
      <w:r w:rsidR="009A2A82">
        <w:rPr>
          <w:rFonts w:ascii="Arial" w:hAnsi="Arial" w:cs="Arial"/>
          <w:szCs w:val="24"/>
        </w:rPr>
        <w:t>petita</w:t>
      </w:r>
      <w:proofErr w:type="spellEnd"/>
      <w:r w:rsidR="009A2A82">
        <w:rPr>
          <w:rFonts w:ascii="Arial" w:hAnsi="Arial" w:cs="Arial"/>
          <w:szCs w:val="24"/>
        </w:rPr>
        <w:t xml:space="preserve"> que resulte probado</w:t>
      </w:r>
      <w:r w:rsidR="000C79D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9A2A82">
        <w:rPr>
          <w:rFonts w:ascii="Arial" w:hAnsi="Arial" w:cs="Arial"/>
          <w:szCs w:val="24"/>
        </w:rPr>
        <w:t xml:space="preserve">contrajo matrimonio católico con </w:t>
      </w:r>
      <w:r w:rsidR="005F0A5D">
        <w:rPr>
          <w:rFonts w:ascii="Arial" w:hAnsi="Arial" w:cs="Arial"/>
          <w:szCs w:val="24"/>
        </w:rPr>
        <w:t>el señor</w:t>
      </w:r>
      <w:r w:rsidR="009A2A82">
        <w:rPr>
          <w:rFonts w:ascii="Arial" w:hAnsi="Arial" w:cs="Arial"/>
          <w:szCs w:val="24"/>
        </w:rPr>
        <w:t xml:space="preserve"> José </w:t>
      </w:r>
      <w:proofErr w:type="spellStart"/>
      <w:r w:rsidR="009A2A82">
        <w:rPr>
          <w:rFonts w:ascii="Arial" w:hAnsi="Arial" w:cs="Arial"/>
          <w:szCs w:val="24"/>
        </w:rPr>
        <w:t>Gilmer</w:t>
      </w:r>
      <w:proofErr w:type="spellEnd"/>
      <w:r w:rsidR="009A2A82">
        <w:rPr>
          <w:rFonts w:ascii="Arial" w:hAnsi="Arial" w:cs="Arial"/>
          <w:szCs w:val="24"/>
        </w:rPr>
        <w:t xml:space="preserve"> Valencia Álvarez</w:t>
      </w:r>
      <w:r w:rsidR="005F0A5D">
        <w:rPr>
          <w:rFonts w:ascii="Arial" w:hAnsi="Arial" w:cs="Arial"/>
          <w:szCs w:val="24"/>
        </w:rPr>
        <w:t>, el 1</w:t>
      </w:r>
      <w:r w:rsidR="009A2A82">
        <w:rPr>
          <w:rFonts w:ascii="Arial" w:hAnsi="Arial" w:cs="Arial"/>
          <w:szCs w:val="24"/>
        </w:rPr>
        <w:t>9</w:t>
      </w:r>
      <w:r w:rsidR="005F0A5D">
        <w:rPr>
          <w:rFonts w:ascii="Arial" w:hAnsi="Arial" w:cs="Arial"/>
          <w:szCs w:val="24"/>
        </w:rPr>
        <w:t xml:space="preserve"> de </w:t>
      </w:r>
      <w:r w:rsidR="009A2A82">
        <w:rPr>
          <w:rFonts w:ascii="Arial" w:hAnsi="Arial" w:cs="Arial"/>
          <w:szCs w:val="24"/>
        </w:rPr>
        <w:t xml:space="preserve">julio </w:t>
      </w:r>
      <w:r w:rsidR="005F0A5D">
        <w:rPr>
          <w:rFonts w:ascii="Arial" w:hAnsi="Arial" w:cs="Arial"/>
          <w:szCs w:val="24"/>
        </w:rPr>
        <w:t>de 19</w:t>
      </w:r>
      <w:r w:rsidR="009A2A82">
        <w:rPr>
          <w:rFonts w:ascii="Arial" w:hAnsi="Arial" w:cs="Arial"/>
          <w:szCs w:val="24"/>
        </w:rPr>
        <w:t>64 y convivieron bajo el mismo techo, compartiendo lecho y mesa hasta la fecha del deceso de este</w:t>
      </w:r>
      <w:r w:rsidR="00A95C6B">
        <w:rPr>
          <w:rFonts w:ascii="Arial" w:hAnsi="Arial" w:cs="Arial"/>
          <w:szCs w:val="24"/>
        </w:rPr>
        <w:t>; (ii)</w:t>
      </w:r>
      <w:r w:rsidR="00255BC3">
        <w:rPr>
          <w:rFonts w:ascii="Arial" w:hAnsi="Arial" w:cs="Arial"/>
          <w:szCs w:val="24"/>
        </w:rPr>
        <w:t xml:space="preserve"> </w:t>
      </w:r>
      <w:r w:rsidR="00230A28">
        <w:rPr>
          <w:rFonts w:ascii="Arial" w:hAnsi="Arial" w:cs="Arial"/>
          <w:szCs w:val="24"/>
        </w:rPr>
        <w:t xml:space="preserve">el </w:t>
      </w:r>
      <w:r w:rsidR="009A2A82">
        <w:rPr>
          <w:rFonts w:ascii="Arial" w:hAnsi="Arial" w:cs="Arial"/>
          <w:szCs w:val="24"/>
        </w:rPr>
        <w:t xml:space="preserve">05 </w:t>
      </w:r>
      <w:r w:rsidR="00230A28">
        <w:rPr>
          <w:rFonts w:ascii="Arial" w:hAnsi="Arial" w:cs="Arial"/>
          <w:szCs w:val="24"/>
        </w:rPr>
        <w:t xml:space="preserve">de </w:t>
      </w:r>
      <w:r w:rsidR="009A2A82">
        <w:rPr>
          <w:rFonts w:ascii="Arial" w:hAnsi="Arial" w:cs="Arial"/>
          <w:szCs w:val="24"/>
        </w:rPr>
        <w:t xml:space="preserve">mayo </w:t>
      </w:r>
      <w:r w:rsidR="00230A28">
        <w:rPr>
          <w:rFonts w:ascii="Arial" w:hAnsi="Arial" w:cs="Arial"/>
          <w:szCs w:val="24"/>
        </w:rPr>
        <w:t xml:space="preserve">de </w:t>
      </w:r>
      <w:r w:rsidR="009A2A82">
        <w:rPr>
          <w:rFonts w:ascii="Arial" w:hAnsi="Arial" w:cs="Arial"/>
          <w:szCs w:val="24"/>
        </w:rPr>
        <w:t>2012</w:t>
      </w:r>
      <w:r w:rsidR="00230A28">
        <w:rPr>
          <w:rFonts w:ascii="Arial" w:hAnsi="Arial" w:cs="Arial"/>
          <w:szCs w:val="24"/>
        </w:rPr>
        <w:t xml:space="preserve">, </w:t>
      </w:r>
      <w:r w:rsidR="009A2A82">
        <w:rPr>
          <w:rFonts w:ascii="Arial" w:hAnsi="Arial" w:cs="Arial"/>
          <w:szCs w:val="24"/>
        </w:rPr>
        <w:t>su cónyuge falleció, por lo que solicitó el reconocimiento de la pensión de sobrevivientes ante Colpensiones, sin haber recibido respuesta, por lo que se encuentra agotada la reclamación administrativa</w:t>
      </w:r>
      <w:r w:rsidR="005F0A5D">
        <w:rPr>
          <w:rFonts w:ascii="Arial" w:hAnsi="Arial" w:cs="Arial"/>
          <w:szCs w:val="24"/>
        </w:rPr>
        <w:t xml:space="preserve">; </w:t>
      </w:r>
      <w:r w:rsidR="00A8247F">
        <w:rPr>
          <w:rFonts w:ascii="Arial" w:hAnsi="Arial" w:cs="Arial"/>
          <w:szCs w:val="24"/>
        </w:rPr>
        <w:t>(iii)</w:t>
      </w:r>
      <w:r w:rsidR="003C4C10">
        <w:rPr>
          <w:rFonts w:ascii="Arial" w:hAnsi="Arial" w:cs="Arial"/>
          <w:szCs w:val="24"/>
        </w:rPr>
        <w:t xml:space="preserve"> </w:t>
      </w:r>
      <w:r w:rsidR="005F0A5D">
        <w:rPr>
          <w:rFonts w:ascii="Arial" w:hAnsi="Arial" w:cs="Arial"/>
          <w:szCs w:val="24"/>
        </w:rPr>
        <w:t xml:space="preserve">el </w:t>
      </w:r>
      <w:r w:rsidR="009A2A82">
        <w:rPr>
          <w:rFonts w:ascii="Arial" w:hAnsi="Arial" w:cs="Arial"/>
          <w:szCs w:val="24"/>
        </w:rPr>
        <w:t xml:space="preserve">causante </w:t>
      </w:r>
      <w:r w:rsidR="00DC45E3">
        <w:rPr>
          <w:rFonts w:ascii="Arial" w:hAnsi="Arial" w:cs="Arial"/>
          <w:szCs w:val="24"/>
        </w:rPr>
        <w:t>empezó su vida laboral el 29 de marzo de 1971 y estuvo afiliado al ISS – hoy Colpensiones- y a la fecha del fallecimiento contaba con 534,57 semanas cotizadas, de las cuales 527,72 lo fueron en vigencia del Acuerdo 049 de 1990.</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 y como ra</w:t>
      </w:r>
      <w:r w:rsidR="001C1802">
        <w:rPr>
          <w:rFonts w:ascii="Arial" w:hAnsi="Arial" w:cs="Arial"/>
          <w:szCs w:val="24"/>
        </w:rPr>
        <w:t>zones de defensa manifestó que el señor Valencia Álvarez no dejó causado el derecho, en virtud de lo previsto por la Ley 797 de 2003, vigente a la fecha de su deceso, motivo por el cual se negó la prestación reclamada y, que no es posible aplicar el principio de la condición más beneficiosa para acudir de la aludida normativa al Acuerdo 049 de 1990</w:t>
      </w:r>
      <w:r w:rsidR="00C00DC3">
        <w:rPr>
          <w:rFonts w:ascii="Arial" w:hAnsi="Arial" w:cs="Arial"/>
          <w:szCs w:val="24"/>
        </w:rPr>
        <w:t>, conforme lo tiene adoctrinado la Corte Suprema de Justicia</w:t>
      </w:r>
      <w:r w:rsidR="008F4859">
        <w:rPr>
          <w:rFonts w:ascii="Arial" w:hAnsi="Arial" w:cs="Arial"/>
          <w:szCs w:val="24"/>
        </w:rPr>
        <w:t>;</w:t>
      </w:r>
      <w:r w:rsidR="005F3F1E" w:rsidRPr="008E0CBF">
        <w:rPr>
          <w:rFonts w:ascii="Arial" w:hAnsi="Arial" w:cs="Arial"/>
          <w:szCs w:val="24"/>
        </w:rPr>
        <w:t xml:space="preserve"> propuso como excepciones de mérito las que denominó </w:t>
      </w:r>
      <w:r w:rsidR="003B1A0F">
        <w:rPr>
          <w:rFonts w:ascii="Arial" w:hAnsi="Arial" w:cs="Arial"/>
          <w:szCs w:val="24"/>
        </w:rPr>
        <w:t>“</w:t>
      </w:r>
      <w:r w:rsidR="00CD43BB">
        <w:rPr>
          <w:rFonts w:ascii="Arial" w:hAnsi="Arial" w:cs="Arial"/>
          <w:szCs w:val="24"/>
        </w:rPr>
        <w:t xml:space="preserve">Inexistencia de la obligación demandada”, “Improcedencia de los intereses de mora en aplicación de la condición más beneficiosa”, “Exoneración de condena en costas por buena fe” y </w:t>
      </w:r>
      <w:r w:rsidR="003B1A0F">
        <w:rPr>
          <w:rFonts w:ascii="Arial" w:hAnsi="Arial" w:cs="Arial"/>
          <w:szCs w:val="24"/>
        </w:rPr>
        <w:t>“Prescripción</w:t>
      </w:r>
      <w:r w:rsidR="005F5DF3">
        <w:rPr>
          <w:rFonts w:ascii="Arial" w:hAnsi="Arial" w:cs="Arial"/>
          <w:szCs w:val="24"/>
        </w:rPr>
        <w:t>”</w:t>
      </w:r>
      <w:r w:rsidR="00CD43BB">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C00DC3">
        <w:rPr>
          <w:rFonts w:ascii="Arial" w:hAnsi="Arial" w:cs="Arial"/>
          <w:b/>
          <w:sz w:val="24"/>
          <w:szCs w:val="24"/>
        </w:rPr>
        <w:t>apelada</w:t>
      </w:r>
    </w:p>
    <w:p w:rsidR="001D1DD4"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C00DC3">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C00DC3">
        <w:rPr>
          <w:rFonts w:ascii="Arial" w:hAnsi="Arial" w:cs="Arial"/>
          <w:color w:val="000000"/>
          <w:szCs w:val="24"/>
          <w:lang w:eastAsia="es-CO"/>
        </w:rPr>
        <w:t>declaró probada la excepción de Inexistencia de la obligación demandada y, consecuente con ello, denegó las pretensiones de la demanda.</w:t>
      </w:r>
    </w:p>
    <w:p w:rsidR="00801E76" w:rsidRDefault="00801E76" w:rsidP="00C33CE3">
      <w:pPr>
        <w:spacing w:line="276" w:lineRule="auto"/>
        <w:jc w:val="both"/>
        <w:rPr>
          <w:rFonts w:ascii="Arial" w:hAnsi="Arial" w:cs="Arial"/>
          <w:color w:val="000000"/>
          <w:szCs w:val="24"/>
          <w:lang w:eastAsia="es-CO"/>
        </w:rPr>
      </w:pPr>
    </w:p>
    <w:p w:rsidR="003C42A6" w:rsidRDefault="00C00DC3"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expresó que </w:t>
      </w:r>
      <w:r w:rsidR="001664B1">
        <w:rPr>
          <w:rFonts w:ascii="Arial" w:hAnsi="Arial" w:cs="Arial"/>
          <w:color w:val="000000"/>
          <w:szCs w:val="24"/>
          <w:lang w:eastAsia="es-CO"/>
        </w:rPr>
        <w:t xml:space="preserve">el causante no había dejado causado el derecho a la pensión </w:t>
      </w:r>
      <w:r w:rsidR="00FA27D3">
        <w:rPr>
          <w:rFonts w:ascii="Arial" w:hAnsi="Arial" w:cs="Arial"/>
          <w:color w:val="000000"/>
          <w:szCs w:val="24"/>
          <w:lang w:eastAsia="es-CO"/>
        </w:rPr>
        <w:t>de conformidad con lo previsto en la Ley 797 de 2003, toda vez que no cuenta con 50 semanas cotizadas dentro de los 3 años anteriores al fallecimiento, así como tampoco en aplicación del parágrafo 1° del artículo 46 de la Ley 100 de 1993, porque no cumplió los requisitos para acceder a la pensi</w:t>
      </w:r>
      <w:r w:rsidR="008A3162">
        <w:rPr>
          <w:rFonts w:ascii="Arial" w:hAnsi="Arial" w:cs="Arial"/>
          <w:color w:val="000000"/>
          <w:szCs w:val="24"/>
          <w:lang w:eastAsia="es-CO"/>
        </w:rPr>
        <w:t>ón de vejez.</w:t>
      </w:r>
    </w:p>
    <w:p w:rsidR="008A3162" w:rsidRDefault="008A3162" w:rsidP="00C33CE3">
      <w:pPr>
        <w:spacing w:line="276" w:lineRule="auto"/>
        <w:jc w:val="both"/>
        <w:rPr>
          <w:rFonts w:ascii="Arial" w:hAnsi="Arial" w:cs="Arial"/>
          <w:color w:val="000000"/>
          <w:szCs w:val="24"/>
          <w:lang w:eastAsia="es-CO"/>
        </w:rPr>
      </w:pPr>
    </w:p>
    <w:p w:rsidR="008A3162" w:rsidRDefault="008A3162"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la aplicación del principio de la condición más beneficiosa, con base en la línea jurisprudencial trazada por la Corte Suprema de Justicia, manifestó que solo era posible acudir a la norma inmediatamente anterior a aquella en que se produjo su óbito, siendo ella la Ley 100 de 1993 original, bajo la cual tampoco logró reunir requisitos para dejar causado el derecho.</w:t>
      </w:r>
    </w:p>
    <w:p w:rsidR="00C33CE3" w:rsidRDefault="00C33CE3" w:rsidP="00C33CE3">
      <w:pPr>
        <w:spacing w:line="276" w:lineRule="auto"/>
        <w:jc w:val="both"/>
        <w:rPr>
          <w:rFonts w:ascii="Arial" w:hAnsi="Arial" w:cs="Arial"/>
          <w:color w:val="000000"/>
          <w:szCs w:val="24"/>
          <w:lang w:eastAsia="es-CO"/>
        </w:rPr>
      </w:pPr>
    </w:p>
    <w:p w:rsidR="002C313D" w:rsidRPr="001D1DD4" w:rsidRDefault="00660FA6" w:rsidP="003300DB">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C36C5D" w:rsidRPr="00C36C5D" w:rsidRDefault="00C00DC3" w:rsidP="00C36C5D">
      <w:pPr>
        <w:shd w:val="clear" w:color="auto" w:fill="FFFFFF"/>
        <w:spacing w:line="276" w:lineRule="auto"/>
        <w:jc w:val="both"/>
        <w:rPr>
          <w:rFonts w:ascii="Arial" w:hAnsi="Arial" w:cs="Arial"/>
          <w:szCs w:val="24"/>
        </w:rPr>
      </w:pPr>
      <w:r>
        <w:rPr>
          <w:rFonts w:ascii="Arial" w:hAnsi="Arial" w:cs="Arial"/>
          <w:szCs w:val="24"/>
        </w:rPr>
        <w:t xml:space="preserve">Inconforme con esa decisión, la parte actora interpuso el recurso de apelación y argumentó que </w:t>
      </w:r>
      <w:r w:rsidR="009E2CC7">
        <w:rPr>
          <w:rFonts w:ascii="Arial" w:hAnsi="Arial" w:cs="Arial"/>
          <w:szCs w:val="24"/>
        </w:rPr>
        <w:t>dada las dos posiciones existentes y contrarias frente a la aplicación del Principio de la condición más beneficiosa, dado que en tratándose de pensiones se encuentran inmersos derechos de raigambre constitucional, no puede desatenderse la línea trazada por la Corte Constitucional entre otras, en la sentencia SU-158/2013, a través de la cual revocó decisión de la Sala de Casación Laboral al aplicar en forma análoga su línea y denegar el derecho pensional de  los interesados; de tal manera que el recurrente se acoge al criterio del órgano constitucional y, consecuente con ello, solicita a esta Corporación aplicar el Acuerdo 049/90 y conceder la prestación, máxime cuando también quedó probado el requisito subjetivo dentro de la presente actuación.</w:t>
      </w:r>
    </w:p>
    <w:p w:rsidR="00753029" w:rsidRPr="005A2586" w:rsidRDefault="00753029" w:rsidP="001D1DD4">
      <w:pPr>
        <w:shd w:val="clear" w:color="auto" w:fill="FFFFFF"/>
        <w:tabs>
          <w:tab w:val="left" w:pos="5197"/>
        </w:tabs>
        <w:spacing w:line="276" w:lineRule="auto"/>
        <w:jc w:val="both"/>
        <w:rPr>
          <w:rFonts w:ascii="Arial" w:hAnsi="Arial" w:cs="Arial"/>
          <w:szCs w:val="24"/>
        </w:rPr>
      </w:pPr>
    </w:p>
    <w:p w:rsidR="0061484D" w:rsidRPr="00C84DAD" w:rsidRDefault="0061484D" w:rsidP="00644DEC">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9F6F08">
        <w:rPr>
          <w:rFonts w:ascii="Arial" w:hAnsi="Arial" w:cs="Arial"/>
          <w:b/>
          <w:sz w:val="24"/>
          <w:szCs w:val="24"/>
        </w:rPr>
        <w:t xml:space="preserve"> </w:t>
      </w:r>
      <w:r w:rsidRPr="00982149">
        <w:rPr>
          <w:rFonts w:ascii="Arial" w:hAnsi="Arial" w:cs="Arial"/>
          <w:b/>
          <w:sz w:val="24"/>
          <w:szCs w:val="24"/>
        </w:rPr>
        <w:t>l</w:t>
      </w:r>
      <w:r w:rsidR="009F6F08">
        <w:rPr>
          <w:rFonts w:ascii="Arial" w:hAnsi="Arial" w:cs="Arial"/>
          <w:b/>
          <w:sz w:val="24"/>
          <w:szCs w:val="24"/>
        </w:rPr>
        <w:t>os</w:t>
      </w:r>
      <w:r w:rsidR="00017A69">
        <w:rPr>
          <w:rFonts w:ascii="Arial" w:hAnsi="Arial" w:cs="Arial"/>
          <w:b/>
          <w:sz w:val="24"/>
          <w:szCs w:val="24"/>
        </w:rPr>
        <w:t xml:space="preserve"> </w:t>
      </w:r>
      <w:r w:rsidR="00E6434C">
        <w:rPr>
          <w:rFonts w:ascii="Arial" w:hAnsi="Arial" w:cs="Arial"/>
          <w:b/>
          <w:sz w:val="24"/>
          <w:szCs w:val="24"/>
        </w:rPr>
        <w:t>problema</w:t>
      </w:r>
      <w:r w:rsidR="009F6F08">
        <w:rPr>
          <w:rFonts w:ascii="Arial" w:hAnsi="Arial" w:cs="Arial"/>
          <w:b/>
          <w:sz w:val="24"/>
          <w:szCs w:val="24"/>
        </w:rPr>
        <w:t>s</w:t>
      </w:r>
      <w:r w:rsidR="00E6434C">
        <w:rPr>
          <w:rFonts w:ascii="Arial" w:hAnsi="Arial" w:cs="Arial"/>
          <w:b/>
          <w:sz w:val="24"/>
          <w:szCs w:val="24"/>
        </w:rPr>
        <w:t xml:space="preserve"> jurídico</w:t>
      </w:r>
      <w:r w:rsidR="009F6F08">
        <w:rPr>
          <w:rFonts w:ascii="Arial" w:hAnsi="Arial" w:cs="Arial"/>
          <w:b/>
          <w:sz w:val="24"/>
          <w:szCs w:val="24"/>
        </w:rPr>
        <w:t>s</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sidR="00443AD9">
        <w:rPr>
          <w:rFonts w:ascii="Arial" w:hAnsi="Arial" w:cs="Arial"/>
          <w:color w:val="000000"/>
          <w:szCs w:val="24"/>
          <w:lang w:eastAsia="es-CO"/>
        </w:rPr>
        <w:t>interrogantes:</w:t>
      </w:r>
    </w:p>
    <w:p w:rsidR="00E6434C" w:rsidRDefault="00E6434C" w:rsidP="00CC3BC0">
      <w:pPr>
        <w:shd w:val="clear" w:color="auto" w:fill="FFFFFF"/>
        <w:tabs>
          <w:tab w:val="left" w:pos="5197"/>
        </w:tabs>
        <w:spacing w:line="276" w:lineRule="auto"/>
        <w:contextualSpacing/>
        <w:jc w:val="both"/>
        <w:rPr>
          <w:rFonts w:ascii="Arial" w:hAnsi="Arial" w:cs="Arial"/>
          <w:color w:val="000000"/>
          <w:szCs w:val="24"/>
          <w:lang w:eastAsia="es-CO"/>
        </w:rPr>
      </w:pPr>
    </w:p>
    <w:p w:rsidR="00D81FFA" w:rsidRPr="009740CF" w:rsidRDefault="00D81FFA" w:rsidP="00D81FFA">
      <w:pPr>
        <w:tabs>
          <w:tab w:val="left" w:pos="0"/>
          <w:tab w:val="left" w:pos="8647"/>
        </w:tabs>
        <w:suppressAutoHyphens/>
        <w:spacing w:line="276" w:lineRule="auto"/>
        <w:ind w:right="51"/>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Pr="00334B97">
        <w:rPr>
          <w:rFonts w:ascii="Arial" w:hAnsi="Arial" w:cs="Arial"/>
          <w:szCs w:val="24"/>
        </w:rPr>
        <w:t>¿Resuelta procedente la pensión de sobrevivientes conforme al Acuerdo 049 de 1990, en aplicación de la condición más beneficiosa</w:t>
      </w:r>
      <w:r w:rsidRPr="009740CF">
        <w:rPr>
          <w:rFonts w:ascii="Arial" w:hAnsi="Arial" w:cs="Arial"/>
          <w:szCs w:val="24"/>
        </w:rPr>
        <w:t xml:space="preserve"> cuando el óbito del</w:t>
      </w:r>
      <w:r>
        <w:rPr>
          <w:rFonts w:ascii="Arial" w:hAnsi="Arial" w:cs="Arial"/>
          <w:szCs w:val="24"/>
        </w:rPr>
        <w:t xml:space="preserve"> afilado </w:t>
      </w:r>
      <w:r w:rsidRPr="009740CF">
        <w:rPr>
          <w:rFonts w:ascii="Arial" w:hAnsi="Arial" w:cs="Arial"/>
          <w:szCs w:val="24"/>
        </w:rPr>
        <w:t>se produjo en vigencia de la Ley 797 de 2003</w:t>
      </w:r>
      <w:r w:rsidRPr="009740CF">
        <w:rPr>
          <w:rFonts w:ascii="Arial" w:hAnsi="Arial" w:cs="Arial"/>
          <w:iCs/>
          <w:szCs w:val="24"/>
        </w:rPr>
        <w:t>?</w:t>
      </w:r>
    </w:p>
    <w:p w:rsidR="00D81FFA" w:rsidRPr="00EA5C26" w:rsidRDefault="00D81FFA" w:rsidP="00D81FFA">
      <w:pPr>
        <w:pStyle w:val="Sinespaciado"/>
        <w:spacing w:line="276" w:lineRule="auto"/>
        <w:ind w:right="1134"/>
        <w:rPr>
          <w:rFonts w:ascii="Arial" w:hAnsi="Arial" w:cs="Arial"/>
          <w:sz w:val="24"/>
          <w:szCs w:val="24"/>
        </w:rPr>
      </w:pPr>
    </w:p>
    <w:p w:rsidR="00D81FFA" w:rsidRPr="00EA5C26" w:rsidRDefault="00644DEC" w:rsidP="00644DEC">
      <w:pPr>
        <w:pStyle w:val="Prrafodelista"/>
        <w:tabs>
          <w:tab w:val="left" w:pos="0"/>
        </w:tabs>
        <w:suppressAutoHyphens/>
        <w:spacing w:line="276" w:lineRule="auto"/>
        <w:ind w:left="0" w:right="51"/>
        <w:jc w:val="both"/>
        <w:rPr>
          <w:rFonts w:ascii="Arial" w:hAnsi="Arial" w:cs="Arial"/>
          <w:iCs/>
          <w:sz w:val="24"/>
          <w:szCs w:val="24"/>
        </w:rPr>
      </w:pPr>
      <w:r>
        <w:rPr>
          <w:rFonts w:ascii="Arial" w:hAnsi="Arial" w:cs="Arial"/>
          <w:sz w:val="24"/>
          <w:szCs w:val="24"/>
        </w:rPr>
        <w:t xml:space="preserve">1.2. </w:t>
      </w:r>
      <w:r w:rsidR="00D81FFA">
        <w:rPr>
          <w:rFonts w:ascii="Arial" w:hAnsi="Arial" w:cs="Arial"/>
          <w:sz w:val="24"/>
          <w:szCs w:val="24"/>
        </w:rPr>
        <w:t xml:space="preserve">En caso de que la respuesta al anterior interrogante fuere positiva, </w:t>
      </w:r>
      <w:r w:rsidR="00D81FFA" w:rsidRPr="00EA5C26">
        <w:rPr>
          <w:rFonts w:ascii="Arial" w:hAnsi="Arial" w:cs="Arial"/>
          <w:sz w:val="24"/>
          <w:szCs w:val="24"/>
        </w:rPr>
        <w:t>¿</w:t>
      </w:r>
      <w:r w:rsidR="00D81FFA" w:rsidRPr="00EA5C26">
        <w:rPr>
          <w:rFonts w:ascii="Arial" w:hAnsi="Arial" w:cs="Arial"/>
          <w:iCs/>
          <w:sz w:val="24"/>
          <w:szCs w:val="24"/>
        </w:rPr>
        <w:t xml:space="preserve">Demostró </w:t>
      </w:r>
      <w:r w:rsidR="00D81FFA">
        <w:rPr>
          <w:rFonts w:ascii="Arial" w:hAnsi="Arial" w:cs="Arial"/>
          <w:iCs/>
          <w:sz w:val="24"/>
          <w:szCs w:val="24"/>
        </w:rPr>
        <w:t xml:space="preserve">la </w:t>
      </w:r>
      <w:r w:rsidR="00D81FFA" w:rsidRPr="00EA5C26">
        <w:rPr>
          <w:rFonts w:ascii="Arial" w:hAnsi="Arial" w:cs="Arial"/>
          <w:iCs/>
          <w:sz w:val="24"/>
          <w:szCs w:val="24"/>
        </w:rPr>
        <w:t>demandante ser beneficiari</w:t>
      </w:r>
      <w:r w:rsidR="00D81FFA">
        <w:rPr>
          <w:rFonts w:ascii="Arial" w:hAnsi="Arial" w:cs="Arial"/>
          <w:iCs/>
          <w:sz w:val="24"/>
          <w:szCs w:val="24"/>
        </w:rPr>
        <w:t>a</w:t>
      </w:r>
      <w:r w:rsidR="00D81FFA" w:rsidRPr="00EA5C26">
        <w:rPr>
          <w:rFonts w:ascii="Arial" w:hAnsi="Arial" w:cs="Arial"/>
          <w:iCs/>
          <w:sz w:val="24"/>
          <w:szCs w:val="24"/>
        </w:rPr>
        <w:t xml:space="preserve"> de la pensión de sobrevivientes que reclama?</w:t>
      </w:r>
    </w:p>
    <w:p w:rsidR="00D81FFA" w:rsidRPr="009740CF" w:rsidRDefault="00D81FFA" w:rsidP="00D81FFA">
      <w:pPr>
        <w:tabs>
          <w:tab w:val="left" w:pos="0"/>
          <w:tab w:val="left" w:pos="8647"/>
        </w:tabs>
        <w:suppressAutoHyphens/>
        <w:spacing w:line="276" w:lineRule="auto"/>
        <w:ind w:firstLine="900"/>
        <w:jc w:val="both"/>
        <w:rPr>
          <w:rFonts w:ascii="Arial" w:hAnsi="Arial" w:cs="Arial"/>
          <w:iCs/>
          <w:szCs w:val="24"/>
        </w:rPr>
      </w:pPr>
    </w:p>
    <w:p w:rsidR="00D81FFA" w:rsidRDefault="00644DEC" w:rsidP="00644DEC">
      <w:pPr>
        <w:pStyle w:val="Textoindependiente"/>
        <w:spacing w:line="276" w:lineRule="auto"/>
        <w:contextualSpacing/>
        <w:rPr>
          <w:b/>
          <w:iCs/>
          <w:szCs w:val="24"/>
        </w:rPr>
      </w:pPr>
      <w:r>
        <w:rPr>
          <w:b/>
          <w:iCs/>
          <w:szCs w:val="24"/>
        </w:rPr>
        <w:t xml:space="preserve">2. </w:t>
      </w:r>
      <w:r w:rsidR="00D81FFA">
        <w:rPr>
          <w:b/>
          <w:iCs/>
          <w:szCs w:val="24"/>
        </w:rPr>
        <w:t>Solución a los</w:t>
      </w:r>
      <w:r w:rsidR="00D81FFA" w:rsidRPr="00312238">
        <w:rPr>
          <w:b/>
          <w:iCs/>
          <w:szCs w:val="24"/>
        </w:rPr>
        <w:t xml:space="preserve"> problema</w:t>
      </w:r>
      <w:r w:rsidR="00D81FFA">
        <w:rPr>
          <w:b/>
          <w:iCs/>
          <w:szCs w:val="24"/>
        </w:rPr>
        <w:t>s</w:t>
      </w:r>
      <w:r w:rsidR="00D81FFA" w:rsidRPr="00312238">
        <w:rPr>
          <w:b/>
          <w:iCs/>
          <w:szCs w:val="24"/>
        </w:rPr>
        <w:t xml:space="preserve"> jurídico</w:t>
      </w:r>
      <w:r w:rsidR="00D81FFA">
        <w:rPr>
          <w:b/>
          <w:iCs/>
          <w:szCs w:val="24"/>
        </w:rPr>
        <w:t>s</w:t>
      </w:r>
      <w:r w:rsidR="00D81FFA" w:rsidRPr="00312238">
        <w:rPr>
          <w:b/>
          <w:iCs/>
          <w:szCs w:val="24"/>
        </w:rPr>
        <w:t xml:space="preserve"> </w:t>
      </w:r>
    </w:p>
    <w:p w:rsidR="00D81FFA" w:rsidRDefault="00D81FFA" w:rsidP="00D81FFA">
      <w:pPr>
        <w:pStyle w:val="Textoindependiente"/>
        <w:spacing w:line="276" w:lineRule="auto"/>
        <w:ind w:left="390"/>
        <w:contextualSpacing/>
        <w:rPr>
          <w:b/>
          <w:iCs/>
          <w:szCs w:val="24"/>
        </w:rPr>
      </w:pPr>
    </w:p>
    <w:p w:rsidR="00D81FFA" w:rsidRDefault="00D81FFA" w:rsidP="00D81FFA">
      <w:pPr>
        <w:pStyle w:val="Textoindependien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interrogante</w:t>
      </w:r>
      <w:r>
        <w:rPr>
          <w:iCs/>
          <w:szCs w:val="24"/>
        </w:rPr>
        <w:t>s</w:t>
      </w:r>
      <w:r w:rsidRPr="008E0CBF">
        <w:rPr>
          <w:iCs/>
          <w:szCs w:val="24"/>
        </w:rPr>
        <w:t>, se considera necesario precisar, los siguientes aspectos:</w:t>
      </w:r>
    </w:p>
    <w:p w:rsidR="00D81FFA" w:rsidRDefault="00D81FFA" w:rsidP="00D81FFA">
      <w:pPr>
        <w:pStyle w:val="Textoindependiente"/>
        <w:spacing w:line="276" w:lineRule="auto"/>
        <w:contextualSpacing/>
        <w:rPr>
          <w:iCs/>
          <w:szCs w:val="24"/>
        </w:rPr>
      </w:pPr>
    </w:p>
    <w:p w:rsidR="00D81FFA" w:rsidRPr="00644528" w:rsidRDefault="00644DEC" w:rsidP="00644DEC">
      <w:pPr>
        <w:pStyle w:val="Textoindependiente"/>
        <w:spacing w:line="276" w:lineRule="auto"/>
        <w:contextualSpacing/>
        <w:rPr>
          <w:b/>
          <w:iCs/>
          <w:szCs w:val="24"/>
        </w:rPr>
      </w:pPr>
      <w:r>
        <w:rPr>
          <w:b/>
          <w:iCs/>
          <w:szCs w:val="24"/>
        </w:rPr>
        <w:t xml:space="preserve">2.1. </w:t>
      </w:r>
      <w:r w:rsidR="00D81FFA" w:rsidRPr="00644528">
        <w:rPr>
          <w:b/>
          <w:iCs/>
          <w:szCs w:val="24"/>
        </w:rPr>
        <w:t>Cuestión previa</w:t>
      </w:r>
    </w:p>
    <w:p w:rsidR="00D81FFA" w:rsidRDefault="00D81FFA" w:rsidP="00D81FFA">
      <w:pPr>
        <w:pStyle w:val="Textoindependiente"/>
        <w:spacing w:line="276" w:lineRule="auto"/>
        <w:contextualSpacing/>
        <w:rPr>
          <w:iCs/>
          <w:szCs w:val="24"/>
        </w:rPr>
      </w:pPr>
    </w:p>
    <w:p w:rsidR="00D81FFA" w:rsidRPr="00644528" w:rsidRDefault="00D81FFA" w:rsidP="00D81FFA">
      <w:pPr>
        <w:pStyle w:val="Textoindependiente"/>
        <w:spacing w:line="276" w:lineRule="auto"/>
        <w:contextualSpacing/>
        <w:rPr>
          <w:iCs/>
          <w:szCs w:val="24"/>
        </w:rPr>
      </w:pPr>
      <w:r w:rsidRPr="00644528">
        <w:rPr>
          <w:iCs/>
          <w:szCs w:val="24"/>
        </w:rPr>
        <w:t>Antes del proceder a dar solución al</w:t>
      </w:r>
      <w:r>
        <w:rPr>
          <w:iCs/>
          <w:szCs w:val="24"/>
        </w:rPr>
        <w:t xml:space="preserve"> primer </w:t>
      </w:r>
      <w:r w:rsidRPr="00644528">
        <w:rPr>
          <w:iCs/>
          <w:szCs w:val="24"/>
        </w:rPr>
        <w:t>problema jurídico enunciado, es pertinente aclarar que si bien es cierto, con la antigua conformación de la Sala de decisión laboral de este Tribunal, por mayoría y con salvamento de voto del doctor Julio César Salazar Muñoz, se tenía definida la procedencia de la aplicación del principio de la condición más beneficiosa acudiendo a cualquier disposición del pasado, la verdad es que con la llegada de un</w:t>
      </w:r>
      <w:r>
        <w:rPr>
          <w:iCs/>
          <w:szCs w:val="24"/>
        </w:rPr>
        <w:t>a</w:t>
      </w:r>
      <w:r w:rsidRPr="00644528">
        <w:rPr>
          <w:iCs/>
          <w:szCs w:val="24"/>
        </w:rPr>
        <w:t xml:space="preserve"> nuev</w:t>
      </w:r>
      <w:r>
        <w:rPr>
          <w:iCs/>
          <w:szCs w:val="24"/>
        </w:rPr>
        <w:t>a</w:t>
      </w:r>
      <w:r w:rsidRPr="00644528">
        <w:rPr>
          <w:iCs/>
          <w:szCs w:val="24"/>
        </w:rPr>
        <w:t xml:space="preserve"> integrante, que aquí funge como Ponente, en las salas de decisión laboral 2 y 4 se adopta el criterio de que solo es viable su aplicación para acudir a la norma inmediatamente anterior, ello como consecuencia de la función unificadora de la jurisprudencia de la Sala de Casación Laboral de la Corte Suprema de Justicia, teniendo esta Corporación una línea constante y definida, sobre el punto que aquí se</w:t>
      </w:r>
      <w:r>
        <w:rPr>
          <w:iCs/>
          <w:szCs w:val="24"/>
        </w:rPr>
        <w:t xml:space="preserve"> debate, es del caso seguir su pensamiento como en efecto se hará, al compartirse completamente sus argumentos.</w:t>
      </w: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lastRenderedPageBreak/>
        <w:t>Precisado lo anterior, se encuentra probado</w:t>
      </w:r>
      <w:r w:rsidRPr="00AC486E">
        <w:rPr>
          <w:rFonts w:ascii="Arial" w:hAnsi="Arial" w:cs="Arial"/>
          <w:szCs w:val="24"/>
        </w:rPr>
        <w:t xml:space="preserve"> que el </w:t>
      </w:r>
      <w:r>
        <w:rPr>
          <w:rFonts w:ascii="Arial" w:hAnsi="Arial" w:cs="Arial"/>
          <w:szCs w:val="24"/>
        </w:rPr>
        <w:t xml:space="preserve">deceso </w:t>
      </w:r>
      <w:r w:rsidRPr="00AC486E">
        <w:rPr>
          <w:rFonts w:ascii="Arial" w:hAnsi="Arial" w:cs="Arial"/>
          <w:szCs w:val="24"/>
        </w:rPr>
        <w:t>de</w:t>
      </w:r>
      <w:r>
        <w:rPr>
          <w:rFonts w:ascii="Arial" w:hAnsi="Arial" w:cs="Arial"/>
          <w:szCs w:val="24"/>
        </w:rPr>
        <w:t xml:space="preserve">l señor José </w:t>
      </w:r>
      <w:proofErr w:type="spellStart"/>
      <w:r>
        <w:rPr>
          <w:rFonts w:ascii="Arial" w:hAnsi="Arial" w:cs="Arial"/>
          <w:szCs w:val="24"/>
        </w:rPr>
        <w:t>Gilmer</w:t>
      </w:r>
      <w:proofErr w:type="spellEnd"/>
      <w:r>
        <w:rPr>
          <w:rFonts w:ascii="Arial" w:hAnsi="Arial" w:cs="Arial"/>
          <w:szCs w:val="24"/>
        </w:rPr>
        <w:t xml:space="preserve"> Valencia Álvarez </w:t>
      </w:r>
      <w:r w:rsidRPr="00AC486E">
        <w:rPr>
          <w:rFonts w:ascii="Arial" w:hAnsi="Arial" w:cs="Arial"/>
          <w:szCs w:val="24"/>
        </w:rPr>
        <w:t xml:space="preserve">ocurrió el </w:t>
      </w:r>
      <w:r>
        <w:rPr>
          <w:rFonts w:ascii="Arial" w:hAnsi="Arial" w:cs="Arial"/>
          <w:szCs w:val="24"/>
        </w:rPr>
        <w:t xml:space="preserve">05 </w:t>
      </w:r>
      <w:r w:rsidRPr="00AC486E">
        <w:rPr>
          <w:rFonts w:ascii="Arial" w:hAnsi="Arial" w:cs="Arial"/>
          <w:szCs w:val="24"/>
        </w:rPr>
        <w:t xml:space="preserve">de </w:t>
      </w:r>
      <w:r>
        <w:rPr>
          <w:rFonts w:ascii="Arial" w:hAnsi="Arial" w:cs="Arial"/>
          <w:szCs w:val="24"/>
        </w:rPr>
        <w:t>mayo de 2012</w:t>
      </w:r>
      <w:r w:rsidRPr="00AC486E">
        <w:rPr>
          <w:rFonts w:ascii="Arial" w:hAnsi="Arial" w:cs="Arial"/>
          <w:szCs w:val="24"/>
        </w:rPr>
        <w:t>, según se colige del Registro Civil de defunción</w:t>
      </w:r>
      <w:r>
        <w:rPr>
          <w:rFonts w:ascii="Arial" w:hAnsi="Arial" w:cs="Arial"/>
          <w:szCs w:val="24"/>
        </w:rPr>
        <w:t>, visible a folio 17 del cd. 1</w:t>
      </w:r>
      <w:r w:rsidRPr="00AC486E">
        <w:rPr>
          <w:rFonts w:ascii="Arial" w:hAnsi="Arial" w:cs="Arial"/>
          <w:szCs w:val="24"/>
        </w:rPr>
        <w:t xml:space="preserve">; que </w:t>
      </w:r>
      <w:r>
        <w:rPr>
          <w:rFonts w:ascii="Arial" w:hAnsi="Arial" w:cs="Arial"/>
          <w:szCs w:val="24"/>
        </w:rPr>
        <w:t xml:space="preserve">la </w:t>
      </w:r>
      <w:r w:rsidRPr="00AC486E">
        <w:rPr>
          <w:rFonts w:ascii="Arial" w:hAnsi="Arial" w:cs="Arial"/>
          <w:szCs w:val="24"/>
        </w:rPr>
        <w:t xml:space="preserve">demandante y </w:t>
      </w:r>
      <w:r w:rsidR="00644DEC">
        <w:rPr>
          <w:rFonts w:ascii="Arial" w:hAnsi="Arial" w:cs="Arial"/>
          <w:szCs w:val="24"/>
        </w:rPr>
        <w:t>el afiliado</w:t>
      </w:r>
      <w:r>
        <w:rPr>
          <w:rFonts w:ascii="Arial" w:hAnsi="Arial" w:cs="Arial"/>
          <w:szCs w:val="24"/>
        </w:rPr>
        <w:t xml:space="preserve"> fallecido</w:t>
      </w:r>
      <w:r w:rsidRPr="00AC486E">
        <w:rPr>
          <w:rFonts w:ascii="Arial" w:hAnsi="Arial" w:cs="Arial"/>
          <w:szCs w:val="24"/>
        </w:rPr>
        <w:t xml:space="preserve"> contrajeron matrimonio </w:t>
      </w:r>
      <w:r>
        <w:rPr>
          <w:rFonts w:ascii="Arial" w:hAnsi="Arial" w:cs="Arial"/>
          <w:szCs w:val="24"/>
        </w:rPr>
        <w:t xml:space="preserve">católico </w:t>
      </w:r>
      <w:r w:rsidRPr="00AC486E">
        <w:rPr>
          <w:rFonts w:ascii="Arial" w:hAnsi="Arial" w:cs="Arial"/>
          <w:szCs w:val="24"/>
        </w:rPr>
        <w:t xml:space="preserve">el </w:t>
      </w:r>
      <w:r>
        <w:rPr>
          <w:rFonts w:ascii="Arial" w:hAnsi="Arial" w:cs="Arial"/>
          <w:szCs w:val="24"/>
        </w:rPr>
        <w:t>19</w:t>
      </w:r>
      <w:r w:rsidRPr="00AC486E">
        <w:rPr>
          <w:rFonts w:ascii="Arial" w:hAnsi="Arial" w:cs="Arial"/>
          <w:szCs w:val="24"/>
        </w:rPr>
        <w:t xml:space="preserve"> de </w:t>
      </w:r>
      <w:r>
        <w:rPr>
          <w:rFonts w:ascii="Arial" w:hAnsi="Arial" w:cs="Arial"/>
          <w:szCs w:val="24"/>
        </w:rPr>
        <w:t xml:space="preserve">julio </w:t>
      </w:r>
      <w:r w:rsidRPr="00AC486E">
        <w:rPr>
          <w:rFonts w:ascii="Arial" w:hAnsi="Arial" w:cs="Arial"/>
          <w:szCs w:val="24"/>
        </w:rPr>
        <w:t>de 19</w:t>
      </w:r>
      <w:r>
        <w:rPr>
          <w:rFonts w:ascii="Arial" w:hAnsi="Arial" w:cs="Arial"/>
          <w:szCs w:val="24"/>
        </w:rPr>
        <w:t>64 –</w:t>
      </w:r>
      <w:proofErr w:type="spellStart"/>
      <w:r>
        <w:rPr>
          <w:rFonts w:ascii="Arial" w:hAnsi="Arial" w:cs="Arial"/>
          <w:szCs w:val="24"/>
        </w:rPr>
        <w:t>fl</w:t>
      </w:r>
      <w:proofErr w:type="spellEnd"/>
      <w:r>
        <w:rPr>
          <w:rFonts w:ascii="Arial" w:hAnsi="Arial" w:cs="Arial"/>
          <w:szCs w:val="24"/>
        </w:rPr>
        <w:t>. 15-</w:t>
      </w:r>
      <w:r w:rsidRPr="00AC486E">
        <w:rPr>
          <w:rFonts w:ascii="Arial" w:hAnsi="Arial" w:cs="Arial"/>
          <w:szCs w:val="24"/>
        </w:rPr>
        <w:t>; y que aquel</w:t>
      </w:r>
      <w:r>
        <w:rPr>
          <w:rFonts w:ascii="Arial" w:hAnsi="Arial" w:cs="Arial"/>
          <w:szCs w:val="24"/>
        </w:rPr>
        <w:t xml:space="preserve"> cotizó al sistema pensional, antes de la entrada en vigencia de la Ley 100 de 1993, </w:t>
      </w:r>
      <w:r w:rsidRPr="00AC486E">
        <w:rPr>
          <w:rFonts w:ascii="Arial" w:hAnsi="Arial" w:cs="Arial"/>
          <w:szCs w:val="24"/>
        </w:rPr>
        <w:t xml:space="preserve">un total de </w:t>
      </w:r>
      <w:r>
        <w:rPr>
          <w:rFonts w:ascii="Arial" w:hAnsi="Arial" w:cs="Arial"/>
          <w:szCs w:val="24"/>
        </w:rPr>
        <w:t xml:space="preserve">527,57 </w:t>
      </w:r>
      <w:r w:rsidRPr="00AC486E">
        <w:rPr>
          <w:rFonts w:ascii="Arial" w:hAnsi="Arial" w:cs="Arial"/>
          <w:szCs w:val="24"/>
        </w:rPr>
        <w:t>semanas</w:t>
      </w:r>
      <w:r>
        <w:rPr>
          <w:rFonts w:ascii="Arial" w:hAnsi="Arial" w:cs="Arial"/>
          <w:szCs w:val="24"/>
        </w:rPr>
        <w:t>, tal y como se extracta de la historia laboral válida para prestaciones económicas allegada por la entidad demandada -</w:t>
      </w:r>
      <w:proofErr w:type="spellStart"/>
      <w:r w:rsidRPr="00AC486E">
        <w:rPr>
          <w:rFonts w:ascii="Arial" w:hAnsi="Arial" w:cs="Arial"/>
          <w:szCs w:val="24"/>
        </w:rPr>
        <w:t>fl</w:t>
      </w:r>
      <w:proofErr w:type="spellEnd"/>
      <w:r w:rsidRPr="00AC486E">
        <w:rPr>
          <w:rFonts w:ascii="Arial" w:hAnsi="Arial" w:cs="Arial"/>
          <w:szCs w:val="24"/>
        </w:rPr>
        <w:t>.</w:t>
      </w:r>
      <w:r>
        <w:rPr>
          <w:rFonts w:ascii="Arial" w:hAnsi="Arial" w:cs="Arial"/>
          <w:szCs w:val="24"/>
        </w:rPr>
        <w:t xml:space="preserve"> 33 cd. 1-.</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sidRPr="00AC486E">
        <w:rPr>
          <w:rFonts w:ascii="Arial" w:hAnsi="Arial" w:cs="Arial"/>
          <w:szCs w:val="24"/>
        </w:rPr>
        <w:t xml:space="preserve">Así las cosas, teniendo </w:t>
      </w:r>
      <w:r>
        <w:rPr>
          <w:rFonts w:ascii="Arial" w:hAnsi="Arial" w:cs="Arial"/>
          <w:szCs w:val="24"/>
        </w:rPr>
        <w:t>en cuenta la fecha del óbito del señor Valencia Álvarez</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 xml:space="preserve"> para quien reclame la prestación en calidad de cónyuge o compañera supérstite, una convivencia con el causante por espacio no inferior a los 5 años anteriores al deceso.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 xml:space="preserve">Conforme a lo anterior, debe determinarse en primer lugar si dentro de los 3 años anteriores al deceso del señor José </w:t>
      </w:r>
      <w:proofErr w:type="spellStart"/>
      <w:r>
        <w:rPr>
          <w:rFonts w:ascii="Arial" w:hAnsi="Arial" w:cs="Arial"/>
          <w:szCs w:val="24"/>
        </w:rPr>
        <w:t>Gilmer</w:t>
      </w:r>
      <w:proofErr w:type="spellEnd"/>
      <w:r>
        <w:rPr>
          <w:rFonts w:ascii="Arial" w:hAnsi="Arial" w:cs="Arial"/>
          <w:szCs w:val="24"/>
        </w:rPr>
        <w:t xml:space="preserve"> Valencia Álvarez, comprendido entre el 0</w:t>
      </w:r>
      <w:r w:rsidR="001D09CD">
        <w:rPr>
          <w:rFonts w:ascii="Arial" w:hAnsi="Arial" w:cs="Arial"/>
          <w:szCs w:val="24"/>
        </w:rPr>
        <w:t>5</w:t>
      </w:r>
      <w:r>
        <w:rPr>
          <w:rFonts w:ascii="Arial" w:hAnsi="Arial" w:cs="Arial"/>
          <w:szCs w:val="24"/>
        </w:rPr>
        <w:t xml:space="preserve"> de </w:t>
      </w:r>
      <w:r w:rsidR="001D09CD">
        <w:rPr>
          <w:rFonts w:ascii="Arial" w:hAnsi="Arial" w:cs="Arial"/>
          <w:szCs w:val="24"/>
        </w:rPr>
        <w:t>mayo de 2012</w:t>
      </w:r>
      <w:r>
        <w:rPr>
          <w:rFonts w:ascii="Arial" w:hAnsi="Arial" w:cs="Arial"/>
          <w:szCs w:val="24"/>
        </w:rPr>
        <w:t xml:space="preserve"> y la misma fecha de 200</w:t>
      </w:r>
      <w:r w:rsidR="001D09CD">
        <w:rPr>
          <w:rFonts w:ascii="Arial" w:hAnsi="Arial" w:cs="Arial"/>
          <w:szCs w:val="24"/>
        </w:rPr>
        <w:t>9</w:t>
      </w:r>
      <w:r>
        <w:rPr>
          <w:rFonts w:ascii="Arial" w:hAnsi="Arial" w:cs="Arial"/>
          <w:szCs w:val="24"/>
        </w:rPr>
        <w:t xml:space="preserve">, alcanzó a reunir 50 semanas de cotización, para lo cual debe acudirse a la historia laboral válida para prestaciones económicas visible a folios 264 del cuaderno de primer grado, de donde se evidencia que dentro de ese lapso no registra alguna cotización,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No obstante, teniendo en cuenta que en el libelo introductorio se depreca la aplicación del principio de la condición más beneficiosa, se analizará su procedibilidad en el caso concreto.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r>
        <w:rPr>
          <w:rFonts w:ascii="Arial" w:hAnsi="Arial" w:cs="Arial"/>
          <w:szCs w:val="24"/>
        </w:rPr>
        <w:t xml:space="preserve">Así pues, frente a este aspecto, ha sostenido la Sala de Casación Laboral de Corte Suprema de Justicia lo </w:t>
      </w:r>
      <w:r w:rsidRPr="00DD3634">
        <w:rPr>
          <w:rFonts w:ascii="Arial" w:hAnsi="Arial" w:cs="Arial"/>
          <w:szCs w:val="24"/>
        </w:rPr>
        <w:t>siguiente</w:t>
      </w:r>
      <w:r w:rsidRPr="00DD3634">
        <w:rPr>
          <w:rStyle w:val="Refdenotaalpie"/>
          <w:rFonts w:ascii="Arial" w:hAnsi="Arial" w:cs="Arial"/>
          <w:szCs w:val="24"/>
        </w:rPr>
        <w:footnoteReference w:id="1"/>
      </w:r>
      <w:r w:rsidRPr="00DD3634">
        <w:rPr>
          <w:rFonts w:ascii="Arial" w:hAnsi="Arial" w:cs="Arial"/>
          <w:szCs w:val="24"/>
        </w:rPr>
        <w:t>:</w:t>
      </w:r>
    </w:p>
    <w:p w:rsidR="00D81FFA" w:rsidRDefault="00D81FFA" w:rsidP="00D81FFA">
      <w:pPr>
        <w:autoSpaceDE w:val="0"/>
        <w:autoSpaceDN w:val="0"/>
        <w:adjustRightInd w:val="0"/>
        <w:spacing w:line="276" w:lineRule="auto"/>
        <w:ind w:firstLine="858"/>
        <w:jc w:val="both"/>
        <w:rPr>
          <w:rFonts w:ascii="Arial" w:hAnsi="Arial" w:cs="Arial"/>
          <w:szCs w:val="24"/>
        </w:rPr>
      </w:pPr>
    </w:p>
    <w:p w:rsidR="00D81FFA" w:rsidRPr="00DD3634" w:rsidRDefault="00D81FFA" w:rsidP="00D81FFA">
      <w:pPr>
        <w:pStyle w:val="Textoindependienteprimerasangra"/>
        <w:ind w:left="567" w:firstLine="0"/>
        <w:jc w:val="both"/>
        <w:rPr>
          <w:rFonts w:ascii="Arial" w:hAnsi="Arial" w:cs="Arial"/>
          <w:i/>
          <w:sz w:val="22"/>
          <w:szCs w:val="22"/>
          <w:lang w:val="es-ES"/>
        </w:rPr>
      </w:pPr>
      <w:r>
        <w:rPr>
          <w:rFonts w:ascii="Arial" w:hAnsi="Arial" w:cs="Arial"/>
          <w:i/>
          <w:sz w:val="22"/>
          <w:szCs w:val="22"/>
          <w:lang w:val="es-ES"/>
        </w:rPr>
        <w:t>“</w:t>
      </w:r>
      <w:r w:rsidRPr="00DD3634">
        <w:rPr>
          <w:rFonts w:ascii="Arial" w:hAnsi="Arial" w:cs="Arial"/>
          <w:i/>
          <w:sz w:val="22"/>
          <w:szCs w:val="22"/>
          <w:lang w:val="es-ES"/>
        </w:rPr>
        <w:t>No obstante esa situación, esta Sala de la Corte, como desarrollo de la condición más beneficiosa, ha optado por aplicar únicamente la normativa inmediatamente anterior a aquella que gobierna el asunto, ya que dicho principio no habilita al juzgador a efectuar una búsqueda histórica en las legislaciones anteriores, a efectos de determinar cuál se ajusta al contexto planteado, pues actuar de esa manera supondría desconocer que las leyes sociales son de aplicación inmediata y en principio rigen hacia futuro.</w:t>
      </w:r>
    </w:p>
    <w:p w:rsidR="00D81FFA" w:rsidRPr="00DD3634" w:rsidRDefault="00D81FFA" w:rsidP="00D81FFA">
      <w:pPr>
        <w:ind w:left="567" w:right="20" w:firstLine="709"/>
        <w:jc w:val="both"/>
        <w:rPr>
          <w:rFonts w:ascii="Arial" w:hAnsi="Arial" w:cs="Arial"/>
          <w:i/>
          <w:sz w:val="22"/>
          <w:szCs w:val="22"/>
          <w:lang w:val="es-ES"/>
        </w:rPr>
      </w:pPr>
    </w:p>
    <w:p w:rsidR="00D81FFA" w:rsidRDefault="00D81FFA" w:rsidP="00D81FFA">
      <w:pPr>
        <w:ind w:left="567" w:right="20"/>
        <w:jc w:val="both"/>
        <w:rPr>
          <w:rFonts w:ascii="Arial" w:hAnsi="Arial" w:cs="Arial"/>
          <w:i/>
          <w:sz w:val="22"/>
          <w:szCs w:val="22"/>
          <w:lang w:val="es-ES"/>
        </w:rPr>
      </w:pPr>
      <w:r w:rsidRPr="00DD3634">
        <w:rPr>
          <w:rFonts w:ascii="Arial" w:hAnsi="Arial" w:cs="Arial"/>
          <w:i/>
          <w:sz w:val="22"/>
          <w:szCs w:val="22"/>
          <w:lang w:val="es-ES"/>
        </w:rPr>
        <w:t>En efecto, esta Corporación, en sentencia CSJ SL 9 sept 2015. Rad. 48124, precisó:</w:t>
      </w:r>
    </w:p>
    <w:p w:rsidR="00D81FFA" w:rsidRPr="00DD3634" w:rsidRDefault="00D81FFA" w:rsidP="00D81FFA">
      <w:pPr>
        <w:ind w:left="567" w:right="20" w:firstLine="709"/>
        <w:jc w:val="both"/>
        <w:rPr>
          <w:rFonts w:ascii="Arial" w:hAnsi="Arial" w:cs="Arial"/>
          <w:i/>
          <w:sz w:val="22"/>
          <w:szCs w:val="22"/>
          <w:lang w:val="es-ES"/>
        </w:rPr>
      </w:pPr>
    </w:p>
    <w:p w:rsidR="00D81FFA" w:rsidRPr="00DD3634" w:rsidRDefault="00D81FFA" w:rsidP="00D81FFA">
      <w:pPr>
        <w:widowControl w:val="0"/>
        <w:autoSpaceDE w:val="0"/>
        <w:autoSpaceDN w:val="0"/>
        <w:adjustRightInd w:val="0"/>
        <w:ind w:left="1134"/>
        <w:jc w:val="both"/>
        <w:rPr>
          <w:rFonts w:ascii="Arial" w:hAnsi="Arial" w:cs="Arial"/>
          <w:i/>
          <w:sz w:val="22"/>
          <w:szCs w:val="22"/>
          <w:lang w:val="es-ES"/>
        </w:rPr>
      </w:pPr>
      <w:r w:rsidRPr="00DD3634">
        <w:rPr>
          <w:rFonts w:ascii="Arial" w:hAnsi="Arial" w:cs="Arial"/>
          <w:i/>
          <w:sz w:val="22"/>
          <w:szCs w:val="22"/>
          <w:lang w:val="es-ES"/>
        </w:rPr>
        <w:t xml:space="preserve">… no es admisible aducir, como parámetro para la aplicación de la condición más beneficiosa, cualquier norma legal que haya regulado el asunto en algún momento pretérito en que se ha desarrollado la vinculación de la persona con el sistema de la seguridad social, sino la que regía inmediatamente antes de adquirir plena eficacia y validez el precepto aplicable conforme a las reglas generales del derecho (…) Lo que no puede el juez es desplegar un ejercicio histórico, a fin de encontrar alguna otra legislación, más allá de la Ley 100 de 1993 que haya precedido –a su vez- a la norma anteriormente derogada por la </w:t>
      </w:r>
      <w:r w:rsidRPr="00DD3634">
        <w:rPr>
          <w:rFonts w:ascii="Arial" w:hAnsi="Arial" w:cs="Arial"/>
          <w:i/>
          <w:sz w:val="22"/>
          <w:szCs w:val="22"/>
          <w:lang w:val="es-ES"/>
        </w:rPr>
        <w:lastRenderedPageBreak/>
        <w:t>que viene al caso, para darle una especie de efectos ‘</w:t>
      </w:r>
      <w:proofErr w:type="spellStart"/>
      <w:r w:rsidRPr="00DD3634">
        <w:rPr>
          <w:rFonts w:ascii="Arial" w:hAnsi="Arial" w:cs="Arial"/>
          <w:i/>
          <w:sz w:val="22"/>
          <w:szCs w:val="22"/>
          <w:lang w:val="es-ES"/>
        </w:rPr>
        <w:t>plusultractivos</w:t>
      </w:r>
      <w:proofErr w:type="spellEnd"/>
      <w:r w:rsidRPr="00DD3634">
        <w:rPr>
          <w:rFonts w:ascii="Arial" w:hAnsi="Arial" w:cs="Arial"/>
          <w:i/>
          <w:sz w:val="22"/>
          <w:szCs w:val="22"/>
          <w:lang w:val="es-ES"/>
        </w:rPr>
        <w:t>’, que resquebraja el valor de la seguridad jurídica. He allí la razón por la cual la Corte se ha negado a aplicar la condición más beneficiosa en los procesos decididos por las sentencias del 3 de diciembre de 2007 (rad. 28876) y 20 de febrero de 2008 (rad. 32.642).</w:t>
      </w:r>
    </w:p>
    <w:p w:rsidR="00D81FFA" w:rsidRPr="00DD3634" w:rsidRDefault="00D81FFA" w:rsidP="00D81FFA">
      <w:pPr>
        <w:ind w:left="567" w:right="20" w:firstLine="709"/>
        <w:jc w:val="both"/>
        <w:rPr>
          <w:rFonts w:ascii="Arial" w:hAnsi="Arial" w:cs="Arial"/>
          <w:i/>
          <w:sz w:val="22"/>
          <w:szCs w:val="22"/>
          <w:lang w:val="es-ES"/>
        </w:rPr>
      </w:pPr>
    </w:p>
    <w:p w:rsidR="00D81FFA" w:rsidRPr="00DD3634" w:rsidRDefault="00D81FFA" w:rsidP="00D81FFA">
      <w:pPr>
        <w:ind w:left="567" w:right="20"/>
        <w:jc w:val="both"/>
        <w:rPr>
          <w:rFonts w:ascii="Arial" w:hAnsi="Arial" w:cs="Arial"/>
          <w:i/>
          <w:sz w:val="22"/>
          <w:szCs w:val="22"/>
        </w:rPr>
      </w:pPr>
      <w:r w:rsidRPr="00DD3634">
        <w:rPr>
          <w:rFonts w:ascii="Arial" w:hAnsi="Arial" w:cs="Arial"/>
          <w:i/>
          <w:sz w:val="22"/>
          <w:szCs w:val="22"/>
        </w:rPr>
        <w:t>En consonancia con lo anterior, y atendiendo las circunstancias fácticas del caso bajo examen, la norma a aplicar, en virtud del principio de la condición más beneficiosa, es el artículo 46 de la ley 100 de 1993 en su redacción original, y no el acuerdo 049 de 1990, como se solicita en el cargo</w:t>
      </w:r>
      <w:r>
        <w:rPr>
          <w:rFonts w:ascii="Arial" w:hAnsi="Arial" w:cs="Arial"/>
          <w:i/>
          <w:sz w:val="22"/>
          <w:szCs w:val="22"/>
        </w:rPr>
        <w:t>”</w:t>
      </w:r>
      <w:r w:rsidRPr="00DD3634">
        <w:rPr>
          <w:rFonts w:ascii="Arial" w:hAnsi="Arial" w:cs="Arial"/>
          <w:i/>
          <w:sz w:val="22"/>
          <w:szCs w:val="22"/>
        </w:rPr>
        <w:t>.</w:t>
      </w:r>
    </w:p>
    <w:p w:rsidR="00D81FFA" w:rsidRDefault="00D81FFA" w:rsidP="00D81FFA">
      <w:pPr>
        <w:autoSpaceDE w:val="0"/>
        <w:autoSpaceDN w:val="0"/>
        <w:adjustRightInd w:val="0"/>
        <w:spacing w:line="276" w:lineRule="auto"/>
        <w:ind w:firstLine="858"/>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szCs w:val="24"/>
        </w:rPr>
      </w:pPr>
    </w:p>
    <w:p w:rsidR="00D81FFA" w:rsidRPr="00D578CB" w:rsidRDefault="00D81FFA" w:rsidP="00D81FFA">
      <w:pPr>
        <w:autoSpaceDE w:val="0"/>
        <w:autoSpaceDN w:val="0"/>
        <w:adjustRightInd w:val="0"/>
        <w:spacing w:line="276" w:lineRule="auto"/>
        <w:jc w:val="both"/>
        <w:rPr>
          <w:rFonts w:ascii="Arial" w:hAnsi="Arial" w:cs="Arial"/>
          <w:szCs w:val="24"/>
        </w:rPr>
      </w:pPr>
      <w:r w:rsidRPr="00D578CB">
        <w:rPr>
          <w:rFonts w:ascii="Arial" w:hAnsi="Arial" w:cs="Arial"/>
          <w:szCs w:val="24"/>
        </w:rPr>
        <w:t xml:space="preserve">Del extracto jurisprudencial transcrito, puede concluirse que </w:t>
      </w:r>
      <w:r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sidRPr="00D578CB">
        <w:rPr>
          <w:rFonts w:ascii="Arial" w:hAnsi="Arial" w:cs="Arial"/>
          <w:color w:val="000000"/>
          <w:szCs w:val="24"/>
          <w:lang w:val="es-ES"/>
        </w:rPr>
        <w:t xml:space="preserve">. </w:t>
      </w:r>
    </w:p>
    <w:p w:rsidR="00D81FFA" w:rsidRDefault="00D81FFA" w:rsidP="00D81FFA">
      <w:pPr>
        <w:autoSpaceDE w:val="0"/>
        <w:autoSpaceDN w:val="0"/>
        <w:adjustRightInd w:val="0"/>
        <w:spacing w:line="276" w:lineRule="auto"/>
        <w:jc w:val="both"/>
        <w:rPr>
          <w:rFonts w:ascii="Arial" w:hAnsi="Arial" w:cs="Arial"/>
          <w:szCs w:val="24"/>
        </w:rPr>
      </w:pPr>
    </w:p>
    <w:p w:rsidR="00D81FFA" w:rsidRPr="00D578CB" w:rsidRDefault="00D81FFA" w:rsidP="00D81FFA">
      <w:pPr>
        <w:autoSpaceDE w:val="0"/>
        <w:autoSpaceDN w:val="0"/>
        <w:adjustRightInd w:val="0"/>
        <w:spacing w:line="276" w:lineRule="auto"/>
        <w:jc w:val="both"/>
        <w:rPr>
          <w:rFonts w:ascii="Arial" w:hAnsi="Arial" w:cs="Arial"/>
          <w:szCs w:val="24"/>
        </w:rPr>
      </w:pPr>
      <w:r w:rsidRPr="00D578CB">
        <w:rPr>
          <w:rFonts w:ascii="Arial" w:hAnsi="Arial" w:cs="Arial"/>
          <w:szCs w:val="24"/>
        </w:rPr>
        <w:t>Dicho en otros términos,</w:t>
      </w:r>
      <w:r w:rsidRPr="00D578CB">
        <w:rPr>
          <w:rFonts w:ascii="Arial" w:hAnsi="Arial" w:cs="Arial"/>
          <w:color w:val="000000"/>
          <w:szCs w:val="24"/>
          <w:lang w:val="es-ES"/>
        </w:rPr>
        <w:t xml:space="preserve"> </w:t>
      </w:r>
      <w:r w:rsidRPr="00D578CB">
        <w:rPr>
          <w:rFonts w:ascii="Arial" w:hAnsi="Arial" w:cs="Arial"/>
          <w:szCs w:val="24"/>
        </w:rPr>
        <w:t xml:space="preserve">la aplicación del principio de la condición más beneficiosa </w:t>
      </w:r>
      <w:r>
        <w:rPr>
          <w:rFonts w:ascii="Arial" w:hAnsi="Arial" w:cs="Arial"/>
          <w:szCs w:val="24"/>
        </w:rPr>
        <w:t xml:space="preserve">opera </w:t>
      </w:r>
      <w:r w:rsidRPr="00D578CB">
        <w:rPr>
          <w:rFonts w:ascii="Arial" w:hAnsi="Arial" w:cs="Arial"/>
          <w:szCs w:val="24"/>
        </w:rPr>
        <w:t>para acudir a la legislación inmediatamente anterior a aquella en que haya ocurrido el hecho generador de la subvención, que en el caso particular de las pensiones de sobrevivientes lo sería el deceso del afiliado.</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autoSpaceDE w:val="0"/>
        <w:autoSpaceDN w:val="0"/>
        <w:adjustRightInd w:val="0"/>
        <w:spacing w:line="276" w:lineRule="auto"/>
        <w:jc w:val="both"/>
        <w:rPr>
          <w:rFonts w:ascii="Arial" w:hAnsi="Arial" w:cs="Arial"/>
          <w:color w:val="000000"/>
          <w:szCs w:val="24"/>
          <w:lang w:val="es-ES"/>
        </w:rPr>
      </w:pPr>
      <w:r w:rsidRPr="00D578CB">
        <w:rPr>
          <w:rFonts w:ascii="Arial" w:hAnsi="Arial" w:cs="Arial"/>
          <w:szCs w:val="24"/>
        </w:rPr>
        <w:t>E</w:t>
      </w:r>
      <w:r w:rsidR="001D09CD">
        <w:rPr>
          <w:rFonts w:ascii="Arial" w:hAnsi="Arial" w:cs="Arial"/>
          <w:szCs w:val="24"/>
        </w:rPr>
        <w:t>n este orden de ideas, para el 05</w:t>
      </w:r>
      <w:r w:rsidRPr="00D578CB">
        <w:rPr>
          <w:rFonts w:ascii="Arial" w:hAnsi="Arial" w:cs="Arial"/>
          <w:szCs w:val="24"/>
        </w:rPr>
        <w:t xml:space="preserve"> de </w:t>
      </w:r>
      <w:r w:rsidR="001D09CD">
        <w:rPr>
          <w:rFonts w:ascii="Arial" w:hAnsi="Arial" w:cs="Arial"/>
          <w:szCs w:val="24"/>
        </w:rPr>
        <w:t xml:space="preserve">mayo </w:t>
      </w:r>
      <w:r>
        <w:rPr>
          <w:rFonts w:ascii="Arial" w:hAnsi="Arial" w:cs="Arial"/>
          <w:szCs w:val="24"/>
        </w:rPr>
        <w:t>de 20</w:t>
      </w:r>
      <w:r w:rsidR="001D09CD">
        <w:rPr>
          <w:rFonts w:ascii="Arial" w:hAnsi="Arial" w:cs="Arial"/>
          <w:szCs w:val="24"/>
        </w:rPr>
        <w:t>12</w:t>
      </w:r>
      <w:r w:rsidRPr="00D578CB">
        <w:rPr>
          <w:rFonts w:ascii="Arial" w:hAnsi="Arial" w:cs="Arial"/>
          <w:szCs w:val="24"/>
        </w:rPr>
        <w:t xml:space="preserve">, la norma vigente era la Ley 797 de 2003, por lo que la disposición inmediatamente anterior resulta ser la Ley 100 de 1993 en su versión original, </w:t>
      </w:r>
      <w:r w:rsidRPr="007B1977">
        <w:rPr>
          <w:rFonts w:ascii="Arial" w:hAnsi="Arial" w:cs="Arial"/>
          <w:color w:val="000000"/>
          <w:szCs w:val="24"/>
          <w:lang w:val="es-ES"/>
        </w:rPr>
        <w:t>cuyas exigencias tampoco se reunirían en este caso, pues según la historia laboral del</w:t>
      </w:r>
      <w:r>
        <w:rPr>
          <w:rFonts w:ascii="Arial" w:hAnsi="Arial" w:cs="Arial"/>
          <w:color w:val="000000"/>
          <w:szCs w:val="24"/>
          <w:lang w:val="es-ES"/>
        </w:rPr>
        <w:t xml:space="preserve"> afiliada</w:t>
      </w:r>
      <w:r w:rsidRPr="007B1977">
        <w:rPr>
          <w:rFonts w:ascii="Arial" w:hAnsi="Arial" w:cs="Arial"/>
          <w:color w:val="000000"/>
          <w:szCs w:val="24"/>
          <w:lang w:val="es-ES"/>
        </w:rPr>
        <w:t xml:space="preserve"> fallecid</w:t>
      </w:r>
      <w:r>
        <w:rPr>
          <w:rFonts w:ascii="Arial" w:hAnsi="Arial" w:cs="Arial"/>
          <w:color w:val="000000"/>
          <w:szCs w:val="24"/>
          <w:lang w:val="es-ES"/>
        </w:rPr>
        <w:t>a</w:t>
      </w:r>
      <w:r w:rsidRPr="007B1977">
        <w:rPr>
          <w:rFonts w:ascii="Arial" w:hAnsi="Arial" w:cs="Arial"/>
          <w:color w:val="000000"/>
          <w:szCs w:val="24"/>
          <w:lang w:val="es-ES"/>
        </w:rPr>
        <w:t xml:space="preserve"> allegada al proceso</w:t>
      </w:r>
      <w:r>
        <w:rPr>
          <w:rFonts w:ascii="Arial" w:hAnsi="Arial" w:cs="Arial"/>
          <w:color w:val="000000"/>
          <w:szCs w:val="24"/>
          <w:lang w:val="es-ES"/>
        </w:rPr>
        <w:t xml:space="preserve">, </w:t>
      </w:r>
      <w:r w:rsidRPr="007B1977">
        <w:rPr>
          <w:rFonts w:ascii="Arial" w:hAnsi="Arial" w:cs="Arial"/>
          <w:color w:val="000000"/>
          <w:szCs w:val="24"/>
          <w:lang w:val="es-ES"/>
        </w:rPr>
        <w:t>al momento de producirse la muerte, no se encontraba cotizando ni, tampoco, reportaba aportes por 26 semanas dentro del año inmediatamente anterior a esa fecha, como lo exigía la norma en cuestión</w:t>
      </w:r>
      <w:r w:rsidRPr="00D578CB">
        <w:rPr>
          <w:rFonts w:ascii="Arial" w:hAnsi="Arial" w:cs="Arial"/>
          <w:color w:val="000000"/>
          <w:szCs w:val="24"/>
          <w:lang w:val="es-ES"/>
        </w:rPr>
        <w:t xml:space="preserve">, toda vez que la última cotización realizada fue la del periodo de </w:t>
      </w:r>
      <w:r w:rsidR="001D09CD">
        <w:rPr>
          <w:rFonts w:ascii="Arial" w:hAnsi="Arial" w:cs="Arial"/>
          <w:color w:val="000000"/>
          <w:szCs w:val="24"/>
          <w:lang w:val="es-ES"/>
        </w:rPr>
        <w:t xml:space="preserve">noviembre </w:t>
      </w:r>
      <w:r w:rsidRPr="00D578CB">
        <w:rPr>
          <w:rFonts w:ascii="Arial" w:hAnsi="Arial" w:cs="Arial"/>
          <w:color w:val="000000"/>
          <w:szCs w:val="24"/>
          <w:lang w:val="es-ES"/>
        </w:rPr>
        <w:t xml:space="preserve">de </w:t>
      </w:r>
      <w:r w:rsidR="001D09CD">
        <w:rPr>
          <w:rFonts w:ascii="Arial" w:hAnsi="Arial" w:cs="Arial"/>
          <w:color w:val="000000"/>
          <w:szCs w:val="24"/>
          <w:lang w:val="es-ES"/>
        </w:rPr>
        <w:t>20</w:t>
      </w:r>
      <w:r w:rsidR="005A3485">
        <w:rPr>
          <w:rFonts w:ascii="Arial" w:hAnsi="Arial" w:cs="Arial"/>
          <w:color w:val="000000"/>
          <w:szCs w:val="24"/>
          <w:lang w:val="es-ES"/>
        </w:rPr>
        <w:t>03</w:t>
      </w:r>
      <w:r w:rsidRPr="007B1977">
        <w:rPr>
          <w:rFonts w:ascii="Arial" w:hAnsi="Arial" w:cs="Arial"/>
          <w:color w:val="000000"/>
          <w:szCs w:val="24"/>
          <w:lang w:val="es-ES"/>
        </w:rPr>
        <w:t>.</w:t>
      </w:r>
    </w:p>
    <w:p w:rsidR="00D81FFA" w:rsidRDefault="00D81FFA" w:rsidP="00D81FFA">
      <w:pPr>
        <w:autoSpaceDE w:val="0"/>
        <w:autoSpaceDN w:val="0"/>
        <w:adjustRightInd w:val="0"/>
        <w:spacing w:line="276" w:lineRule="auto"/>
        <w:jc w:val="both"/>
        <w:rPr>
          <w:rFonts w:ascii="Arial" w:hAnsi="Arial" w:cs="Arial"/>
          <w:color w:val="000000"/>
          <w:szCs w:val="24"/>
          <w:lang w:val="es-ES"/>
        </w:rPr>
      </w:pPr>
    </w:p>
    <w:p w:rsidR="00D81FFA" w:rsidRPr="005A3BF8" w:rsidRDefault="00D81FFA" w:rsidP="00D81FFA">
      <w:pPr>
        <w:autoSpaceDE w:val="0"/>
        <w:autoSpaceDN w:val="0"/>
        <w:adjustRightInd w:val="0"/>
        <w:spacing w:line="276" w:lineRule="auto"/>
        <w:jc w:val="both"/>
        <w:rPr>
          <w:rFonts w:ascii="Arial" w:hAnsi="Arial" w:cs="Arial"/>
          <w:sz w:val="22"/>
          <w:szCs w:val="22"/>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xml:space="preserve">, lo que significa que </w:t>
      </w:r>
      <w:proofErr w:type="spellStart"/>
      <w:r>
        <w:rPr>
          <w:rFonts w:ascii="Arial" w:hAnsi="Arial" w:cs="Arial"/>
          <w:color w:val="000000"/>
          <w:szCs w:val="24"/>
          <w:shd w:val="clear" w:color="auto" w:fill="FFFFFF"/>
        </w:rPr>
        <w:t>el</w:t>
      </w:r>
      <w:proofErr w:type="spellEnd"/>
      <w:r>
        <w:rPr>
          <w:rFonts w:ascii="Arial" w:hAnsi="Arial" w:cs="Arial"/>
          <w:color w:val="000000"/>
          <w:szCs w:val="24"/>
          <w:shd w:val="clear" w:color="auto" w:fill="FFFFFF"/>
        </w:rPr>
        <w:t xml:space="preserve">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D81FFA" w:rsidRDefault="00D81FFA" w:rsidP="00D81FFA">
      <w:pPr>
        <w:shd w:val="clear" w:color="auto" w:fill="FFFFFF"/>
        <w:spacing w:after="150" w:line="300" w:lineRule="atLeast"/>
        <w:jc w:val="both"/>
        <w:rPr>
          <w:rFonts w:ascii="Arial" w:hAnsi="Arial" w:cs="Arial"/>
          <w:color w:val="000000"/>
          <w:szCs w:val="24"/>
          <w:lang w:val="es-ES"/>
        </w:rPr>
      </w:pPr>
    </w:p>
    <w:p w:rsidR="00D81FFA" w:rsidRPr="00D578CB" w:rsidRDefault="00D81FFA" w:rsidP="00D81FFA">
      <w:pPr>
        <w:shd w:val="clear" w:color="auto" w:fill="FFFFFF"/>
        <w:spacing w:after="150" w:line="300" w:lineRule="atLeast"/>
        <w:jc w:val="both"/>
        <w:rPr>
          <w:rFonts w:ascii="Arial" w:hAnsi="Arial" w:cs="Arial"/>
          <w:szCs w:val="24"/>
        </w:rPr>
      </w:pPr>
      <w:r w:rsidRPr="00D578CB">
        <w:rPr>
          <w:rFonts w:ascii="Arial" w:hAnsi="Arial" w:cs="Arial"/>
          <w:color w:val="000000"/>
          <w:szCs w:val="24"/>
          <w:lang w:val="es-ES"/>
        </w:rPr>
        <w:t>Con base en lo anterior, concluye la Sala</w:t>
      </w:r>
      <w:r>
        <w:rPr>
          <w:rFonts w:ascii="Arial" w:hAnsi="Arial" w:cs="Arial"/>
          <w:color w:val="000000"/>
          <w:szCs w:val="24"/>
          <w:lang w:val="es-ES"/>
        </w:rPr>
        <w:t xml:space="preserve"> Mayoritaria</w:t>
      </w:r>
      <w:r w:rsidRPr="00D578CB">
        <w:rPr>
          <w:rFonts w:ascii="Arial" w:hAnsi="Arial" w:cs="Arial"/>
          <w:color w:val="000000"/>
          <w:szCs w:val="24"/>
          <w:lang w:val="es-ES"/>
        </w:rPr>
        <w:t xml:space="preserve">, que </w:t>
      </w:r>
      <w:r w:rsidR="001D09CD">
        <w:rPr>
          <w:rFonts w:ascii="Arial" w:hAnsi="Arial" w:cs="Arial"/>
          <w:color w:val="000000"/>
          <w:szCs w:val="24"/>
          <w:lang w:val="es-ES"/>
        </w:rPr>
        <w:t xml:space="preserve">el </w:t>
      </w:r>
      <w:r w:rsidRPr="00D578CB">
        <w:rPr>
          <w:rFonts w:ascii="Arial" w:hAnsi="Arial" w:cs="Arial"/>
          <w:color w:val="000000"/>
          <w:szCs w:val="24"/>
          <w:lang w:val="es-ES"/>
        </w:rPr>
        <w:t xml:space="preserve">señor </w:t>
      </w:r>
      <w:r w:rsidR="00A26951">
        <w:rPr>
          <w:rFonts w:ascii="Arial" w:hAnsi="Arial" w:cs="Arial"/>
          <w:color w:val="000000"/>
          <w:szCs w:val="24"/>
          <w:lang w:val="es-ES"/>
        </w:rPr>
        <w:t>José</w:t>
      </w:r>
      <w:r w:rsidR="001D09CD">
        <w:rPr>
          <w:rFonts w:ascii="Arial" w:hAnsi="Arial" w:cs="Arial"/>
          <w:color w:val="000000"/>
          <w:szCs w:val="24"/>
          <w:lang w:val="es-ES"/>
        </w:rPr>
        <w:t xml:space="preserve"> </w:t>
      </w:r>
      <w:proofErr w:type="spellStart"/>
      <w:r w:rsidR="001D09CD">
        <w:rPr>
          <w:rFonts w:ascii="Arial" w:hAnsi="Arial" w:cs="Arial"/>
          <w:color w:val="000000"/>
          <w:szCs w:val="24"/>
          <w:lang w:val="es-ES"/>
        </w:rPr>
        <w:t>Gilmer</w:t>
      </w:r>
      <w:proofErr w:type="spellEnd"/>
      <w:r w:rsidR="001D09CD">
        <w:rPr>
          <w:rFonts w:ascii="Arial" w:hAnsi="Arial" w:cs="Arial"/>
          <w:color w:val="000000"/>
          <w:szCs w:val="24"/>
          <w:lang w:val="es-ES"/>
        </w:rPr>
        <w:t xml:space="preserve"> Valencia Álvarez </w:t>
      </w:r>
      <w:r w:rsidRPr="00D578CB">
        <w:rPr>
          <w:rFonts w:ascii="Arial" w:hAnsi="Arial" w:cs="Arial"/>
          <w:szCs w:val="24"/>
        </w:rPr>
        <w:t xml:space="preserve">no dejó causado el derecho para que sus posibles beneficiarios adquirieran la pensión de sobrevivientes, por lo que por sustracción de materia se torna innecesario efectuar el análisis correspondiente frente al aspecto de la convivencia entre </w:t>
      </w:r>
      <w:r w:rsidR="001D09CD">
        <w:rPr>
          <w:rFonts w:ascii="Arial" w:hAnsi="Arial" w:cs="Arial"/>
          <w:szCs w:val="24"/>
        </w:rPr>
        <w:t xml:space="preserve">la </w:t>
      </w:r>
      <w:r w:rsidRPr="00D578CB">
        <w:rPr>
          <w:rFonts w:ascii="Arial" w:hAnsi="Arial" w:cs="Arial"/>
          <w:szCs w:val="24"/>
        </w:rPr>
        <w:t xml:space="preserve">demandante y </w:t>
      </w:r>
      <w:r w:rsidR="001D09CD">
        <w:rPr>
          <w:rFonts w:ascii="Arial" w:hAnsi="Arial" w:cs="Arial"/>
          <w:szCs w:val="24"/>
        </w:rPr>
        <w:t>el</w:t>
      </w:r>
      <w:r>
        <w:rPr>
          <w:rFonts w:ascii="Arial" w:hAnsi="Arial" w:cs="Arial"/>
          <w:szCs w:val="24"/>
        </w:rPr>
        <w:t xml:space="preserve"> </w:t>
      </w:r>
      <w:r w:rsidRPr="00D578CB">
        <w:rPr>
          <w:rFonts w:ascii="Arial" w:hAnsi="Arial" w:cs="Arial"/>
          <w:i/>
          <w:szCs w:val="24"/>
        </w:rPr>
        <w:t xml:space="preserve">de </w:t>
      </w:r>
      <w:proofErr w:type="spellStart"/>
      <w:r w:rsidRPr="00D578CB">
        <w:rPr>
          <w:rFonts w:ascii="Arial" w:hAnsi="Arial" w:cs="Arial"/>
          <w:i/>
          <w:szCs w:val="24"/>
        </w:rPr>
        <w:t>cujus</w:t>
      </w:r>
      <w:proofErr w:type="spellEnd"/>
      <w:r w:rsidRPr="00D578CB">
        <w:rPr>
          <w:rFonts w:ascii="Arial" w:hAnsi="Arial" w:cs="Arial"/>
          <w:i/>
          <w:szCs w:val="24"/>
        </w:rPr>
        <w:t>.</w:t>
      </w:r>
    </w:p>
    <w:p w:rsidR="00D81FFA" w:rsidRDefault="00D81FFA" w:rsidP="00D81FFA">
      <w:pPr>
        <w:pStyle w:val="Sinespaciado"/>
        <w:spacing w:line="276" w:lineRule="auto"/>
        <w:jc w:val="center"/>
        <w:rPr>
          <w:rFonts w:ascii="Arial" w:hAnsi="Arial" w:cs="Arial"/>
          <w:sz w:val="24"/>
          <w:szCs w:val="24"/>
        </w:rPr>
      </w:pPr>
    </w:p>
    <w:p w:rsidR="00D81FFA" w:rsidRDefault="00D81FFA" w:rsidP="00D81FFA">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D81FFA" w:rsidRPr="00195300" w:rsidRDefault="00D81FFA" w:rsidP="00D81FFA">
      <w:pPr>
        <w:pStyle w:val="Sinespaciado"/>
        <w:spacing w:line="276" w:lineRule="auto"/>
        <w:jc w:val="center"/>
        <w:rPr>
          <w:rFonts w:ascii="Arial" w:hAnsi="Arial" w:cs="Arial"/>
          <w:b/>
          <w:sz w:val="24"/>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en su totalidad la decisión revisada</w:t>
      </w:r>
      <w:r w:rsidRPr="00D578CB">
        <w:rPr>
          <w:rFonts w:ascii="Arial" w:hAnsi="Arial" w:cs="Arial"/>
          <w:szCs w:val="24"/>
        </w:rPr>
        <w:t>.</w:t>
      </w:r>
    </w:p>
    <w:p w:rsidR="00D81FFA" w:rsidRPr="00D578CB" w:rsidRDefault="00D81FFA" w:rsidP="00D81FFA">
      <w:pPr>
        <w:pStyle w:val="Sinespaciado"/>
        <w:spacing w:line="276" w:lineRule="auto"/>
        <w:jc w:val="center"/>
        <w:rPr>
          <w:rFonts w:ascii="Arial" w:hAnsi="Arial" w:cs="Arial"/>
          <w:sz w:val="24"/>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 xml:space="preserve">Costas en ambas instancias a cargo de la parte actora. </w:t>
      </w:r>
    </w:p>
    <w:p w:rsidR="00D81FFA" w:rsidRDefault="00D81FFA" w:rsidP="00D81FFA">
      <w:pPr>
        <w:pStyle w:val="Sinespaciado"/>
        <w:spacing w:line="276" w:lineRule="auto"/>
        <w:rPr>
          <w:rFonts w:ascii="Arial" w:hAnsi="Arial" w:cs="Arial"/>
          <w:sz w:val="24"/>
          <w:szCs w:val="24"/>
        </w:rPr>
      </w:pPr>
    </w:p>
    <w:p w:rsidR="00D81FFA" w:rsidRPr="00195300" w:rsidRDefault="00D81FFA" w:rsidP="00D81FFA">
      <w:pPr>
        <w:pStyle w:val="Sinespaciado"/>
        <w:spacing w:line="276" w:lineRule="auto"/>
        <w:jc w:val="center"/>
        <w:rPr>
          <w:rFonts w:ascii="Arial" w:hAnsi="Arial" w:cs="Arial"/>
          <w:b/>
          <w:sz w:val="24"/>
          <w:szCs w:val="24"/>
        </w:rPr>
      </w:pPr>
      <w:r w:rsidRPr="00195300">
        <w:rPr>
          <w:rFonts w:ascii="Arial" w:hAnsi="Arial" w:cs="Arial"/>
          <w:b/>
          <w:sz w:val="24"/>
          <w:szCs w:val="24"/>
        </w:rPr>
        <w:t>DECISIÓN</w:t>
      </w:r>
    </w:p>
    <w:p w:rsidR="00D81FFA" w:rsidRPr="00D578CB" w:rsidRDefault="00D81FFA" w:rsidP="00D81FFA">
      <w:pPr>
        <w:pStyle w:val="Sinespaciado"/>
        <w:spacing w:line="276" w:lineRule="auto"/>
        <w:rPr>
          <w:rFonts w:ascii="Arial" w:hAnsi="Arial" w:cs="Arial"/>
          <w:sz w:val="24"/>
          <w:szCs w:val="24"/>
        </w:rPr>
      </w:pPr>
    </w:p>
    <w:p w:rsidR="00D81FFA" w:rsidRPr="00D578CB" w:rsidRDefault="00D81FFA" w:rsidP="00D81FF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81FFA" w:rsidRPr="00D578CB" w:rsidRDefault="00D81FFA" w:rsidP="00D81FFA">
      <w:pPr>
        <w:pStyle w:val="Prrafodelista2"/>
        <w:spacing w:after="0"/>
        <w:ind w:left="0" w:firstLine="708"/>
        <w:jc w:val="both"/>
        <w:rPr>
          <w:rFonts w:ascii="Arial" w:hAnsi="Arial" w:cs="Arial"/>
          <w:sz w:val="24"/>
          <w:szCs w:val="24"/>
        </w:rPr>
      </w:pPr>
    </w:p>
    <w:p w:rsidR="00D81FFA" w:rsidRPr="00D578CB" w:rsidRDefault="00D81FFA" w:rsidP="00D81FFA">
      <w:pPr>
        <w:spacing w:line="276" w:lineRule="auto"/>
        <w:jc w:val="center"/>
        <w:rPr>
          <w:rFonts w:ascii="Arial" w:hAnsi="Arial" w:cs="Arial"/>
          <w:b/>
          <w:szCs w:val="24"/>
        </w:rPr>
      </w:pPr>
      <w:r w:rsidRPr="00D578CB">
        <w:rPr>
          <w:rFonts w:ascii="Arial" w:hAnsi="Arial" w:cs="Arial"/>
          <w:b/>
          <w:szCs w:val="24"/>
        </w:rPr>
        <w:t>RESUELVE</w:t>
      </w:r>
    </w:p>
    <w:p w:rsidR="00D81FFA" w:rsidRPr="00D578CB" w:rsidRDefault="00D81FFA" w:rsidP="00D81FFA">
      <w:pPr>
        <w:spacing w:line="276" w:lineRule="auto"/>
        <w:jc w:val="both"/>
        <w:rPr>
          <w:rFonts w:ascii="Arial" w:hAnsi="Arial" w:cs="Arial"/>
          <w:bCs/>
          <w:i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1D09CD">
        <w:rPr>
          <w:rFonts w:ascii="Arial" w:hAnsi="Arial" w:cs="Arial"/>
          <w:szCs w:val="24"/>
        </w:rPr>
        <w:t xml:space="preserve">24 </w:t>
      </w:r>
      <w:r w:rsidRPr="00D578CB">
        <w:rPr>
          <w:rFonts w:ascii="Arial" w:hAnsi="Arial" w:cs="Arial"/>
          <w:szCs w:val="24"/>
        </w:rPr>
        <w:t xml:space="preserve">de </w:t>
      </w:r>
      <w:r>
        <w:rPr>
          <w:rFonts w:ascii="Arial" w:hAnsi="Arial" w:cs="Arial"/>
          <w:szCs w:val="24"/>
        </w:rPr>
        <w:t xml:space="preserve">septiembre </w:t>
      </w:r>
      <w:r w:rsidRPr="00D578CB">
        <w:rPr>
          <w:rFonts w:ascii="Arial" w:hAnsi="Arial" w:cs="Arial"/>
          <w:szCs w:val="24"/>
        </w:rPr>
        <w:t xml:space="preserve">de 2015 por el Juzgado </w:t>
      </w:r>
      <w:r w:rsidR="001D09CD">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sidR="001D09CD">
        <w:rPr>
          <w:rFonts w:ascii="Arial" w:hAnsi="Arial" w:cs="Arial"/>
          <w:szCs w:val="24"/>
        </w:rPr>
        <w:t xml:space="preserve">la señora </w:t>
      </w:r>
      <w:r w:rsidR="001D09CD">
        <w:rPr>
          <w:rFonts w:ascii="Arial" w:hAnsi="Arial" w:cs="Arial"/>
          <w:b/>
          <w:szCs w:val="24"/>
        </w:rPr>
        <w:t xml:space="preserve">María </w:t>
      </w:r>
      <w:proofErr w:type="spellStart"/>
      <w:r w:rsidR="001D09CD">
        <w:rPr>
          <w:rFonts w:ascii="Arial" w:hAnsi="Arial" w:cs="Arial"/>
          <w:b/>
          <w:szCs w:val="24"/>
        </w:rPr>
        <w:t>Ismelda</w:t>
      </w:r>
      <w:proofErr w:type="spellEnd"/>
      <w:r w:rsidR="001D09CD">
        <w:rPr>
          <w:rFonts w:ascii="Arial" w:hAnsi="Arial" w:cs="Arial"/>
          <w:b/>
          <w:szCs w:val="24"/>
        </w:rPr>
        <w:t xml:space="preserve"> López de Valencia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r w:rsidRPr="00D578CB">
        <w:rPr>
          <w:rFonts w:ascii="Arial" w:hAnsi="Arial" w:cs="Arial"/>
          <w:bCs/>
          <w:iCs/>
          <w:szCs w:val="24"/>
        </w:rPr>
        <w:t xml:space="preserve"> </w:t>
      </w:r>
    </w:p>
    <w:p w:rsidR="00D81FFA" w:rsidRPr="00D578CB" w:rsidRDefault="00D81FFA" w:rsidP="00D81FFA">
      <w:pPr>
        <w:pStyle w:val="Sinespaciado"/>
        <w:spacing w:line="276" w:lineRule="auto"/>
        <w:rPr>
          <w:rFonts w:ascii="Arial" w:hAnsi="Arial" w:cs="Arial"/>
          <w:sz w:val="24"/>
          <w:szCs w:val="24"/>
        </w:rPr>
      </w:pPr>
    </w:p>
    <w:p w:rsidR="00D81FFA" w:rsidRPr="00D578CB" w:rsidRDefault="00D81FFA" w:rsidP="00D81FFA">
      <w:pPr>
        <w:autoSpaceDE w:val="0"/>
        <w:autoSpaceDN w:val="0"/>
        <w:adjustRightInd w:val="0"/>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Pr="00D578CB">
        <w:rPr>
          <w:rFonts w:ascii="Arial" w:hAnsi="Arial" w:cs="Arial"/>
          <w:b/>
          <w:szCs w:val="24"/>
        </w:rPr>
        <w:t>CONDENAR</w:t>
      </w:r>
      <w:r w:rsidRPr="00D578CB">
        <w:rPr>
          <w:rFonts w:ascii="Arial" w:hAnsi="Arial" w:cs="Arial"/>
          <w:szCs w:val="24"/>
        </w:rPr>
        <w:t xml:space="preserve"> en costas a la parte actora</w:t>
      </w:r>
      <w:r>
        <w:rPr>
          <w:rFonts w:ascii="Arial" w:hAnsi="Arial" w:cs="Arial"/>
          <w:szCs w:val="24"/>
        </w:rPr>
        <w:t xml:space="preserve"> dada la </w:t>
      </w:r>
      <w:proofErr w:type="spellStart"/>
      <w:r>
        <w:rPr>
          <w:rFonts w:ascii="Arial" w:hAnsi="Arial" w:cs="Arial"/>
          <w:szCs w:val="24"/>
        </w:rPr>
        <w:t>improsperidad</w:t>
      </w:r>
      <w:proofErr w:type="spellEnd"/>
      <w:r>
        <w:rPr>
          <w:rFonts w:ascii="Arial" w:hAnsi="Arial" w:cs="Arial"/>
          <w:szCs w:val="24"/>
        </w:rPr>
        <w:t xml:space="preserve"> del recurso de apelación interpuesto.</w:t>
      </w:r>
      <w:r w:rsidRPr="00D578CB">
        <w:rPr>
          <w:rFonts w:ascii="Arial" w:hAnsi="Arial" w:cs="Arial"/>
          <w:szCs w:val="24"/>
        </w:rPr>
        <w:t xml:space="preserve"> </w:t>
      </w:r>
    </w:p>
    <w:p w:rsidR="00D81FFA" w:rsidRDefault="00D81FFA" w:rsidP="00D81FF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81FFA" w:rsidRPr="00A47C8D" w:rsidRDefault="00D81FFA" w:rsidP="00D81FFA">
      <w:pPr>
        <w:spacing w:line="276" w:lineRule="auto"/>
        <w:contextualSpacing/>
        <w:jc w:val="both"/>
        <w:rPr>
          <w:rFonts w:ascii="Arial" w:hAnsi="Arial" w:cs="Arial"/>
          <w:szCs w:val="24"/>
        </w:rPr>
      </w:pPr>
    </w:p>
    <w:p w:rsidR="00D81FFA" w:rsidRPr="00A47C8D" w:rsidRDefault="00D81FFA" w:rsidP="00D81FF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81FFA" w:rsidRDefault="00D81FFA" w:rsidP="00D81FFA">
      <w:pPr>
        <w:pStyle w:val="Sinespaciado"/>
        <w:spacing w:line="276" w:lineRule="auto"/>
        <w:contextualSpacing/>
        <w:rPr>
          <w:rFonts w:ascii="Arial" w:hAnsi="Arial" w:cs="Arial"/>
          <w:sz w:val="24"/>
          <w:szCs w:val="24"/>
          <w:lang w:val="es-ES"/>
        </w:rPr>
      </w:pPr>
    </w:p>
    <w:p w:rsidR="00D81FFA" w:rsidRPr="00D578CB" w:rsidRDefault="00D81FFA" w:rsidP="00D81FFA">
      <w:pPr>
        <w:pStyle w:val="Sinespaciado"/>
        <w:spacing w:line="276" w:lineRule="auto"/>
        <w:contextualSpacing/>
        <w:rPr>
          <w:rFonts w:ascii="Arial" w:hAnsi="Arial" w:cs="Arial"/>
          <w:sz w:val="24"/>
          <w:szCs w:val="24"/>
          <w:lang w:val="es-ES"/>
        </w:rPr>
      </w:pPr>
    </w:p>
    <w:p w:rsidR="00D81FFA" w:rsidRPr="00D578CB" w:rsidRDefault="00D81FFA" w:rsidP="00D81FFA">
      <w:pPr>
        <w:pStyle w:val="Sinespaciado"/>
        <w:spacing w:line="276" w:lineRule="auto"/>
        <w:contextualSpacing/>
        <w:rPr>
          <w:rFonts w:ascii="Arial" w:hAnsi="Arial" w:cs="Arial"/>
          <w:sz w:val="24"/>
          <w:szCs w:val="24"/>
        </w:rPr>
      </w:pPr>
    </w:p>
    <w:p w:rsidR="00D81FFA" w:rsidRPr="00D578CB" w:rsidRDefault="00D81FFA" w:rsidP="00D81FFA">
      <w:pPr>
        <w:pStyle w:val="Sinespaciado"/>
        <w:spacing w:line="276" w:lineRule="auto"/>
        <w:contextualSpacing/>
        <w:jc w:val="center"/>
        <w:rPr>
          <w:rFonts w:ascii="Arial" w:hAnsi="Arial" w:cs="Arial"/>
          <w:sz w:val="24"/>
          <w:szCs w:val="24"/>
          <w:lang w:val="es-ES"/>
        </w:rPr>
      </w:pPr>
    </w:p>
    <w:p w:rsidR="00D81FFA" w:rsidRPr="00D578CB" w:rsidRDefault="00D81FFA" w:rsidP="00D81FF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81FFA" w:rsidRPr="00D578CB" w:rsidRDefault="00D81FFA" w:rsidP="00D81FF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81FFA" w:rsidRPr="00D578CB" w:rsidRDefault="00D81FFA" w:rsidP="00D81FFA">
      <w:pPr>
        <w:spacing w:line="276" w:lineRule="auto"/>
        <w:ind w:firstLine="900"/>
        <w:contextualSpacing/>
        <w:jc w:val="center"/>
        <w:rPr>
          <w:rFonts w:ascii="Arial" w:hAnsi="Arial" w:cs="Arial"/>
          <w:b/>
          <w:szCs w:val="24"/>
          <w:lang w:val="es-ES"/>
        </w:rPr>
      </w:pPr>
    </w:p>
    <w:p w:rsidR="00D81FFA" w:rsidRPr="0045273B" w:rsidRDefault="00D81FFA" w:rsidP="00D81FFA">
      <w:pPr>
        <w:pStyle w:val="Sinespaciado"/>
        <w:spacing w:line="276" w:lineRule="auto"/>
        <w:contextualSpacing/>
        <w:rPr>
          <w:rFonts w:ascii="Arial" w:hAnsi="Arial" w:cs="Arial"/>
          <w:sz w:val="23"/>
          <w:szCs w:val="23"/>
          <w:lang w:val="es-ES"/>
        </w:rPr>
      </w:pPr>
    </w:p>
    <w:p w:rsidR="00D81FFA" w:rsidRPr="0045273B" w:rsidRDefault="00D81FFA" w:rsidP="00D81FFA">
      <w:pPr>
        <w:pStyle w:val="Sinespaciado"/>
        <w:spacing w:line="276" w:lineRule="auto"/>
        <w:contextualSpacing/>
        <w:rPr>
          <w:rFonts w:ascii="Arial" w:hAnsi="Arial" w:cs="Arial"/>
          <w:sz w:val="23"/>
          <w:szCs w:val="23"/>
          <w:lang w:val="es-ES"/>
        </w:rPr>
      </w:pPr>
    </w:p>
    <w:p w:rsidR="00D81FFA" w:rsidRDefault="00D81FFA" w:rsidP="00D81FFA">
      <w:pPr>
        <w:spacing w:line="276" w:lineRule="auto"/>
        <w:contextualSpacing/>
        <w:jc w:val="both"/>
        <w:rPr>
          <w:rFonts w:ascii="Arial" w:hAnsi="Arial" w:cs="Arial"/>
          <w:b/>
          <w:bCs/>
          <w:iCs/>
          <w:sz w:val="23"/>
          <w:szCs w:val="23"/>
          <w:lang w:val="es-ES"/>
        </w:rPr>
      </w:pP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81FFA"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81FFA" w:rsidRPr="00676BCA" w:rsidRDefault="00D81FFA" w:rsidP="00D81FFA">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Pr="00676BCA">
        <w:rPr>
          <w:rFonts w:ascii="Arial" w:hAnsi="Arial" w:cs="Arial"/>
          <w:sz w:val="20"/>
          <w:lang w:val="es-ES"/>
        </w:rPr>
        <w:t xml:space="preserve">        (</w:t>
      </w:r>
      <w:proofErr w:type="gramStart"/>
      <w:r w:rsidRPr="00676BCA">
        <w:rPr>
          <w:rFonts w:ascii="Arial" w:hAnsi="Arial" w:cs="Arial"/>
          <w:sz w:val="20"/>
          <w:lang w:val="es-ES"/>
        </w:rPr>
        <w:t>salva</w:t>
      </w:r>
      <w:proofErr w:type="gramEnd"/>
      <w:r w:rsidRPr="00676BCA">
        <w:rPr>
          <w:rFonts w:ascii="Arial" w:hAnsi="Arial" w:cs="Arial"/>
          <w:sz w:val="20"/>
          <w:lang w:val="es-ES"/>
        </w:rPr>
        <w:t xml:space="preserve"> voto)</w:t>
      </w: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D81FFA" w:rsidP="00D81FFA">
      <w:pPr>
        <w:spacing w:line="276" w:lineRule="auto"/>
        <w:ind w:firstLine="900"/>
        <w:contextualSpacing/>
        <w:jc w:val="both"/>
        <w:rPr>
          <w:rFonts w:ascii="Arial" w:hAnsi="Arial" w:cs="Arial"/>
          <w:bCs/>
          <w:iCs/>
          <w:szCs w:val="24"/>
          <w:lang w:val="es-ES"/>
        </w:rPr>
      </w:pPr>
    </w:p>
    <w:p w:rsidR="00D81FFA" w:rsidRPr="00AC486E" w:rsidRDefault="00D81FFA" w:rsidP="00D81FF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81FFA" w:rsidRDefault="00D81FFA" w:rsidP="00D81FFA">
      <w:pPr>
        <w:spacing w:line="276" w:lineRule="auto"/>
        <w:ind w:firstLine="900"/>
        <w:contextualSpacing/>
        <w:jc w:val="center"/>
        <w:rPr>
          <w:rFonts w:ascii="Arial" w:hAnsi="Arial" w:cs="Arial"/>
          <w:i/>
          <w:iCs/>
          <w:szCs w:val="24"/>
          <w:lang w:val="es-ES"/>
        </w:rPr>
      </w:pPr>
      <w:r>
        <w:rPr>
          <w:rFonts w:ascii="Arial" w:hAnsi="Arial" w:cs="Arial"/>
          <w:iCs/>
          <w:szCs w:val="24"/>
          <w:lang w:val="es-ES"/>
        </w:rPr>
        <w:t xml:space="preserve">Secretario </w:t>
      </w:r>
      <w:r w:rsidRPr="00AA4554">
        <w:rPr>
          <w:rFonts w:ascii="Arial" w:hAnsi="Arial" w:cs="Arial"/>
          <w:i/>
          <w:iCs/>
          <w:szCs w:val="24"/>
          <w:lang w:val="es-ES"/>
        </w:rPr>
        <w:t>Ad-hoc</w:t>
      </w:r>
    </w:p>
    <w:p w:rsidR="00D81FFA" w:rsidRPr="00AC486E" w:rsidRDefault="00D81FFA" w:rsidP="00D81FFA">
      <w:pPr>
        <w:spacing w:line="276" w:lineRule="auto"/>
        <w:jc w:val="both"/>
        <w:rPr>
          <w:rFonts w:ascii="Arial" w:hAnsi="Arial" w:cs="Arial"/>
          <w:szCs w:val="24"/>
        </w:rPr>
      </w:pPr>
    </w:p>
    <w:p w:rsidR="00851193" w:rsidRDefault="00851193" w:rsidP="00D81FFA">
      <w:pPr>
        <w:tabs>
          <w:tab w:val="left" w:pos="0"/>
          <w:tab w:val="left" w:pos="8647"/>
        </w:tabs>
        <w:suppressAutoHyphens/>
        <w:spacing w:line="276" w:lineRule="auto"/>
        <w:jc w:val="both"/>
        <w:rPr>
          <w:rFonts w:ascii="Arial" w:hAnsi="Arial"/>
          <w:szCs w:val="24"/>
        </w:rPr>
      </w:pPr>
    </w:p>
    <w:sectPr w:rsidR="00851193"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506" w:rsidRDefault="00253506" w:rsidP="00226D5F">
      <w:r>
        <w:separator/>
      </w:r>
    </w:p>
  </w:endnote>
  <w:endnote w:type="continuationSeparator" w:id="0">
    <w:p w:rsidR="00253506" w:rsidRDefault="0025350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A00" w:rsidRDefault="0083155E"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5C8A">
      <w:rPr>
        <w:rStyle w:val="Nmerodepgina"/>
        <w:noProof/>
      </w:rPr>
      <w:t>2</w:t>
    </w:r>
    <w:r>
      <w:rPr>
        <w:rStyle w:val="Nmerodepgina"/>
      </w:rPr>
      <w:fldChar w:fldCharType="end"/>
    </w:r>
  </w:p>
  <w:p w:rsidR="00D62A00" w:rsidRDefault="00D62A00"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506" w:rsidRDefault="00253506" w:rsidP="00226D5F">
      <w:r>
        <w:separator/>
      </w:r>
    </w:p>
  </w:footnote>
  <w:footnote w:type="continuationSeparator" w:id="0">
    <w:p w:rsidR="00253506" w:rsidRDefault="00253506" w:rsidP="00226D5F">
      <w:r>
        <w:continuationSeparator/>
      </w:r>
    </w:p>
  </w:footnote>
  <w:footnote w:id="1">
    <w:p w:rsidR="00D81FFA" w:rsidRPr="00DD3634" w:rsidRDefault="00D81FFA" w:rsidP="00D81FFA">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sidRPr="00DD3634">
        <w:rPr>
          <w:rFonts w:ascii="Arial" w:eastAsia="Calibri" w:hAnsi="Arial" w:cs="Arial"/>
          <w:sz w:val="18"/>
          <w:szCs w:val="18"/>
        </w:rPr>
        <w:t xml:space="preserve">Gustavo Hernando López </w:t>
      </w:r>
      <w:proofErr w:type="spellStart"/>
      <w:r w:rsidRPr="00DD3634">
        <w:rPr>
          <w:rFonts w:ascii="Arial" w:eastAsia="Calibri" w:hAnsi="Arial" w:cs="Arial"/>
          <w:sz w:val="18"/>
          <w:szCs w:val="18"/>
        </w:rPr>
        <w:t>Algarra</w:t>
      </w:r>
      <w:proofErr w:type="spellEnd"/>
      <w:r w:rsidRPr="00DD3634">
        <w:rPr>
          <w:rFonts w:ascii="Arial" w:eastAsia="Calibri" w:hAnsi="Arial" w:cs="Arial"/>
          <w:sz w:val="18"/>
          <w:szCs w:val="18"/>
        </w:rPr>
        <w:t xml:space="preserve">. </w:t>
      </w:r>
      <w:r w:rsidRPr="00DD3634">
        <w:rPr>
          <w:rFonts w:ascii="Arial" w:hAnsi="Arial" w:cs="Arial"/>
          <w:sz w:val="18"/>
          <w:szCs w:val="18"/>
          <w:lang w:val="es-ES"/>
        </w:rPr>
        <w:t xml:space="preserve">SL16867-2015. </w:t>
      </w:r>
      <w:r w:rsidRPr="00DD3634">
        <w:rPr>
          <w:rFonts w:ascii="Arial" w:eastAsia="Calibri" w:hAnsi="Arial" w:cs="Arial"/>
          <w:sz w:val="18"/>
          <w:szCs w:val="18"/>
        </w:rPr>
        <w:t>Radicación N° 47022 de 2 de diciembre de 2015</w:t>
      </w:r>
      <w:r>
        <w:rPr>
          <w:rFonts w:ascii="Arial" w:eastAsia="Calibri" w:hAnsi="Arial" w:cs="Arial"/>
          <w:sz w:val="18"/>
          <w:szCs w:val="18"/>
        </w:rPr>
        <w:t>.</w:t>
      </w:r>
    </w:p>
    <w:p w:rsidR="00D81FFA" w:rsidRPr="00A27137" w:rsidRDefault="00D81FFA" w:rsidP="00D81FFA">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9A2A82">
      <w:rPr>
        <w:rFonts w:ascii="Arial" w:hAnsi="Arial" w:cs="Arial"/>
        <w:sz w:val="18"/>
        <w:szCs w:val="18"/>
      </w:rPr>
      <w:t>3</w:t>
    </w:r>
    <w:r w:rsidR="00876B39">
      <w:rPr>
        <w:rFonts w:ascii="Arial" w:hAnsi="Arial" w:cs="Arial"/>
        <w:sz w:val="18"/>
        <w:szCs w:val="18"/>
      </w:rPr>
      <w:t>-201</w:t>
    </w:r>
    <w:r w:rsidR="009A2A82">
      <w:rPr>
        <w:rFonts w:ascii="Arial" w:hAnsi="Arial" w:cs="Arial"/>
        <w:sz w:val="18"/>
        <w:szCs w:val="18"/>
      </w:rPr>
      <w:t>5</w:t>
    </w:r>
    <w:r w:rsidRPr="00F5729C">
      <w:rPr>
        <w:rFonts w:ascii="Arial" w:hAnsi="Arial" w:cs="Arial"/>
        <w:sz w:val="18"/>
        <w:szCs w:val="18"/>
      </w:rPr>
      <w:t>-00</w:t>
    </w:r>
    <w:r w:rsidR="009A2A82">
      <w:rPr>
        <w:rFonts w:ascii="Arial" w:hAnsi="Arial" w:cs="Arial"/>
        <w:sz w:val="18"/>
        <w:szCs w:val="18"/>
      </w:rPr>
      <w:t>162</w:t>
    </w:r>
    <w:r w:rsidRPr="00F5729C">
      <w:rPr>
        <w:rFonts w:ascii="Arial" w:hAnsi="Arial" w:cs="Arial"/>
        <w:sz w:val="18"/>
        <w:szCs w:val="18"/>
      </w:rPr>
      <w:t>-01</w:t>
    </w:r>
  </w:p>
  <w:p w:rsidR="00F5729C" w:rsidRPr="00F5729C" w:rsidRDefault="009A2A82" w:rsidP="00F5729C">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Ismelda</w:t>
    </w:r>
    <w:proofErr w:type="spellEnd"/>
    <w:r>
      <w:rPr>
        <w:rFonts w:ascii="Arial" w:hAnsi="Arial" w:cs="Arial"/>
        <w:sz w:val="18"/>
        <w:szCs w:val="18"/>
      </w:rPr>
      <w:t xml:space="preserve"> López de Valencia</w:t>
    </w:r>
    <w:r w:rsidR="000C79DB">
      <w:rPr>
        <w:rFonts w:ascii="Arial" w:hAnsi="Arial" w:cs="Arial"/>
        <w:sz w:val="18"/>
        <w:szCs w:val="18"/>
      </w:rPr>
      <w:t xml:space="preserve">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581C"/>
    <w:rsid w:val="00005D7F"/>
    <w:rsid w:val="00007B72"/>
    <w:rsid w:val="00010F66"/>
    <w:rsid w:val="00011774"/>
    <w:rsid w:val="000137BB"/>
    <w:rsid w:val="00017A69"/>
    <w:rsid w:val="00022684"/>
    <w:rsid w:val="000237B7"/>
    <w:rsid w:val="000252B4"/>
    <w:rsid w:val="00025774"/>
    <w:rsid w:val="00026C2A"/>
    <w:rsid w:val="00027862"/>
    <w:rsid w:val="00040018"/>
    <w:rsid w:val="00040E9A"/>
    <w:rsid w:val="000429E7"/>
    <w:rsid w:val="000452F4"/>
    <w:rsid w:val="00052904"/>
    <w:rsid w:val="000547C7"/>
    <w:rsid w:val="00057FAE"/>
    <w:rsid w:val="00062F54"/>
    <w:rsid w:val="00064DBC"/>
    <w:rsid w:val="00080C0E"/>
    <w:rsid w:val="00081E7D"/>
    <w:rsid w:val="00083043"/>
    <w:rsid w:val="00083178"/>
    <w:rsid w:val="00084002"/>
    <w:rsid w:val="00094680"/>
    <w:rsid w:val="000A2BBF"/>
    <w:rsid w:val="000A397D"/>
    <w:rsid w:val="000B4CF2"/>
    <w:rsid w:val="000C08B1"/>
    <w:rsid w:val="000C08C0"/>
    <w:rsid w:val="000C0A51"/>
    <w:rsid w:val="000C4847"/>
    <w:rsid w:val="000C626B"/>
    <w:rsid w:val="000C6BEB"/>
    <w:rsid w:val="000C79DB"/>
    <w:rsid w:val="000C79E0"/>
    <w:rsid w:val="000C7D58"/>
    <w:rsid w:val="000D0444"/>
    <w:rsid w:val="000D1130"/>
    <w:rsid w:val="000D6873"/>
    <w:rsid w:val="000D6AE3"/>
    <w:rsid w:val="000E3C0E"/>
    <w:rsid w:val="000E409A"/>
    <w:rsid w:val="000E70EB"/>
    <w:rsid w:val="000E7E87"/>
    <w:rsid w:val="000E7F42"/>
    <w:rsid w:val="000F08C1"/>
    <w:rsid w:val="000F38F8"/>
    <w:rsid w:val="000F5775"/>
    <w:rsid w:val="000F6FF9"/>
    <w:rsid w:val="001013ED"/>
    <w:rsid w:val="00101DEB"/>
    <w:rsid w:val="00102D9F"/>
    <w:rsid w:val="00103D79"/>
    <w:rsid w:val="00106A7E"/>
    <w:rsid w:val="00117283"/>
    <w:rsid w:val="00121C7F"/>
    <w:rsid w:val="00121F87"/>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4747"/>
    <w:rsid w:val="00154754"/>
    <w:rsid w:val="00164E8B"/>
    <w:rsid w:val="001664B1"/>
    <w:rsid w:val="001667FB"/>
    <w:rsid w:val="00171C56"/>
    <w:rsid w:val="00172834"/>
    <w:rsid w:val="00173A2A"/>
    <w:rsid w:val="00183477"/>
    <w:rsid w:val="00183F07"/>
    <w:rsid w:val="001843BE"/>
    <w:rsid w:val="0018666F"/>
    <w:rsid w:val="00187075"/>
    <w:rsid w:val="001926F2"/>
    <w:rsid w:val="00194121"/>
    <w:rsid w:val="001945F3"/>
    <w:rsid w:val="001A2492"/>
    <w:rsid w:val="001A2E17"/>
    <w:rsid w:val="001A4058"/>
    <w:rsid w:val="001A4D21"/>
    <w:rsid w:val="001B03FA"/>
    <w:rsid w:val="001B05A6"/>
    <w:rsid w:val="001C1802"/>
    <w:rsid w:val="001C46FA"/>
    <w:rsid w:val="001C4D7F"/>
    <w:rsid w:val="001D09CD"/>
    <w:rsid w:val="001D1DD4"/>
    <w:rsid w:val="001D38D5"/>
    <w:rsid w:val="001D3A2C"/>
    <w:rsid w:val="001D6261"/>
    <w:rsid w:val="001E0313"/>
    <w:rsid w:val="001E3462"/>
    <w:rsid w:val="001E64EA"/>
    <w:rsid w:val="001F20CE"/>
    <w:rsid w:val="001F22E5"/>
    <w:rsid w:val="001F38E1"/>
    <w:rsid w:val="001F4ABB"/>
    <w:rsid w:val="001F60D8"/>
    <w:rsid w:val="00217431"/>
    <w:rsid w:val="002233EC"/>
    <w:rsid w:val="00226D5F"/>
    <w:rsid w:val="0023095E"/>
    <w:rsid w:val="00230A28"/>
    <w:rsid w:val="00230AFD"/>
    <w:rsid w:val="00231C21"/>
    <w:rsid w:val="002320EB"/>
    <w:rsid w:val="00233151"/>
    <w:rsid w:val="002355AF"/>
    <w:rsid w:val="00242152"/>
    <w:rsid w:val="00243527"/>
    <w:rsid w:val="002440B3"/>
    <w:rsid w:val="00244804"/>
    <w:rsid w:val="0024524B"/>
    <w:rsid w:val="00247BBE"/>
    <w:rsid w:val="00251CC1"/>
    <w:rsid w:val="0025347E"/>
    <w:rsid w:val="00253506"/>
    <w:rsid w:val="00255BC3"/>
    <w:rsid w:val="002561D7"/>
    <w:rsid w:val="002601A0"/>
    <w:rsid w:val="00261F6D"/>
    <w:rsid w:val="00265520"/>
    <w:rsid w:val="0026682F"/>
    <w:rsid w:val="00272C8B"/>
    <w:rsid w:val="00273805"/>
    <w:rsid w:val="00280037"/>
    <w:rsid w:val="00282763"/>
    <w:rsid w:val="002828C4"/>
    <w:rsid w:val="00286873"/>
    <w:rsid w:val="00287CC2"/>
    <w:rsid w:val="00290C0B"/>
    <w:rsid w:val="002916E6"/>
    <w:rsid w:val="002A02BA"/>
    <w:rsid w:val="002A1785"/>
    <w:rsid w:val="002A2840"/>
    <w:rsid w:val="002A6219"/>
    <w:rsid w:val="002B556B"/>
    <w:rsid w:val="002B6F2A"/>
    <w:rsid w:val="002B7D79"/>
    <w:rsid w:val="002C15F7"/>
    <w:rsid w:val="002C313D"/>
    <w:rsid w:val="002C5345"/>
    <w:rsid w:val="002D6807"/>
    <w:rsid w:val="002E09C2"/>
    <w:rsid w:val="002E36F9"/>
    <w:rsid w:val="002E4F47"/>
    <w:rsid w:val="002E6E80"/>
    <w:rsid w:val="002F07BA"/>
    <w:rsid w:val="002F2A42"/>
    <w:rsid w:val="002F5878"/>
    <w:rsid w:val="0030012D"/>
    <w:rsid w:val="00304335"/>
    <w:rsid w:val="003048D2"/>
    <w:rsid w:val="0030740B"/>
    <w:rsid w:val="00311E5B"/>
    <w:rsid w:val="00312238"/>
    <w:rsid w:val="0031266A"/>
    <w:rsid w:val="00313DC2"/>
    <w:rsid w:val="003159C2"/>
    <w:rsid w:val="00316580"/>
    <w:rsid w:val="00324AD2"/>
    <w:rsid w:val="00325F73"/>
    <w:rsid w:val="003300DB"/>
    <w:rsid w:val="00332BE9"/>
    <w:rsid w:val="00334515"/>
    <w:rsid w:val="003401A7"/>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72347"/>
    <w:rsid w:val="00376926"/>
    <w:rsid w:val="00382914"/>
    <w:rsid w:val="00382C70"/>
    <w:rsid w:val="00390620"/>
    <w:rsid w:val="003906F7"/>
    <w:rsid w:val="00390B71"/>
    <w:rsid w:val="003922FA"/>
    <w:rsid w:val="00392455"/>
    <w:rsid w:val="003932F1"/>
    <w:rsid w:val="003968C4"/>
    <w:rsid w:val="003A0003"/>
    <w:rsid w:val="003B1A0F"/>
    <w:rsid w:val="003B48CC"/>
    <w:rsid w:val="003B4EA7"/>
    <w:rsid w:val="003B6DFE"/>
    <w:rsid w:val="003C42A6"/>
    <w:rsid w:val="003C4C10"/>
    <w:rsid w:val="003C5994"/>
    <w:rsid w:val="003D0DFC"/>
    <w:rsid w:val="003D2D7B"/>
    <w:rsid w:val="003D362A"/>
    <w:rsid w:val="003D3FD3"/>
    <w:rsid w:val="003E7752"/>
    <w:rsid w:val="003F1AB1"/>
    <w:rsid w:val="003F39CE"/>
    <w:rsid w:val="00404C23"/>
    <w:rsid w:val="00405796"/>
    <w:rsid w:val="004059CE"/>
    <w:rsid w:val="00406A44"/>
    <w:rsid w:val="00412CB5"/>
    <w:rsid w:val="004167F6"/>
    <w:rsid w:val="00416A8D"/>
    <w:rsid w:val="00417928"/>
    <w:rsid w:val="00427FE1"/>
    <w:rsid w:val="00433ACE"/>
    <w:rsid w:val="004348AB"/>
    <w:rsid w:val="004375AE"/>
    <w:rsid w:val="00443AD9"/>
    <w:rsid w:val="004453BD"/>
    <w:rsid w:val="00450598"/>
    <w:rsid w:val="00450903"/>
    <w:rsid w:val="0045143F"/>
    <w:rsid w:val="004519EB"/>
    <w:rsid w:val="0045273B"/>
    <w:rsid w:val="00453DC3"/>
    <w:rsid w:val="00454184"/>
    <w:rsid w:val="00460B2F"/>
    <w:rsid w:val="00470873"/>
    <w:rsid w:val="00475B9D"/>
    <w:rsid w:val="00480C56"/>
    <w:rsid w:val="00484A44"/>
    <w:rsid w:val="00485C06"/>
    <w:rsid w:val="004864DD"/>
    <w:rsid w:val="004A2468"/>
    <w:rsid w:val="004A36E0"/>
    <w:rsid w:val="004A7AB4"/>
    <w:rsid w:val="004B632F"/>
    <w:rsid w:val="004B6775"/>
    <w:rsid w:val="004C28EB"/>
    <w:rsid w:val="004C5B27"/>
    <w:rsid w:val="004C746A"/>
    <w:rsid w:val="004D018B"/>
    <w:rsid w:val="004D01C5"/>
    <w:rsid w:val="004D0233"/>
    <w:rsid w:val="004D4073"/>
    <w:rsid w:val="004E0CD7"/>
    <w:rsid w:val="004E2F7F"/>
    <w:rsid w:val="004E4CC6"/>
    <w:rsid w:val="004F2040"/>
    <w:rsid w:val="004F5C24"/>
    <w:rsid w:val="004F724D"/>
    <w:rsid w:val="00501034"/>
    <w:rsid w:val="00502691"/>
    <w:rsid w:val="00503D70"/>
    <w:rsid w:val="0051055C"/>
    <w:rsid w:val="005144E9"/>
    <w:rsid w:val="00515BDC"/>
    <w:rsid w:val="00516ACD"/>
    <w:rsid w:val="005237D3"/>
    <w:rsid w:val="00533F10"/>
    <w:rsid w:val="0053562A"/>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161A"/>
    <w:rsid w:val="00572BE9"/>
    <w:rsid w:val="005748DA"/>
    <w:rsid w:val="00580565"/>
    <w:rsid w:val="0058139C"/>
    <w:rsid w:val="0058592D"/>
    <w:rsid w:val="00586CB3"/>
    <w:rsid w:val="005878E1"/>
    <w:rsid w:val="00590466"/>
    <w:rsid w:val="00591F75"/>
    <w:rsid w:val="005928B5"/>
    <w:rsid w:val="00594723"/>
    <w:rsid w:val="00595001"/>
    <w:rsid w:val="00596038"/>
    <w:rsid w:val="005A026A"/>
    <w:rsid w:val="005A0EC3"/>
    <w:rsid w:val="005A3485"/>
    <w:rsid w:val="005A4B1A"/>
    <w:rsid w:val="005A56AD"/>
    <w:rsid w:val="005A6DB9"/>
    <w:rsid w:val="005B2C2D"/>
    <w:rsid w:val="005B34D8"/>
    <w:rsid w:val="005B5E47"/>
    <w:rsid w:val="005B7D0B"/>
    <w:rsid w:val="005C041C"/>
    <w:rsid w:val="005C32CE"/>
    <w:rsid w:val="005C3850"/>
    <w:rsid w:val="005C3E71"/>
    <w:rsid w:val="005D1C5A"/>
    <w:rsid w:val="005D4E0F"/>
    <w:rsid w:val="005D5800"/>
    <w:rsid w:val="005D64E2"/>
    <w:rsid w:val="005D7A47"/>
    <w:rsid w:val="005D7D55"/>
    <w:rsid w:val="005E0ED1"/>
    <w:rsid w:val="005E1981"/>
    <w:rsid w:val="005E44F6"/>
    <w:rsid w:val="005E49FB"/>
    <w:rsid w:val="005E664B"/>
    <w:rsid w:val="005E7DA5"/>
    <w:rsid w:val="005F0A5D"/>
    <w:rsid w:val="005F1504"/>
    <w:rsid w:val="005F36B2"/>
    <w:rsid w:val="005F3F1E"/>
    <w:rsid w:val="005F5DF3"/>
    <w:rsid w:val="005F5E82"/>
    <w:rsid w:val="006121A6"/>
    <w:rsid w:val="006135E9"/>
    <w:rsid w:val="006143EE"/>
    <w:rsid w:val="0061484D"/>
    <w:rsid w:val="006149E0"/>
    <w:rsid w:val="00615E23"/>
    <w:rsid w:val="0062213D"/>
    <w:rsid w:val="00622B0F"/>
    <w:rsid w:val="00634B91"/>
    <w:rsid w:val="00634BCA"/>
    <w:rsid w:val="00635000"/>
    <w:rsid w:val="00637118"/>
    <w:rsid w:val="006407FE"/>
    <w:rsid w:val="00640EDF"/>
    <w:rsid w:val="0064158C"/>
    <w:rsid w:val="006424B0"/>
    <w:rsid w:val="00643D10"/>
    <w:rsid w:val="0064473C"/>
    <w:rsid w:val="00644DEC"/>
    <w:rsid w:val="00650668"/>
    <w:rsid w:val="00650C2E"/>
    <w:rsid w:val="006516CA"/>
    <w:rsid w:val="006528E0"/>
    <w:rsid w:val="00660FA6"/>
    <w:rsid w:val="00662013"/>
    <w:rsid w:val="00662287"/>
    <w:rsid w:val="00662BF5"/>
    <w:rsid w:val="006746D0"/>
    <w:rsid w:val="00675E25"/>
    <w:rsid w:val="0067695F"/>
    <w:rsid w:val="00682BA8"/>
    <w:rsid w:val="00685A19"/>
    <w:rsid w:val="00687454"/>
    <w:rsid w:val="00690E1D"/>
    <w:rsid w:val="00691827"/>
    <w:rsid w:val="00691D5C"/>
    <w:rsid w:val="006A0D48"/>
    <w:rsid w:val="006A3D88"/>
    <w:rsid w:val="006A4FD9"/>
    <w:rsid w:val="006B16AF"/>
    <w:rsid w:val="006C1C3B"/>
    <w:rsid w:val="006C48AA"/>
    <w:rsid w:val="006C4EE8"/>
    <w:rsid w:val="006C5953"/>
    <w:rsid w:val="006D0816"/>
    <w:rsid w:val="006D15F2"/>
    <w:rsid w:val="006D46EB"/>
    <w:rsid w:val="006D7BEC"/>
    <w:rsid w:val="006E11A2"/>
    <w:rsid w:val="006E1F37"/>
    <w:rsid w:val="006E2F01"/>
    <w:rsid w:val="006E3949"/>
    <w:rsid w:val="006E5EEE"/>
    <w:rsid w:val="006F000D"/>
    <w:rsid w:val="006F26CE"/>
    <w:rsid w:val="006F2FF3"/>
    <w:rsid w:val="006F3D12"/>
    <w:rsid w:val="006F68BC"/>
    <w:rsid w:val="00712CFC"/>
    <w:rsid w:val="0071318C"/>
    <w:rsid w:val="00713558"/>
    <w:rsid w:val="00716474"/>
    <w:rsid w:val="007220D1"/>
    <w:rsid w:val="00724874"/>
    <w:rsid w:val="007257B2"/>
    <w:rsid w:val="007258A6"/>
    <w:rsid w:val="00726CC1"/>
    <w:rsid w:val="007308D1"/>
    <w:rsid w:val="00732CCC"/>
    <w:rsid w:val="00734CF2"/>
    <w:rsid w:val="007364DD"/>
    <w:rsid w:val="007409C2"/>
    <w:rsid w:val="00745389"/>
    <w:rsid w:val="00745EC1"/>
    <w:rsid w:val="007465BA"/>
    <w:rsid w:val="0074716A"/>
    <w:rsid w:val="0074785C"/>
    <w:rsid w:val="00750744"/>
    <w:rsid w:val="00753029"/>
    <w:rsid w:val="00754A05"/>
    <w:rsid w:val="007632AA"/>
    <w:rsid w:val="00764C9B"/>
    <w:rsid w:val="00767DE3"/>
    <w:rsid w:val="007701DD"/>
    <w:rsid w:val="00770372"/>
    <w:rsid w:val="00776EC7"/>
    <w:rsid w:val="00777072"/>
    <w:rsid w:val="00777D9C"/>
    <w:rsid w:val="00782149"/>
    <w:rsid w:val="00784E91"/>
    <w:rsid w:val="00785080"/>
    <w:rsid w:val="00791760"/>
    <w:rsid w:val="00795237"/>
    <w:rsid w:val="007A2D40"/>
    <w:rsid w:val="007A3E24"/>
    <w:rsid w:val="007A73A3"/>
    <w:rsid w:val="007B1977"/>
    <w:rsid w:val="007B19A7"/>
    <w:rsid w:val="007B5499"/>
    <w:rsid w:val="007B6F39"/>
    <w:rsid w:val="007C00E9"/>
    <w:rsid w:val="007C1262"/>
    <w:rsid w:val="007C5A02"/>
    <w:rsid w:val="007C647B"/>
    <w:rsid w:val="007D0C8E"/>
    <w:rsid w:val="007D40B8"/>
    <w:rsid w:val="007E0BAF"/>
    <w:rsid w:val="007E3F4A"/>
    <w:rsid w:val="007E463A"/>
    <w:rsid w:val="007E483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7D02"/>
    <w:rsid w:val="0082591D"/>
    <w:rsid w:val="008261E9"/>
    <w:rsid w:val="00827731"/>
    <w:rsid w:val="0083061B"/>
    <w:rsid w:val="00831503"/>
    <w:rsid w:val="0083155E"/>
    <w:rsid w:val="00831C73"/>
    <w:rsid w:val="00832DBC"/>
    <w:rsid w:val="00833057"/>
    <w:rsid w:val="00840045"/>
    <w:rsid w:val="00840EAA"/>
    <w:rsid w:val="008435EC"/>
    <w:rsid w:val="008460CC"/>
    <w:rsid w:val="008472E5"/>
    <w:rsid w:val="00851193"/>
    <w:rsid w:val="0085196C"/>
    <w:rsid w:val="00852460"/>
    <w:rsid w:val="0085354E"/>
    <w:rsid w:val="00854AB5"/>
    <w:rsid w:val="00862453"/>
    <w:rsid w:val="00862EBC"/>
    <w:rsid w:val="0086783D"/>
    <w:rsid w:val="0087188C"/>
    <w:rsid w:val="008751D8"/>
    <w:rsid w:val="008763A6"/>
    <w:rsid w:val="00876B39"/>
    <w:rsid w:val="008778BA"/>
    <w:rsid w:val="00881830"/>
    <w:rsid w:val="008842A5"/>
    <w:rsid w:val="00891545"/>
    <w:rsid w:val="008924B4"/>
    <w:rsid w:val="008942AA"/>
    <w:rsid w:val="008948F6"/>
    <w:rsid w:val="00895036"/>
    <w:rsid w:val="008A04F6"/>
    <w:rsid w:val="008A3162"/>
    <w:rsid w:val="008A316B"/>
    <w:rsid w:val="008A66E1"/>
    <w:rsid w:val="008B2194"/>
    <w:rsid w:val="008B2EA6"/>
    <w:rsid w:val="008B3D4C"/>
    <w:rsid w:val="008B48B8"/>
    <w:rsid w:val="008B702B"/>
    <w:rsid w:val="008C19F9"/>
    <w:rsid w:val="008C644E"/>
    <w:rsid w:val="008C7B99"/>
    <w:rsid w:val="008D0040"/>
    <w:rsid w:val="008D27EF"/>
    <w:rsid w:val="008D4370"/>
    <w:rsid w:val="008D4591"/>
    <w:rsid w:val="008D46E0"/>
    <w:rsid w:val="008D7B4F"/>
    <w:rsid w:val="008E0EF1"/>
    <w:rsid w:val="008E177B"/>
    <w:rsid w:val="008E2244"/>
    <w:rsid w:val="008E4150"/>
    <w:rsid w:val="008F003B"/>
    <w:rsid w:val="008F2258"/>
    <w:rsid w:val="008F31EB"/>
    <w:rsid w:val="008F4859"/>
    <w:rsid w:val="008F4FE4"/>
    <w:rsid w:val="008F76AE"/>
    <w:rsid w:val="009000D4"/>
    <w:rsid w:val="009018F8"/>
    <w:rsid w:val="009071F5"/>
    <w:rsid w:val="00907A5F"/>
    <w:rsid w:val="00911B29"/>
    <w:rsid w:val="009133B8"/>
    <w:rsid w:val="009137A5"/>
    <w:rsid w:val="00915EE3"/>
    <w:rsid w:val="0091611D"/>
    <w:rsid w:val="00917EFA"/>
    <w:rsid w:val="00923234"/>
    <w:rsid w:val="00934023"/>
    <w:rsid w:val="0093571C"/>
    <w:rsid w:val="009378A8"/>
    <w:rsid w:val="00941ABF"/>
    <w:rsid w:val="00942C73"/>
    <w:rsid w:val="00943F86"/>
    <w:rsid w:val="00944622"/>
    <w:rsid w:val="00944AE5"/>
    <w:rsid w:val="00947CCF"/>
    <w:rsid w:val="0096112F"/>
    <w:rsid w:val="009615A9"/>
    <w:rsid w:val="009660D4"/>
    <w:rsid w:val="00966F23"/>
    <w:rsid w:val="0097065E"/>
    <w:rsid w:val="00972117"/>
    <w:rsid w:val="009740CF"/>
    <w:rsid w:val="00975DEE"/>
    <w:rsid w:val="0097617E"/>
    <w:rsid w:val="00977C95"/>
    <w:rsid w:val="00981764"/>
    <w:rsid w:val="00981DA7"/>
    <w:rsid w:val="00982149"/>
    <w:rsid w:val="009827E2"/>
    <w:rsid w:val="009849BE"/>
    <w:rsid w:val="00985172"/>
    <w:rsid w:val="00990133"/>
    <w:rsid w:val="0099054F"/>
    <w:rsid w:val="00991805"/>
    <w:rsid w:val="00991D5B"/>
    <w:rsid w:val="009945F5"/>
    <w:rsid w:val="00995393"/>
    <w:rsid w:val="00995A19"/>
    <w:rsid w:val="009960F6"/>
    <w:rsid w:val="00996B2C"/>
    <w:rsid w:val="00996C56"/>
    <w:rsid w:val="009978E8"/>
    <w:rsid w:val="009A0660"/>
    <w:rsid w:val="009A0D3A"/>
    <w:rsid w:val="009A2505"/>
    <w:rsid w:val="009A2A82"/>
    <w:rsid w:val="009B0270"/>
    <w:rsid w:val="009B4226"/>
    <w:rsid w:val="009B4651"/>
    <w:rsid w:val="009B4DBC"/>
    <w:rsid w:val="009B6E23"/>
    <w:rsid w:val="009C0388"/>
    <w:rsid w:val="009C3900"/>
    <w:rsid w:val="009C53EB"/>
    <w:rsid w:val="009C77EB"/>
    <w:rsid w:val="009D1438"/>
    <w:rsid w:val="009D2915"/>
    <w:rsid w:val="009D2E66"/>
    <w:rsid w:val="009D3E37"/>
    <w:rsid w:val="009D6F42"/>
    <w:rsid w:val="009D7443"/>
    <w:rsid w:val="009E1CC0"/>
    <w:rsid w:val="009E2CC7"/>
    <w:rsid w:val="009E5A8E"/>
    <w:rsid w:val="009F0B85"/>
    <w:rsid w:val="009F0E24"/>
    <w:rsid w:val="009F1835"/>
    <w:rsid w:val="009F2E46"/>
    <w:rsid w:val="009F2EDB"/>
    <w:rsid w:val="009F6F08"/>
    <w:rsid w:val="009F7BE8"/>
    <w:rsid w:val="00A01A6F"/>
    <w:rsid w:val="00A02096"/>
    <w:rsid w:val="00A03D62"/>
    <w:rsid w:val="00A113F8"/>
    <w:rsid w:val="00A12AD4"/>
    <w:rsid w:val="00A227F4"/>
    <w:rsid w:val="00A23BFC"/>
    <w:rsid w:val="00A23CFA"/>
    <w:rsid w:val="00A26951"/>
    <w:rsid w:val="00A26C03"/>
    <w:rsid w:val="00A27137"/>
    <w:rsid w:val="00A30D33"/>
    <w:rsid w:val="00A32B05"/>
    <w:rsid w:val="00A36479"/>
    <w:rsid w:val="00A36956"/>
    <w:rsid w:val="00A41823"/>
    <w:rsid w:val="00A42244"/>
    <w:rsid w:val="00A4314C"/>
    <w:rsid w:val="00A46191"/>
    <w:rsid w:val="00A47542"/>
    <w:rsid w:val="00A47F23"/>
    <w:rsid w:val="00A5024C"/>
    <w:rsid w:val="00A5463B"/>
    <w:rsid w:val="00A57A43"/>
    <w:rsid w:val="00A60FE3"/>
    <w:rsid w:val="00A626AF"/>
    <w:rsid w:val="00A6348B"/>
    <w:rsid w:val="00A73AD3"/>
    <w:rsid w:val="00A815F5"/>
    <w:rsid w:val="00A8247F"/>
    <w:rsid w:val="00A928D2"/>
    <w:rsid w:val="00A93DCA"/>
    <w:rsid w:val="00A957FB"/>
    <w:rsid w:val="00A95C6B"/>
    <w:rsid w:val="00AA2F30"/>
    <w:rsid w:val="00AA4554"/>
    <w:rsid w:val="00AA6DFC"/>
    <w:rsid w:val="00AB2427"/>
    <w:rsid w:val="00AB5E7A"/>
    <w:rsid w:val="00AC486E"/>
    <w:rsid w:val="00AC5DDE"/>
    <w:rsid w:val="00AC77F4"/>
    <w:rsid w:val="00AD657C"/>
    <w:rsid w:val="00AD7EF8"/>
    <w:rsid w:val="00AE118E"/>
    <w:rsid w:val="00AE3317"/>
    <w:rsid w:val="00AE62E4"/>
    <w:rsid w:val="00AF0935"/>
    <w:rsid w:val="00AF0990"/>
    <w:rsid w:val="00AF46F1"/>
    <w:rsid w:val="00AF53F9"/>
    <w:rsid w:val="00AF5C75"/>
    <w:rsid w:val="00AF6E3F"/>
    <w:rsid w:val="00B02BD6"/>
    <w:rsid w:val="00B02F1F"/>
    <w:rsid w:val="00B0330C"/>
    <w:rsid w:val="00B04151"/>
    <w:rsid w:val="00B0466B"/>
    <w:rsid w:val="00B04949"/>
    <w:rsid w:val="00B10FF3"/>
    <w:rsid w:val="00B15681"/>
    <w:rsid w:val="00B17528"/>
    <w:rsid w:val="00B21160"/>
    <w:rsid w:val="00B2133E"/>
    <w:rsid w:val="00B220D2"/>
    <w:rsid w:val="00B22E56"/>
    <w:rsid w:val="00B30C67"/>
    <w:rsid w:val="00B35761"/>
    <w:rsid w:val="00B364A1"/>
    <w:rsid w:val="00B36B90"/>
    <w:rsid w:val="00B4194C"/>
    <w:rsid w:val="00B51CA2"/>
    <w:rsid w:val="00B54250"/>
    <w:rsid w:val="00B5427D"/>
    <w:rsid w:val="00B56E76"/>
    <w:rsid w:val="00B61CD1"/>
    <w:rsid w:val="00B63804"/>
    <w:rsid w:val="00B65F9A"/>
    <w:rsid w:val="00B67118"/>
    <w:rsid w:val="00B71C3E"/>
    <w:rsid w:val="00B804F1"/>
    <w:rsid w:val="00B86AC5"/>
    <w:rsid w:val="00B92076"/>
    <w:rsid w:val="00B926ED"/>
    <w:rsid w:val="00B92DF7"/>
    <w:rsid w:val="00B948DB"/>
    <w:rsid w:val="00B9600C"/>
    <w:rsid w:val="00B97110"/>
    <w:rsid w:val="00B9793C"/>
    <w:rsid w:val="00BA0C20"/>
    <w:rsid w:val="00BA14BC"/>
    <w:rsid w:val="00BB101A"/>
    <w:rsid w:val="00BB1F45"/>
    <w:rsid w:val="00BB2C59"/>
    <w:rsid w:val="00BB675C"/>
    <w:rsid w:val="00BB74C3"/>
    <w:rsid w:val="00BC11D0"/>
    <w:rsid w:val="00BC31C2"/>
    <w:rsid w:val="00BC31C8"/>
    <w:rsid w:val="00BC3F99"/>
    <w:rsid w:val="00BC48A2"/>
    <w:rsid w:val="00BC70D9"/>
    <w:rsid w:val="00BD2DC8"/>
    <w:rsid w:val="00BD3320"/>
    <w:rsid w:val="00BD6776"/>
    <w:rsid w:val="00BE0373"/>
    <w:rsid w:val="00BE40B2"/>
    <w:rsid w:val="00BE4770"/>
    <w:rsid w:val="00BF2489"/>
    <w:rsid w:val="00C00DC3"/>
    <w:rsid w:val="00C02176"/>
    <w:rsid w:val="00C03079"/>
    <w:rsid w:val="00C05AFF"/>
    <w:rsid w:val="00C066DD"/>
    <w:rsid w:val="00C06BB3"/>
    <w:rsid w:val="00C07401"/>
    <w:rsid w:val="00C100C8"/>
    <w:rsid w:val="00C1062A"/>
    <w:rsid w:val="00C128F7"/>
    <w:rsid w:val="00C1591F"/>
    <w:rsid w:val="00C16B83"/>
    <w:rsid w:val="00C22810"/>
    <w:rsid w:val="00C22EE6"/>
    <w:rsid w:val="00C33CE3"/>
    <w:rsid w:val="00C36C5D"/>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3E29"/>
    <w:rsid w:val="00C73F27"/>
    <w:rsid w:val="00C743CA"/>
    <w:rsid w:val="00C75ECF"/>
    <w:rsid w:val="00C80996"/>
    <w:rsid w:val="00C81FE6"/>
    <w:rsid w:val="00C8348C"/>
    <w:rsid w:val="00C83734"/>
    <w:rsid w:val="00C83E27"/>
    <w:rsid w:val="00C845EE"/>
    <w:rsid w:val="00C8466C"/>
    <w:rsid w:val="00C8489A"/>
    <w:rsid w:val="00C84DAD"/>
    <w:rsid w:val="00C91182"/>
    <w:rsid w:val="00C93A31"/>
    <w:rsid w:val="00C93C83"/>
    <w:rsid w:val="00CA42D3"/>
    <w:rsid w:val="00CA5AFD"/>
    <w:rsid w:val="00CB17D9"/>
    <w:rsid w:val="00CB24D6"/>
    <w:rsid w:val="00CB4FA2"/>
    <w:rsid w:val="00CB550B"/>
    <w:rsid w:val="00CB6CAE"/>
    <w:rsid w:val="00CC01FF"/>
    <w:rsid w:val="00CC0590"/>
    <w:rsid w:val="00CC3BC0"/>
    <w:rsid w:val="00CC473D"/>
    <w:rsid w:val="00CC4EF1"/>
    <w:rsid w:val="00CC7F38"/>
    <w:rsid w:val="00CD0F44"/>
    <w:rsid w:val="00CD280B"/>
    <w:rsid w:val="00CD43BB"/>
    <w:rsid w:val="00CD79DF"/>
    <w:rsid w:val="00CE272D"/>
    <w:rsid w:val="00CE3079"/>
    <w:rsid w:val="00CE3D55"/>
    <w:rsid w:val="00CE714F"/>
    <w:rsid w:val="00CE7377"/>
    <w:rsid w:val="00CF074A"/>
    <w:rsid w:val="00CF43C7"/>
    <w:rsid w:val="00CF576A"/>
    <w:rsid w:val="00CF62DC"/>
    <w:rsid w:val="00D02EE4"/>
    <w:rsid w:val="00D04404"/>
    <w:rsid w:val="00D05129"/>
    <w:rsid w:val="00D07E82"/>
    <w:rsid w:val="00D13723"/>
    <w:rsid w:val="00D203CF"/>
    <w:rsid w:val="00D24656"/>
    <w:rsid w:val="00D260C3"/>
    <w:rsid w:val="00D320B2"/>
    <w:rsid w:val="00D33344"/>
    <w:rsid w:val="00D333D1"/>
    <w:rsid w:val="00D37327"/>
    <w:rsid w:val="00D471CA"/>
    <w:rsid w:val="00D47375"/>
    <w:rsid w:val="00D50A1D"/>
    <w:rsid w:val="00D51CB6"/>
    <w:rsid w:val="00D53615"/>
    <w:rsid w:val="00D552C2"/>
    <w:rsid w:val="00D578CB"/>
    <w:rsid w:val="00D62197"/>
    <w:rsid w:val="00D62A00"/>
    <w:rsid w:val="00D65F8C"/>
    <w:rsid w:val="00D736BD"/>
    <w:rsid w:val="00D745A8"/>
    <w:rsid w:val="00D747E2"/>
    <w:rsid w:val="00D81FB9"/>
    <w:rsid w:val="00D81FFA"/>
    <w:rsid w:val="00D91996"/>
    <w:rsid w:val="00D93CFB"/>
    <w:rsid w:val="00D959B2"/>
    <w:rsid w:val="00D96462"/>
    <w:rsid w:val="00D96DB6"/>
    <w:rsid w:val="00DA3E57"/>
    <w:rsid w:val="00DA3F38"/>
    <w:rsid w:val="00DA407E"/>
    <w:rsid w:val="00DA4623"/>
    <w:rsid w:val="00DA4B0A"/>
    <w:rsid w:val="00DB1C70"/>
    <w:rsid w:val="00DB6BF8"/>
    <w:rsid w:val="00DC02D8"/>
    <w:rsid w:val="00DC3A03"/>
    <w:rsid w:val="00DC3D92"/>
    <w:rsid w:val="00DC45E3"/>
    <w:rsid w:val="00DD1C8E"/>
    <w:rsid w:val="00DD514E"/>
    <w:rsid w:val="00DD64B2"/>
    <w:rsid w:val="00DD6BF4"/>
    <w:rsid w:val="00DE18EF"/>
    <w:rsid w:val="00DE37DF"/>
    <w:rsid w:val="00DE6393"/>
    <w:rsid w:val="00DE6CD7"/>
    <w:rsid w:val="00DF1BCD"/>
    <w:rsid w:val="00DF30A5"/>
    <w:rsid w:val="00DF4A39"/>
    <w:rsid w:val="00E001ED"/>
    <w:rsid w:val="00E024E6"/>
    <w:rsid w:val="00E04B5A"/>
    <w:rsid w:val="00E062F9"/>
    <w:rsid w:val="00E0665C"/>
    <w:rsid w:val="00E11853"/>
    <w:rsid w:val="00E12CF7"/>
    <w:rsid w:val="00E205E5"/>
    <w:rsid w:val="00E25344"/>
    <w:rsid w:val="00E27B52"/>
    <w:rsid w:val="00E30827"/>
    <w:rsid w:val="00E35AC3"/>
    <w:rsid w:val="00E36746"/>
    <w:rsid w:val="00E368B2"/>
    <w:rsid w:val="00E4480D"/>
    <w:rsid w:val="00E523D6"/>
    <w:rsid w:val="00E525A8"/>
    <w:rsid w:val="00E6434C"/>
    <w:rsid w:val="00E665CA"/>
    <w:rsid w:val="00E70A48"/>
    <w:rsid w:val="00E72202"/>
    <w:rsid w:val="00E73818"/>
    <w:rsid w:val="00E75847"/>
    <w:rsid w:val="00E77022"/>
    <w:rsid w:val="00E80A7D"/>
    <w:rsid w:val="00E820BA"/>
    <w:rsid w:val="00E838B7"/>
    <w:rsid w:val="00E852DF"/>
    <w:rsid w:val="00E91BFB"/>
    <w:rsid w:val="00E92122"/>
    <w:rsid w:val="00EA0A58"/>
    <w:rsid w:val="00EA3CA8"/>
    <w:rsid w:val="00EA4765"/>
    <w:rsid w:val="00EA7E61"/>
    <w:rsid w:val="00EB28C3"/>
    <w:rsid w:val="00EC0EF5"/>
    <w:rsid w:val="00EC1A09"/>
    <w:rsid w:val="00EC3979"/>
    <w:rsid w:val="00EC3C6F"/>
    <w:rsid w:val="00EC4F99"/>
    <w:rsid w:val="00ED1BDA"/>
    <w:rsid w:val="00ED29F1"/>
    <w:rsid w:val="00ED2CDF"/>
    <w:rsid w:val="00ED5883"/>
    <w:rsid w:val="00ED6759"/>
    <w:rsid w:val="00ED6A12"/>
    <w:rsid w:val="00ED73D1"/>
    <w:rsid w:val="00ED7CCD"/>
    <w:rsid w:val="00EE309C"/>
    <w:rsid w:val="00EE7900"/>
    <w:rsid w:val="00EF1695"/>
    <w:rsid w:val="00EF2074"/>
    <w:rsid w:val="00EF46E6"/>
    <w:rsid w:val="00F008C0"/>
    <w:rsid w:val="00F0158C"/>
    <w:rsid w:val="00F017BF"/>
    <w:rsid w:val="00F01869"/>
    <w:rsid w:val="00F052D5"/>
    <w:rsid w:val="00F0544F"/>
    <w:rsid w:val="00F11410"/>
    <w:rsid w:val="00F14373"/>
    <w:rsid w:val="00F216EE"/>
    <w:rsid w:val="00F21D3D"/>
    <w:rsid w:val="00F4367C"/>
    <w:rsid w:val="00F43AA4"/>
    <w:rsid w:val="00F450BE"/>
    <w:rsid w:val="00F500A7"/>
    <w:rsid w:val="00F50AA0"/>
    <w:rsid w:val="00F5456E"/>
    <w:rsid w:val="00F5729C"/>
    <w:rsid w:val="00F57ABD"/>
    <w:rsid w:val="00F57CD9"/>
    <w:rsid w:val="00F57FE6"/>
    <w:rsid w:val="00F65645"/>
    <w:rsid w:val="00F65EFF"/>
    <w:rsid w:val="00F678C1"/>
    <w:rsid w:val="00F7229A"/>
    <w:rsid w:val="00F75AE1"/>
    <w:rsid w:val="00F75C8A"/>
    <w:rsid w:val="00F770B1"/>
    <w:rsid w:val="00F841A8"/>
    <w:rsid w:val="00F919EA"/>
    <w:rsid w:val="00F922DD"/>
    <w:rsid w:val="00F9550A"/>
    <w:rsid w:val="00F96994"/>
    <w:rsid w:val="00FA27D3"/>
    <w:rsid w:val="00FA6675"/>
    <w:rsid w:val="00FB3D33"/>
    <w:rsid w:val="00FB415B"/>
    <w:rsid w:val="00FB7BA5"/>
    <w:rsid w:val="00FD0A75"/>
    <w:rsid w:val="00FD2305"/>
    <w:rsid w:val="00FD2B7E"/>
    <w:rsid w:val="00FD6247"/>
    <w:rsid w:val="00FE059A"/>
    <w:rsid w:val="00FE078F"/>
    <w:rsid w:val="00FE1CFA"/>
    <w:rsid w:val="00FE2BDE"/>
    <w:rsid w:val="00FE52E6"/>
    <w:rsid w:val="00FE7515"/>
    <w:rsid w:val="00FE78C5"/>
    <w:rsid w:val="00FF06BF"/>
    <w:rsid w:val="00FF200A"/>
    <w:rsid w:val="00FF24FA"/>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6146-61A5-46AE-9BD8-22793EB2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2355</Words>
  <Characters>12956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13</cp:revision>
  <cp:lastPrinted>2016-09-20T16:14:00Z</cp:lastPrinted>
  <dcterms:created xsi:type="dcterms:W3CDTF">2016-09-07T18:46:00Z</dcterms:created>
  <dcterms:modified xsi:type="dcterms:W3CDTF">2016-11-22T00:23:00Z</dcterms:modified>
</cp:coreProperties>
</file>