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1D1DE2">
        <w:rPr>
          <w:rFonts w:ascii="Arial" w:hAnsi="Arial" w:cs="Arial"/>
          <w:sz w:val="18"/>
          <w:szCs w:val="18"/>
        </w:rPr>
        <w:t>228</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1D1DE2">
        <w:rPr>
          <w:rFonts w:ascii="Arial" w:hAnsi="Arial" w:cs="Arial"/>
          <w:bCs/>
          <w:iCs/>
          <w:sz w:val="18"/>
          <w:szCs w:val="18"/>
        </w:rPr>
        <w:t>José Hermes Ruíz Sierra</w:t>
      </w:r>
    </w:p>
    <w:p w:rsidR="008209EA" w:rsidRPr="009F7ADA" w:rsidRDefault="001F31D2" w:rsidP="00502095">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8209EA">
        <w:rPr>
          <w:rFonts w:ascii="Arial" w:hAnsi="Arial" w:cs="Arial"/>
          <w:sz w:val="18"/>
          <w:szCs w:val="18"/>
        </w:rPr>
        <w:t>Caja de Sueldos de</w:t>
      </w:r>
      <w:r w:rsidR="001D1DE2">
        <w:rPr>
          <w:rFonts w:ascii="Arial" w:hAnsi="Arial" w:cs="Arial"/>
          <w:sz w:val="18"/>
          <w:szCs w:val="18"/>
        </w:rPr>
        <w:t xml:space="preserve"> Retiro de</w:t>
      </w:r>
      <w:r w:rsidR="008209EA">
        <w:rPr>
          <w:rFonts w:ascii="Arial" w:hAnsi="Arial" w:cs="Arial"/>
          <w:sz w:val="18"/>
          <w:szCs w:val="18"/>
        </w:rPr>
        <w:t xml:space="preserve"> la Policía Nacional</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4167" w:rsidRDefault="00504167" w:rsidP="00636587">
      <w:pPr>
        <w:ind w:left="3402"/>
        <w:contextualSpacing/>
        <w:jc w:val="both"/>
        <w:rPr>
          <w:rFonts w:ascii="Arial" w:hAnsi="Arial" w:cs="Arial"/>
          <w:b/>
          <w:bCs/>
          <w:sz w:val="18"/>
          <w:szCs w:val="18"/>
          <w:u w:val="single"/>
        </w:rPr>
      </w:pPr>
      <w:r w:rsidRPr="009F7ADA">
        <w:rPr>
          <w:rFonts w:ascii="Arial" w:hAnsi="Arial" w:cs="Arial"/>
          <w:b/>
          <w:bCs/>
          <w:sz w:val="18"/>
          <w:szCs w:val="18"/>
          <w:u w:val="single"/>
        </w:rPr>
        <w:t xml:space="preserve">Tema a Tratar: </w:t>
      </w:r>
      <w:r w:rsidR="00E95215">
        <w:rPr>
          <w:rFonts w:ascii="Arial" w:hAnsi="Arial" w:cs="Arial"/>
          <w:b/>
          <w:bCs/>
          <w:sz w:val="18"/>
          <w:szCs w:val="18"/>
          <w:u w:val="single"/>
        </w:rPr>
        <w:t>DERECHO DE PETICIÓN</w:t>
      </w:r>
    </w:p>
    <w:p w:rsidR="001D1DE2" w:rsidRPr="001D1DE2" w:rsidRDefault="001D1DE2" w:rsidP="001D1DE2">
      <w:pPr>
        <w:ind w:left="3402"/>
        <w:contextualSpacing/>
        <w:jc w:val="both"/>
        <w:rPr>
          <w:rFonts w:ascii="Arial" w:hAnsi="Arial" w:cs="Arial"/>
          <w:sz w:val="18"/>
          <w:szCs w:val="24"/>
          <w:lang w:val="es-ES"/>
        </w:rPr>
      </w:pPr>
      <w:r w:rsidRPr="001D1DE2">
        <w:rPr>
          <w:rFonts w:ascii="Arial" w:hAnsi="Arial" w:cs="Arial"/>
          <w:sz w:val="18"/>
          <w:szCs w:val="24"/>
          <w:lang w:val="es-ES"/>
        </w:rPr>
        <w:t>El artículo 23 de la Constitución Nacional consagra este derecho, el que fue desarrollado por la actual Ley estatutaria 1755 de 2015 promulgada el 30-06-2015.</w:t>
      </w:r>
    </w:p>
    <w:p w:rsidR="001D1DE2" w:rsidRPr="001D1DE2" w:rsidRDefault="001D1DE2" w:rsidP="001D1DE2">
      <w:pPr>
        <w:ind w:left="3402"/>
        <w:contextualSpacing/>
        <w:jc w:val="both"/>
        <w:rPr>
          <w:rStyle w:val="a0"/>
          <w:rFonts w:ascii="Arial" w:hAnsi="Arial" w:cs="Arial"/>
          <w:i/>
          <w:sz w:val="16"/>
        </w:rPr>
      </w:pPr>
    </w:p>
    <w:p w:rsidR="001D1DE2" w:rsidRPr="001D1DE2" w:rsidRDefault="001D1DE2" w:rsidP="001D1DE2">
      <w:pPr>
        <w:ind w:left="3402"/>
        <w:contextualSpacing/>
        <w:jc w:val="both"/>
        <w:rPr>
          <w:rFonts w:ascii="Arial" w:hAnsi="Arial" w:cs="Arial"/>
          <w:sz w:val="18"/>
          <w:szCs w:val="24"/>
          <w:lang w:val="es-ES"/>
        </w:rPr>
      </w:pPr>
      <w:r w:rsidRPr="001D1DE2">
        <w:rPr>
          <w:rFonts w:ascii="Arial" w:hAnsi="Arial" w:cs="Arial"/>
          <w:sz w:val="18"/>
          <w:szCs w:val="24"/>
          <w:lang w:val="es-ES"/>
        </w:rPr>
        <w:t>Sobre este derecho la Jurisprudencia Constitucional tiene dicho de manera reiterada (2012)</w:t>
      </w:r>
      <w:r w:rsidRPr="001D1DE2">
        <w:rPr>
          <w:rStyle w:val="Refdenotaalpie"/>
          <w:rFonts w:ascii="Arial" w:hAnsi="Arial" w:cs="Arial"/>
          <w:sz w:val="18"/>
          <w:szCs w:val="24"/>
        </w:rPr>
        <w:footnoteReference w:id="1"/>
      </w:r>
      <w:r w:rsidRPr="001D1DE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1D1DE2" w:rsidRPr="001D1DE2" w:rsidRDefault="001D1DE2" w:rsidP="001D1DE2">
      <w:pPr>
        <w:shd w:val="clear" w:color="auto" w:fill="FFFFFF"/>
        <w:ind w:left="3402"/>
        <w:contextualSpacing/>
        <w:jc w:val="both"/>
        <w:rPr>
          <w:rFonts w:ascii="Arial" w:hAnsi="Arial" w:cs="Arial"/>
          <w:sz w:val="18"/>
          <w:szCs w:val="24"/>
          <w:lang w:val="es-ES"/>
        </w:rPr>
      </w:pPr>
    </w:p>
    <w:p w:rsidR="001D1DE2" w:rsidRDefault="001D1DE2" w:rsidP="001D1DE2">
      <w:pPr>
        <w:shd w:val="clear" w:color="auto" w:fill="FFFFFF"/>
        <w:ind w:left="3402"/>
        <w:contextualSpacing/>
        <w:jc w:val="both"/>
        <w:rPr>
          <w:rFonts w:ascii="Arial" w:hAnsi="Arial" w:cs="Arial"/>
          <w:sz w:val="18"/>
          <w:szCs w:val="24"/>
          <w:lang w:val="es-ES"/>
        </w:rPr>
      </w:pPr>
      <w:r w:rsidRPr="001D1DE2">
        <w:rPr>
          <w:rFonts w:ascii="Arial" w:hAnsi="Arial" w:cs="Arial"/>
          <w:sz w:val="18"/>
          <w:szCs w:val="24"/>
          <w:lang w:val="es-ES"/>
        </w:rPr>
        <w:t xml:space="preserve">Por ende, se vulnera este derecho cuando: </w:t>
      </w:r>
      <w:r w:rsidRPr="001D1DE2">
        <w:rPr>
          <w:rFonts w:ascii="Arial" w:hAnsi="Arial" w:cs="Arial"/>
          <w:b/>
          <w:i/>
          <w:sz w:val="18"/>
          <w:szCs w:val="24"/>
          <w:lang w:val="es-ES"/>
        </w:rPr>
        <w:t>(i)</w:t>
      </w:r>
      <w:r w:rsidRPr="001D1DE2">
        <w:rPr>
          <w:rFonts w:ascii="Arial" w:hAnsi="Arial" w:cs="Arial"/>
          <w:sz w:val="18"/>
          <w:szCs w:val="24"/>
          <w:lang w:val="es-ES"/>
        </w:rPr>
        <w:t xml:space="preserve"> la entidad deja de emitir una respuesta en un lapso que, en los términos de la Constitución, se ajuste a “pronta resolución”, </w:t>
      </w:r>
      <w:r w:rsidRPr="001D1DE2">
        <w:rPr>
          <w:rFonts w:ascii="Arial" w:hAnsi="Arial" w:cs="Arial"/>
          <w:b/>
          <w:i/>
          <w:sz w:val="18"/>
          <w:szCs w:val="24"/>
          <w:lang w:val="es-ES"/>
        </w:rPr>
        <w:t>(ii)</w:t>
      </w:r>
      <w:r w:rsidRPr="001D1DE2">
        <w:rPr>
          <w:rFonts w:ascii="Arial" w:hAnsi="Arial" w:cs="Arial"/>
          <w:sz w:val="18"/>
          <w:szCs w:val="24"/>
          <w:lang w:val="es-ES"/>
        </w:rPr>
        <w:t xml:space="preserve"> la  respuesta se limita a evadir la petición, o carece de claridad, precisión y congruencia, o </w:t>
      </w:r>
      <w:r w:rsidRPr="001D1DE2">
        <w:rPr>
          <w:rFonts w:ascii="Arial" w:hAnsi="Arial" w:cs="Arial"/>
          <w:b/>
          <w:i/>
          <w:sz w:val="18"/>
          <w:szCs w:val="24"/>
          <w:lang w:val="es-ES"/>
        </w:rPr>
        <w:t>(iii)</w:t>
      </w:r>
      <w:r w:rsidRPr="001D1DE2">
        <w:rPr>
          <w:rFonts w:ascii="Arial" w:hAnsi="Arial" w:cs="Arial"/>
          <w:sz w:val="18"/>
          <w:szCs w:val="24"/>
          <w:lang w:val="es-ES"/>
        </w:rPr>
        <w:t xml:space="preserve"> se deja de comunicar al interesado</w:t>
      </w:r>
      <w:r w:rsidRPr="001D1DE2">
        <w:rPr>
          <w:rStyle w:val="Refdenotaalpie"/>
          <w:rFonts w:ascii="Arial" w:hAnsi="Arial" w:cs="Arial"/>
          <w:sz w:val="18"/>
          <w:szCs w:val="24"/>
        </w:rPr>
        <w:footnoteReference w:id="2"/>
      </w:r>
      <w:r w:rsidRPr="001D1DE2">
        <w:rPr>
          <w:rFonts w:ascii="Arial" w:eastAsia="Calibri" w:hAnsi="Arial" w:cs="Arial"/>
          <w:i/>
          <w:color w:val="000000"/>
          <w:sz w:val="18"/>
          <w:szCs w:val="24"/>
          <w:vertAlign w:val="superscript"/>
          <w:lang w:eastAsia="en-US"/>
        </w:rPr>
        <w:footnoteReference w:id="3"/>
      </w:r>
      <w:r w:rsidRPr="001D1DE2">
        <w:rPr>
          <w:rFonts w:ascii="Arial" w:hAnsi="Arial" w:cs="Arial"/>
          <w:sz w:val="18"/>
          <w:szCs w:val="24"/>
          <w:lang w:val="es-ES"/>
        </w:rPr>
        <w:t>.</w:t>
      </w:r>
    </w:p>
    <w:p w:rsidR="000557E7" w:rsidRDefault="000557E7" w:rsidP="001D1DE2">
      <w:pPr>
        <w:shd w:val="clear" w:color="auto" w:fill="FFFFFF"/>
        <w:ind w:left="3402"/>
        <w:contextualSpacing/>
        <w:jc w:val="both"/>
        <w:rPr>
          <w:rFonts w:ascii="Arial" w:hAnsi="Arial" w:cs="Arial"/>
          <w:sz w:val="18"/>
          <w:szCs w:val="24"/>
          <w:lang w:val="es-ES"/>
        </w:rPr>
      </w:pPr>
    </w:p>
    <w:p w:rsidR="000557E7" w:rsidRDefault="000557E7" w:rsidP="000557E7">
      <w:pPr>
        <w:ind w:left="3402"/>
        <w:jc w:val="both"/>
        <w:rPr>
          <w:rFonts w:ascii="Arial" w:hAnsi="Arial" w:cs="Arial"/>
          <w:sz w:val="18"/>
          <w:szCs w:val="18"/>
        </w:rPr>
      </w:pPr>
      <w:r w:rsidRPr="000557E7">
        <w:rPr>
          <w:rFonts w:ascii="Arial" w:hAnsi="Arial" w:cs="Arial"/>
          <w:b/>
          <w:sz w:val="18"/>
          <w:szCs w:val="18"/>
        </w:rPr>
        <w:t>Citación jurisprudencial:</w:t>
      </w:r>
      <w:r w:rsidRPr="0077474C">
        <w:rPr>
          <w:rFonts w:ascii="Arial" w:hAnsi="Arial" w:cs="Arial"/>
          <w:sz w:val="18"/>
          <w:szCs w:val="18"/>
        </w:rPr>
        <w:t xml:space="preserve"> </w:t>
      </w:r>
      <w:r>
        <w:rPr>
          <w:rFonts w:ascii="Arial" w:hAnsi="Arial" w:cs="Arial"/>
          <w:sz w:val="18"/>
          <w:szCs w:val="18"/>
        </w:rPr>
        <w:t>CORTE CONSTITUCIONAL, T-249 de 2001, T-912 de 2003, T-667 de 2011, T-146 de 2012, T-275 de 2012, T-149 de 2013.</w:t>
      </w:r>
    </w:p>
    <w:p w:rsidR="000557E7" w:rsidRPr="001D1DE2" w:rsidRDefault="000557E7" w:rsidP="001D1DE2">
      <w:pPr>
        <w:shd w:val="clear" w:color="auto" w:fill="FFFFFF"/>
        <w:ind w:left="3402"/>
        <w:contextualSpacing/>
        <w:jc w:val="both"/>
        <w:rPr>
          <w:rFonts w:ascii="Arial" w:hAnsi="Arial" w:cs="Arial"/>
          <w:sz w:val="18"/>
          <w:szCs w:val="24"/>
          <w:lang w:val="es-ES"/>
        </w:rPr>
      </w:pPr>
    </w:p>
    <w:p w:rsidR="00270F86" w:rsidRDefault="00592F3A" w:rsidP="000557E7">
      <w:pPr>
        <w:ind w:left="3402"/>
        <w:contextualSpacing/>
        <w:jc w:val="both"/>
        <w:rPr>
          <w:rFonts w:ascii="Arial" w:hAnsi="Arial" w:cs="Arial"/>
          <w:sz w:val="24"/>
          <w:szCs w:val="24"/>
        </w:rPr>
      </w:pPr>
      <w:r w:rsidRPr="001D1DE2">
        <w:rPr>
          <w:rFonts w:ascii="Arial" w:hAnsi="Arial" w:cs="Arial"/>
          <w:sz w:val="20"/>
          <w:szCs w:val="24"/>
        </w:rPr>
        <w:t xml:space="preserve"> </w:t>
      </w: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1D1DE2">
        <w:rPr>
          <w:rFonts w:ascii="Arial" w:hAnsi="Arial" w:cs="Arial"/>
          <w:sz w:val="24"/>
          <w:szCs w:val="24"/>
        </w:rPr>
        <w:t>veintiocho</w:t>
      </w:r>
      <w:r w:rsidRPr="008A706F">
        <w:rPr>
          <w:rFonts w:ascii="Arial" w:hAnsi="Arial" w:cs="Arial"/>
          <w:sz w:val="24"/>
          <w:szCs w:val="24"/>
        </w:rPr>
        <w:t xml:space="preserve"> </w:t>
      </w:r>
      <w:r w:rsidR="00567D0D" w:rsidRPr="008A706F">
        <w:rPr>
          <w:rFonts w:ascii="Arial" w:hAnsi="Arial" w:cs="Arial"/>
          <w:sz w:val="24"/>
          <w:szCs w:val="24"/>
        </w:rPr>
        <w:t>(</w:t>
      </w:r>
      <w:r w:rsidR="001D1DE2">
        <w:rPr>
          <w:rFonts w:ascii="Arial" w:hAnsi="Arial" w:cs="Arial"/>
          <w:sz w:val="24"/>
          <w:szCs w:val="24"/>
        </w:rPr>
        <w:t>28</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octubre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w:t>
      </w:r>
      <w:bookmarkStart w:id="0" w:name="_GoBack"/>
      <w:bookmarkEnd w:id="0"/>
      <w:r w:rsidR="00567D0D" w:rsidRPr="008A706F">
        <w:rPr>
          <w:rFonts w:ascii="Arial" w:hAnsi="Arial" w:cs="Arial"/>
          <w:sz w:val="24"/>
          <w:szCs w:val="24"/>
        </w:rPr>
        <w:t>1</w:t>
      </w:r>
      <w:r w:rsidR="000375BE" w:rsidRPr="008A706F">
        <w:rPr>
          <w:rFonts w:ascii="Arial" w:hAnsi="Arial" w:cs="Arial"/>
          <w:sz w:val="24"/>
          <w:szCs w:val="24"/>
        </w:rPr>
        <w:t>6</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1D1DE2" w:rsidRDefault="001D1DE2"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1C009D">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1C009D">
        <w:rPr>
          <w:rFonts w:ascii="Arial" w:hAnsi="Arial" w:cs="Arial"/>
          <w:color w:val="000000"/>
          <w:sz w:val="24"/>
          <w:szCs w:val="24"/>
        </w:rPr>
        <w:t>José Hermes Ruíz Sierra</w:t>
      </w:r>
      <w:r w:rsidR="00592F3A">
        <w:rPr>
          <w:rFonts w:ascii="Arial" w:hAnsi="Arial" w:cs="Arial"/>
          <w:color w:val="000000"/>
          <w:sz w:val="24"/>
          <w:szCs w:val="24"/>
        </w:rPr>
        <w:t>, identificad</w:t>
      </w:r>
      <w:r w:rsidR="001C009D">
        <w:rPr>
          <w:rFonts w:ascii="Arial" w:hAnsi="Arial" w:cs="Arial"/>
          <w:color w:val="000000"/>
          <w:sz w:val="24"/>
          <w:szCs w:val="24"/>
        </w:rPr>
        <w:t xml:space="preserve">o con cédula de ciudadanía No.10.106.541 </w:t>
      </w:r>
      <w:r w:rsidR="00592F3A">
        <w:rPr>
          <w:rFonts w:ascii="Arial" w:hAnsi="Arial" w:cs="Arial"/>
          <w:color w:val="000000"/>
          <w:sz w:val="24"/>
          <w:szCs w:val="24"/>
        </w:rPr>
        <w:t xml:space="preserve">de </w:t>
      </w:r>
      <w:r w:rsidR="00592F3A">
        <w:rPr>
          <w:rFonts w:ascii="Arial" w:hAnsi="Arial" w:cs="Arial"/>
          <w:color w:val="000000"/>
          <w:sz w:val="24"/>
          <w:szCs w:val="24"/>
        </w:rPr>
        <w:lastRenderedPageBreak/>
        <w:t>Pereira,</w:t>
      </w:r>
      <w:r w:rsidR="001C009D">
        <w:rPr>
          <w:rFonts w:ascii="Arial" w:hAnsi="Arial" w:cs="Arial"/>
          <w:color w:val="000000"/>
          <w:sz w:val="24"/>
          <w:szCs w:val="24"/>
        </w:rPr>
        <w:t xml:space="preserve"> quien actúa en nombre propio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Caja de Sueldos de</w:t>
      </w:r>
      <w:r w:rsidR="001C009D">
        <w:rPr>
          <w:rFonts w:ascii="Arial" w:hAnsi="Arial" w:cs="Arial"/>
          <w:color w:val="000000"/>
          <w:sz w:val="24"/>
          <w:szCs w:val="24"/>
        </w:rPr>
        <w:t xml:space="preserve"> Retiro de</w:t>
      </w:r>
      <w:r w:rsidR="001F31D2">
        <w:rPr>
          <w:rFonts w:ascii="Arial" w:hAnsi="Arial" w:cs="Arial"/>
          <w:color w:val="000000"/>
          <w:sz w:val="24"/>
          <w:szCs w:val="24"/>
        </w:rPr>
        <w:t xml:space="preserve"> la Policía Nacional.</w:t>
      </w:r>
    </w:p>
    <w:p w:rsidR="001C009D" w:rsidRDefault="001C009D"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42184C">
        <w:rPr>
          <w:rFonts w:ascii="Arial" w:hAnsi="Arial" w:cs="Arial"/>
          <w:color w:val="000000"/>
          <w:sz w:val="24"/>
          <w:szCs w:val="24"/>
        </w:rPr>
        <w:t xml:space="preserve">l </w:t>
      </w:r>
      <w:r w:rsidR="0008018B">
        <w:rPr>
          <w:rFonts w:ascii="Arial" w:hAnsi="Arial" w:cs="Arial"/>
          <w:color w:val="000000"/>
          <w:sz w:val="24"/>
          <w:szCs w:val="24"/>
        </w:rPr>
        <w:t>accionado</w:t>
      </w:r>
      <w:r w:rsidR="00E63069">
        <w:rPr>
          <w:rFonts w:ascii="Arial" w:hAnsi="Arial" w:cs="Arial"/>
          <w:color w:val="000000"/>
          <w:sz w:val="24"/>
          <w:szCs w:val="24"/>
        </w:rPr>
        <w:t xml:space="preserve">, </w:t>
      </w:r>
      <w:r w:rsidR="0008018B">
        <w:rPr>
          <w:rFonts w:ascii="Arial" w:hAnsi="Arial" w:cs="Arial"/>
          <w:color w:val="000000"/>
          <w:sz w:val="24"/>
          <w:szCs w:val="24"/>
        </w:rPr>
        <w:t>de respuesta a la petición formulada.</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solicitó</w:t>
      </w:r>
      <w:r w:rsidR="0008018B">
        <w:rPr>
          <w:rFonts w:ascii="Arial" w:hAnsi="Arial" w:cs="Arial"/>
          <w:sz w:val="24"/>
          <w:szCs w:val="24"/>
        </w:rPr>
        <w:t xml:space="preserve"> el 03-06-2016</w:t>
      </w:r>
      <w:r w:rsidR="0042184C">
        <w:rPr>
          <w:rFonts w:ascii="Arial" w:hAnsi="Arial" w:cs="Arial"/>
          <w:sz w:val="24"/>
          <w:szCs w:val="24"/>
        </w:rPr>
        <w:t xml:space="preserve"> a través de</w:t>
      </w:r>
      <w:r w:rsidR="0008018B">
        <w:rPr>
          <w:rFonts w:ascii="Arial" w:hAnsi="Arial" w:cs="Arial"/>
          <w:sz w:val="24"/>
          <w:szCs w:val="24"/>
        </w:rPr>
        <w:t xml:space="preserve"> </w:t>
      </w:r>
      <w:r w:rsidR="0042184C">
        <w:rPr>
          <w:rFonts w:ascii="Arial" w:hAnsi="Arial" w:cs="Arial"/>
          <w:sz w:val="24"/>
          <w:szCs w:val="24"/>
        </w:rPr>
        <w:t>l</w:t>
      </w:r>
      <w:r w:rsidR="0008018B">
        <w:rPr>
          <w:rFonts w:ascii="Arial" w:hAnsi="Arial" w:cs="Arial"/>
          <w:sz w:val="24"/>
          <w:szCs w:val="24"/>
        </w:rPr>
        <w:t>a</w:t>
      </w:r>
      <w:r w:rsidR="0042184C">
        <w:rPr>
          <w:rFonts w:ascii="Arial" w:hAnsi="Arial" w:cs="Arial"/>
          <w:sz w:val="24"/>
          <w:szCs w:val="24"/>
        </w:rPr>
        <w:t xml:space="preserve"> petición referid</w:t>
      </w:r>
      <w:r w:rsidR="0008018B">
        <w:rPr>
          <w:rFonts w:ascii="Arial" w:hAnsi="Arial" w:cs="Arial"/>
          <w:sz w:val="24"/>
          <w:szCs w:val="24"/>
        </w:rPr>
        <w:t>a</w:t>
      </w:r>
      <w:r w:rsidR="0042184C">
        <w:rPr>
          <w:rFonts w:ascii="Arial" w:hAnsi="Arial" w:cs="Arial"/>
          <w:sz w:val="24"/>
          <w:szCs w:val="24"/>
        </w:rPr>
        <w:t xml:space="preserve"> </w:t>
      </w:r>
      <w:r w:rsidR="0008018B">
        <w:rPr>
          <w:rFonts w:ascii="Arial" w:hAnsi="Arial" w:cs="Arial"/>
          <w:sz w:val="24"/>
          <w:szCs w:val="24"/>
        </w:rPr>
        <w:t>se le informara si la obligación económica, cuya cuenta de cobro fue recibida el 14-07-2015 que tiene que ver con conciliación prejudicial donde el convocante es José Alberto Colorado Zapata, está disponible para su pago y</w:t>
      </w:r>
      <w:r w:rsidR="00695969">
        <w:rPr>
          <w:rFonts w:ascii="Arial" w:hAnsi="Arial" w:cs="Arial"/>
          <w:sz w:val="24"/>
          <w:szCs w:val="24"/>
        </w:rPr>
        <w:t xml:space="preserve"> asimismo</w:t>
      </w:r>
      <w:r w:rsidR="0008018B">
        <w:rPr>
          <w:rFonts w:ascii="Arial" w:hAnsi="Arial" w:cs="Arial"/>
          <w:sz w:val="24"/>
          <w:szCs w:val="24"/>
        </w:rPr>
        <w:t xml:space="preserve"> cuándo se haría efectivo. </w:t>
      </w:r>
    </w:p>
    <w:p w:rsidR="0008018B" w:rsidRDefault="0008018B" w:rsidP="00CA57AD">
      <w:pPr>
        <w:spacing w:after="0"/>
        <w:contextualSpacing/>
        <w:jc w:val="both"/>
        <w:rPr>
          <w:rFonts w:ascii="Arial" w:hAnsi="Arial" w:cs="Arial"/>
          <w:sz w:val="24"/>
          <w:szCs w:val="24"/>
        </w:rPr>
      </w:pPr>
    </w:p>
    <w:p w:rsidR="00477366" w:rsidRDefault="00681706" w:rsidP="00CA57AD">
      <w:pPr>
        <w:spacing w:after="0"/>
        <w:contextualSpacing/>
        <w:jc w:val="both"/>
        <w:rPr>
          <w:rFonts w:ascii="Arial" w:hAnsi="Arial" w:cs="Arial"/>
          <w:b/>
          <w:color w:val="000000"/>
          <w:sz w:val="24"/>
          <w:szCs w:val="24"/>
        </w:rPr>
      </w:pPr>
      <w:r>
        <w:rPr>
          <w:rFonts w:ascii="Arial" w:hAnsi="Arial" w:cs="Arial"/>
          <w:b/>
          <w:sz w:val="24"/>
          <w:szCs w:val="24"/>
        </w:rPr>
        <w:t xml:space="preserve">2. Pronunciamiento </w:t>
      </w:r>
      <w:r w:rsidR="0042184C">
        <w:rPr>
          <w:rFonts w:ascii="Arial" w:hAnsi="Arial" w:cs="Arial"/>
          <w:b/>
          <w:sz w:val="24"/>
          <w:szCs w:val="24"/>
        </w:rPr>
        <w:t>de</w:t>
      </w:r>
      <w:r w:rsidR="00F51220">
        <w:rPr>
          <w:rFonts w:ascii="Arial" w:hAnsi="Arial" w:cs="Arial"/>
          <w:b/>
          <w:sz w:val="24"/>
          <w:szCs w:val="24"/>
        </w:rPr>
        <w:t xml:space="preserve"> la Caja de</w:t>
      </w:r>
      <w:r w:rsidR="00F51220" w:rsidRPr="00F51220">
        <w:rPr>
          <w:rFonts w:ascii="Arial" w:hAnsi="Arial" w:cs="Arial"/>
          <w:color w:val="000000"/>
          <w:sz w:val="24"/>
          <w:szCs w:val="24"/>
        </w:rPr>
        <w:t xml:space="preserve"> </w:t>
      </w:r>
      <w:r w:rsidR="00F51220" w:rsidRPr="00F51220">
        <w:rPr>
          <w:rFonts w:ascii="Arial" w:hAnsi="Arial" w:cs="Arial"/>
          <w:b/>
          <w:color w:val="000000"/>
          <w:sz w:val="24"/>
          <w:szCs w:val="24"/>
        </w:rPr>
        <w:t>Sueldos de Retiro de la Policía Nacional</w:t>
      </w:r>
    </w:p>
    <w:p w:rsidR="00695969" w:rsidRDefault="00695969" w:rsidP="00CA57AD">
      <w:pPr>
        <w:spacing w:after="0"/>
        <w:contextualSpacing/>
        <w:jc w:val="both"/>
        <w:rPr>
          <w:rFonts w:ascii="Arial" w:hAnsi="Arial" w:cs="Arial"/>
          <w:b/>
          <w:sz w:val="24"/>
          <w:szCs w:val="24"/>
        </w:rPr>
      </w:pPr>
    </w:p>
    <w:p w:rsidR="002A0880" w:rsidRPr="00F51220" w:rsidRDefault="00F51220" w:rsidP="00CA57AD">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 descorrió el término en silencio.</w:t>
      </w:r>
      <w:r w:rsidRPr="00F51220">
        <w:rPr>
          <w:rFonts w:ascii="Arial" w:hAnsi="Arial" w:cs="Arial"/>
          <w:sz w:val="24"/>
          <w:szCs w:val="24"/>
        </w:rPr>
        <w:t xml:space="preserve">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la Policía Nacional, específicamente la Caja de Sueldos </w:t>
      </w:r>
      <w:r w:rsidR="00374BAA" w:rsidRPr="00374BAA">
        <w:rPr>
          <w:rFonts w:ascii="Arial" w:hAnsi="Arial" w:cs="Arial"/>
          <w:sz w:val="24"/>
          <w:szCs w:val="26"/>
        </w:rPr>
        <w:t xml:space="preserve">a través de su </w:t>
      </w:r>
      <w:r w:rsidR="00F51220">
        <w:rPr>
          <w:rFonts w:ascii="Arial" w:hAnsi="Arial" w:cs="Arial"/>
          <w:sz w:val="24"/>
          <w:szCs w:val="26"/>
        </w:rPr>
        <w:t>director general,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695969"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 xml:space="preserve">a accionada ha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695969">
        <w:rPr>
          <w:rFonts w:ascii="Arial" w:hAnsi="Arial" w:cs="Arial"/>
          <w:sz w:val="24"/>
          <w:szCs w:val="24"/>
        </w:rPr>
        <w:t>l</w:t>
      </w:r>
      <w:r w:rsidR="00122312" w:rsidRPr="00072B4D">
        <w:rPr>
          <w:rFonts w:ascii="Arial" w:hAnsi="Arial" w:cs="Arial"/>
          <w:sz w:val="24"/>
          <w:szCs w:val="24"/>
        </w:rPr>
        <w:t xml:space="preserve"> señor</w:t>
      </w:r>
      <w:r w:rsidR="00695969">
        <w:rPr>
          <w:rFonts w:ascii="Arial" w:hAnsi="Arial" w:cs="Arial"/>
          <w:sz w:val="24"/>
          <w:szCs w:val="24"/>
        </w:rPr>
        <w:t xml:space="preserve"> José Hermes Ruíz Sierra</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072B4D" w:rsidRPr="00072B4D">
        <w:rPr>
          <w:rFonts w:ascii="Arial" w:hAnsi="Arial" w:cs="Arial"/>
          <w:sz w:val="24"/>
          <w:szCs w:val="24"/>
        </w:rPr>
        <w:t>0</w:t>
      </w:r>
      <w:r w:rsidR="00695969">
        <w:rPr>
          <w:rFonts w:ascii="Arial" w:hAnsi="Arial" w:cs="Arial"/>
          <w:sz w:val="24"/>
          <w:szCs w:val="24"/>
        </w:rPr>
        <w:t>3</w:t>
      </w:r>
      <w:r w:rsidR="00246F26" w:rsidRPr="00072B4D">
        <w:rPr>
          <w:rFonts w:ascii="Arial" w:hAnsi="Arial" w:cs="Arial"/>
          <w:sz w:val="24"/>
          <w:szCs w:val="24"/>
        </w:rPr>
        <w:t>-0</w:t>
      </w:r>
      <w:r w:rsidR="00695969">
        <w:rPr>
          <w:rFonts w:ascii="Arial" w:hAnsi="Arial" w:cs="Arial"/>
          <w:sz w:val="24"/>
          <w:szCs w:val="24"/>
        </w:rPr>
        <w:t>6-2016</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4F619B" w:rsidRDefault="004F619B"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4F619B">
        <w:rPr>
          <w:rFonts w:ascii="Arial" w:hAnsi="Arial" w:cs="Arial"/>
          <w:color w:val="000000"/>
          <w:sz w:val="24"/>
          <w:szCs w:val="24"/>
        </w:rPr>
        <w:t>el</w:t>
      </w:r>
      <w:r w:rsidR="009613E9">
        <w:rPr>
          <w:rFonts w:ascii="Arial" w:hAnsi="Arial" w:cs="Arial"/>
          <w:color w:val="000000"/>
          <w:sz w:val="24"/>
          <w:szCs w:val="24"/>
        </w:rPr>
        <w:t xml:space="preserve"> accionante señor</w:t>
      </w:r>
      <w:r w:rsidR="004F619B">
        <w:rPr>
          <w:rFonts w:ascii="Arial" w:hAnsi="Arial" w:cs="Arial"/>
          <w:color w:val="000000"/>
          <w:sz w:val="24"/>
          <w:szCs w:val="24"/>
        </w:rPr>
        <w:t xml:space="preserve"> José Hermes Ruíz Sierra</w:t>
      </w:r>
      <w:r w:rsidR="00B94CC7">
        <w:rPr>
          <w:rFonts w:ascii="Arial" w:hAnsi="Arial" w:cs="Arial"/>
          <w:sz w:val="24"/>
          <w:szCs w:val="24"/>
        </w:rPr>
        <w:t xml:space="preserve"> quien actúa </w:t>
      </w:r>
      <w:r w:rsidR="004F619B">
        <w:rPr>
          <w:rFonts w:ascii="Arial" w:hAnsi="Arial" w:cs="Arial"/>
          <w:sz w:val="24"/>
          <w:szCs w:val="24"/>
        </w:rPr>
        <w:t>en nombre propio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4F619B">
        <w:rPr>
          <w:rFonts w:ascii="Arial" w:hAnsi="Arial" w:cs="Arial"/>
          <w:color w:val="000000"/>
          <w:sz w:val="24"/>
          <w:szCs w:val="24"/>
        </w:rPr>
        <w:t>el</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quien alega que presentó petición ante la accionada el </w:t>
      </w:r>
      <w:r w:rsidR="0070455B">
        <w:rPr>
          <w:rFonts w:ascii="Arial" w:hAnsi="Arial" w:cs="Arial"/>
          <w:color w:val="000000"/>
          <w:sz w:val="24"/>
          <w:szCs w:val="24"/>
        </w:rPr>
        <w:t xml:space="preserve">día </w:t>
      </w:r>
      <w:r w:rsidR="004F619B">
        <w:rPr>
          <w:rFonts w:ascii="Arial" w:hAnsi="Arial" w:cs="Arial"/>
          <w:color w:val="000000"/>
          <w:sz w:val="24"/>
          <w:szCs w:val="24"/>
        </w:rPr>
        <w:t>03</w:t>
      </w:r>
      <w:r w:rsidR="005F1E73">
        <w:rPr>
          <w:rFonts w:ascii="Arial" w:hAnsi="Arial" w:cs="Arial"/>
          <w:color w:val="000000"/>
          <w:sz w:val="24"/>
          <w:szCs w:val="24"/>
        </w:rPr>
        <w:t>-0</w:t>
      </w:r>
      <w:r w:rsidR="004F619B">
        <w:rPr>
          <w:rFonts w:ascii="Arial" w:hAnsi="Arial" w:cs="Arial"/>
          <w:color w:val="000000"/>
          <w:sz w:val="24"/>
          <w:szCs w:val="24"/>
        </w:rPr>
        <w:t xml:space="preserve">6-2016 </w:t>
      </w:r>
      <w:r w:rsidR="005F1E73">
        <w:rPr>
          <w:rFonts w:ascii="Arial" w:hAnsi="Arial" w:cs="Arial"/>
          <w:color w:val="000000"/>
          <w:sz w:val="24"/>
          <w:szCs w:val="24"/>
        </w:rPr>
        <w:t>sin obtener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003D3">
        <w:rPr>
          <w:rFonts w:ascii="Arial" w:hAnsi="Arial" w:cs="Arial"/>
          <w:color w:val="000000"/>
          <w:sz w:val="24"/>
          <w:szCs w:val="24"/>
        </w:rPr>
        <w:t>el director general de la Caja de Sueldos de</w:t>
      </w:r>
      <w:r w:rsidR="004F619B">
        <w:rPr>
          <w:rFonts w:ascii="Arial" w:hAnsi="Arial" w:cs="Arial"/>
          <w:color w:val="000000"/>
          <w:sz w:val="24"/>
          <w:szCs w:val="24"/>
        </w:rPr>
        <w:t xml:space="preserve"> Retiro de</w:t>
      </w:r>
      <w:r w:rsidR="001003D3">
        <w:rPr>
          <w:rFonts w:ascii="Arial" w:hAnsi="Arial" w:cs="Arial"/>
          <w:color w:val="000000"/>
          <w:sz w:val="24"/>
          <w:szCs w:val="24"/>
        </w:rPr>
        <w:t xml:space="preserve"> la Policía Nacional</w:t>
      </w:r>
      <w:r w:rsidRPr="00B54E5F">
        <w:rPr>
          <w:rFonts w:ascii="Arial" w:hAnsi="Arial" w:cs="Arial"/>
          <w:sz w:val="24"/>
          <w:szCs w:val="24"/>
        </w:rPr>
        <w:t>,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 entidad</w:t>
      </w:r>
      <w:r w:rsidR="007C34E4">
        <w:rPr>
          <w:rFonts w:ascii="Arial" w:hAnsi="Arial" w:cs="Arial"/>
          <w:color w:val="000000"/>
          <w:sz w:val="24"/>
          <w:szCs w:val="24"/>
        </w:rPr>
        <w:t xml:space="preserve"> ante quien aduce el accionante </w:t>
      </w:r>
      <w:r w:rsidR="00485B13">
        <w:rPr>
          <w:rFonts w:ascii="Arial" w:hAnsi="Arial" w:cs="Arial"/>
          <w:color w:val="000000"/>
          <w:sz w:val="24"/>
          <w:szCs w:val="24"/>
        </w:rPr>
        <w:t>remitió</w:t>
      </w:r>
      <w:r w:rsidR="007C34E4">
        <w:rPr>
          <w:rFonts w:ascii="Arial" w:hAnsi="Arial" w:cs="Arial"/>
          <w:color w:val="000000"/>
          <w:sz w:val="24"/>
          <w:szCs w:val="24"/>
        </w:rPr>
        <w:t xml:space="preserve"> </w:t>
      </w:r>
      <w:r w:rsidR="00CA57AD">
        <w:rPr>
          <w:rFonts w:ascii="Arial" w:hAnsi="Arial" w:cs="Arial"/>
          <w:color w:val="000000"/>
          <w:sz w:val="24"/>
          <w:szCs w:val="24"/>
        </w:rPr>
        <w:t xml:space="preserve">la </w:t>
      </w:r>
      <w:r w:rsidR="007C34E4">
        <w:rPr>
          <w:rFonts w:ascii="Arial" w:hAnsi="Arial" w:cs="Arial"/>
          <w:color w:val="000000"/>
          <w:sz w:val="24"/>
          <w:szCs w:val="24"/>
        </w:rPr>
        <w:t>petición</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5"/>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la fecha de la petición es del 03-06-2016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Pr>
          <w:rFonts w:ascii="Arial" w:hAnsi="Arial" w:cs="Arial"/>
          <w:sz w:val="24"/>
          <w:szCs w:val="24"/>
        </w:rPr>
        <w:t>ción de la acción de amparo (20-10</w:t>
      </w:r>
      <w:r w:rsidRPr="007414C9">
        <w:rPr>
          <w:rFonts w:ascii="Arial" w:hAnsi="Arial" w:cs="Arial"/>
          <w:sz w:val="24"/>
          <w:szCs w:val="24"/>
        </w:rPr>
        <w:t>-2016),</w:t>
      </w:r>
      <w:r>
        <w:rPr>
          <w:rFonts w:ascii="Arial" w:hAnsi="Arial" w:cs="Arial"/>
          <w:sz w:val="24"/>
          <w:szCs w:val="24"/>
        </w:rPr>
        <w:t xml:space="preserve"> más de cuatro (4</w:t>
      </w:r>
      <w:r w:rsidRPr="007414C9">
        <w:rPr>
          <w:rFonts w:ascii="Arial" w:hAnsi="Arial" w:cs="Arial"/>
          <w:sz w:val="24"/>
          <w:szCs w:val="24"/>
        </w:rPr>
        <w:t xml:space="preserve">) meses que se consideran razonables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Textoindependien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6"/>
      </w:r>
      <w:r>
        <w:rPr>
          <w:rFonts w:ascii="Arial" w:hAnsi="Arial" w:cs="Arial"/>
          <w:sz w:val="24"/>
          <w:szCs w:val="24"/>
          <w:lang w:val="es-ES"/>
        </w:rPr>
        <w:t xml:space="preserve">, que el derecho de petición exige concretarse en una pronta y oportuna respuesta por parte de la autoridad ante la cual ha sido elevada la solicitud, sin importar que la misma sea favorable a los intereses del peticionario y escrita, pero </w:t>
      </w:r>
      <w:r>
        <w:rPr>
          <w:rFonts w:ascii="Arial" w:hAnsi="Arial" w:cs="Arial"/>
          <w:sz w:val="24"/>
          <w:szCs w:val="24"/>
          <w:lang w:val="es-ES"/>
        </w:rPr>
        <w:lastRenderedPageBreak/>
        <w:t>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7"/>
      </w:r>
      <w:r>
        <w:rPr>
          <w:rFonts w:ascii="Arial" w:eastAsia="Calibri" w:hAnsi="Arial" w:cs="Arial"/>
          <w:i/>
          <w:color w:val="000000"/>
          <w:sz w:val="24"/>
          <w:szCs w:val="24"/>
          <w:vertAlign w:val="superscript"/>
          <w:lang w:eastAsia="en-US"/>
        </w:rPr>
        <w:footnoteReference w:id="8"/>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BA4141" w:rsidRDefault="00BA4141" w:rsidP="00BA4141">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la petición de solicitud de información sobre la disponibilidad </w:t>
      </w:r>
      <w:r w:rsidR="002C7DC9">
        <w:rPr>
          <w:rFonts w:ascii="Arial" w:hAnsi="Arial" w:cs="Arial"/>
          <w:sz w:val="24"/>
          <w:szCs w:val="24"/>
          <w:lang w:eastAsia="es-MX"/>
        </w:rPr>
        <w:t xml:space="preserve">y fecha </w:t>
      </w:r>
      <w:r>
        <w:rPr>
          <w:rFonts w:ascii="Arial" w:hAnsi="Arial" w:cs="Arial"/>
          <w:sz w:val="24"/>
          <w:szCs w:val="24"/>
          <w:lang w:eastAsia="es-MX"/>
        </w:rPr>
        <w:t>de pago de la cuenta de cobro sobre una conciliación prejudicial</w:t>
      </w:r>
      <w:r w:rsidR="002C7DC9">
        <w:rPr>
          <w:rFonts w:ascii="Arial" w:hAnsi="Arial" w:cs="Arial"/>
          <w:sz w:val="24"/>
          <w:szCs w:val="24"/>
          <w:lang w:eastAsia="es-MX"/>
        </w:rPr>
        <w:t xml:space="preserve"> cuyo convocantes es José Alberto Colorado Zapata fue enviada </w:t>
      </w:r>
      <w:r>
        <w:rPr>
          <w:rFonts w:ascii="Arial" w:hAnsi="Arial" w:cs="Arial"/>
          <w:sz w:val="24"/>
          <w:szCs w:val="24"/>
          <w:lang w:eastAsia="es-MX"/>
        </w:rPr>
        <w:t xml:space="preserve">por </w:t>
      </w:r>
      <w:r w:rsidR="002C7DC9">
        <w:rPr>
          <w:rFonts w:ascii="Arial" w:hAnsi="Arial" w:cs="Arial"/>
          <w:sz w:val="24"/>
          <w:szCs w:val="24"/>
          <w:lang w:eastAsia="es-MX"/>
        </w:rPr>
        <w:t>el actor</w:t>
      </w:r>
      <w:r>
        <w:rPr>
          <w:rFonts w:ascii="Arial" w:hAnsi="Arial" w:cs="Arial"/>
          <w:sz w:val="24"/>
          <w:szCs w:val="24"/>
          <w:lang w:eastAsia="es-MX"/>
        </w:rPr>
        <w:t xml:space="preserve"> y recibida </w:t>
      </w:r>
      <w:r w:rsidR="002C7DC9">
        <w:rPr>
          <w:rFonts w:ascii="Arial" w:hAnsi="Arial" w:cs="Arial"/>
          <w:sz w:val="24"/>
          <w:szCs w:val="24"/>
          <w:lang w:eastAsia="es-MX"/>
        </w:rPr>
        <w:t>por el accionado el 03-06-2016 (fl.4)</w:t>
      </w:r>
      <w:r>
        <w:rPr>
          <w:rFonts w:ascii="Arial" w:hAnsi="Arial" w:cs="Arial"/>
          <w:sz w:val="24"/>
          <w:szCs w:val="24"/>
          <w:lang w:eastAsia="es-MX"/>
        </w:rPr>
        <w:t xml:space="preserve">; (ii) han </w:t>
      </w:r>
      <w:r w:rsidR="002C7DC9">
        <w:rPr>
          <w:rFonts w:ascii="Arial" w:hAnsi="Arial" w:cs="Arial"/>
          <w:sz w:val="24"/>
          <w:szCs w:val="24"/>
          <w:lang w:eastAsia="es-MX"/>
        </w:rPr>
        <w:t>pasado más de cuatro (4</w:t>
      </w:r>
      <w:r>
        <w:rPr>
          <w:rFonts w:ascii="Arial" w:hAnsi="Arial" w:cs="Arial"/>
          <w:sz w:val="24"/>
          <w:szCs w:val="24"/>
          <w:lang w:eastAsia="es-MX"/>
        </w:rPr>
        <w:t xml:space="preserve">) meses y la </w:t>
      </w:r>
      <w:r w:rsidR="002C7DC9">
        <w:rPr>
          <w:rFonts w:ascii="Arial" w:hAnsi="Arial" w:cs="Arial"/>
          <w:sz w:val="24"/>
          <w:szCs w:val="24"/>
          <w:lang w:eastAsia="es-MX"/>
        </w:rPr>
        <w:t>Caja de Sueldos de Retiro de la Policía Nacional</w:t>
      </w:r>
      <w:r>
        <w:rPr>
          <w:rFonts w:ascii="Arial" w:hAnsi="Arial" w:cs="Arial"/>
          <w:sz w:val="24"/>
          <w:szCs w:val="24"/>
          <w:lang w:eastAsia="es-MX"/>
        </w:rPr>
        <w:t xml:space="preserve"> no ha emitido una respuesta</w:t>
      </w:r>
      <w:r w:rsidR="002C7DC9">
        <w:rPr>
          <w:rFonts w:ascii="Arial" w:hAnsi="Arial" w:cs="Arial"/>
          <w:sz w:val="24"/>
          <w:szCs w:val="24"/>
          <w:lang w:eastAsia="es-MX"/>
        </w:rPr>
        <w:t xml:space="preserve">; (iii) dentro de éste trámite se la requirió mediante auto de 21-10-2016 para que informará cuándo dio respuesta a la petición y allegara copia de ella junto con la constancia de notificación, </w:t>
      </w:r>
      <w:r w:rsidR="00502095">
        <w:rPr>
          <w:rFonts w:ascii="Arial" w:hAnsi="Arial" w:cs="Arial"/>
          <w:sz w:val="24"/>
          <w:szCs w:val="24"/>
          <w:lang w:eastAsia="es-MX"/>
        </w:rPr>
        <w:t xml:space="preserve">sin que </w:t>
      </w:r>
      <w:r w:rsidR="004575BF">
        <w:rPr>
          <w:rFonts w:ascii="Arial" w:hAnsi="Arial" w:cs="Arial"/>
          <w:sz w:val="24"/>
          <w:szCs w:val="24"/>
          <w:lang w:eastAsia="es-MX"/>
        </w:rPr>
        <w:t>contestara</w:t>
      </w:r>
      <w:r w:rsidR="00502095">
        <w:rPr>
          <w:rFonts w:ascii="Arial" w:hAnsi="Arial" w:cs="Arial"/>
          <w:sz w:val="24"/>
          <w:szCs w:val="24"/>
          <w:lang w:eastAsia="es-MX"/>
        </w:rPr>
        <w:t xml:space="preserve"> (fl.7); (iv) situaciones que conoce la accionada en aplicación al principio de veracidad, toda vez que requerida guardó silencio (art.20 del Decreto 2591 de 1991).</w:t>
      </w:r>
    </w:p>
    <w:p w:rsidR="00BA4141" w:rsidRDefault="00BA4141" w:rsidP="00BA4141">
      <w:pPr>
        <w:spacing w:after="0"/>
        <w:contextualSpacing/>
        <w:jc w:val="both"/>
        <w:rPr>
          <w:rFonts w:ascii="Arial" w:hAnsi="Arial" w:cs="Arial"/>
          <w:sz w:val="24"/>
          <w:szCs w:val="24"/>
          <w:lang w:eastAsia="es-MX"/>
        </w:rPr>
      </w:pPr>
    </w:p>
    <w:p w:rsidR="00BA4141" w:rsidRDefault="00BA4141" w:rsidP="00BA4141">
      <w:pPr>
        <w:spacing w:after="0"/>
        <w:contextualSpacing/>
        <w:jc w:val="both"/>
        <w:rPr>
          <w:rFonts w:ascii="Arial" w:hAnsi="Arial" w:cs="Arial"/>
          <w:sz w:val="24"/>
          <w:szCs w:val="24"/>
        </w:rPr>
      </w:pPr>
      <w:r>
        <w:rPr>
          <w:rFonts w:ascii="Arial" w:hAnsi="Arial" w:cs="Arial"/>
          <w:sz w:val="24"/>
          <w:szCs w:val="24"/>
        </w:rPr>
        <w:t>Por lo anterior, resulta claro para esta Sala que se ha vulnerado el derecho de petición de</w:t>
      </w:r>
      <w:r w:rsidR="00502095">
        <w:rPr>
          <w:rFonts w:ascii="Arial" w:hAnsi="Arial" w:cs="Arial"/>
          <w:sz w:val="24"/>
          <w:szCs w:val="24"/>
        </w:rPr>
        <w:t>l</w:t>
      </w:r>
      <w:r>
        <w:rPr>
          <w:rFonts w:ascii="Arial" w:hAnsi="Arial" w:cs="Arial"/>
          <w:sz w:val="24"/>
          <w:szCs w:val="24"/>
        </w:rPr>
        <w:t xml:space="preserve"> señor</w:t>
      </w:r>
      <w:r w:rsidR="00502095">
        <w:rPr>
          <w:rFonts w:ascii="Arial" w:hAnsi="Arial" w:cs="Arial"/>
          <w:sz w:val="24"/>
          <w:szCs w:val="24"/>
        </w:rPr>
        <w:t xml:space="preserve"> José Hermes Ruíz Sierra</w:t>
      </w:r>
      <w:r>
        <w:rPr>
          <w:rFonts w:ascii="Arial" w:hAnsi="Arial" w:cs="Arial"/>
          <w:sz w:val="24"/>
          <w:szCs w:val="24"/>
        </w:rPr>
        <w:t xml:space="preserve"> por cuanto no ha recibido una respuesta </w:t>
      </w:r>
      <w:r>
        <w:rPr>
          <w:rFonts w:ascii="Arial" w:hAnsi="Arial" w:cs="Arial"/>
          <w:sz w:val="24"/>
          <w:szCs w:val="24"/>
          <w:lang w:eastAsia="es-MX"/>
        </w:rPr>
        <w:t>de fondo, clara, precisa y congruente con lo solicitado</w:t>
      </w:r>
      <w:r>
        <w:rPr>
          <w:rFonts w:ascii="Arial" w:hAnsi="Arial" w:cs="Arial"/>
          <w:sz w:val="24"/>
          <w:szCs w:val="24"/>
        </w:rPr>
        <w:t>, y tampoco le ha sido notificada,</w:t>
      </w:r>
      <w:r w:rsidR="00502095">
        <w:rPr>
          <w:rFonts w:ascii="Arial" w:hAnsi="Arial" w:cs="Arial"/>
          <w:sz w:val="24"/>
          <w:szCs w:val="24"/>
        </w:rPr>
        <w:t xml:space="preserve"> </w:t>
      </w:r>
      <w:r>
        <w:rPr>
          <w:rFonts w:ascii="Arial" w:hAnsi="Arial" w:cs="Arial"/>
          <w:sz w:val="24"/>
          <w:szCs w:val="24"/>
        </w:rPr>
        <w:t>razón por la cual resulta imperioso amparar este derecho.</w:t>
      </w:r>
    </w:p>
    <w:p w:rsidR="002F3B4B" w:rsidRDefault="002F3B4B" w:rsidP="00517E62">
      <w:pPr>
        <w:spacing w:after="0"/>
        <w:contextualSpacing/>
        <w:jc w:val="both"/>
        <w:rPr>
          <w:rFonts w:ascii="Arial" w:hAnsi="Arial" w:cs="Arial"/>
          <w:sz w:val="24"/>
          <w:szCs w:val="24"/>
          <w:lang w:eastAsia="es-MX"/>
        </w:rPr>
      </w:pPr>
    </w:p>
    <w:p w:rsidR="00517E62" w:rsidRDefault="00517E62" w:rsidP="00517E62">
      <w:pPr>
        <w:pStyle w:val="Sinespaciado"/>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bCs/>
          <w:iCs/>
          <w:spacing w:val="-3"/>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sidR="00270F86">
        <w:rPr>
          <w:rFonts w:ascii="Arial" w:hAnsi="Arial" w:cs="Arial"/>
          <w:sz w:val="24"/>
          <w:szCs w:val="24"/>
        </w:rPr>
        <w:t xml:space="preserve">autoridad </w:t>
      </w:r>
      <w:r w:rsidRPr="00D96A0B">
        <w:rPr>
          <w:rFonts w:ascii="Arial" w:hAnsi="Arial" w:cs="Arial"/>
          <w:sz w:val="24"/>
          <w:szCs w:val="24"/>
        </w:rPr>
        <w:t>accionada,</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como vulnerado y,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5E712B" w:rsidRPr="00D96A0B">
        <w:rPr>
          <w:rFonts w:ascii="Arial" w:hAnsi="Arial" w:cs="Arial"/>
          <w:bCs/>
          <w:iCs/>
          <w:spacing w:val="-3"/>
          <w:sz w:val="24"/>
          <w:szCs w:val="24"/>
        </w:rPr>
        <w:t xml:space="preserve">al </w:t>
      </w:r>
      <w:r w:rsidR="005E712B" w:rsidRPr="00D96A0B">
        <w:rPr>
          <w:rFonts w:ascii="Arial" w:hAnsi="Arial" w:cs="Arial"/>
          <w:color w:val="000000"/>
          <w:sz w:val="24"/>
          <w:szCs w:val="24"/>
        </w:rPr>
        <w:t>director general de la Caja de Sueldos d</w:t>
      </w:r>
      <w:r w:rsidR="00502095">
        <w:rPr>
          <w:rFonts w:ascii="Arial" w:hAnsi="Arial" w:cs="Arial"/>
          <w:color w:val="000000"/>
          <w:sz w:val="24"/>
          <w:szCs w:val="24"/>
        </w:rPr>
        <w:t xml:space="preserve">e Retiro de la Policía Nacional </w:t>
      </w:r>
      <w:r w:rsidR="005E712B">
        <w:rPr>
          <w:rFonts w:ascii="Arial" w:hAnsi="Arial" w:cs="Arial"/>
          <w:color w:val="000000"/>
          <w:sz w:val="24"/>
          <w:szCs w:val="24"/>
        </w:rPr>
        <w:t>o quien haga sus veces,</w:t>
      </w:r>
      <w:r w:rsidR="005E712B" w:rsidRPr="00D96A0B">
        <w:rPr>
          <w:rFonts w:ascii="Arial" w:hAnsi="Arial" w:cs="Arial"/>
          <w:color w:val="000000"/>
          <w:sz w:val="24"/>
          <w:szCs w:val="24"/>
        </w:rPr>
        <w:t xml:space="preserve"> </w:t>
      </w:r>
      <w:r w:rsidR="000D558B" w:rsidRPr="00D96A0B">
        <w:rPr>
          <w:rFonts w:ascii="Arial" w:hAnsi="Arial" w:cs="Arial"/>
          <w:bCs/>
          <w:iCs/>
          <w:spacing w:val="-3"/>
          <w:sz w:val="24"/>
          <w:szCs w:val="24"/>
        </w:rPr>
        <w:t xml:space="preserve"> </w:t>
      </w:r>
      <w:r w:rsidR="00D96A0B" w:rsidRPr="00D96A0B">
        <w:rPr>
          <w:rFonts w:ascii="Arial" w:hAnsi="Arial" w:cs="Arial"/>
          <w:sz w:val="24"/>
          <w:szCs w:val="24"/>
          <w:bdr w:val="none" w:sz="0" w:space="0" w:color="auto" w:frame="1"/>
        </w:rPr>
        <w:t xml:space="preserve">que en el término de cuarenta y ocho (48) horas siguientes a la notificación de este proveído, si no lo hubiere hecho, proceda  a </w:t>
      </w:r>
      <w:r w:rsidR="00D96A0B">
        <w:rPr>
          <w:rFonts w:ascii="Arial" w:hAnsi="Arial" w:cs="Arial"/>
          <w:sz w:val="24"/>
          <w:szCs w:val="24"/>
          <w:bdr w:val="none" w:sz="0" w:space="0" w:color="auto" w:frame="1"/>
        </w:rPr>
        <w:t>responder</w:t>
      </w:r>
      <w:r w:rsidR="00502095">
        <w:rPr>
          <w:rFonts w:ascii="Arial" w:hAnsi="Arial" w:cs="Arial"/>
          <w:color w:val="000000"/>
          <w:sz w:val="24"/>
          <w:szCs w:val="24"/>
        </w:rPr>
        <w:t xml:space="preserve"> la petición del 03-06-2016</w:t>
      </w:r>
      <w:r w:rsidR="00D96A0B">
        <w:rPr>
          <w:rFonts w:ascii="Arial" w:hAnsi="Arial" w:cs="Arial"/>
          <w:color w:val="000000"/>
          <w:sz w:val="24"/>
          <w:szCs w:val="24"/>
        </w:rPr>
        <w:t>.</w:t>
      </w:r>
    </w:p>
    <w:p w:rsidR="00D96A0B" w:rsidRDefault="00D96A0B" w:rsidP="000D558B">
      <w:pPr>
        <w:pStyle w:val="Sinespaciado"/>
        <w:spacing w:line="276" w:lineRule="auto"/>
        <w:jc w:val="both"/>
        <w:rPr>
          <w:rFonts w:ascii="Arial" w:hAnsi="Arial" w:cs="Arial"/>
          <w:bCs/>
          <w:iCs/>
          <w:spacing w:val="-3"/>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502095" w:rsidRDefault="00B1614F" w:rsidP="00502095">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502095">
        <w:rPr>
          <w:rFonts w:ascii="Arial" w:hAnsi="Arial" w:cs="Arial"/>
          <w:sz w:val="24"/>
          <w:szCs w:val="24"/>
        </w:rPr>
        <w:t>del cual es titular el</w:t>
      </w:r>
      <w:r w:rsidR="00D96A0B">
        <w:rPr>
          <w:rFonts w:ascii="Arial" w:hAnsi="Arial" w:cs="Arial"/>
          <w:sz w:val="24"/>
          <w:szCs w:val="24"/>
        </w:rPr>
        <w:t xml:space="preserve"> </w:t>
      </w:r>
      <w:r w:rsidRPr="00B1614F">
        <w:rPr>
          <w:rFonts w:ascii="Arial" w:hAnsi="Arial" w:cs="Arial"/>
          <w:sz w:val="24"/>
          <w:szCs w:val="24"/>
        </w:rPr>
        <w:t>señor</w:t>
      </w:r>
      <w:r w:rsidR="00270F86" w:rsidRPr="00270F86">
        <w:rPr>
          <w:rFonts w:ascii="Arial" w:hAnsi="Arial" w:cs="Arial"/>
          <w:sz w:val="24"/>
          <w:szCs w:val="24"/>
        </w:rPr>
        <w:t xml:space="preserve"> </w:t>
      </w:r>
      <w:r w:rsidR="00502095">
        <w:rPr>
          <w:rFonts w:ascii="Arial" w:hAnsi="Arial" w:cs="Arial"/>
          <w:color w:val="000000"/>
          <w:sz w:val="24"/>
          <w:szCs w:val="24"/>
        </w:rPr>
        <w:t>José Hermes Ruíz Sierra, identificado con cédula de ciudadanía No.10.106.541 de Pereira, quien actúa en nombre propio en contra de la Caja de Sueldos de Retiro de la Policía Nacional.</w:t>
      </w:r>
    </w:p>
    <w:p w:rsidR="00502095" w:rsidRDefault="00502095" w:rsidP="00502095">
      <w:pPr>
        <w:spacing w:after="0"/>
        <w:contextualSpacing/>
        <w:jc w:val="center"/>
        <w:rPr>
          <w:rFonts w:ascii="Arial" w:hAnsi="Arial" w:cs="Arial"/>
          <w:b/>
          <w:sz w:val="24"/>
          <w:szCs w:val="24"/>
        </w:rPr>
      </w:pPr>
    </w:p>
    <w:p w:rsidR="00D96A0B" w:rsidRDefault="00B1614F" w:rsidP="00D96A0B">
      <w:pPr>
        <w:tabs>
          <w:tab w:val="left" w:pos="3261"/>
        </w:tabs>
        <w:spacing w:after="0"/>
        <w:contextualSpacing/>
        <w:jc w:val="both"/>
        <w:rPr>
          <w:rFonts w:ascii="Arial" w:hAnsi="Arial" w:cs="Arial"/>
          <w:bCs/>
          <w:iCs/>
          <w:spacing w:val="-3"/>
        </w:rPr>
      </w:pPr>
      <w:r w:rsidRPr="00B1614F">
        <w:rPr>
          <w:rFonts w:ascii="Arial" w:hAnsi="Arial" w:cs="Arial"/>
          <w:b/>
          <w:u w:val="single"/>
        </w:rPr>
        <w:t>SEGUNDO</w:t>
      </w:r>
      <w:r w:rsidRPr="00B1614F">
        <w:rPr>
          <w:rFonts w:ascii="Arial" w:hAnsi="Arial" w:cs="Arial"/>
          <w:b/>
        </w:rPr>
        <w:t xml:space="preserve">: ORDENAR </w:t>
      </w:r>
      <w:r w:rsidR="00D96A0B" w:rsidRPr="00D96A0B">
        <w:rPr>
          <w:rFonts w:ascii="Arial" w:hAnsi="Arial" w:cs="Arial"/>
          <w:bCs/>
          <w:iCs/>
          <w:spacing w:val="-3"/>
          <w:sz w:val="24"/>
          <w:szCs w:val="24"/>
        </w:rPr>
        <w:t xml:space="preserve">al </w:t>
      </w:r>
      <w:r w:rsidR="00D96A0B" w:rsidRPr="00D96A0B">
        <w:rPr>
          <w:rFonts w:ascii="Arial" w:hAnsi="Arial" w:cs="Arial"/>
          <w:color w:val="000000"/>
          <w:sz w:val="24"/>
          <w:szCs w:val="24"/>
        </w:rPr>
        <w:t>director general de la Caja de Sueldos de Retiro de la Poli</w:t>
      </w:r>
      <w:r w:rsidR="00502095">
        <w:rPr>
          <w:rFonts w:ascii="Arial" w:hAnsi="Arial" w:cs="Arial"/>
          <w:color w:val="000000"/>
          <w:sz w:val="24"/>
          <w:szCs w:val="24"/>
        </w:rPr>
        <w:t xml:space="preserve">cía Nacional </w:t>
      </w:r>
      <w:r w:rsidR="00D96A0B">
        <w:rPr>
          <w:rFonts w:ascii="Arial" w:hAnsi="Arial" w:cs="Arial"/>
          <w:color w:val="000000"/>
          <w:sz w:val="24"/>
          <w:szCs w:val="24"/>
        </w:rPr>
        <w:t>o quien haga sus veces,</w:t>
      </w:r>
      <w:r w:rsidR="00D96A0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 xml:space="preserve">que en el término de cuarenta y ocho (48) horas siguientes a la notificación de este proveído, si no lo hubiere hecho, proceda  a </w:t>
      </w:r>
      <w:r w:rsidR="00D96A0B">
        <w:rPr>
          <w:rFonts w:ascii="Arial" w:hAnsi="Arial" w:cs="Arial"/>
          <w:sz w:val="24"/>
          <w:szCs w:val="24"/>
          <w:bdr w:val="none" w:sz="0" w:space="0" w:color="auto" w:frame="1"/>
        </w:rPr>
        <w:t>responder</w:t>
      </w:r>
      <w:r w:rsidR="00502095">
        <w:rPr>
          <w:rFonts w:ascii="Arial" w:hAnsi="Arial" w:cs="Arial"/>
          <w:color w:val="000000"/>
          <w:sz w:val="24"/>
          <w:szCs w:val="24"/>
        </w:rPr>
        <w:t xml:space="preserve"> la petición del 03-06-2016</w:t>
      </w:r>
      <w:r w:rsidR="00D96A0B">
        <w:rPr>
          <w:rFonts w:ascii="Arial" w:hAnsi="Arial" w:cs="Arial"/>
          <w:color w:val="000000"/>
          <w:sz w:val="24"/>
          <w:szCs w:val="24"/>
        </w:rPr>
        <w:t>.</w:t>
      </w:r>
    </w:p>
    <w:p w:rsidR="00B1614F" w:rsidRPr="000D558B" w:rsidRDefault="00B1614F" w:rsidP="00B1614F">
      <w:pPr>
        <w:pStyle w:val="Sinespaciado"/>
        <w:spacing w:line="276" w:lineRule="auto"/>
        <w:jc w:val="both"/>
        <w:rPr>
          <w:rFonts w:ascii="Arial" w:hAnsi="Arial" w:cs="Arial"/>
          <w:bdr w:val="none" w:sz="0" w:space="0" w:color="auto" w:frame="1"/>
          <w:lang w:eastAsia="es-CO"/>
        </w:rPr>
      </w:pPr>
    </w:p>
    <w:p w:rsidR="00B1614F" w:rsidRPr="00B1614F" w:rsidRDefault="00B1614F" w:rsidP="00B1614F">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B1614F" w:rsidP="00182867">
      <w:pPr>
        <w:pStyle w:val="Textosinformato"/>
        <w:spacing w:line="276" w:lineRule="auto"/>
        <w:jc w:val="both"/>
        <w:rPr>
          <w:rFonts w:ascii="Arial" w:eastAsia="SimSun" w:hAnsi="Arial" w:cs="Arial"/>
          <w:sz w:val="24"/>
          <w:szCs w:val="24"/>
          <w:lang w:val="es-ES_tradnl"/>
        </w:rPr>
      </w:pPr>
      <w:r w:rsidRPr="00B1614F">
        <w:rPr>
          <w:rFonts w:ascii="Arial" w:eastAsia="SimSun" w:hAnsi="Arial" w:cs="Arial"/>
          <w:b/>
          <w:sz w:val="24"/>
          <w:szCs w:val="24"/>
          <w:u w:val="single"/>
          <w:lang w:val="es-ES_tradnl"/>
        </w:rPr>
        <w:t>CUARTO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502095" w:rsidRDefault="00502095" w:rsidP="00BA4141">
      <w:pPr>
        <w:pStyle w:val="Prrafodelista1"/>
        <w:spacing w:line="276" w:lineRule="auto"/>
        <w:ind w:left="0"/>
        <w:jc w:val="center"/>
        <w:rPr>
          <w:rFonts w:ascii="Arial" w:hAnsi="Arial" w:cs="Arial"/>
          <w:b/>
        </w:rPr>
      </w:pPr>
    </w:p>
    <w:p w:rsidR="00502095" w:rsidRDefault="00502095" w:rsidP="00BA4141">
      <w:pPr>
        <w:pStyle w:val="Prrafodelista1"/>
        <w:spacing w:line="276" w:lineRule="auto"/>
        <w:ind w:left="0"/>
        <w:jc w:val="center"/>
        <w:rPr>
          <w:rFonts w:ascii="Arial" w:hAnsi="Arial" w:cs="Arial"/>
          <w:b/>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p w:rsidR="00502095" w:rsidRPr="00502095" w:rsidRDefault="00502095" w:rsidP="00502095">
      <w:pPr>
        <w:contextualSpacing/>
        <w:jc w:val="both"/>
        <w:rPr>
          <w:rFonts w:ascii="Arial" w:hAnsi="Arial" w:cs="Arial"/>
          <w:b/>
          <w:sz w:val="24"/>
        </w:rPr>
      </w:pPr>
    </w:p>
    <w:p w:rsidR="00270F86" w:rsidRDefault="00270F86" w:rsidP="001B2231">
      <w:pPr>
        <w:spacing w:after="0"/>
        <w:contextualSpacing/>
        <w:jc w:val="center"/>
        <w:rPr>
          <w:rFonts w:ascii="Arial" w:hAnsi="Arial" w:cs="Arial"/>
          <w:b/>
          <w:sz w:val="24"/>
          <w:szCs w:val="24"/>
          <w:lang w:eastAsia="es-ES"/>
        </w:rPr>
      </w:pPr>
    </w:p>
    <w:sectPr w:rsidR="00270F86"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15" w:rsidRDefault="00476815" w:rsidP="00567D0D">
      <w:pPr>
        <w:spacing w:after="0" w:line="240" w:lineRule="auto"/>
      </w:pPr>
      <w:r>
        <w:separator/>
      </w:r>
    </w:p>
  </w:endnote>
  <w:endnote w:type="continuationSeparator" w:id="0">
    <w:p w:rsidR="00476815" w:rsidRDefault="0047681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57E7">
      <w:rPr>
        <w:rStyle w:val="Nmerodepgina"/>
        <w:noProof/>
      </w:rPr>
      <w:t>5</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15" w:rsidRDefault="00476815" w:rsidP="00567D0D">
      <w:pPr>
        <w:spacing w:after="0" w:line="240" w:lineRule="auto"/>
      </w:pPr>
      <w:r>
        <w:separator/>
      </w:r>
    </w:p>
  </w:footnote>
  <w:footnote w:type="continuationSeparator" w:id="0">
    <w:p w:rsidR="00476815" w:rsidRDefault="00476815" w:rsidP="00567D0D">
      <w:pPr>
        <w:spacing w:after="0" w:line="240" w:lineRule="auto"/>
      </w:pPr>
      <w:r>
        <w:continuationSeparator/>
      </w:r>
    </w:p>
  </w:footnote>
  <w:footnote w:id="1">
    <w:p w:rsidR="001D1DE2" w:rsidRPr="00854FC0" w:rsidRDefault="001D1DE2" w:rsidP="004F619B">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D1DE2" w:rsidRPr="00854FC0" w:rsidRDefault="001D1DE2" w:rsidP="004F619B">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1D1DE2" w:rsidRPr="00854FC0" w:rsidRDefault="001D1DE2" w:rsidP="004F619B">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004F619B">
        <w:rPr>
          <w:rFonts w:ascii="Arial" w:hAnsi="Arial" w:cs="Arial"/>
          <w:color w:val="000000"/>
          <w:sz w:val="18"/>
          <w:szCs w:val="18"/>
          <w:lang w:val="es-CO"/>
        </w:rPr>
        <w:t xml:space="preserve"> </w:t>
      </w:r>
      <w:r w:rsidRPr="00854FC0">
        <w:rPr>
          <w:rFonts w:ascii="Arial" w:hAnsi="Arial" w:cs="Arial"/>
          <w:color w:val="000000"/>
          <w:sz w:val="18"/>
          <w:szCs w:val="18"/>
          <w:lang w:val="es-CO"/>
        </w:rPr>
        <w:t>CORTE CONSTITUCIONAL. Sentencia T-667-2011. M.P. Luis Ernesto Vargas Silva.</w:t>
      </w:r>
    </w:p>
  </w:footnote>
  <w:footnote w:id="4">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Corte Constitucional. Sentencia T-275 de 12-04-2012, M.P. Juan Carlos Henao Pérez</w:t>
      </w:r>
    </w:p>
  </w:footnote>
  <w:footnote w:id="5">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6">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7">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8">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sidR="001C009D">
      <w:rPr>
        <w:rFonts w:ascii="Arial" w:hAnsi="Arial" w:cs="Arial"/>
        <w:sz w:val="18"/>
        <w:szCs w:val="18"/>
      </w:rPr>
      <w:t>228</w:t>
    </w:r>
    <w:r w:rsidRPr="00A85437">
      <w:rPr>
        <w:rFonts w:ascii="Arial" w:hAnsi="Arial" w:cs="Arial"/>
        <w:sz w:val="18"/>
        <w:szCs w:val="18"/>
      </w:rPr>
      <w:t>-00</w:t>
    </w:r>
  </w:p>
  <w:p w:rsidR="00504167" w:rsidRDefault="001C009D" w:rsidP="00504167">
    <w:pPr>
      <w:pStyle w:val="Encabezado"/>
      <w:jc w:val="center"/>
    </w:pPr>
    <w:r>
      <w:rPr>
        <w:rFonts w:ascii="Arial" w:hAnsi="Arial" w:cs="Arial"/>
        <w:sz w:val="18"/>
        <w:szCs w:val="18"/>
      </w:rPr>
      <w:t>José Hermes Ruíz Sierra</w:t>
    </w:r>
    <w:r w:rsidR="00504167">
      <w:rPr>
        <w:rFonts w:ascii="Arial" w:hAnsi="Arial" w:cs="Arial"/>
        <w:sz w:val="18"/>
        <w:szCs w:val="18"/>
      </w:rPr>
      <w:t xml:space="preserve"> </w:t>
    </w:r>
    <w:r w:rsidR="00504167" w:rsidRPr="00A85437">
      <w:rPr>
        <w:rFonts w:ascii="Arial" w:hAnsi="Arial" w:cs="Arial"/>
        <w:sz w:val="18"/>
        <w:szCs w:val="18"/>
      </w:rPr>
      <w:t xml:space="preserve">vs </w:t>
    </w:r>
    <w:r w:rsidR="00F51220">
      <w:rPr>
        <w:rFonts w:ascii="Arial" w:hAnsi="Arial" w:cs="Arial"/>
        <w:sz w:val="18"/>
        <w:szCs w:val="18"/>
      </w:rPr>
      <w:t>Caja de Sueldos de</w:t>
    </w:r>
    <w:r>
      <w:rPr>
        <w:rFonts w:ascii="Arial" w:hAnsi="Arial" w:cs="Arial"/>
        <w:sz w:val="18"/>
        <w:szCs w:val="18"/>
      </w:rPr>
      <w:t xml:space="preserve"> Retiro de</w:t>
    </w:r>
    <w:r w:rsidR="00F51220">
      <w:rPr>
        <w:rFonts w:ascii="Arial" w:hAnsi="Arial" w:cs="Arial"/>
        <w:sz w:val="18"/>
        <w:szCs w:val="18"/>
      </w:rPr>
      <w:t xml:space="preserve"> la Policía Nacional</w:t>
    </w:r>
    <w:r w:rsidR="00504167">
      <w:rPr>
        <w:rFonts w:ascii="Arial" w:hAnsi="Arial" w:cs="Arial"/>
        <w:sz w:val="18"/>
        <w:szCs w:val="18"/>
      </w:rPr>
      <w:t xml:space="preserve"> </w:t>
    </w:r>
    <w:r w:rsidR="00504167">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57E7"/>
    <w:rsid w:val="00056D3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396F"/>
    <w:rsid w:val="001B731F"/>
    <w:rsid w:val="001C009D"/>
    <w:rsid w:val="001C0D14"/>
    <w:rsid w:val="001C3321"/>
    <w:rsid w:val="001C408A"/>
    <w:rsid w:val="001C5D32"/>
    <w:rsid w:val="001C7402"/>
    <w:rsid w:val="001D0F0B"/>
    <w:rsid w:val="001D1DE2"/>
    <w:rsid w:val="001D3C5F"/>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C7DC9"/>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4665"/>
    <w:rsid w:val="00465BE1"/>
    <w:rsid w:val="004726F6"/>
    <w:rsid w:val="0047493E"/>
    <w:rsid w:val="00476815"/>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7CB5"/>
    <w:rsid w:val="00512111"/>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57C3"/>
    <w:rsid w:val="005D6A60"/>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5969"/>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35D7"/>
    <w:rsid w:val="007846EA"/>
    <w:rsid w:val="00785704"/>
    <w:rsid w:val="00785940"/>
    <w:rsid w:val="00785CD2"/>
    <w:rsid w:val="0079030B"/>
    <w:rsid w:val="00792EA5"/>
    <w:rsid w:val="00792F8E"/>
    <w:rsid w:val="007A4407"/>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80706"/>
    <w:rsid w:val="00B81DEF"/>
    <w:rsid w:val="00B833AE"/>
    <w:rsid w:val="00B84629"/>
    <w:rsid w:val="00B862CD"/>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96C04-BF97-4801-8EC1-8D413406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Perseo</cp:lastModifiedBy>
  <cp:revision>10</cp:revision>
  <cp:lastPrinted>2016-04-11T22:20:00Z</cp:lastPrinted>
  <dcterms:created xsi:type="dcterms:W3CDTF">2016-10-26T20:26:00Z</dcterms:created>
  <dcterms:modified xsi:type="dcterms:W3CDTF">2016-12-31T04:49:00Z</dcterms:modified>
</cp:coreProperties>
</file>