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14" w:rsidRDefault="001F2B14" w:rsidP="001F2B14">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1F2B14" w:rsidRDefault="001F2B14" w:rsidP="001F2B14">
      <w:pPr>
        <w:jc w:val="both"/>
        <w:rPr>
          <w:rFonts w:ascii="Tahoma" w:hAnsi="Tahoma" w:cs="Tahoma"/>
          <w:b/>
          <w:sz w:val="18"/>
          <w:szCs w:val="18"/>
        </w:rP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AD7995">
        <w:rPr>
          <w:rFonts w:ascii="Arial" w:hAnsi="Arial" w:cs="Arial"/>
          <w:bCs/>
          <w:sz w:val="18"/>
          <w:szCs w:val="18"/>
        </w:rPr>
        <w:t>66001-31-05-00</w:t>
      </w:r>
      <w:r w:rsidR="00225C75">
        <w:rPr>
          <w:rFonts w:ascii="Arial" w:hAnsi="Arial" w:cs="Arial"/>
          <w:bCs/>
          <w:sz w:val="18"/>
          <w:szCs w:val="18"/>
        </w:rPr>
        <w:t>5</w:t>
      </w:r>
      <w:r w:rsidR="00695334">
        <w:rPr>
          <w:rFonts w:ascii="Arial" w:hAnsi="Arial" w:cs="Arial"/>
          <w:bCs/>
          <w:sz w:val="18"/>
          <w:szCs w:val="18"/>
        </w:rPr>
        <w:t>-201</w:t>
      </w:r>
      <w:r w:rsidR="009A5558">
        <w:rPr>
          <w:rFonts w:ascii="Arial" w:hAnsi="Arial" w:cs="Arial"/>
          <w:bCs/>
          <w:sz w:val="18"/>
          <w:szCs w:val="18"/>
        </w:rPr>
        <w:t>4</w:t>
      </w:r>
      <w:r w:rsidRPr="007C5A02">
        <w:rPr>
          <w:rFonts w:ascii="Arial" w:hAnsi="Arial" w:cs="Arial"/>
          <w:bCs/>
          <w:sz w:val="18"/>
          <w:szCs w:val="18"/>
        </w:rPr>
        <w:t>-00</w:t>
      </w:r>
      <w:r w:rsidR="009A5558">
        <w:rPr>
          <w:rFonts w:ascii="Arial" w:hAnsi="Arial" w:cs="Arial"/>
          <w:bCs/>
          <w:sz w:val="18"/>
          <w:szCs w:val="18"/>
        </w:rPr>
        <w:t>421</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9A5558">
        <w:rPr>
          <w:rFonts w:ascii="Arial" w:hAnsi="Arial" w:cs="Arial"/>
          <w:iCs/>
          <w:sz w:val="18"/>
          <w:szCs w:val="18"/>
        </w:rPr>
        <w:t xml:space="preserve">Gloria </w:t>
      </w:r>
      <w:proofErr w:type="spellStart"/>
      <w:r w:rsidR="009A5558">
        <w:rPr>
          <w:rFonts w:ascii="Arial" w:hAnsi="Arial" w:cs="Arial"/>
          <w:iCs/>
          <w:sz w:val="18"/>
          <w:szCs w:val="18"/>
        </w:rPr>
        <w:t>Eucaris</w:t>
      </w:r>
      <w:proofErr w:type="spellEnd"/>
      <w:r w:rsidR="009A5558">
        <w:rPr>
          <w:rFonts w:ascii="Arial" w:hAnsi="Arial" w:cs="Arial"/>
          <w:iCs/>
          <w:sz w:val="18"/>
          <w:szCs w:val="18"/>
        </w:rPr>
        <w:t xml:space="preserve"> Sánchez Castro</w:t>
      </w:r>
      <w:r w:rsidR="00695334">
        <w:rPr>
          <w:rFonts w:ascii="Arial" w:hAnsi="Arial" w:cs="Arial"/>
          <w:iCs/>
          <w:sz w:val="18"/>
          <w:szCs w:val="18"/>
        </w:rPr>
        <w:t xml:space="preserve"> </w:t>
      </w:r>
      <w:r w:rsidR="00171C56">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225C75">
        <w:rPr>
          <w:rFonts w:ascii="Arial" w:hAnsi="Arial" w:cs="Arial"/>
          <w:sz w:val="18"/>
          <w:szCs w:val="18"/>
        </w:rPr>
        <w:t xml:space="preserve">Quinto </w:t>
      </w:r>
      <w:r w:rsidRPr="007C5A02">
        <w:rPr>
          <w:rFonts w:ascii="Arial" w:hAnsi="Arial" w:cs="Arial"/>
          <w:sz w:val="18"/>
          <w:szCs w:val="18"/>
        </w:rPr>
        <w:t>Laboral del Circuito de Pereira.</w:t>
      </w:r>
    </w:p>
    <w:p w:rsidR="00C77CC8" w:rsidRDefault="008514AF" w:rsidP="00AD1341">
      <w:pPr>
        <w:shd w:val="clear" w:color="auto" w:fill="FFFFFF"/>
        <w:tabs>
          <w:tab w:val="left" w:pos="5197"/>
        </w:tabs>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p>
    <w:p w:rsidR="0046338F" w:rsidRPr="0000603E" w:rsidRDefault="0046338F" w:rsidP="0046338F">
      <w:pPr>
        <w:shd w:val="clear" w:color="auto" w:fill="FFFFFF"/>
        <w:tabs>
          <w:tab w:val="left" w:pos="5197"/>
        </w:tabs>
        <w:ind w:left="2127"/>
        <w:contextualSpacing/>
        <w:jc w:val="both"/>
        <w:rPr>
          <w:rFonts w:ascii="Arial" w:hAnsi="Arial" w:cs="Arial"/>
          <w:b/>
          <w:color w:val="000000"/>
          <w:sz w:val="18"/>
          <w:szCs w:val="18"/>
          <w:lang w:eastAsia="es-CO"/>
        </w:rPr>
      </w:pPr>
      <w:r w:rsidRPr="0000603E">
        <w:rPr>
          <w:rFonts w:ascii="Arial" w:hAnsi="Arial" w:cs="Arial"/>
          <w:b/>
          <w:color w:val="000000"/>
          <w:sz w:val="18"/>
          <w:szCs w:val="18"/>
          <w:lang w:eastAsia="es-CO"/>
        </w:rPr>
        <w:t>PENSIÓN DE SOBREVIVIENTES: CONDICIÓN MÁS BENEFICIOSA</w:t>
      </w:r>
    </w:p>
    <w:p w:rsidR="0046338F" w:rsidRPr="0000603E" w:rsidRDefault="0046338F" w:rsidP="0046338F">
      <w:pPr>
        <w:autoSpaceDE w:val="0"/>
        <w:autoSpaceDN w:val="0"/>
        <w:adjustRightInd w:val="0"/>
        <w:spacing w:line="276" w:lineRule="auto"/>
        <w:ind w:left="2127"/>
        <w:jc w:val="both"/>
        <w:rPr>
          <w:rFonts w:ascii="Arial" w:hAnsi="Arial" w:cs="Arial"/>
          <w:sz w:val="18"/>
          <w:szCs w:val="18"/>
        </w:rPr>
      </w:pPr>
      <w:r w:rsidRPr="0000603E">
        <w:rPr>
          <w:rFonts w:ascii="Arial" w:hAnsi="Arial" w:cs="Arial"/>
          <w:sz w:val="18"/>
          <w:szCs w:val="18"/>
        </w:rPr>
        <w:t>Así pues, frente a este aspecto, si bien existe divergencia entre la Corte Constitucional y la Corte Suprema de Justicia</w:t>
      </w:r>
      <w:r w:rsidRPr="0000603E">
        <w:rPr>
          <w:rStyle w:val="Refdenotaalpie"/>
          <w:rFonts w:ascii="Arial" w:hAnsi="Arial" w:cs="Arial"/>
          <w:sz w:val="18"/>
          <w:szCs w:val="18"/>
        </w:rPr>
        <w:footnoteReference w:id="1"/>
      </w:r>
      <w:r w:rsidRPr="0000603E">
        <w:rPr>
          <w:rFonts w:ascii="Arial" w:hAnsi="Arial" w:cs="Arial"/>
          <w:sz w:val="18"/>
          <w:szCs w:val="18"/>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00603E">
        <w:rPr>
          <w:rFonts w:ascii="Arial" w:hAnsi="Arial" w:cs="Arial"/>
          <w:color w:val="000000"/>
          <w:sz w:val="18"/>
          <w:szCs w:val="18"/>
          <w:lang w:val="es-ES"/>
        </w:rPr>
        <w:t xml:space="preserve">vigente en el momento en que se estructuró el derecho, </w:t>
      </w:r>
      <w:r w:rsidRPr="0000603E">
        <w:rPr>
          <w:rFonts w:ascii="Arial" w:hAnsi="Arial" w:cs="Arial"/>
          <w:sz w:val="18"/>
          <w:szCs w:val="18"/>
        </w:rPr>
        <w:t>que en el caso particular de las pensiones de sobrevivientes lo sería el deceso del afiliado, supuesto fáctico en el que nos encontramos.</w:t>
      </w:r>
    </w:p>
    <w:p w:rsidR="00FD2EF2" w:rsidRDefault="00FD2EF2" w:rsidP="00FD2EF2">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 xml:space="preserve">PENSIÓN DE SOBREVIVIENTES – CONDICIÓN MÁS BENEFICIOSA – </w:t>
      </w:r>
    </w:p>
    <w:p w:rsidR="00FD2EF2" w:rsidRPr="00BC4B59" w:rsidRDefault="00FD2EF2" w:rsidP="00FD2EF2">
      <w:pPr>
        <w:overflowPunct w:val="0"/>
        <w:autoSpaceDE w:val="0"/>
        <w:autoSpaceDN w:val="0"/>
        <w:adjustRightInd w:val="0"/>
        <w:ind w:left="2127"/>
        <w:jc w:val="both"/>
        <w:textAlignment w:val="baseline"/>
        <w:rPr>
          <w:rFonts w:ascii="Arial" w:eastAsia="MS Mincho" w:hAnsi="Arial" w:cs="Arial"/>
          <w:i/>
          <w:sz w:val="18"/>
          <w:szCs w:val="18"/>
          <w:lang w:val="es-CO"/>
        </w:rPr>
      </w:pPr>
      <w:r w:rsidRPr="00BC4B59">
        <w:rPr>
          <w:rFonts w:ascii="Arial" w:eastAsia="MS Mincho" w:hAnsi="Arial" w:cs="Arial"/>
          <w:b/>
          <w:i/>
          <w:sz w:val="18"/>
          <w:szCs w:val="18"/>
          <w:lang w:val="es-CO"/>
        </w:rPr>
        <w:t>“2º) El Acuerdo 049 de 1990, aprobado por el Decreto 758 de igual año, no permite acumular tiempo servido en el sector público con semanas cotizadas en el Instituto de Seguros Sociales, para efectos de reconocer las prestaciones  allí estatuidas</w:t>
      </w:r>
      <w:r w:rsidRPr="00BC4B59">
        <w:rPr>
          <w:rFonts w:ascii="Arial" w:eastAsia="MS Mincho" w:hAnsi="Arial" w:cs="Arial"/>
          <w:i/>
          <w:sz w:val="18"/>
          <w:szCs w:val="18"/>
          <w:lang w:val="es-CO"/>
        </w:rPr>
        <w:t xml:space="preserve">. </w:t>
      </w:r>
    </w:p>
    <w:p w:rsidR="00FD2EF2" w:rsidRPr="00BC4B59" w:rsidRDefault="00FD2EF2" w:rsidP="00FD2EF2">
      <w:pPr>
        <w:overflowPunct w:val="0"/>
        <w:autoSpaceDE w:val="0"/>
        <w:autoSpaceDN w:val="0"/>
        <w:adjustRightInd w:val="0"/>
        <w:ind w:left="2127"/>
        <w:jc w:val="both"/>
        <w:textAlignment w:val="baseline"/>
        <w:rPr>
          <w:rFonts w:ascii="Arial" w:eastAsia="MS Mincho" w:hAnsi="Arial" w:cs="Arial"/>
          <w:i/>
          <w:sz w:val="18"/>
          <w:szCs w:val="18"/>
          <w:lang w:val="es-CO"/>
        </w:rPr>
      </w:pPr>
      <w:r w:rsidRPr="00BC4B59">
        <w:rPr>
          <w:rFonts w:ascii="Arial" w:eastAsia="MS Mincho" w:hAnsi="Arial" w:cs="Arial"/>
          <w:i/>
          <w:sz w:val="18"/>
          <w:szCs w:val="18"/>
          <w:lang w:val="es-CO"/>
        </w:rPr>
        <w:t>Al punto, la Sala en providencia del 21 de junio de 2011, radicación 37.619, en la que reiteró la del 1º de marzo de 2007, radicación 29.141, enseñó que el Acuerdo 049 de 1990, aprobado por el Decreto 758 del mismo año, consagra la obligación del Instituto de Seguros Sociales de reconocer, entre otras, la pensión de sobrevivientes, pero sobre la base de haberse sufragado las cotizaciones exclusivamente en dicha entidad, no permitiendo la sumatoria con los aportes o cotizaciones efectuados a cajas de previsión o a fondos o entidades de la seguridad social en los sectores público y privado, a excepción de la pensión por aportes, que no es la que aquí se controvierte.</w:t>
      </w:r>
    </w:p>
    <w:p w:rsidR="00FD2EF2" w:rsidRDefault="00FD2EF2" w:rsidP="00FD2EF2">
      <w:pPr>
        <w:overflowPunct w:val="0"/>
        <w:autoSpaceDE w:val="0"/>
        <w:autoSpaceDN w:val="0"/>
        <w:adjustRightInd w:val="0"/>
        <w:ind w:left="2127"/>
        <w:jc w:val="both"/>
        <w:textAlignment w:val="baseline"/>
        <w:rPr>
          <w:rFonts w:ascii="Arial" w:eastAsia="MS Mincho" w:hAnsi="Arial" w:cs="Arial"/>
          <w:i/>
          <w:sz w:val="18"/>
          <w:szCs w:val="18"/>
          <w:lang w:val="es-CO"/>
        </w:rPr>
      </w:pPr>
      <w:r w:rsidRPr="00BC4B59">
        <w:rPr>
          <w:rFonts w:ascii="Arial" w:eastAsia="MS Mincho" w:hAnsi="Arial" w:cs="Arial"/>
          <w:i/>
          <w:sz w:val="18"/>
          <w:szCs w:val="18"/>
          <w:lang w:val="es-CO"/>
        </w:rPr>
        <w:t xml:space="preserve">(…) </w:t>
      </w:r>
    </w:p>
    <w:p w:rsidR="005F47F6" w:rsidRPr="00BC4B59" w:rsidRDefault="005F47F6" w:rsidP="00FD2EF2">
      <w:pPr>
        <w:overflowPunct w:val="0"/>
        <w:autoSpaceDE w:val="0"/>
        <w:autoSpaceDN w:val="0"/>
        <w:adjustRightInd w:val="0"/>
        <w:ind w:left="2127"/>
        <w:jc w:val="both"/>
        <w:textAlignment w:val="baseline"/>
        <w:rPr>
          <w:rFonts w:ascii="Arial" w:hAnsi="Arial" w:cs="Arial"/>
          <w:i/>
          <w:sz w:val="18"/>
          <w:szCs w:val="18"/>
          <w:lang w:val="es-CO"/>
        </w:rPr>
      </w:pPr>
      <w:r w:rsidRPr="005F47F6">
        <w:rPr>
          <w:rFonts w:ascii="Arial" w:hAnsi="Arial" w:cs="Arial"/>
          <w:b/>
          <w:sz w:val="18"/>
          <w:szCs w:val="18"/>
        </w:rPr>
        <w:t>Citación jurisprudencial:</w:t>
      </w:r>
      <w:r w:rsidRPr="0077474C">
        <w:rPr>
          <w:rFonts w:ascii="Arial" w:hAnsi="Arial" w:cs="Arial"/>
          <w:sz w:val="18"/>
          <w:szCs w:val="18"/>
        </w:rPr>
        <w:t xml:space="preserve"> CORTE SUPREMA DE JUSTICIA, Sala de Casación Laboral, sentencias del 2006, Rad.28893; 9 de julio de 2008, Rad. 30581;</w:t>
      </w:r>
      <w:r>
        <w:rPr>
          <w:rFonts w:ascii="Arial" w:hAnsi="Arial" w:cs="Arial"/>
          <w:sz w:val="18"/>
          <w:szCs w:val="18"/>
        </w:rPr>
        <w:t xml:space="preserve"> </w:t>
      </w:r>
      <w:r w:rsidRPr="007821FC">
        <w:rPr>
          <w:rFonts w:ascii="Arial" w:eastAsia="Calibri" w:hAnsi="Arial" w:cs="Arial"/>
          <w:sz w:val="18"/>
          <w:szCs w:val="18"/>
          <w:lang w:val="es-CO" w:eastAsia="en-US"/>
        </w:rPr>
        <w:t>SL-851-2013</w:t>
      </w:r>
      <w:r>
        <w:rPr>
          <w:rFonts w:ascii="Arial" w:eastAsia="Calibri" w:hAnsi="Arial" w:cs="Arial"/>
          <w:sz w:val="18"/>
          <w:szCs w:val="18"/>
          <w:lang w:val="es-CO" w:eastAsia="en-US"/>
        </w:rPr>
        <w:t xml:space="preserve"> </w:t>
      </w:r>
      <w:r w:rsidRPr="007821FC">
        <w:rPr>
          <w:rFonts w:ascii="Arial" w:eastAsia="Calibri" w:hAnsi="Arial" w:cs="Arial"/>
          <w:sz w:val="18"/>
          <w:szCs w:val="18"/>
          <w:lang w:val="es-CO" w:eastAsia="en-US"/>
        </w:rPr>
        <w:t>de</w:t>
      </w:r>
      <w:r>
        <w:rPr>
          <w:rFonts w:ascii="Arial" w:eastAsia="Calibri" w:hAnsi="Arial" w:cs="Arial"/>
          <w:sz w:val="18"/>
          <w:szCs w:val="18"/>
          <w:lang w:val="es-CO" w:eastAsia="en-US"/>
        </w:rPr>
        <w:t>l</w:t>
      </w:r>
      <w:r w:rsidRPr="007821FC">
        <w:rPr>
          <w:rFonts w:ascii="Arial" w:eastAsia="Calibri" w:hAnsi="Arial" w:cs="Arial"/>
          <w:sz w:val="18"/>
          <w:szCs w:val="18"/>
          <w:lang w:val="es-CO" w:eastAsia="en-US"/>
        </w:rPr>
        <w:t xml:space="preserve"> 4 de diciembre de 2013</w:t>
      </w:r>
      <w:r>
        <w:rPr>
          <w:rFonts w:ascii="Arial" w:eastAsia="Calibri" w:hAnsi="Arial" w:cs="Arial"/>
          <w:sz w:val="18"/>
          <w:szCs w:val="18"/>
          <w:lang w:val="es-CO" w:eastAsia="en-US"/>
        </w:rPr>
        <w:t>,</w:t>
      </w:r>
      <w:r w:rsidRPr="0077474C">
        <w:rPr>
          <w:rFonts w:ascii="Arial" w:hAnsi="Arial" w:cs="Arial"/>
          <w:sz w:val="18"/>
          <w:szCs w:val="18"/>
        </w:rPr>
        <w:t xml:space="preserve"> </w:t>
      </w:r>
      <w:r w:rsidRPr="007821FC">
        <w:rPr>
          <w:rFonts w:ascii="Arial" w:eastAsia="Calibri" w:hAnsi="Arial" w:cs="Arial"/>
          <w:sz w:val="18"/>
          <w:szCs w:val="18"/>
          <w:lang w:val="es-CO" w:eastAsia="en-US"/>
        </w:rPr>
        <w:t>Rad</w:t>
      </w:r>
      <w:r>
        <w:rPr>
          <w:rFonts w:ascii="Arial" w:eastAsia="Calibri" w:hAnsi="Arial" w:cs="Arial"/>
          <w:sz w:val="18"/>
          <w:szCs w:val="18"/>
          <w:lang w:val="es-CO" w:eastAsia="en-US"/>
        </w:rPr>
        <w:t>.</w:t>
      </w:r>
      <w:r w:rsidRPr="007821FC">
        <w:rPr>
          <w:rFonts w:ascii="Arial" w:eastAsia="Calibri" w:hAnsi="Arial" w:cs="Arial"/>
          <w:sz w:val="18"/>
          <w:szCs w:val="18"/>
          <w:lang w:val="es-CO" w:eastAsia="en-US"/>
        </w:rPr>
        <w:t xml:space="preserve"> 45125</w:t>
      </w:r>
      <w:r>
        <w:rPr>
          <w:rFonts w:ascii="Arial" w:eastAsia="Calibri" w:hAnsi="Arial" w:cs="Arial"/>
          <w:sz w:val="18"/>
          <w:szCs w:val="18"/>
          <w:lang w:val="es-CO" w:eastAsia="en-US"/>
        </w:rPr>
        <w:t>;</w:t>
      </w:r>
      <w:r w:rsidRPr="007821FC">
        <w:rPr>
          <w:rFonts w:ascii="Arial" w:eastAsia="Calibri" w:hAnsi="Arial" w:cs="Arial"/>
          <w:sz w:val="18"/>
          <w:szCs w:val="18"/>
          <w:lang w:val="es-CO" w:eastAsia="en-US"/>
        </w:rPr>
        <w:t xml:space="preserve"> </w:t>
      </w:r>
      <w:r w:rsidRPr="0077474C">
        <w:rPr>
          <w:rFonts w:ascii="Arial" w:hAnsi="Arial" w:cs="Arial"/>
          <w:sz w:val="18"/>
          <w:szCs w:val="18"/>
          <w:lang w:val="es-ES"/>
        </w:rPr>
        <w:t>SL9769-2014</w:t>
      </w:r>
      <w:r w:rsidRPr="0077474C">
        <w:rPr>
          <w:rFonts w:ascii="Arial" w:hAnsi="Arial" w:cs="Arial"/>
          <w:sz w:val="18"/>
          <w:szCs w:val="18"/>
        </w:rPr>
        <w:t xml:space="preserve"> del </w:t>
      </w:r>
      <w:r w:rsidRPr="0077474C">
        <w:rPr>
          <w:rFonts w:ascii="Arial" w:hAnsi="Arial" w:cs="Arial"/>
          <w:sz w:val="18"/>
          <w:szCs w:val="18"/>
          <w:lang w:val="es-ES"/>
        </w:rPr>
        <w:t>16 de julio de 2014, Rad</w:t>
      </w:r>
      <w:r w:rsidRPr="0077474C">
        <w:rPr>
          <w:rFonts w:ascii="Arial" w:hAnsi="Arial" w:cs="Arial"/>
          <w:sz w:val="18"/>
          <w:szCs w:val="18"/>
        </w:rPr>
        <w:t>.</w:t>
      </w:r>
      <w:r w:rsidRPr="0077474C">
        <w:rPr>
          <w:rFonts w:ascii="Arial" w:hAnsi="Arial" w:cs="Arial"/>
          <w:sz w:val="18"/>
          <w:szCs w:val="18"/>
          <w:lang w:val="es-ES"/>
        </w:rPr>
        <w:t>46208</w:t>
      </w:r>
      <w:r w:rsidRPr="0077474C">
        <w:rPr>
          <w:rFonts w:ascii="Arial" w:hAnsi="Arial" w:cs="Arial"/>
          <w:sz w:val="18"/>
          <w:szCs w:val="18"/>
        </w:rPr>
        <w:t>; SL8085-2015 del 24 de ju</w:t>
      </w:r>
      <w:bookmarkStart w:id="0" w:name="_GoBack"/>
      <w:bookmarkEnd w:id="0"/>
      <w:r w:rsidRPr="0077474C">
        <w:rPr>
          <w:rFonts w:ascii="Arial" w:hAnsi="Arial" w:cs="Arial"/>
          <w:sz w:val="18"/>
          <w:szCs w:val="18"/>
        </w:rPr>
        <w:t>nio de 2015, Rad. 48629; SL16390-2015 del 20 de octubre de 2015, Rad.40868; y 11 de noviembre de 2015, Rad.54093.</w:t>
      </w:r>
    </w:p>
    <w:p w:rsidR="00126027" w:rsidRPr="008B48B8" w:rsidRDefault="00126027" w:rsidP="00AD1341">
      <w:pPr>
        <w:spacing w:line="276" w:lineRule="auto"/>
        <w:ind w:left="2127"/>
        <w:jc w:val="both"/>
        <w:rPr>
          <w:rFonts w:ascii="Arial" w:hAnsi="Arial" w:cs="Arial"/>
          <w:b/>
          <w:bCs/>
          <w:sz w:val="18"/>
          <w:szCs w:val="18"/>
        </w:rPr>
      </w:pPr>
    </w:p>
    <w:p w:rsidR="00007B72" w:rsidRPr="00AC486E" w:rsidRDefault="00007B72" w:rsidP="00F017BF">
      <w:pPr>
        <w:spacing w:line="276" w:lineRule="auto"/>
        <w:ind w:left="2127"/>
        <w:jc w:val="both"/>
        <w:rPr>
          <w:rFonts w:ascii="Arial" w:hAnsi="Arial" w:cs="Arial"/>
          <w:bCs/>
          <w:i/>
          <w:sz w:val="18"/>
          <w:szCs w:val="18"/>
          <w:lang w:val="es-ES"/>
        </w:rPr>
      </w:pPr>
    </w:p>
    <w:p w:rsidR="00226D5F" w:rsidRPr="00AC486E" w:rsidRDefault="00226D5F" w:rsidP="00F017BF">
      <w:pPr>
        <w:spacing w:line="276" w:lineRule="auto"/>
        <w:ind w:left="2127" w:hanging="2127"/>
        <w:jc w:val="both"/>
        <w:rPr>
          <w:rFonts w:ascii="Arial" w:hAnsi="Arial" w:cs="Arial"/>
          <w:bCs/>
          <w:i/>
          <w:color w:val="00B0F0"/>
          <w:sz w:val="18"/>
          <w:szCs w:val="18"/>
          <w:lang w:val="es-ES"/>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695334"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D7995" w:rsidRDefault="00226D5F" w:rsidP="0069533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225C75">
        <w:rPr>
          <w:rFonts w:ascii="Arial" w:eastAsia="Calibri" w:hAnsi="Arial" w:cs="Arial"/>
          <w:szCs w:val="24"/>
          <w:lang w:val="es-CO" w:eastAsia="en-US"/>
        </w:rPr>
        <w:t xml:space="preserve">once </w:t>
      </w:r>
      <w:r w:rsidRPr="00AC486E">
        <w:rPr>
          <w:rFonts w:ascii="Arial" w:eastAsia="Calibri" w:hAnsi="Arial" w:cs="Arial"/>
          <w:szCs w:val="24"/>
          <w:lang w:val="es-CO" w:eastAsia="en-US"/>
        </w:rPr>
        <w:t>(</w:t>
      </w:r>
      <w:r w:rsidR="00225C75">
        <w:rPr>
          <w:rFonts w:ascii="Arial" w:eastAsia="Calibri" w:hAnsi="Arial" w:cs="Arial"/>
          <w:szCs w:val="24"/>
          <w:lang w:val="es-CO" w:eastAsia="en-US"/>
        </w:rPr>
        <w:t>11</w:t>
      </w:r>
      <w:r w:rsidRPr="00AC486E">
        <w:rPr>
          <w:rFonts w:ascii="Arial" w:eastAsia="Calibri" w:hAnsi="Arial" w:cs="Arial"/>
          <w:szCs w:val="24"/>
          <w:lang w:val="es-CO" w:eastAsia="en-US"/>
        </w:rPr>
        <w:t xml:space="preserve">) días del mes de </w:t>
      </w:r>
      <w:r w:rsidR="00695334">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9A5558">
        <w:rPr>
          <w:rFonts w:ascii="Arial" w:eastAsia="Calibri" w:hAnsi="Arial" w:cs="Arial"/>
          <w:szCs w:val="24"/>
          <w:lang w:val="es-CO" w:eastAsia="en-US"/>
        </w:rPr>
        <w:t xml:space="preserve">ocho </w:t>
      </w:r>
      <w:r w:rsidR="00225C75">
        <w:rPr>
          <w:rFonts w:ascii="Arial" w:eastAsia="Calibri" w:hAnsi="Arial" w:cs="Arial"/>
          <w:szCs w:val="24"/>
          <w:lang w:val="es-CO" w:eastAsia="en-US"/>
        </w:rPr>
        <w:t xml:space="preserve">y treinta </w:t>
      </w:r>
      <w:r w:rsidR="00C1062A" w:rsidRPr="00AC486E">
        <w:rPr>
          <w:rFonts w:ascii="Arial" w:eastAsia="Calibri" w:hAnsi="Arial" w:cs="Arial"/>
          <w:szCs w:val="24"/>
          <w:lang w:val="es-CO" w:eastAsia="en-US"/>
        </w:rPr>
        <w:t>de la mañana (</w:t>
      </w:r>
      <w:r w:rsidR="009A5558">
        <w:rPr>
          <w:rFonts w:ascii="Arial" w:eastAsia="Calibri" w:hAnsi="Arial" w:cs="Arial"/>
          <w:szCs w:val="24"/>
          <w:lang w:val="es-CO" w:eastAsia="en-US"/>
        </w:rPr>
        <w:t>08</w:t>
      </w:r>
      <w:r w:rsidR="00225C75">
        <w:rPr>
          <w:rFonts w:ascii="Arial" w:eastAsia="Calibri" w:hAnsi="Arial" w:cs="Arial"/>
          <w:szCs w:val="24"/>
          <w:lang w:val="es-CO" w:eastAsia="en-US"/>
        </w:rPr>
        <w:t>:30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9A5558">
        <w:rPr>
          <w:rFonts w:ascii="Arial" w:hAnsi="Arial" w:cs="Arial"/>
          <w:bCs/>
          <w:color w:val="000000"/>
          <w:szCs w:val="24"/>
          <w:lang w:eastAsia="es-CO"/>
        </w:rPr>
        <w:t xml:space="preserve"> recurso de apelación interpuesto por la parte actora y el</w:t>
      </w:r>
      <w:r w:rsidR="007C5A02">
        <w:rPr>
          <w:rFonts w:ascii="Arial" w:hAnsi="Arial" w:cs="Arial"/>
          <w:bCs/>
          <w:color w:val="000000"/>
          <w:szCs w:val="24"/>
          <w:lang w:eastAsia="es-CO"/>
        </w:rPr>
        <w:t xml:space="preserve">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9A5558">
        <w:rPr>
          <w:rFonts w:ascii="Arial" w:hAnsi="Arial" w:cs="Arial"/>
          <w:szCs w:val="24"/>
        </w:rPr>
        <w:t xml:space="preserve">7 </w:t>
      </w:r>
      <w:r w:rsidRPr="00AC486E">
        <w:rPr>
          <w:rFonts w:ascii="Arial" w:hAnsi="Arial" w:cs="Arial"/>
          <w:szCs w:val="24"/>
        </w:rPr>
        <w:t xml:space="preserve">de </w:t>
      </w:r>
      <w:r w:rsidR="009A5558">
        <w:rPr>
          <w:rFonts w:ascii="Arial" w:hAnsi="Arial" w:cs="Arial"/>
          <w:szCs w:val="24"/>
        </w:rPr>
        <w:t xml:space="preserve">octubre </w:t>
      </w:r>
      <w:r w:rsidRPr="00AC486E">
        <w:rPr>
          <w:rFonts w:ascii="Arial" w:hAnsi="Arial" w:cs="Arial"/>
          <w:szCs w:val="24"/>
        </w:rPr>
        <w:t>de 201</w:t>
      </w:r>
      <w:r w:rsidR="009A5558">
        <w:rPr>
          <w:rFonts w:ascii="Arial" w:hAnsi="Arial" w:cs="Arial"/>
          <w:szCs w:val="24"/>
        </w:rPr>
        <w:t>5</w:t>
      </w:r>
      <w:r w:rsidRPr="00AC486E">
        <w:rPr>
          <w:rFonts w:ascii="Arial" w:hAnsi="Arial" w:cs="Arial"/>
          <w:szCs w:val="24"/>
        </w:rPr>
        <w:t xml:space="preserve"> por el Juzgado </w:t>
      </w:r>
      <w:r w:rsidR="00225C75">
        <w:rPr>
          <w:rFonts w:ascii="Arial" w:hAnsi="Arial" w:cs="Arial"/>
          <w:szCs w:val="24"/>
        </w:rPr>
        <w:t xml:space="preserve">Quinto </w:t>
      </w:r>
      <w:r w:rsidRPr="00AC486E">
        <w:rPr>
          <w:rFonts w:ascii="Arial" w:hAnsi="Arial" w:cs="Arial"/>
          <w:szCs w:val="24"/>
        </w:rPr>
        <w:t xml:space="preserve">Laboral del Circuito de Pereira, dentro </w:t>
      </w:r>
      <w:r w:rsidRPr="00AC486E">
        <w:rPr>
          <w:rFonts w:ascii="Arial" w:hAnsi="Arial" w:cs="Arial"/>
          <w:szCs w:val="24"/>
        </w:rPr>
        <w:lastRenderedPageBreak/>
        <w:t xml:space="preserve">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CA3DF9">
        <w:rPr>
          <w:rFonts w:ascii="Arial" w:hAnsi="Arial" w:cs="Arial"/>
          <w:b/>
          <w:szCs w:val="24"/>
        </w:rPr>
        <w:tab/>
        <w:t xml:space="preserve">Gloria </w:t>
      </w:r>
      <w:proofErr w:type="spellStart"/>
      <w:r w:rsidR="00CA3DF9">
        <w:rPr>
          <w:rFonts w:ascii="Arial" w:hAnsi="Arial" w:cs="Arial"/>
          <w:b/>
          <w:szCs w:val="24"/>
        </w:rPr>
        <w:t>Eucaris</w:t>
      </w:r>
      <w:proofErr w:type="spellEnd"/>
      <w:r w:rsidR="00CA3DF9">
        <w:rPr>
          <w:rFonts w:ascii="Arial" w:hAnsi="Arial" w:cs="Arial"/>
          <w:b/>
          <w:szCs w:val="24"/>
        </w:rPr>
        <w:t xml:space="preserve"> Sánchez Castro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B81590">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CA3DF9">
        <w:rPr>
          <w:rFonts w:ascii="Arial" w:hAnsi="Arial" w:cs="Arial"/>
          <w:bCs/>
          <w:iCs/>
          <w:szCs w:val="24"/>
        </w:rPr>
        <w:t>4</w:t>
      </w:r>
      <w:r w:rsidR="00AD7995">
        <w:rPr>
          <w:rFonts w:ascii="Arial" w:hAnsi="Arial" w:cs="Arial"/>
          <w:bCs/>
          <w:iCs/>
          <w:szCs w:val="24"/>
        </w:rPr>
        <w:t>-00</w:t>
      </w:r>
      <w:r w:rsidR="00CA3DF9">
        <w:rPr>
          <w:rFonts w:ascii="Arial" w:hAnsi="Arial" w:cs="Arial"/>
          <w:bCs/>
          <w:iCs/>
          <w:szCs w:val="24"/>
        </w:rPr>
        <w:t>421</w:t>
      </w:r>
      <w:r w:rsidR="001B22B4">
        <w:rPr>
          <w:rFonts w:ascii="Arial" w:hAnsi="Arial" w:cs="Arial"/>
          <w:bCs/>
          <w:iCs/>
          <w:szCs w:val="24"/>
        </w:rPr>
        <w:t>-01</w:t>
      </w:r>
      <w:r w:rsidR="00AD7995">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695334" w:rsidRPr="00502691" w:rsidRDefault="00695334" w:rsidP="00695334">
      <w:pPr>
        <w:spacing w:line="276" w:lineRule="auto"/>
        <w:rPr>
          <w:rFonts w:ascii="Arial" w:hAnsi="Arial" w:cs="Arial"/>
          <w:b/>
          <w:szCs w:val="24"/>
        </w:rPr>
      </w:pPr>
      <w:r w:rsidRPr="00502691">
        <w:rPr>
          <w:rFonts w:ascii="Arial" w:hAnsi="Arial" w:cs="Arial"/>
          <w:b/>
          <w:szCs w:val="24"/>
        </w:rPr>
        <w:t>Registro de asistencia: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rPr>
          <w:rFonts w:ascii="Arial" w:hAnsi="Arial" w:cs="Arial"/>
          <w:szCs w:val="24"/>
        </w:rPr>
      </w:pPr>
      <w:r>
        <w:rPr>
          <w:rFonts w:ascii="Arial" w:hAnsi="Arial" w:cs="Arial"/>
          <w:szCs w:val="24"/>
        </w:rPr>
        <w:t xml:space="preserve">Demandante y su apoderada: </w:t>
      </w:r>
    </w:p>
    <w:p w:rsidR="00695334" w:rsidRDefault="00695334" w:rsidP="00695334">
      <w:pPr>
        <w:spacing w:line="276" w:lineRule="auto"/>
        <w:rPr>
          <w:rFonts w:ascii="Arial" w:hAnsi="Arial" w:cs="Arial"/>
          <w:szCs w:val="24"/>
        </w:rPr>
      </w:pPr>
      <w:r>
        <w:rPr>
          <w:rFonts w:ascii="Arial" w:hAnsi="Arial" w:cs="Arial"/>
          <w:szCs w:val="24"/>
        </w:rPr>
        <w:t>Administradora Colombiana de Pensiones y su apoderada: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695334">
      <w:pPr>
        <w:spacing w:line="276" w:lineRule="auto"/>
        <w:jc w:val="both"/>
        <w:rPr>
          <w:rFonts w:ascii="Arial" w:hAnsi="Arial" w:cs="Arial"/>
          <w:b/>
          <w:szCs w:val="24"/>
        </w:rPr>
      </w:pPr>
    </w:p>
    <w:p w:rsidR="00695334" w:rsidRDefault="00695334" w:rsidP="0069533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695334">
      <w:pPr>
        <w:spacing w:line="276" w:lineRule="auto"/>
        <w:contextualSpacing/>
        <w:jc w:val="both"/>
        <w:rPr>
          <w:rFonts w:ascii="Arial" w:hAnsi="Arial" w:cs="Arial"/>
          <w:szCs w:val="24"/>
        </w:rPr>
      </w:pPr>
    </w:p>
    <w:p w:rsidR="00695334" w:rsidRPr="00312238" w:rsidRDefault="00695334" w:rsidP="00695334">
      <w:pPr>
        <w:spacing w:line="276" w:lineRule="auto"/>
        <w:jc w:val="center"/>
        <w:rPr>
          <w:rFonts w:ascii="Arial" w:hAnsi="Arial" w:cs="Arial"/>
          <w:b/>
          <w:szCs w:val="24"/>
        </w:rPr>
      </w:pPr>
      <w:r>
        <w:rPr>
          <w:rFonts w:ascii="Arial" w:hAnsi="Arial" w:cs="Arial"/>
          <w:b/>
          <w:szCs w:val="24"/>
        </w:rPr>
        <w:t>ANTECEDENTES</w:t>
      </w:r>
    </w:p>
    <w:p w:rsidR="00695334" w:rsidRDefault="00695334" w:rsidP="00695334">
      <w:pPr>
        <w:spacing w:line="276" w:lineRule="auto"/>
        <w:rPr>
          <w:rFonts w:ascii="Arial" w:hAnsi="Arial" w:cs="Arial"/>
          <w:b/>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695334">
      <w:pPr>
        <w:spacing w:line="276" w:lineRule="auto"/>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2B7A17">
        <w:rPr>
          <w:rFonts w:ascii="Arial" w:hAnsi="Arial" w:cs="Arial"/>
          <w:szCs w:val="24"/>
        </w:rPr>
        <w:t xml:space="preserve">Gloria </w:t>
      </w:r>
      <w:proofErr w:type="spellStart"/>
      <w:r w:rsidR="002B7A17">
        <w:rPr>
          <w:rFonts w:ascii="Arial" w:hAnsi="Arial" w:cs="Arial"/>
          <w:szCs w:val="24"/>
        </w:rPr>
        <w:t>Eucaris</w:t>
      </w:r>
      <w:proofErr w:type="spellEnd"/>
      <w:r w:rsidR="002B7A17">
        <w:rPr>
          <w:rFonts w:ascii="Arial" w:hAnsi="Arial" w:cs="Arial"/>
          <w:szCs w:val="24"/>
        </w:rPr>
        <w:t xml:space="preserve"> Sánchez Castro</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t>pensión de sobrevivientes</w:t>
      </w:r>
      <w:r w:rsidR="00426A77">
        <w:rPr>
          <w:rFonts w:ascii="Arial" w:hAnsi="Arial" w:cs="Arial"/>
          <w:szCs w:val="24"/>
        </w:rPr>
        <w:t>, en condici</w:t>
      </w:r>
      <w:r w:rsidR="002B7A17">
        <w:rPr>
          <w:rFonts w:ascii="Arial" w:hAnsi="Arial" w:cs="Arial"/>
          <w:szCs w:val="24"/>
        </w:rPr>
        <w:t xml:space="preserve">ón de cónyuge sobreviviente del </w:t>
      </w:r>
      <w:r w:rsidR="00426A77">
        <w:rPr>
          <w:rFonts w:ascii="Arial" w:hAnsi="Arial" w:cs="Arial"/>
          <w:szCs w:val="24"/>
        </w:rPr>
        <w:t xml:space="preserve">señor </w:t>
      </w:r>
      <w:r w:rsidR="002B7A17">
        <w:rPr>
          <w:rFonts w:ascii="Arial" w:hAnsi="Arial" w:cs="Arial"/>
          <w:szCs w:val="24"/>
        </w:rPr>
        <w:t>Eduardo Antonio Gallego García, fallecido</w:t>
      </w:r>
      <w:r w:rsidR="00426A77">
        <w:rPr>
          <w:rFonts w:ascii="Arial" w:hAnsi="Arial" w:cs="Arial"/>
          <w:szCs w:val="24"/>
        </w:rPr>
        <w:t xml:space="preserve"> el 2</w:t>
      </w:r>
      <w:r w:rsidR="002B7A17">
        <w:rPr>
          <w:rFonts w:ascii="Arial" w:hAnsi="Arial" w:cs="Arial"/>
          <w:szCs w:val="24"/>
        </w:rPr>
        <w:t>5</w:t>
      </w:r>
      <w:r w:rsidR="00426A77">
        <w:rPr>
          <w:rFonts w:ascii="Arial" w:hAnsi="Arial" w:cs="Arial"/>
          <w:szCs w:val="24"/>
        </w:rPr>
        <w:t xml:space="preserve"> de </w:t>
      </w:r>
      <w:r w:rsidR="002B7A17">
        <w:rPr>
          <w:rFonts w:ascii="Arial" w:hAnsi="Arial" w:cs="Arial"/>
          <w:szCs w:val="24"/>
        </w:rPr>
        <w:t xml:space="preserve">abril </w:t>
      </w:r>
      <w:r w:rsidR="00426A77">
        <w:rPr>
          <w:rFonts w:ascii="Arial" w:hAnsi="Arial" w:cs="Arial"/>
          <w:szCs w:val="24"/>
        </w:rPr>
        <w:t xml:space="preserve">de </w:t>
      </w:r>
      <w:r w:rsidR="002B7A17">
        <w:rPr>
          <w:rFonts w:ascii="Arial" w:hAnsi="Arial" w:cs="Arial"/>
          <w:szCs w:val="24"/>
        </w:rPr>
        <w:t>1996</w:t>
      </w:r>
      <w:r w:rsidR="00426A77">
        <w:rPr>
          <w:rFonts w:ascii="Arial" w:hAnsi="Arial" w:cs="Arial"/>
          <w:szCs w:val="24"/>
        </w:rPr>
        <w:t xml:space="preserve"> y, consecuente con ello, se ordene a la entidad demandada, el reconocimiento de la prestación a partir de esa calenda, junto con los intereses moratorios</w:t>
      </w:r>
      <w:r w:rsidR="002B7A17">
        <w:rPr>
          <w:rFonts w:ascii="Arial" w:hAnsi="Arial" w:cs="Arial"/>
          <w:szCs w:val="24"/>
        </w:rPr>
        <w:t xml:space="preserve">, lo ultra y extra </w:t>
      </w:r>
      <w:proofErr w:type="spellStart"/>
      <w:r w:rsidR="002B7A17">
        <w:rPr>
          <w:rFonts w:ascii="Arial" w:hAnsi="Arial" w:cs="Arial"/>
          <w:szCs w:val="24"/>
        </w:rPr>
        <w:t>petita</w:t>
      </w:r>
      <w:proofErr w:type="spellEnd"/>
      <w:r w:rsidR="002B7A17">
        <w:rPr>
          <w:rFonts w:ascii="Arial" w:hAnsi="Arial" w:cs="Arial"/>
          <w:szCs w:val="24"/>
        </w:rPr>
        <w:t xml:space="preserve"> que resulte probado</w:t>
      </w:r>
      <w:r w:rsidR="00426A77">
        <w:rPr>
          <w:rFonts w:ascii="Arial" w:hAnsi="Arial" w:cs="Arial"/>
          <w:szCs w:val="24"/>
        </w:rPr>
        <w:t xml:space="preserve"> y</w:t>
      </w:r>
      <w:r w:rsidR="00594839">
        <w:rPr>
          <w:rFonts w:ascii="Arial" w:hAnsi="Arial" w:cs="Arial"/>
          <w:szCs w:val="24"/>
        </w:rPr>
        <w:t>,</w:t>
      </w:r>
      <w:r w:rsidR="00426A77">
        <w:rPr>
          <w:rFonts w:ascii="Arial" w:hAnsi="Arial" w:cs="Arial"/>
          <w:szCs w:val="24"/>
        </w:rPr>
        <w:t xml:space="preserve"> las costas procesales.</w:t>
      </w:r>
    </w:p>
    <w:p w:rsidR="00BE0180" w:rsidRDefault="00BE0180" w:rsidP="00695334">
      <w:pPr>
        <w:spacing w:line="276" w:lineRule="auto"/>
        <w:jc w:val="both"/>
        <w:rPr>
          <w:rFonts w:ascii="Arial" w:hAnsi="Arial" w:cs="Arial"/>
          <w:szCs w:val="24"/>
        </w:rPr>
      </w:pPr>
    </w:p>
    <w:p w:rsidR="00BE0180" w:rsidRDefault="00BE0180" w:rsidP="00695334">
      <w:pPr>
        <w:spacing w:line="276" w:lineRule="auto"/>
        <w:jc w:val="both"/>
        <w:rPr>
          <w:rFonts w:ascii="Arial" w:hAnsi="Arial" w:cs="Arial"/>
          <w:szCs w:val="24"/>
        </w:rPr>
      </w:pPr>
      <w:r>
        <w:rPr>
          <w:rFonts w:ascii="Arial" w:hAnsi="Arial" w:cs="Arial"/>
          <w:szCs w:val="24"/>
        </w:rPr>
        <w:t>Subsidiariamente solicitó el reconocimiento de la indemnización sustitutiva de la pensión de sobrevivientes.</w:t>
      </w:r>
    </w:p>
    <w:p w:rsidR="00A957FB" w:rsidRPr="00AC486E" w:rsidRDefault="00A957FB" w:rsidP="00F017BF">
      <w:pPr>
        <w:spacing w:line="276" w:lineRule="auto"/>
        <w:ind w:firstLine="900"/>
        <w:jc w:val="both"/>
        <w:rPr>
          <w:rFonts w:ascii="Arial" w:hAnsi="Arial" w:cs="Arial"/>
          <w:szCs w:val="24"/>
        </w:rPr>
      </w:pPr>
    </w:p>
    <w:p w:rsidR="006232B1" w:rsidRDefault="00A957FB" w:rsidP="00674E3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el señor Eduardo Antonio Gallego García</w:t>
      </w:r>
      <w:r w:rsidR="00594839">
        <w:rPr>
          <w:rFonts w:ascii="Arial" w:hAnsi="Arial" w:cs="Arial"/>
          <w:szCs w:val="24"/>
        </w:rPr>
        <w:t xml:space="preserve">, </w:t>
      </w:r>
      <w:r w:rsidR="00DE2D85">
        <w:rPr>
          <w:rFonts w:ascii="Arial" w:hAnsi="Arial" w:cs="Arial"/>
          <w:szCs w:val="24"/>
        </w:rPr>
        <w:t xml:space="preserve">murió </w:t>
      </w:r>
      <w:r w:rsidR="002B7A17">
        <w:rPr>
          <w:rFonts w:ascii="Arial" w:hAnsi="Arial" w:cs="Arial"/>
          <w:szCs w:val="24"/>
        </w:rPr>
        <w:t>el 25 de abril de 1996</w:t>
      </w:r>
      <w:r w:rsidR="00D017B8">
        <w:rPr>
          <w:rFonts w:ascii="Arial" w:hAnsi="Arial" w:cs="Arial"/>
          <w:szCs w:val="24"/>
        </w:rPr>
        <w:t>; (ii)</w:t>
      </w:r>
      <w:r w:rsidR="00594839">
        <w:rPr>
          <w:rFonts w:ascii="Arial" w:hAnsi="Arial" w:cs="Arial"/>
          <w:szCs w:val="24"/>
        </w:rPr>
        <w:t xml:space="preserve"> </w:t>
      </w:r>
      <w:r w:rsidR="00DE2D85">
        <w:rPr>
          <w:rFonts w:ascii="Arial" w:hAnsi="Arial" w:cs="Arial"/>
          <w:szCs w:val="24"/>
        </w:rPr>
        <w:t xml:space="preserve">quien estaba </w:t>
      </w:r>
      <w:r w:rsidR="002B7A17">
        <w:rPr>
          <w:rFonts w:ascii="Arial" w:hAnsi="Arial" w:cs="Arial"/>
          <w:szCs w:val="24"/>
        </w:rPr>
        <w:t>afiliado al ISS desde el 23 de abril de 1987</w:t>
      </w:r>
      <w:r w:rsidR="00D017B8">
        <w:rPr>
          <w:rFonts w:ascii="Arial" w:hAnsi="Arial" w:cs="Arial"/>
          <w:szCs w:val="24"/>
        </w:rPr>
        <w:t xml:space="preserve">; (iii) </w:t>
      </w:r>
      <w:r w:rsidR="002B7A17">
        <w:rPr>
          <w:rFonts w:ascii="Arial" w:hAnsi="Arial" w:cs="Arial"/>
          <w:szCs w:val="24"/>
        </w:rPr>
        <w:t>la actora y el causante convivían en unión marital de hecho y procrearon dos hijos, que en la actualidad son mayores de edad</w:t>
      </w:r>
      <w:r w:rsidR="00E04822">
        <w:rPr>
          <w:rFonts w:ascii="Arial" w:hAnsi="Arial" w:cs="Arial"/>
          <w:szCs w:val="24"/>
        </w:rPr>
        <w:t xml:space="preserve">; (iv) </w:t>
      </w:r>
      <w:r w:rsidR="002B7A17">
        <w:rPr>
          <w:rFonts w:ascii="Arial" w:hAnsi="Arial" w:cs="Arial"/>
          <w:szCs w:val="24"/>
        </w:rPr>
        <w:t xml:space="preserve">la referida convivencia </w:t>
      </w:r>
      <w:r w:rsidR="00BE0180">
        <w:rPr>
          <w:rFonts w:ascii="Arial" w:hAnsi="Arial" w:cs="Arial"/>
          <w:szCs w:val="24"/>
        </w:rPr>
        <w:t xml:space="preserve">inició en el año 1986 y hasta el fallecimiento del afiliado, lapso dentro del cual </w:t>
      </w:r>
      <w:r w:rsidR="00DE2D85">
        <w:rPr>
          <w:rFonts w:ascii="Arial" w:hAnsi="Arial" w:cs="Arial"/>
          <w:szCs w:val="24"/>
        </w:rPr>
        <w:t xml:space="preserve">habitaron </w:t>
      </w:r>
      <w:r w:rsidR="00BE0180">
        <w:rPr>
          <w:rFonts w:ascii="Arial" w:hAnsi="Arial" w:cs="Arial"/>
          <w:szCs w:val="24"/>
        </w:rPr>
        <w:t>el mismo techo, prodigándose amor, afecto y  ayuda mutua</w:t>
      </w:r>
      <w:r w:rsidR="00594839">
        <w:rPr>
          <w:rFonts w:ascii="Arial" w:hAnsi="Arial" w:cs="Arial"/>
          <w:szCs w:val="24"/>
        </w:rPr>
        <w:t>; (</w:t>
      </w:r>
      <w:r w:rsidR="00A81A6D">
        <w:rPr>
          <w:rFonts w:ascii="Arial" w:hAnsi="Arial" w:cs="Arial"/>
          <w:szCs w:val="24"/>
        </w:rPr>
        <w:t xml:space="preserve">v) </w:t>
      </w:r>
      <w:r w:rsidR="00BE0180">
        <w:rPr>
          <w:rFonts w:ascii="Arial" w:hAnsi="Arial" w:cs="Arial"/>
          <w:szCs w:val="24"/>
        </w:rPr>
        <w:t>en toda la vida laboral el causante cotizó 771,71 semanas , de las cuales 536,71 fueron con el empleador Comité de Cafeteros –sic- y, 241 con Colpensiones, (vi) la</w:t>
      </w:r>
      <w:r w:rsidR="00A81A6D">
        <w:rPr>
          <w:rFonts w:ascii="Arial" w:hAnsi="Arial" w:cs="Arial"/>
          <w:szCs w:val="24"/>
        </w:rPr>
        <w:t xml:space="preserve"> demandante </w:t>
      </w:r>
      <w:r w:rsidR="00BE0180">
        <w:rPr>
          <w:rFonts w:ascii="Arial" w:hAnsi="Arial" w:cs="Arial"/>
          <w:szCs w:val="24"/>
        </w:rPr>
        <w:t xml:space="preserve">solicitó el 15 de diciembre de 2010, </w:t>
      </w:r>
      <w:r w:rsidR="00A81A6D">
        <w:rPr>
          <w:rFonts w:ascii="Arial" w:hAnsi="Arial" w:cs="Arial"/>
          <w:szCs w:val="24"/>
        </w:rPr>
        <w:t xml:space="preserve">el reconocimiento de la </w:t>
      </w:r>
      <w:r w:rsidR="00BE0180">
        <w:rPr>
          <w:rFonts w:ascii="Arial" w:hAnsi="Arial" w:cs="Arial"/>
          <w:szCs w:val="24"/>
        </w:rPr>
        <w:t xml:space="preserve">pensión, la que le fue negada mediante Resolución N° GNR 137960 del 20 de junio de 2013, con lo cual se entiende agotada la </w:t>
      </w:r>
      <w:r w:rsidR="00DE2D85">
        <w:rPr>
          <w:rFonts w:ascii="Arial" w:hAnsi="Arial" w:cs="Arial"/>
          <w:szCs w:val="24"/>
        </w:rPr>
        <w:t>reclamación</w:t>
      </w:r>
      <w:r w:rsidR="00BE0180">
        <w:rPr>
          <w:rFonts w:ascii="Arial" w:hAnsi="Arial" w:cs="Arial"/>
          <w:szCs w:val="24"/>
        </w:rPr>
        <w:t>.</w:t>
      </w:r>
    </w:p>
    <w:p w:rsidR="00AF18BD" w:rsidRDefault="00AF18BD" w:rsidP="00674E33">
      <w:pPr>
        <w:spacing w:line="276" w:lineRule="auto"/>
        <w:jc w:val="both"/>
        <w:rPr>
          <w:rFonts w:ascii="Arial" w:hAnsi="Arial" w:cs="Arial"/>
          <w:szCs w:val="24"/>
        </w:rPr>
      </w:pPr>
    </w:p>
    <w:p w:rsidR="00AF18BD" w:rsidRDefault="00AF18BD" w:rsidP="00674E33">
      <w:pPr>
        <w:spacing w:line="276" w:lineRule="auto"/>
        <w:jc w:val="both"/>
        <w:rPr>
          <w:rFonts w:ascii="Arial" w:hAnsi="Arial" w:cs="Arial"/>
          <w:szCs w:val="24"/>
        </w:rPr>
      </w:pPr>
      <w:r>
        <w:rPr>
          <w:rFonts w:ascii="Arial" w:hAnsi="Arial" w:cs="Arial"/>
          <w:szCs w:val="24"/>
        </w:rPr>
        <w:t xml:space="preserve">En el acápite de razones de derecho, incluido en el libelo introductorio, la parte actora </w:t>
      </w:r>
      <w:r w:rsidR="009B049E">
        <w:rPr>
          <w:rFonts w:ascii="Arial" w:hAnsi="Arial" w:cs="Arial"/>
          <w:szCs w:val="24"/>
        </w:rPr>
        <w:t>hace alusión al principio de la condición más beneficiosa, por lo que la Sala entenderá que en aplicación de</w:t>
      </w:r>
      <w:r w:rsidR="00DE2D85">
        <w:rPr>
          <w:rFonts w:ascii="Arial" w:hAnsi="Arial" w:cs="Arial"/>
          <w:szCs w:val="24"/>
        </w:rPr>
        <w:t xml:space="preserve"> </w:t>
      </w:r>
      <w:r w:rsidR="009B049E">
        <w:rPr>
          <w:rFonts w:ascii="Arial" w:hAnsi="Arial" w:cs="Arial"/>
          <w:szCs w:val="24"/>
        </w:rPr>
        <w:t>l</w:t>
      </w:r>
      <w:r w:rsidR="00DE2D85">
        <w:rPr>
          <w:rFonts w:ascii="Arial" w:hAnsi="Arial" w:cs="Arial"/>
          <w:szCs w:val="24"/>
        </w:rPr>
        <w:t>a misma</w:t>
      </w:r>
      <w:r w:rsidR="009B049E">
        <w:rPr>
          <w:rFonts w:ascii="Arial" w:hAnsi="Arial" w:cs="Arial"/>
          <w:szCs w:val="24"/>
        </w:rPr>
        <w:t xml:space="preserve"> es que solicita el reconocimiento de la pensión de sobrevivientes.</w:t>
      </w:r>
    </w:p>
    <w:p w:rsidR="00695334" w:rsidRPr="00AC486E" w:rsidRDefault="00695334" w:rsidP="006232B1">
      <w:pPr>
        <w:spacing w:line="276" w:lineRule="auto"/>
        <w:ind w:firstLine="708"/>
        <w:jc w:val="both"/>
        <w:rPr>
          <w:rFonts w:ascii="Arial" w:hAnsi="Arial" w:cs="Arial"/>
          <w:szCs w:val="24"/>
        </w:rPr>
      </w:pPr>
    </w:p>
    <w:p w:rsidR="006D0816" w:rsidRPr="00AC486E" w:rsidRDefault="00226D5F" w:rsidP="00695334">
      <w:pPr>
        <w:spacing w:line="276" w:lineRule="auto"/>
        <w:contextualSpacing/>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C27386">
        <w:rPr>
          <w:rFonts w:ascii="Arial" w:hAnsi="Arial" w:cs="Arial"/>
          <w:szCs w:val="24"/>
        </w:rPr>
        <w:t xml:space="preserve">se opuso a la prosperidad de </w:t>
      </w:r>
      <w:r w:rsidR="00D00108">
        <w:rPr>
          <w:rFonts w:ascii="Arial" w:hAnsi="Arial" w:cs="Arial"/>
          <w:szCs w:val="24"/>
        </w:rPr>
        <w:t xml:space="preserve">todas </w:t>
      </w:r>
      <w:r w:rsidR="00C27386">
        <w:rPr>
          <w:rFonts w:ascii="Arial" w:hAnsi="Arial" w:cs="Arial"/>
          <w:szCs w:val="24"/>
        </w:rPr>
        <w:t>las pretensiones</w:t>
      </w:r>
      <w:r w:rsidR="00BE0180">
        <w:rPr>
          <w:rFonts w:ascii="Arial" w:hAnsi="Arial" w:cs="Arial"/>
          <w:szCs w:val="24"/>
        </w:rPr>
        <w:t xml:space="preserve"> porque el causante no dejó causado el </w:t>
      </w:r>
      <w:r w:rsidR="00BE0180">
        <w:rPr>
          <w:rFonts w:ascii="Arial" w:hAnsi="Arial" w:cs="Arial"/>
          <w:szCs w:val="24"/>
        </w:rPr>
        <w:lastRenderedPageBreak/>
        <w:t>derecho</w:t>
      </w:r>
      <w:r w:rsidR="00D00108">
        <w:rPr>
          <w:rFonts w:ascii="Arial" w:hAnsi="Arial" w:cs="Arial"/>
          <w:szCs w:val="24"/>
        </w:rPr>
        <w:t xml:space="preserve">. </w:t>
      </w:r>
      <w:r w:rsidR="006D0816" w:rsidRPr="00AC486E">
        <w:rPr>
          <w:rFonts w:ascii="Arial" w:hAnsi="Arial" w:cs="Arial"/>
          <w:szCs w:val="24"/>
        </w:rPr>
        <w:t xml:space="preserve">Propuso como excepciones de mérito las que denominó </w:t>
      </w:r>
      <w:r w:rsidR="00BF1717">
        <w:rPr>
          <w:rFonts w:ascii="Arial" w:hAnsi="Arial" w:cs="Arial"/>
          <w:szCs w:val="24"/>
        </w:rPr>
        <w:t>“</w:t>
      </w:r>
      <w:r w:rsidR="00D00108">
        <w:rPr>
          <w:rFonts w:ascii="Arial" w:hAnsi="Arial" w:cs="Arial"/>
          <w:szCs w:val="24"/>
        </w:rPr>
        <w:t>Inexistencia de la Obligación</w:t>
      </w:r>
      <w:r w:rsidR="00BE0180">
        <w:rPr>
          <w:rFonts w:ascii="Arial" w:hAnsi="Arial" w:cs="Arial"/>
          <w:szCs w:val="24"/>
        </w:rPr>
        <w:t xml:space="preserve"> demandada</w:t>
      </w:r>
      <w:r w:rsidR="00BF1717">
        <w:rPr>
          <w:rFonts w:ascii="Arial" w:hAnsi="Arial" w:cs="Arial"/>
          <w:szCs w:val="24"/>
        </w:rPr>
        <w:t>”</w:t>
      </w:r>
      <w:r w:rsidR="00BE0180">
        <w:rPr>
          <w:rFonts w:ascii="Arial" w:hAnsi="Arial" w:cs="Arial"/>
          <w:szCs w:val="24"/>
        </w:rPr>
        <w:t xml:space="preserve"> </w:t>
      </w:r>
      <w:r w:rsidR="006D0816" w:rsidRPr="00AC486E">
        <w:rPr>
          <w:rFonts w:ascii="Arial" w:hAnsi="Arial" w:cs="Arial"/>
          <w:szCs w:val="24"/>
        </w:rPr>
        <w:t>y “Prescripción”.</w:t>
      </w:r>
    </w:p>
    <w:p w:rsidR="00226D5F" w:rsidRPr="00AC486E" w:rsidRDefault="00226D5F" w:rsidP="00F017BF">
      <w:pPr>
        <w:pStyle w:val="Sinespaciado"/>
        <w:spacing w:line="276" w:lineRule="auto"/>
        <w:contextualSpacing/>
        <w:rPr>
          <w:rFonts w:ascii="Arial" w:hAnsi="Arial" w:cs="Arial"/>
          <w:sz w:val="24"/>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 xml:space="preserve">Síntesis de la sentencia </w:t>
      </w:r>
    </w:p>
    <w:p w:rsidR="00226D5F" w:rsidRPr="00AC486E" w:rsidRDefault="00226D5F" w:rsidP="00F017BF">
      <w:pPr>
        <w:pStyle w:val="Sinespaciado"/>
        <w:spacing w:line="276" w:lineRule="auto"/>
        <w:contextualSpacing/>
        <w:rPr>
          <w:rFonts w:ascii="Arial" w:hAnsi="Arial" w:cs="Arial"/>
          <w:sz w:val="24"/>
          <w:szCs w:val="24"/>
        </w:rPr>
      </w:pPr>
    </w:p>
    <w:p w:rsidR="00176304" w:rsidRDefault="00226D5F" w:rsidP="00695334">
      <w:pPr>
        <w:spacing w:line="276" w:lineRule="auto"/>
        <w:contextualSpacing/>
        <w:jc w:val="both"/>
        <w:rPr>
          <w:rFonts w:ascii="Arial" w:hAnsi="Arial" w:cs="Arial"/>
          <w:color w:val="000000"/>
          <w:szCs w:val="24"/>
          <w:lang w:eastAsia="es-CO"/>
        </w:rPr>
      </w:pPr>
      <w:r w:rsidRPr="00A02043">
        <w:rPr>
          <w:rFonts w:ascii="Arial" w:hAnsi="Arial" w:cs="Arial"/>
          <w:color w:val="000000"/>
          <w:szCs w:val="24"/>
          <w:lang w:eastAsia="es-CO"/>
        </w:rPr>
        <w:t>El Juzgado</w:t>
      </w:r>
      <w:r w:rsidR="0053562A" w:rsidRPr="00A02043">
        <w:rPr>
          <w:rFonts w:ascii="Arial" w:hAnsi="Arial" w:cs="Arial"/>
          <w:color w:val="000000"/>
          <w:szCs w:val="24"/>
          <w:lang w:eastAsia="es-CO"/>
        </w:rPr>
        <w:t xml:space="preserve"> </w:t>
      </w:r>
      <w:r w:rsidR="00D00108">
        <w:rPr>
          <w:rFonts w:ascii="Arial" w:hAnsi="Arial" w:cs="Arial"/>
          <w:color w:val="000000"/>
          <w:szCs w:val="24"/>
          <w:lang w:eastAsia="es-CO"/>
        </w:rPr>
        <w:t xml:space="preserve">Quinto </w:t>
      </w:r>
      <w:r w:rsidRPr="00A02043">
        <w:rPr>
          <w:rFonts w:ascii="Arial" w:hAnsi="Arial" w:cs="Arial"/>
          <w:color w:val="000000"/>
          <w:szCs w:val="24"/>
          <w:lang w:eastAsia="es-CO"/>
        </w:rPr>
        <w:t>Laboral del Circuito de Pereira</w:t>
      </w:r>
      <w:r w:rsidR="00674E33" w:rsidRPr="00A02043">
        <w:rPr>
          <w:rFonts w:ascii="Arial" w:hAnsi="Arial" w:cs="Arial"/>
          <w:color w:val="000000"/>
          <w:szCs w:val="24"/>
          <w:lang w:eastAsia="es-CO"/>
        </w:rPr>
        <w:t xml:space="preserve">, </w:t>
      </w:r>
      <w:r w:rsidR="00BE0180">
        <w:rPr>
          <w:rFonts w:ascii="Arial" w:hAnsi="Arial" w:cs="Arial"/>
          <w:color w:val="000000"/>
          <w:szCs w:val="24"/>
          <w:lang w:eastAsia="es-CO"/>
        </w:rPr>
        <w:t xml:space="preserve">negó </w:t>
      </w:r>
      <w:r w:rsidR="00DE2D85">
        <w:rPr>
          <w:rFonts w:ascii="Arial" w:hAnsi="Arial" w:cs="Arial"/>
          <w:color w:val="000000"/>
          <w:szCs w:val="24"/>
          <w:lang w:eastAsia="es-CO"/>
        </w:rPr>
        <w:t xml:space="preserve">la pensión de </w:t>
      </w:r>
      <w:proofErr w:type="spellStart"/>
      <w:r w:rsidR="00DE2D85">
        <w:rPr>
          <w:rFonts w:ascii="Arial" w:hAnsi="Arial" w:cs="Arial"/>
          <w:color w:val="000000"/>
          <w:szCs w:val="24"/>
          <w:lang w:eastAsia="es-CO"/>
        </w:rPr>
        <w:t>sobrevivienes</w:t>
      </w:r>
      <w:proofErr w:type="spellEnd"/>
      <w:r w:rsidR="00DE2D85">
        <w:rPr>
          <w:rFonts w:ascii="Arial" w:hAnsi="Arial" w:cs="Arial"/>
          <w:color w:val="000000"/>
          <w:szCs w:val="24"/>
          <w:lang w:eastAsia="es-CO"/>
        </w:rPr>
        <w:t xml:space="preserve"> </w:t>
      </w:r>
      <w:r w:rsidR="00BE0180">
        <w:rPr>
          <w:rFonts w:ascii="Arial" w:hAnsi="Arial" w:cs="Arial"/>
          <w:color w:val="000000"/>
          <w:szCs w:val="24"/>
          <w:lang w:eastAsia="es-CO"/>
        </w:rPr>
        <w:t>y en su lugar, r</w:t>
      </w:r>
      <w:r w:rsidR="00BC7A07">
        <w:rPr>
          <w:rFonts w:ascii="Arial" w:hAnsi="Arial" w:cs="Arial"/>
          <w:color w:val="000000"/>
          <w:szCs w:val="24"/>
          <w:lang w:eastAsia="es-CO"/>
        </w:rPr>
        <w:t>econoció</w:t>
      </w:r>
      <w:r w:rsidR="00BE0180">
        <w:rPr>
          <w:rFonts w:ascii="Arial" w:hAnsi="Arial" w:cs="Arial"/>
          <w:color w:val="000000"/>
          <w:szCs w:val="24"/>
          <w:lang w:eastAsia="es-CO"/>
        </w:rPr>
        <w:t xml:space="preserve"> la indemnización sustitutiva de la pensión de sobrevivientes en cuantía de $4´088.</w:t>
      </w:r>
      <w:r w:rsidR="00176304">
        <w:rPr>
          <w:rFonts w:ascii="Arial" w:hAnsi="Arial" w:cs="Arial"/>
          <w:color w:val="000000"/>
          <w:szCs w:val="24"/>
          <w:lang w:eastAsia="es-CO"/>
        </w:rPr>
        <w:t>948.</w:t>
      </w:r>
    </w:p>
    <w:p w:rsidR="00176304" w:rsidRDefault="00176304" w:rsidP="00695334">
      <w:pPr>
        <w:spacing w:line="276" w:lineRule="auto"/>
        <w:contextualSpacing/>
        <w:jc w:val="both"/>
        <w:rPr>
          <w:rFonts w:ascii="Arial" w:hAnsi="Arial" w:cs="Arial"/>
          <w:color w:val="000000"/>
          <w:szCs w:val="24"/>
          <w:lang w:eastAsia="es-CO"/>
        </w:rPr>
      </w:pPr>
    </w:p>
    <w:p w:rsidR="00226D5F" w:rsidRDefault="00176304" w:rsidP="0017630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expresó que </w:t>
      </w:r>
      <w:r w:rsidR="00BD1C65">
        <w:rPr>
          <w:rFonts w:ascii="Arial" w:hAnsi="Arial" w:cs="Arial"/>
          <w:color w:val="000000"/>
          <w:szCs w:val="24"/>
          <w:lang w:eastAsia="es-CO"/>
        </w:rPr>
        <w:t xml:space="preserve">de acuerdo con la fecha del fallecimiento, la norma aplicable era la Ley 100 de 1993, normativa bajo la cual no se había dejado </w:t>
      </w:r>
      <w:r w:rsidR="00DE2D85">
        <w:rPr>
          <w:rFonts w:ascii="Arial" w:hAnsi="Arial" w:cs="Arial"/>
          <w:color w:val="000000"/>
          <w:szCs w:val="24"/>
          <w:lang w:eastAsia="es-CO"/>
        </w:rPr>
        <w:t>causada</w:t>
      </w:r>
      <w:r w:rsidR="00BD1C65">
        <w:rPr>
          <w:rFonts w:ascii="Arial" w:hAnsi="Arial" w:cs="Arial"/>
          <w:color w:val="000000"/>
          <w:szCs w:val="24"/>
          <w:lang w:eastAsia="es-CO"/>
        </w:rPr>
        <w:t xml:space="preserve">; no obstante, en </w:t>
      </w:r>
      <w:r w:rsidR="00E869BA">
        <w:rPr>
          <w:rFonts w:ascii="Arial" w:hAnsi="Arial" w:cs="Arial"/>
          <w:color w:val="000000"/>
          <w:szCs w:val="24"/>
          <w:lang w:eastAsia="es-CO"/>
        </w:rPr>
        <w:t xml:space="preserve">virtud </w:t>
      </w:r>
      <w:r w:rsidR="00BD1C65">
        <w:rPr>
          <w:rFonts w:ascii="Arial" w:hAnsi="Arial" w:cs="Arial"/>
          <w:color w:val="000000"/>
          <w:szCs w:val="24"/>
          <w:lang w:eastAsia="es-CO"/>
        </w:rPr>
        <w:t xml:space="preserve">del principio de la condición más beneficiosa, acudió al Acuerdo 049 de 1990, </w:t>
      </w:r>
      <w:r w:rsidR="0039086A">
        <w:rPr>
          <w:rFonts w:ascii="Arial" w:hAnsi="Arial" w:cs="Arial"/>
          <w:color w:val="000000"/>
          <w:szCs w:val="24"/>
          <w:lang w:eastAsia="es-CO"/>
        </w:rPr>
        <w:t>bajo la cual encontró insuficientes las semanas cotizadas, toda vez que si bien en toda la vida laboral el causante sufragó 771 semanas, solo 275,57 lo fueron ante el ISS, sin poder sumar las del sector público conforme se h</w:t>
      </w:r>
      <w:r w:rsidR="00E869BA">
        <w:rPr>
          <w:rFonts w:ascii="Arial" w:hAnsi="Arial" w:cs="Arial"/>
          <w:color w:val="000000"/>
          <w:szCs w:val="24"/>
          <w:lang w:eastAsia="es-CO"/>
        </w:rPr>
        <w:t>a indicado jurisprudencialmente.</w:t>
      </w:r>
    </w:p>
    <w:p w:rsidR="00804AC2" w:rsidRDefault="00804AC2" w:rsidP="00176304">
      <w:pPr>
        <w:spacing w:line="276" w:lineRule="auto"/>
        <w:contextualSpacing/>
        <w:jc w:val="both"/>
        <w:rPr>
          <w:rFonts w:ascii="Arial" w:hAnsi="Arial" w:cs="Arial"/>
          <w:color w:val="000000"/>
          <w:szCs w:val="24"/>
          <w:lang w:eastAsia="es-CO"/>
        </w:rPr>
      </w:pPr>
    </w:p>
    <w:p w:rsidR="00804AC2" w:rsidRDefault="00804AC2" w:rsidP="0017630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frente a las 150 semanas, se debe cumplir con esa densidad dentro de los 6 años anteriores a la entrada en vigencia de la Ley 100 de 1993 y otras 150, dentro de las 6 anualidades que prosiguieron a esa fecha, pero solo cuenta con 168,42 dentro de la primera opción y no dentro del segundo interregno, las que se tornan insuficientes para reconocer la prestación.</w:t>
      </w:r>
    </w:p>
    <w:p w:rsidR="00E869BA" w:rsidRDefault="00E869BA" w:rsidP="00176304">
      <w:pPr>
        <w:spacing w:line="276" w:lineRule="auto"/>
        <w:contextualSpacing/>
        <w:jc w:val="both"/>
        <w:rPr>
          <w:rFonts w:ascii="Arial" w:hAnsi="Arial" w:cs="Arial"/>
          <w:color w:val="000000"/>
          <w:szCs w:val="24"/>
          <w:lang w:eastAsia="es-CO"/>
        </w:rPr>
      </w:pPr>
    </w:p>
    <w:p w:rsidR="00E869BA" w:rsidRDefault="00E869BA" w:rsidP="0017630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Frente a la indemnización sustitutiva arguyó que </w:t>
      </w:r>
      <w:r w:rsidR="009E7AFA">
        <w:rPr>
          <w:rFonts w:ascii="Arial" w:hAnsi="Arial" w:cs="Arial"/>
          <w:color w:val="000000"/>
          <w:szCs w:val="24"/>
          <w:lang w:eastAsia="es-CO"/>
        </w:rPr>
        <w:t xml:space="preserve">se </w:t>
      </w:r>
      <w:r w:rsidR="00DE2D85">
        <w:rPr>
          <w:rFonts w:ascii="Arial" w:hAnsi="Arial" w:cs="Arial"/>
          <w:color w:val="000000"/>
          <w:szCs w:val="24"/>
          <w:lang w:eastAsia="es-CO"/>
        </w:rPr>
        <w:t xml:space="preserve">cumplían </w:t>
      </w:r>
      <w:r w:rsidR="009E7AFA">
        <w:rPr>
          <w:rFonts w:ascii="Arial" w:hAnsi="Arial" w:cs="Arial"/>
          <w:color w:val="000000"/>
          <w:szCs w:val="24"/>
          <w:lang w:eastAsia="es-CO"/>
        </w:rPr>
        <w:t>los requisitos previstos en los artículos 37 y 49 de la Ley 100 de 1993, máxime cuando la actora demostró la calidad de beneficiaria, por acreditar la convivencia exigida por la ley, con el causante.</w:t>
      </w:r>
    </w:p>
    <w:p w:rsidR="00362830" w:rsidRDefault="00362830" w:rsidP="00176304">
      <w:pPr>
        <w:spacing w:line="276" w:lineRule="auto"/>
        <w:contextualSpacing/>
        <w:jc w:val="both"/>
        <w:rPr>
          <w:rFonts w:ascii="Arial" w:hAnsi="Arial" w:cs="Arial"/>
          <w:color w:val="000000"/>
          <w:szCs w:val="24"/>
          <w:lang w:eastAsia="es-CO"/>
        </w:rPr>
      </w:pPr>
    </w:p>
    <w:p w:rsidR="00362830" w:rsidRDefault="009E7AFA" w:rsidP="0017630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Respecto de los vinculados, como los mismos no presentaron sus propias pretensiones a través de la intervención ad-</w:t>
      </w:r>
      <w:proofErr w:type="spellStart"/>
      <w:r>
        <w:rPr>
          <w:rFonts w:ascii="Arial" w:hAnsi="Arial" w:cs="Arial"/>
          <w:color w:val="000000"/>
          <w:szCs w:val="24"/>
          <w:lang w:eastAsia="es-CO"/>
        </w:rPr>
        <w:t>excludemdun</w:t>
      </w:r>
      <w:proofErr w:type="spellEnd"/>
      <w:r>
        <w:rPr>
          <w:rFonts w:ascii="Arial" w:hAnsi="Arial" w:cs="Arial"/>
          <w:color w:val="000000"/>
          <w:szCs w:val="24"/>
          <w:lang w:eastAsia="es-CO"/>
        </w:rPr>
        <w:t>, no se analiza el derecho pensional que pudiere corresponderles.</w:t>
      </w:r>
    </w:p>
    <w:p w:rsidR="00734E40" w:rsidRDefault="00734E40" w:rsidP="00176304">
      <w:pPr>
        <w:spacing w:line="276" w:lineRule="auto"/>
        <w:contextualSpacing/>
        <w:jc w:val="both"/>
        <w:rPr>
          <w:rFonts w:ascii="Arial" w:hAnsi="Arial" w:cs="Arial"/>
          <w:color w:val="000000"/>
          <w:szCs w:val="24"/>
          <w:lang w:eastAsia="es-CO"/>
        </w:rPr>
      </w:pPr>
    </w:p>
    <w:p w:rsidR="00734E40" w:rsidRDefault="00734E40" w:rsidP="0017630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El monto de la indemnización sustitutiva lo obtuvo solo con base en los aportes efectuados al ISS, como quiera que respecto de los demás existe bono pensional y las entidades respectivas no fueron convocadas al proceso.</w:t>
      </w:r>
    </w:p>
    <w:p w:rsidR="00176304" w:rsidRPr="00AC486E" w:rsidRDefault="00176304" w:rsidP="00176304">
      <w:pPr>
        <w:spacing w:line="276" w:lineRule="auto"/>
        <w:contextualSpacing/>
        <w:jc w:val="both"/>
        <w:rPr>
          <w:rFonts w:ascii="Arial" w:hAnsi="Arial" w:cs="Arial"/>
          <w:szCs w:val="24"/>
        </w:rPr>
      </w:pPr>
    </w:p>
    <w:p w:rsidR="00176304" w:rsidRDefault="00695334" w:rsidP="0069533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 xml:space="preserve"> Síntesis del recurso de apelación</w:t>
      </w:r>
    </w:p>
    <w:p w:rsidR="00176304" w:rsidRDefault="00176304" w:rsidP="00695334">
      <w:pPr>
        <w:shd w:val="clear" w:color="auto" w:fill="FFFFFF"/>
        <w:spacing w:line="276" w:lineRule="auto"/>
        <w:jc w:val="both"/>
        <w:rPr>
          <w:rFonts w:ascii="Arial" w:hAnsi="Arial" w:cs="Arial"/>
          <w:b/>
          <w:color w:val="000000"/>
          <w:szCs w:val="24"/>
          <w:lang w:eastAsia="es-CO"/>
        </w:rPr>
      </w:pPr>
    </w:p>
    <w:p w:rsidR="00176304" w:rsidRDefault="00C15F17" w:rsidP="00695334">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Inconforme con lo decidido, la apoderada judicial de la parte actora interpuso recurso de apelación y argumentó que </w:t>
      </w:r>
      <w:r w:rsidR="005818EA">
        <w:rPr>
          <w:rFonts w:ascii="Arial" w:hAnsi="Arial" w:cs="Arial"/>
          <w:color w:val="000000"/>
          <w:szCs w:val="24"/>
          <w:lang w:eastAsia="es-CO"/>
        </w:rPr>
        <w:t>debía darse aplicación al principio de la condición más beneficiosa y tener en cuenta la totalidad de las semanas cotizadas por el causante, tanto en el sector público como ante el ISS.</w:t>
      </w:r>
    </w:p>
    <w:p w:rsidR="005818EA" w:rsidRDefault="005818EA" w:rsidP="00695334">
      <w:pPr>
        <w:shd w:val="clear" w:color="auto" w:fill="FFFFFF"/>
        <w:spacing w:line="276" w:lineRule="auto"/>
        <w:jc w:val="both"/>
        <w:rPr>
          <w:rFonts w:ascii="Arial" w:hAnsi="Arial" w:cs="Arial"/>
          <w:color w:val="000000"/>
          <w:szCs w:val="24"/>
          <w:lang w:eastAsia="es-CO"/>
        </w:rPr>
      </w:pPr>
    </w:p>
    <w:p w:rsidR="005818EA" w:rsidRDefault="005818EA" w:rsidP="00695334">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Precisó que las cotizaciones efectuadas a través del ISS, lo fueron en el Régimen de prima media con prestación definida, del cual existe bono pensional que debe ser emitido a favor de la última entidad a la que haya estado vinculado el causante.</w:t>
      </w:r>
    </w:p>
    <w:p w:rsidR="005818EA" w:rsidRDefault="005818EA" w:rsidP="00695334">
      <w:pPr>
        <w:shd w:val="clear" w:color="auto" w:fill="FFFFFF"/>
        <w:spacing w:line="276" w:lineRule="auto"/>
        <w:jc w:val="both"/>
        <w:rPr>
          <w:rFonts w:ascii="Arial" w:hAnsi="Arial" w:cs="Arial"/>
          <w:color w:val="000000"/>
          <w:szCs w:val="24"/>
          <w:lang w:eastAsia="es-CO"/>
        </w:rPr>
      </w:pPr>
    </w:p>
    <w:p w:rsidR="00362830" w:rsidRPr="00C15F17" w:rsidRDefault="005818EA" w:rsidP="00695334">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Finalmente, manifestó que las 275 semanas cotizadas al ISS, encajan dentro de las 150 antes del fallecimiento, con lo cual se acredita la causación del derecho; ello, en caso de que se confirme la negativa a valorar los tiempos públicos.</w:t>
      </w:r>
    </w:p>
    <w:p w:rsidR="00176304" w:rsidRDefault="00176304" w:rsidP="00695334">
      <w:pPr>
        <w:shd w:val="clear" w:color="auto" w:fill="FFFFFF"/>
        <w:spacing w:line="276" w:lineRule="auto"/>
        <w:jc w:val="both"/>
        <w:rPr>
          <w:rFonts w:ascii="Arial" w:hAnsi="Arial" w:cs="Arial"/>
          <w:b/>
          <w:color w:val="000000"/>
          <w:szCs w:val="24"/>
          <w:lang w:eastAsia="es-CO"/>
        </w:rPr>
      </w:pPr>
    </w:p>
    <w:p w:rsidR="004E0EBF" w:rsidRPr="004E0EBF" w:rsidRDefault="00176304" w:rsidP="0069533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1.4.</w:t>
      </w:r>
      <w:r w:rsidR="00695334">
        <w:rPr>
          <w:rFonts w:ascii="Arial" w:hAnsi="Arial" w:cs="Arial"/>
          <w:b/>
          <w:color w:val="000000"/>
          <w:szCs w:val="24"/>
          <w:lang w:eastAsia="es-CO"/>
        </w:rPr>
        <w:t xml:space="preserve"> Del </w:t>
      </w:r>
      <w:r w:rsidR="00695334" w:rsidRPr="004E0EBF">
        <w:rPr>
          <w:rFonts w:ascii="Arial" w:hAnsi="Arial" w:cs="Arial"/>
          <w:b/>
          <w:color w:val="000000"/>
          <w:szCs w:val="24"/>
          <w:lang w:eastAsia="es-CO"/>
        </w:rPr>
        <w:t>grado jurisdiccional de consulta</w:t>
      </w:r>
    </w:p>
    <w:p w:rsidR="00E64334" w:rsidRDefault="00E64334" w:rsidP="00F017BF">
      <w:pPr>
        <w:shd w:val="clear" w:color="auto" w:fill="FFFFFF"/>
        <w:spacing w:line="276" w:lineRule="auto"/>
        <w:ind w:firstLine="851"/>
        <w:jc w:val="both"/>
        <w:rPr>
          <w:rFonts w:ascii="Arial" w:hAnsi="Arial" w:cs="Arial"/>
          <w:color w:val="000000"/>
          <w:szCs w:val="24"/>
          <w:lang w:eastAsia="es-CO"/>
        </w:rPr>
      </w:pPr>
    </w:p>
    <w:p w:rsidR="00A44C8E" w:rsidRDefault="00A44C8E" w:rsidP="00A44C8E">
      <w:pPr>
        <w:shd w:val="clear" w:color="auto" w:fill="FFFFFF"/>
        <w:spacing w:line="276" w:lineRule="auto"/>
        <w:jc w:val="both"/>
        <w:rPr>
          <w:rFonts w:ascii="Arial" w:hAnsi="Arial" w:cs="Arial"/>
          <w:szCs w:val="24"/>
        </w:rPr>
      </w:pPr>
      <w:r>
        <w:rPr>
          <w:rFonts w:ascii="Arial" w:hAnsi="Arial" w:cs="Arial"/>
          <w:szCs w:val="24"/>
        </w:rPr>
        <w:t xml:space="preserve">Frente a la anterior decisión, </w:t>
      </w:r>
      <w:r w:rsidR="005818EA">
        <w:rPr>
          <w:rFonts w:ascii="Arial" w:hAnsi="Arial" w:cs="Arial"/>
          <w:szCs w:val="24"/>
        </w:rPr>
        <w:t>esta Corporación mediante proveído de 15 de octubre de 2015 –</w:t>
      </w:r>
      <w:proofErr w:type="spellStart"/>
      <w:r w:rsidR="005818EA">
        <w:rPr>
          <w:rFonts w:ascii="Arial" w:hAnsi="Arial" w:cs="Arial"/>
          <w:szCs w:val="24"/>
        </w:rPr>
        <w:t>fl</w:t>
      </w:r>
      <w:proofErr w:type="spellEnd"/>
      <w:r w:rsidR="005818EA">
        <w:rPr>
          <w:rFonts w:ascii="Arial" w:hAnsi="Arial" w:cs="Arial"/>
          <w:szCs w:val="24"/>
        </w:rPr>
        <w:t>. 4- admitió no solo el recurso de apelación interpuesto, sino que ordenó el surtimiento del grado jurisdiccional de consulta, por resultar el mismo adverso a las pretensiones de Colpensiones, conforme lo prevé el artículo 60 del C.P.L</w:t>
      </w:r>
      <w:r w:rsidR="00ED1262">
        <w:rPr>
          <w:rFonts w:ascii="Arial" w:hAnsi="Arial" w:cs="Arial"/>
          <w:szCs w:val="24"/>
        </w:rPr>
        <w:t>.</w:t>
      </w:r>
    </w:p>
    <w:p w:rsidR="00176304" w:rsidRDefault="00176304" w:rsidP="00A44C8E">
      <w:pPr>
        <w:shd w:val="clear" w:color="auto" w:fill="FFFFFF"/>
        <w:spacing w:line="276" w:lineRule="auto"/>
        <w:jc w:val="both"/>
        <w:rPr>
          <w:rFonts w:ascii="Arial" w:hAnsi="Arial" w:cs="Arial"/>
          <w:szCs w:val="24"/>
        </w:rPr>
      </w:pPr>
    </w:p>
    <w:p w:rsidR="00695334" w:rsidRDefault="00695334" w:rsidP="00695334">
      <w:pPr>
        <w:shd w:val="clear" w:color="auto" w:fill="FFFFFF"/>
        <w:spacing w:line="276" w:lineRule="auto"/>
        <w:jc w:val="center"/>
        <w:rPr>
          <w:rFonts w:ascii="Arial" w:hAnsi="Arial" w:cs="Arial"/>
          <w:b/>
          <w:szCs w:val="24"/>
        </w:rPr>
      </w:pPr>
      <w:r w:rsidRPr="00136BD5">
        <w:rPr>
          <w:rFonts w:ascii="Arial" w:hAnsi="Arial" w:cs="Arial"/>
          <w:b/>
          <w:szCs w:val="24"/>
        </w:rPr>
        <w:t>CONSIDERACIONES</w:t>
      </w:r>
    </w:p>
    <w:p w:rsidR="00664C67" w:rsidRPr="00C84DAD" w:rsidRDefault="00664C67" w:rsidP="00695334">
      <w:pPr>
        <w:shd w:val="clear" w:color="auto" w:fill="FFFFFF"/>
        <w:spacing w:line="276" w:lineRule="auto"/>
        <w:jc w:val="center"/>
        <w:rPr>
          <w:rFonts w:ascii="Arial" w:hAnsi="Arial" w:cs="Arial"/>
          <w:b/>
          <w:szCs w:val="24"/>
        </w:rPr>
      </w:pPr>
    </w:p>
    <w:p w:rsidR="00695334" w:rsidRPr="00982149" w:rsidRDefault="00695334" w:rsidP="00C77CC8">
      <w:pPr>
        <w:pStyle w:val="Prrafodelista"/>
        <w:numPr>
          <w:ilvl w:val="0"/>
          <w:numId w:val="9"/>
        </w:numPr>
        <w:shd w:val="clear" w:color="auto" w:fill="FFFFFF"/>
        <w:tabs>
          <w:tab w:val="left" w:pos="5197"/>
        </w:tabs>
        <w:spacing w:line="276" w:lineRule="auto"/>
        <w:ind w:hanging="720"/>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695334" w:rsidRPr="00A02043" w:rsidRDefault="00695334" w:rsidP="00695334">
      <w:pPr>
        <w:shd w:val="clear" w:color="auto" w:fill="FFFFFF"/>
        <w:tabs>
          <w:tab w:val="left" w:pos="5197"/>
        </w:tabs>
        <w:spacing w:line="276" w:lineRule="auto"/>
        <w:contextualSpacing/>
        <w:jc w:val="both"/>
        <w:rPr>
          <w:rFonts w:ascii="Arial" w:hAnsi="Arial" w:cs="Arial"/>
          <w:color w:val="000000"/>
          <w:szCs w:val="24"/>
          <w:lang w:eastAsia="es-CO"/>
        </w:rPr>
      </w:pPr>
      <w:r w:rsidRPr="00A02043">
        <w:rPr>
          <w:rFonts w:ascii="Arial" w:hAnsi="Arial" w:cs="Arial"/>
          <w:color w:val="000000"/>
          <w:szCs w:val="24"/>
          <w:lang w:eastAsia="es-CO"/>
        </w:rPr>
        <w:t>Visto el recuento anterior, la Sala formula los siguientes interrogantes:</w:t>
      </w:r>
    </w:p>
    <w:p w:rsidR="008514AF" w:rsidRPr="00392EA4" w:rsidRDefault="008514AF" w:rsidP="00F017BF">
      <w:pPr>
        <w:shd w:val="clear" w:color="auto" w:fill="FFFFFF"/>
        <w:tabs>
          <w:tab w:val="left" w:pos="5197"/>
        </w:tabs>
        <w:spacing w:line="276" w:lineRule="auto"/>
        <w:ind w:firstLine="851"/>
        <w:jc w:val="both"/>
        <w:rPr>
          <w:rFonts w:ascii="Arial" w:hAnsi="Arial" w:cs="Arial"/>
          <w:color w:val="000000"/>
          <w:szCs w:val="24"/>
          <w:highlight w:val="yellow"/>
          <w:lang w:eastAsia="es-CO"/>
        </w:rPr>
      </w:pPr>
    </w:p>
    <w:p w:rsidR="0046338F" w:rsidRPr="0000603E" w:rsidRDefault="00695334" w:rsidP="0046338F">
      <w:pPr>
        <w:tabs>
          <w:tab w:val="left" w:pos="0"/>
          <w:tab w:val="left" w:pos="8647"/>
        </w:tabs>
        <w:suppressAutoHyphens/>
        <w:spacing w:line="276" w:lineRule="auto"/>
        <w:jc w:val="both"/>
        <w:rPr>
          <w:rFonts w:ascii="Arial" w:hAnsi="Arial" w:cs="Arial"/>
          <w:iCs/>
          <w:szCs w:val="24"/>
        </w:rPr>
      </w:pPr>
      <w:r w:rsidRPr="00A02043">
        <w:rPr>
          <w:rFonts w:ascii="Arial" w:hAnsi="Arial" w:cs="Arial"/>
          <w:szCs w:val="24"/>
        </w:rPr>
        <w:t xml:space="preserve">1.1. </w:t>
      </w:r>
      <w:r w:rsidR="0046338F" w:rsidRPr="0000603E">
        <w:rPr>
          <w:rFonts w:ascii="Arial" w:hAnsi="Arial" w:cs="Arial"/>
          <w:szCs w:val="24"/>
        </w:rPr>
        <w:t>¿Resuelta procedente la pensión de sobrevivientes conforme al Acuerdo 049 de 1990, en aplicación de la condición más beneficiosa cuando el fallecimiento del asegurado se produjo en vigencia de la Ley 100 de 1993</w:t>
      </w:r>
      <w:r w:rsidR="0046338F" w:rsidRPr="0000603E">
        <w:rPr>
          <w:rFonts w:ascii="Arial" w:hAnsi="Arial" w:cs="Arial"/>
          <w:iCs/>
          <w:szCs w:val="24"/>
        </w:rPr>
        <w:t>?</w:t>
      </w:r>
    </w:p>
    <w:p w:rsidR="0046338F" w:rsidRDefault="0046338F" w:rsidP="00695334">
      <w:pPr>
        <w:spacing w:line="276" w:lineRule="auto"/>
        <w:jc w:val="both"/>
        <w:rPr>
          <w:rFonts w:ascii="Arial" w:hAnsi="Arial" w:cs="Arial"/>
          <w:szCs w:val="24"/>
        </w:rPr>
      </w:pPr>
    </w:p>
    <w:p w:rsidR="002E1176" w:rsidRDefault="0046338F" w:rsidP="00695334">
      <w:pPr>
        <w:spacing w:line="276" w:lineRule="auto"/>
        <w:jc w:val="both"/>
        <w:rPr>
          <w:rFonts w:ascii="Arial" w:hAnsi="Arial" w:cs="Arial"/>
          <w:szCs w:val="24"/>
        </w:rPr>
      </w:pPr>
      <w:r>
        <w:rPr>
          <w:rFonts w:ascii="Arial" w:hAnsi="Arial" w:cs="Arial"/>
          <w:szCs w:val="24"/>
        </w:rPr>
        <w:t xml:space="preserve">1.2. </w:t>
      </w:r>
      <w:r w:rsidR="008B3495" w:rsidRPr="00A02043">
        <w:rPr>
          <w:rFonts w:ascii="Arial" w:hAnsi="Arial" w:cs="Arial"/>
          <w:szCs w:val="24"/>
        </w:rPr>
        <w:t>¿</w:t>
      </w:r>
      <w:r w:rsidR="00136BD5">
        <w:rPr>
          <w:rFonts w:ascii="Arial" w:hAnsi="Arial" w:cs="Arial"/>
          <w:szCs w:val="24"/>
        </w:rPr>
        <w:t xml:space="preserve">El </w:t>
      </w:r>
      <w:r w:rsidR="002E1176" w:rsidRPr="00A02043">
        <w:rPr>
          <w:rFonts w:ascii="Arial" w:hAnsi="Arial" w:cs="Arial"/>
          <w:szCs w:val="24"/>
        </w:rPr>
        <w:t xml:space="preserve">señor </w:t>
      </w:r>
      <w:r w:rsidR="002B7A17">
        <w:rPr>
          <w:rFonts w:ascii="Arial" w:hAnsi="Arial" w:cs="Arial"/>
          <w:szCs w:val="24"/>
        </w:rPr>
        <w:t>Eduardo Antonio Gallego García</w:t>
      </w:r>
      <w:r w:rsidR="00C77CC8">
        <w:rPr>
          <w:rFonts w:ascii="Arial" w:hAnsi="Arial" w:cs="Arial"/>
          <w:szCs w:val="24"/>
        </w:rPr>
        <w:t xml:space="preserve"> </w:t>
      </w:r>
      <w:r w:rsidR="002E1176" w:rsidRPr="00A02043">
        <w:rPr>
          <w:rFonts w:ascii="Arial" w:hAnsi="Arial" w:cs="Arial"/>
          <w:szCs w:val="24"/>
        </w:rPr>
        <w:t xml:space="preserve">dejó causado el derecho para que </w:t>
      </w:r>
      <w:r w:rsidR="00C77CC8">
        <w:rPr>
          <w:rFonts w:ascii="Arial" w:hAnsi="Arial" w:cs="Arial"/>
          <w:szCs w:val="24"/>
        </w:rPr>
        <w:t xml:space="preserve">a </w:t>
      </w:r>
      <w:r w:rsidR="002E1176" w:rsidRPr="00A02043">
        <w:rPr>
          <w:rFonts w:ascii="Arial" w:hAnsi="Arial" w:cs="Arial"/>
          <w:szCs w:val="24"/>
        </w:rPr>
        <w:t xml:space="preserve">sus posibles beneficiarios les fuera reconocida la pensión de sobrevivientes? </w:t>
      </w:r>
    </w:p>
    <w:p w:rsidR="00FA75E6" w:rsidRDefault="00FA75E6" w:rsidP="00695334">
      <w:pPr>
        <w:spacing w:line="276" w:lineRule="auto"/>
        <w:jc w:val="both"/>
        <w:rPr>
          <w:rFonts w:ascii="Arial" w:hAnsi="Arial" w:cs="Arial"/>
          <w:szCs w:val="24"/>
        </w:rPr>
      </w:pPr>
    </w:p>
    <w:p w:rsidR="00FA75E6" w:rsidRPr="00A02043" w:rsidRDefault="00FA75E6" w:rsidP="00FA75E6">
      <w:pPr>
        <w:spacing w:line="276" w:lineRule="auto"/>
        <w:jc w:val="both"/>
        <w:rPr>
          <w:rFonts w:ascii="Arial" w:hAnsi="Arial" w:cs="Arial"/>
          <w:szCs w:val="24"/>
        </w:rPr>
      </w:pPr>
      <w:r w:rsidRPr="00A02043">
        <w:rPr>
          <w:rFonts w:ascii="Arial" w:hAnsi="Arial" w:cs="Arial"/>
          <w:szCs w:val="24"/>
        </w:rPr>
        <w:t>1.</w:t>
      </w:r>
      <w:r>
        <w:rPr>
          <w:rFonts w:ascii="Arial" w:hAnsi="Arial" w:cs="Arial"/>
          <w:szCs w:val="24"/>
        </w:rPr>
        <w:t>3</w:t>
      </w:r>
      <w:r w:rsidRPr="00A02043">
        <w:rPr>
          <w:rFonts w:ascii="Arial" w:hAnsi="Arial" w:cs="Arial"/>
          <w:szCs w:val="24"/>
        </w:rPr>
        <w:t>. En caso positivo, ¿</w:t>
      </w:r>
      <w:r>
        <w:rPr>
          <w:rFonts w:ascii="Arial" w:hAnsi="Arial" w:cs="Arial"/>
          <w:szCs w:val="24"/>
        </w:rPr>
        <w:t xml:space="preserve">La señora Gloria </w:t>
      </w:r>
      <w:proofErr w:type="spellStart"/>
      <w:r>
        <w:rPr>
          <w:rFonts w:ascii="Arial" w:hAnsi="Arial" w:cs="Arial"/>
          <w:szCs w:val="24"/>
        </w:rPr>
        <w:t>Eucaris</w:t>
      </w:r>
      <w:proofErr w:type="spellEnd"/>
      <w:r>
        <w:rPr>
          <w:rFonts w:ascii="Arial" w:hAnsi="Arial" w:cs="Arial"/>
          <w:szCs w:val="24"/>
        </w:rPr>
        <w:t xml:space="preserve"> Sánchez Castro </w:t>
      </w:r>
      <w:r w:rsidRPr="00A02043">
        <w:rPr>
          <w:rFonts w:ascii="Arial" w:hAnsi="Arial" w:cs="Arial"/>
          <w:szCs w:val="24"/>
        </w:rPr>
        <w:t xml:space="preserve">logró acreditar </w:t>
      </w:r>
      <w:r>
        <w:rPr>
          <w:rFonts w:ascii="Arial" w:hAnsi="Arial" w:cs="Arial"/>
          <w:szCs w:val="24"/>
        </w:rPr>
        <w:t>la calidad de</w:t>
      </w:r>
      <w:r w:rsidRPr="00A02043">
        <w:rPr>
          <w:rFonts w:ascii="Arial" w:hAnsi="Arial" w:cs="Arial"/>
          <w:szCs w:val="24"/>
        </w:rPr>
        <w:t xml:space="preserve"> beneficiari</w:t>
      </w:r>
      <w:r>
        <w:rPr>
          <w:rFonts w:ascii="Arial" w:hAnsi="Arial" w:cs="Arial"/>
          <w:szCs w:val="24"/>
        </w:rPr>
        <w:t>a</w:t>
      </w:r>
      <w:r w:rsidRPr="00A02043">
        <w:rPr>
          <w:rFonts w:ascii="Arial" w:hAnsi="Arial" w:cs="Arial"/>
          <w:szCs w:val="24"/>
        </w:rPr>
        <w:t xml:space="preserve"> de la pensión de sobrevivientes causada con el deceso de su cónyuge?</w:t>
      </w:r>
    </w:p>
    <w:p w:rsidR="00FA75E6" w:rsidRPr="00A02043" w:rsidRDefault="00FA75E6" w:rsidP="00FA75E6">
      <w:pPr>
        <w:spacing w:line="276" w:lineRule="auto"/>
        <w:jc w:val="both"/>
        <w:rPr>
          <w:rFonts w:ascii="Arial" w:hAnsi="Arial" w:cs="Arial"/>
          <w:szCs w:val="24"/>
        </w:rPr>
      </w:pPr>
    </w:p>
    <w:p w:rsidR="00FA75E6" w:rsidRDefault="00FA75E6" w:rsidP="00FA75E6">
      <w:pPr>
        <w:spacing w:line="276" w:lineRule="auto"/>
        <w:jc w:val="both"/>
        <w:rPr>
          <w:rFonts w:ascii="Arial" w:eastAsia="MS Mincho" w:hAnsi="Arial" w:cs="Arial"/>
          <w:szCs w:val="24"/>
        </w:rPr>
      </w:pPr>
      <w:r>
        <w:rPr>
          <w:rFonts w:ascii="Arial" w:eastAsia="MS Mincho" w:hAnsi="Arial" w:cs="Arial"/>
          <w:szCs w:val="24"/>
        </w:rPr>
        <w:t xml:space="preserve">1.4. </w:t>
      </w:r>
      <w:r w:rsidR="00186C09">
        <w:rPr>
          <w:rFonts w:ascii="Arial" w:eastAsia="MS Mincho" w:hAnsi="Arial" w:cs="Arial"/>
          <w:szCs w:val="24"/>
        </w:rPr>
        <w:t xml:space="preserve">¿Proceden los intereses moratorios </w:t>
      </w:r>
      <w:r>
        <w:rPr>
          <w:rFonts w:ascii="Arial" w:eastAsia="MS Mincho" w:hAnsi="Arial" w:cs="Arial"/>
          <w:szCs w:val="24"/>
        </w:rPr>
        <w:t>previstos en el artículo 141 de la Ley 100 de 1993</w:t>
      </w:r>
      <w:r w:rsidR="00186C09">
        <w:rPr>
          <w:rFonts w:ascii="Arial" w:eastAsia="MS Mincho" w:hAnsi="Arial" w:cs="Arial"/>
          <w:szCs w:val="24"/>
        </w:rPr>
        <w:t xml:space="preserve"> y, en caso positivo, a partir de cuándo</w:t>
      </w:r>
      <w:r>
        <w:rPr>
          <w:rFonts w:ascii="Arial" w:eastAsia="MS Mincho" w:hAnsi="Arial" w:cs="Arial"/>
          <w:szCs w:val="24"/>
        </w:rPr>
        <w:t>?</w:t>
      </w:r>
    </w:p>
    <w:p w:rsidR="00FA75E6" w:rsidRPr="00A02043" w:rsidRDefault="00FA75E6" w:rsidP="00695334">
      <w:pPr>
        <w:spacing w:line="276" w:lineRule="auto"/>
        <w:jc w:val="both"/>
        <w:rPr>
          <w:rFonts w:ascii="Arial" w:hAnsi="Arial" w:cs="Arial"/>
          <w:szCs w:val="24"/>
        </w:rPr>
      </w:pPr>
    </w:p>
    <w:p w:rsidR="00695334" w:rsidRPr="00A02043" w:rsidRDefault="00695334" w:rsidP="00695334">
      <w:pPr>
        <w:pStyle w:val="Textoindependiente"/>
        <w:spacing w:line="276" w:lineRule="auto"/>
        <w:contextualSpacing/>
        <w:rPr>
          <w:b/>
          <w:iCs/>
          <w:szCs w:val="24"/>
        </w:rPr>
      </w:pPr>
      <w:r w:rsidRPr="00A02043">
        <w:rPr>
          <w:b/>
          <w:iCs/>
          <w:szCs w:val="24"/>
        </w:rPr>
        <w:t xml:space="preserve">2. Solución a los problemas jurídicos </w:t>
      </w:r>
    </w:p>
    <w:p w:rsidR="00695334" w:rsidRPr="00A02043" w:rsidRDefault="00695334" w:rsidP="00695334">
      <w:pPr>
        <w:pStyle w:val="Textoindependiente"/>
        <w:spacing w:line="276" w:lineRule="auto"/>
        <w:ind w:left="390"/>
        <w:contextualSpacing/>
        <w:rPr>
          <w:b/>
          <w:iCs/>
          <w:szCs w:val="24"/>
        </w:rPr>
      </w:pPr>
    </w:p>
    <w:p w:rsidR="00695334" w:rsidRPr="00A02043" w:rsidRDefault="00695334" w:rsidP="00695334">
      <w:pPr>
        <w:pStyle w:val="Textoindependiente"/>
        <w:spacing w:line="276" w:lineRule="auto"/>
        <w:contextualSpacing/>
        <w:rPr>
          <w:iCs/>
          <w:szCs w:val="24"/>
        </w:rPr>
      </w:pPr>
      <w:r w:rsidRPr="00A02043">
        <w:rPr>
          <w:iCs/>
          <w:szCs w:val="24"/>
        </w:rPr>
        <w:t>Con el propósito de dar solución a los anteriores interrogantes, se considera necesario precisar, los siguientes aspectos:</w:t>
      </w:r>
    </w:p>
    <w:p w:rsidR="00695334" w:rsidRPr="00A02043" w:rsidRDefault="00695334" w:rsidP="00695334">
      <w:pPr>
        <w:pStyle w:val="Textoindependiente"/>
        <w:spacing w:line="276" w:lineRule="auto"/>
        <w:contextualSpacing/>
        <w:rPr>
          <w:iCs/>
          <w:szCs w:val="24"/>
        </w:rPr>
      </w:pPr>
    </w:p>
    <w:p w:rsidR="001F6B88" w:rsidRPr="0000603E" w:rsidRDefault="001F6B88" w:rsidP="001F6B88">
      <w:pPr>
        <w:pStyle w:val="Textoindependiente"/>
        <w:contextualSpacing/>
        <w:rPr>
          <w:b/>
          <w:color w:val="000000"/>
          <w:szCs w:val="24"/>
          <w:shd w:val="clear" w:color="auto" w:fill="FFFFFF"/>
          <w:lang w:val="es-ES"/>
        </w:rPr>
      </w:pPr>
      <w:r w:rsidRPr="0000603E">
        <w:rPr>
          <w:b/>
          <w:color w:val="000000"/>
          <w:szCs w:val="24"/>
          <w:shd w:val="clear" w:color="auto" w:fill="FFFFFF"/>
          <w:lang w:val="es-ES"/>
        </w:rPr>
        <w:t>2.1. De la pensión de sobrevivientes</w:t>
      </w:r>
    </w:p>
    <w:p w:rsidR="001F6B88" w:rsidRPr="0000603E" w:rsidRDefault="001F6B88" w:rsidP="001F6B88">
      <w:pPr>
        <w:pStyle w:val="Textoindependiente"/>
        <w:contextualSpacing/>
        <w:rPr>
          <w:b/>
          <w:color w:val="000000"/>
          <w:szCs w:val="24"/>
          <w:shd w:val="clear" w:color="auto" w:fill="FFFFFF"/>
          <w:lang w:val="es-ES"/>
        </w:rPr>
      </w:pPr>
    </w:p>
    <w:p w:rsidR="001F6B88" w:rsidRPr="0000603E" w:rsidRDefault="001F6B88" w:rsidP="001F6B88">
      <w:pPr>
        <w:spacing w:line="276" w:lineRule="auto"/>
        <w:jc w:val="both"/>
        <w:rPr>
          <w:rFonts w:ascii="Arial" w:hAnsi="Arial"/>
          <w:szCs w:val="24"/>
        </w:rPr>
      </w:pPr>
      <w:r w:rsidRPr="0000603E">
        <w:rPr>
          <w:rFonts w:ascii="Arial" w:hAnsi="Arial"/>
          <w:szCs w:val="24"/>
        </w:rPr>
        <w:t xml:space="preserve">Ahora bien, dentro del presente proceso no se encuentran en discusión los siguientes aspectos: i) </w:t>
      </w:r>
      <w:r w:rsidR="00B60E4D">
        <w:rPr>
          <w:rFonts w:ascii="Arial" w:hAnsi="Arial"/>
          <w:szCs w:val="24"/>
        </w:rPr>
        <w:t>el fallecimiento d</w:t>
      </w:r>
      <w:r w:rsidRPr="0000603E">
        <w:rPr>
          <w:rFonts w:ascii="Arial" w:hAnsi="Arial"/>
          <w:szCs w:val="24"/>
        </w:rPr>
        <w:t xml:space="preserve">el señor </w:t>
      </w:r>
      <w:r w:rsidR="00B60E4D">
        <w:rPr>
          <w:rFonts w:ascii="Arial" w:hAnsi="Arial"/>
          <w:szCs w:val="24"/>
        </w:rPr>
        <w:t>Eduardo Antonio Gallego García</w:t>
      </w:r>
      <w:r w:rsidRPr="0000603E">
        <w:rPr>
          <w:rFonts w:ascii="Arial" w:hAnsi="Arial"/>
          <w:szCs w:val="24"/>
        </w:rPr>
        <w:t xml:space="preserve">, conforme se desprende del certificado de defunción expedido por </w:t>
      </w:r>
      <w:r w:rsidR="00B60E4D">
        <w:rPr>
          <w:rFonts w:ascii="Arial" w:hAnsi="Arial"/>
          <w:szCs w:val="24"/>
        </w:rPr>
        <w:t>la Notaría Única de Betania (Antioquia</w:t>
      </w:r>
      <w:proofErr w:type="gramStart"/>
      <w:r w:rsidR="00B60E4D">
        <w:rPr>
          <w:rFonts w:ascii="Arial" w:hAnsi="Arial"/>
          <w:szCs w:val="24"/>
        </w:rPr>
        <w:t>)</w:t>
      </w:r>
      <w:r w:rsidRPr="0000603E">
        <w:rPr>
          <w:rFonts w:ascii="Arial" w:hAnsi="Arial"/>
          <w:szCs w:val="24"/>
        </w:rPr>
        <w:t>–</w:t>
      </w:r>
      <w:proofErr w:type="gramEnd"/>
      <w:r w:rsidRPr="0000603E">
        <w:rPr>
          <w:rFonts w:ascii="Arial" w:hAnsi="Arial"/>
          <w:szCs w:val="24"/>
        </w:rPr>
        <w:t xml:space="preserve">fl.11 cd. 1-, </w:t>
      </w:r>
      <w:r w:rsidR="00B60E4D">
        <w:rPr>
          <w:rFonts w:ascii="Arial" w:hAnsi="Arial"/>
          <w:szCs w:val="24"/>
        </w:rPr>
        <w:t>ocurrió el 25/04/1996; ii</w:t>
      </w:r>
      <w:r w:rsidRPr="0000603E">
        <w:rPr>
          <w:rFonts w:ascii="Arial" w:hAnsi="Arial"/>
          <w:szCs w:val="24"/>
        </w:rPr>
        <w:t>)</w:t>
      </w:r>
      <w:r w:rsidR="004849E9">
        <w:rPr>
          <w:rFonts w:ascii="Arial" w:hAnsi="Arial"/>
          <w:szCs w:val="24"/>
        </w:rPr>
        <w:t xml:space="preserve">; </w:t>
      </w:r>
      <w:r w:rsidR="00B60E4D">
        <w:rPr>
          <w:rFonts w:ascii="Arial" w:hAnsi="Arial"/>
          <w:szCs w:val="24"/>
        </w:rPr>
        <w:t xml:space="preserve">la actora y el señor Gallego García procrearon dos hijos, Sebastián y Carolina, que nacieron el 14 de febrero de 1987 y el 28 de agosto de 1989, </w:t>
      </w:r>
      <w:r w:rsidR="004849E9">
        <w:rPr>
          <w:rFonts w:ascii="Arial" w:hAnsi="Arial"/>
          <w:szCs w:val="24"/>
        </w:rPr>
        <w:t>respectivamente; (iii) el causante laboró en el Banco Cafetero en Liquidación, en el periodo comprendido entre el 09/08/1976 y el 15/01/1987,</w:t>
      </w:r>
      <w:r w:rsidR="00FD2EF2">
        <w:rPr>
          <w:rFonts w:ascii="Arial" w:hAnsi="Arial"/>
          <w:szCs w:val="24"/>
        </w:rPr>
        <w:t xml:space="preserve"> </w:t>
      </w:r>
      <w:r w:rsidR="004849E9">
        <w:rPr>
          <w:rFonts w:ascii="Arial" w:hAnsi="Arial"/>
          <w:szCs w:val="24"/>
        </w:rPr>
        <w:t>–</w:t>
      </w:r>
      <w:proofErr w:type="spellStart"/>
      <w:r w:rsidR="004849E9">
        <w:rPr>
          <w:rFonts w:ascii="Arial" w:hAnsi="Arial"/>
          <w:szCs w:val="24"/>
        </w:rPr>
        <w:t>fls</w:t>
      </w:r>
      <w:proofErr w:type="spellEnd"/>
      <w:r w:rsidR="004849E9">
        <w:rPr>
          <w:rFonts w:ascii="Arial" w:hAnsi="Arial"/>
          <w:szCs w:val="24"/>
        </w:rPr>
        <w:t xml:space="preserve">. 27 a </w:t>
      </w:r>
      <w:r w:rsidR="00F761FA">
        <w:rPr>
          <w:rFonts w:ascii="Arial" w:hAnsi="Arial"/>
          <w:szCs w:val="24"/>
        </w:rPr>
        <w:t>32 del cd.1-</w:t>
      </w:r>
      <w:r w:rsidR="004849E9">
        <w:rPr>
          <w:rFonts w:ascii="Arial" w:hAnsi="Arial"/>
          <w:szCs w:val="24"/>
        </w:rPr>
        <w:t xml:space="preserve">; (iv) ante el ISS –hoy Colpensiones- el causante cotizó un total de 275,5714 semanas </w:t>
      </w:r>
      <w:r w:rsidR="00F761FA">
        <w:rPr>
          <w:rFonts w:ascii="Arial" w:hAnsi="Arial"/>
          <w:szCs w:val="24"/>
        </w:rPr>
        <w:t>–</w:t>
      </w:r>
      <w:proofErr w:type="spellStart"/>
      <w:r w:rsidR="00F761FA">
        <w:rPr>
          <w:rFonts w:ascii="Arial" w:hAnsi="Arial"/>
          <w:szCs w:val="24"/>
        </w:rPr>
        <w:t>fl</w:t>
      </w:r>
      <w:proofErr w:type="spellEnd"/>
      <w:r w:rsidR="00F761FA">
        <w:rPr>
          <w:rFonts w:ascii="Arial" w:hAnsi="Arial"/>
          <w:szCs w:val="24"/>
        </w:rPr>
        <w:t xml:space="preserve">. 78 y 79 cd. 1- </w:t>
      </w:r>
      <w:r w:rsidR="004849E9">
        <w:rPr>
          <w:rFonts w:ascii="Arial" w:hAnsi="Arial"/>
          <w:szCs w:val="24"/>
        </w:rPr>
        <w:t>y; (v)  la Administradora Colombiana de Pensiones -Colpensiones</w:t>
      </w:r>
      <w:r w:rsidRPr="0000603E">
        <w:rPr>
          <w:rFonts w:ascii="Arial" w:hAnsi="Arial"/>
          <w:szCs w:val="24"/>
        </w:rPr>
        <w:t xml:space="preserve">-, a través de la </w:t>
      </w:r>
      <w:r w:rsidRPr="0000603E">
        <w:rPr>
          <w:rFonts w:ascii="Arial" w:hAnsi="Arial"/>
          <w:szCs w:val="24"/>
        </w:rPr>
        <w:lastRenderedPageBreak/>
        <w:t xml:space="preserve">Resolución N° </w:t>
      </w:r>
      <w:r w:rsidR="004849E9">
        <w:rPr>
          <w:rFonts w:ascii="Arial" w:hAnsi="Arial"/>
          <w:szCs w:val="24"/>
        </w:rPr>
        <w:t>GNR 137960 de 2013</w:t>
      </w:r>
      <w:r w:rsidRPr="0000603E">
        <w:rPr>
          <w:rFonts w:ascii="Arial" w:hAnsi="Arial"/>
          <w:szCs w:val="24"/>
        </w:rPr>
        <w:t xml:space="preserve">, le </w:t>
      </w:r>
      <w:r w:rsidR="004849E9">
        <w:rPr>
          <w:rFonts w:ascii="Arial" w:hAnsi="Arial"/>
          <w:szCs w:val="24"/>
        </w:rPr>
        <w:t xml:space="preserve">negó a la actora el reconocimiento de la pensión de sobrevivientes </w:t>
      </w:r>
      <w:r w:rsidR="00F761FA">
        <w:rPr>
          <w:rFonts w:ascii="Arial" w:hAnsi="Arial"/>
          <w:szCs w:val="24"/>
        </w:rPr>
        <w:t>–</w:t>
      </w:r>
      <w:proofErr w:type="spellStart"/>
      <w:r w:rsidR="00F761FA">
        <w:rPr>
          <w:rFonts w:ascii="Arial" w:hAnsi="Arial"/>
          <w:szCs w:val="24"/>
        </w:rPr>
        <w:t>fl</w:t>
      </w:r>
      <w:proofErr w:type="spellEnd"/>
      <w:r w:rsidR="00F761FA">
        <w:rPr>
          <w:rFonts w:ascii="Arial" w:hAnsi="Arial"/>
          <w:szCs w:val="24"/>
        </w:rPr>
        <w:t>. 34 y s.s. del cd. 1-</w:t>
      </w:r>
    </w:p>
    <w:p w:rsidR="001F6B88" w:rsidRPr="0000603E" w:rsidRDefault="001F6B88" w:rsidP="001F6B88">
      <w:pPr>
        <w:pStyle w:val="Textoindependiente"/>
        <w:ind w:firstLine="708"/>
        <w:contextualSpacing/>
        <w:rPr>
          <w:b/>
          <w:color w:val="000000"/>
          <w:szCs w:val="24"/>
          <w:shd w:val="clear" w:color="auto" w:fill="FFFFFF"/>
          <w:lang w:val="es-ES"/>
        </w:rPr>
      </w:pPr>
    </w:p>
    <w:p w:rsidR="001F6B88" w:rsidRPr="0000603E" w:rsidRDefault="001F6B88" w:rsidP="001F6B88">
      <w:pPr>
        <w:pStyle w:val="Textoindependiente"/>
        <w:contextualSpacing/>
        <w:rPr>
          <w:b/>
          <w:color w:val="000000"/>
          <w:szCs w:val="24"/>
          <w:shd w:val="clear" w:color="auto" w:fill="FFFFFF"/>
          <w:lang w:val="es-ES"/>
        </w:rPr>
      </w:pPr>
      <w:r w:rsidRPr="007821FC">
        <w:rPr>
          <w:b/>
          <w:color w:val="000000"/>
          <w:szCs w:val="24"/>
          <w:shd w:val="clear" w:color="auto" w:fill="FFFFFF"/>
          <w:lang w:val="es-ES"/>
        </w:rPr>
        <w:t>2.1.1. Fundamento jurídico</w:t>
      </w:r>
    </w:p>
    <w:p w:rsidR="001F6B88" w:rsidRPr="0000603E" w:rsidRDefault="001F6B88" w:rsidP="001F6B88">
      <w:pPr>
        <w:pStyle w:val="Textoindependiente"/>
        <w:ind w:left="2988"/>
        <w:contextualSpacing/>
        <w:rPr>
          <w:color w:val="000000"/>
          <w:szCs w:val="24"/>
          <w:shd w:val="clear" w:color="auto" w:fill="FFFFFF"/>
          <w:lang w:val="es-ES"/>
        </w:rPr>
      </w:pPr>
    </w:p>
    <w:p w:rsidR="001F6B88" w:rsidRDefault="001F6B88" w:rsidP="001F6B88">
      <w:pPr>
        <w:autoSpaceDE w:val="0"/>
        <w:autoSpaceDN w:val="0"/>
        <w:adjustRightInd w:val="0"/>
        <w:spacing w:line="276" w:lineRule="auto"/>
        <w:jc w:val="both"/>
        <w:rPr>
          <w:rFonts w:ascii="Arial" w:hAnsi="Arial" w:cs="Arial"/>
          <w:szCs w:val="24"/>
        </w:rPr>
      </w:pPr>
      <w:r w:rsidRPr="0000603E">
        <w:rPr>
          <w:rFonts w:ascii="Zurich Ex BT" w:hAnsi="Zurich Ex BT" w:cs="Tahoma"/>
          <w:bCs/>
          <w:szCs w:val="24"/>
        </w:rPr>
        <w:t>Al tenor del artículo 46</w:t>
      </w:r>
      <w:r w:rsidRPr="0000603E">
        <w:rPr>
          <w:rFonts w:ascii="Arial" w:hAnsi="Arial" w:cs="Arial"/>
          <w:szCs w:val="24"/>
        </w:rPr>
        <w:t xml:space="preserve"> de la Ley 100 de 1993</w:t>
      </w:r>
      <w:r w:rsidRPr="0000603E">
        <w:rPr>
          <w:rFonts w:ascii="Arial Narrow" w:hAnsi="Arial Narrow" w:cs="Arial"/>
          <w:sz w:val="28"/>
          <w:szCs w:val="28"/>
        </w:rPr>
        <w:t xml:space="preserve"> </w:t>
      </w:r>
      <w:r w:rsidRPr="0000603E">
        <w:rPr>
          <w:rFonts w:ascii="Arial" w:hAnsi="Arial" w:cs="Arial"/>
          <w:szCs w:val="28"/>
        </w:rPr>
        <w:t>en su versión original</w:t>
      </w:r>
      <w:r w:rsidRPr="0000603E">
        <w:rPr>
          <w:rFonts w:ascii="Zurich Ex BT" w:hAnsi="Zurich Ex BT" w:cs="Tahoma"/>
          <w:bCs/>
          <w:szCs w:val="24"/>
        </w:rPr>
        <w:t xml:space="preserve">, </w:t>
      </w:r>
      <w:r w:rsidRPr="0000603E">
        <w:rPr>
          <w:rFonts w:ascii="Arial" w:hAnsi="Arial" w:cs="Arial"/>
          <w:szCs w:val="24"/>
        </w:rPr>
        <w:t>teniendo en cuenta la fecha del fallecimient</w:t>
      </w:r>
      <w:r>
        <w:rPr>
          <w:rFonts w:ascii="Arial" w:hAnsi="Arial" w:cs="Arial"/>
          <w:szCs w:val="24"/>
        </w:rPr>
        <w:t xml:space="preserve">o del señor </w:t>
      </w:r>
      <w:r w:rsidR="007821FC">
        <w:rPr>
          <w:rFonts w:ascii="Arial" w:hAnsi="Arial" w:cs="Arial"/>
          <w:szCs w:val="24"/>
        </w:rPr>
        <w:t xml:space="preserve">Gallego García </w:t>
      </w:r>
      <w:r>
        <w:rPr>
          <w:rFonts w:ascii="Arial" w:hAnsi="Arial" w:cs="Arial"/>
          <w:szCs w:val="24"/>
        </w:rPr>
        <w:t>(</w:t>
      </w:r>
      <w:r w:rsidR="007821FC">
        <w:rPr>
          <w:rFonts w:ascii="Arial" w:hAnsi="Arial" w:cs="Arial"/>
          <w:szCs w:val="24"/>
        </w:rPr>
        <w:t>25-04-1996</w:t>
      </w:r>
      <w:r w:rsidRPr="0000603E">
        <w:rPr>
          <w:rFonts w:ascii="Arial" w:hAnsi="Arial" w:cs="Arial"/>
          <w:szCs w:val="24"/>
        </w:rPr>
        <w:t>), se requería para los afiliados al sistema de seguridad social, haber cotizado 26 semanas al momento de la muerte o habiendo dejado de cotizar hubiere efectuado aportes durante por lo menos 26 semanas del año inmediatamente anterior al momento en que se produzca la muerte.</w:t>
      </w:r>
    </w:p>
    <w:p w:rsidR="006F0081" w:rsidRPr="0000603E" w:rsidRDefault="006F0081" w:rsidP="001F6B88">
      <w:pPr>
        <w:autoSpaceDE w:val="0"/>
        <w:autoSpaceDN w:val="0"/>
        <w:adjustRightInd w:val="0"/>
        <w:spacing w:line="276" w:lineRule="auto"/>
        <w:jc w:val="both"/>
        <w:rPr>
          <w:rFonts w:ascii="Arial" w:hAnsi="Arial" w:cs="Arial"/>
          <w:szCs w:val="24"/>
        </w:rPr>
      </w:pPr>
    </w:p>
    <w:p w:rsidR="001F6B88" w:rsidRPr="0000603E" w:rsidRDefault="001F6B88" w:rsidP="001F6B88">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Adicional a lo dicho y conforme al artículo 47 </w:t>
      </w:r>
      <w:r w:rsidRPr="0000603E">
        <w:rPr>
          <w:rFonts w:ascii="Arial" w:hAnsi="Arial" w:cs="Arial"/>
          <w:i/>
          <w:szCs w:val="24"/>
        </w:rPr>
        <w:t>ibídem</w:t>
      </w:r>
      <w:r w:rsidRPr="0000603E">
        <w:rPr>
          <w:rFonts w:ascii="Arial" w:hAnsi="Arial" w:cs="Arial"/>
          <w:szCs w:val="24"/>
        </w:rPr>
        <w:t>, para quien reclame la prestación en calidad de cónyuge o compañera supérstite, se requiere acreditar una convivencia con el causante por espacio de 2 años continuos con anterioridad al deceso, salvo que haya procreado uno o más hijos con el pensionado fallecido.</w:t>
      </w:r>
    </w:p>
    <w:p w:rsidR="001F6B88" w:rsidRPr="0000603E" w:rsidRDefault="001F6B88" w:rsidP="001F6B88">
      <w:pPr>
        <w:autoSpaceDE w:val="0"/>
        <w:autoSpaceDN w:val="0"/>
        <w:adjustRightInd w:val="0"/>
        <w:spacing w:line="276" w:lineRule="auto"/>
        <w:jc w:val="both"/>
        <w:rPr>
          <w:rFonts w:ascii="Arial" w:hAnsi="Arial" w:cs="Arial"/>
          <w:szCs w:val="24"/>
        </w:rPr>
      </w:pPr>
    </w:p>
    <w:p w:rsidR="001F6B88" w:rsidRPr="0000603E" w:rsidRDefault="001F6B88" w:rsidP="001F6B88">
      <w:pPr>
        <w:autoSpaceDE w:val="0"/>
        <w:autoSpaceDN w:val="0"/>
        <w:adjustRightInd w:val="0"/>
        <w:spacing w:line="276" w:lineRule="auto"/>
        <w:jc w:val="both"/>
        <w:rPr>
          <w:rFonts w:ascii="Arial" w:hAnsi="Arial" w:cs="Arial"/>
          <w:szCs w:val="24"/>
        </w:rPr>
      </w:pPr>
      <w:r w:rsidRPr="0000603E">
        <w:rPr>
          <w:rFonts w:ascii="Arial" w:hAnsi="Arial" w:cs="Arial"/>
          <w:szCs w:val="24"/>
        </w:rPr>
        <w:t>Por su parte el Acuerdo 049 de 1990 aprobado por el Decreto 758 de 1990, en el artículo 25 se dispone que cuando la muerte del asegurado sea de origen no profesional, habrá derecho a pensión de sobrevivientes, entre otros, cuando a la fecha del fallecimiento, el asegurado haya reunido el número y densidad de cotizaciones que se exigen para adquirir el derecho a la pensión de invalidez por riesgo común, esto es, según el artículo 6, haber cotizado para el seguro de invalidez, vejez y muerte, ciento cincuenta (150) semanas dentro de los seis (6) años anteriores a la fecha del estado de invalidez</w:t>
      </w:r>
      <w:r w:rsidR="00DE2D85">
        <w:rPr>
          <w:rFonts w:ascii="Arial" w:hAnsi="Arial" w:cs="Arial"/>
          <w:szCs w:val="24"/>
        </w:rPr>
        <w:t xml:space="preserve"> o en este caso muerte</w:t>
      </w:r>
      <w:r w:rsidRPr="0000603E">
        <w:rPr>
          <w:rFonts w:ascii="Arial" w:hAnsi="Arial" w:cs="Arial"/>
          <w:szCs w:val="24"/>
        </w:rPr>
        <w:t xml:space="preserve">, o trescientas (300) semanas, en cualquier época, con anterioridad al </w:t>
      </w:r>
      <w:r>
        <w:rPr>
          <w:rFonts w:ascii="Arial" w:hAnsi="Arial" w:cs="Arial"/>
          <w:szCs w:val="24"/>
        </w:rPr>
        <w:t>mismo</w:t>
      </w:r>
      <w:r w:rsidRPr="0000603E">
        <w:rPr>
          <w:rFonts w:ascii="Arial" w:hAnsi="Arial" w:cs="Arial"/>
          <w:szCs w:val="24"/>
        </w:rPr>
        <w:t>.</w:t>
      </w:r>
    </w:p>
    <w:p w:rsidR="001F6B88" w:rsidRPr="0000603E" w:rsidRDefault="001F6B88" w:rsidP="001F6B88">
      <w:pPr>
        <w:autoSpaceDE w:val="0"/>
        <w:autoSpaceDN w:val="0"/>
        <w:adjustRightInd w:val="0"/>
        <w:spacing w:line="276" w:lineRule="auto"/>
        <w:jc w:val="both"/>
        <w:rPr>
          <w:rFonts w:ascii="Arial" w:hAnsi="Arial" w:cs="Arial"/>
          <w:szCs w:val="24"/>
        </w:rPr>
      </w:pPr>
    </w:p>
    <w:p w:rsidR="001F6B88" w:rsidRPr="0000603E" w:rsidRDefault="001F6B88" w:rsidP="001F6B88">
      <w:pPr>
        <w:autoSpaceDE w:val="0"/>
        <w:autoSpaceDN w:val="0"/>
        <w:adjustRightInd w:val="0"/>
        <w:spacing w:line="276" w:lineRule="auto"/>
        <w:jc w:val="both"/>
        <w:rPr>
          <w:rFonts w:ascii="Arial" w:hAnsi="Arial" w:cs="Arial"/>
          <w:szCs w:val="24"/>
        </w:rPr>
      </w:pPr>
      <w:r w:rsidRPr="0000603E">
        <w:rPr>
          <w:rFonts w:ascii="Arial" w:hAnsi="Arial" w:cs="Arial"/>
          <w:szCs w:val="24"/>
        </w:rPr>
        <w:t>Al respecto, la Sala de Casación Laboral de la Corte Suprema de Justicia, ha manifestado que para la aplicación del Acuerdo 049 de 1990, en virtud del principio de la condición más beneficiosa, deben cumplirse las 300 semanas en cualquier tiempo o</w:t>
      </w:r>
      <w:r w:rsidR="00DE2D85">
        <w:rPr>
          <w:rFonts w:ascii="Arial" w:hAnsi="Arial" w:cs="Arial"/>
          <w:szCs w:val="24"/>
        </w:rPr>
        <w:t>;</w:t>
      </w:r>
      <w:r w:rsidRPr="0000603E">
        <w:rPr>
          <w:rFonts w:ascii="Arial" w:hAnsi="Arial" w:cs="Arial"/>
          <w:szCs w:val="24"/>
        </w:rPr>
        <w:t xml:space="preserve"> si se trata de la segunda posibilidad, esto es, 150 semanas en los últimos 6 años, la densidad de semanas que deben acreditarse son 150 en los 6 años previos a la entrada en vigencia de la Ley 100 de 1993 – 01/04/1988 y 31/03/1994- y </w:t>
      </w:r>
      <w:r w:rsidR="00DE2D85">
        <w:rPr>
          <w:rFonts w:ascii="Arial" w:hAnsi="Arial" w:cs="Arial"/>
          <w:szCs w:val="24"/>
        </w:rPr>
        <w:t xml:space="preserve">además </w:t>
      </w:r>
      <w:r w:rsidRPr="0000603E">
        <w:rPr>
          <w:rFonts w:ascii="Arial" w:hAnsi="Arial" w:cs="Arial"/>
          <w:szCs w:val="24"/>
        </w:rPr>
        <w:t>150 dentro de los 6 años anteriores al deceso siempre y cuando este ocurriere antes del 1° de abril de 2000, tal y como se extrae del siguiente aparte</w:t>
      </w:r>
      <w:r w:rsidRPr="0000603E">
        <w:rPr>
          <w:rStyle w:val="Refdenotaalpie"/>
          <w:rFonts w:ascii="Arial" w:hAnsi="Arial" w:cs="Arial"/>
          <w:szCs w:val="24"/>
        </w:rPr>
        <w:footnoteReference w:id="2"/>
      </w:r>
      <w:r w:rsidRPr="0000603E">
        <w:rPr>
          <w:rFonts w:ascii="Arial" w:hAnsi="Arial" w:cs="Arial"/>
          <w:szCs w:val="24"/>
        </w:rPr>
        <w:t>:</w:t>
      </w:r>
    </w:p>
    <w:p w:rsidR="001F6B88" w:rsidRPr="0000603E" w:rsidRDefault="001F6B88" w:rsidP="001F6B88">
      <w:pPr>
        <w:autoSpaceDE w:val="0"/>
        <w:autoSpaceDN w:val="0"/>
        <w:adjustRightInd w:val="0"/>
        <w:spacing w:line="276" w:lineRule="auto"/>
        <w:jc w:val="both"/>
        <w:rPr>
          <w:rFonts w:ascii="Arial" w:hAnsi="Arial" w:cs="Arial"/>
          <w:szCs w:val="24"/>
        </w:rPr>
      </w:pPr>
    </w:p>
    <w:p w:rsidR="001F6B88" w:rsidRPr="0000603E" w:rsidRDefault="001F6B88" w:rsidP="001F6B88">
      <w:pPr>
        <w:widowControl w:val="0"/>
        <w:autoSpaceDE w:val="0"/>
        <w:autoSpaceDN w:val="0"/>
        <w:adjustRightInd w:val="0"/>
        <w:ind w:left="851"/>
        <w:jc w:val="both"/>
        <w:rPr>
          <w:rFonts w:ascii="Arial" w:hAnsi="Arial" w:cs="Arial"/>
          <w:i/>
          <w:sz w:val="22"/>
          <w:szCs w:val="22"/>
        </w:rPr>
      </w:pPr>
      <w:r w:rsidRPr="0000603E">
        <w:rPr>
          <w:rFonts w:ascii="Arial" w:hAnsi="Arial" w:cs="Arial"/>
          <w:i/>
          <w:sz w:val="22"/>
          <w:szCs w:val="22"/>
        </w:rPr>
        <w:t xml:space="preserve">“Al respecto conviene agregar, en lo concerniente a las dos hipótesis que contiene la normatividad que antecede a la nueva ley de seguridad social, esto es, el literal b) del artículo 6° del Acuerdo 049 aprobado por el Decreto 758 de 1990, la Corte adicionalmente ha sostenido, que la primera, en la que se mencionan 300 semanas cotizadas en cualquier tiempo, ese número debe estar satisfecho para el momento en que comenzó a regir la Ley 100 de 1993; en cambio frente al segundo supuesto de la norma, relativo a una densidad de 150 semanas aportadas al ISS "dentro de los seis años anteriores a la muerte del afiliado", recientemente se fijó el criterio consistente en que este requisito </w:t>
      </w:r>
      <w:r w:rsidRPr="0000603E">
        <w:rPr>
          <w:rFonts w:ascii="Arial" w:hAnsi="Arial" w:cs="Arial"/>
          <w:b/>
          <w:i/>
          <w:sz w:val="22"/>
          <w:szCs w:val="22"/>
        </w:rPr>
        <w:t>para efectos de la aplicación de la condición más beneficiosa,</w:t>
      </w:r>
      <w:r w:rsidRPr="0000603E">
        <w:rPr>
          <w:rFonts w:ascii="Arial" w:hAnsi="Arial" w:cs="Arial"/>
          <w:i/>
          <w:sz w:val="22"/>
          <w:szCs w:val="22"/>
        </w:rPr>
        <w:t xml:space="preserve"> cuando el deceso acontece en imperio de la Ley 100 de 1993, se debe considerar cumplido contabilizando esos seis años pero desde el 1° de abril de 1994 hacía atrás, es decir remontándose en el tiempo hasta el 1° de abril </w:t>
      </w:r>
      <w:r w:rsidRPr="0000603E">
        <w:rPr>
          <w:rFonts w:ascii="Arial" w:hAnsi="Arial" w:cs="Arial"/>
          <w:i/>
          <w:sz w:val="22"/>
          <w:szCs w:val="22"/>
        </w:rPr>
        <w:lastRenderedPageBreak/>
        <w:t xml:space="preserve">de 1988, y además es menester que el asegurado también tenga en su haber esa misma densidad de semanas (150) en los seis años que anteceden al fallecimiento, en el entendido de que el suceso de la muerte ocurriere antes del 1° de abril de 2000, según se dejó sentado en casación del 4 de diciembre de 2006 radicado 28893 que rememoró la decisión del 26 de septiembre de igual año radicación 29042, (…)” </w:t>
      </w:r>
    </w:p>
    <w:p w:rsidR="001F6B88" w:rsidRPr="0000603E" w:rsidRDefault="001F6B88" w:rsidP="001F6B88">
      <w:pPr>
        <w:ind w:left="851"/>
        <w:jc w:val="both"/>
        <w:rPr>
          <w:rFonts w:ascii="Arial" w:hAnsi="Arial" w:cs="Arial"/>
          <w:i/>
          <w:sz w:val="22"/>
          <w:szCs w:val="22"/>
        </w:rPr>
      </w:pPr>
    </w:p>
    <w:p w:rsidR="001F6B88" w:rsidRPr="0000603E" w:rsidRDefault="001F6B88" w:rsidP="001F6B88">
      <w:pPr>
        <w:ind w:left="851"/>
        <w:jc w:val="both"/>
        <w:rPr>
          <w:rFonts w:ascii="Arial" w:hAnsi="Arial" w:cs="Arial"/>
          <w:i/>
          <w:sz w:val="22"/>
          <w:szCs w:val="22"/>
        </w:rPr>
      </w:pPr>
      <w:r w:rsidRPr="0000603E">
        <w:rPr>
          <w:rFonts w:ascii="Arial" w:hAnsi="Arial" w:cs="Arial"/>
          <w:i/>
          <w:sz w:val="22"/>
          <w:szCs w:val="22"/>
        </w:rPr>
        <w:t xml:space="preserve">La anterior doctrina ha sido reiterada en decisiones como las del 12 de abril de 2011, Rad. 41300, 13 de marzo de 2012, Rad. 45418, 17 de abril de 2012, Rad. 43716, 28 de agosto de 2012, Rad. 41816 y 30 de enero de 2013, Rad. 39012, entre muchas otras”.   </w:t>
      </w:r>
    </w:p>
    <w:p w:rsidR="001F6B88" w:rsidRPr="0000603E" w:rsidRDefault="001F6B88" w:rsidP="001F6B88">
      <w:pPr>
        <w:pStyle w:val="Yo"/>
        <w:numPr>
          <w:ilvl w:val="0"/>
          <w:numId w:val="0"/>
        </w:numPr>
        <w:spacing w:line="240" w:lineRule="auto"/>
        <w:jc w:val="both"/>
        <w:rPr>
          <w:rFonts w:ascii="Arial" w:hAnsi="Arial" w:cs="Arial"/>
          <w:b w:val="0"/>
          <w:sz w:val="22"/>
          <w:szCs w:val="22"/>
        </w:rPr>
      </w:pPr>
      <w:r w:rsidRPr="0000603E">
        <w:rPr>
          <w:rFonts w:ascii="Arial" w:hAnsi="Arial" w:cs="Arial"/>
          <w:b w:val="0"/>
          <w:sz w:val="22"/>
          <w:szCs w:val="22"/>
        </w:rPr>
        <w:t xml:space="preserve"> </w:t>
      </w:r>
    </w:p>
    <w:p w:rsidR="00880921" w:rsidRDefault="00880921" w:rsidP="00880921">
      <w:pPr>
        <w:spacing w:line="276" w:lineRule="auto"/>
        <w:jc w:val="both"/>
        <w:rPr>
          <w:rFonts w:ascii="Arial" w:hAnsi="Arial" w:cs="Arial"/>
          <w:szCs w:val="24"/>
        </w:rPr>
      </w:pPr>
      <w:r>
        <w:rPr>
          <w:rFonts w:ascii="Arial" w:hAnsi="Arial" w:cs="Arial"/>
          <w:szCs w:val="24"/>
        </w:rPr>
        <w:t>Adicional a lo anterior, el órgano de cierre de esta especialidad, ha definido que para acudir al Acuerdo 049 de 1990, el afiliado debió estarlo al ISS antes de la entrada en vigencia de la Ley 100 de 1993 y cumplir la densidad de cotizaciones, con las efectuadas exclusivamente a esa entidad, de tal modo que no permite la acumulación de aquellas efectuadas a otras cajas de previsión, tal y como se extrae de la siguiente decisión</w:t>
      </w:r>
      <w:r>
        <w:rPr>
          <w:rStyle w:val="Refdenotaalpie"/>
          <w:rFonts w:ascii="Arial" w:hAnsi="Arial" w:cs="Arial"/>
          <w:szCs w:val="24"/>
        </w:rPr>
        <w:footnoteReference w:id="3"/>
      </w:r>
      <w:r>
        <w:rPr>
          <w:rFonts w:ascii="Arial" w:hAnsi="Arial" w:cs="Arial"/>
          <w:szCs w:val="24"/>
        </w:rPr>
        <w:t>:</w:t>
      </w:r>
    </w:p>
    <w:p w:rsidR="00880921" w:rsidRPr="00DD5DC1" w:rsidRDefault="00880921" w:rsidP="00880921">
      <w:pPr>
        <w:jc w:val="both"/>
        <w:rPr>
          <w:rFonts w:ascii="Arial" w:hAnsi="Arial" w:cs="Arial"/>
          <w:i/>
          <w:sz w:val="22"/>
          <w:szCs w:val="22"/>
        </w:rPr>
      </w:pPr>
    </w:p>
    <w:p w:rsidR="00880921" w:rsidRPr="00DD5DC1" w:rsidRDefault="00880921" w:rsidP="00880921">
      <w:pPr>
        <w:overflowPunct w:val="0"/>
        <w:autoSpaceDE w:val="0"/>
        <w:autoSpaceDN w:val="0"/>
        <w:adjustRightInd w:val="0"/>
        <w:ind w:left="567"/>
        <w:jc w:val="both"/>
        <w:textAlignment w:val="baseline"/>
        <w:rPr>
          <w:rFonts w:ascii="Arial" w:eastAsia="MS Mincho" w:hAnsi="Arial" w:cs="Arial"/>
          <w:i/>
          <w:sz w:val="22"/>
          <w:szCs w:val="22"/>
          <w:lang w:val="es-CO"/>
        </w:rPr>
      </w:pPr>
      <w:r w:rsidRPr="00DD5DC1">
        <w:rPr>
          <w:rFonts w:ascii="Arial" w:eastAsia="MS Mincho" w:hAnsi="Arial" w:cs="Arial"/>
          <w:b/>
          <w:i/>
          <w:sz w:val="22"/>
          <w:szCs w:val="22"/>
          <w:lang w:val="es-CO"/>
        </w:rPr>
        <w:t>“2º) El Acuerdo 049 de 1990, aprobado por el Decreto 758 de igual año, no permite acumular tiempo servido en el sector público con semanas cotizadas en el Instituto de Seguros Sociales, para efectos de reconocer las prestaciones  allí estatuidas</w:t>
      </w:r>
      <w:r w:rsidRPr="00DD5DC1">
        <w:rPr>
          <w:rFonts w:ascii="Arial" w:eastAsia="MS Mincho" w:hAnsi="Arial" w:cs="Arial"/>
          <w:i/>
          <w:sz w:val="22"/>
          <w:szCs w:val="22"/>
          <w:lang w:val="es-CO"/>
        </w:rPr>
        <w:t xml:space="preserve">. </w:t>
      </w:r>
    </w:p>
    <w:p w:rsidR="00880921" w:rsidRPr="00DD5DC1" w:rsidRDefault="00880921" w:rsidP="00880921">
      <w:pPr>
        <w:overflowPunct w:val="0"/>
        <w:autoSpaceDE w:val="0"/>
        <w:autoSpaceDN w:val="0"/>
        <w:adjustRightInd w:val="0"/>
        <w:ind w:left="567" w:firstLine="709"/>
        <w:jc w:val="both"/>
        <w:textAlignment w:val="baseline"/>
        <w:rPr>
          <w:rFonts w:ascii="Arial" w:eastAsia="MS Mincho" w:hAnsi="Arial" w:cs="Arial"/>
          <w:i/>
          <w:sz w:val="22"/>
          <w:szCs w:val="22"/>
          <w:lang w:val="es-CO"/>
        </w:rPr>
      </w:pPr>
    </w:p>
    <w:p w:rsidR="00880921" w:rsidRPr="00DD5DC1" w:rsidRDefault="00880921" w:rsidP="00880921">
      <w:pPr>
        <w:overflowPunct w:val="0"/>
        <w:autoSpaceDE w:val="0"/>
        <w:autoSpaceDN w:val="0"/>
        <w:adjustRightInd w:val="0"/>
        <w:ind w:left="567"/>
        <w:jc w:val="both"/>
        <w:textAlignment w:val="baseline"/>
        <w:rPr>
          <w:rFonts w:ascii="Arial" w:eastAsia="MS Mincho" w:hAnsi="Arial" w:cs="Arial"/>
          <w:i/>
          <w:sz w:val="22"/>
          <w:szCs w:val="22"/>
          <w:lang w:val="es-CO"/>
        </w:rPr>
      </w:pPr>
      <w:r w:rsidRPr="00DD5DC1">
        <w:rPr>
          <w:rFonts w:ascii="Arial" w:eastAsia="MS Mincho" w:hAnsi="Arial" w:cs="Arial"/>
          <w:i/>
          <w:sz w:val="22"/>
          <w:szCs w:val="22"/>
          <w:lang w:val="es-CO"/>
        </w:rPr>
        <w:t>Al punto, la Sala en providencia del 21 de junio de 2011, radicación 37.619, en la que reiteró la del 1º de marzo de 2007, radicación 29.141, enseñó que el Acuerdo 049 de 1990, aprobado por el Decreto 758 del mismo año, consagra la obligación del Instituto de Seguros Sociales de reconocer, entre otras, la pensión de sobrevivientes, pero sobre la base de haberse sufragado las cotizaciones exclusivamente en dicha entidad, no permitiendo la sumatoria con los aportes o cotizaciones efectuados a cajas de previsión o a fondos o entidades de la seguridad social en los sectores público y privado, a excepción de la pensión por aportes, que no es la que aquí se controvierte.</w:t>
      </w:r>
      <w:r w:rsidR="00FD2EF2">
        <w:rPr>
          <w:rFonts w:ascii="Arial" w:eastAsia="MS Mincho" w:hAnsi="Arial" w:cs="Arial"/>
          <w:i/>
          <w:sz w:val="22"/>
          <w:szCs w:val="22"/>
          <w:lang w:val="es-CO"/>
        </w:rPr>
        <w:t>”</w:t>
      </w:r>
    </w:p>
    <w:p w:rsidR="00880921" w:rsidRPr="00DD5DC1" w:rsidRDefault="00880921" w:rsidP="00880921">
      <w:pPr>
        <w:overflowPunct w:val="0"/>
        <w:autoSpaceDE w:val="0"/>
        <w:autoSpaceDN w:val="0"/>
        <w:adjustRightInd w:val="0"/>
        <w:ind w:left="567" w:firstLine="709"/>
        <w:jc w:val="both"/>
        <w:textAlignment w:val="baseline"/>
        <w:rPr>
          <w:rFonts w:ascii="Arial" w:eastAsia="MS Mincho" w:hAnsi="Arial" w:cs="Arial"/>
          <w:i/>
          <w:sz w:val="22"/>
          <w:szCs w:val="22"/>
          <w:lang w:val="es-CO"/>
        </w:rPr>
      </w:pPr>
    </w:p>
    <w:p w:rsidR="00880921" w:rsidRPr="00DD5DC1" w:rsidRDefault="00880921" w:rsidP="00FD2EF2">
      <w:pPr>
        <w:overflowPunct w:val="0"/>
        <w:autoSpaceDE w:val="0"/>
        <w:autoSpaceDN w:val="0"/>
        <w:adjustRightInd w:val="0"/>
        <w:jc w:val="both"/>
        <w:textAlignment w:val="baseline"/>
        <w:rPr>
          <w:rFonts w:ascii="Arial" w:hAnsi="Arial" w:cs="Arial"/>
          <w:i/>
          <w:sz w:val="22"/>
          <w:szCs w:val="22"/>
          <w:lang w:val="es-CO"/>
        </w:rPr>
      </w:pPr>
    </w:p>
    <w:p w:rsidR="001F6B88" w:rsidRDefault="001F6B88" w:rsidP="001F6B88">
      <w:pPr>
        <w:suppressAutoHyphens/>
        <w:overflowPunct w:val="0"/>
        <w:autoSpaceDE w:val="0"/>
        <w:autoSpaceDN w:val="0"/>
        <w:adjustRightInd w:val="0"/>
        <w:spacing w:line="276" w:lineRule="auto"/>
        <w:jc w:val="both"/>
        <w:textAlignment w:val="baseline"/>
        <w:rPr>
          <w:rFonts w:ascii="Arial" w:hAnsi="Arial" w:cs="Arial"/>
          <w:b/>
          <w:szCs w:val="24"/>
        </w:rPr>
      </w:pPr>
      <w:r w:rsidRPr="0000603E">
        <w:rPr>
          <w:rFonts w:ascii="Arial" w:hAnsi="Arial" w:cs="Arial"/>
          <w:b/>
          <w:szCs w:val="24"/>
        </w:rPr>
        <w:t>2.1.2 Fundamento fáctico</w:t>
      </w:r>
    </w:p>
    <w:p w:rsidR="00880921" w:rsidRPr="0000603E" w:rsidRDefault="00880921" w:rsidP="001F6B88">
      <w:pPr>
        <w:suppressAutoHyphens/>
        <w:overflowPunct w:val="0"/>
        <w:autoSpaceDE w:val="0"/>
        <w:autoSpaceDN w:val="0"/>
        <w:adjustRightInd w:val="0"/>
        <w:spacing w:line="276" w:lineRule="auto"/>
        <w:jc w:val="both"/>
        <w:textAlignment w:val="baseline"/>
        <w:rPr>
          <w:rFonts w:ascii="Arial" w:hAnsi="Arial" w:cs="Arial"/>
          <w:b/>
          <w:szCs w:val="24"/>
        </w:rPr>
      </w:pPr>
    </w:p>
    <w:p w:rsidR="001F6B88" w:rsidRPr="0000603E" w:rsidRDefault="001F6B88" w:rsidP="00FD2EF2">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Descendiendo al caso concreto se encuentra probado que el deceso del señor </w:t>
      </w:r>
      <w:r w:rsidR="007821FC">
        <w:rPr>
          <w:rFonts w:ascii="Arial" w:hAnsi="Arial" w:cs="Arial"/>
          <w:szCs w:val="24"/>
        </w:rPr>
        <w:t xml:space="preserve">Eduardo Antonio Gallego García </w:t>
      </w:r>
      <w:r w:rsidRPr="0000603E">
        <w:rPr>
          <w:rFonts w:ascii="Arial" w:hAnsi="Arial" w:cs="Arial"/>
          <w:szCs w:val="24"/>
        </w:rPr>
        <w:t xml:space="preserve">ocurrió el </w:t>
      </w:r>
      <w:r w:rsidR="007821FC">
        <w:rPr>
          <w:rFonts w:ascii="Arial" w:hAnsi="Arial" w:cs="Arial"/>
          <w:szCs w:val="24"/>
        </w:rPr>
        <w:t>25</w:t>
      </w:r>
      <w:r w:rsidRPr="0000603E">
        <w:rPr>
          <w:rFonts w:ascii="Arial" w:hAnsi="Arial" w:cs="Arial"/>
          <w:szCs w:val="24"/>
        </w:rPr>
        <w:t xml:space="preserve"> de </w:t>
      </w:r>
      <w:r w:rsidR="007821FC">
        <w:rPr>
          <w:rFonts w:ascii="Arial" w:hAnsi="Arial" w:cs="Arial"/>
          <w:szCs w:val="24"/>
        </w:rPr>
        <w:t xml:space="preserve">abril </w:t>
      </w:r>
      <w:r w:rsidRPr="0000603E">
        <w:rPr>
          <w:rFonts w:ascii="Arial" w:hAnsi="Arial" w:cs="Arial"/>
          <w:szCs w:val="24"/>
        </w:rPr>
        <w:t>de 1996</w:t>
      </w:r>
      <w:r w:rsidR="00DE2D85">
        <w:rPr>
          <w:rFonts w:ascii="Arial" w:hAnsi="Arial" w:cs="Arial"/>
          <w:szCs w:val="24"/>
        </w:rPr>
        <w:t xml:space="preserve"> sin ser cotizante activo</w:t>
      </w:r>
      <w:r w:rsidR="00FD2EF2">
        <w:rPr>
          <w:rFonts w:ascii="Arial" w:hAnsi="Arial" w:cs="Arial"/>
          <w:szCs w:val="24"/>
        </w:rPr>
        <w:t>, por lo tanto</w:t>
      </w:r>
      <w:r w:rsidRPr="0000603E">
        <w:rPr>
          <w:rFonts w:ascii="Arial" w:hAnsi="Arial" w:cs="Arial"/>
          <w:szCs w:val="24"/>
        </w:rPr>
        <w:t>, la normativa aplicable en esta actuación es el artículo 46 de la Ley 100 de 1993</w:t>
      </w:r>
      <w:r w:rsidRPr="0000603E">
        <w:rPr>
          <w:rFonts w:ascii="Arial Narrow" w:hAnsi="Arial Narrow" w:cs="Arial"/>
          <w:sz w:val="28"/>
          <w:szCs w:val="28"/>
        </w:rPr>
        <w:t xml:space="preserve"> </w:t>
      </w:r>
      <w:r w:rsidRPr="0000603E">
        <w:rPr>
          <w:rFonts w:ascii="Arial" w:hAnsi="Arial" w:cs="Arial"/>
          <w:szCs w:val="28"/>
        </w:rPr>
        <w:t>en su versión original</w:t>
      </w:r>
      <w:r w:rsidRPr="0000603E">
        <w:rPr>
          <w:rFonts w:ascii="Arial" w:hAnsi="Arial" w:cs="Arial"/>
          <w:szCs w:val="24"/>
        </w:rPr>
        <w:t>.</w:t>
      </w:r>
    </w:p>
    <w:p w:rsidR="001F6B88" w:rsidRPr="0000603E" w:rsidRDefault="001F6B88" w:rsidP="001F6B88">
      <w:pPr>
        <w:autoSpaceDE w:val="0"/>
        <w:autoSpaceDN w:val="0"/>
        <w:adjustRightInd w:val="0"/>
        <w:spacing w:line="276" w:lineRule="auto"/>
        <w:jc w:val="both"/>
        <w:rPr>
          <w:rFonts w:ascii="Arial" w:hAnsi="Arial" w:cs="Arial"/>
          <w:szCs w:val="24"/>
        </w:rPr>
      </w:pPr>
    </w:p>
    <w:p w:rsidR="001F6B88" w:rsidRPr="0000603E" w:rsidRDefault="001F6B88" w:rsidP="001F6B88">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Conforme a lo anterior, debe determinarse en primer lugar si dentro del año inmediatamente anterior al deceso del causante, comprendido entre el </w:t>
      </w:r>
      <w:r w:rsidR="00FD2EF2">
        <w:rPr>
          <w:rFonts w:ascii="Arial" w:hAnsi="Arial" w:cs="Arial"/>
          <w:szCs w:val="24"/>
        </w:rPr>
        <w:t>25</w:t>
      </w:r>
      <w:r w:rsidRPr="0000603E">
        <w:rPr>
          <w:rFonts w:ascii="Arial" w:hAnsi="Arial" w:cs="Arial"/>
          <w:szCs w:val="24"/>
        </w:rPr>
        <w:t xml:space="preserve"> de </w:t>
      </w:r>
      <w:r w:rsidR="00FD2EF2">
        <w:rPr>
          <w:rFonts w:ascii="Arial" w:hAnsi="Arial" w:cs="Arial"/>
          <w:szCs w:val="24"/>
        </w:rPr>
        <w:t xml:space="preserve">abril </w:t>
      </w:r>
      <w:r w:rsidRPr="0000603E">
        <w:rPr>
          <w:rFonts w:ascii="Arial" w:hAnsi="Arial" w:cs="Arial"/>
          <w:szCs w:val="24"/>
        </w:rPr>
        <w:t xml:space="preserve">de 1996 y la misma fecha de 1995, alcanzó a reunir 26 semanas de cotización, para lo cual debe acudirse a la historia laboral antes referida, de donde se evidencia que dentro de ese lapso </w:t>
      </w:r>
      <w:r w:rsidR="00FD2EF2">
        <w:rPr>
          <w:rFonts w:ascii="Arial" w:hAnsi="Arial" w:cs="Arial"/>
          <w:szCs w:val="24"/>
        </w:rPr>
        <w:t xml:space="preserve">no </w:t>
      </w:r>
      <w:r w:rsidRPr="0000603E">
        <w:rPr>
          <w:rFonts w:ascii="Arial" w:hAnsi="Arial" w:cs="Arial"/>
          <w:szCs w:val="24"/>
        </w:rPr>
        <w:t xml:space="preserve">registra </w:t>
      </w:r>
      <w:r w:rsidR="00DE2D85">
        <w:rPr>
          <w:rFonts w:ascii="Arial" w:hAnsi="Arial" w:cs="Arial"/>
          <w:szCs w:val="24"/>
        </w:rPr>
        <w:t>ninguna</w:t>
      </w:r>
      <w:r w:rsidR="00FD2EF2">
        <w:rPr>
          <w:rFonts w:ascii="Arial" w:hAnsi="Arial" w:cs="Arial"/>
          <w:szCs w:val="24"/>
        </w:rPr>
        <w:t>, como quiera que la última cotización al sistema fue realizada al 13 de diciembre de 1993</w:t>
      </w:r>
      <w:r w:rsidRPr="0000603E">
        <w:rPr>
          <w:rFonts w:ascii="Arial" w:hAnsi="Arial" w:cs="Arial"/>
          <w:szCs w:val="24"/>
        </w:rPr>
        <w:t xml:space="preserve">, </w:t>
      </w:r>
      <w:r w:rsidR="00FD2EF2">
        <w:rPr>
          <w:rFonts w:ascii="Arial" w:hAnsi="Arial" w:cs="Arial"/>
          <w:szCs w:val="24"/>
        </w:rPr>
        <w:t xml:space="preserve">por lo que </w:t>
      </w:r>
      <w:r w:rsidRPr="0000603E">
        <w:rPr>
          <w:rFonts w:ascii="Arial" w:hAnsi="Arial" w:cs="Arial"/>
          <w:szCs w:val="24"/>
        </w:rPr>
        <w:t>no satisfizo las exigencias del artículo 46 de la Ley 100 de 1993.</w:t>
      </w:r>
    </w:p>
    <w:p w:rsidR="001F6B88" w:rsidRPr="0000603E" w:rsidRDefault="001F6B88" w:rsidP="001F6B88">
      <w:pPr>
        <w:autoSpaceDE w:val="0"/>
        <w:autoSpaceDN w:val="0"/>
        <w:adjustRightInd w:val="0"/>
        <w:spacing w:line="276" w:lineRule="auto"/>
        <w:ind w:firstLine="858"/>
        <w:jc w:val="both"/>
        <w:rPr>
          <w:rFonts w:ascii="Arial" w:hAnsi="Arial" w:cs="Arial"/>
          <w:szCs w:val="24"/>
        </w:rPr>
      </w:pPr>
    </w:p>
    <w:p w:rsidR="001F6B88" w:rsidRPr="0000603E" w:rsidRDefault="001F6B88" w:rsidP="001F6B88">
      <w:pPr>
        <w:autoSpaceDE w:val="0"/>
        <w:autoSpaceDN w:val="0"/>
        <w:adjustRightInd w:val="0"/>
        <w:spacing w:line="276" w:lineRule="auto"/>
        <w:jc w:val="both"/>
        <w:rPr>
          <w:rFonts w:ascii="Arial" w:hAnsi="Arial" w:cs="Arial"/>
          <w:szCs w:val="24"/>
        </w:rPr>
      </w:pPr>
      <w:r w:rsidRPr="0000603E">
        <w:rPr>
          <w:rFonts w:ascii="Arial" w:hAnsi="Arial" w:cs="Arial"/>
          <w:szCs w:val="24"/>
        </w:rPr>
        <w:lastRenderedPageBreak/>
        <w:t>Sin embargo y teniendo en cuenta que en el libelo introductorio se depreca la aplicación del principio de la condición más beneficiosa, se analizará su procedibilidad en el caso concreto.</w:t>
      </w:r>
    </w:p>
    <w:p w:rsidR="001F6B88" w:rsidRPr="0000603E" w:rsidRDefault="001F6B88" w:rsidP="001F6B88">
      <w:pPr>
        <w:autoSpaceDE w:val="0"/>
        <w:autoSpaceDN w:val="0"/>
        <w:adjustRightInd w:val="0"/>
        <w:spacing w:line="276" w:lineRule="auto"/>
        <w:jc w:val="both"/>
        <w:rPr>
          <w:rFonts w:ascii="Arial" w:hAnsi="Arial" w:cs="Arial"/>
          <w:szCs w:val="24"/>
        </w:rPr>
      </w:pPr>
    </w:p>
    <w:p w:rsidR="001F6B88" w:rsidRPr="0000603E" w:rsidRDefault="001F6B88" w:rsidP="001F6B88">
      <w:pPr>
        <w:widowControl w:val="0"/>
        <w:autoSpaceDE w:val="0"/>
        <w:autoSpaceDN w:val="0"/>
        <w:adjustRightInd w:val="0"/>
        <w:spacing w:line="276" w:lineRule="auto"/>
        <w:contextualSpacing/>
        <w:jc w:val="both"/>
        <w:rPr>
          <w:rFonts w:ascii="Arial" w:hAnsi="Arial" w:cs="Arial"/>
          <w:b/>
          <w:szCs w:val="24"/>
        </w:rPr>
      </w:pPr>
      <w:r w:rsidRPr="0000603E">
        <w:rPr>
          <w:rFonts w:ascii="Arial" w:hAnsi="Arial" w:cs="Arial"/>
          <w:b/>
          <w:szCs w:val="24"/>
        </w:rPr>
        <w:t>2.2. De la aplicación del Principio Constitucional de la Condición más Beneficiosa</w:t>
      </w:r>
    </w:p>
    <w:p w:rsidR="001F6B88" w:rsidRPr="0000603E" w:rsidRDefault="001F6B88" w:rsidP="001F6B88">
      <w:pPr>
        <w:widowControl w:val="0"/>
        <w:autoSpaceDE w:val="0"/>
        <w:autoSpaceDN w:val="0"/>
        <w:adjustRightInd w:val="0"/>
        <w:spacing w:line="276" w:lineRule="auto"/>
        <w:contextualSpacing/>
        <w:jc w:val="both"/>
        <w:rPr>
          <w:rFonts w:ascii="Arial" w:hAnsi="Arial" w:cs="Arial"/>
          <w:szCs w:val="24"/>
        </w:rPr>
      </w:pPr>
    </w:p>
    <w:p w:rsidR="001F6B88" w:rsidRPr="0000603E" w:rsidRDefault="001F6B88" w:rsidP="001F6B88">
      <w:pPr>
        <w:autoSpaceDE w:val="0"/>
        <w:autoSpaceDN w:val="0"/>
        <w:adjustRightInd w:val="0"/>
        <w:spacing w:line="276" w:lineRule="auto"/>
        <w:jc w:val="both"/>
        <w:rPr>
          <w:rFonts w:ascii="Arial" w:hAnsi="Arial" w:cs="Arial"/>
          <w:b/>
          <w:szCs w:val="24"/>
        </w:rPr>
      </w:pPr>
      <w:r w:rsidRPr="0000603E">
        <w:rPr>
          <w:rFonts w:ascii="Arial" w:hAnsi="Arial" w:cs="Arial"/>
          <w:b/>
          <w:szCs w:val="24"/>
        </w:rPr>
        <w:t xml:space="preserve">2.2.1. Fundamento Jurídico </w:t>
      </w:r>
    </w:p>
    <w:p w:rsidR="001F6B88" w:rsidRPr="0000603E" w:rsidRDefault="001F6B88" w:rsidP="001F6B88">
      <w:pPr>
        <w:autoSpaceDE w:val="0"/>
        <w:autoSpaceDN w:val="0"/>
        <w:adjustRightInd w:val="0"/>
        <w:spacing w:line="276" w:lineRule="auto"/>
        <w:jc w:val="both"/>
        <w:rPr>
          <w:rFonts w:ascii="Arial" w:hAnsi="Arial" w:cs="Arial"/>
          <w:b/>
          <w:szCs w:val="24"/>
        </w:rPr>
      </w:pPr>
    </w:p>
    <w:p w:rsidR="001F6B88" w:rsidRPr="0000603E" w:rsidRDefault="001F6B88" w:rsidP="001F6B88">
      <w:pPr>
        <w:autoSpaceDE w:val="0"/>
        <w:autoSpaceDN w:val="0"/>
        <w:adjustRightInd w:val="0"/>
        <w:spacing w:line="276" w:lineRule="auto"/>
        <w:jc w:val="both"/>
        <w:rPr>
          <w:rFonts w:ascii="Arial" w:hAnsi="Arial" w:cs="Arial"/>
          <w:szCs w:val="24"/>
        </w:rPr>
      </w:pPr>
      <w:r w:rsidRPr="0000603E">
        <w:rPr>
          <w:rFonts w:ascii="Arial" w:hAnsi="Arial" w:cs="Arial"/>
          <w:szCs w:val="24"/>
        </w:rPr>
        <w:t>Así pues, frente a este aspecto, si bien existe divergencia entre la Corte Constitucional y la Corte Suprema de Justicia</w:t>
      </w:r>
      <w:r w:rsidRPr="0000603E">
        <w:rPr>
          <w:rStyle w:val="Refdenotaalpie"/>
          <w:rFonts w:ascii="Arial" w:hAnsi="Arial" w:cs="Arial"/>
          <w:szCs w:val="24"/>
        </w:rPr>
        <w:footnoteReference w:id="4"/>
      </w:r>
      <w:r w:rsidRPr="0000603E">
        <w:rPr>
          <w:rFonts w:ascii="Arial" w:hAnsi="Arial" w:cs="Arial"/>
          <w:szCs w:val="24"/>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00603E">
        <w:rPr>
          <w:rFonts w:ascii="Arial" w:hAnsi="Arial" w:cs="Arial"/>
          <w:color w:val="000000"/>
          <w:szCs w:val="24"/>
          <w:lang w:val="es-ES"/>
        </w:rPr>
        <w:t xml:space="preserve">vigente en el momento en que se estructuró el derecho, </w:t>
      </w:r>
      <w:r w:rsidRPr="0000603E">
        <w:rPr>
          <w:rFonts w:ascii="Arial" w:hAnsi="Arial" w:cs="Arial"/>
          <w:szCs w:val="24"/>
        </w:rPr>
        <w:t>que en el caso particular de las pensiones de sobrevivientes lo sería el deceso del afiliado, supuesto fáctico en el que nos encontramos.</w:t>
      </w:r>
    </w:p>
    <w:p w:rsidR="001F6B88" w:rsidRPr="0000603E" w:rsidRDefault="001F6B88" w:rsidP="001F6B88">
      <w:pPr>
        <w:autoSpaceDE w:val="0"/>
        <w:autoSpaceDN w:val="0"/>
        <w:adjustRightInd w:val="0"/>
        <w:spacing w:line="276" w:lineRule="auto"/>
        <w:ind w:firstLine="858"/>
        <w:jc w:val="both"/>
        <w:rPr>
          <w:rFonts w:ascii="Arial" w:hAnsi="Arial" w:cs="Arial"/>
          <w:szCs w:val="24"/>
        </w:rPr>
      </w:pPr>
    </w:p>
    <w:p w:rsidR="00FD2EF2" w:rsidRDefault="001F6B88" w:rsidP="001F6B88">
      <w:pPr>
        <w:spacing w:line="276" w:lineRule="auto"/>
        <w:jc w:val="both"/>
        <w:rPr>
          <w:rFonts w:ascii="Arial" w:hAnsi="Arial" w:cs="Arial"/>
          <w:szCs w:val="24"/>
          <w:highlight w:val="yellow"/>
        </w:rPr>
      </w:pPr>
      <w:r w:rsidRPr="0000603E">
        <w:rPr>
          <w:rFonts w:ascii="Arial" w:hAnsi="Arial" w:cs="Arial"/>
          <w:szCs w:val="24"/>
        </w:rPr>
        <w:t xml:space="preserve">En este orden de ideas, para el </w:t>
      </w:r>
      <w:r w:rsidR="00FD2EF2">
        <w:rPr>
          <w:rFonts w:ascii="Arial" w:hAnsi="Arial" w:cs="Arial"/>
          <w:szCs w:val="24"/>
        </w:rPr>
        <w:t>25</w:t>
      </w:r>
      <w:r w:rsidRPr="0000603E">
        <w:rPr>
          <w:rFonts w:ascii="Arial" w:hAnsi="Arial" w:cs="Arial"/>
          <w:szCs w:val="24"/>
        </w:rPr>
        <w:t xml:space="preserve"> de </w:t>
      </w:r>
      <w:r w:rsidR="00FD2EF2">
        <w:rPr>
          <w:rFonts w:ascii="Arial" w:hAnsi="Arial" w:cs="Arial"/>
          <w:szCs w:val="24"/>
        </w:rPr>
        <w:t xml:space="preserve">abril </w:t>
      </w:r>
      <w:r w:rsidRPr="0000603E">
        <w:rPr>
          <w:rFonts w:ascii="Arial" w:hAnsi="Arial" w:cs="Arial"/>
          <w:szCs w:val="24"/>
        </w:rPr>
        <w:t>de 1996, la norma vigente era la Ley 100 de 1993,</w:t>
      </w:r>
      <w:r w:rsidRPr="0000603E">
        <w:rPr>
          <w:rFonts w:ascii="Arial" w:hAnsi="Arial" w:cs="Arial"/>
          <w:color w:val="000000"/>
          <w:szCs w:val="24"/>
          <w:lang w:val="es-ES"/>
        </w:rPr>
        <w:t xml:space="preserve"> cuyas exigencias no se reúnen en este caso, como se explicó líneas atrás;  sin embargo, teniendo en cuenta </w:t>
      </w:r>
      <w:r w:rsidRPr="0000603E">
        <w:rPr>
          <w:rFonts w:ascii="Arial" w:hAnsi="Arial" w:cs="Arial"/>
          <w:szCs w:val="24"/>
        </w:rPr>
        <w:t xml:space="preserve">que la disposición inmediatamente anterior resulta ser el Acuerdo 049 de 1990, </w:t>
      </w:r>
      <w:r w:rsidR="00FD2EF2">
        <w:rPr>
          <w:rFonts w:ascii="Arial" w:hAnsi="Arial" w:cs="Arial"/>
          <w:szCs w:val="24"/>
        </w:rPr>
        <w:t xml:space="preserve">se entrará a verificar si las </w:t>
      </w:r>
      <w:r w:rsidRPr="0000603E">
        <w:rPr>
          <w:rFonts w:ascii="Arial" w:hAnsi="Arial" w:cs="Arial"/>
          <w:szCs w:val="24"/>
        </w:rPr>
        <w:t xml:space="preserve">exigencias del mentado Acuerdo para el reconocimiento de la pensión de </w:t>
      </w:r>
      <w:r w:rsidRPr="00FD2EF2">
        <w:rPr>
          <w:rFonts w:ascii="Arial" w:hAnsi="Arial" w:cs="Arial"/>
          <w:szCs w:val="24"/>
        </w:rPr>
        <w:t xml:space="preserve">sobrevivientes </w:t>
      </w:r>
      <w:r w:rsidR="00FD2EF2" w:rsidRPr="00FD2EF2">
        <w:rPr>
          <w:rFonts w:ascii="Arial" w:hAnsi="Arial" w:cs="Arial"/>
          <w:szCs w:val="24"/>
        </w:rPr>
        <w:t>se  cumplen.</w:t>
      </w:r>
    </w:p>
    <w:p w:rsidR="00FD2EF2" w:rsidRDefault="00FD2EF2" w:rsidP="001F6B88">
      <w:pPr>
        <w:spacing w:line="276" w:lineRule="auto"/>
        <w:jc w:val="both"/>
        <w:rPr>
          <w:rFonts w:ascii="Arial" w:hAnsi="Arial" w:cs="Arial"/>
          <w:szCs w:val="24"/>
          <w:highlight w:val="yellow"/>
        </w:rPr>
      </w:pPr>
    </w:p>
    <w:p w:rsidR="00EA0577" w:rsidRDefault="00EA0577" w:rsidP="00EA0577">
      <w:pPr>
        <w:spacing w:line="276" w:lineRule="auto"/>
        <w:jc w:val="both"/>
        <w:rPr>
          <w:rFonts w:ascii="Arial" w:hAnsi="Arial" w:cs="Arial"/>
          <w:szCs w:val="24"/>
        </w:rPr>
      </w:pPr>
      <w:r>
        <w:rPr>
          <w:rFonts w:ascii="Arial" w:hAnsi="Arial" w:cs="Arial"/>
          <w:szCs w:val="24"/>
        </w:rPr>
        <w:t>Es necesario precisar que no es procedente el c</w:t>
      </w:r>
      <w:r w:rsidR="00DE2D85">
        <w:rPr>
          <w:rFonts w:ascii="Arial" w:hAnsi="Arial" w:cs="Arial"/>
          <w:szCs w:val="24"/>
        </w:rPr>
        <w:t>ó</w:t>
      </w:r>
      <w:r>
        <w:rPr>
          <w:rFonts w:ascii="Arial" w:hAnsi="Arial" w:cs="Arial"/>
          <w:szCs w:val="24"/>
        </w:rPr>
        <w:t>mputo de los periodos laborados por el señor Eduardo Antonio Gallego García en el Banco Cafetero, toda vez que se trata de tiempos de servicios que le impusieron la calidad de servidor público y donde sus empleadores realizaron los aportes a cajas de previsión social, mismos que conforme se aclaró con el aparte jurisprudencial transcrito, no pueden sumarse a las realizadas en el régimen</w:t>
      </w:r>
      <w:r w:rsidR="006F2EA3">
        <w:rPr>
          <w:rFonts w:ascii="Arial" w:hAnsi="Arial" w:cs="Arial"/>
          <w:szCs w:val="24"/>
        </w:rPr>
        <w:t xml:space="preserve"> de prima media con prestación definida</w:t>
      </w:r>
      <w:r>
        <w:rPr>
          <w:rFonts w:ascii="Arial" w:hAnsi="Arial" w:cs="Arial"/>
          <w:szCs w:val="24"/>
        </w:rPr>
        <w:t>, para acceder a los beneficios prestaciones establecidos en el Acuerdo 049 de 1990; concordando con lo decidido por la funcionaria de primer grado, por lo tanto, no se acogen</w:t>
      </w:r>
      <w:r w:rsidR="00BF25CC">
        <w:rPr>
          <w:rFonts w:ascii="Arial" w:hAnsi="Arial" w:cs="Arial"/>
          <w:szCs w:val="24"/>
        </w:rPr>
        <w:t xml:space="preserve"> los argumentos de la apelación</w:t>
      </w:r>
      <w:r w:rsidR="006F2EA3">
        <w:rPr>
          <w:rFonts w:ascii="Arial" w:hAnsi="Arial" w:cs="Arial"/>
          <w:szCs w:val="24"/>
        </w:rPr>
        <w:t xml:space="preserve"> en este punto</w:t>
      </w:r>
      <w:r w:rsidR="00BF25CC">
        <w:rPr>
          <w:rFonts w:ascii="Arial" w:hAnsi="Arial" w:cs="Arial"/>
          <w:szCs w:val="24"/>
        </w:rPr>
        <w:t>, por lo que los únicos ciclos cotizados a tener en cuenta serán los efectuados ante el ISS, conforme a la historia laboral allegada a folios 78 y s.s.</w:t>
      </w:r>
    </w:p>
    <w:p w:rsidR="00EA0577" w:rsidRDefault="00EA0577" w:rsidP="00EA0577">
      <w:pPr>
        <w:spacing w:line="276" w:lineRule="auto"/>
        <w:jc w:val="both"/>
        <w:rPr>
          <w:rFonts w:ascii="Arial" w:hAnsi="Arial" w:cs="Arial"/>
          <w:szCs w:val="24"/>
        </w:rPr>
      </w:pPr>
    </w:p>
    <w:p w:rsidR="00186C09" w:rsidRPr="00186C09" w:rsidRDefault="00186C09" w:rsidP="001F6B88">
      <w:pPr>
        <w:spacing w:line="276" w:lineRule="auto"/>
        <w:jc w:val="both"/>
        <w:rPr>
          <w:rFonts w:ascii="Arial" w:hAnsi="Arial" w:cs="Arial"/>
          <w:b/>
          <w:szCs w:val="24"/>
        </w:rPr>
      </w:pPr>
      <w:r w:rsidRPr="00186C09">
        <w:rPr>
          <w:rFonts w:ascii="Arial" w:hAnsi="Arial" w:cs="Arial"/>
          <w:b/>
          <w:szCs w:val="24"/>
        </w:rPr>
        <w:t>2.2.2. Fundamento fáctico</w:t>
      </w:r>
    </w:p>
    <w:p w:rsidR="00186C09" w:rsidRDefault="00186C09" w:rsidP="001F6B88">
      <w:pPr>
        <w:spacing w:line="276" w:lineRule="auto"/>
        <w:jc w:val="both"/>
        <w:rPr>
          <w:rFonts w:ascii="Arial" w:hAnsi="Arial" w:cs="Arial"/>
          <w:szCs w:val="24"/>
        </w:rPr>
      </w:pPr>
    </w:p>
    <w:p w:rsidR="00664C67" w:rsidRDefault="00BF25CC" w:rsidP="001F6B88">
      <w:pPr>
        <w:spacing w:line="276" w:lineRule="auto"/>
        <w:jc w:val="both"/>
        <w:rPr>
          <w:rFonts w:ascii="Arial" w:hAnsi="Arial" w:cs="Arial"/>
          <w:szCs w:val="24"/>
        </w:rPr>
      </w:pPr>
      <w:r>
        <w:rPr>
          <w:rFonts w:ascii="Arial" w:hAnsi="Arial" w:cs="Arial"/>
          <w:szCs w:val="24"/>
        </w:rPr>
        <w:t xml:space="preserve">Así las cosas, </w:t>
      </w:r>
      <w:r w:rsidR="00664C67">
        <w:rPr>
          <w:rFonts w:ascii="Arial" w:hAnsi="Arial" w:cs="Arial"/>
          <w:szCs w:val="24"/>
        </w:rPr>
        <w:t>se advierte que el causante antes de la entrada en vigencia de la Ley 100 de 1993, cotizó ante el ISS un total de 275,5714 semanas, por lo que incumple la primera opción de las 300 semanas.</w:t>
      </w:r>
    </w:p>
    <w:p w:rsidR="00664C67" w:rsidRDefault="00664C67" w:rsidP="001F6B88">
      <w:pPr>
        <w:spacing w:line="276" w:lineRule="auto"/>
        <w:jc w:val="both"/>
        <w:rPr>
          <w:rFonts w:ascii="Arial" w:hAnsi="Arial" w:cs="Arial"/>
          <w:szCs w:val="24"/>
        </w:rPr>
      </w:pPr>
    </w:p>
    <w:p w:rsidR="00664C67" w:rsidRDefault="00664C67" w:rsidP="001F6B88">
      <w:pPr>
        <w:spacing w:line="276" w:lineRule="auto"/>
        <w:jc w:val="both"/>
        <w:rPr>
          <w:rFonts w:ascii="Arial" w:hAnsi="Arial" w:cs="Arial"/>
          <w:szCs w:val="24"/>
        </w:rPr>
      </w:pPr>
      <w:r>
        <w:rPr>
          <w:rFonts w:ascii="Arial" w:hAnsi="Arial" w:cs="Arial"/>
          <w:szCs w:val="24"/>
        </w:rPr>
        <w:t>En relación con la restante posibilidad, debe analizarse el cumplimiento de 150 semanas dentro del periodo comprendido entre el 01/04/1988 y el 01/04/1994</w:t>
      </w:r>
      <w:r w:rsidR="00DE2D85">
        <w:rPr>
          <w:rFonts w:ascii="Arial" w:hAnsi="Arial" w:cs="Arial"/>
          <w:szCs w:val="24"/>
        </w:rPr>
        <w:t xml:space="preserve"> -</w:t>
      </w:r>
      <w:r w:rsidR="00DE2D85" w:rsidRPr="00DE2D85">
        <w:rPr>
          <w:rFonts w:ascii="Arial" w:hAnsi="Arial" w:cs="Arial"/>
          <w:i/>
          <w:szCs w:val="24"/>
        </w:rPr>
        <w:t>6 años anteriores a la vigencia de la Ley 100/93-</w:t>
      </w:r>
      <w:r>
        <w:rPr>
          <w:rFonts w:ascii="Arial" w:hAnsi="Arial" w:cs="Arial"/>
          <w:szCs w:val="24"/>
        </w:rPr>
        <w:t xml:space="preserve"> y </w:t>
      </w:r>
      <w:r w:rsidR="00DE2D85">
        <w:rPr>
          <w:rFonts w:ascii="Arial" w:hAnsi="Arial" w:cs="Arial"/>
          <w:szCs w:val="24"/>
        </w:rPr>
        <w:t xml:space="preserve">además </w:t>
      </w:r>
      <w:r>
        <w:rPr>
          <w:rFonts w:ascii="Arial" w:hAnsi="Arial" w:cs="Arial"/>
          <w:szCs w:val="24"/>
        </w:rPr>
        <w:t xml:space="preserve">150 dentro de los 6 años </w:t>
      </w:r>
      <w:r w:rsidR="00DE2D85">
        <w:rPr>
          <w:rFonts w:ascii="Arial" w:hAnsi="Arial" w:cs="Arial"/>
          <w:szCs w:val="24"/>
        </w:rPr>
        <w:lastRenderedPageBreak/>
        <w:t>anteriores al deceso</w:t>
      </w:r>
      <w:r>
        <w:rPr>
          <w:rFonts w:ascii="Arial" w:hAnsi="Arial" w:cs="Arial"/>
          <w:szCs w:val="24"/>
        </w:rPr>
        <w:t>, periodos dentro de los cuales se evidencian 225,7528 y 152,7494 semanas, respectivamente, entendiéndose por lo tanto, causada la prestación.</w:t>
      </w:r>
    </w:p>
    <w:p w:rsidR="00664C67" w:rsidRDefault="00664C67" w:rsidP="001F6B88">
      <w:pPr>
        <w:spacing w:line="276" w:lineRule="auto"/>
        <w:jc w:val="both"/>
        <w:rPr>
          <w:rFonts w:ascii="Arial" w:hAnsi="Arial" w:cs="Arial"/>
          <w:szCs w:val="24"/>
        </w:rPr>
      </w:pPr>
    </w:p>
    <w:p w:rsidR="00664C67" w:rsidRDefault="00664C67" w:rsidP="001F6B88">
      <w:pPr>
        <w:spacing w:line="276" w:lineRule="auto"/>
        <w:jc w:val="both"/>
        <w:rPr>
          <w:rFonts w:ascii="Arial" w:hAnsi="Arial" w:cs="Arial"/>
          <w:szCs w:val="24"/>
        </w:rPr>
      </w:pPr>
      <w:r>
        <w:rPr>
          <w:rFonts w:ascii="Arial" w:hAnsi="Arial" w:cs="Arial"/>
          <w:szCs w:val="24"/>
        </w:rPr>
        <w:t>En este aspecto, es necesario precisar que aunque el cómputo de semanas en uno y otro caso, coinciden entre el 25/04/1990 y el 13</w:t>
      </w:r>
      <w:r w:rsidR="005535ED">
        <w:rPr>
          <w:rFonts w:ascii="Arial" w:hAnsi="Arial" w:cs="Arial"/>
          <w:szCs w:val="24"/>
        </w:rPr>
        <w:t>/12/</w:t>
      </w:r>
      <w:r>
        <w:rPr>
          <w:rFonts w:ascii="Arial" w:hAnsi="Arial" w:cs="Arial"/>
          <w:szCs w:val="24"/>
        </w:rPr>
        <w:t xml:space="preserve">93, </w:t>
      </w:r>
      <w:r w:rsidR="00BF25CC">
        <w:rPr>
          <w:rFonts w:ascii="Arial" w:hAnsi="Arial" w:cs="Arial"/>
          <w:szCs w:val="24"/>
        </w:rPr>
        <w:t xml:space="preserve"> </w:t>
      </w:r>
      <w:r>
        <w:rPr>
          <w:rFonts w:ascii="Arial" w:hAnsi="Arial" w:cs="Arial"/>
          <w:szCs w:val="24"/>
        </w:rPr>
        <w:t xml:space="preserve">ello </w:t>
      </w:r>
      <w:r w:rsidR="00BF25CC">
        <w:rPr>
          <w:rFonts w:ascii="Arial" w:hAnsi="Arial" w:cs="Arial"/>
          <w:szCs w:val="24"/>
        </w:rPr>
        <w:t xml:space="preserve">no es </w:t>
      </w:r>
      <w:r>
        <w:rPr>
          <w:rFonts w:ascii="Arial" w:hAnsi="Arial" w:cs="Arial"/>
          <w:szCs w:val="24"/>
        </w:rPr>
        <w:t xml:space="preserve">óbice, </w:t>
      </w:r>
      <w:r w:rsidR="00BF25CC">
        <w:rPr>
          <w:rFonts w:ascii="Arial" w:hAnsi="Arial" w:cs="Arial"/>
          <w:szCs w:val="24"/>
        </w:rPr>
        <w:t xml:space="preserve">para dar por cumplidas las cotizaciones exigidas, pues en un caso similar, </w:t>
      </w:r>
      <w:r>
        <w:rPr>
          <w:rFonts w:ascii="Arial" w:hAnsi="Arial" w:cs="Arial"/>
          <w:szCs w:val="24"/>
        </w:rPr>
        <w:t>el órgano de cierre de esta jurisdicción en sentencia 28893 de 2006</w:t>
      </w:r>
      <w:r w:rsidR="005535ED">
        <w:rPr>
          <w:rStyle w:val="Refdenotaalpie"/>
          <w:rFonts w:ascii="Arial" w:hAnsi="Arial" w:cs="Arial"/>
          <w:szCs w:val="24"/>
        </w:rPr>
        <w:footnoteReference w:id="5"/>
      </w:r>
      <w:r w:rsidR="00BF25CC">
        <w:rPr>
          <w:rFonts w:ascii="Arial" w:hAnsi="Arial" w:cs="Arial"/>
          <w:szCs w:val="24"/>
        </w:rPr>
        <w:t xml:space="preserve">, así </w:t>
      </w:r>
      <w:r w:rsidR="00DE2D85">
        <w:rPr>
          <w:rFonts w:ascii="Arial" w:hAnsi="Arial" w:cs="Arial"/>
          <w:szCs w:val="24"/>
        </w:rPr>
        <w:t>lo determinó, pues los parámetros que establece es el número de semanas y punto de partida hacia atrás.</w:t>
      </w:r>
    </w:p>
    <w:p w:rsidR="00DE2D85" w:rsidRDefault="00DE2D85" w:rsidP="001F6B88">
      <w:pPr>
        <w:spacing w:line="276" w:lineRule="auto"/>
        <w:jc w:val="both"/>
        <w:rPr>
          <w:rFonts w:ascii="Arial" w:hAnsi="Arial" w:cs="Arial"/>
          <w:szCs w:val="24"/>
        </w:rPr>
      </w:pPr>
    </w:p>
    <w:p w:rsidR="00220AC7" w:rsidRDefault="00220AC7" w:rsidP="001F6B88">
      <w:pPr>
        <w:spacing w:line="276" w:lineRule="auto"/>
        <w:jc w:val="both"/>
        <w:rPr>
          <w:rFonts w:ascii="Arial" w:hAnsi="Arial" w:cs="Arial"/>
          <w:szCs w:val="24"/>
        </w:rPr>
      </w:pPr>
      <w:r>
        <w:rPr>
          <w:rFonts w:ascii="Arial" w:hAnsi="Arial" w:cs="Arial"/>
          <w:szCs w:val="24"/>
        </w:rPr>
        <w:t>Ahora, frente a la calidad de beneficiaria de la actora,</w:t>
      </w:r>
      <w:r w:rsidR="00E84B09">
        <w:rPr>
          <w:rFonts w:ascii="Arial" w:hAnsi="Arial" w:cs="Arial"/>
          <w:szCs w:val="24"/>
        </w:rPr>
        <w:t xml:space="preserve"> los testigos escuchados a instancia de dicha parte</w:t>
      </w:r>
      <w:r w:rsidR="00DE2D85">
        <w:rPr>
          <w:rFonts w:ascii="Arial" w:hAnsi="Arial" w:cs="Arial"/>
          <w:szCs w:val="24"/>
        </w:rPr>
        <w:t xml:space="preserve"> señores Misael Arroyave Ramírez, Claudia Isabel Moreno Cadavid y Luz Dary López de Arias</w:t>
      </w:r>
      <w:r w:rsidR="00E84B09">
        <w:rPr>
          <w:rFonts w:ascii="Arial" w:hAnsi="Arial" w:cs="Arial"/>
          <w:szCs w:val="24"/>
        </w:rPr>
        <w:t xml:space="preserve">, fueron contestes en afirmar que </w:t>
      </w:r>
      <w:r w:rsidR="002C438C">
        <w:rPr>
          <w:rFonts w:ascii="Arial" w:hAnsi="Arial" w:cs="Arial"/>
          <w:szCs w:val="24"/>
        </w:rPr>
        <w:t xml:space="preserve">entre los señores Eduardo Gallego y Gloria </w:t>
      </w:r>
      <w:proofErr w:type="spellStart"/>
      <w:r w:rsidR="002C438C">
        <w:rPr>
          <w:rFonts w:ascii="Arial" w:hAnsi="Arial" w:cs="Arial"/>
          <w:szCs w:val="24"/>
        </w:rPr>
        <w:t>Eucaris</w:t>
      </w:r>
      <w:proofErr w:type="spellEnd"/>
      <w:r w:rsidR="002C438C">
        <w:rPr>
          <w:rFonts w:ascii="Arial" w:hAnsi="Arial" w:cs="Arial"/>
          <w:szCs w:val="24"/>
        </w:rPr>
        <w:t xml:space="preserve"> Sánchez existió una relación de pareja, los conocieron aproximadamente entre los años 1988 a 1990, cuando ya tenían a sus dos hijos, Sebastián y Carolina, se comportaban como esposo y estuvieron juntos hasta la fecha de la muerte de aquel, ocurrida en el Municipio de Betania – Antioquia, en forma violenta</w:t>
      </w:r>
      <w:r w:rsidR="00DE2D85">
        <w:rPr>
          <w:rFonts w:ascii="Arial" w:hAnsi="Arial" w:cs="Arial"/>
          <w:szCs w:val="24"/>
        </w:rPr>
        <w:t>;</w:t>
      </w:r>
      <w:r w:rsidR="002C438C">
        <w:rPr>
          <w:rFonts w:ascii="Arial" w:hAnsi="Arial" w:cs="Arial"/>
          <w:szCs w:val="24"/>
        </w:rPr>
        <w:t xml:space="preserve"> que nunca se separaron ni tuvieron hijos con otras personas; manifestaciones de la cuales se puede inferir que efectivamente la demandante ostentó la calidad de compañera permanente del causante.</w:t>
      </w:r>
    </w:p>
    <w:p w:rsidR="00220AC7" w:rsidRDefault="00220AC7" w:rsidP="001F6B88">
      <w:pPr>
        <w:spacing w:line="276" w:lineRule="auto"/>
        <w:jc w:val="both"/>
        <w:rPr>
          <w:rFonts w:ascii="Arial" w:hAnsi="Arial" w:cs="Arial"/>
          <w:szCs w:val="24"/>
        </w:rPr>
      </w:pPr>
    </w:p>
    <w:p w:rsidR="00220AC7" w:rsidRDefault="002C438C" w:rsidP="001F6B88">
      <w:pPr>
        <w:spacing w:line="276" w:lineRule="auto"/>
        <w:jc w:val="both"/>
        <w:rPr>
          <w:rFonts w:ascii="Arial" w:hAnsi="Arial" w:cs="Arial"/>
          <w:szCs w:val="24"/>
        </w:rPr>
      </w:pPr>
      <w:r>
        <w:rPr>
          <w:rFonts w:ascii="Arial" w:hAnsi="Arial" w:cs="Arial"/>
          <w:szCs w:val="24"/>
        </w:rPr>
        <w:t>Respecto al término durante el cual se extendió la relación de pareja, manifestó la actora al absolver el interrogatorio de parte, que lo fue aproximadamente entre los años 1986 a 1996, aspecto que se puede corroborar no solo con lo dicho por los testigos, sino también con la información plasmada en el registro civil de nacimiento de Sebastián Gallego Sánchez –</w:t>
      </w:r>
      <w:proofErr w:type="spellStart"/>
      <w:r>
        <w:rPr>
          <w:rFonts w:ascii="Arial" w:hAnsi="Arial" w:cs="Arial"/>
          <w:szCs w:val="24"/>
        </w:rPr>
        <w:t>fl</w:t>
      </w:r>
      <w:proofErr w:type="spellEnd"/>
      <w:r>
        <w:rPr>
          <w:rFonts w:ascii="Arial" w:hAnsi="Arial" w:cs="Arial"/>
          <w:szCs w:val="24"/>
        </w:rPr>
        <w:t xml:space="preserve">. 23-, primer hijo de la pareja, en el cual </w:t>
      </w:r>
      <w:r w:rsidR="008A090A">
        <w:rPr>
          <w:rFonts w:ascii="Arial" w:hAnsi="Arial" w:cs="Arial"/>
          <w:szCs w:val="24"/>
        </w:rPr>
        <w:t>se diligenció como fecha de su nacimiento el 14 de febrero de 1987, lo que significa que la concepción lo fue para el año 1986, anualidad en la que por lo menos se inició la referida relación.</w:t>
      </w:r>
    </w:p>
    <w:p w:rsidR="00664C67" w:rsidRDefault="00664C67" w:rsidP="001F6B88">
      <w:pPr>
        <w:spacing w:line="276" w:lineRule="auto"/>
        <w:jc w:val="both"/>
        <w:rPr>
          <w:rFonts w:ascii="Arial" w:hAnsi="Arial" w:cs="Arial"/>
          <w:szCs w:val="24"/>
        </w:rPr>
      </w:pPr>
    </w:p>
    <w:p w:rsidR="005A0D7F" w:rsidRPr="0000603E" w:rsidRDefault="005A0D7F" w:rsidP="005A0D7F">
      <w:pPr>
        <w:spacing w:line="276" w:lineRule="auto"/>
        <w:jc w:val="both"/>
        <w:rPr>
          <w:rFonts w:ascii="Arial" w:hAnsi="Arial" w:cs="Arial"/>
          <w:b/>
          <w:szCs w:val="24"/>
        </w:rPr>
      </w:pPr>
      <w:r w:rsidRPr="0000603E">
        <w:rPr>
          <w:rFonts w:ascii="Arial" w:hAnsi="Arial" w:cs="Arial"/>
          <w:b/>
          <w:szCs w:val="24"/>
        </w:rPr>
        <w:t xml:space="preserve">2.3. IBL de la pensión de sobrevivientes </w:t>
      </w:r>
    </w:p>
    <w:p w:rsidR="005A0D7F" w:rsidRPr="0000603E" w:rsidRDefault="005A0D7F" w:rsidP="005A0D7F">
      <w:pPr>
        <w:spacing w:line="276" w:lineRule="auto"/>
        <w:jc w:val="both"/>
        <w:rPr>
          <w:rFonts w:ascii="Arial" w:hAnsi="Arial" w:cs="Arial"/>
          <w:b/>
          <w:szCs w:val="24"/>
        </w:rPr>
      </w:pPr>
    </w:p>
    <w:p w:rsidR="005A0D7F" w:rsidRPr="0000603E" w:rsidRDefault="005A0D7F" w:rsidP="005A0D7F">
      <w:pPr>
        <w:pStyle w:val="Sinespaciado"/>
        <w:spacing w:line="276" w:lineRule="auto"/>
        <w:contextualSpacing/>
        <w:jc w:val="both"/>
        <w:rPr>
          <w:rFonts w:ascii="Arial" w:hAnsi="Arial" w:cs="Arial"/>
          <w:b/>
          <w:sz w:val="24"/>
          <w:szCs w:val="24"/>
        </w:rPr>
      </w:pPr>
      <w:r w:rsidRPr="0000603E">
        <w:rPr>
          <w:rFonts w:ascii="Arial" w:hAnsi="Arial" w:cs="Arial"/>
          <w:b/>
          <w:sz w:val="24"/>
          <w:szCs w:val="24"/>
        </w:rPr>
        <w:t>2.3.1. Fundamento jurídico</w:t>
      </w:r>
    </w:p>
    <w:p w:rsidR="005A0D7F" w:rsidRPr="0000603E" w:rsidRDefault="005A0D7F" w:rsidP="005A0D7F">
      <w:pPr>
        <w:pStyle w:val="Sinespaciado"/>
        <w:spacing w:line="276" w:lineRule="auto"/>
        <w:contextualSpacing/>
        <w:jc w:val="both"/>
        <w:rPr>
          <w:rFonts w:ascii="Arial" w:hAnsi="Arial" w:cs="Arial"/>
          <w:b/>
          <w:sz w:val="24"/>
          <w:szCs w:val="24"/>
        </w:rPr>
      </w:pPr>
    </w:p>
    <w:p w:rsidR="005A0D7F" w:rsidRPr="0000603E" w:rsidRDefault="005A0D7F" w:rsidP="005A0D7F">
      <w:pPr>
        <w:pStyle w:val="Sinespaciado"/>
        <w:spacing w:line="276" w:lineRule="auto"/>
        <w:contextualSpacing/>
        <w:jc w:val="both"/>
        <w:rPr>
          <w:rFonts w:ascii="Arial" w:hAnsi="Arial" w:cs="Arial"/>
          <w:sz w:val="24"/>
          <w:szCs w:val="24"/>
        </w:rPr>
      </w:pPr>
      <w:r w:rsidRPr="0000603E">
        <w:rPr>
          <w:rFonts w:ascii="Arial" w:hAnsi="Arial" w:cs="Arial"/>
          <w:sz w:val="24"/>
          <w:szCs w:val="24"/>
        </w:rPr>
        <w:t>El órgano de cierre de la jurisdicción laboral</w:t>
      </w:r>
      <w:r w:rsidRPr="0000603E">
        <w:rPr>
          <w:rStyle w:val="Refdenotaalpie"/>
          <w:rFonts w:ascii="Arial" w:hAnsi="Arial" w:cs="Arial"/>
          <w:sz w:val="24"/>
          <w:szCs w:val="24"/>
        </w:rPr>
        <w:footnoteReference w:id="6"/>
      </w:r>
      <w:r w:rsidRPr="0000603E">
        <w:rPr>
          <w:rFonts w:ascii="Arial" w:hAnsi="Arial" w:cs="Arial"/>
          <w:sz w:val="24"/>
          <w:szCs w:val="24"/>
        </w:rPr>
        <w:t xml:space="preserve">, ha definido que </w:t>
      </w:r>
      <w:r w:rsidRPr="0000603E">
        <w:rPr>
          <w:rStyle w:val="nfasis"/>
          <w:rFonts w:ascii="Arial" w:hAnsi="Arial" w:cs="Arial"/>
          <w:sz w:val="24"/>
          <w:szCs w:val="24"/>
        </w:rPr>
        <w:t>para establecer e</w:t>
      </w:r>
      <w:r w:rsidRPr="0000603E">
        <w:rPr>
          <w:rFonts w:ascii="Arial" w:hAnsi="Arial" w:cs="Arial"/>
          <w:sz w:val="24"/>
          <w:szCs w:val="24"/>
        </w:rPr>
        <w:t xml:space="preserve">l monto de la pensión de sobrevivientes, reconocida en virtud del principio de la </w:t>
      </w:r>
      <w:r w:rsidRPr="0000603E">
        <w:rPr>
          <w:rFonts w:ascii="Arial" w:hAnsi="Arial" w:cs="Arial"/>
          <w:sz w:val="24"/>
          <w:szCs w:val="24"/>
        </w:rPr>
        <w:lastRenderedPageBreak/>
        <w:t>condición más beneficiosa, con base en el Acuerdo 049 de 1990, se debe acudir al inciso 2°</w:t>
      </w:r>
      <w:r w:rsidRPr="0000603E">
        <w:rPr>
          <w:rStyle w:val="Refdenotaalpie"/>
          <w:rFonts w:ascii="Arial" w:hAnsi="Arial" w:cs="Arial"/>
          <w:sz w:val="24"/>
          <w:szCs w:val="24"/>
        </w:rPr>
        <w:footnoteReference w:id="7"/>
      </w:r>
      <w:r w:rsidRPr="0000603E">
        <w:rPr>
          <w:rFonts w:ascii="Arial" w:hAnsi="Arial" w:cs="Arial"/>
          <w:sz w:val="24"/>
          <w:szCs w:val="24"/>
        </w:rPr>
        <w:t xml:space="preserve"> del artículo 48 de la Ley 100 de 1993.</w:t>
      </w:r>
    </w:p>
    <w:p w:rsidR="005A0D7F" w:rsidRPr="0000603E" w:rsidRDefault="005A0D7F" w:rsidP="005A0D7F">
      <w:pPr>
        <w:pStyle w:val="Sinespaciado"/>
        <w:spacing w:line="276" w:lineRule="auto"/>
        <w:contextualSpacing/>
        <w:jc w:val="both"/>
        <w:rPr>
          <w:rFonts w:ascii="Arial" w:hAnsi="Arial" w:cs="Arial"/>
          <w:sz w:val="24"/>
          <w:szCs w:val="24"/>
        </w:rPr>
      </w:pPr>
    </w:p>
    <w:p w:rsidR="005A0D7F" w:rsidRPr="0000603E" w:rsidRDefault="005A0D7F" w:rsidP="005A0D7F">
      <w:pPr>
        <w:pStyle w:val="Sinespaciado"/>
        <w:spacing w:line="276" w:lineRule="auto"/>
        <w:contextualSpacing/>
        <w:jc w:val="both"/>
        <w:rPr>
          <w:rFonts w:ascii="Arial" w:hAnsi="Arial" w:cs="Arial"/>
          <w:sz w:val="24"/>
          <w:szCs w:val="24"/>
        </w:rPr>
      </w:pPr>
      <w:r w:rsidRPr="0000603E">
        <w:rPr>
          <w:rFonts w:ascii="Arial" w:hAnsi="Arial" w:cs="Arial"/>
          <w:sz w:val="24"/>
          <w:szCs w:val="24"/>
        </w:rPr>
        <w:t>Por su parte, que el Ingreso Base de Liquidación se obtendrá de acuerdo con el inciso 2° del artículo 46 del Decreto 692 de 1994, esto, con el “</w:t>
      </w:r>
      <w:r w:rsidRPr="0000603E">
        <w:rPr>
          <w:rFonts w:ascii="Arial" w:hAnsi="Arial" w:cs="Arial"/>
          <w:i/>
          <w:sz w:val="24"/>
          <w:szCs w:val="24"/>
        </w:rPr>
        <w:t>promedio de los salarios o rentas mensuales cotizados durante todo el período de cotización, actualizados anualmente con base en la variación del índice de precios al consumidor, total nacional, según la certificación del DANE</w:t>
      </w:r>
      <w:r w:rsidR="00DE2D85">
        <w:rPr>
          <w:rFonts w:ascii="Arial" w:hAnsi="Arial" w:cs="Arial"/>
          <w:i/>
          <w:sz w:val="24"/>
          <w:szCs w:val="24"/>
        </w:rPr>
        <w:t>”</w:t>
      </w:r>
      <w:r w:rsidRPr="0000603E">
        <w:rPr>
          <w:rFonts w:ascii="Arial" w:hAnsi="Arial" w:cs="Arial"/>
          <w:sz w:val="24"/>
          <w:szCs w:val="24"/>
        </w:rPr>
        <w:t>.</w:t>
      </w:r>
    </w:p>
    <w:p w:rsidR="005A0D7F" w:rsidRPr="0000603E" w:rsidRDefault="005A0D7F" w:rsidP="005A0D7F">
      <w:pPr>
        <w:pStyle w:val="Sinespaciado"/>
        <w:spacing w:line="276" w:lineRule="auto"/>
        <w:contextualSpacing/>
        <w:jc w:val="both"/>
        <w:rPr>
          <w:rFonts w:ascii="Arial" w:hAnsi="Arial" w:cs="Arial"/>
          <w:b/>
          <w:sz w:val="24"/>
          <w:szCs w:val="24"/>
        </w:rPr>
      </w:pPr>
    </w:p>
    <w:p w:rsidR="005A0D7F" w:rsidRPr="0000603E" w:rsidRDefault="005A0D7F" w:rsidP="005A0D7F">
      <w:pPr>
        <w:pStyle w:val="Sinespaciado"/>
        <w:spacing w:line="276" w:lineRule="auto"/>
        <w:contextualSpacing/>
        <w:jc w:val="both"/>
        <w:rPr>
          <w:rFonts w:ascii="Arial" w:hAnsi="Arial" w:cs="Arial"/>
          <w:b/>
          <w:sz w:val="24"/>
          <w:szCs w:val="24"/>
        </w:rPr>
      </w:pPr>
      <w:r w:rsidRPr="0000603E">
        <w:rPr>
          <w:rFonts w:ascii="Arial" w:hAnsi="Arial" w:cs="Arial"/>
          <w:b/>
          <w:sz w:val="24"/>
          <w:szCs w:val="24"/>
        </w:rPr>
        <w:t>2.3.2. Fundamento fáctico</w:t>
      </w:r>
    </w:p>
    <w:p w:rsidR="005A0D7F" w:rsidRPr="0000603E" w:rsidRDefault="005A0D7F" w:rsidP="005A0D7F">
      <w:pPr>
        <w:pStyle w:val="Sinespaciado"/>
        <w:spacing w:line="276" w:lineRule="auto"/>
        <w:contextualSpacing/>
        <w:jc w:val="both"/>
        <w:rPr>
          <w:rFonts w:ascii="Arial" w:hAnsi="Arial" w:cs="Arial"/>
          <w:b/>
          <w:sz w:val="24"/>
          <w:szCs w:val="24"/>
        </w:rPr>
      </w:pPr>
    </w:p>
    <w:p w:rsidR="005A0D7F" w:rsidRDefault="005A0D7F" w:rsidP="005A0D7F">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De acuerdo con lo anterior y, teniendo en cuenta la información suministrada por la entidad demandada, a través de la historia laboral que compone los folios </w:t>
      </w:r>
      <w:r>
        <w:rPr>
          <w:rFonts w:ascii="Arial" w:hAnsi="Arial" w:cs="Arial"/>
          <w:sz w:val="24"/>
          <w:szCs w:val="24"/>
        </w:rPr>
        <w:t>78</w:t>
      </w:r>
      <w:r w:rsidRPr="0000603E">
        <w:rPr>
          <w:rFonts w:ascii="Arial" w:hAnsi="Arial" w:cs="Arial"/>
          <w:sz w:val="24"/>
          <w:szCs w:val="24"/>
        </w:rPr>
        <w:t xml:space="preserve"> y s.s. del cuaderno de primer grado, se tiene que en el presente caso, el IBL asciende a la suma de $</w:t>
      </w:r>
      <w:r w:rsidR="00D87A44">
        <w:rPr>
          <w:rFonts w:ascii="Arial" w:hAnsi="Arial" w:cs="Arial"/>
          <w:sz w:val="24"/>
          <w:szCs w:val="24"/>
        </w:rPr>
        <w:t>288.725</w:t>
      </w:r>
      <w:r w:rsidRPr="0000603E">
        <w:rPr>
          <w:rFonts w:ascii="Arial" w:hAnsi="Arial" w:cs="Arial"/>
          <w:sz w:val="24"/>
          <w:szCs w:val="24"/>
        </w:rPr>
        <w:t xml:space="preserve">, al que al aplicarle la tasa de reemplazo del </w:t>
      </w:r>
      <w:r>
        <w:rPr>
          <w:rFonts w:ascii="Arial" w:hAnsi="Arial" w:cs="Arial"/>
          <w:sz w:val="24"/>
          <w:szCs w:val="24"/>
        </w:rPr>
        <w:t>45</w:t>
      </w:r>
      <w:r w:rsidRPr="0000603E">
        <w:rPr>
          <w:rFonts w:ascii="Arial" w:hAnsi="Arial" w:cs="Arial"/>
          <w:sz w:val="24"/>
          <w:szCs w:val="24"/>
        </w:rPr>
        <w:t>%</w:t>
      </w:r>
      <w:r w:rsidRPr="0000603E">
        <w:rPr>
          <w:rStyle w:val="Refdenotaalpie"/>
          <w:rFonts w:ascii="Arial" w:hAnsi="Arial" w:cs="Arial"/>
          <w:sz w:val="24"/>
          <w:szCs w:val="24"/>
        </w:rPr>
        <w:footnoteReference w:id="8"/>
      </w:r>
      <w:r w:rsidRPr="0000603E">
        <w:rPr>
          <w:rFonts w:ascii="Arial" w:hAnsi="Arial" w:cs="Arial"/>
          <w:sz w:val="24"/>
          <w:szCs w:val="24"/>
        </w:rPr>
        <w:t>, arroja como monto de la primera mesada pensional la suma de $</w:t>
      </w:r>
      <w:r w:rsidR="00D87A44">
        <w:rPr>
          <w:rFonts w:ascii="Arial" w:hAnsi="Arial" w:cs="Arial"/>
          <w:sz w:val="24"/>
          <w:szCs w:val="24"/>
        </w:rPr>
        <w:t>129.926,32</w:t>
      </w:r>
      <w:r w:rsidRPr="0000603E">
        <w:rPr>
          <w:rFonts w:ascii="Arial" w:hAnsi="Arial" w:cs="Arial"/>
          <w:sz w:val="24"/>
          <w:szCs w:val="24"/>
        </w:rPr>
        <w:t xml:space="preserve">, </w:t>
      </w:r>
      <w:r>
        <w:rPr>
          <w:rFonts w:ascii="Arial" w:hAnsi="Arial" w:cs="Arial"/>
          <w:sz w:val="24"/>
          <w:szCs w:val="24"/>
        </w:rPr>
        <w:t>para el año 1996; sin embargo, como el monto obtenido resulta ser inferior al salario mínimo legal vigente, sobre este valor es que se reconocerá la prestación.</w:t>
      </w:r>
      <w:r w:rsidR="006F1F9C">
        <w:rPr>
          <w:rFonts w:ascii="Arial" w:hAnsi="Arial" w:cs="Arial"/>
          <w:sz w:val="24"/>
          <w:szCs w:val="24"/>
        </w:rPr>
        <w:t xml:space="preserve"> </w:t>
      </w:r>
    </w:p>
    <w:p w:rsidR="00591063" w:rsidRDefault="00591063" w:rsidP="005A0D7F">
      <w:pPr>
        <w:pStyle w:val="Sinespaciado"/>
        <w:spacing w:line="276" w:lineRule="auto"/>
        <w:contextualSpacing/>
        <w:jc w:val="both"/>
        <w:rPr>
          <w:rFonts w:ascii="Arial" w:hAnsi="Arial" w:cs="Arial"/>
          <w:sz w:val="24"/>
          <w:szCs w:val="24"/>
        </w:rPr>
      </w:pPr>
    </w:p>
    <w:p w:rsidR="00591063" w:rsidRPr="0000603E" w:rsidRDefault="00591063" w:rsidP="005A0D7F">
      <w:pPr>
        <w:pStyle w:val="Sinespaciado"/>
        <w:spacing w:line="276" w:lineRule="auto"/>
        <w:contextualSpacing/>
        <w:jc w:val="both"/>
        <w:rPr>
          <w:rFonts w:ascii="Arial" w:hAnsi="Arial" w:cs="Arial"/>
          <w:b/>
          <w:sz w:val="24"/>
          <w:szCs w:val="24"/>
        </w:rPr>
      </w:pPr>
      <w:r>
        <w:rPr>
          <w:rFonts w:ascii="Arial" w:hAnsi="Arial" w:cs="Arial"/>
          <w:sz w:val="24"/>
          <w:szCs w:val="24"/>
        </w:rPr>
        <w:t xml:space="preserve">La prestación se reconocerá por catorce mesadas anuales, teniendo en cuenta que se causó </w:t>
      </w:r>
      <w:r w:rsidR="00231C0C">
        <w:rPr>
          <w:rFonts w:ascii="Arial" w:hAnsi="Arial" w:cs="Arial"/>
          <w:sz w:val="24"/>
          <w:szCs w:val="24"/>
        </w:rPr>
        <w:t>con anterioridad a la expedición del acto legislativo 01 de 2005.</w:t>
      </w:r>
    </w:p>
    <w:p w:rsidR="005A0D7F" w:rsidRPr="0000603E" w:rsidRDefault="005A0D7F" w:rsidP="005A0D7F">
      <w:pPr>
        <w:spacing w:line="276" w:lineRule="auto"/>
        <w:jc w:val="both"/>
        <w:rPr>
          <w:rFonts w:ascii="Arial" w:hAnsi="Arial" w:cs="Arial"/>
          <w:szCs w:val="24"/>
        </w:rPr>
      </w:pPr>
    </w:p>
    <w:p w:rsidR="005A0D7F" w:rsidRDefault="005A0D7F" w:rsidP="005A0D7F">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 De la prescripción</w:t>
      </w:r>
    </w:p>
    <w:p w:rsidR="007257DE" w:rsidRPr="0000603E" w:rsidRDefault="007257DE" w:rsidP="005A0D7F">
      <w:pPr>
        <w:pStyle w:val="Sinespaciado"/>
        <w:spacing w:line="276" w:lineRule="auto"/>
        <w:contextualSpacing/>
        <w:jc w:val="both"/>
        <w:rPr>
          <w:rFonts w:ascii="Arial" w:hAnsi="Arial" w:cs="Arial"/>
          <w:b/>
          <w:sz w:val="24"/>
          <w:szCs w:val="24"/>
        </w:rPr>
      </w:pPr>
    </w:p>
    <w:p w:rsidR="005A0D7F" w:rsidRPr="0000603E" w:rsidRDefault="005A0D7F" w:rsidP="005A0D7F">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2.4.1. Fundamento jurídico</w:t>
      </w:r>
    </w:p>
    <w:p w:rsidR="005A0D7F" w:rsidRPr="0000603E" w:rsidRDefault="005A0D7F" w:rsidP="005A0D7F">
      <w:pPr>
        <w:pStyle w:val="Sinespaciado"/>
        <w:spacing w:line="276" w:lineRule="auto"/>
        <w:contextualSpacing/>
        <w:jc w:val="both"/>
        <w:rPr>
          <w:rFonts w:ascii="Arial" w:hAnsi="Arial" w:cs="Arial"/>
          <w:b/>
          <w:sz w:val="24"/>
          <w:szCs w:val="24"/>
        </w:rPr>
      </w:pPr>
    </w:p>
    <w:p w:rsidR="005A0D7F" w:rsidRPr="0000603E" w:rsidRDefault="005A0D7F" w:rsidP="005A0D7F">
      <w:pPr>
        <w:pStyle w:val="Sinespaciado"/>
        <w:spacing w:line="276" w:lineRule="auto"/>
        <w:contextualSpacing/>
        <w:jc w:val="both"/>
        <w:rPr>
          <w:rFonts w:ascii="Arial" w:hAnsi="Arial" w:cs="Arial"/>
          <w:sz w:val="24"/>
          <w:szCs w:val="24"/>
        </w:rPr>
      </w:pPr>
      <w:r w:rsidRPr="0000603E">
        <w:rPr>
          <w:rFonts w:ascii="Arial" w:hAnsi="Arial" w:cs="Arial"/>
          <w:sz w:val="24"/>
          <w:szCs w:val="24"/>
        </w:rPr>
        <w:t>De conformidad con</w:t>
      </w:r>
      <w:r w:rsidR="00F07911">
        <w:rPr>
          <w:rFonts w:ascii="Arial" w:hAnsi="Arial" w:cs="Arial"/>
          <w:sz w:val="24"/>
          <w:szCs w:val="24"/>
        </w:rPr>
        <w:t xml:space="preserve"> el </w:t>
      </w:r>
      <w:r w:rsidRPr="0000603E">
        <w:rPr>
          <w:rFonts w:ascii="Arial" w:hAnsi="Arial" w:cs="Arial"/>
          <w:sz w:val="24"/>
          <w:szCs w:val="24"/>
        </w:rPr>
        <w:t xml:space="preserve">artículo 151 del C.P.L. las acciones que se deriven de los derechos laborales prescriben en los 3 años, contados desde que la obligación se haya hecho exigible, </w:t>
      </w:r>
      <w:r>
        <w:rPr>
          <w:rFonts w:ascii="Arial" w:hAnsi="Arial" w:cs="Arial"/>
          <w:sz w:val="24"/>
          <w:szCs w:val="24"/>
        </w:rPr>
        <w:t>que para el caso de las pensiones de sobrevivientes lo es la muerte del afiliado o pensionado</w:t>
      </w:r>
      <w:r w:rsidRPr="0000603E">
        <w:rPr>
          <w:rFonts w:ascii="Arial" w:hAnsi="Arial" w:cs="Arial"/>
          <w:sz w:val="24"/>
          <w:szCs w:val="24"/>
        </w:rPr>
        <w:t>.</w:t>
      </w:r>
    </w:p>
    <w:p w:rsidR="005A0D7F" w:rsidRPr="0000603E" w:rsidRDefault="005A0D7F" w:rsidP="005A0D7F">
      <w:pPr>
        <w:pStyle w:val="Sinespaciado"/>
        <w:spacing w:line="276" w:lineRule="auto"/>
        <w:contextualSpacing/>
        <w:jc w:val="both"/>
        <w:rPr>
          <w:rFonts w:ascii="Arial" w:hAnsi="Arial" w:cs="Arial"/>
          <w:sz w:val="24"/>
          <w:szCs w:val="24"/>
        </w:rPr>
      </w:pPr>
    </w:p>
    <w:p w:rsidR="005A0D7F" w:rsidRPr="0000603E" w:rsidRDefault="005A0D7F" w:rsidP="005A0D7F">
      <w:pPr>
        <w:pStyle w:val="Sinespaciado"/>
        <w:spacing w:line="276" w:lineRule="auto"/>
        <w:contextualSpacing/>
        <w:jc w:val="both"/>
        <w:rPr>
          <w:rFonts w:ascii="Arial" w:hAnsi="Arial" w:cs="Arial"/>
          <w:sz w:val="24"/>
          <w:szCs w:val="24"/>
        </w:rPr>
      </w:pPr>
      <w:r w:rsidRPr="0000603E">
        <w:rPr>
          <w:rFonts w:ascii="Arial" w:hAnsi="Arial" w:cs="Arial"/>
          <w:sz w:val="24"/>
          <w:szCs w:val="24"/>
        </w:rPr>
        <w:t>Por su parte, el artículo 6 del Código Adjetivo Laboral, indica que cuando la acción se dirija en contra de la Nación o cualquier autoridad de la administración pública, debe agotarse la reclamación administrativa y que ella se entiende surtida, cuando la misma ha sido resuelta</w:t>
      </w:r>
      <w:r w:rsidR="006F2EA3">
        <w:rPr>
          <w:rFonts w:ascii="Arial" w:hAnsi="Arial" w:cs="Arial"/>
          <w:sz w:val="24"/>
          <w:szCs w:val="24"/>
        </w:rPr>
        <w:t>,</w:t>
      </w:r>
      <w:r w:rsidRPr="0000603E">
        <w:rPr>
          <w:rFonts w:ascii="Arial" w:hAnsi="Arial" w:cs="Arial"/>
          <w:sz w:val="24"/>
          <w:szCs w:val="24"/>
        </w:rPr>
        <w:t xml:space="preserve"> o </w:t>
      </w:r>
      <w:proofErr w:type="gramStart"/>
      <w:r w:rsidRPr="0000603E">
        <w:rPr>
          <w:rFonts w:ascii="Arial" w:hAnsi="Arial" w:cs="Arial"/>
          <w:sz w:val="24"/>
          <w:szCs w:val="24"/>
        </w:rPr>
        <w:t>transcurrido</w:t>
      </w:r>
      <w:proofErr w:type="gramEnd"/>
      <w:r w:rsidRPr="0000603E">
        <w:rPr>
          <w:rFonts w:ascii="Arial" w:hAnsi="Arial" w:cs="Arial"/>
          <w:sz w:val="24"/>
          <w:szCs w:val="24"/>
        </w:rPr>
        <w:t xml:space="preserve"> un mes desde su presentación, no lo ha sido.</w:t>
      </w:r>
    </w:p>
    <w:p w:rsidR="005A0D7F" w:rsidRPr="0000603E" w:rsidRDefault="005A0D7F" w:rsidP="005A0D7F">
      <w:pPr>
        <w:pStyle w:val="Sinespaciado"/>
        <w:spacing w:line="276" w:lineRule="auto"/>
        <w:contextualSpacing/>
        <w:jc w:val="both"/>
        <w:rPr>
          <w:rFonts w:ascii="Arial" w:hAnsi="Arial" w:cs="Arial"/>
          <w:sz w:val="24"/>
          <w:szCs w:val="24"/>
        </w:rPr>
      </w:pPr>
    </w:p>
    <w:p w:rsidR="005A0D7F" w:rsidRPr="0000603E" w:rsidRDefault="005A0D7F" w:rsidP="005A0D7F">
      <w:pPr>
        <w:pStyle w:val="Sinespaciado"/>
        <w:spacing w:line="276" w:lineRule="auto"/>
        <w:contextualSpacing/>
        <w:jc w:val="both"/>
        <w:rPr>
          <w:rFonts w:ascii="Arial" w:hAnsi="Arial" w:cs="Arial"/>
          <w:sz w:val="24"/>
          <w:szCs w:val="24"/>
        </w:rPr>
      </w:pPr>
      <w:r w:rsidRPr="0000603E">
        <w:rPr>
          <w:rFonts w:ascii="Arial" w:hAnsi="Arial" w:cs="Arial"/>
          <w:sz w:val="24"/>
          <w:szCs w:val="24"/>
        </w:rPr>
        <w:t>Así mismo, que mientras esté pendiente el agotamiento de la reclamación administrativa, se suspende el término de prescripción de la respectiva acción.</w:t>
      </w:r>
    </w:p>
    <w:p w:rsidR="005A0D7F" w:rsidRPr="0000603E" w:rsidRDefault="005A0D7F" w:rsidP="005A0D7F">
      <w:pPr>
        <w:pStyle w:val="Sinespaciado"/>
        <w:spacing w:line="276" w:lineRule="auto"/>
        <w:contextualSpacing/>
        <w:jc w:val="both"/>
        <w:rPr>
          <w:rFonts w:ascii="Arial" w:hAnsi="Arial" w:cs="Arial"/>
          <w:sz w:val="24"/>
          <w:szCs w:val="24"/>
        </w:rPr>
      </w:pPr>
    </w:p>
    <w:p w:rsidR="005A0D7F" w:rsidRPr="0000603E" w:rsidRDefault="005A0D7F" w:rsidP="005A0D7F">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2.4.2. Fundamento fáctico</w:t>
      </w:r>
    </w:p>
    <w:p w:rsidR="005A0D7F" w:rsidRPr="0000603E" w:rsidRDefault="005A0D7F" w:rsidP="005A0D7F">
      <w:pPr>
        <w:pStyle w:val="Sinespaciado"/>
        <w:spacing w:line="276" w:lineRule="auto"/>
        <w:contextualSpacing/>
        <w:jc w:val="both"/>
        <w:rPr>
          <w:rFonts w:ascii="Arial" w:hAnsi="Arial" w:cs="Arial"/>
          <w:sz w:val="24"/>
          <w:szCs w:val="24"/>
        </w:rPr>
      </w:pPr>
    </w:p>
    <w:p w:rsidR="005A0D7F" w:rsidRDefault="005A0D7F" w:rsidP="005A0D7F">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Descendiendo al caso concreto, se advierte que la señora </w:t>
      </w:r>
      <w:r>
        <w:rPr>
          <w:rFonts w:ascii="Arial" w:hAnsi="Arial" w:cs="Arial"/>
          <w:sz w:val="24"/>
          <w:szCs w:val="24"/>
        </w:rPr>
        <w:t xml:space="preserve">Gloria </w:t>
      </w:r>
      <w:proofErr w:type="spellStart"/>
      <w:r>
        <w:rPr>
          <w:rFonts w:ascii="Arial" w:hAnsi="Arial" w:cs="Arial"/>
          <w:sz w:val="24"/>
          <w:szCs w:val="24"/>
        </w:rPr>
        <w:t>Eucaris</w:t>
      </w:r>
      <w:proofErr w:type="spellEnd"/>
      <w:r>
        <w:rPr>
          <w:rFonts w:ascii="Arial" w:hAnsi="Arial" w:cs="Arial"/>
          <w:sz w:val="24"/>
          <w:szCs w:val="24"/>
        </w:rPr>
        <w:t xml:space="preserve"> Sánchez Castro</w:t>
      </w:r>
      <w:r w:rsidRPr="0000603E">
        <w:rPr>
          <w:rFonts w:ascii="Arial" w:hAnsi="Arial" w:cs="Arial"/>
          <w:sz w:val="24"/>
          <w:szCs w:val="24"/>
        </w:rPr>
        <w:t xml:space="preserve">, indicó en el libelo introductorio </w:t>
      </w:r>
      <w:r>
        <w:rPr>
          <w:rFonts w:ascii="Arial" w:hAnsi="Arial" w:cs="Arial"/>
          <w:sz w:val="24"/>
          <w:szCs w:val="24"/>
        </w:rPr>
        <w:t xml:space="preserve">y de ello también da cuenta la Resolución N° </w:t>
      </w:r>
      <w:r>
        <w:rPr>
          <w:rFonts w:ascii="Arial" w:hAnsi="Arial" w:cs="Arial"/>
          <w:sz w:val="24"/>
          <w:szCs w:val="24"/>
        </w:rPr>
        <w:lastRenderedPageBreak/>
        <w:t>GNR 137960 de 2013 –</w:t>
      </w:r>
      <w:proofErr w:type="spellStart"/>
      <w:r>
        <w:rPr>
          <w:rFonts w:ascii="Arial" w:hAnsi="Arial" w:cs="Arial"/>
          <w:sz w:val="24"/>
          <w:szCs w:val="24"/>
        </w:rPr>
        <w:t>fl</w:t>
      </w:r>
      <w:proofErr w:type="spellEnd"/>
      <w:r>
        <w:rPr>
          <w:rFonts w:ascii="Arial" w:hAnsi="Arial" w:cs="Arial"/>
          <w:sz w:val="24"/>
          <w:szCs w:val="24"/>
        </w:rPr>
        <w:t xml:space="preserve">. 34- </w:t>
      </w:r>
      <w:r w:rsidRPr="0000603E">
        <w:rPr>
          <w:rFonts w:ascii="Arial" w:hAnsi="Arial" w:cs="Arial"/>
          <w:sz w:val="24"/>
          <w:szCs w:val="24"/>
        </w:rPr>
        <w:t xml:space="preserve">que el </w:t>
      </w:r>
      <w:r>
        <w:rPr>
          <w:rFonts w:ascii="Arial" w:hAnsi="Arial" w:cs="Arial"/>
          <w:sz w:val="24"/>
          <w:szCs w:val="24"/>
        </w:rPr>
        <w:t xml:space="preserve">15 </w:t>
      </w:r>
      <w:r w:rsidRPr="0000603E">
        <w:rPr>
          <w:rFonts w:ascii="Arial" w:hAnsi="Arial" w:cs="Arial"/>
          <w:sz w:val="24"/>
          <w:szCs w:val="24"/>
        </w:rPr>
        <w:t xml:space="preserve">de </w:t>
      </w:r>
      <w:r>
        <w:rPr>
          <w:rFonts w:ascii="Arial" w:hAnsi="Arial" w:cs="Arial"/>
          <w:sz w:val="24"/>
          <w:szCs w:val="24"/>
        </w:rPr>
        <w:t xml:space="preserve">diciembre </w:t>
      </w:r>
      <w:r w:rsidRPr="0000603E">
        <w:rPr>
          <w:rFonts w:ascii="Arial" w:hAnsi="Arial" w:cs="Arial"/>
          <w:sz w:val="24"/>
          <w:szCs w:val="24"/>
        </w:rPr>
        <w:t xml:space="preserve">de </w:t>
      </w:r>
      <w:r>
        <w:rPr>
          <w:rFonts w:ascii="Arial" w:hAnsi="Arial" w:cs="Arial"/>
          <w:sz w:val="24"/>
          <w:szCs w:val="24"/>
        </w:rPr>
        <w:t>2010</w:t>
      </w:r>
      <w:r w:rsidRPr="0000603E">
        <w:rPr>
          <w:rFonts w:ascii="Arial" w:hAnsi="Arial" w:cs="Arial"/>
          <w:i/>
          <w:sz w:val="24"/>
          <w:szCs w:val="24"/>
        </w:rPr>
        <w:t>,</w:t>
      </w:r>
      <w:r w:rsidRPr="0000603E">
        <w:rPr>
          <w:rFonts w:ascii="Arial" w:hAnsi="Arial" w:cs="Arial"/>
          <w:sz w:val="24"/>
          <w:szCs w:val="24"/>
        </w:rPr>
        <w:t xml:space="preserve"> solicitó el reconocimiento de la pensión de sobrevivientes ante el ISS, quien le resolvió el </w:t>
      </w:r>
      <w:r>
        <w:rPr>
          <w:rFonts w:ascii="Arial" w:hAnsi="Arial" w:cs="Arial"/>
          <w:sz w:val="24"/>
          <w:szCs w:val="24"/>
        </w:rPr>
        <w:t xml:space="preserve">20 de junio </w:t>
      </w:r>
      <w:r w:rsidRPr="0000603E">
        <w:rPr>
          <w:rFonts w:ascii="Arial" w:hAnsi="Arial" w:cs="Arial"/>
          <w:sz w:val="24"/>
          <w:szCs w:val="24"/>
        </w:rPr>
        <w:t xml:space="preserve">de </w:t>
      </w:r>
      <w:r>
        <w:rPr>
          <w:rFonts w:ascii="Arial" w:hAnsi="Arial" w:cs="Arial"/>
          <w:sz w:val="24"/>
          <w:szCs w:val="24"/>
        </w:rPr>
        <w:t>2013</w:t>
      </w:r>
      <w:r w:rsidRPr="0000603E">
        <w:rPr>
          <w:rFonts w:ascii="Arial" w:hAnsi="Arial" w:cs="Arial"/>
          <w:sz w:val="24"/>
          <w:szCs w:val="24"/>
        </w:rPr>
        <w:t xml:space="preserve">, sin que exista prueba de la fecha en que </w:t>
      </w:r>
      <w:r>
        <w:rPr>
          <w:rFonts w:ascii="Arial" w:hAnsi="Arial" w:cs="Arial"/>
          <w:sz w:val="24"/>
          <w:szCs w:val="24"/>
        </w:rPr>
        <w:t xml:space="preserve">le </w:t>
      </w:r>
      <w:r w:rsidRPr="0000603E">
        <w:rPr>
          <w:rFonts w:ascii="Arial" w:hAnsi="Arial" w:cs="Arial"/>
          <w:sz w:val="24"/>
          <w:szCs w:val="24"/>
        </w:rPr>
        <w:t>fue notificada a la actora la decisión, pero que incluso, teniéndola, sería cercana a aquella y no cambiaría el resultado que se explicará a continuación.</w:t>
      </w:r>
    </w:p>
    <w:p w:rsidR="00F07911" w:rsidRPr="0000603E" w:rsidRDefault="00F07911" w:rsidP="005A0D7F">
      <w:pPr>
        <w:pStyle w:val="Sinespaciado"/>
        <w:spacing w:line="276" w:lineRule="auto"/>
        <w:contextualSpacing/>
        <w:jc w:val="both"/>
        <w:rPr>
          <w:rFonts w:ascii="Arial" w:hAnsi="Arial" w:cs="Arial"/>
          <w:sz w:val="24"/>
          <w:szCs w:val="24"/>
        </w:rPr>
      </w:pPr>
    </w:p>
    <w:p w:rsidR="005A0D7F" w:rsidRDefault="005A0D7F" w:rsidP="005A0D7F">
      <w:pPr>
        <w:spacing w:line="276" w:lineRule="auto"/>
        <w:jc w:val="both"/>
        <w:rPr>
          <w:rFonts w:ascii="Arial" w:hAnsi="Arial" w:cs="Arial"/>
          <w:szCs w:val="24"/>
        </w:rPr>
      </w:pPr>
      <w:r w:rsidRPr="0000603E">
        <w:rPr>
          <w:rFonts w:ascii="Arial" w:hAnsi="Arial" w:cs="Arial"/>
          <w:szCs w:val="24"/>
        </w:rPr>
        <w:t xml:space="preserve">Conforme lo anterior, desde la fecha en que se hizo exigible el derecho, </w:t>
      </w:r>
      <w:r>
        <w:rPr>
          <w:rFonts w:ascii="Arial" w:hAnsi="Arial" w:cs="Arial"/>
          <w:szCs w:val="24"/>
        </w:rPr>
        <w:t>25</w:t>
      </w:r>
      <w:r w:rsidRPr="0000603E">
        <w:rPr>
          <w:rFonts w:ascii="Arial" w:hAnsi="Arial" w:cs="Arial"/>
          <w:szCs w:val="24"/>
        </w:rPr>
        <w:t xml:space="preserve"> de </w:t>
      </w:r>
      <w:r>
        <w:rPr>
          <w:rFonts w:ascii="Arial" w:hAnsi="Arial" w:cs="Arial"/>
          <w:szCs w:val="24"/>
        </w:rPr>
        <w:t xml:space="preserve">abril </w:t>
      </w:r>
      <w:r w:rsidRPr="0000603E">
        <w:rPr>
          <w:rFonts w:ascii="Arial" w:hAnsi="Arial" w:cs="Arial"/>
          <w:szCs w:val="24"/>
        </w:rPr>
        <w:t xml:space="preserve">de 1996, cuando falleció el señor </w:t>
      </w:r>
      <w:r>
        <w:rPr>
          <w:rFonts w:ascii="Arial" w:hAnsi="Arial" w:cs="Arial"/>
          <w:szCs w:val="24"/>
        </w:rPr>
        <w:t>Eduardo Antonio Gallego García</w:t>
      </w:r>
      <w:r w:rsidRPr="0000603E">
        <w:rPr>
          <w:rFonts w:ascii="Arial" w:hAnsi="Arial" w:cs="Arial"/>
          <w:szCs w:val="24"/>
        </w:rPr>
        <w:t xml:space="preserve">, y la fecha en que se radicó la reclamación administrativa </w:t>
      </w:r>
      <w:r>
        <w:rPr>
          <w:rFonts w:ascii="Arial" w:hAnsi="Arial" w:cs="Arial"/>
          <w:szCs w:val="24"/>
        </w:rPr>
        <w:t>15</w:t>
      </w:r>
      <w:r w:rsidRPr="0000603E">
        <w:rPr>
          <w:rFonts w:ascii="Arial" w:hAnsi="Arial" w:cs="Arial"/>
          <w:szCs w:val="24"/>
        </w:rPr>
        <w:t xml:space="preserve"> de </w:t>
      </w:r>
      <w:r>
        <w:rPr>
          <w:rFonts w:ascii="Arial" w:hAnsi="Arial" w:cs="Arial"/>
          <w:szCs w:val="24"/>
        </w:rPr>
        <w:t xml:space="preserve">diciembre </w:t>
      </w:r>
      <w:r w:rsidRPr="0000603E">
        <w:rPr>
          <w:rFonts w:ascii="Arial" w:hAnsi="Arial" w:cs="Arial"/>
          <w:szCs w:val="24"/>
        </w:rPr>
        <w:t xml:space="preserve">de </w:t>
      </w:r>
      <w:r>
        <w:rPr>
          <w:rFonts w:ascii="Arial" w:hAnsi="Arial" w:cs="Arial"/>
          <w:szCs w:val="24"/>
        </w:rPr>
        <w:t>2010</w:t>
      </w:r>
      <w:r w:rsidRPr="0000603E">
        <w:rPr>
          <w:rFonts w:ascii="Arial" w:hAnsi="Arial" w:cs="Arial"/>
          <w:szCs w:val="24"/>
        </w:rPr>
        <w:t>,</w:t>
      </w:r>
      <w:r>
        <w:rPr>
          <w:rFonts w:ascii="Arial" w:hAnsi="Arial" w:cs="Arial"/>
          <w:szCs w:val="24"/>
        </w:rPr>
        <w:t xml:space="preserve"> transcurrieron más de 3 años, por lo que se encuentran prescritas las mesadas causadas </w:t>
      </w:r>
      <w:r w:rsidR="006732CE">
        <w:rPr>
          <w:rFonts w:ascii="Arial" w:hAnsi="Arial" w:cs="Arial"/>
          <w:szCs w:val="24"/>
        </w:rPr>
        <w:t>en los tres años anteriores</w:t>
      </w:r>
      <w:r>
        <w:rPr>
          <w:rFonts w:ascii="Arial" w:hAnsi="Arial" w:cs="Arial"/>
          <w:szCs w:val="24"/>
        </w:rPr>
        <w:t>.</w:t>
      </w:r>
    </w:p>
    <w:p w:rsidR="00E956F4" w:rsidRDefault="00E956F4" w:rsidP="005A0D7F">
      <w:pPr>
        <w:spacing w:line="276" w:lineRule="auto"/>
        <w:jc w:val="both"/>
        <w:rPr>
          <w:rFonts w:ascii="Arial" w:hAnsi="Arial" w:cs="Arial"/>
          <w:szCs w:val="24"/>
        </w:rPr>
      </w:pPr>
    </w:p>
    <w:p w:rsidR="005A0D7F" w:rsidRDefault="00E956F4" w:rsidP="005A0D7F">
      <w:pPr>
        <w:spacing w:line="276" w:lineRule="auto"/>
        <w:jc w:val="both"/>
        <w:rPr>
          <w:rFonts w:ascii="Arial" w:hAnsi="Arial" w:cs="Arial"/>
          <w:szCs w:val="24"/>
        </w:rPr>
      </w:pPr>
      <w:r>
        <w:rPr>
          <w:rFonts w:ascii="Arial" w:hAnsi="Arial" w:cs="Arial"/>
          <w:szCs w:val="24"/>
        </w:rPr>
        <w:t xml:space="preserve">No obstante, esa petición tuvo la virtualidad de interrumpir la prescripción en los términos de los artículos 151 C.P.L. y 488 de C.S.T., pero como la entidad solo resolvió hasta el 20 de junio </w:t>
      </w:r>
      <w:r w:rsidRPr="0000603E">
        <w:rPr>
          <w:rFonts w:ascii="Arial" w:hAnsi="Arial" w:cs="Arial"/>
          <w:szCs w:val="24"/>
        </w:rPr>
        <w:t xml:space="preserve">de </w:t>
      </w:r>
      <w:r>
        <w:rPr>
          <w:rFonts w:ascii="Arial" w:hAnsi="Arial" w:cs="Arial"/>
          <w:szCs w:val="24"/>
        </w:rPr>
        <w:t xml:space="preserve">2013, es en esta calenda donde debe entenderse agotada la reclamación administrativa, conforme al artículo 6 del C.P.L., lo que a su vez genera que el nuevo término prescriptivo haya quedado suspendido hasta ese mismo momento, de donde se concluye que la actora tenía hasta el 20 de junio de 2016 para </w:t>
      </w:r>
      <w:r w:rsidRPr="0000603E">
        <w:rPr>
          <w:rFonts w:ascii="Arial" w:hAnsi="Arial" w:cs="Arial"/>
          <w:szCs w:val="24"/>
        </w:rPr>
        <w:t>acudir a la vía jurisdic</w:t>
      </w:r>
      <w:r>
        <w:rPr>
          <w:rFonts w:ascii="Arial" w:hAnsi="Arial" w:cs="Arial"/>
          <w:szCs w:val="24"/>
        </w:rPr>
        <w:t>cional para reclamar su derecho, como en efecto lo hizo.</w:t>
      </w:r>
    </w:p>
    <w:p w:rsidR="005A0D7F" w:rsidRDefault="005A0D7F" w:rsidP="005A0D7F">
      <w:pPr>
        <w:spacing w:line="276" w:lineRule="auto"/>
        <w:jc w:val="both"/>
        <w:rPr>
          <w:rFonts w:ascii="Arial" w:hAnsi="Arial" w:cs="Arial"/>
          <w:szCs w:val="24"/>
        </w:rPr>
      </w:pPr>
    </w:p>
    <w:p w:rsidR="005A0D7F" w:rsidRDefault="00E956F4" w:rsidP="005A0D7F">
      <w:pPr>
        <w:spacing w:line="276" w:lineRule="auto"/>
        <w:jc w:val="both"/>
        <w:rPr>
          <w:rFonts w:ascii="Arial" w:hAnsi="Arial"/>
          <w:szCs w:val="24"/>
        </w:rPr>
      </w:pPr>
      <w:r>
        <w:rPr>
          <w:rFonts w:ascii="Arial" w:hAnsi="Arial" w:cs="Arial"/>
          <w:szCs w:val="24"/>
        </w:rPr>
        <w:t xml:space="preserve">Consecuente con ello, solo se </w:t>
      </w:r>
      <w:r w:rsidR="005A0D7F">
        <w:rPr>
          <w:rFonts w:ascii="Arial" w:hAnsi="Arial" w:cs="Arial"/>
          <w:szCs w:val="24"/>
        </w:rPr>
        <w:t xml:space="preserve">encuentran prescritas las mesadas causadas con anterioridad al </w:t>
      </w:r>
      <w:r>
        <w:rPr>
          <w:rFonts w:ascii="Arial" w:hAnsi="Arial" w:cs="Arial"/>
          <w:szCs w:val="24"/>
        </w:rPr>
        <w:t>15</w:t>
      </w:r>
      <w:r w:rsidR="005A0D7F">
        <w:rPr>
          <w:rFonts w:ascii="Arial" w:hAnsi="Arial" w:cs="Arial"/>
          <w:szCs w:val="24"/>
        </w:rPr>
        <w:t xml:space="preserve"> de </w:t>
      </w:r>
      <w:r>
        <w:rPr>
          <w:rFonts w:ascii="Arial" w:hAnsi="Arial" w:cs="Arial"/>
          <w:szCs w:val="24"/>
        </w:rPr>
        <w:t xml:space="preserve">diciembre </w:t>
      </w:r>
      <w:r w:rsidR="005A0D7F">
        <w:rPr>
          <w:rFonts w:ascii="Arial" w:hAnsi="Arial" w:cs="Arial"/>
          <w:szCs w:val="24"/>
        </w:rPr>
        <w:t>de 20</w:t>
      </w:r>
      <w:r w:rsidR="006732CE">
        <w:rPr>
          <w:rFonts w:ascii="Arial" w:hAnsi="Arial" w:cs="Arial"/>
          <w:szCs w:val="24"/>
        </w:rPr>
        <w:t>07</w:t>
      </w:r>
      <w:r w:rsidR="005A0D7F">
        <w:rPr>
          <w:rFonts w:ascii="Arial" w:hAnsi="Arial" w:cs="Arial"/>
          <w:szCs w:val="24"/>
        </w:rPr>
        <w:t xml:space="preserve">, </w:t>
      </w:r>
      <w:r>
        <w:rPr>
          <w:rFonts w:ascii="Arial" w:hAnsi="Arial" w:cs="Arial"/>
          <w:szCs w:val="24"/>
        </w:rPr>
        <w:t xml:space="preserve">por lo que el retroactivo pensional </w:t>
      </w:r>
      <w:r w:rsidR="005A0D7F" w:rsidRPr="0000603E">
        <w:rPr>
          <w:rFonts w:ascii="Arial" w:hAnsi="Arial"/>
          <w:szCs w:val="24"/>
        </w:rPr>
        <w:t>causado a favor de la demandante, será el liquidado entre e</w:t>
      </w:r>
      <w:r>
        <w:rPr>
          <w:rFonts w:ascii="Arial" w:hAnsi="Arial"/>
          <w:szCs w:val="24"/>
        </w:rPr>
        <w:t xml:space="preserve">sa fecha </w:t>
      </w:r>
      <w:r w:rsidR="005A0D7F" w:rsidRPr="0000603E">
        <w:rPr>
          <w:rFonts w:ascii="Arial" w:hAnsi="Arial"/>
          <w:szCs w:val="24"/>
        </w:rPr>
        <w:t>y el 3</w:t>
      </w:r>
      <w:r>
        <w:rPr>
          <w:rFonts w:ascii="Arial" w:hAnsi="Arial"/>
          <w:szCs w:val="24"/>
        </w:rPr>
        <w:t>0</w:t>
      </w:r>
      <w:r w:rsidR="005A0D7F" w:rsidRPr="0000603E">
        <w:rPr>
          <w:rFonts w:ascii="Arial" w:hAnsi="Arial"/>
          <w:szCs w:val="24"/>
        </w:rPr>
        <w:t xml:space="preserve"> de </w:t>
      </w:r>
      <w:r>
        <w:rPr>
          <w:rFonts w:ascii="Arial" w:hAnsi="Arial"/>
          <w:szCs w:val="24"/>
        </w:rPr>
        <w:t xml:space="preserve">septiembre </w:t>
      </w:r>
      <w:r w:rsidR="005A0D7F" w:rsidRPr="0000603E">
        <w:rPr>
          <w:rFonts w:ascii="Arial" w:hAnsi="Arial"/>
          <w:szCs w:val="24"/>
        </w:rPr>
        <w:t xml:space="preserve">de 2016, por valor de </w:t>
      </w:r>
      <w:r w:rsidR="005A0D7F" w:rsidRPr="0000603E">
        <w:rPr>
          <w:rFonts w:ascii="Arial" w:hAnsi="Arial" w:cs="Arial"/>
          <w:szCs w:val="24"/>
        </w:rPr>
        <w:t>$</w:t>
      </w:r>
      <w:r w:rsidR="00D87A44">
        <w:rPr>
          <w:rFonts w:ascii="Arial" w:hAnsi="Arial" w:cs="Arial"/>
          <w:szCs w:val="24"/>
        </w:rPr>
        <w:t>55´469.494</w:t>
      </w:r>
      <w:r w:rsidR="005A0D7F">
        <w:rPr>
          <w:rFonts w:ascii="Arial" w:hAnsi="Arial" w:cs="Arial"/>
          <w:szCs w:val="24"/>
        </w:rPr>
        <w:t xml:space="preserve">, </w:t>
      </w:r>
      <w:r w:rsidR="005A0D7F" w:rsidRPr="0000603E">
        <w:rPr>
          <w:rFonts w:ascii="Arial" w:hAnsi="Arial"/>
          <w:szCs w:val="24"/>
        </w:rPr>
        <w:t>conforme a la liquidación que se pone de presente a los asistentes y hace parte integral del acta que se suscriba con ocasión de esta diligencia.</w:t>
      </w:r>
    </w:p>
    <w:p w:rsidR="005535ED" w:rsidRDefault="005535ED" w:rsidP="005535ED">
      <w:pPr>
        <w:pStyle w:val="Textoindependiente"/>
        <w:spacing w:line="276" w:lineRule="auto"/>
        <w:rPr>
          <w:b/>
          <w:szCs w:val="24"/>
        </w:rPr>
      </w:pPr>
    </w:p>
    <w:p w:rsidR="005535ED" w:rsidRDefault="005535ED" w:rsidP="005535ED">
      <w:pPr>
        <w:pStyle w:val="Textoindependiente"/>
        <w:spacing w:line="276" w:lineRule="auto"/>
        <w:rPr>
          <w:b/>
          <w:szCs w:val="24"/>
        </w:rPr>
      </w:pPr>
      <w:r>
        <w:rPr>
          <w:b/>
          <w:szCs w:val="24"/>
        </w:rPr>
        <w:t>2.</w:t>
      </w:r>
      <w:r w:rsidR="00186C09">
        <w:rPr>
          <w:b/>
          <w:szCs w:val="24"/>
        </w:rPr>
        <w:t>5</w:t>
      </w:r>
      <w:r>
        <w:rPr>
          <w:b/>
          <w:szCs w:val="24"/>
        </w:rPr>
        <w:t xml:space="preserve">. </w:t>
      </w:r>
      <w:r w:rsidRPr="00EB4D35">
        <w:rPr>
          <w:b/>
          <w:szCs w:val="24"/>
        </w:rPr>
        <w:t>Intereses moratorios</w:t>
      </w:r>
    </w:p>
    <w:p w:rsidR="005535ED" w:rsidRDefault="005535ED" w:rsidP="005535ED">
      <w:pPr>
        <w:pStyle w:val="Textoindependiente"/>
        <w:spacing w:line="276" w:lineRule="auto"/>
        <w:rPr>
          <w:b/>
          <w:szCs w:val="24"/>
        </w:rPr>
      </w:pPr>
    </w:p>
    <w:p w:rsidR="005535ED" w:rsidRDefault="005535ED" w:rsidP="005535ED">
      <w:pPr>
        <w:pStyle w:val="Textoindependiente"/>
        <w:spacing w:line="276" w:lineRule="auto"/>
        <w:rPr>
          <w:b/>
          <w:szCs w:val="24"/>
        </w:rPr>
      </w:pPr>
      <w:r>
        <w:rPr>
          <w:b/>
          <w:szCs w:val="24"/>
        </w:rPr>
        <w:t>2.</w:t>
      </w:r>
      <w:r w:rsidR="00186C09">
        <w:rPr>
          <w:b/>
          <w:szCs w:val="24"/>
        </w:rPr>
        <w:t>5</w:t>
      </w:r>
      <w:r>
        <w:rPr>
          <w:b/>
          <w:szCs w:val="24"/>
        </w:rPr>
        <w:t>.1. Fundamento jurídico</w:t>
      </w:r>
    </w:p>
    <w:p w:rsidR="005535ED" w:rsidRPr="00EB4D35" w:rsidRDefault="005535ED" w:rsidP="005535ED">
      <w:pPr>
        <w:pStyle w:val="Textoindependiente"/>
        <w:spacing w:line="276" w:lineRule="auto"/>
        <w:rPr>
          <w:b/>
          <w:szCs w:val="24"/>
        </w:rPr>
      </w:pPr>
    </w:p>
    <w:p w:rsidR="005535ED" w:rsidRDefault="005535ED" w:rsidP="005535ED">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 meses contados a partir del momento en que se radique la solicitud de reconocimiento pensional con el lleno de todos los requisitos legales.</w:t>
      </w:r>
    </w:p>
    <w:p w:rsidR="00781BA2" w:rsidRDefault="00781BA2" w:rsidP="005535ED">
      <w:pPr>
        <w:pStyle w:val="Textoindependiente"/>
        <w:spacing w:line="276" w:lineRule="auto"/>
        <w:rPr>
          <w:szCs w:val="24"/>
        </w:rPr>
      </w:pPr>
    </w:p>
    <w:p w:rsidR="00781BA2" w:rsidRDefault="00781BA2" w:rsidP="004B2ADD">
      <w:pPr>
        <w:spacing w:line="276" w:lineRule="auto"/>
        <w:ind w:firstLine="2"/>
        <w:jc w:val="both"/>
        <w:rPr>
          <w:szCs w:val="24"/>
        </w:rPr>
      </w:pPr>
      <w:r w:rsidRPr="004B2ADD">
        <w:rPr>
          <w:rFonts w:ascii="Arial" w:hAnsi="Arial" w:cs="Arial"/>
          <w:szCs w:val="24"/>
        </w:rPr>
        <w:t xml:space="preserve">Sin embargo, cuando la prestación se reconoce en virtud de una interpretación </w:t>
      </w:r>
      <w:r w:rsidR="004B2ADD">
        <w:rPr>
          <w:rFonts w:ascii="Arial" w:hAnsi="Arial" w:cs="Arial"/>
          <w:szCs w:val="24"/>
        </w:rPr>
        <w:t xml:space="preserve">normativa </w:t>
      </w:r>
      <w:r w:rsidRPr="004B2ADD">
        <w:rPr>
          <w:rFonts w:ascii="Arial" w:hAnsi="Arial" w:cs="Arial"/>
          <w:szCs w:val="24"/>
        </w:rPr>
        <w:t>favorable, la jurisprudencia ha definido que no hay lugar a emitir condena por este concepto, tal y como se extrae del contenido de</w:t>
      </w:r>
      <w:r w:rsidR="004B2ADD" w:rsidRPr="004B2ADD">
        <w:rPr>
          <w:rFonts w:ascii="Arial" w:hAnsi="Arial" w:cs="Arial"/>
          <w:szCs w:val="24"/>
        </w:rPr>
        <w:t xml:space="preserve"> la sentencia SL16390-2015</w:t>
      </w:r>
      <w:r w:rsidR="004B2ADD">
        <w:rPr>
          <w:rFonts w:ascii="Arial" w:hAnsi="Arial" w:cs="Arial"/>
          <w:szCs w:val="24"/>
        </w:rPr>
        <w:t>, radicación N</w:t>
      </w:r>
      <w:r w:rsidR="004B2ADD" w:rsidRPr="004B2ADD">
        <w:rPr>
          <w:rFonts w:ascii="Arial" w:hAnsi="Arial" w:cs="Arial"/>
          <w:szCs w:val="24"/>
        </w:rPr>
        <w:t xml:space="preserve">° 40868 del 20 de octubre de 2015, de la Corte Suprema de Justicia, con ponencia del doctor Luis Gabriel Miranda </w:t>
      </w:r>
      <w:proofErr w:type="spellStart"/>
      <w:r w:rsidR="004B2ADD" w:rsidRPr="004B2ADD">
        <w:rPr>
          <w:rFonts w:ascii="Arial" w:hAnsi="Arial" w:cs="Arial"/>
          <w:szCs w:val="24"/>
        </w:rPr>
        <w:t>Buelvas</w:t>
      </w:r>
      <w:proofErr w:type="spellEnd"/>
      <w:r w:rsidR="004B2ADD">
        <w:rPr>
          <w:rFonts w:ascii="Arial" w:hAnsi="Arial" w:cs="Arial"/>
          <w:szCs w:val="24"/>
        </w:rPr>
        <w:t>.</w:t>
      </w:r>
    </w:p>
    <w:p w:rsidR="005535ED" w:rsidRDefault="005535ED" w:rsidP="005535ED">
      <w:pPr>
        <w:pStyle w:val="Textoindependiente"/>
        <w:spacing w:line="276" w:lineRule="auto"/>
        <w:rPr>
          <w:szCs w:val="24"/>
        </w:rPr>
      </w:pPr>
    </w:p>
    <w:p w:rsidR="005535ED" w:rsidRPr="00406E7E" w:rsidRDefault="00186C09" w:rsidP="005535ED">
      <w:pPr>
        <w:pStyle w:val="Textoindependiente"/>
        <w:spacing w:line="276" w:lineRule="auto"/>
        <w:rPr>
          <w:b/>
          <w:szCs w:val="24"/>
        </w:rPr>
      </w:pPr>
      <w:r>
        <w:rPr>
          <w:b/>
          <w:szCs w:val="24"/>
        </w:rPr>
        <w:t>2.5</w:t>
      </w:r>
      <w:r w:rsidR="005535ED" w:rsidRPr="00406E7E">
        <w:rPr>
          <w:b/>
          <w:szCs w:val="24"/>
        </w:rPr>
        <w:t>.2. Fundamento fáctico</w:t>
      </w:r>
    </w:p>
    <w:p w:rsidR="005535ED" w:rsidRDefault="005535ED" w:rsidP="005535ED">
      <w:pPr>
        <w:pStyle w:val="Textoindependiente"/>
        <w:spacing w:line="276" w:lineRule="auto"/>
        <w:rPr>
          <w:szCs w:val="24"/>
        </w:rPr>
      </w:pPr>
    </w:p>
    <w:p w:rsidR="00781BA2" w:rsidRDefault="00781BA2" w:rsidP="001F6B88">
      <w:pPr>
        <w:spacing w:line="276" w:lineRule="auto"/>
        <w:jc w:val="both"/>
        <w:rPr>
          <w:rFonts w:ascii="Arial" w:hAnsi="Arial" w:cs="Arial"/>
          <w:szCs w:val="24"/>
        </w:rPr>
      </w:pPr>
      <w:r>
        <w:rPr>
          <w:rFonts w:ascii="Arial" w:hAnsi="Arial" w:cs="Arial"/>
          <w:szCs w:val="24"/>
        </w:rPr>
        <w:lastRenderedPageBreak/>
        <w:t>De conformidad con el análisis efectuado en precedencia, la pensión de sobrevivientes que aquí se reconoce se hace en aplicación del principio de la condición más beneficiosa, dado que en virtud de la Ley 100 de 1993, vigente a la muerte del afiliado, no se cumplían con los requisitos</w:t>
      </w:r>
      <w:r w:rsidR="00132A38">
        <w:rPr>
          <w:rFonts w:ascii="Arial" w:hAnsi="Arial" w:cs="Arial"/>
          <w:szCs w:val="24"/>
        </w:rPr>
        <w:t xml:space="preserve"> allí  previstos</w:t>
      </w:r>
      <w:r>
        <w:rPr>
          <w:rFonts w:ascii="Arial" w:hAnsi="Arial" w:cs="Arial"/>
          <w:szCs w:val="24"/>
        </w:rPr>
        <w:t xml:space="preserve">, por lo tanto, los intereses no son procedentes en los términos señalados en la ley; no obstante, se accederá a </w:t>
      </w:r>
      <w:r w:rsidR="00132A38">
        <w:rPr>
          <w:rFonts w:ascii="Arial" w:hAnsi="Arial" w:cs="Arial"/>
          <w:szCs w:val="24"/>
        </w:rPr>
        <w:t>el</w:t>
      </w:r>
      <w:r>
        <w:rPr>
          <w:rFonts w:ascii="Arial" w:hAnsi="Arial" w:cs="Arial"/>
          <w:szCs w:val="24"/>
        </w:rPr>
        <w:t>los, a partir de la ejecutoria de esta decisión.</w:t>
      </w: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r w:rsidRPr="009269DA">
        <w:rPr>
          <w:rFonts w:ascii="Arial" w:hAnsi="Arial" w:cs="Arial"/>
          <w:b/>
          <w:color w:val="000000"/>
          <w:szCs w:val="24"/>
          <w:lang w:eastAsia="es-CO"/>
        </w:rPr>
        <w:t>CONCLUSIÓN</w:t>
      </w: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p>
    <w:p w:rsidR="0078325C" w:rsidRDefault="0078325C" w:rsidP="0078325C">
      <w:pPr>
        <w:shd w:val="clear" w:color="auto" w:fill="FFFFFF"/>
        <w:tabs>
          <w:tab w:val="left" w:pos="5197"/>
        </w:tabs>
        <w:spacing w:line="276" w:lineRule="auto"/>
        <w:jc w:val="both"/>
        <w:rPr>
          <w:rFonts w:ascii="Arial" w:hAnsi="Arial" w:cs="Arial"/>
          <w:color w:val="000000"/>
          <w:szCs w:val="24"/>
          <w:lang w:eastAsia="es-CO"/>
        </w:rPr>
      </w:pPr>
      <w:r w:rsidRPr="009269DA">
        <w:rPr>
          <w:rFonts w:ascii="Arial" w:hAnsi="Arial" w:cs="Arial"/>
          <w:color w:val="000000"/>
          <w:szCs w:val="24"/>
          <w:lang w:eastAsia="es-CO"/>
        </w:rPr>
        <w:t>Conforme lo expuesto, la decisión r</w:t>
      </w:r>
      <w:r w:rsidR="00B04D65">
        <w:rPr>
          <w:rFonts w:ascii="Arial" w:hAnsi="Arial" w:cs="Arial"/>
          <w:color w:val="000000"/>
          <w:szCs w:val="24"/>
          <w:lang w:eastAsia="es-CO"/>
        </w:rPr>
        <w:t xml:space="preserve">evisada será </w:t>
      </w:r>
      <w:r w:rsidR="00186C09">
        <w:rPr>
          <w:rFonts w:ascii="Arial" w:hAnsi="Arial" w:cs="Arial"/>
          <w:color w:val="000000"/>
          <w:szCs w:val="24"/>
          <w:lang w:eastAsia="es-CO"/>
        </w:rPr>
        <w:t xml:space="preserve">revocada, </w:t>
      </w:r>
      <w:r w:rsidR="00D914F9">
        <w:rPr>
          <w:rFonts w:ascii="Arial" w:hAnsi="Arial" w:cs="Arial"/>
          <w:color w:val="000000"/>
          <w:szCs w:val="24"/>
          <w:lang w:eastAsia="es-CO"/>
        </w:rPr>
        <w:t xml:space="preserve">para en su lugar ordenar el reconocimiento de la pensión de sobrevivientes a favor de la señora Gloria </w:t>
      </w:r>
      <w:proofErr w:type="spellStart"/>
      <w:r w:rsidR="00D914F9">
        <w:rPr>
          <w:rFonts w:ascii="Arial" w:hAnsi="Arial" w:cs="Arial"/>
          <w:color w:val="000000"/>
          <w:szCs w:val="24"/>
          <w:lang w:eastAsia="es-CO"/>
        </w:rPr>
        <w:t>Eucaris</w:t>
      </w:r>
      <w:proofErr w:type="spellEnd"/>
      <w:r w:rsidR="00D914F9">
        <w:rPr>
          <w:rFonts w:ascii="Arial" w:hAnsi="Arial" w:cs="Arial"/>
          <w:color w:val="000000"/>
          <w:szCs w:val="24"/>
          <w:lang w:eastAsia="es-CO"/>
        </w:rPr>
        <w:t xml:space="preserve"> Sánchez Castro.</w:t>
      </w:r>
    </w:p>
    <w:p w:rsidR="00231C0C" w:rsidRDefault="00231C0C" w:rsidP="0078325C">
      <w:pPr>
        <w:shd w:val="clear" w:color="auto" w:fill="FFFFFF"/>
        <w:tabs>
          <w:tab w:val="left" w:pos="5197"/>
        </w:tabs>
        <w:spacing w:line="276" w:lineRule="auto"/>
        <w:jc w:val="both"/>
        <w:rPr>
          <w:rFonts w:ascii="Arial" w:hAnsi="Arial" w:cs="Arial"/>
          <w:color w:val="000000"/>
          <w:szCs w:val="24"/>
          <w:lang w:eastAsia="es-CO"/>
        </w:rPr>
      </w:pPr>
    </w:p>
    <w:p w:rsidR="0078325C" w:rsidRDefault="0078325C" w:rsidP="0078325C">
      <w:pPr>
        <w:spacing w:line="276" w:lineRule="auto"/>
        <w:jc w:val="both"/>
        <w:rPr>
          <w:rFonts w:ascii="Arial" w:hAnsi="Arial" w:cs="Arial"/>
          <w:szCs w:val="24"/>
        </w:rPr>
      </w:pPr>
      <w:r w:rsidRPr="009269DA">
        <w:rPr>
          <w:rFonts w:ascii="Arial" w:hAnsi="Arial" w:cs="Arial"/>
          <w:szCs w:val="24"/>
        </w:rPr>
        <w:t xml:space="preserve">Costas en </w:t>
      </w:r>
      <w:r w:rsidR="00D914F9">
        <w:rPr>
          <w:rFonts w:ascii="Arial" w:hAnsi="Arial" w:cs="Arial"/>
          <w:szCs w:val="24"/>
        </w:rPr>
        <w:t>ambas instancias a cargo de la entidad demandada.</w:t>
      </w:r>
      <w:r w:rsidR="00231C0C">
        <w:rPr>
          <w:rFonts w:ascii="Arial" w:hAnsi="Arial" w:cs="Arial"/>
          <w:szCs w:val="24"/>
        </w:rPr>
        <w:t xml:space="preserve"> Las de primera en proporción al 80% dada la prosperidad parcial de la excepción de prescripción propuesta por esa entidad.</w:t>
      </w:r>
    </w:p>
    <w:p w:rsidR="00D914F9" w:rsidRPr="009269DA" w:rsidRDefault="00D914F9" w:rsidP="0078325C">
      <w:pPr>
        <w:spacing w:line="276" w:lineRule="auto"/>
        <w:jc w:val="both"/>
        <w:rPr>
          <w:rFonts w:ascii="Arial" w:hAnsi="Arial" w:cs="Arial"/>
          <w:szCs w:val="24"/>
        </w:rPr>
      </w:pPr>
    </w:p>
    <w:p w:rsidR="0078325C" w:rsidRPr="009269DA" w:rsidRDefault="0078325C" w:rsidP="0078325C">
      <w:pPr>
        <w:spacing w:line="276" w:lineRule="auto"/>
        <w:jc w:val="center"/>
        <w:rPr>
          <w:rFonts w:ascii="Arial" w:hAnsi="Arial" w:cs="Arial"/>
          <w:b/>
          <w:szCs w:val="24"/>
        </w:rPr>
      </w:pPr>
      <w:r w:rsidRPr="009269DA">
        <w:rPr>
          <w:rFonts w:ascii="Arial" w:hAnsi="Arial" w:cs="Arial"/>
          <w:b/>
          <w:szCs w:val="24"/>
        </w:rPr>
        <w:t>DECISIÓN</w:t>
      </w:r>
    </w:p>
    <w:p w:rsidR="0078325C" w:rsidRPr="009269DA" w:rsidRDefault="0078325C" w:rsidP="009249A0">
      <w:pPr>
        <w:spacing w:after="160" w:line="276" w:lineRule="auto"/>
        <w:ind w:firstLine="709"/>
        <w:jc w:val="both"/>
        <w:rPr>
          <w:rFonts w:ascii="Arial" w:hAnsi="Arial" w:cs="Arial"/>
          <w:szCs w:val="24"/>
        </w:rPr>
      </w:pPr>
    </w:p>
    <w:p w:rsidR="00226D5F" w:rsidRPr="009269DA" w:rsidRDefault="00226D5F" w:rsidP="0078325C">
      <w:pPr>
        <w:pStyle w:val="Prrafodelista2"/>
        <w:spacing w:after="0"/>
        <w:ind w:left="0"/>
        <w:jc w:val="both"/>
        <w:rPr>
          <w:rFonts w:ascii="Arial" w:hAnsi="Arial" w:cs="Arial"/>
          <w:sz w:val="24"/>
          <w:szCs w:val="24"/>
        </w:rPr>
      </w:pPr>
      <w:r w:rsidRPr="009269DA">
        <w:rPr>
          <w:rFonts w:ascii="Arial" w:hAnsi="Arial" w:cs="Arial"/>
          <w:sz w:val="24"/>
          <w:szCs w:val="24"/>
        </w:rPr>
        <w:t xml:space="preserve">En mérito de lo expuesto, el </w:t>
      </w:r>
      <w:r w:rsidRPr="009269DA">
        <w:rPr>
          <w:rFonts w:ascii="Arial" w:hAnsi="Arial" w:cs="Arial"/>
          <w:b/>
          <w:sz w:val="24"/>
          <w:szCs w:val="24"/>
        </w:rPr>
        <w:t xml:space="preserve">Tribunal Superior del Distrito Judicial de Pereira - Risaralda, Sala </w:t>
      </w:r>
      <w:r w:rsidR="003718EC" w:rsidRPr="009269DA">
        <w:rPr>
          <w:rFonts w:ascii="Arial" w:hAnsi="Arial" w:cs="Arial"/>
          <w:b/>
          <w:sz w:val="24"/>
          <w:szCs w:val="24"/>
        </w:rPr>
        <w:t xml:space="preserve">Cuarta </w:t>
      </w:r>
      <w:r w:rsidR="004779EB" w:rsidRPr="009269DA">
        <w:rPr>
          <w:rFonts w:ascii="Arial" w:hAnsi="Arial" w:cs="Arial"/>
          <w:b/>
          <w:sz w:val="24"/>
          <w:szCs w:val="24"/>
        </w:rPr>
        <w:t xml:space="preserve">de Decisión </w:t>
      </w:r>
      <w:r w:rsidRPr="009269DA">
        <w:rPr>
          <w:rFonts w:ascii="Arial" w:hAnsi="Arial" w:cs="Arial"/>
          <w:b/>
          <w:sz w:val="24"/>
          <w:szCs w:val="24"/>
        </w:rPr>
        <w:t>Laboral,</w:t>
      </w:r>
      <w:r w:rsidRPr="009269DA">
        <w:rPr>
          <w:rFonts w:ascii="Arial" w:hAnsi="Arial" w:cs="Arial"/>
          <w:sz w:val="24"/>
          <w:szCs w:val="24"/>
        </w:rPr>
        <w:t xml:space="preserve"> administrando justicia en nombre de la República y por autoridad de la ley,</w:t>
      </w:r>
    </w:p>
    <w:p w:rsidR="00D578CB" w:rsidRPr="009269DA" w:rsidRDefault="00D578CB" w:rsidP="00F017BF">
      <w:pPr>
        <w:pStyle w:val="Prrafodelista2"/>
        <w:spacing w:after="0"/>
        <w:ind w:left="0" w:firstLine="708"/>
        <w:jc w:val="both"/>
        <w:rPr>
          <w:rFonts w:ascii="Arial" w:hAnsi="Arial" w:cs="Arial"/>
          <w:sz w:val="24"/>
          <w:szCs w:val="24"/>
        </w:rPr>
      </w:pPr>
    </w:p>
    <w:p w:rsidR="00226D5F" w:rsidRDefault="00D578CB" w:rsidP="00F017BF">
      <w:pPr>
        <w:spacing w:line="276" w:lineRule="auto"/>
        <w:jc w:val="center"/>
        <w:rPr>
          <w:rFonts w:ascii="Arial" w:hAnsi="Arial" w:cs="Arial"/>
          <w:b/>
          <w:szCs w:val="24"/>
        </w:rPr>
      </w:pPr>
      <w:r w:rsidRPr="009269DA">
        <w:rPr>
          <w:rFonts w:ascii="Arial" w:hAnsi="Arial" w:cs="Arial"/>
          <w:b/>
          <w:szCs w:val="24"/>
        </w:rPr>
        <w:t>RESUELVE</w:t>
      </w:r>
    </w:p>
    <w:p w:rsidR="004A057C" w:rsidRPr="009269DA" w:rsidRDefault="004A057C" w:rsidP="00F017BF">
      <w:pPr>
        <w:spacing w:line="276" w:lineRule="auto"/>
        <w:jc w:val="center"/>
        <w:rPr>
          <w:rFonts w:ascii="Arial" w:hAnsi="Arial" w:cs="Arial"/>
          <w:b/>
          <w:szCs w:val="24"/>
        </w:rPr>
      </w:pPr>
    </w:p>
    <w:p w:rsidR="00134C86" w:rsidRDefault="00572BE9" w:rsidP="0078325C">
      <w:pPr>
        <w:spacing w:line="276" w:lineRule="auto"/>
        <w:jc w:val="both"/>
        <w:rPr>
          <w:rFonts w:ascii="Arial" w:hAnsi="Arial" w:cs="Arial"/>
          <w:bCs/>
          <w:iCs/>
          <w:szCs w:val="24"/>
        </w:rPr>
      </w:pPr>
      <w:r w:rsidRPr="00D914F9">
        <w:rPr>
          <w:rFonts w:ascii="Arial" w:hAnsi="Arial" w:cs="Arial"/>
          <w:b/>
          <w:spacing w:val="-2"/>
          <w:szCs w:val="24"/>
          <w:u w:val="single"/>
        </w:rPr>
        <w:t>PRIMERO</w:t>
      </w:r>
      <w:r w:rsidRPr="009269DA">
        <w:rPr>
          <w:rFonts w:ascii="Arial" w:hAnsi="Arial" w:cs="Arial"/>
          <w:b/>
          <w:spacing w:val="-2"/>
          <w:szCs w:val="24"/>
        </w:rPr>
        <w:t xml:space="preserve">: </w:t>
      </w:r>
      <w:r w:rsidR="00D914F9">
        <w:rPr>
          <w:rFonts w:ascii="Arial" w:hAnsi="Arial" w:cs="Arial"/>
          <w:b/>
          <w:spacing w:val="-2"/>
          <w:szCs w:val="24"/>
        </w:rPr>
        <w:t xml:space="preserve">REVOCAR </w:t>
      </w:r>
      <w:r w:rsidR="00134C86" w:rsidRPr="009269DA">
        <w:rPr>
          <w:rFonts w:ascii="Arial" w:hAnsi="Arial" w:cs="Arial"/>
          <w:spacing w:val="-2"/>
          <w:szCs w:val="24"/>
        </w:rPr>
        <w:t>l</w:t>
      </w:r>
      <w:r w:rsidR="00134C86" w:rsidRPr="009269DA">
        <w:rPr>
          <w:rFonts w:ascii="Arial" w:hAnsi="Arial" w:cs="Arial"/>
          <w:szCs w:val="24"/>
        </w:rPr>
        <w:t xml:space="preserve">a sentencia proferida el </w:t>
      </w:r>
      <w:r w:rsidR="00FD2EF2">
        <w:rPr>
          <w:rFonts w:ascii="Arial" w:hAnsi="Arial" w:cs="Arial"/>
          <w:szCs w:val="24"/>
        </w:rPr>
        <w:t xml:space="preserve">07 </w:t>
      </w:r>
      <w:r w:rsidR="00134C86" w:rsidRPr="009269DA">
        <w:rPr>
          <w:rFonts w:ascii="Arial" w:hAnsi="Arial" w:cs="Arial"/>
          <w:szCs w:val="24"/>
        </w:rPr>
        <w:t xml:space="preserve">de </w:t>
      </w:r>
      <w:r w:rsidR="00FD2EF2">
        <w:rPr>
          <w:rFonts w:ascii="Arial" w:hAnsi="Arial" w:cs="Arial"/>
          <w:szCs w:val="24"/>
        </w:rPr>
        <w:t xml:space="preserve">octubre </w:t>
      </w:r>
      <w:r w:rsidR="00134C86" w:rsidRPr="009269DA">
        <w:rPr>
          <w:rFonts w:ascii="Arial" w:hAnsi="Arial" w:cs="Arial"/>
          <w:szCs w:val="24"/>
        </w:rPr>
        <w:t>de 201</w:t>
      </w:r>
      <w:r w:rsidR="00FD2EF2">
        <w:rPr>
          <w:rFonts w:ascii="Arial" w:hAnsi="Arial" w:cs="Arial"/>
          <w:szCs w:val="24"/>
        </w:rPr>
        <w:t>5</w:t>
      </w:r>
      <w:r w:rsidR="00565E83" w:rsidRPr="009269DA">
        <w:rPr>
          <w:rFonts w:ascii="Arial" w:hAnsi="Arial" w:cs="Arial"/>
          <w:szCs w:val="24"/>
        </w:rPr>
        <w:t xml:space="preserve"> </w:t>
      </w:r>
      <w:r w:rsidR="00134C86" w:rsidRPr="009269DA">
        <w:rPr>
          <w:rFonts w:ascii="Arial" w:hAnsi="Arial" w:cs="Arial"/>
          <w:szCs w:val="24"/>
        </w:rPr>
        <w:t xml:space="preserve">por el Juzgado </w:t>
      </w:r>
      <w:r w:rsidR="00FA42C7">
        <w:rPr>
          <w:rFonts w:ascii="Arial" w:hAnsi="Arial" w:cs="Arial"/>
          <w:szCs w:val="24"/>
        </w:rPr>
        <w:t xml:space="preserve">Quinto </w:t>
      </w:r>
      <w:r w:rsidR="00134C86" w:rsidRPr="009269DA">
        <w:rPr>
          <w:rFonts w:ascii="Arial" w:hAnsi="Arial" w:cs="Arial"/>
          <w:szCs w:val="24"/>
        </w:rPr>
        <w:t xml:space="preserve">Laboral del Circuito de Pereira, dentro del proceso ordinario laboral </w:t>
      </w:r>
      <w:r w:rsidR="001667FB" w:rsidRPr="009269DA">
        <w:rPr>
          <w:rFonts w:ascii="Arial" w:hAnsi="Arial" w:cs="Arial"/>
          <w:szCs w:val="24"/>
        </w:rPr>
        <w:t xml:space="preserve">propuesto por </w:t>
      </w:r>
      <w:r w:rsidR="00FD2EF2">
        <w:rPr>
          <w:rFonts w:ascii="Arial" w:hAnsi="Arial" w:cs="Arial"/>
          <w:szCs w:val="24"/>
        </w:rPr>
        <w:t xml:space="preserve">la </w:t>
      </w:r>
      <w:r w:rsidR="001667FB" w:rsidRPr="009269DA">
        <w:rPr>
          <w:rFonts w:ascii="Arial" w:hAnsi="Arial" w:cs="Arial"/>
          <w:szCs w:val="24"/>
        </w:rPr>
        <w:t>señor</w:t>
      </w:r>
      <w:r w:rsidR="00FD2EF2">
        <w:rPr>
          <w:rFonts w:ascii="Arial" w:hAnsi="Arial" w:cs="Arial"/>
          <w:szCs w:val="24"/>
        </w:rPr>
        <w:t>a</w:t>
      </w:r>
      <w:r w:rsidR="001667FB" w:rsidRPr="009269DA">
        <w:rPr>
          <w:rFonts w:ascii="Arial" w:hAnsi="Arial" w:cs="Arial"/>
          <w:szCs w:val="24"/>
        </w:rPr>
        <w:t xml:space="preserve"> </w:t>
      </w:r>
      <w:r w:rsidR="002B7A17">
        <w:rPr>
          <w:rFonts w:ascii="Arial" w:hAnsi="Arial" w:cs="Arial"/>
          <w:b/>
          <w:iCs/>
          <w:szCs w:val="24"/>
        </w:rPr>
        <w:t xml:space="preserve">Gloria </w:t>
      </w:r>
      <w:proofErr w:type="spellStart"/>
      <w:r w:rsidR="002B7A17">
        <w:rPr>
          <w:rFonts w:ascii="Arial" w:hAnsi="Arial" w:cs="Arial"/>
          <w:b/>
          <w:iCs/>
          <w:szCs w:val="24"/>
        </w:rPr>
        <w:t>Eucaris</w:t>
      </w:r>
      <w:proofErr w:type="spellEnd"/>
      <w:r w:rsidR="002B7A17">
        <w:rPr>
          <w:rFonts w:ascii="Arial" w:hAnsi="Arial" w:cs="Arial"/>
          <w:b/>
          <w:iCs/>
          <w:szCs w:val="24"/>
        </w:rPr>
        <w:t xml:space="preserve"> Sánchez Castro</w:t>
      </w:r>
      <w:r w:rsidR="00FA42C7">
        <w:rPr>
          <w:rFonts w:ascii="Arial" w:hAnsi="Arial" w:cs="Arial"/>
          <w:b/>
          <w:iCs/>
          <w:szCs w:val="24"/>
        </w:rPr>
        <w:t xml:space="preserve"> </w:t>
      </w:r>
      <w:r w:rsidR="00134C86" w:rsidRPr="009269DA">
        <w:rPr>
          <w:rFonts w:ascii="Arial" w:hAnsi="Arial" w:cs="Arial"/>
          <w:szCs w:val="24"/>
        </w:rPr>
        <w:t xml:space="preserve">contra la </w:t>
      </w:r>
      <w:r w:rsidR="00134C86" w:rsidRPr="009269DA">
        <w:rPr>
          <w:rFonts w:ascii="Arial" w:hAnsi="Arial" w:cs="Arial"/>
          <w:b/>
          <w:szCs w:val="24"/>
        </w:rPr>
        <w:t>Administradora Colombiana de Pensiones</w:t>
      </w:r>
      <w:r w:rsidR="00134C86" w:rsidRPr="009269DA">
        <w:rPr>
          <w:rFonts w:ascii="Arial" w:hAnsi="Arial" w:cs="Arial"/>
          <w:szCs w:val="24"/>
        </w:rPr>
        <w:t xml:space="preserve"> </w:t>
      </w:r>
      <w:r w:rsidRPr="009269DA">
        <w:rPr>
          <w:rFonts w:ascii="Arial" w:hAnsi="Arial" w:cs="Arial"/>
          <w:b/>
          <w:bCs/>
          <w:szCs w:val="24"/>
        </w:rPr>
        <w:t>COLPENSIONES</w:t>
      </w:r>
      <w:r w:rsidR="00134C86" w:rsidRPr="009269DA">
        <w:rPr>
          <w:rFonts w:ascii="Arial" w:hAnsi="Arial" w:cs="Arial"/>
          <w:bCs/>
          <w:iCs/>
          <w:szCs w:val="24"/>
        </w:rPr>
        <w:t>,</w:t>
      </w:r>
      <w:r w:rsidR="00A70128" w:rsidRPr="009269DA">
        <w:rPr>
          <w:rFonts w:ascii="Arial" w:hAnsi="Arial" w:cs="Arial"/>
          <w:bCs/>
          <w:iCs/>
          <w:szCs w:val="24"/>
        </w:rPr>
        <w:t xml:space="preserve"> conforme a l</w:t>
      </w:r>
      <w:r w:rsidR="00C62F29" w:rsidRPr="009269DA">
        <w:rPr>
          <w:rFonts w:ascii="Arial" w:hAnsi="Arial" w:cs="Arial"/>
          <w:bCs/>
          <w:iCs/>
          <w:szCs w:val="24"/>
        </w:rPr>
        <w:t>as consideraciones que preceden</w:t>
      </w:r>
      <w:r w:rsidR="00D914F9">
        <w:rPr>
          <w:rFonts w:ascii="Arial" w:hAnsi="Arial" w:cs="Arial"/>
          <w:bCs/>
          <w:iCs/>
          <w:szCs w:val="24"/>
        </w:rPr>
        <w:t xml:space="preserve"> y, en su lugar:</w:t>
      </w:r>
    </w:p>
    <w:p w:rsidR="00F854DC" w:rsidRDefault="00F854DC" w:rsidP="0078325C">
      <w:pPr>
        <w:spacing w:line="276" w:lineRule="auto"/>
        <w:jc w:val="both"/>
        <w:rPr>
          <w:rFonts w:ascii="Arial" w:hAnsi="Arial" w:cs="Arial"/>
          <w:bCs/>
          <w:iCs/>
          <w:szCs w:val="24"/>
        </w:rPr>
      </w:pPr>
    </w:p>
    <w:p w:rsidR="00F854DC" w:rsidRPr="00297363" w:rsidRDefault="00F854DC" w:rsidP="00297363">
      <w:pPr>
        <w:spacing w:line="276" w:lineRule="auto"/>
        <w:ind w:left="283" w:right="283"/>
        <w:jc w:val="both"/>
        <w:rPr>
          <w:rFonts w:ascii="Arial" w:hAnsi="Arial" w:cs="Arial"/>
          <w:i/>
          <w:sz w:val="22"/>
          <w:szCs w:val="22"/>
        </w:rPr>
      </w:pPr>
      <w:r w:rsidRPr="00297363">
        <w:rPr>
          <w:rFonts w:ascii="Arial" w:hAnsi="Arial" w:cs="Arial"/>
          <w:bCs/>
          <w:i/>
          <w:iCs/>
          <w:sz w:val="22"/>
          <w:szCs w:val="22"/>
        </w:rPr>
        <w:t xml:space="preserve">“PRIMERO: </w:t>
      </w:r>
      <w:r w:rsidR="007257DE" w:rsidRPr="00297363">
        <w:rPr>
          <w:rFonts w:ascii="Arial" w:hAnsi="Arial" w:cs="Arial"/>
          <w:bCs/>
          <w:i/>
          <w:iCs/>
          <w:sz w:val="22"/>
          <w:szCs w:val="22"/>
        </w:rPr>
        <w:t xml:space="preserve">DECLARAR que el señor </w:t>
      </w:r>
      <w:r w:rsidR="007257DE" w:rsidRPr="00297363">
        <w:rPr>
          <w:rFonts w:ascii="Arial" w:hAnsi="Arial" w:cs="Arial"/>
          <w:i/>
          <w:sz w:val="22"/>
          <w:szCs w:val="22"/>
        </w:rPr>
        <w:t>Eduardo Antonio Gallego García, dejó causad</w:t>
      </w:r>
      <w:r w:rsidR="00297363" w:rsidRPr="00297363">
        <w:rPr>
          <w:rFonts w:ascii="Arial" w:hAnsi="Arial" w:cs="Arial"/>
          <w:i/>
          <w:sz w:val="22"/>
          <w:szCs w:val="22"/>
        </w:rPr>
        <w:t>o</w:t>
      </w:r>
      <w:r w:rsidR="007257DE" w:rsidRPr="00297363">
        <w:rPr>
          <w:rFonts w:ascii="Arial" w:hAnsi="Arial" w:cs="Arial"/>
          <w:i/>
          <w:sz w:val="22"/>
          <w:szCs w:val="22"/>
        </w:rPr>
        <w:t xml:space="preserve"> el derecho a la pensión de sobrevivientes, de conformidad con lo establecido por los artículos 6° y 25 del Acuerdo 049 de 1990, en aplicación del principio de la condición más beneficiosa. </w:t>
      </w:r>
    </w:p>
    <w:p w:rsidR="00297363" w:rsidRPr="00297363" w:rsidRDefault="00297363" w:rsidP="00297363">
      <w:pPr>
        <w:spacing w:line="276" w:lineRule="auto"/>
        <w:ind w:left="283" w:right="283"/>
        <w:jc w:val="both"/>
        <w:rPr>
          <w:rFonts w:ascii="Arial" w:hAnsi="Arial" w:cs="Arial"/>
          <w:i/>
          <w:sz w:val="22"/>
          <w:szCs w:val="22"/>
        </w:rPr>
      </w:pPr>
    </w:p>
    <w:p w:rsidR="00297363" w:rsidRPr="00297363" w:rsidRDefault="00297363" w:rsidP="00297363">
      <w:pPr>
        <w:spacing w:line="276" w:lineRule="auto"/>
        <w:ind w:left="283" w:right="283"/>
        <w:jc w:val="both"/>
        <w:rPr>
          <w:rFonts w:ascii="Arial" w:hAnsi="Arial" w:cs="Arial"/>
          <w:i/>
          <w:sz w:val="22"/>
          <w:szCs w:val="22"/>
        </w:rPr>
      </w:pPr>
      <w:r w:rsidRPr="00297363">
        <w:rPr>
          <w:rFonts w:ascii="Arial" w:hAnsi="Arial" w:cs="Arial"/>
          <w:i/>
          <w:sz w:val="22"/>
          <w:szCs w:val="22"/>
        </w:rPr>
        <w:t xml:space="preserve">SEGUNDO: DECLARAR que la señora </w:t>
      </w:r>
      <w:r w:rsidRPr="00297363">
        <w:rPr>
          <w:rFonts w:ascii="Arial" w:hAnsi="Arial" w:cs="Arial"/>
          <w:i/>
          <w:iCs/>
          <w:sz w:val="22"/>
          <w:szCs w:val="22"/>
        </w:rPr>
        <w:t xml:space="preserve">Gloria </w:t>
      </w:r>
      <w:proofErr w:type="spellStart"/>
      <w:r w:rsidRPr="00297363">
        <w:rPr>
          <w:rFonts w:ascii="Arial" w:hAnsi="Arial" w:cs="Arial"/>
          <w:i/>
          <w:iCs/>
          <w:sz w:val="22"/>
          <w:szCs w:val="22"/>
        </w:rPr>
        <w:t>Eucaris</w:t>
      </w:r>
      <w:proofErr w:type="spellEnd"/>
      <w:r w:rsidRPr="00297363">
        <w:rPr>
          <w:rFonts w:ascii="Arial" w:hAnsi="Arial" w:cs="Arial"/>
          <w:i/>
          <w:iCs/>
          <w:sz w:val="22"/>
          <w:szCs w:val="22"/>
        </w:rPr>
        <w:t xml:space="preserve"> Sánchez Castro acreditó la condición de beneficiaria de la pensión de sobrevivientes, en calidad de compañera permanente del causante </w:t>
      </w:r>
      <w:r w:rsidRPr="00297363">
        <w:rPr>
          <w:rFonts w:ascii="Arial" w:hAnsi="Arial" w:cs="Arial"/>
          <w:i/>
          <w:sz w:val="22"/>
          <w:szCs w:val="22"/>
        </w:rPr>
        <w:t>Eduardo Antonio Gallego García y tiene derecho a la misma a partir del 25 de abril de 1996, sin perjuicio de las mesadas que hayan sido afectadas por el fenómeno prescriptivo.</w:t>
      </w:r>
    </w:p>
    <w:p w:rsidR="00297363" w:rsidRPr="00297363" w:rsidRDefault="00297363" w:rsidP="00297363">
      <w:pPr>
        <w:spacing w:line="276" w:lineRule="auto"/>
        <w:ind w:left="283" w:right="283"/>
        <w:jc w:val="both"/>
        <w:rPr>
          <w:rFonts w:ascii="Arial" w:hAnsi="Arial" w:cs="Arial"/>
          <w:i/>
          <w:sz w:val="22"/>
          <w:szCs w:val="22"/>
        </w:rPr>
      </w:pPr>
    </w:p>
    <w:p w:rsidR="00297363" w:rsidRPr="00297363" w:rsidRDefault="00297363" w:rsidP="00297363">
      <w:pPr>
        <w:spacing w:line="276" w:lineRule="auto"/>
        <w:ind w:left="283" w:right="283"/>
        <w:jc w:val="both"/>
        <w:rPr>
          <w:rFonts w:ascii="Arial" w:hAnsi="Arial" w:cs="Arial"/>
          <w:i/>
          <w:sz w:val="22"/>
          <w:szCs w:val="22"/>
        </w:rPr>
      </w:pPr>
      <w:r w:rsidRPr="00297363">
        <w:rPr>
          <w:rFonts w:ascii="Arial" w:hAnsi="Arial" w:cs="Arial"/>
          <w:i/>
          <w:sz w:val="22"/>
          <w:szCs w:val="22"/>
        </w:rPr>
        <w:t>TERCERO: DECLARAR PROBADA PARCIALMENTE la excepción de prescripción propuesta por la entidad demandada, respecto de las mesadas causadas con anterioridad al 15 de diciembre de 20</w:t>
      </w:r>
      <w:r w:rsidR="006732CE">
        <w:rPr>
          <w:rFonts w:ascii="Arial" w:hAnsi="Arial" w:cs="Arial"/>
          <w:i/>
          <w:sz w:val="22"/>
          <w:szCs w:val="22"/>
        </w:rPr>
        <w:t>07</w:t>
      </w:r>
      <w:r w:rsidRPr="00297363">
        <w:rPr>
          <w:rFonts w:ascii="Arial" w:hAnsi="Arial" w:cs="Arial"/>
          <w:i/>
          <w:sz w:val="22"/>
          <w:szCs w:val="22"/>
        </w:rPr>
        <w:t>, y no probadas todas las demás, conforme a lo expuesto en la parte motiva de esta decisión.</w:t>
      </w:r>
    </w:p>
    <w:p w:rsidR="00297363" w:rsidRPr="00297363" w:rsidRDefault="00297363" w:rsidP="00297363">
      <w:pPr>
        <w:spacing w:line="276" w:lineRule="auto"/>
        <w:ind w:left="283" w:right="283"/>
        <w:jc w:val="both"/>
        <w:rPr>
          <w:rFonts w:ascii="Arial" w:hAnsi="Arial" w:cs="Arial"/>
          <w:i/>
          <w:sz w:val="22"/>
          <w:szCs w:val="22"/>
        </w:rPr>
      </w:pPr>
    </w:p>
    <w:p w:rsidR="00297363" w:rsidRDefault="00297363" w:rsidP="00297363">
      <w:pPr>
        <w:spacing w:line="276" w:lineRule="auto"/>
        <w:ind w:left="283" w:right="283"/>
        <w:jc w:val="both"/>
        <w:rPr>
          <w:rFonts w:ascii="Arial" w:hAnsi="Arial" w:cs="Arial"/>
          <w:i/>
          <w:iCs/>
          <w:sz w:val="22"/>
          <w:szCs w:val="22"/>
        </w:rPr>
      </w:pPr>
      <w:r w:rsidRPr="00297363">
        <w:rPr>
          <w:rFonts w:ascii="Arial" w:hAnsi="Arial" w:cs="Arial"/>
          <w:i/>
          <w:sz w:val="22"/>
          <w:szCs w:val="22"/>
        </w:rPr>
        <w:t xml:space="preserve">CUARTO: CONDENAR a la Administradora Colombiana de Pensiones –COLPENSIONES- a reconocer y pagar a favor de la señora </w:t>
      </w:r>
      <w:r w:rsidRPr="00297363">
        <w:rPr>
          <w:rFonts w:ascii="Arial" w:hAnsi="Arial" w:cs="Arial"/>
          <w:i/>
          <w:iCs/>
          <w:sz w:val="22"/>
          <w:szCs w:val="22"/>
        </w:rPr>
        <w:t xml:space="preserve">Gloria </w:t>
      </w:r>
      <w:proofErr w:type="spellStart"/>
      <w:r w:rsidRPr="00297363">
        <w:rPr>
          <w:rFonts w:ascii="Arial" w:hAnsi="Arial" w:cs="Arial"/>
          <w:i/>
          <w:iCs/>
          <w:sz w:val="22"/>
          <w:szCs w:val="22"/>
        </w:rPr>
        <w:t>Eucaris</w:t>
      </w:r>
      <w:proofErr w:type="spellEnd"/>
      <w:r w:rsidRPr="00297363">
        <w:rPr>
          <w:rFonts w:ascii="Arial" w:hAnsi="Arial" w:cs="Arial"/>
          <w:i/>
          <w:iCs/>
          <w:sz w:val="22"/>
          <w:szCs w:val="22"/>
        </w:rPr>
        <w:t xml:space="preserve"> Sánchez Castro, por concepto de retroactivo pensional la suma de $</w:t>
      </w:r>
      <w:r w:rsidR="00997B2A">
        <w:rPr>
          <w:rFonts w:ascii="Arial" w:hAnsi="Arial" w:cs="Arial"/>
          <w:i/>
          <w:iCs/>
          <w:sz w:val="22"/>
          <w:szCs w:val="22"/>
        </w:rPr>
        <w:t>55´469.494</w:t>
      </w:r>
      <w:r w:rsidRPr="00297363">
        <w:rPr>
          <w:rFonts w:ascii="Arial" w:hAnsi="Arial" w:cs="Arial"/>
          <w:i/>
          <w:iCs/>
          <w:sz w:val="22"/>
          <w:szCs w:val="22"/>
        </w:rPr>
        <w:t xml:space="preserve">, causado entre </w:t>
      </w:r>
      <w:r w:rsidRPr="00297363">
        <w:rPr>
          <w:rFonts w:ascii="Arial" w:hAnsi="Arial" w:cs="Arial"/>
          <w:i/>
          <w:iCs/>
          <w:sz w:val="22"/>
          <w:szCs w:val="22"/>
        </w:rPr>
        <w:lastRenderedPageBreak/>
        <w:t xml:space="preserve">el </w:t>
      </w:r>
      <w:r>
        <w:rPr>
          <w:rFonts w:ascii="Arial" w:hAnsi="Arial" w:cs="Arial"/>
          <w:i/>
          <w:iCs/>
          <w:sz w:val="22"/>
          <w:szCs w:val="22"/>
        </w:rPr>
        <w:t xml:space="preserve">15 de diciembre </w:t>
      </w:r>
      <w:r w:rsidR="006732CE">
        <w:rPr>
          <w:rFonts w:ascii="Arial" w:hAnsi="Arial" w:cs="Arial"/>
          <w:i/>
          <w:iCs/>
          <w:sz w:val="22"/>
          <w:szCs w:val="22"/>
        </w:rPr>
        <w:t>de 2007</w:t>
      </w:r>
      <w:r w:rsidR="0099139C">
        <w:rPr>
          <w:rFonts w:ascii="Arial" w:hAnsi="Arial" w:cs="Arial"/>
          <w:i/>
          <w:iCs/>
          <w:sz w:val="22"/>
          <w:szCs w:val="22"/>
        </w:rPr>
        <w:t xml:space="preserve"> y el 30 de septiembre de 2016</w:t>
      </w:r>
      <w:r w:rsidR="006F1F9C">
        <w:rPr>
          <w:rFonts w:ascii="Arial" w:hAnsi="Arial" w:cs="Arial"/>
          <w:i/>
          <w:iCs/>
          <w:sz w:val="22"/>
          <w:szCs w:val="22"/>
        </w:rPr>
        <w:t>. A partir del mes de octubre de la presente anualidad deberá ingresar a la actora en nómina de pensionados en cuantía equivalente al salario mínimo legal mensual vigente.</w:t>
      </w:r>
    </w:p>
    <w:p w:rsidR="006F1F9C" w:rsidRDefault="006F1F9C" w:rsidP="00297363">
      <w:pPr>
        <w:spacing w:line="276" w:lineRule="auto"/>
        <w:ind w:left="283" w:right="283"/>
        <w:jc w:val="both"/>
        <w:rPr>
          <w:rFonts w:ascii="Arial" w:hAnsi="Arial" w:cs="Arial"/>
          <w:i/>
          <w:iCs/>
          <w:sz w:val="22"/>
          <w:szCs w:val="22"/>
        </w:rPr>
      </w:pPr>
    </w:p>
    <w:p w:rsidR="006F1F9C" w:rsidRDefault="006F1F9C" w:rsidP="00297363">
      <w:pPr>
        <w:spacing w:line="276" w:lineRule="auto"/>
        <w:ind w:left="283" w:right="283"/>
        <w:jc w:val="both"/>
        <w:rPr>
          <w:rFonts w:ascii="Arial" w:hAnsi="Arial" w:cs="Arial"/>
          <w:i/>
          <w:iCs/>
          <w:sz w:val="22"/>
          <w:szCs w:val="22"/>
        </w:rPr>
      </w:pPr>
      <w:r>
        <w:rPr>
          <w:rFonts w:ascii="Arial" w:hAnsi="Arial" w:cs="Arial"/>
          <w:i/>
          <w:iCs/>
          <w:sz w:val="22"/>
          <w:szCs w:val="22"/>
        </w:rPr>
        <w:t xml:space="preserve">QUINTO: </w:t>
      </w:r>
      <w:r w:rsidRPr="00297363">
        <w:rPr>
          <w:rFonts w:ascii="Arial" w:hAnsi="Arial" w:cs="Arial"/>
          <w:i/>
          <w:sz w:val="22"/>
          <w:szCs w:val="22"/>
        </w:rPr>
        <w:t xml:space="preserve">CONDENAR a la Administradora Colombiana de Pensiones –COLPENSIONES- a reconocer y pagar a favor de la señora </w:t>
      </w:r>
      <w:r w:rsidRPr="00297363">
        <w:rPr>
          <w:rFonts w:ascii="Arial" w:hAnsi="Arial" w:cs="Arial"/>
          <w:i/>
          <w:iCs/>
          <w:sz w:val="22"/>
          <w:szCs w:val="22"/>
        </w:rPr>
        <w:t xml:space="preserve">Gloria </w:t>
      </w:r>
      <w:proofErr w:type="spellStart"/>
      <w:r w:rsidRPr="00297363">
        <w:rPr>
          <w:rFonts w:ascii="Arial" w:hAnsi="Arial" w:cs="Arial"/>
          <w:i/>
          <w:iCs/>
          <w:sz w:val="22"/>
          <w:szCs w:val="22"/>
        </w:rPr>
        <w:t>Eucaris</w:t>
      </w:r>
      <w:proofErr w:type="spellEnd"/>
      <w:r w:rsidRPr="00297363">
        <w:rPr>
          <w:rFonts w:ascii="Arial" w:hAnsi="Arial" w:cs="Arial"/>
          <w:i/>
          <w:iCs/>
          <w:sz w:val="22"/>
          <w:szCs w:val="22"/>
        </w:rPr>
        <w:t xml:space="preserve"> Sánchez Castro</w:t>
      </w:r>
      <w:r>
        <w:rPr>
          <w:rFonts w:ascii="Arial" w:hAnsi="Arial" w:cs="Arial"/>
          <w:i/>
          <w:iCs/>
          <w:sz w:val="22"/>
          <w:szCs w:val="22"/>
        </w:rPr>
        <w:t>, los intereses moratorios previstos en el artículo 141 de la Ley 100 de 1993, a partir de la ejecutoria de la presente providencia.</w:t>
      </w:r>
    </w:p>
    <w:p w:rsidR="00231C0C" w:rsidRDefault="00231C0C" w:rsidP="00297363">
      <w:pPr>
        <w:spacing w:line="276" w:lineRule="auto"/>
        <w:ind w:left="283" w:right="283"/>
        <w:jc w:val="both"/>
        <w:rPr>
          <w:rFonts w:ascii="Arial" w:hAnsi="Arial" w:cs="Arial"/>
          <w:i/>
          <w:iCs/>
          <w:sz w:val="22"/>
          <w:szCs w:val="22"/>
        </w:rPr>
      </w:pPr>
    </w:p>
    <w:p w:rsidR="00231C0C" w:rsidRDefault="00231C0C" w:rsidP="00297363">
      <w:pPr>
        <w:spacing w:line="276" w:lineRule="auto"/>
        <w:ind w:left="283" w:right="283"/>
        <w:jc w:val="both"/>
        <w:rPr>
          <w:rFonts w:ascii="Arial" w:hAnsi="Arial" w:cs="Arial"/>
          <w:i/>
          <w:iCs/>
          <w:sz w:val="22"/>
          <w:szCs w:val="22"/>
        </w:rPr>
      </w:pPr>
      <w:r>
        <w:rPr>
          <w:rFonts w:ascii="Arial" w:hAnsi="Arial" w:cs="Arial"/>
          <w:i/>
          <w:iCs/>
          <w:sz w:val="22"/>
          <w:szCs w:val="22"/>
        </w:rPr>
        <w:t>SEXTO: CONDENAR en costas procesales a la parte demandada y a favor de la parte demandante en un 80% de las causadas, conforme lo expuesto en precedencia.”</w:t>
      </w:r>
    </w:p>
    <w:p w:rsidR="00231C0C" w:rsidRDefault="00231C0C" w:rsidP="00297363">
      <w:pPr>
        <w:spacing w:line="276" w:lineRule="auto"/>
        <w:ind w:left="283" w:right="283"/>
        <w:jc w:val="both"/>
        <w:rPr>
          <w:rFonts w:ascii="Arial" w:hAnsi="Arial" w:cs="Arial"/>
          <w:i/>
          <w:iCs/>
          <w:sz w:val="22"/>
          <w:szCs w:val="22"/>
        </w:rPr>
      </w:pPr>
    </w:p>
    <w:p w:rsidR="00D914F9" w:rsidRDefault="00D914F9" w:rsidP="0078325C">
      <w:pPr>
        <w:spacing w:line="276" w:lineRule="auto"/>
        <w:jc w:val="both"/>
        <w:rPr>
          <w:rFonts w:ascii="Arial" w:hAnsi="Arial" w:cs="Arial"/>
          <w:b/>
          <w:bCs/>
          <w:iCs/>
          <w:szCs w:val="24"/>
          <w:u w:val="single"/>
        </w:rPr>
      </w:pPr>
    </w:p>
    <w:p w:rsidR="0078325C" w:rsidRPr="003751E1" w:rsidRDefault="0078325C" w:rsidP="0078325C">
      <w:pPr>
        <w:spacing w:line="276" w:lineRule="auto"/>
        <w:jc w:val="both"/>
        <w:rPr>
          <w:rFonts w:ascii="Arial" w:hAnsi="Arial" w:cs="Arial"/>
          <w:szCs w:val="24"/>
        </w:rPr>
      </w:pPr>
      <w:r w:rsidRPr="00E10861">
        <w:rPr>
          <w:rFonts w:ascii="Arial" w:hAnsi="Arial" w:cs="Arial"/>
          <w:b/>
          <w:bCs/>
          <w:iCs/>
          <w:szCs w:val="24"/>
          <w:u w:val="single"/>
        </w:rPr>
        <w:t>SEGUNDO</w:t>
      </w:r>
      <w:r w:rsidRPr="003751E1">
        <w:rPr>
          <w:rFonts w:ascii="Arial" w:hAnsi="Arial" w:cs="Arial"/>
          <w:b/>
          <w:bCs/>
          <w:iCs/>
          <w:szCs w:val="24"/>
        </w:rPr>
        <w:t xml:space="preserve">: </w:t>
      </w:r>
      <w:r w:rsidRPr="003751E1">
        <w:rPr>
          <w:rFonts w:ascii="Arial" w:hAnsi="Arial" w:cs="Arial"/>
          <w:szCs w:val="24"/>
        </w:rPr>
        <w:t xml:space="preserve">Costas en esta instancia </w:t>
      </w:r>
      <w:r w:rsidR="00231C0C">
        <w:rPr>
          <w:rFonts w:ascii="Arial" w:hAnsi="Arial" w:cs="Arial"/>
          <w:szCs w:val="24"/>
        </w:rPr>
        <w:t>a cargo de la entidad demandada, dada la prosperidad del recurso de apelación.</w:t>
      </w:r>
    </w:p>
    <w:p w:rsidR="0078325C" w:rsidRPr="003751E1" w:rsidRDefault="0078325C" w:rsidP="0078325C">
      <w:pPr>
        <w:spacing w:line="276" w:lineRule="auto"/>
        <w:jc w:val="both"/>
        <w:rPr>
          <w:rFonts w:ascii="Arial" w:hAnsi="Arial" w:cs="Arial"/>
          <w:szCs w:val="24"/>
        </w:rPr>
      </w:pPr>
    </w:p>
    <w:p w:rsidR="0078325C" w:rsidRPr="003751E1" w:rsidRDefault="0078325C" w:rsidP="0078325C">
      <w:pPr>
        <w:spacing w:line="276" w:lineRule="auto"/>
        <w:contextualSpacing/>
        <w:jc w:val="both"/>
        <w:rPr>
          <w:rFonts w:ascii="Arial" w:hAnsi="Arial" w:cs="Arial"/>
          <w:szCs w:val="24"/>
        </w:rPr>
      </w:pPr>
      <w:r w:rsidRPr="003751E1">
        <w:rPr>
          <w:rFonts w:ascii="Arial" w:hAnsi="Arial" w:cs="Arial"/>
          <w:szCs w:val="24"/>
        </w:rPr>
        <w:t>Notificación surtida en estrados.</w:t>
      </w:r>
    </w:p>
    <w:p w:rsidR="0078325C" w:rsidRPr="003751E1" w:rsidRDefault="0078325C" w:rsidP="0078325C">
      <w:pPr>
        <w:spacing w:line="276" w:lineRule="auto"/>
        <w:contextualSpacing/>
        <w:jc w:val="both"/>
        <w:rPr>
          <w:rFonts w:ascii="Arial" w:hAnsi="Arial" w:cs="Arial"/>
          <w:szCs w:val="24"/>
        </w:rPr>
      </w:pPr>
    </w:p>
    <w:p w:rsidR="0078325C" w:rsidRPr="003751E1" w:rsidRDefault="0078325C" w:rsidP="0078325C">
      <w:pPr>
        <w:pStyle w:val="Textoindependiente"/>
        <w:spacing w:line="276" w:lineRule="auto"/>
        <w:contextualSpacing/>
        <w:rPr>
          <w:szCs w:val="24"/>
        </w:rPr>
      </w:pPr>
      <w:r w:rsidRPr="003751E1">
        <w:rPr>
          <w:szCs w:val="24"/>
        </w:rPr>
        <w:t>No siendo otro el objeto de la presente audiencia, se eleva y firma esta acta por las personas que han intervenido.</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r w:rsidRPr="003751E1">
        <w:rPr>
          <w:rFonts w:ascii="Arial" w:hAnsi="Arial" w:cs="Arial"/>
          <w:szCs w:val="24"/>
        </w:rPr>
        <w:t>Quienes integran la Sala,</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92EA4" w:rsidRDefault="0078325C" w:rsidP="0078325C">
      <w:pPr>
        <w:widowControl w:val="0"/>
        <w:autoSpaceDE w:val="0"/>
        <w:autoSpaceDN w:val="0"/>
        <w:adjustRightInd w:val="0"/>
        <w:spacing w:line="276" w:lineRule="auto"/>
        <w:contextualSpacing/>
        <w:jc w:val="both"/>
        <w:rPr>
          <w:rFonts w:ascii="Arial" w:hAnsi="Arial" w:cs="Arial"/>
          <w:szCs w:val="24"/>
          <w:highlight w:val="yellow"/>
        </w:rPr>
      </w:pPr>
    </w:p>
    <w:p w:rsidR="0078325C" w:rsidRPr="00392EA4" w:rsidRDefault="0078325C" w:rsidP="0078325C">
      <w:pPr>
        <w:pStyle w:val="Sinespaciado"/>
        <w:spacing w:line="276" w:lineRule="auto"/>
        <w:contextualSpacing/>
        <w:rPr>
          <w:rFonts w:ascii="Arial" w:hAnsi="Arial" w:cs="Arial"/>
          <w:szCs w:val="24"/>
          <w:highlight w:val="yellow"/>
          <w:lang w:val="es-ES"/>
        </w:rPr>
      </w:pPr>
    </w:p>
    <w:p w:rsidR="0078325C" w:rsidRPr="00392EA4" w:rsidRDefault="0078325C" w:rsidP="0078325C">
      <w:pPr>
        <w:pStyle w:val="Sinespaciado"/>
        <w:spacing w:line="276" w:lineRule="auto"/>
        <w:contextualSpacing/>
        <w:rPr>
          <w:rFonts w:ascii="Arial" w:hAnsi="Arial" w:cs="Arial"/>
          <w:szCs w:val="24"/>
          <w:highlight w:val="yellow"/>
          <w:lang w:val="es-ES"/>
        </w:rPr>
      </w:pPr>
    </w:p>
    <w:p w:rsidR="0078325C" w:rsidRPr="00B93253" w:rsidRDefault="0078325C" w:rsidP="0078325C">
      <w:pPr>
        <w:pStyle w:val="Sinespaciado"/>
        <w:spacing w:line="276" w:lineRule="auto"/>
        <w:contextualSpacing/>
        <w:jc w:val="center"/>
        <w:rPr>
          <w:rFonts w:ascii="Arial" w:hAnsi="Arial" w:cs="Arial"/>
          <w:b/>
          <w:szCs w:val="24"/>
          <w:lang w:val="es-ES"/>
        </w:rPr>
      </w:pPr>
      <w:r w:rsidRPr="00B93253">
        <w:rPr>
          <w:rFonts w:ascii="Arial" w:hAnsi="Arial" w:cs="Arial"/>
          <w:b/>
          <w:szCs w:val="24"/>
          <w:lang w:val="es-ES"/>
        </w:rPr>
        <w:t>OLGA LUCÍA HOYOS SEPÚLVEDA</w:t>
      </w:r>
    </w:p>
    <w:p w:rsidR="0078325C" w:rsidRPr="0000603E" w:rsidRDefault="0078325C" w:rsidP="0078325C">
      <w:pPr>
        <w:pStyle w:val="Sinespaciado"/>
        <w:spacing w:line="276" w:lineRule="auto"/>
        <w:contextualSpacing/>
        <w:jc w:val="center"/>
        <w:rPr>
          <w:rFonts w:ascii="Arial" w:hAnsi="Arial" w:cs="Arial"/>
          <w:szCs w:val="24"/>
          <w:lang w:val="es-ES"/>
        </w:rPr>
      </w:pPr>
      <w:r w:rsidRPr="00B93253">
        <w:rPr>
          <w:rFonts w:ascii="Arial" w:hAnsi="Arial" w:cs="Arial"/>
          <w:szCs w:val="24"/>
          <w:lang w:val="es-ES"/>
        </w:rPr>
        <w:t>Magistrada Ponente</w:t>
      </w:r>
    </w:p>
    <w:p w:rsidR="0078325C" w:rsidRPr="0000603E" w:rsidRDefault="0078325C" w:rsidP="0078325C">
      <w:pPr>
        <w:spacing w:line="276" w:lineRule="auto"/>
        <w:ind w:firstLine="900"/>
        <w:contextualSpacing/>
        <w:jc w:val="center"/>
        <w:rPr>
          <w:rFonts w:ascii="Arial" w:hAnsi="Arial" w:cs="Arial"/>
          <w:b/>
          <w:szCs w:val="24"/>
          <w:lang w:val="es-ES"/>
        </w:rPr>
      </w:pPr>
    </w:p>
    <w:p w:rsidR="0078325C" w:rsidRPr="0000603E" w:rsidRDefault="0078325C" w:rsidP="0078325C">
      <w:pPr>
        <w:pStyle w:val="Sinespaciado"/>
        <w:spacing w:line="276" w:lineRule="auto"/>
        <w:contextualSpacing/>
        <w:rPr>
          <w:rFonts w:ascii="Arial" w:hAnsi="Arial" w:cs="Arial"/>
          <w:sz w:val="23"/>
          <w:szCs w:val="23"/>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78325C" w:rsidRPr="0000603E" w:rsidRDefault="0078325C" w:rsidP="0078325C">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78325C" w:rsidRPr="0000603E" w:rsidRDefault="0078325C" w:rsidP="0078325C">
      <w:pPr>
        <w:spacing w:line="276" w:lineRule="auto"/>
        <w:contextualSpacing/>
        <w:jc w:val="both"/>
        <w:rPr>
          <w:rFonts w:ascii="Arial" w:hAnsi="Arial" w:cs="Arial"/>
          <w:bCs/>
          <w:iCs/>
          <w:sz w:val="23"/>
          <w:szCs w:val="23"/>
          <w:lang w:val="es-ES"/>
        </w:rPr>
      </w:pPr>
      <w:r w:rsidRPr="0000603E">
        <w:rPr>
          <w:rFonts w:ascii="Arial" w:hAnsi="Arial" w:cs="Arial"/>
          <w:sz w:val="23"/>
          <w:szCs w:val="23"/>
          <w:lang w:val="es-ES"/>
        </w:rPr>
        <w:t xml:space="preserve"> </w:t>
      </w:r>
      <w:r w:rsidRPr="0000603E">
        <w:rPr>
          <w:rFonts w:ascii="Arial" w:hAnsi="Arial" w:cs="Arial"/>
          <w:bCs/>
          <w:iCs/>
          <w:sz w:val="23"/>
          <w:szCs w:val="23"/>
          <w:lang w:val="es-ES"/>
        </w:rPr>
        <w:t xml:space="preserve">  </w:t>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009D6B62">
        <w:rPr>
          <w:rFonts w:ascii="Arial" w:hAnsi="Arial" w:cs="Arial"/>
          <w:bCs/>
          <w:iCs/>
          <w:sz w:val="23"/>
          <w:szCs w:val="23"/>
          <w:lang w:val="es-ES"/>
        </w:rPr>
        <w:tab/>
      </w:r>
      <w:r w:rsidR="009D6B62">
        <w:rPr>
          <w:rFonts w:ascii="Arial" w:hAnsi="Arial" w:cs="Arial"/>
          <w:bCs/>
          <w:iCs/>
          <w:sz w:val="23"/>
          <w:szCs w:val="23"/>
          <w:lang w:val="es-ES"/>
        </w:rPr>
        <w:tab/>
        <w:t>(</w:t>
      </w:r>
      <w:proofErr w:type="gramStart"/>
      <w:r w:rsidR="009D6B62">
        <w:rPr>
          <w:rFonts w:ascii="Arial" w:hAnsi="Arial" w:cs="Arial"/>
          <w:bCs/>
          <w:iCs/>
          <w:sz w:val="23"/>
          <w:szCs w:val="23"/>
          <w:lang w:val="es-ES"/>
        </w:rPr>
        <w:t>ausencia</w:t>
      </w:r>
      <w:proofErr w:type="gramEnd"/>
      <w:r w:rsidR="009D6B62">
        <w:rPr>
          <w:rFonts w:ascii="Arial" w:hAnsi="Arial" w:cs="Arial"/>
          <w:bCs/>
          <w:iCs/>
          <w:sz w:val="23"/>
          <w:szCs w:val="23"/>
          <w:lang w:val="es-ES"/>
        </w:rPr>
        <w:t xml:space="preserve"> justificada)</w:t>
      </w:r>
    </w:p>
    <w:p w:rsidR="0078325C" w:rsidRPr="0000603E" w:rsidRDefault="0078325C" w:rsidP="0078325C">
      <w:pPr>
        <w:spacing w:line="276" w:lineRule="auto"/>
        <w:contextualSpacing/>
        <w:jc w:val="both"/>
        <w:rPr>
          <w:rFonts w:ascii="Arial" w:hAnsi="Arial" w:cs="Arial"/>
          <w:sz w:val="23"/>
          <w:szCs w:val="23"/>
          <w:lang w:val="es-ES"/>
        </w:rPr>
      </w:pPr>
      <w:r w:rsidRPr="0000603E">
        <w:rPr>
          <w:rFonts w:ascii="Arial" w:hAnsi="Arial" w:cs="Arial"/>
          <w:bCs/>
          <w:iCs/>
          <w:sz w:val="23"/>
          <w:szCs w:val="23"/>
          <w:lang w:val="es-ES"/>
        </w:rPr>
        <w:tab/>
      </w:r>
      <w:r w:rsidRPr="0000603E">
        <w:rPr>
          <w:rFonts w:ascii="Arial" w:hAnsi="Arial" w:cs="Arial"/>
          <w:bCs/>
          <w:iCs/>
          <w:sz w:val="23"/>
          <w:szCs w:val="23"/>
          <w:lang w:val="es-ES"/>
        </w:rPr>
        <w:tab/>
        <w:t xml:space="preserve">          </w:t>
      </w:r>
    </w:p>
    <w:p w:rsidR="0078325C" w:rsidRPr="0000603E" w:rsidRDefault="0078325C" w:rsidP="0078325C">
      <w:pPr>
        <w:spacing w:line="276" w:lineRule="auto"/>
        <w:ind w:firstLine="900"/>
        <w:contextualSpacing/>
        <w:jc w:val="both"/>
        <w:rPr>
          <w:rFonts w:ascii="Arial" w:hAnsi="Arial" w:cs="Arial"/>
          <w:bCs/>
          <w:iCs/>
          <w:szCs w:val="24"/>
          <w:lang w:val="es-ES"/>
        </w:rPr>
      </w:pPr>
    </w:p>
    <w:p w:rsidR="0078325C" w:rsidRPr="0000603E" w:rsidRDefault="0078325C" w:rsidP="0078325C">
      <w:pPr>
        <w:spacing w:line="276" w:lineRule="auto"/>
        <w:ind w:firstLine="900"/>
        <w:contextualSpacing/>
        <w:jc w:val="both"/>
        <w:rPr>
          <w:rFonts w:ascii="Arial" w:hAnsi="Arial" w:cs="Arial"/>
          <w:bCs/>
          <w:iCs/>
          <w:szCs w:val="24"/>
          <w:lang w:val="es-ES"/>
        </w:rPr>
      </w:pPr>
    </w:p>
    <w:p w:rsidR="0078325C" w:rsidRPr="0000603E" w:rsidRDefault="0078325C" w:rsidP="0078325C">
      <w:pPr>
        <w:spacing w:line="276" w:lineRule="auto"/>
        <w:ind w:firstLine="900"/>
        <w:contextualSpacing/>
        <w:jc w:val="center"/>
        <w:rPr>
          <w:rFonts w:ascii="Arial" w:hAnsi="Arial" w:cs="Arial"/>
          <w:b/>
          <w:bCs/>
          <w:iCs/>
          <w:szCs w:val="24"/>
          <w:lang w:val="es-ES"/>
        </w:rPr>
      </w:pPr>
      <w:r w:rsidRPr="0000603E">
        <w:rPr>
          <w:rFonts w:ascii="Arial" w:hAnsi="Arial" w:cs="Arial"/>
          <w:b/>
          <w:bCs/>
          <w:iCs/>
          <w:szCs w:val="24"/>
          <w:lang w:val="es-ES"/>
        </w:rPr>
        <w:t>DANIEL BERMÚDEZ GIRALDO</w:t>
      </w:r>
    </w:p>
    <w:p w:rsidR="00782777" w:rsidRDefault="0078325C" w:rsidP="0078325C">
      <w:pPr>
        <w:spacing w:line="276" w:lineRule="auto"/>
        <w:ind w:firstLine="900"/>
        <w:contextualSpacing/>
        <w:jc w:val="center"/>
        <w:rPr>
          <w:rFonts w:ascii="Arial" w:hAnsi="Arial" w:cs="Arial"/>
          <w:i/>
          <w:iCs/>
          <w:szCs w:val="24"/>
          <w:lang w:val="es-ES"/>
        </w:rPr>
      </w:pPr>
      <w:r w:rsidRPr="0000603E">
        <w:rPr>
          <w:rFonts w:ascii="Arial" w:hAnsi="Arial" w:cs="Arial"/>
          <w:iCs/>
          <w:szCs w:val="24"/>
          <w:lang w:val="es-ES"/>
        </w:rPr>
        <w:t xml:space="preserve">Secretario </w:t>
      </w:r>
      <w:r w:rsidRPr="0000603E">
        <w:rPr>
          <w:rFonts w:ascii="Arial" w:hAnsi="Arial" w:cs="Arial"/>
          <w:i/>
          <w:iCs/>
          <w:szCs w:val="24"/>
          <w:lang w:val="es-ES"/>
        </w:rPr>
        <w:t>Ad-hoc</w:t>
      </w: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tbl>
      <w:tblPr>
        <w:tblW w:w="8620" w:type="dxa"/>
        <w:tblInd w:w="-10" w:type="dxa"/>
        <w:tblCellMar>
          <w:left w:w="70" w:type="dxa"/>
          <w:right w:w="70" w:type="dxa"/>
        </w:tblCellMar>
        <w:tblLook w:val="04A0" w:firstRow="1" w:lastRow="0" w:firstColumn="1" w:lastColumn="0" w:noHBand="0" w:noVBand="1"/>
      </w:tblPr>
      <w:tblGrid>
        <w:gridCol w:w="1229"/>
        <w:gridCol w:w="1229"/>
        <w:gridCol w:w="1198"/>
        <w:gridCol w:w="1120"/>
        <w:gridCol w:w="195"/>
        <w:gridCol w:w="940"/>
        <w:gridCol w:w="1340"/>
        <w:gridCol w:w="1589"/>
      </w:tblGrid>
      <w:tr w:rsidR="009A1C84" w:rsidRPr="009A1C84" w:rsidTr="009A1C84">
        <w:trPr>
          <w:trHeight w:val="480"/>
        </w:trPr>
        <w:tc>
          <w:tcPr>
            <w:tcW w:w="8620" w:type="dxa"/>
            <w:gridSpan w:val="8"/>
            <w:tcBorders>
              <w:top w:val="single" w:sz="8" w:space="0" w:color="auto"/>
              <w:left w:val="single" w:sz="8" w:space="0" w:color="auto"/>
              <w:bottom w:val="single" w:sz="8" w:space="0" w:color="auto"/>
              <w:right w:val="nil"/>
            </w:tcBorders>
            <w:shd w:val="clear" w:color="000000" w:fill="FFFF99"/>
            <w:vAlign w:val="center"/>
            <w:hideMark/>
          </w:tcPr>
          <w:p w:rsidR="009A1C84" w:rsidRPr="009A1C84" w:rsidRDefault="009A1C84" w:rsidP="009A1C84">
            <w:pPr>
              <w:jc w:val="center"/>
              <w:rPr>
                <w:rFonts w:ascii="Calibri" w:hAnsi="Calibri"/>
                <w:b/>
                <w:bCs/>
                <w:i/>
                <w:iCs/>
                <w:color w:val="000000"/>
                <w:sz w:val="22"/>
                <w:szCs w:val="22"/>
                <w:lang w:val="es-ES"/>
              </w:rPr>
            </w:pPr>
            <w:r w:rsidRPr="009A1C84">
              <w:rPr>
                <w:rFonts w:ascii="Calibri" w:hAnsi="Calibri"/>
                <w:b/>
                <w:bCs/>
                <w:i/>
                <w:iCs/>
                <w:color w:val="000000"/>
                <w:sz w:val="22"/>
                <w:szCs w:val="22"/>
                <w:lang w:val="es-ES"/>
              </w:rPr>
              <w:t>GLORIA EUCARIS SANCHEZ CASTRO</w:t>
            </w:r>
          </w:p>
        </w:tc>
      </w:tr>
      <w:tr w:rsidR="009A1C84" w:rsidRPr="009A1C84" w:rsidTr="009A1C84">
        <w:trPr>
          <w:trHeight w:val="225"/>
        </w:trPr>
        <w:tc>
          <w:tcPr>
            <w:tcW w:w="3656" w:type="dxa"/>
            <w:gridSpan w:val="3"/>
            <w:tcBorders>
              <w:top w:val="single" w:sz="8" w:space="0" w:color="auto"/>
              <w:left w:val="nil"/>
              <w:bottom w:val="single" w:sz="4" w:space="0" w:color="auto"/>
              <w:right w:val="nil"/>
            </w:tcBorders>
            <w:shd w:val="clear" w:color="000000" w:fill="FFFF99"/>
            <w:vAlign w:val="center"/>
            <w:hideMark/>
          </w:tcPr>
          <w:p w:rsidR="009A1C84" w:rsidRPr="009A1C84" w:rsidRDefault="009A1C84" w:rsidP="009A1C84">
            <w:pPr>
              <w:rPr>
                <w:rFonts w:ascii="Calibri" w:hAnsi="Calibri"/>
                <w:b/>
                <w:bCs/>
                <w:i/>
                <w:iCs/>
                <w:color w:val="000000"/>
                <w:sz w:val="16"/>
                <w:szCs w:val="16"/>
                <w:lang w:val="es-ES"/>
              </w:rPr>
            </w:pPr>
            <w:r w:rsidRPr="009A1C84">
              <w:rPr>
                <w:rFonts w:ascii="Calibri" w:hAnsi="Calibri"/>
                <w:b/>
                <w:bCs/>
                <w:i/>
                <w:iCs/>
                <w:color w:val="000000"/>
                <w:sz w:val="16"/>
                <w:szCs w:val="16"/>
                <w:lang w:val="es-ES"/>
              </w:rPr>
              <w:t>Fecha de nacimiento:</w:t>
            </w:r>
          </w:p>
        </w:tc>
        <w:tc>
          <w:tcPr>
            <w:tcW w:w="1120" w:type="dxa"/>
            <w:tcBorders>
              <w:top w:val="nil"/>
              <w:left w:val="nil"/>
              <w:bottom w:val="single" w:sz="4" w:space="0" w:color="auto"/>
              <w:right w:val="single" w:sz="8" w:space="0" w:color="auto"/>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jc w:val="center"/>
              <w:rPr>
                <w:rFonts w:ascii="Calibri" w:hAnsi="Calibri"/>
                <w:i/>
                <w:iCs/>
                <w:color w:val="000000"/>
                <w:sz w:val="16"/>
                <w:szCs w:val="16"/>
                <w:lang w:val="es-ES"/>
              </w:rPr>
            </w:pPr>
          </w:p>
        </w:tc>
        <w:tc>
          <w:tcPr>
            <w:tcW w:w="2280" w:type="dxa"/>
            <w:gridSpan w:val="2"/>
            <w:tcBorders>
              <w:top w:val="single" w:sz="8" w:space="0" w:color="auto"/>
              <w:left w:val="nil"/>
              <w:bottom w:val="single" w:sz="4" w:space="0" w:color="auto"/>
              <w:right w:val="nil"/>
            </w:tcBorders>
            <w:shd w:val="clear" w:color="000000" w:fill="FFFF99"/>
            <w:vAlign w:val="center"/>
            <w:hideMark/>
          </w:tcPr>
          <w:p w:rsidR="009A1C84" w:rsidRPr="009A1C84" w:rsidRDefault="009A1C84" w:rsidP="009A1C84">
            <w:pPr>
              <w:rPr>
                <w:rFonts w:ascii="Calibri" w:hAnsi="Calibri"/>
                <w:b/>
                <w:bCs/>
                <w:i/>
                <w:iCs/>
                <w:color w:val="000000"/>
                <w:sz w:val="16"/>
                <w:szCs w:val="16"/>
                <w:lang w:val="es-ES"/>
              </w:rPr>
            </w:pPr>
            <w:r w:rsidRPr="009A1C84">
              <w:rPr>
                <w:rFonts w:ascii="Calibri" w:hAnsi="Calibri"/>
                <w:b/>
                <w:bCs/>
                <w:i/>
                <w:iCs/>
                <w:color w:val="000000"/>
                <w:sz w:val="16"/>
                <w:szCs w:val="16"/>
                <w:lang w:val="es-ES"/>
              </w:rPr>
              <w:t>Fecha reconocimiento pensión:</w:t>
            </w:r>
          </w:p>
        </w:tc>
        <w:tc>
          <w:tcPr>
            <w:tcW w:w="1464" w:type="dxa"/>
            <w:tcBorders>
              <w:top w:val="nil"/>
              <w:left w:val="nil"/>
              <w:bottom w:val="single" w:sz="4" w:space="0" w:color="auto"/>
              <w:right w:val="single" w:sz="8" w:space="0" w:color="auto"/>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25/04/1996</w:t>
            </w:r>
          </w:p>
        </w:tc>
      </w:tr>
      <w:tr w:rsidR="009A1C84" w:rsidRPr="009A1C84" w:rsidTr="009A1C84">
        <w:trPr>
          <w:trHeight w:val="225"/>
        </w:trPr>
        <w:tc>
          <w:tcPr>
            <w:tcW w:w="3656" w:type="dxa"/>
            <w:gridSpan w:val="3"/>
            <w:tcBorders>
              <w:top w:val="single" w:sz="4" w:space="0" w:color="auto"/>
              <w:left w:val="nil"/>
              <w:bottom w:val="single" w:sz="8" w:space="0" w:color="auto"/>
              <w:right w:val="nil"/>
            </w:tcBorders>
            <w:shd w:val="clear" w:color="000000" w:fill="FFFF99"/>
            <w:vAlign w:val="center"/>
            <w:hideMark/>
          </w:tcPr>
          <w:p w:rsidR="009A1C84" w:rsidRPr="009A1C84" w:rsidRDefault="009A1C84" w:rsidP="009A1C84">
            <w:pPr>
              <w:rPr>
                <w:rFonts w:ascii="Calibri" w:hAnsi="Calibri"/>
                <w:b/>
                <w:bCs/>
                <w:i/>
                <w:iCs/>
                <w:color w:val="000000"/>
                <w:sz w:val="16"/>
                <w:szCs w:val="16"/>
                <w:lang w:val="es-ES"/>
              </w:rPr>
            </w:pPr>
            <w:r w:rsidRPr="009A1C84">
              <w:rPr>
                <w:rFonts w:ascii="Calibri" w:hAnsi="Calibri"/>
                <w:b/>
                <w:bCs/>
                <w:i/>
                <w:iCs/>
                <w:color w:val="000000"/>
                <w:sz w:val="16"/>
                <w:szCs w:val="16"/>
                <w:lang w:val="es-ES"/>
              </w:rPr>
              <w:t>Total semanas cotizadas:</w:t>
            </w:r>
          </w:p>
        </w:tc>
        <w:tc>
          <w:tcPr>
            <w:tcW w:w="1120" w:type="dxa"/>
            <w:tcBorders>
              <w:top w:val="nil"/>
              <w:left w:val="nil"/>
              <w:bottom w:val="single" w:sz="8" w:space="0" w:color="auto"/>
              <w:right w:val="single" w:sz="8" w:space="0" w:color="auto"/>
            </w:tcBorders>
            <w:shd w:val="clear" w:color="auto" w:fill="auto"/>
            <w:noWrap/>
            <w:vAlign w:val="center"/>
            <w:hideMark/>
          </w:tcPr>
          <w:p w:rsidR="009A1C84" w:rsidRPr="009A1C84" w:rsidRDefault="009A1C84" w:rsidP="009A1C84">
            <w:pPr>
              <w:jc w:val="center"/>
              <w:rPr>
                <w:rFonts w:ascii="Calibri" w:hAnsi="Calibri"/>
                <w:color w:val="000000"/>
                <w:sz w:val="22"/>
                <w:szCs w:val="22"/>
                <w:lang w:val="es-ES"/>
              </w:rPr>
            </w:pPr>
            <w:r w:rsidRPr="009A1C84">
              <w:rPr>
                <w:rFonts w:ascii="Calibri" w:hAnsi="Calibri"/>
                <w:color w:val="000000"/>
                <w:sz w:val="22"/>
                <w:szCs w:val="22"/>
                <w:lang w:val="es-ES"/>
              </w:rPr>
              <w:t>820,14</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jc w:val="center"/>
              <w:rPr>
                <w:rFonts w:ascii="Calibri" w:hAnsi="Calibri"/>
                <w:color w:val="000000"/>
                <w:sz w:val="22"/>
                <w:szCs w:val="22"/>
                <w:lang w:val="es-ES"/>
              </w:rPr>
            </w:pPr>
          </w:p>
        </w:tc>
        <w:tc>
          <w:tcPr>
            <w:tcW w:w="940" w:type="dxa"/>
            <w:tcBorders>
              <w:top w:val="nil"/>
              <w:left w:val="nil"/>
              <w:bottom w:val="single" w:sz="4" w:space="0" w:color="auto"/>
              <w:right w:val="nil"/>
            </w:tcBorders>
            <w:shd w:val="clear" w:color="auto" w:fill="auto"/>
            <w:noWrap/>
            <w:vAlign w:val="center"/>
            <w:hideMark/>
          </w:tcPr>
          <w:p w:rsidR="009A1C84" w:rsidRPr="009A1C84" w:rsidRDefault="009A1C84" w:rsidP="009A1C84">
            <w:pPr>
              <w:jc w:val="center"/>
              <w:rPr>
                <w:rFonts w:ascii="Calibri" w:hAnsi="Calibri"/>
                <w:b/>
                <w:bCs/>
                <w:color w:val="000000"/>
                <w:sz w:val="16"/>
                <w:szCs w:val="16"/>
                <w:lang w:val="es-ES"/>
              </w:rPr>
            </w:pPr>
            <w:r w:rsidRPr="009A1C84">
              <w:rPr>
                <w:rFonts w:ascii="Calibri" w:hAnsi="Calibri"/>
                <w:b/>
                <w:bCs/>
                <w:color w:val="000000"/>
                <w:sz w:val="16"/>
                <w:szCs w:val="16"/>
                <w:lang w:val="es-ES"/>
              </w:rPr>
              <w:t>NO</w:t>
            </w:r>
          </w:p>
        </w:tc>
        <w:tc>
          <w:tcPr>
            <w:tcW w:w="1340" w:type="dxa"/>
            <w:tcBorders>
              <w:top w:val="nil"/>
              <w:left w:val="single" w:sz="4" w:space="0" w:color="808000"/>
              <w:bottom w:val="single" w:sz="4" w:space="0" w:color="auto"/>
              <w:right w:val="nil"/>
            </w:tcBorders>
            <w:shd w:val="clear" w:color="000000" w:fill="FFFF99"/>
            <w:noWrap/>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45,00%</w:t>
            </w:r>
          </w:p>
        </w:tc>
        <w:tc>
          <w:tcPr>
            <w:tcW w:w="1464" w:type="dxa"/>
            <w:tcBorders>
              <w:top w:val="nil"/>
              <w:left w:val="nil"/>
              <w:bottom w:val="single" w:sz="4" w:space="0" w:color="auto"/>
              <w:right w:val="single" w:sz="8" w:space="0" w:color="auto"/>
            </w:tcBorders>
            <w:shd w:val="clear" w:color="auto" w:fill="auto"/>
            <w:noWrap/>
            <w:vAlign w:val="bottom"/>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r>
      <w:tr w:rsidR="009A1C84" w:rsidRPr="009A1C84" w:rsidTr="009A1C84">
        <w:trPr>
          <w:trHeight w:val="150"/>
        </w:trPr>
        <w:tc>
          <w:tcPr>
            <w:tcW w:w="1229"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Cs w:val="24"/>
                <w:lang w:val="es-ES"/>
              </w:rPr>
            </w:pPr>
          </w:p>
        </w:tc>
        <w:tc>
          <w:tcPr>
            <w:tcW w:w="1229"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98"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20" w:type="dxa"/>
            <w:tcBorders>
              <w:top w:val="nil"/>
              <w:left w:val="nil"/>
              <w:bottom w:val="nil"/>
              <w:right w:val="single" w:sz="8" w:space="0" w:color="auto"/>
            </w:tcBorders>
            <w:shd w:val="clear" w:color="auto" w:fill="auto"/>
            <w:noWrap/>
            <w:vAlign w:val="bottom"/>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Cs w:val="24"/>
                <w:lang w:val="es-ES"/>
              </w:rPr>
            </w:pPr>
          </w:p>
        </w:tc>
        <w:tc>
          <w:tcPr>
            <w:tcW w:w="94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34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464" w:type="dxa"/>
            <w:tcBorders>
              <w:top w:val="nil"/>
              <w:left w:val="nil"/>
              <w:bottom w:val="nil"/>
              <w:right w:val="single" w:sz="8" w:space="0" w:color="auto"/>
            </w:tcBorders>
            <w:shd w:val="clear" w:color="auto" w:fill="auto"/>
            <w:noWrap/>
            <w:vAlign w:val="bottom"/>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r>
      <w:tr w:rsidR="009A1C84" w:rsidRPr="009A1C84" w:rsidTr="009A1C84">
        <w:trPr>
          <w:trHeight w:val="45"/>
        </w:trPr>
        <w:tc>
          <w:tcPr>
            <w:tcW w:w="1229"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Cs w:val="24"/>
                <w:lang w:val="es-ES"/>
              </w:rPr>
            </w:pPr>
          </w:p>
        </w:tc>
        <w:tc>
          <w:tcPr>
            <w:tcW w:w="1229"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98"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20" w:type="dxa"/>
            <w:tcBorders>
              <w:top w:val="nil"/>
              <w:left w:val="nil"/>
              <w:bottom w:val="nil"/>
              <w:right w:val="single" w:sz="8" w:space="0" w:color="auto"/>
            </w:tcBorders>
            <w:shd w:val="clear" w:color="auto" w:fill="auto"/>
            <w:noWrap/>
            <w:vAlign w:val="bottom"/>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Cs w:val="24"/>
                <w:lang w:val="es-ES"/>
              </w:rPr>
            </w:pPr>
          </w:p>
        </w:tc>
        <w:tc>
          <w:tcPr>
            <w:tcW w:w="94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34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464" w:type="dxa"/>
            <w:tcBorders>
              <w:top w:val="nil"/>
              <w:left w:val="nil"/>
              <w:bottom w:val="nil"/>
              <w:right w:val="single" w:sz="8" w:space="0" w:color="auto"/>
            </w:tcBorders>
            <w:shd w:val="clear" w:color="auto" w:fill="auto"/>
            <w:noWrap/>
            <w:vAlign w:val="bottom"/>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r>
      <w:tr w:rsidR="009A1C84" w:rsidRPr="009A1C84" w:rsidTr="009A1C84">
        <w:trPr>
          <w:trHeight w:val="435"/>
        </w:trPr>
        <w:tc>
          <w:tcPr>
            <w:tcW w:w="4776" w:type="dxa"/>
            <w:gridSpan w:val="4"/>
            <w:tcBorders>
              <w:top w:val="single" w:sz="8" w:space="0" w:color="auto"/>
              <w:left w:val="nil"/>
              <w:bottom w:val="single" w:sz="4" w:space="0" w:color="808000"/>
              <w:right w:val="nil"/>
            </w:tcBorders>
            <w:shd w:val="clear" w:color="000000" w:fill="FFFF99"/>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HISTORIA LABORAL DEL AFILIADO</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jc w:val="center"/>
              <w:rPr>
                <w:rFonts w:ascii="Calibri" w:hAnsi="Calibri"/>
                <w:b/>
                <w:bCs/>
                <w:i/>
                <w:iCs/>
                <w:color w:val="000000"/>
                <w:sz w:val="16"/>
                <w:szCs w:val="16"/>
                <w:lang w:val="es-ES"/>
              </w:rPr>
            </w:pPr>
          </w:p>
        </w:tc>
        <w:tc>
          <w:tcPr>
            <w:tcW w:w="2280" w:type="dxa"/>
            <w:gridSpan w:val="2"/>
            <w:tcBorders>
              <w:top w:val="single" w:sz="4" w:space="0" w:color="auto"/>
              <w:left w:val="nil"/>
              <w:bottom w:val="single" w:sz="4" w:space="0" w:color="808000"/>
              <w:right w:val="nil"/>
            </w:tcBorders>
            <w:shd w:val="clear" w:color="000000" w:fill="FFFF99"/>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 xml:space="preserve">IPC </w:t>
            </w:r>
            <w:proofErr w:type="spellStart"/>
            <w:r w:rsidRPr="009A1C84">
              <w:rPr>
                <w:rFonts w:ascii="Calibri" w:hAnsi="Calibri"/>
                <w:b/>
                <w:bCs/>
                <w:i/>
                <w:iCs/>
                <w:color w:val="000000"/>
                <w:sz w:val="16"/>
                <w:szCs w:val="16"/>
                <w:lang w:val="es-ES"/>
              </w:rPr>
              <w:t>Dane</w:t>
            </w:r>
            <w:proofErr w:type="spellEnd"/>
            <w:r w:rsidRPr="009A1C84">
              <w:rPr>
                <w:rFonts w:ascii="Calibri" w:hAnsi="Calibri"/>
                <w:b/>
                <w:bCs/>
                <w:i/>
                <w:iCs/>
                <w:color w:val="000000"/>
                <w:sz w:val="16"/>
                <w:szCs w:val="16"/>
                <w:lang w:val="es-ES"/>
              </w:rPr>
              <w:t xml:space="preserve">                                    (serie de empalme)</w:t>
            </w:r>
          </w:p>
        </w:tc>
        <w:tc>
          <w:tcPr>
            <w:tcW w:w="1464"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9A1C84" w:rsidRPr="009A1C84" w:rsidRDefault="009A1C84" w:rsidP="009A1C84">
            <w:pPr>
              <w:jc w:val="center"/>
              <w:rPr>
                <w:rFonts w:ascii="Calibri" w:hAnsi="Calibri"/>
                <w:b/>
                <w:bCs/>
                <w:i/>
                <w:iCs/>
                <w:color w:val="000000"/>
                <w:sz w:val="20"/>
                <w:lang w:val="es-ES"/>
              </w:rPr>
            </w:pPr>
            <w:r w:rsidRPr="009A1C84">
              <w:rPr>
                <w:rFonts w:ascii="Calibri" w:hAnsi="Calibri"/>
                <w:b/>
                <w:bCs/>
                <w:i/>
                <w:iCs/>
                <w:color w:val="000000"/>
                <w:sz w:val="20"/>
                <w:lang w:val="es-ES"/>
              </w:rPr>
              <w:t xml:space="preserve"> Promedio Salarial        (</w:t>
            </w:r>
            <w:proofErr w:type="spellStart"/>
            <w:r w:rsidRPr="009A1C84">
              <w:rPr>
                <w:rFonts w:ascii="Calibri" w:hAnsi="Calibri"/>
                <w:b/>
                <w:bCs/>
                <w:i/>
                <w:iCs/>
                <w:color w:val="000000"/>
                <w:sz w:val="20"/>
                <w:lang w:val="es-ES"/>
              </w:rPr>
              <w:t>Dias</w:t>
            </w:r>
            <w:proofErr w:type="spellEnd"/>
            <w:r w:rsidRPr="009A1C84">
              <w:rPr>
                <w:rFonts w:ascii="Calibri" w:hAnsi="Calibri"/>
                <w:b/>
                <w:bCs/>
                <w:i/>
                <w:iCs/>
                <w:color w:val="000000"/>
                <w:sz w:val="20"/>
                <w:lang w:val="es-ES"/>
              </w:rPr>
              <w:t xml:space="preserve"> x IBC actualizado/total </w:t>
            </w:r>
            <w:proofErr w:type="spellStart"/>
            <w:r w:rsidRPr="009A1C84">
              <w:rPr>
                <w:rFonts w:ascii="Calibri" w:hAnsi="Calibri"/>
                <w:b/>
                <w:bCs/>
                <w:i/>
                <w:iCs/>
                <w:color w:val="000000"/>
                <w:sz w:val="20"/>
                <w:lang w:val="es-ES"/>
              </w:rPr>
              <w:t>dias</w:t>
            </w:r>
            <w:proofErr w:type="spellEnd"/>
            <w:r w:rsidRPr="009A1C84">
              <w:rPr>
                <w:rFonts w:ascii="Calibri" w:hAnsi="Calibri"/>
                <w:b/>
                <w:bCs/>
                <w:i/>
                <w:iCs/>
                <w:color w:val="000000"/>
                <w:sz w:val="20"/>
                <w:lang w:val="es-ES"/>
              </w:rPr>
              <w:t xml:space="preserve">) </w:t>
            </w:r>
          </w:p>
        </w:tc>
      </w:tr>
      <w:tr w:rsidR="009A1C84" w:rsidRPr="009A1C84" w:rsidTr="009A1C84">
        <w:trPr>
          <w:trHeight w:val="315"/>
        </w:trPr>
        <w:tc>
          <w:tcPr>
            <w:tcW w:w="2458" w:type="dxa"/>
            <w:gridSpan w:val="2"/>
            <w:tcBorders>
              <w:top w:val="single" w:sz="4" w:space="0" w:color="808000"/>
              <w:left w:val="nil"/>
              <w:bottom w:val="single" w:sz="4" w:space="0" w:color="808000"/>
              <w:right w:val="nil"/>
            </w:tcBorders>
            <w:shd w:val="clear" w:color="000000" w:fill="FFFFCC"/>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Fechas de aporte</w:t>
            </w:r>
          </w:p>
        </w:tc>
        <w:tc>
          <w:tcPr>
            <w:tcW w:w="119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Número de días</w:t>
            </w:r>
          </w:p>
        </w:tc>
        <w:tc>
          <w:tcPr>
            <w:tcW w:w="1120"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Ingreso Base de Cotización</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jc w:val="center"/>
              <w:rPr>
                <w:rFonts w:ascii="Calibri" w:hAnsi="Calibri"/>
                <w:b/>
                <w:bCs/>
                <w:i/>
                <w:iCs/>
                <w:color w:val="000000"/>
                <w:sz w:val="16"/>
                <w:szCs w:val="16"/>
                <w:lang w:val="es-ES"/>
              </w:rPr>
            </w:pPr>
          </w:p>
        </w:tc>
        <w:tc>
          <w:tcPr>
            <w:tcW w:w="94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IPC Final</w:t>
            </w:r>
          </w:p>
        </w:tc>
        <w:tc>
          <w:tcPr>
            <w:tcW w:w="134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IPC Inicial</w:t>
            </w:r>
          </w:p>
        </w:tc>
        <w:tc>
          <w:tcPr>
            <w:tcW w:w="1464" w:type="dxa"/>
            <w:vMerge/>
            <w:tcBorders>
              <w:top w:val="single" w:sz="4" w:space="0" w:color="auto"/>
              <w:left w:val="single" w:sz="4" w:space="0" w:color="808000"/>
              <w:bottom w:val="single" w:sz="8" w:space="0" w:color="000000"/>
              <w:right w:val="single" w:sz="8" w:space="0" w:color="auto"/>
            </w:tcBorders>
            <w:vAlign w:val="center"/>
            <w:hideMark/>
          </w:tcPr>
          <w:p w:rsidR="009A1C84" w:rsidRPr="009A1C84" w:rsidRDefault="009A1C84" w:rsidP="009A1C84">
            <w:pPr>
              <w:rPr>
                <w:rFonts w:ascii="Calibri" w:hAnsi="Calibri"/>
                <w:b/>
                <w:bCs/>
                <w:i/>
                <w:iCs/>
                <w:color w:val="000000"/>
                <w:sz w:val="20"/>
                <w:lang w:val="es-ES"/>
              </w:rPr>
            </w:pPr>
          </w:p>
        </w:tc>
      </w:tr>
      <w:tr w:rsidR="009A1C84" w:rsidRPr="009A1C84" w:rsidTr="009A1C84">
        <w:trPr>
          <w:trHeight w:val="495"/>
        </w:trPr>
        <w:tc>
          <w:tcPr>
            <w:tcW w:w="1229" w:type="dxa"/>
            <w:tcBorders>
              <w:top w:val="nil"/>
              <w:left w:val="nil"/>
              <w:bottom w:val="single" w:sz="8" w:space="0" w:color="auto"/>
              <w:right w:val="single" w:sz="4" w:space="0" w:color="808000"/>
            </w:tcBorders>
            <w:shd w:val="clear" w:color="000000" w:fill="FFFF99"/>
            <w:noWrap/>
            <w:vAlign w:val="center"/>
            <w:hideMark/>
          </w:tcPr>
          <w:p w:rsidR="009A1C84" w:rsidRPr="009A1C84" w:rsidRDefault="009A1C84" w:rsidP="009A1C84">
            <w:pPr>
              <w:jc w:val="right"/>
              <w:rPr>
                <w:rFonts w:ascii="Calibri" w:hAnsi="Calibri"/>
                <w:b/>
                <w:bCs/>
                <w:i/>
                <w:iCs/>
                <w:color w:val="000000"/>
                <w:sz w:val="16"/>
                <w:szCs w:val="16"/>
                <w:lang w:val="es-ES"/>
              </w:rPr>
            </w:pPr>
            <w:r w:rsidRPr="009A1C84">
              <w:rPr>
                <w:rFonts w:ascii="Calibri" w:hAnsi="Calibri"/>
                <w:b/>
                <w:bCs/>
                <w:i/>
                <w:iCs/>
                <w:color w:val="000000"/>
                <w:sz w:val="16"/>
                <w:szCs w:val="16"/>
                <w:lang w:val="es-ES"/>
              </w:rPr>
              <w:t>Desde</w:t>
            </w:r>
          </w:p>
        </w:tc>
        <w:tc>
          <w:tcPr>
            <w:tcW w:w="1229" w:type="dxa"/>
            <w:tcBorders>
              <w:top w:val="nil"/>
              <w:left w:val="nil"/>
              <w:bottom w:val="single" w:sz="8" w:space="0" w:color="auto"/>
              <w:right w:val="single" w:sz="4" w:space="0" w:color="808000"/>
            </w:tcBorders>
            <w:shd w:val="clear" w:color="000000" w:fill="FFFF99"/>
            <w:noWrap/>
            <w:vAlign w:val="center"/>
            <w:hideMark/>
          </w:tcPr>
          <w:p w:rsidR="009A1C84" w:rsidRPr="009A1C84" w:rsidRDefault="009A1C84" w:rsidP="009A1C84">
            <w:pPr>
              <w:jc w:val="right"/>
              <w:rPr>
                <w:rFonts w:ascii="Calibri" w:hAnsi="Calibri"/>
                <w:b/>
                <w:bCs/>
                <w:i/>
                <w:iCs/>
                <w:color w:val="000000"/>
                <w:sz w:val="16"/>
                <w:szCs w:val="16"/>
                <w:lang w:val="es-ES"/>
              </w:rPr>
            </w:pPr>
            <w:r w:rsidRPr="009A1C84">
              <w:rPr>
                <w:rFonts w:ascii="Calibri" w:hAnsi="Calibri"/>
                <w:b/>
                <w:bCs/>
                <w:i/>
                <w:iCs/>
                <w:color w:val="000000"/>
                <w:sz w:val="16"/>
                <w:szCs w:val="16"/>
                <w:lang w:val="es-ES"/>
              </w:rPr>
              <w:t>Hasta</w:t>
            </w:r>
          </w:p>
        </w:tc>
        <w:tc>
          <w:tcPr>
            <w:tcW w:w="1198" w:type="dxa"/>
            <w:vMerge/>
            <w:tcBorders>
              <w:top w:val="nil"/>
              <w:left w:val="single" w:sz="4" w:space="0" w:color="808000"/>
              <w:bottom w:val="single" w:sz="8" w:space="0" w:color="000000"/>
              <w:right w:val="single" w:sz="4" w:space="0" w:color="808000"/>
            </w:tcBorders>
            <w:vAlign w:val="center"/>
            <w:hideMark/>
          </w:tcPr>
          <w:p w:rsidR="009A1C84" w:rsidRPr="009A1C84" w:rsidRDefault="009A1C84" w:rsidP="009A1C84">
            <w:pPr>
              <w:rPr>
                <w:rFonts w:ascii="Calibri" w:hAnsi="Calibri"/>
                <w:b/>
                <w:bCs/>
                <w:i/>
                <w:iCs/>
                <w:color w:val="000000"/>
                <w:sz w:val="16"/>
                <w:szCs w:val="16"/>
                <w:lang w:val="es-ES"/>
              </w:rPr>
            </w:pPr>
          </w:p>
        </w:tc>
        <w:tc>
          <w:tcPr>
            <w:tcW w:w="1120" w:type="dxa"/>
            <w:vMerge/>
            <w:tcBorders>
              <w:top w:val="nil"/>
              <w:left w:val="single" w:sz="4" w:space="0" w:color="808000"/>
              <w:bottom w:val="single" w:sz="8" w:space="0" w:color="000000"/>
              <w:right w:val="single" w:sz="8" w:space="0" w:color="auto"/>
            </w:tcBorders>
            <w:vAlign w:val="center"/>
            <w:hideMark/>
          </w:tcPr>
          <w:p w:rsidR="009A1C84" w:rsidRPr="009A1C84" w:rsidRDefault="009A1C84" w:rsidP="009A1C84">
            <w:pPr>
              <w:rPr>
                <w:rFonts w:ascii="Calibri" w:hAnsi="Calibri"/>
                <w:b/>
                <w:bCs/>
                <w:i/>
                <w:iCs/>
                <w:color w:val="000000"/>
                <w:sz w:val="16"/>
                <w:szCs w:val="16"/>
                <w:lang w:val="es-ES"/>
              </w:rPr>
            </w:pPr>
          </w:p>
        </w:tc>
        <w:tc>
          <w:tcPr>
            <w:tcW w:w="100" w:type="dxa"/>
            <w:tcBorders>
              <w:top w:val="nil"/>
              <w:left w:val="nil"/>
              <w:bottom w:val="nil"/>
              <w:right w:val="nil"/>
            </w:tcBorders>
            <w:shd w:val="clear" w:color="auto" w:fill="auto"/>
            <w:noWrap/>
            <w:vAlign w:val="bottom"/>
            <w:hideMark/>
          </w:tcPr>
          <w:p w:rsidR="009A1C84" w:rsidRPr="009A1C84" w:rsidRDefault="009A1C84" w:rsidP="009A1C84">
            <w:pPr>
              <w:jc w:val="right"/>
              <w:rPr>
                <w:rFonts w:ascii="Calibri" w:hAnsi="Calibri"/>
                <w:b/>
                <w:bCs/>
                <w:i/>
                <w:iCs/>
                <w:color w:val="000000"/>
                <w:sz w:val="16"/>
                <w:szCs w:val="16"/>
                <w:lang w:val="es-ES"/>
              </w:rPr>
            </w:pPr>
          </w:p>
        </w:tc>
        <w:tc>
          <w:tcPr>
            <w:tcW w:w="940" w:type="dxa"/>
            <w:vMerge/>
            <w:tcBorders>
              <w:top w:val="nil"/>
              <w:left w:val="single" w:sz="4" w:space="0" w:color="808000"/>
              <w:bottom w:val="single" w:sz="8" w:space="0" w:color="000000"/>
              <w:right w:val="single" w:sz="4" w:space="0" w:color="808000"/>
            </w:tcBorders>
            <w:vAlign w:val="center"/>
            <w:hideMark/>
          </w:tcPr>
          <w:p w:rsidR="009A1C84" w:rsidRPr="009A1C84" w:rsidRDefault="009A1C84" w:rsidP="009A1C84">
            <w:pPr>
              <w:rPr>
                <w:rFonts w:ascii="Calibri" w:hAnsi="Calibri"/>
                <w:b/>
                <w:bCs/>
                <w:i/>
                <w:iCs/>
                <w:color w:val="000000"/>
                <w:sz w:val="16"/>
                <w:szCs w:val="16"/>
                <w:lang w:val="es-ES"/>
              </w:rPr>
            </w:pPr>
          </w:p>
        </w:tc>
        <w:tc>
          <w:tcPr>
            <w:tcW w:w="1340" w:type="dxa"/>
            <w:vMerge/>
            <w:tcBorders>
              <w:top w:val="nil"/>
              <w:left w:val="single" w:sz="4" w:space="0" w:color="808000"/>
              <w:bottom w:val="single" w:sz="8" w:space="0" w:color="000000"/>
              <w:right w:val="single" w:sz="4" w:space="0" w:color="808000"/>
            </w:tcBorders>
            <w:vAlign w:val="center"/>
            <w:hideMark/>
          </w:tcPr>
          <w:p w:rsidR="009A1C84" w:rsidRPr="009A1C84" w:rsidRDefault="009A1C84" w:rsidP="009A1C84">
            <w:pPr>
              <w:rPr>
                <w:rFonts w:ascii="Calibri" w:hAnsi="Calibri"/>
                <w:b/>
                <w:bCs/>
                <w:i/>
                <w:iCs/>
                <w:color w:val="000000"/>
                <w:sz w:val="16"/>
                <w:szCs w:val="16"/>
                <w:lang w:val="es-ES"/>
              </w:rPr>
            </w:pPr>
          </w:p>
        </w:tc>
        <w:tc>
          <w:tcPr>
            <w:tcW w:w="1464" w:type="dxa"/>
            <w:vMerge/>
            <w:tcBorders>
              <w:top w:val="single" w:sz="4" w:space="0" w:color="auto"/>
              <w:left w:val="single" w:sz="4" w:space="0" w:color="808000"/>
              <w:bottom w:val="single" w:sz="8" w:space="0" w:color="000000"/>
              <w:right w:val="single" w:sz="8" w:space="0" w:color="auto"/>
            </w:tcBorders>
            <w:vAlign w:val="center"/>
            <w:hideMark/>
          </w:tcPr>
          <w:p w:rsidR="009A1C84" w:rsidRPr="009A1C84" w:rsidRDefault="009A1C84" w:rsidP="009A1C84">
            <w:pPr>
              <w:rPr>
                <w:rFonts w:ascii="Calibri" w:hAnsi="Calibri"/>
                <w:b/>
                <w:bCs/>
                <w:i/>
                <w:iCs/>
                <w:color w:val="000000"/>
                <w:sz w:val="20"/>
                <w:lang w:val="es-ES"/>
              </w:rPr>
            </w:pPr>
          </w:p>
        </w:tc>
      </w:tr>
      <w:tr w:rsidR="009A1C84" w:rsidRPr="009A1C84" w:rsidTr="009A1C84">
        <w:trPr>
          <w:trHeight w:val="315"/>
        </w:trPr>
        <w:tc>
          <w:tcPr>
            <w:tcW w:w="122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09-ago-76</w:t>
            </w:r>
          </w:p>
        </w:tc>
        <w:tc>
          <w:tcPr>
            <w:tcW w:w="122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31-ago-76</w:t>
            </w:r>
          </w:p>
        </w:tc>
        <w:tc>
          <w:tcPr>
            <w:tcW w:w="119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23</w:t>
            </w:r>
          </w:p>
        </w:tc>
        <w:tc>
          <w:tcPr>
            <w:tcW w:w="1120"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1.435,00 </w:t>
            </w:r>
          </w:p>
        </w:tc>
        <w:tc>
          <w:tcPr>
            <w:tcW w:w="100" w:type="dxa"/>
            <w:tcBorders>
              <w:top w:val="single" w:sz="4" w:space="0" w:color="808000"/>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0,41</w:t>
            </w:r>
          </w:p>
        </w:tc>
        <w:tc>
          <w:tcPr>
            <w:tcW w:w="1464"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432,81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01-sep-76</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31-dic-76</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122</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2.050,00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0,41</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3.279,71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01-ene-77</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31-ene-77</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1.425,00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0,52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460,62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01-feb-77</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30-abr-77</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89</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2.600,00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0,52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2.412,86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01-may-77</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31-may-77</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3.166,67 </w:t>
            </w:r>
          </w:p>
        </w:tc>
        <w:tc>
          <w:tcPr>
            <w:tcW w:w="100" w:type="dxa"/>
            <w:tcBorders>
              <w:top w:val="nil"/>
              <w:left w:val="nil"/>
              <w:bottom w:val="nil"/>
              <w:right w:val="nil"/>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0,52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1.023,61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01-jun-77</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31-dic-77</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214</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3.600,00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0,52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8.033,14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01-ene-78</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31-mar-78</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90</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3.600,00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0,67</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2.624,80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01-abr-78</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30-jun-78</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5.200,00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0,67</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3.833,50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01-jul-78</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31-jul-78</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5.356,00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0,67</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1.345,10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01-ago-78</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31-dic-78</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153</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6.300,00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0,67</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7.808,78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01-ene-79</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31-ene-79</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6.300,00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0,80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1.336,03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01-feb-79</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28-feb-79</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28</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7.150,00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0,80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1.369,55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01-mar-79</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30-jun-79</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122</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8.000,00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0,80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6.676,74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01-jul-79</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31-dic-79</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184</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8.120,00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0,80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10.220,88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01-ene-80</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31-mar-80</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8.120,00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1,02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3.924,61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01-abr-80</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30-jun-80</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10.420,00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1,02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5.036,26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01-jul-80</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31-dic-80</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184</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10.576,00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1,02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10.335,66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01-ene-81</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28-feb-81</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59</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10.576,00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1,29</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2.633,33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01-mar-81</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30-jun-81</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122</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12.976,00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1,29</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6.680,86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01-jul-81</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31-dic-81</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184</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13.171,00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1,29</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10.227,47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01-ene-82</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31-mar-82</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90</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13.171,00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1,63</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3.955,88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01-abr-82</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30-jun-82</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16.671,00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1,63</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5.062,73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01-jul-82</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31-dic-82</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184</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17.171,00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1,63</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10.543,76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01-ene-83</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31-mar-83</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90</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17.171,00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2,02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4.158,07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01-abr-83</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30-jun-83</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20.471,00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2,02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5.012,27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01-jul-83</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31-dic-83</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184</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21.085,00 </w:t>
            </w:r>
          </w:p>
        </w:tc>
        <w:tc>
          <w:tcPr>
            <w:tcW w:w="100" w:type="dxa"/>
            <w:tcBorders>
              <w:top w:val="nil"/>
              <w:left w:val="nil"/>
              <w:bottom w:val="nil"/>
              <w:right w:val="nil"/>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2,02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10.438,67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01-ene-84</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31-mar-84</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25.185,00 </w:t>
            </w:r>
          </w:p>
        </w:tc>
        <w:tc>
          <w:tcPr>
            <w:tcW w:w="100" w:type="dxa"/>
            <w:tcBorders>
              <w:top w:val="nil"/>
              <w:left w:val="nil"/>
              <w:bottom w:val="nil"/>
              <w:right w:val="nil"/>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2,36</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5.286,89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01-abr-84</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30-jun-84</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91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27.500,00 </w:t>
            </w:r>
          </w:p>
        </w:tc>
        <w:tc>
          <w:tcPr>
            <w:tcW w:w="100" w:type="dxa"/>
            <w:tcBorders>
              <w:top w:val="nil"/>
              <w:left w:val="nil"/>
              <w:bottom w:val="nil"/>
              <w:right w:val="nil"/>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2,36</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5.772,86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01-jul-84</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31-dic-84</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184</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28.325,00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2,36</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12.022,77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01-ene-85</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30-jun-85</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181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32.575,00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2,79</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11.498,87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01-jul-85</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30-nov-85</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153</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33.552,00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2,79</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10.011,57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01-dic-85</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31-dic-85</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39.452,00 </w:t>
            </w:r>
          </w:p>
        </w:tc>
        <w:tc>
          <w:tcPr>
            <w:tcW w:w="100" w:type="dxa"/>
            <w:tcBorders>
              <w:top w:val="nil"/>
              <w:left w:val="nil"/>
              <w:bottom w:val="nil"/>
              <w:right w:val="nil"/>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2,79</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2.385,19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lastRenderedPageBreak/>
              <w:t>01-ene-86</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30-jun-86</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181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39.452,00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3,42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11.373,10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01-jul-86</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30-nov-86</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153</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40.636,00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3,42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9.902,25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01-dic-86</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31-dic-86</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46.736,00 </w:t>
            </w:r>
          </w:p>
        </w:tc>
        <w:tc>
          <w:tcPr>
            <w:tcW w:w="100" w:type="dxa"/>
            <w:tcBorders>
              <w:top w:val="nil"/>
              <w:left w:val="nil"/>
              <w:bottom w:val="nil"/>
              <w:right w:val="single" w:sz="12" w:space="0" w:color="auto"/>
            </w:tcBorders>
            <w:shd w:val="clear" w:color="auto" w:fill="auto"/>
            <w:noWrap/>
            <w:vAlign w:val="center"/>
            <w:hideMark/>
          </w:tcPr>
          <w:p w:rsidR="009A1C84" w:rsidRPr="009A1C84" w:rsidRDefault="009A1C84" w:rsidP="009A1C84">
            <w:pPr>
              <w:rPr>
                <w:rFonts w:ascii="Calibri" w:hAnsi="Calibri"/>
                <w:i/>
                <w:iCs/>
                <w:color w:val="000000"/>
                <w:szCs w:val="24"/>
                <w:lang w:val="es-ES"/>
              </w:rPr>
            </w:pPr>
            <w:r w:rsidRPr="009A1C84">
              <w:rPr>
                <w:rFonts w:ascii="Calibri" w:hAnsi="Calibri"/>
                <w:i/>
                <w:iCs/>
                <w:color w:val="000000"/>
                <w:szCs w:val="24"/>
                <w:lang w:val="es-ES"/>
              </w:rPr>
              <w:t> </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3,42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2.307,52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01-ene-87</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15-ene-87</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15</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23.368,00 </w:t>
            </w:r>
          </w:p>
        </w:tc>
        <w:tc>
          <w:tcPr>
            <w:tcW w:w="100" w:type="dxa"/>
            <w:tcBorders>
              <w:top w:val="nil"/>
              <w:left w:val="nil"/>
              <w:bottom w:val="nil"/>
              <w:right w:val="nil"/>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4,13</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461,58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23-abr-87</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31-dic-87</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253</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21.420,00 </w:t>
            </w:r>
          </w:p>
        </w:tc>
        <w:tc>
          <w:tcPr>
            <w:tcW w:w="100" w:type="dxa"/>
            <w:tcBorders>
              <w:top w:val="nil"/>
              <w:left w:val="nil"/>
              <w:bottom w:val="nil"/>
              <w:right w:val="nil"/>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4,13</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7.136,37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01-ene-88</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31-dic-88</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366</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25.530,00 </w:t>
            </w:r>
          </w:p>
        </w:tc>
        <w:tc>
          <w:tcPr>
            <w:tcW w:w="100" w:type="dxa"/>
            <w:tcBorders>
              <w:top w:val="nil"/>
              <w:left w:val="nil"/>
              <w:bottom w:val="nil"/>
              <w:right w:val="nil"/>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5,12</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9.921,38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01-ene-89</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12-ene-89</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12</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39.310,00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6,57</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390,92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24-ago-89</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20-dic-89</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119</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39.310,00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6,57</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3.876,66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10-ene-90</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31-dic-90</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356</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47.370,00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8,28</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11.080,71 </w:t>
            </w:r>
          </w:p>
        </w:tc>
      </w:tr>
      <w:tr w:rsidR="009A1C84" w:rsidRPr="009A1C84" w:rsidTr="009A1C84">
        <w:trPr>
          <w:trHeight w:val="315"/>
        </w:trPr>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01-ene-91</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31-dic-91</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365</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54.630,00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10,96</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9.898,20 </w:t>
            </w:r>
          </w:p>
        </w:tc>
      </w:tr>
      <w:tr w:rsidR="009A1C84" w:rsidRPr="009A1C84" w:rsidTr="009A1C84">
        <w:trPr>
          <w:trHeight w:val="315"/>
        </w:trPr>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01-ene-92</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11-feb-92</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42</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70.260,00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13,90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1.155,02 </w:t>
            </w:r>
          </w:p>
        </w:tc>
      </w:tr>
      <w:tr w:rsidR="009A1C84" w:rsidRPr="009A1C84" w:rsidTr="009A1C84">
        <w:trPr>
          <w:trHeight w:val="315"/>
        </w:trPr>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08-jun-92</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21-jul-92</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44</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457.290,00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13,90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7.875,46 </w:t>
            </w:r>
          </w:p>
        </w:tc>
      </w:tr>
      <w:tr w:rsidR="009A1C84" w:rsidRPr="009A1C84" w:rsidTr="009A1C84">
        <w:trPr>
          <w:trHeight w:val="315"/>
        </w:trPr>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03-sep-92</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31-dic-92</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120</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298.110,00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13,90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14.001,97 </w:t>
            </w:r>
          </w:p>
        </w:tc>
      </w:tr>
      <w:tr w:rsidR="009A1C84" w:rsidRPr="009A1C84" w:rsidTr="009A1C84">
        <w:trPr>
          <w:trHeight w:val="315"/>
        </w:trPr>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01-ene-93</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30-abr-93</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120</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298.110,00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17,40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11.189,60 </w:t>
            </w:r>
          </w:p>
        </w:tc>
      </w:tr>
      <w:tr w:rsidR="009A1C84" w:rsidRPr="009A1C84" w:rsidTr="009A1C84">
        <w:trPr>
          <w:trHeight w:val="315"/>
        </w:trPr>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06-may-93</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02-jun-93</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28</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298.110,00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17,40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2.610,91 </w:t>
            </w:r>
          </w:p>
        </w:tc>
      </w:tr>
      <w:tr w:rsidR="009A1C84" w:rsidRPr="009A1C84" w:rsidTr="009A1C84">
        <w:trPr>
          <w:trHeight w:val="315"/>
        </w:trPr>
        <w:tc>
          <w:tcPr>
            <w:tcW w:w="1229"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01-sep-93</w:t>
            </w:r>
          </w:p>
        </w:tc>
        <w:tc>
          <w:tcPr>
            <w:tcW w:w="1229"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right"/>
              <w:rPr>
                <w:rFonts w:ascii="Calibri" w:hAnsi="Calibri"/>
                <w:i/>
                <w:iCs/>
                <w:color w:val="000000"/>
                <w:sz w:val="16"/>
                <w:szCs w:val="16"/>
                <w:lang w:val="es-ES"/>
              </w:rPr>
            </w:pPr>
            <w:r w:rsidRPr="009A1C84">
              <w:rPr>
                <w:rFonts w:ascii="Calibri" w:hAnsi="Calibri"/>
                <w:i/>
                <w:iCs/>
                <w:color w:val="000000"/>
                <w:sz w:val="16"/>
                <w:szCs w:val="16"/>
                <w:lang w:val="es-ES"/>
              </w:rPr>
              <w:t>13-dic-93</w:t>
            </w:r>
          </w:p>
        </w:tc>
        <w:tc>
          <w:tcPr>
            <w:tcW w:w="1198"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104</w:t>
            </w:r>
          </w:p>
        </w:tc>
        <w:tc>
          <w:tcPr>
            <w:tcW w:w="1120" w:type="dxa"/>
            <w:tcBorders>
              <w:top w:val="nil"/>
              <w:left w:val="nil"/>
              <w:bottom w:val="single" w:sz="4" w:space="0" w:color="808000"/>
              <w:right w:val="single" w:sz="8" w:space="0" w:color="auto"/>
            </w:tcBorders>
            <w:shd w:val="clear" w:color="auto" w:fill="auto"/>
            <w:noWrap/>
            <w:vAlign w:val="center"/>
            <w:hideMark/>
          </w:tcPr>
          <w:p w:rsidR="009A1C84" w:rsidRPr="009A1C84" w:rsidRDefault="009A1C84" w:rsidP="009A1C84">
            <w:pPr>
              <w:rPr>
                <w:rFonts w:ascii="Calibri" w:hAnsi="Calibri"/>
                <w:i/>
                <w:iCs/>
                <w:color w:val="000000"/>
                <w:sz w:val="16"/>
                <w:szCs w:val="16"/>
                <w:lang w:val="es-ES"/>
              </w:rPr>
            </w:pPr>
            <w:r w:rsidRPr="009A1C84">
              <w:rPr>
                <w:rFonts w:ascii="Calibri" w:hAnsi="Calibri"/>
                <w:i/>
                <w:iCs/>
                <w:color w:val="000000"/>
                <w:sz w:val="16"/>
                <w:szCs w:val="16"/>
                <w:lang w:val="es-ES"/>
              </w:rPr>
              <w:t xml:space="preserve">     298.110,00 </w:t>
            </w: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rFonts w:ascii="Calibri" w:hAnsi="Calibri"/>
                <w:i/>
                <w:iCs/>
                <w:color w:val="000000"/>
                <w:sz w:val="16"/>
                <w:szCs w:val="16"/>
                <w:lang w:val="es-ES"/>
              </w:rPr>
            </w:pP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31,24</w:t>
            </w:r>
          </w:p>
        </w:tc>
        <w:tc>
          <w:tcPr>
            <w:tcW w:w="1340"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17,40</w:t>
            </w:r>
          </w:p>
        </w:tc>
        <w:tc>
          <w:tcPr>
            <w:tcW w:w="1464" w:type="dxa"/>
            <w:tcBorders>
              <w:top w:val="nil"/>
              <w:left w:val="nil"/>
              <w:bottom w:val="single" w:sz="4" w:space="0" w:color="808000"/>
              <w:right w:val="single" w:sz="4" w:space="0" w:color="808000"/>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r w:rsidRPr="009A1C84">
              <w:rPr>
                <w:rFonts w:ascii="Calibri" w:hAnsi="Calibri"/>
                <w:i/>
                <w:iCs/>
                <w:color w:val="000000"/>
                <w:sz w:val="16"/>
                <w:szCs w:val="16"/>
                <w:lang w:val="es-ES"/>
              </w:rPr>
              <w:t xml:space="preserve"> $               9.697,65 </w:t>
            </w:r>
          </w:p>
        </w:tc>
      </w:tr>
      <w:tr w:rsidR="009A1C84" w:rsidRPr="009A1C84" w:rsidTr="009A1C84">
        <w:trPr>
          <w:trHeight w:val="315"/>
        </w:trPr>
        <w:tc>
          <w:tcPr>
            <w:tcW w:w="1229" w:type="dxa"/>
            <w:tcBorders>
              <w:top w:val="nil"/>
              <w:left w:val="nil"/>
              <w:bottom w:val="nil"/>
              <w:right w:val="nil"/>
            </w:tcBorders>
            <w:shd w:val="clear" w:color="auto" w:fill="auto"/>
            <w:noWrap/>
            <w:vAlign w:val="center"/>
            <w:hideMark/>
          </w:tcPr>
          <w:p w:rsidR="009A1C84" w:rsidRPr="009A1C84" w:rsidRDefault="009A1C84" w:rsidP="009A1C84">
            <w:pPr>
              <w:jc w:val="center"/>
              <w:rPr>
                <w:rFonts w:ascii="Calibri" w:hAnsi="Calibri"/>
                <w:i/>
                <w:iCs/>
                <w:color w:val="000000"/>
                <w:sz w:val="16"/>
                <w:szCs w:val="16"/>
                <w:lang w:val="es-ES"/>
              </w:rPr>
            </w:pPr>
          </w:p>
        </w:tc>
        <w:tc>
          <w:tcPr>
            <w:tcW w:w="1229" w:type="dxa"/>
            <w:tcBorders>
              <w:top w:val="nil"/>
              <w:left w:val="nil"/>
              <w:bottom w:val="nil"/>
              <w:right w:val="nil"/>
            </w:tcBorders>
            <w:shd w:val="clear" w:color="auto" w:fill="auto"/>
            <w:noWrap/>
            <w:vAlign w:val="center"/>
            <w:hideMark/>
          </w:tcPr>
          <w:p w:rsidR="009A1C84" w:rsidRPr="009A1C84" w:rsidRDefault="009A1C84" w:rsidP="009A1C84">
            <w:pPr>
              <w:jc w:val="right"/>
              <w:rPr>
                <w:sz w:val="20"/>
                <w:lang w:val="es-ES"/>
              </w:rPr>
            </w:pPr>
          </w:p>
        </w:tc>
        <w:tc>
          <w:tcPr>
            <w:tcW w:w="1198" w:type="dxa"/>
            <w:tcBorders>
              <w:top w:val="nil"/>
              <w:left w:val="nil"/>
              <w:bottom w:val="nil"/>
              <w:right w:val="nil"/>
            </w:tcBorders>
            <w:shd w:val="clear" w:color="auto" w:fill="auto"/>
            <w:noWrap/>
            <w:vAlign w:val="center"/>
            <w:hideMark/>
          </w:tcPr>
          <w:p w:rsidR="009A1C84" w:rsidRPr="009A1C84" w:rsidRDefault="009A1C84" w:rsidP="009A1C84">
            <w:pPr>
              <w:jc w:val="right"/>
              <w:rPr>
                <w:sz w:val="20"/>
                <w:lang w:val="es-ES"/>
              </w:rPr>
            </w:pPr>
          </w:p>
        </w:tc>
        <w:tc>
          <w:tcPr>
            <w:tcW w:w="1120" w:type="dxa"/>
            <w:tcBorders>
              <w:top w:val="nil"/>
              <w:left w:val="nil"/>
              <w:bottom w:val="nil"/>
              <w:right w:val="nil"/>
            </w:tcBorders>
            <w:shd w:val="clear" w:color="auto" w:fill="auto"/>
            <w:noWrap/>
            <w:vAlign w:val="center"/>
            <w:hideMark/>
          </w:tcPr>
          <w:p w:rsidR="009A1C84" w:rsidRPr="009A1C84" w:rsidRDefault="009A1C84" w:rsidP="009A1C84">
            <w:pPr>
              <w:jc w:val="center"/>
              <w:rPr>
                <w:sz w:val="20"/>
                <w:lang w:val="es-ES"/>
              </w:rPr>
            </w:pP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940" w:type="dxa"/>
            <w:tcBorders>
              <w:top w:val="nil"/>
              <w:left w:val="nil"/>
              <w:bottom w:val="nil"/>
              <w:right w:val="nil"/>
            </w:tcBorders>
            <w:shd w:val="clear" w:color="auto" w:fill="auto"/>
            <w:noWrap/>
            <w:vAlign w:val="center"/>
            <w:hideMark/>
          </w:tcPr>
          <w:p w:rsidR="009A1C84" w:rsidRPr="009A1C84" w:rsidRDefault="009A1C84" w:rsidP="009A1C84">
            <w:pPr>
              <w:rPr>
                <w:sz w:val="20"/>
                <w:lang w:val="es-ES"/>
              </w:rPr>
            </w:pPr>
          </w:p>
        </w:tc>
        <w:tc>
          <w:tcPr>
            <w:tcW w:w="1340" w:type="dxa"/>
            <w:tcBorders>
              <w:top w:val="nil"/>
              <w:left w:val="nil"/>
              <w:bottom w:val="nil"/>
              <w:right w:val="nil"/>
            </w:tcBorders>
            <w:shd w:val="clear" w:color="auto" w:fill="auto"/>
            <w:noWrap/>
            <w:vAlign w:val="center"/>
            <w:hideMark/>
          </w:tcPr>
          <w:p w:rsidR="009A1C84" w:rsidRPr="009A1C84" w:rsidRDefault="009A1C84" w:rsidP="009A1C84">
            <w:pPr>
              <w:jc w:val="center"/>
              <w:rPr>
                <w:sz w:val="20"/>
                <w:lang w:val="es-ES"/>
              </w:rPr>
            </w:pPr>
          </w:p>
        </w:tc>
        <w:tc>
          <w:tcPr>
            <w:tcW w:w="1464" w:type="dxa"/>
            <w:tcBorders>
              <w:top w:val="nil"/>
              <w:left w:val="nil"/>
              <w:bottom w:val="nil"/>
              <w:right w:val="nil"/>
            </w:tcBorders>
            <w:shd w:val="clear" w:color="auto" w:fill="auto"/>
            <w:noWrap/>
            <w:vAlign w:val="center"/>
            <w:hideMark/>
          </w:tcPr>
          <w:p w:rsidR="009A1C84" w:rsidRPr="009A1C84" w:rsidRDefault="009A1C84" w:rsidP="009A1C84">
            <w:pPr>
              <w:jc w:val="center"/>
              <w:rPr>
                <w:sz w:val="20"/>
                <w:lang w:val="es-ES"/>
              </w:rPr>
            </w:pPr>
          </w:p>
        </w:tc>
      </w:tr>
      <w:tr w:rsidR="009A1C84" w:rsidRPr="009A1C84" w:rsidTr="009A1C84">
        <w:trPr>
          <w:trHeight w:val="315"/>
        </w:trPr>
        <w:tc>
          <w:tcPr>
            <w:tcW w:w="1229"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229"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98"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2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94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34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464"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r>
      <w:tr w:rsidR="009A1C84" w:rsidRPr="009A1C84" w:rsidTr="009A1C84">
        <w:trPr>
          <w:trHeight w:val="315"/>
        </w:trPr>
        <w:tc>
          <w:tcPr>
            <w:tcW w:w="2458" w:type="dxa"/>
            <w:gridSpan w:val="2"/>
            <w:tcBorders>
              <w:top w:val="single" w:sz="4" w:space="0" w:color="333300"/>
              <w:left w:val="nil"/>
              <w:bottom w:val="single" w:sz="4" w:space="0" w:color="333300"/>
              <w:right w:val="single" w:sz="4" w:space="0" w:color="333300"/>
            </w:tcBorders>
            <w:shd w:val="clear" w:color="auto" w:fill="auto"/>
            <w:noWrap/>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TOTAL DIAS</w:t>
            </w:r>
          </w:p>
        </w:tc>
        <w:tc>
          <w:tcPr>
            <w:tcW w:w="1198" w:type="dxa"/>
            <w:tcBorders>
              <w:top w:val="single" w:sz="4" w:space="0" w:color="333300"/>
              <w:left w:val="nil"/>
              <w:bottom w:val="single" w:sz="4" w:space="0" w:color="333300"/>
              <w:right w:val="single" w:sz="4" w:space="0" w:color="333300"/>
            </w:tcBorders>
            <w:shd w:val="clear" w:color="000000" w:fill="FFFF99"/>
            <w:noWrap/>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5.741</w:t>
            </w:r>
          </w:p>
        </w:tc>
        <w:tc>
          <w:tcPr>
            <w:tcW w:w="1120" w:type="dxa"/>
            <w:tcBorders>
              <w:top w:val="nil"/>
              <w:left w:val="nil"/>
              <w:bottom w:val="nil"/>
              <w:right w:val="nil"/>
            </w:tcBorders>
            <w:shd w:val="clear" w:color="auto" w:fill="auto"/>
            <w:noWrap/>
            <w:vAlign w:val="bottom"/>
            <w:hideMark/>
          </w:tcPr>
          <w:p w:rsidR="009A1C84" w:rsidRPr="009A1C84" w:rsidRDefault="009A1C84" w:rsidP="009A1C84">
            <w:pPr>
              <w:jc w:val="center"/>
              <w:rPr>
                <w:rFonts w:ascii="Calibri" w:hAnsi="Calibri"/>
                <w:b/>
                <w:bCs/>
                <w:i/>
                <w:iCs/>
                <w:color w:val="000000"/>
                <w:sz w:val="16"/>
                <w:szCs w:val="16"/>
                <w:lang w:val="es-ES"/>
              </w:rPr>
            </w:pP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2280"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IBL</w:t>
            </w:r>
          </w:p>
        </w:tc>
        <w:tc>
          <w:tcPr>
            <w:tcW w:w="1464" w:type="dxa"/>
            <w:tcBorders>
              <w:top w:val="single" w:sz="4" w:space="0" w:color="333300"/>
              <w:left w:val="nil"/>
              <w:bottom w:val="single" w:sz="4" w:space="0" w:color="333300"/>
              <w:right w:val="single" w:sz="4" w:space="0" w:color="333300"/>
            </w:tcBorders>
            <w:shd w:val="clear" w:color="000000" w:fill="FFFF99"/>
            <w:noWrap/>
            <w:vAlign w:val="center"/>
            <w:hideMark/>
          </w:tcPr>
          <w:p w:rsidR="009A1C84" w:rsidRPr="009A1C84" w:rsidRDefault="009A1C84" w:rsidP="009A1C84">
            <w:pPr>
              <w:jc w:val="center"/>
              <w:rPr>
                <w:rFonts w:ascii="Calibri" w:hAnsi="Calibri"/>
                <w:color w:val="000000"/>
                <w:sz w:val="22"/>
                <w:szCs w:val="22"/>
                <w:lang w:val="es-ES"/>
              </w:rPr>
            </w:pPr>
            <w:r w:rsidRPr="009A1C84">
              <w:rPr>
                <w:rFonts w:ascii="Calibri" w:hAnsi="Calibri"/>
                <w:color w:val="000000"/>
                <w:sz w:val="22"/>
                <w:szCs w:val="22"/>
                <w:lang w:val="es-ES"/>
              </w:rPr>
              <w:t xml:space="preserve"> $  288.725,16 </w:t>
            </w:r>
          </w:p>
        </w:tc>
      </w:tr>
      <w:tr w:rsidR="009A1C84" w:rsidRPr="009A1C84" w:rsidTr="009A1C84">
        <w:trPr>
          <w:trHeight w:val="315"/>
        </w:trPr>
        <w:tc>
          <w:tcPr>
            <w:tcW w:w="1229" w:type="dxa"/>
            <w:tcBorders>
              <w:top w:val="nil"/>
              <w:left w:val="nil"/>
              <w:bottom w:val="nil"/>
              <w:right w:val="nil"/>
            </w:tcBorders>
            <w:shd w:val="clear" w:color="auto" w:fill="auto"/>
            <w:noWrap/>
            <w:vAlign w:val="bottom"/>
            <w:hideMark/>
          </w:tcPr>
          <w:p w:rsidR="009A1C84" w:rsidRPr="009A1C84" w:rsidRDefault="009A1C84" w:rsidP="009A1C84">
            <w:pPr>
              <w:jc w:val="center"/>
              <w:rPr>
                <w:rFonts w:ascii="Calibri" w:hAnsi="Calibri"/>
                <w:color w:val="000000"/>
                <w:sz w:val="22"/>
                <w:szCs w:val="22"/>
                <w:lang w:val="es-ES"/>
              </w:rPr>
            </w:pPr>
          </w:p>
        </w:tc>
        <w:tc>
          <w:tcPr>
            <w:tcW w:w="1229"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98"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2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94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34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464"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r>
      <w:tr w:rsidR="009A1C84" w:rsidRPr="009A1C84" w:rsidTr="009A1C84">
        <w:trPr>
          <w:trHeight w:val="315"/>
        </w:trPr>
        <w:tc>
          <w:tcPr>
            <w:tcW w:w="1229"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229"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98" w:type="dxa"/>
            <w:tcBorders>
              <w:top w:val="nil"/>
              <w:left w:val="nil"/>
              <w:bottom w:val="nil"/>
              <w:right w:val="nil"/>
            </w:tcBorders>
            <w:shd w:val="clear" w:color="auto" w:fill="auto"/>
            <w:noWrap/>
            <w:vAlign w:val="bottom"/>
            <w:hideMark/>
          </w:tcPr>
          <w:p w:rsidR="009A1C84" w:rsidRPr="009A1C84" w:rsidRDefault="009A1C84" w:rsidP="009A1C84">
            <w:pPr>
              <w:jc w:val="right"/>
              <w:rPr>
                <w:sz w:val="20"/>
                <w:lang w:val="es-ES"/>
              </w:rPr>
            </w:pPr>
          </w:p>
        </w:tc>
        <w:tc>
          <w:tcPr>
            <w:tcW w:w="112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100" w:type="dxa"/>
            <w:tcBorders>
              <w:top w:val="nil"/>
              <w:left w:val="nil"/>
              <w:bottom w:val="nil"/>
              <w:right w:val="nil"/>
            </w:tcBorders>
            <w:shd w:val="clear" w:color="auto" w:fill="auto"/>
            <w:noWrap/>
            <w:vAlign w:val="bottom"/>
            <w:hideMark/>
          </w:tcPr>
          <w:p w:rsidR="009A1C84" w:rsidRPr="009A1C84" w:rsidRDefault="009A1C84" w:rsidP="009A1C84">
            <w:pPr>
              <w:rPr>
                <w:sz w:val="20"/>
                <w:lang w:val="es-ES"/>
              </w:rPr>
            </w:pPr>
          </w:p>
        </w:tc>
        <w:tc>
          <w:tcPr>
            <w:tcW w:w="2280"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9A1C84" w:rsidRPr="009A1C84" w:rsidRDefault="009A1C84" w:rsidP="009A1C84">
            <w:pPr>
              <w:jc w:val="center"/>
              <w:rPr>
                <w:rFonts w:ascii="Calibri" w:hAnsi="Calibri"/>
                <w:b/>
                <w:bCs/>
                <w:i/>
                <w:iCs/>
                <w:color w:val="000000"/>
                <w:sz w:val="16"/>
                <w:szCs w:val="16"/>
                <w:lang w:val="es-ES"/>
              </w:rPr>
            </w:pPr>
            <w:r w:rsidRPr="009A1C84">
              <w:rPr>
                <w:rFonts w:ascii="Calibri" w:hAnsi="Calibri"/>
                <w:b/>
                <w:bCs/>
                <w:i/>
                <w:iCs/>
                <w:color w:val="000000"/>
                <w:sz w:val="16"/>
                <w:szCs w:val="16"/>
                <w:lang w:val="es-ES"/>
              </w:rPr>
              <w:t>Mesada</w:t>
            </w:r>
          </w:p>
        </w:tc>
        <w:tc>
          <w:tcPr>
            <w:tcW w:w="1464" w:type="dxa"/>
            <w:tcBorders>
              <w:top w:val="single" w:sz="4" w:space="0" w:color="333300"/>
              <w:left w:val="nil"/>
              <w:bottom w:val="single" w:sz="4" w:space="0" w:color="333300"/>
              <w:right w:val="single" w:sz="4" w:space="0" w:color="333300"/>
            </w:tcBorders>
            <w:shd w:val="clear" w:color="000000" w:fill="FFFF99"/>
            <w:noWrap/>
            <w:vAlign w:val="center"/>
            <w:hideMark/>
          </w:tcPr>
          <w:p w:rsidR="009A1C84" w:rsidRPr="009A1C84" w:rsidRDefault="009A1C84" w:rsidP="009A1C84">
            <w:pPr>
              <w:jc w:val="center"/>
              <w:rPr>
                <w:rFonts w:ascii="Calibri" w:hAnsi="Calibri"/>
                <w:b/>
                <w:bCs/>
                <w:i/>
                <w:iCs/>
                <w:color w:val="000000"/>
                <w:sz w:val="20"/>
                <w:lang w:val="es-ES"/>
              </w:rPr>
            </w:pPr>
            <w:r w:rsidRPr="009A1C84">
              <w:rPr>
                <w:rFonts w:ascii="Calibri" w:hAnsi="Calibri"/>
                <w:b/>
                <w:bCs/>
                <w:i/>
                <w:iCs/>
                <w:color w:val="000000"/>
                <w:sz w:val="20"/>
                <w:lang w:val="es-ES"/>
              </w:rPr>
              <w:t xml:space="preserve"> $  129.926,32 </w:t>
            </w:r>
          </w:p>
        </w:tc>
      </w:tr>
    </w:tbl>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9A1C84" w:rsidRDefault="009A1C84" w:rsidP="0078325C">
      <w:pPr>
        <w:spacing w:line="276" w:lineRule="auto"/>
        <w:ind w:firstLine="900"/>
        <w:contextualSpacing/>
        <w:jc w:val="center"/>
        <w:rPr>
          <w:rFonts w:ascii="Arial" w:hAnsi="Arial" w:cs="Arial"/>
          <w:i/>
          <w:iCs/>
          <w:szCs w:val="24"/>
          <w:lang w:val="es-ES"/>
        </w:rPr>
      </w:pPr>
    </w:p>
    <w:p w:rsidR="00782777" w:rsidRDefault="009A1C84" w:rsidP="0078325C">
      <w:pPr>
        <w:spacing w:line="276" w:lineRule="auto"/>
        <w:ind w:firstLine="900"/>
        <w:contextualSpacing/>
        <w:jc w:val="center"/>
        <w:rPr>
          <w:rFonts w:ascii="Arial" w:hAnsi="Arial" w:cs="Arial"/>
          <w:i/>
          <w:iCs/>
          <w:szCs w:val="24"/>
          <w:lang w:val="es-ES"/>
        </w:rPr>
      </w:pPr>
      <w:r w:rsidRPr="009A1C84">
        <w:rPr>
          <w:noProof/>
          <w:lang w:val="es-CO" w:eastAsia="es-CO"/>
        </w:rPr>
        <w:lastRenderedPageBreak/>
        <w:drawing>
          <wp:inline distT="0" distB="0" distL="0" distR="0">
            <wp:extent cx="4619625" cy="5219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5219700"/>
                    </a:xfrm>
                    <a:prstGeom prst="rect">
                      <a:avLst/>
                    </a:prstGeom>
                    <a:noFill/>
                    <a:ln>
                      <a:noFill/>
                    </a:ln>
                  </pic:spPr>
                </pic:pic>
              </a:graphicData>
            </a:graphic>
          </wp:inline>
        </w:drawing>
      </w:r>
    </w:p>
    <w:sectPr w:rsidR="00782777"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FB" w:rsidRDefault="00FA1AFB" w:rsidP="00226D5F">
      <w:r>
        <w:separator/>
      </w:r>
    </w:p>
  </w:endnote>
  <w:endnote w:type="continuationSeparator" w:id="0">
    <w:p w:rsidR="00FA1AFB" w:rsidRDefault="00FA1AF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Zurich Ex BT">
    <w:altName w:val="Arial"/>
    <w:charset w:val="00"/>
    <w:family w:val="swiss"/>
    <w:pitch w:val="variable"/>
    <w:sig w:usb0="00000001" w:usb1="00000000" w:usb2="00000000" w:usb3="00000000" w:csb0="0000001B"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FA1AF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47F6">
      <w:rPr>
        <w:rStyle w:val="Nmerodepgina"/>
        <w:noProof/>
      </w:rPr>
      <w:t>15</w:t>
    </w:r>
    <w:r>
      <w:rPr>
        <w:rStyle w:val="Nmerodepgina"/>
      </w:rPr>
      <w:fldChar w:fldCharType="end"/>
    </w:r>
  </w:p>
  <w:p w:rsidR="009B4A56" w:rsidRDefault="00FA1AFB"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FB" w:rsidRDefault="00FA1AFB" w:rsidP="00226D5F">
      <w:r>
        <w:separator/>
      </w:r>
    </w:p>
  </w:footnote>
  <w:footnote w:type="continuationSeparator" w:id="0">
    <w:p w:rsidR="00FA1AFB" w:rsidRDefault="00FA1AFB" w:rsidP="00226D5F">
      <w:r>
        <w:continuationSeparator/>
      </w:r>
    </w:p>
  </w:footnote>
  <w:footnote w:id="1">
    <w:p w:rsidR="0046338F" w:rsidRPr="009B5608" w:rsidRDefault="0046338F" w:rsidP="0046338F">
      <w:pPr>
        <w:shd w:val="clear" w:color="auto" w:fill="FFFFFF"/>
        <w:spacing w:after="150"/>
        <w:jc w:val="both"/>
        <w:rPr>
          <w:rFonts w:ascii="Arial" w:hAnsi="Arial" w:cs="Arial"/>
          <w:color w:val="000000"/>
          <w:sz w:val="20"/>
          <w:lang w:val="es-ES"/>
        </w:rPr>
      </w:pPr>
      <w:r w:rsidRPr="009B5608">
        <w:rPr>
          <w:rStyle w:val="Refdenotaalpie"/>
          <w:rFonts w:ascii="Arial" w:hAnsi="Arial" w:cs="Arial"/>
          <w:sz w:val="20"/>
        </w:rPr>
        <w:footnoteRef/>
      </w:r>
      <w:r w:rsidRPr="009B5608">
        <w:rPr>
          <w:rFonts w:ascii="Arial" w:hAnsi="Arial" w:cs="Arial"/>
          <w:color w:val="000000"/>
          <w:sz w:val="20"/>
          <w:lang w:val="es-ES"/>
        </w:rPr>
        <w:t>CORTE SUPREMA DE JUSTICIA. Sentenc</w:t>
      </w:r>
      <w:r>
        <w:rPr>
          <w:rFonts w:ascii="Arial" w:hAnsi="Arial" w:cs="Arial"/>
          <w:color w:val="000000"/>
          <w:sz w:val="20"/>
          <w:lang w:val="es-ES"/>
        </w:rPr>
        <w:t>ia del 11-11-</w:t>
      </w:r>
      <w:r w:rsidRPr="009B5608">
        <w:rPr>
          <w:rFonts w:ascii="Arial" w:hAnsi="Arial" w:cs="Arial"/>
          <w:color w:val="000000"/>
          <w:sz w:val="20"/>
          <w:lang w:val="es-ES"/>
        </w:rPr>
        <w:t>20</w:t>
      </w:r>
      <w:r>
        <w:rPr>
          <w:rFonts w:ascii="Arial" w:hAnsi="Arial" w:cs="Arial"/>
          <w:color w:val="000000"/>
          <w:sz w:val="20"/>
          <w:lang w:val="es-ES"/>
        </w:rPr>
        <w:t>15</w:t>
      </w:r>
      <w:r w:rsidRPr="009B5608">
        <w:rPr>
          <w:rFonts w:ascii="Arial" w:hAnsi="Arial" w:cs="Arial"/>
          <w:color w:val="000000"/>
          <w:sz w:val="20"/>
          <w:lang w:val="es-ES"/>
        </w:rPr>
        <w:t xml:space="preserve">. Radicación </w:t>
      </w:r>
      <w:r>
        <w:rPr>
          <w:rFonts w:ascii="Arial" w:hAnsi="Arial" w:cs="Arial"/>
          <w:color w:val="000000"/>
          <w:sz w:val="20"/>
          <w:lang w:val="es-ES"/>
        </w:rPr>
        <w:t xml:space="preserve">54093. </w:t>
      </w:r>
      <w:r w:rsidRPr="009B5608">
        <w:rPr>
          <w:rFonts w:ascii="Arial" w:hAnsi="Arial" w:cs="Arial"/>
          <w:color w:val="000000"/>
          <w:sz w:val="20"/>
          <w:lang w:val="es-ES"/>
        </w:rPr>
        <w:t xml:space="preserve">M.P. </w:t>
      </w:r>
      <w:r>
        <w:rPr>
          <w:rFonts w:ascii="Arial" w:hAnsi="Arial" w:cs="Arial"/>
          <w:color w:val="000000"/>
          <w:sz w:val="20"/>
          <w:lang w:val="es-ES"/>
        </w:rPr>
        <w:t xml:space="preserve">Luis Gabriel Miranda </w:t>
      </w:r>
      <w:proofErr w:type="spellStart"/>
      <w:r>
        <w:rPr>
          <w:rFonts w:ascii="Arial" w:hAnsi="Arial" w:cs="Arial"/>
          <w:color w:val="000000"/>
          <w:sz w:val="20"/>
          <w:lang w:val="es-ES"/>
        </w:rPr>
        <w:t>Buelvas</w:t>
      </w:r>
      <w:proofErr w:type="spellEnd"/>
      <w:r>
        <w:rPr>
          <w:rFonts w:ascii="Arial" w:hAnsi="Arial" w:cs="Arial"/>
          <w:color w:val="000000"/>
          <w:sz w:val="20"/>
          <w:lang w:val="es-ES"/>
        </w:rPr>
        <w:t>.</w:t>
      </w:r>
    </w:p>
    <w:p w:rsidR="0046338F" w:rsidRPr="00A27137" w:rsidRDefault="0046338F" w:rsidP="0046338F">
      <w:pPr>
        <w:pStyle w:val="Textonotapie"/>
        <w:rPr>
          <w:lang w:val="es-AR"/>
        </w:rPr>
      </w:pPr>
    </w:p>
  </w:footnote>
  <w:footnote w:id="2">
    <w:p w:rsidR="001F6B88" w:rsidRPr="007821FC" w:rsidRDefault="001F6B88" w:rsidP="001F6B88">
      <w:pPr>
        <w:ind w:firstLine="2"/>
        <w:jc w:val="both"/>
        <w:rPr>
          <w:rFonts w:ascii="Arial" w:hAnsi="Arial" w:cs="Arial"/>
          <w:sz w:val="18"/>
          <w:szCs w:val="18"/>
          <w:lang w:val="es-AR"/>
        </w:rPr>
      </w:pPr>
      <w:r>
        <w:rPr>
          <w:rStyle w:val="Refdenotaalpie"/>
        </w:rPr>
        <w:footnoteRef/>
      </w:r>
      <w:r>
        <w:t xml:space="preserve"> </w:t>
      </w:r>
      <w:r w:rsidRPr="007821FC">
        <w:rPr>
          <w:rFonts w:ascii="Arial" w:hAnsi="Arial" w:cs="Arial"/>
          <w:sz w:val="18"/>
          <w:szCs w:val="18"/>
        </w:rPr>
        <w:t>CORTE SUPREMA DE JUSTICIA. Sala de Casación Laboral. Rad. 30581 del 9 de julio de 2008,  reiterada en SL8085-2015. Radicación N.° 48629 del 24 de junio de 2015, M.P. Dr. Rigoberto Echeverri Bueno.</w:t>
      </w:r>
    </w:p>
  </w:footnote>
  <w:footnote w:id="3">
    <w:p w:rsidR="00880921" w:rsidRPr="007821FC" w:rsidRDefault="00880921" w:rsidP="00880921">
      <w:pPr>
        <w:jc w:val="both"/>
        <w:rPr>
          <w:rFonts w:ascii="Arial" w:eastAsia="Calibri" w:hAnsi="Arial" w:cs="Arial"/>
          <w:sz w:val="18"/>
          <w:szCs w:val="18"/>
          <w:lang w:val="es-CO" w:eastAsia="en-US"/>
        </w:rPr>
      </w:pPr>
      <w:r w:rsidRPr="007821FC">
        <w:rPr>
          <w:rStyle w:val="Refdenotaalpie"/>
          <w:sz w:val="18"/>
          <w:szCs w:val="18"/>
        </w:rPr>
        <w:footnoteRef/>
      </w:r>
      <w:r w:rsidRPr="007821FC">
        <w:rPr>
          <w:sz w:val="18"/>
          <w:szCs w:val="18"/>
        </w:rPr>
        <w:t xml:space="preserve"> </w:t>
      </w:r>
      <w:r w:rsidRPr="007821FC">
        <w:rPr>
          <w:rFonts w:ascii="Arial" w:eastAsia="Calibri" w:hAnsi="Arial" w:cs="Arial"/>
          <w:sz w:val="18"/>
          <w:szCs w:val="18"/>
          <w:lang w:val="pt-BR" w:eastAsia="en-US"/>
        </w:rPr>
        <w:t xml:space="preserve">CORTE SUPREMA DE JUSTICIA. </w:t>
      </w:r>
      <w:r w:rsidRPr="007821FC">
        <w:rPr>
          <w:rFonts w:ascii="Arial" w:eastAsia="Calibri" w:hAnsi="Arial" w:cs="Arial"/>
          <w:sz w:val="18"/>
          <w:szCs w:val="18"/>
          <w:lang w:val="es-CO" w:eastAsia="en-US"/>
        </w:rPr>
        <w:t>Sala de Casación Laboral. M.P. Carlos Ernesto Molina Monsalve. SL-851-2013. Radicación N° 45125 de 4 de diciembre de 2013.</w:t>
      </w:r>
    </w:p>
    <w:p w:rsidR="00880921" w:rsidRPr="007821FC" w:rsidRDefault="00880921" w:rsidP="00880921">
      <w:pPr>
        <w:pStyle w:val="Textonotapie"/>
        <w:jc w:val="both"/>
        <w:rPr>
          <w:sz w:val="18"/>
          <w:szCs w:val="18"/>
          <w:lang w:val="es-AR"/>
        </w:rPr>
      </w:pPr>
    </w:p>
  </w:footnote>
  <w:footnote w:id="4">
    <w:p w:rsidR="001F6B88" w:rsidRPr="00A27137" w:rsidRDefault="001F6B88" w:rsidP="001F6B88">
      <w:pPr>
        <w:shd w:val="clear" w:color="auto" w:fill="FFFFFF"/>
        <w:spacing w:after="150"/>
        <w:jc w:val="both"/>
        <w:rPr>
          <w:lang w:val="es-AR"/>
        </w:rPr>
      </w:pPr>
      <w:r w:rsidRPr="009B5608">
        <w:rPr>
          <w:rStyle w:val="Refdenotaalpie"/>
          <w:rFonts w:ascii="Arial" w:hAnsi="Arial" w:cs="Arial"/>
          <w:sz w:val="20"/>
        </w:rPr>
        <w:footnoteRef/>
      </w:r>
      <w:r w:rsidRPr="009B5608">
        <w:rPr>
          <w:rFonts w:ascii="Arial" w:hAnsi="Arial" w:cs="Arial"/>
          <w:color w:val="000000"/>
          <w:sz w:val="20"/>
          <w:lang w:val="es-ES"/>
        </w:rPr>
        <w:t>CORTE SUPREMA DE JUSTICIA. Sentenc</w:t>
      </w:r>
      <w:r>
        <w:rPr>
          <w:rFonts w:ascii="Arial" w:hAnsi="Arial" w:cs="Arial"/>
          <w:color w:val="000000"/>
          <w:sz w:val="20"/>
          <w:lang w:val="es-ES"/>
        </w:rPr>
        <w:t>ia del 11-11-</w:t>
      </w:r>
      <w:r w:rsidRPr="009B5608">
        <w:rPr>
          <w:rFonts w:ascii="Arial" w:hAnsi="Arial" w:cs="Arial"/>
          <w:color w:val="000000"/>
          <w:sz w:val="20"/>
          <w:lang w:val="es-ES"/>
        </w:rPr>
        <w:t>20</w:t>
      </w:r>
      <w:r>
        <w:rPr>
          <w:rFonts w:ascii="Arial" w:hAnsi="Arial" w:cs="Arial"/>
          <w:color w:val="000000"/>
          <w:sz w:val="20"/>
          <w:lang w:val="es-ES"/>
        </w:rPr>
        <w:t>15</w:t>
      </w:r>
      <w:r w:rsidRPr="009B5608">
        <w:rPr>
          <w:rFonts w:ascii="Arial" w:hAnsi="Arial" w:cs="Arial"/>
          <w:color w:val="000000"/>
          <w:sz w:val="20"/>
          <w:lang w:val="es-ES"/>
        </w:rPr>
        <w:t xml:space="preserve">. Radicación </w:t>
      </w:r>
      <w:r>
        <w:rPr>
          <w:rFonts w:ascii="Arial" w:hAnsi="Arial" w:cs="Arial"/>
          <w:color w:val="000000"/>
          <w:sz w:val="20"/>
          <w:lang w:val="es-ES"/>
        </w:rPr>
        <w:t xml:space="preserve">54093. </w:t>
      </w:r>
      <w:r w:rsidRPr="009B5608">
        <w:rPr>
          <w:rFonts w:ascii="Arial" w:hAnsi="Arial" w:cs="Arial"/>
          <w:color w:val="000000"/>
          <w:sz w:val="20"/>
          <w:lang w:val="es-ES"/>
        </w:rPr>
        <w:t xml:space="preserve">M.P. </w:t>
      </w:r>
      <w:r>
        <w:rPr>
          <w:rFonts w:ascii="Arial" w:hAnsi="Arial" w:cs="Arial"/>
          <w:color w:val="000000"/>
          <w:sz w:val="20"/>
          <w:lang w:val="es-ES"/>
        </w:rPr>
        <w:t xml:space="preserve">Luis Gabriel Miranda </w:t>
      </w:r>
      <w:proofErr w:type="spellStart"/>
      <w:r>
        <w:rPr>
          <w:rFonts w:ascii="Arial" w:hAnsi="Arial" w:cs="Arial"/>
          <w:color w:val="000000"/>
          <w:sz w:val="20"/>
          <w:lang w:val="es-ES"/>
        </w:rPr>
        <w:t>Buelvas</w:t>
      </w:r>
      <w:proofErr w:type="spellEnd"/>
      <w:r>
        <w:rPr>
          <w:rFonts w:ascii="Arial" w:hAnsi="Arial" w:cs="Arial"/>
          <w:color w:val="000000"/>
          <w:sz w:val="20"/>
          <w:lang w:val="es-ES"/>
        </w:rPr>
        <w:t>.</w:t>
      </w:r>
    </w:p>
  </w:footnote>
  <w:footnote w:id="5">
    <w:p w:rsidR="005535ED" w:rsidRPr="005535ED" w:rsidRDefault="005535ED" w:rsidP="00DE2D85">
      <w:pPr>
        <w:ind w:right="51"/>
        <w:jc w:val="both"/>
        <w:rPr>
          <w:rFonts w:ascii="Verdana" w:hAnsi="Verdana"/>
          <w:i/>
          <w:sz w:val="14"/>
          <w:szCs w:val="14"/>
        </w:rPr>
      </w:pPr>
      <w:r w:rsidRPr="005535ED">
        <w:rPr>
          <w:rStyle w:val="Refdenotaalpie"/>
          <w:sz w:val="16"/>
          <w:szCs w:val="16"/>
        </w:rPr>
        <w:footnoteRef/>
      </w:r>
      <w:r w:rsidRPr="005535ED">
        <w:rPr>
          <w:sz w:val="16"/>
          <w:szCs w:val="16"/>
        </w:rPr>
        <w:t xml:space="preserve"> </w:t>
      </w:r>
      <w:r w:rsidRPr="005535ED">
        <w:rPr>
          <w:rFonts w:ascii="Verdana" w:hAnsi="Verdana"/>
          <w:b/>
          <w:i/>
          <w:sz w:val="14"/>
          <w:szCs w:val="14"/>
        </w:rPr>
        <w:t>En primer lugar</w:t>
      </w:r>
      <w:r w:rsidRPr="005535ED">
        <w:rPr>
          <w:rFonts w:ascii="Verdana" w:hAnsi="Verdana"/>
          <w:i/>
          <w:sz w:val="14"/>
          <w:szCs w:val="14"/>
        </w:rPr>
        <w:t xml:space="preserve">, para que el derecho a la pensión de sobrevivientes se gobierne por el Acuerdo 049 de 1990 </w:t>
      </w:r>
      <w:r w:rsidRPr="005535ED">
        <w:rPr>
          <w:rFonts w:ascii="Verdana" w:hAnsi="Verdana"/>
          <w:b/>
          <w:i/>
          <w:sz w:val="14"/>
          <w:szCs w:val="14"/>
        </w:rPr>
        <w:t xml:space="preserve">es necesario que al momento de entrar a regir la Ley 100 de 1993 el afiliado haya cotizado 150 semanas, requisito que aquí se cumple </w:t>
      </w:r>
      <w:proofErr w:type="spellStart"/>
      <w:r w:rsidRPr="005535ED">
        <w:rPr>
          <w:rFonts w:ascii="Verdana" w:hAnsi="Verdana"/>
          <w:b/>
          <w:i/>
          <w:sz w:val="14"/>
          <w:szCs w:val="14"/>
        </w:rPr>
        <w:t>por que</w:t>
      </w:r>
      <w:proofErr w:type="spellEnd"/>
      <w:r w:rsidRPr="005535ED">
        <w:rPr>
          <w:rFonts w:ascii="Verdana" w:hAnsi="Verdana"/>
          <w:b/>
          <w:i/>
          <w:sz w:val="14"/>
          <w:szCs w:val="14"/>
        </w:rPr>
        <w:t xml:space="preserve"> contando los seis años desde el 1º de abril de 1994 hacía atrás, se tiene que estos terminan el 1º de abril de 1988</w:t>
      </w:r>
      <w:r w:rsidRPr="005535ED">
        <w:rPr>
          <w:rFonts w:ascii="Verdana" w:hAnsi="Verdana"/>
          <w:i/>
          <w:sz w:val="14"/>
          <w:szCs w:val="14"/>
        </w:rPr>
        <w:t xml:space="preserve">; ahora bien en este interregno el recurrente hizo las siguientes cotizaciones: del 8 al 14 de junio de 1988, 7 días; del 15 al 29 de junio de 1988, 15 días; del 17 de abril de 1989 al 11 de mayo de 1990, 390 días; del 17 de julio de 1989 al 15 de enero de 1990, 183 días, del 1 de febrero de al 28 de mayo de 1991, 482 días y </w:t>
      </w:r>
      <w:r w:rsidRPr="005535ED">
        <w:rPr>
          <w:rFonts w:ascii="Verdana" w:hAnsi="Verdana"/>
          <w:i/>
          <w:sz w:val="14"/>
          <w:szCs w:val="14"/>
          <w:u w:val="single"/>
        </w:rPr>
        <w:t>del 28 de enero de 1992 al 1 de marzo de 1994, 764 días y del 28 de marzo de 1994 al 1 de abril de 1994,</w:t>
      </w:r>
      <w:r w:rsidRPr="005535ED">
        <w:rPr>
          <w:rFonts w:ascii="Verdana" w:hAnsi="Verdana"/>
          <w:i/>
          <w:sz w:val="14"/>
          <w:szCs w:val="14"/>
        </w:rPr>
        <w:t xml:space="preserve"> 4 días. Para un total de 1.845 días, menos las cotizaciones simultáneas de 283 días un saldo neto de 1.562 que convertidos en semanas arroja la cantidad de 223.14.</w:t>
      </w:r>
    </w:p>
    <w:p w:rsidR="005535ED" w:rsidRPr="005535ED" w:rsidRDefault="005535ED" w:rsidP="00DE2D85">
      <w:pPr>
        <w:ind w:right="51"/>
        <w:jc w:val="both"/>
        <w:rPr>
          <w:rFonts w:ascii="Verdana" w:hAnsi="Verdana"/>
          <w:i/>
          <w:sz w:val="14"/>
          <w:szCs w:val="14"/>
        </w:rPr>
      </w:pPr>
      <w:r w:rsidRPr="005535ED">
        <w:rPr>
          <w:rFonts w:ascii="Verdana" w:hAnsi="Verdana"/>
          <w:b/>
          <w:i/>
          <w:sz w:val="14"/>
          <w:szCs w:val="14"/>
        </w:rPr>
        <w:t>En segundo lugar,</w:t>
      </w:r>
      <w:r w:rsidRPr="005535ED">
        <w:rPr>
          <w:rFonts w:ascii="Verdana" w:hAnsi="Verdana"/>
          <w:i/>
          <w:sz w:val="14"/>
          <w:szCs w:val="14"/>
        </w:rPr>
        <w:t xml:space="preserve"> </w:t>
      </w:r>
      <w:r w:rsidRPr="005535ED">
        <w:rPr>
          <w:rFonts w:ascii="Verdana" w:hAnsi="Verdana"/>
          <w:b/>
          <w:i/>
          <w:sz w:val="14"/>
          <w:szCs w:val="14"/>
        </w:rPr>
        <w:t>es menester que también registre 150 semanas dentro de los seis (6) años anteriores al fallecimiento</w:t>
      </w:r>
      <w:r w:rsidRPr="005535ED">
        <w:rPr>
          <w:rFonts w:ascii="Verdana" w:hAnsi="Verdana"/>
          <w:i/>
          <w:sz w:val="14"/>
          <w:szCs w:val="14"/>
        </w:rPr>
        <w:t xml:space="preserve">, con lo cual cumple también el causante pues revisados los reportes de folios 81, 82 y 85 se observa que en el citado período (9 de agosto de 1991 al 9 de agosto de 1997), hizo cotizaciones así: año 1995: 180 días; </w:t>
      </w:r>
      <w:r w:rsidRPr="005535ED">
        <w:rPr>
          <w:rFonts w:ascii="Verdana" w:hAnsi="Verdana"/>
          <w:i/>
          <w:sz w:val="14"/>
          <w:szCs w:val="14"/>
          <w:u w:val="single"/>
        </w:rPr>
        <w:t>28 de enero de 1992 a 1 de marzo de 1994, 764 días; del 28 de marzo de 1994 al 8 de junio del mismo año</w:t>
      </w:r>
      <w:r w:rsidRPr="005535ED">
        <w:rPr>
          <w:rFonts w:ascii="Verdana" w:hAnsi="Verdana"/>
          <w:i/>
          <w:sz w:val="14"/>
          <w:szCs w:val="14"/>
        </w:rPr>
        <w:t>, 73 días y del 9 de junio de 194 al 31 de diciembre de 1994, 206 días, para un total de 1.223 días que convertidos en semanas da 174. 71. Lo anterior incluso sin tener en cuenta las cotizaciones por 270 días (38.57 semanas) reportada en el documento de folios 48 y 49</w:t>
      </w:r>
      <w:r w:rsidRPr="005535ED">
        <w:rPr>
          <w:rFonts w:ascii="Verdana" w:hAnsi="Verdana"/>
          <w:sz w:val="14"/>
          <w:szCs w:val="14"/>
        </w:rPr>
        <w:t>.</w:t>
      </w:r>
    </w:p>
    <w:p w:rsidR="005535ED" w:rsidRPr="005535ED" w:rsidRDefault="005535ED">
      <w:pPr>
        <w:pStyle w:val="Textonotapie"/>
        <w:rPr>
          <w:lang w:val="es-AR"/>
        </w:rPr>
      </w:pPr>
    </w:p>
  </w:footnote>
  <w:footnote w:id="6">
    <w:p w:rsidR="005A0D7F" w:rsidRPr="00DE2D85" w:rsidRDefault="005A0D7F" w:rsidP="005A0D7F">
      <w:pPr>
        <w:jc w:val="both"/>
        <w:rPr>
          <w:rFonts w:ascii="Arial" w:hAnsi="Arial" w:cs="Arial"/>
          <w:sz w:val="14"/>
          <w:szCs w:val="14"/>
          <w:lang w:val="es-ES"/>
        </w:rPr>
      </w:pPr>
      <w:r>
        <w:rPr>
          <w:rStyle w:val="Refdenotaalpie"/>
        </w:rPr>
        <w:footnoteRef/>
      </w:r>
      <w:r>
        <w:t xml:space="preserve"> </w:t>
      </w:r>
      <w:r w:rsidRPr="00DE2D85">
        <w:rPr>
          <w:rFonts w:ascii="Arial" w:hAnsi="Arial" w:cs="Arial"/>
          <w:sz w:val="14"/>
          <w:szCs w:val="14"/>
        </w:rPr>
        <w:t xml:space="preserve">CORTE SUPREMA DE JUSTICIA. Sala de Casación Laboral. M.P. Dra. </w:t>
      </w:r>
      <w:r w:rsidRPr="00DE2D85">
        <w:rPr>
          <w:rFonts w:ascii="Arial" w:hAnsi="Arial" w:cs="Arial"/>
          <w:sz w:val="14"/>
          <w:szCs w:val="14"/>
          <w:lang w:val="es-ES"/>
        </w:rPr>
        <w:t>Clara Cecilia Dueñas Quevedo. SL9769-2014, Radicación N.° 46208 16 de julio de 2014.</w:t>
      </w:r>
    </w:p>
    <w:p w:rsidR="005A0D7F" w:rsidRPr="00DE2D85" w:rsidRDefault="005A0D7F" w:rsidP="005A0D7F">
      <w:pPr>
        <w:pStyle w:val="Textonotapie"/>
        <w:rPr>
          <w:sz w:val="14"/>
          <w:szCs w:val="14"/>
          <w:lang w:val="es-AR"/>
        </w:rPr>
      </w:pPr>
    </w:p>
  </w:footnote>
  <w:footnote w:id="7">
    <w:p w:rsidR="005A0D7F" w:rsidRPr="00DE2D85" w:rsidRDefault="005A0D7F" w:rsidP="005A0D7F">
      <w:pPr>
        <w:jc w:val="both"/>
        <w:rPr>
          <w:rFonts w:ascii="Arial" w:hAnsi="Arial" w:cs="Arial"/>
          <w:sz w:val="14"/>
          <w:szCs w:val="14"/>
        </w:rPr>
      </w:pPr>
      <w:r w:rsidRPr="00DE2D85">
        <w:rPr>
          <w:rStyle w:val="Refdenotaalpie"/>
          <w:sz w:val="14"/>
          <w:szCs w:val="14"/>
        </w:rPr>
        <w:footnoteRef/>
      </w:r>
      <w:r w:rsidRPr="00DE2D85">
        <w:rPr>
          <w:sz w:val="14"/>
          <w:szCs w:val="14"/>
        </w:rPr>
        <w:t xml:space="preserve"> </w:t>
      </w:r>
      <w:r w:rsidRPr="00DE2D85">
        <w:rPr>
          <w:rFonts w:ascii="Arial" w:hAnsi="Arial" w:cs="Arial"/>
          <w:sz w:val="14"/>
          <w:szCs w:val="14"/>
        </w:rPr>
        <w:t>El  monto mensual de la pensión total de sobrevivientes por muerte del afiliado será igual al 45% del ingreso base de liquidación más 2% de dicho ingreso por cada cincuenta (50) semanas adicionales de cotización a las primeras quinientas (500) semanas de cotización, sin que exceda del 75% del ingreso base de liquidación.</w:t>
      </w:r>
    </w:p>
    <w:p w:rsidR="005A0D7F" w:rsidRPr="00FE78C5" w:rsidRDefault="005A0D7F" w:rsidP="005A0D7F">
      <w:pPr>
        <w:pStyle w:val="Textonotapie"/>
        <w:rPr>
          <w:lang w:val="es-AR"/>
        </w:rPr>
      </w:pPr>
    </w:p>
  </w:footnote>
  <w:footnote w:id="8">
    <w:p w:rsidR="005A0D7F" w:rsidRPr="00ED6A12" w:rsidRDefault="005A0D7F" w:rsidP="005A0D7F">
      <w:pPr>
        <w:pStyle w:val="Textonotapie"/>
        <w:rPr>
          <w:rFonts w:ascii="Arial" w:hAnsi="Arial" w:cs="Arial"/>
          <w:sz w:val="18"/>
          <w:szCs w:val="18"/>
          <w:lang w:val="es-AR"/>
        </w:rPr>
      </w:pPr>
      <w:r w:rsidRPr="00ED6A12">
        <w:rPr>
          <w:rStyle w:val="Refdenotaalpie"/>
          <w:rFonts w:ascii="Arial" w:hAnsi="Arial" w:cs="Arial"/>
          <w:sz w:val="18"/>
          <w:szCs w:val="18"/>
        </w:rPr>
        <w:footnoteRef/>
      </w:r>
      <w:r w:rsidRPr="00ED6A12">
        <w:rPr>
          <w:rFonts w:ascii="Arial" w:hAnsi="Arial" w:cs="Arial"/>
          <w:sz w:val="18"/>
          <w:szCs w:val="18"/>
        </w:rPr>
        <w:t xml:space="preserve"> </w:t>
      </w:r>
      <w:r w:rsidRPr="00ED6A12">
        <w:rPr>
          <w:rFonts w:ascii="Arial" w:hAnsi="Arial" w:cs="Arial"/>
          <w:sz w:val="18"/>
          <w:szCs w:val="18"/>
          <w:lang w:val="es-AR"/>
        </w:rPr>
        <w:t xml:space="preserve">Por tener </w:t>
      </w:r>
      <w:r>
        <w:rPr>
          <w:rFonts w:ascii="Arial" w:hAnsi="Arial" w:cs="Arial"/>
          <w:sz w:val="18"/>
          <w:szCs w:val="18"/>
          <w:lang w:val="es-AR"/>
        </w:rPr>
        <w:t>hasta 500</w:t>
      </w:r>
      <w:r w:rsidRPr="00ED6A12">
        <w:rPr>
          <w:rFonts w:ascii="Arial" w:hAnsi="Arial" w:cs="Arial"/>
          <w:sz w:val="18"/>
          <w:szCs w:val="18"/>
          <w:lang w:val="es-AR"/>
        </w:rPr>
        <w:t xml:space="preserve"> semanas cotizadas en toda la vida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95" w:rsidRPr="00BB3FED" w:rsidRDefault="00BB3FED"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B3FED" w:rsidRPr="00BB3FED" w:rsidRDefault="00BB3FED" w:rsidP="00AD7995">
    <w:pPr>
      <w:pStyle w:val="Encabezado"/>
      <w:jc w:val="center"/>
      <w:rPr>
        <w:rFonts w:ascii="Arial" w:hAnsi="Arial" w:cs="Arial"/>
        <w:sz w:val="18"/>
        <w:szCs w:val="18"/>
      </w:rPr>
    </w:pPr>
    <w:r w:rsidRPr="00BB3FED">
      <w:rPr>
        <w:rFonts w:ascii="Arial" w:hAnsi="Arial" w:cs="Arial"/>
        <w:sz w:val="18"/>
        <w:szCs w:val="18"/>
      </w:rPr>
      <w:t>Radicado: 66001-31-05-00</w:t>
    </w:r>
    <w:r w:rsidR="00B81590">
      <w:rPr>
        <w:rFonts w:ascii="Arial" w:hAnsi="Arial" w:cs="Arial"/>
        <w:sz w:val="18"/>
        <w:szCs w:val="18"/>
      </w:rPr>
      <w:t>5-201</w:t>
    </w:r>
    <w:r w:rsidR="00CA3DF9">
      <w:rPr>
        <w:rFonts w:ascii="Arial" w:hAnsi="Arial" w:cs="Arial"/>
        <w:sz w:val="18"/>
        <w:szCs w:val="18"/>
      </w:rPr>
      <w:t>4</w:t>
    </w:r>
    <w:r w:rsidRPr="00BB3FED">
      <w:rPr>
        <w:rFonts w:ascii="Arial" w:hAnsi="Arial" w:cs="Arial"/>
        <w:sz w:val="18"/>
        <w:szCs w:val="18"/>
      </w:rPr>
      <w:t>-00</w:t>
    </w:r>
    <w:r w:rsidR="00CA3DF9">
      <w:rPr>
        <w:rFonts w:ascii="Arial" w:hAnsi="Arial" w:cs="Arial"/>
        <w:sz w:val="18"/>
        <w:szCs w:val="18"/>
      </w:rPr>
      <w:t>421</w:t>
    </w:r>
    <w:r w:rsidRPr="00BB3FED">
      <w:rPr>
        <w:rFonts w:ascii="Arial" w:hAnsi="Arial" w:cs="Arial"/>
        <w:sz w:val="18"/>
        <w:szCs w:val="18"/>
      </w:rPr>
      <w:t>-01</w:t>
    </w:r>
  </w:p>
  <w:p w:rsidR="00BB3FED" w:rsidRPr="00BB3FED" w:rsidRDefault="00CA3DF9" w:rsidP="00AD7995">
    <w:pPr>
      <w:pStyle w:val="Encabezado"/>
      <w:jc w:val="center"/>
      <w:rPr>
        <w:rFonts w:ascii="Arial" w:hAnsi="Arial" w:cs="Arial"/>
        <w:sz w:val="18"/>
        <w:szCs w:val="18"/>
      </w:rPr>
    </w:pPr>
    <w:r>
      <w:rPr>
        <w:rFonts w:ascii="Arial" w:hAnsi="Arial" w:cs="Arial"/>
        <w:sz w:val="18"/>
        <w:szCs w:val="18"/>
      </w:rPr>
      <w:t xml:space="preserve">Gloria </w:t>
    </w:r>
    <w:proofErr w:type="spellStart"/>
    <w:r>
      <w:rPr>
        <w:rFonts w:ascii="Arial" w:hAnsi="Arial" w:cs="Arial"/>
        <w:sz w:val="18"/>
        <w:szCs w:val="18"/>
      </w:rPr>
      <w:t>Eucaris</w:t>
    </w:r>
    <w:proofErr w:type="spellEnd"/>
    <w:r>
      <w:rPr>
        <w:rFonts w:ascii="Arial" w:hAnsi="Arial" w:cs="Arial"/>
        <w:sz w:val="18"/>
        <w:szCs w:val="18"/>
      </w:rPr>
      <w:t xml:space="preserve"> Sánchez Castro </w:t>
    </w:r>
    <w:r w:rsidR="00BB3FED"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11F"/>
    <w:rsid w:val="0000581C"/>
    <w:rsid w:val="00007B72"/>
    <w:rsid w:val="00021910"/>
    <w:rsid w:val="00040E9A"/>
    <w:rsid w:val="000429E7"/>
    <w:rsid w:val="0006677B"/>
    <w:rsid w:val="00095E67"/>
    <w:rsid w:val="000A397D"/>
    <w:rsid w:val="000A4D92"/>
    <w:rsid w:val="000C08B1"/>
    <w:rsid w:val="000C0A51"/>
    <w:rsid w:val="000D650B"/>
    <w:rsid w:val="000E31BE"/>
    <w:rsid w:val="000E70EB"/>
    <w:rsid w:val="000E7F42"/>
    <w:rsid w:val="000F5775"/>
    <w:rsid w:val="00101DEB"/>
    <w:rsid w:val="00122A57"/>
    <w:rsid w:val="00126027"/>
    <w:rsid w:val="00127390"/>
    <w:rsid w:val="00132A38"/>
    <w:rsid w:val="00134C86"/>
    <w:rsid w:val="00136BD5"/>
    <w:rsid w:val="00140398"/>
    <w:rsid w:val="00143516"/>
    <w:rsid w:val="00146784"/>
    <w:rsid w:val="001667FB"/>
    <w:rsid w:val="001678EA"/>
    <w:rsid w:val="00171C56"/>
    <w:rsid w:val="00172834"/>
    <w:rsid w:val="00176304"/>
    <w:rsid w:val="00183477"/>
    <w:rsid w:val="00185B3C"/>
    <w:rsid w:val="00186C09"/>
    <w:rsid w:val="001A35A2"/>
    <w:rsid w:val="001A3F0C"/>
    <w:rsid w:val="001A4D21"/>
    <w:rsid w:val="001B03FA"/>
    <w:rsid w:val="001B22B4"/>
    <w:rsid w:val="001C4D7F"/>
    <w:rsid w:val="001E0313"/>
    <w:rsid w:val="001F2B14"/>
    <w:rsid w:val="001F6B88"/>
    <w:rsid w:val="00220AC7"/>
    <w:rsid w:val="00223134"/>
    <w:rsid w:val="00225C75"/>
    <w:rsid w:val="00226D5F"/>
    <w:rsid w:val="00231C0C"/>
    <w:rsid w:val="00231C21"/>
    <w:rsid w:val="002320EB"/>
    <w:rsid w:val="0024101E"/>
    <w:rsid w:val="00242152"/>
    <w:rsid w:val="00247BBE"/>
    <w:rsid w:val="00260A0C"/>
    <w:rsid w:val="00272C8B"/>
    <w:rsid w:val="00287140"/>
    <w:rsid w:val="00297363"/>
    <w:rsid w:val="002A02BA"/>
    <w:rsid w:val="002A30D0"/>
    <w:rsid w:val="002A55E3"/>
    <w:rsid w:val="002B4E63"/>
    <w:rsid w:val="002B7A17"/>
    <w:rsid w:val="002C0C18"/>
    <w:rsid w:val="002C438C"/>
    <w:rsid w:val="002D6807"/>
    <w:rsid w:val="002E1176"/>
    <w:rsid w:val="002E4F47"/>
    <w:rsid w:val="0030077E"/>
    <w:rsid w:val="003140EF"/>
    <w:rsid w:val="00330564"/>
    <w:rsid w:val="003361EF"/>
    <w:rsid w:val="003440CA"/>
    <w:rsid w:val="00344B04"/>
    <w:rsid w:val="003463CD"/>
    <w:rsid w:val="003465C4"/>
    <w:rsid w:val="00362830"/>
    <w:rsid w:val="00371309"/>
    <w:rsid w:val="003718EC"/>
    <w:rsid w:val="0037195C"/>
    <w:rsid w:val="003751E1"/>
    <w:rsid w:val="0039086A"/>
    <w:rsid w:val="003922FA"/>
    <w:rsid w:val="00392EA4"/>
    <w:rsid w:val="003D63A5"/>
    <w:rsid w:val="003F0D02"/>
    <w:rsid w:val="003F339B"/>
    <w:rsid w:val="003F77C1"/>
    <w:rsid w:val="00426A77"/>
    <w:rsid w:val="004348AB"/>
    <w:rsid w:val="00450598"/>
    <w:rsid w:val="00450903"/>
    <w:rsid w:val="004519EB"/>
    <w:rsid w:val="0045273B"/>
    <w:rsid w:val="0046338F"/>
    <w:rsid w:val="00465508"/>
    <w:rsid w:val="004779EB"/>
    <w:rsid w:val="004849E9"/>
    <w:rsid w:val="004A057C"/>
    <w:rsid w:val="004A2468"/>
    <w:rsid w:val="004B2ADD"/>
    <w:rsid w:val="004B3C1E"/>
    <w:rsid w:val="004C4AF7"/>
    <w:rsid w:val="004D01C5"/>
    <w:rsid w:val="004D4032"/>
    <w:rsid w:val="004D51E9"/>
    <w:rsid w:val="004E0EBF"/>
    <w:rsid w:val="004E4CC6"/>
    <w:rsid w:val="00501034"/>
    <w:rsid w:val="00502691"/>
    <w:rsid w:val="005132A4"/>
    <w:rsid w:val="00515BDC"/>
    <w:rsid w:val="005351D4"/>
    <w:rsid w:val="0053562A"/>
    <w:rsid w:val="005535ED"/>
    <w:rsid w:val="00553BF5"/>
    <w:rsid w:val="0055465D"/>
    <w:rsid w:val="00560958"/>
    <w:rsid w:val="00563496"/>
    <w:rsid w:val="00565E83"/>
    <w:rsid w:val="00567B33"/>
    <w:rsid w:val="00570188"/>
    <w:rsid w:val="00572BE9"/>
    <w:rsid w:val="005818EA"/>
    <w:rsid w:val="00591063"/>
    <w:rsid w:val="00594839"/>
    <w:rsid w:val="00597160"/>
    <w:rsid w:val="005A0D7F"/>
    <w:rsid w:val="005A526F"/>
    <w:rsid w:val="005C5B7A"/>
    <w:rsid w:val="005E0ED1"/>
    <w:rsid w:val="005F47F6"/>
    <w:rsid w:val="005F5E82"/>
    <w:rsid w:val="006135E9"/>
    <w:rsid w:val="0061484D"/>
    <w:rsid w:val="006232B1"/>
    <w:rsid w:val="00632A4D"/>
    <w:rsid w:val="00634D5E"/>
    <w:rsid w:val="00637118"/>
    <w:rsid w:val="006470C8"/>
    <w:rsid w:val="006516CA"/>
    <w:rsid w:val="00664C67"/>
    <w:rsid w:val="006732CE"/>
    <w:rsid w:val="00674E33"/>
    <w:rsid w:val="00675E25"/>
    <w:rsid w:val="00693C7A"/>
    <w:rsid w:val="00695334"/>
    <w:rsid w:val="00696F69"/>
    <w:rsid w:val="006A0D48"/>
    <w:rsid w:val="006C4430"/>
    <w:rsid w:val="006D0816"/>
    <w:rsid w:val="006E11A2"/>
    <w:rsid w:val="006E2F01"/>
    <w:rsid w:val="006F0081"/>
    <w:rsid w:val="006F1F9C"/>
    <w:rsid w:val="006F2EA3"/>
    <w:rsid w:val="006F2FF3"/>
    <w:rsid w:val="006F3D12"/>
    <w:rsid w:val="006F68BC"/>
    <w:rsid w:val="00704279"/>
    <w:rsid w:val="00712CFC"/>
    <w:rsid w:val="00713558"/>
    <w:rsid w:val="007162DE"/>
    <w:rsid w:val="00716474"/>
    <w:rsid w:val="00720864"/>
    <w:rsid w:val="00721384"/>
    <w:rsid w:val="007257DE"/>
    <w:rsid w:val="007258A6"/>
    <w:rsid w:val="007308D1"/>
    <w:rsid w:val="00734E40"/>
    <w:rsid w:val="007465BA"/>
    <w:rsid w:val="007527A8"/>
    <w:rsid w:val="007632AA"/>
    <w:rsid w:val="00764C9B"/>
    <w:rsid w:val="00777D9C"/>
    <w:rsid w:val="00781BA2"/>
    <w:rsid w:val="007821FC"/>
    <w:rsid w:val="00782777"/>
    <w:rsid w:val="0078325C"/>
    <w:rsid w:val="00783823"/>
    <w:rsid w:val="00795237"/>
    <w:rsid w:val="007A2D40"/>
    <w:rsid w:val="007B1977"/>
    <w:rsid w:val="007B2654"/>
    <w:rsid w:val="007B3C6C"/>
    <w:rsid w:val="007B3F42"/>
    <w:rsid w:val="007B5499"/>
    <w:rsid w:val="007B79EF"/>
    <w:rsid w:val="007C5A02"/>
    <w:rsid w:val="007C6194"/>
    <w:rsid w:val="007D0A41"/>
    <w:rsid w:val="007E5F18"/>
    <w:rsid w:val="0080180A"/>
    <w:rsid w:val="00804AC2"/>
    <w:rsid w:val="00810397"/>
    <w:rsid w:val="0082110F"/>
    <w:rsid w:val="0083061B"/>
    <w:rsid w:val="0083155E"/>
    <w:rsid w:val="0084730C"/>
    <w:rsid w:val="00847BD3"/>
    <w:rsid w:val="008514AF"/>
    <w:rsid w:val="0085750F"/>
    <w:rsid w:val="00860E42"/>
    <w:rsid w:val="00861E49"/>
    <w:rsid w:val="00872FB9"/>
    <w:rsid w:val="008751D8"/>
    <w:rsid w:val="008778BA"/>
    <w:rsid w:val="008778C4"/>
    <w:rsid w:val="00880921"/>
    <w:rsid w:val="00895036"/>
    <w:rsid w:val="008A04F6"/>
    <w:rsid w:val="008A090A"/>
    <w:rsid w:val="008B3495"/>
    <w:rsid w:val="008C5FDB"/>
    <w:rsid w:val="008D7031"/>
    <w:rsid w:val="008E1DDD"/>
    <w:rsid w:val="008E5563"/>
    <w:rsid w:val="008F003B"/>
    <w:rsid w:val="00907A5F"/>
    <w:rsid w:val="00911270"/>
    <w:rsid w:val="00915EE3"/>
    <w:rsid w:val="00922DCA"/>
    <w:rsid w:val="009249A0"/>
    <w:rsid w:val="009269DA"/>
    <w:rsid w:val="00966F23"/>
    <w:rsid w:val="009740CF"/>
    <w:rsid w:val="00975D88"/>
    <w:rsid w:val="0099139C"/>
    <w:rsid w:val="00995393"/>
    <w:rsid w:val="00997B2A"/>
    <w:rsid w:val="009A1C84"/>
    <w:rsid w:val="009A5558"/>
    <w:rsid w:val="009B049E"/>
    <w:rsid w:val="009B50EE"/>
    <w:rsid w:val="009D6B62"/>
    <w:rsid w:val="009E5A8E"/>
    <w:rsid w:val="009E7AFA"/>
    <w:rsid w:val="009F1835"/>
    <w:rsid w:val="009F7618"/>
    <w:rsid w:val="00A02043"/>
    <w:rsid w:val="00A16831"/>
    <w:rsid w:val="00A23CFA"/>
    <w:rsid w:val="00A24F8A"/>
    <w:rsid w:val="00A26483"/>
    <w:rsid w:val="00A27137"/>
    <w:rsid w:val="00A37314"/>
    <w:rsid w:val="00A44C8E"/>
    <w:rsid w:val="00A5024C"/>
    <w:rsid w:val="00A5359A"/>
    <w:rsid w:val="00A67E77"/>
    <w:rsid w:val="00A70128"/>
    <w:rsid w:val="00A81A6D"/>
    <w:rsid w:val="00A87922"/>
    <w:rsid w:val="00A928D2"/>
    <w:rsid w:val="00A93DCA"/>
    <w:rsid w:val="00A957FB"/>
    <w:rsid w:val="00AB0154"/>
    <w:rsid w:val="00AB4FDE"/>
    <w:rsid w:val="00AC486E"/>
    <w:rsid w:val="00AD1341"/>
    <w:rsid w:val="00AD649C"/>
    <w:rsid w:val="00AD7995"/>
    <w:rsid w:val="00AE3443"/>
    <w:rsid w:val="00AF18BD"/>
    <w:rsid w:val="00B0466B"/>
    <w:rsid w:val="00B04D65"/>
    <w:rsid w:val="00B21808"/>
    <w:rsid w:val="00B22E56"/>
    <w:rsid w:val="00B448FA"/>
    <w:rsid w:val="00B56E76"/>
    <w:rsid w:val="00B60E4D"/>
    <w:rsid w:val="00B63166"/>
    <w:rsid w:val="00B63804"/>
    <w:rsid w:val="00B67118"/>
    <w:rsid w:val="00B71E8F"/>
    <w:rsid w:val="00B81590"/>
    <w:rsid w:val="00B93253"/>
    <w:rsid w:val="00B9600C"/>
    <w:rsid w:val="00BA0C20"/>
    <w:rsid w:val="00BB3FED"/>
    <w:rsid w:val="00BC31C8"/>
    <w:rsid w:val="00BC7A07"/>
    <w:rsid w:val="00BD00C4"/>
    <w:rsid w:val="00BD1C65"/>
    <w:rsid w:val="00BD7388"/>
    <w:rsid w:val="00BE0180"/>
    <w:rsid w:val="00BE0373"/>
    <w:rsid w:val="00BF1717"/>
    <w:rsid w:val="00BF25CC"/>
    <w:rsid w:val="00BF3BE5"/>
    <w:rsid w:val="00BF531B"/>
    <w:rsid w:val="00C1062A"/>
    <w:rsid w:val="00C14D4B"/>
    <w:rsid w:val="00C1591F"/>
    <w:rsid w:val="00C15F17"/>
    <w:rsid w:val="00C27386"/>
    <w:rsid w:val="00C5450D"/>
    <w:rsid w:val="00C62F29"/>
    <w:rsid w:val="00C77CC8"/>
    <w:rsid w:val="00C91182"/>
    <w:rsid w:val="00CA15E5"/>
    <w:rsid w:val="00CA3DF9"/>
    <w:rsid w:val="00CC1852"/>
    <w:rsid w:val="00CF04C1"/>
    <w:rsid w:val="00CF576A"/>
    <w:rsid w:val="00CF7B13"/>
    <w:rsid w:val="00D00108"/>
    <w:rsid w:val="00D00D98"/>
    <w:rsid w:val="00D017B8"/>
    <w:rsid w:val="00D270A6"/>
    <w:rsid w:val="00D320B2"/>
    <w:rsid w:val="00D37D11"/>
    <w:rsid w:val="00D41F38"/>
    <w:rsid w:val="00D4334B"/>
    <w:rsid w:val="00D51A64"/>
    <w:rsid w:val="00D578CB"/>
    <w:rsid w:val="00D747E2"/>
    <w:rsid w:val="00D87A44"/>
    <w:rsid w:val="00D914F9"/>
    <w:rsid w:val="00DA3E57"/>
    <w:rsid w:val="00DA464F"/>
    <w:rsid w:val="00DA6547"/>
    <w:rsid w:val="00DD5737"/>
    <w:rsid w:val="00DE2D85"/>
    <w:rsid w:val="00DF30A5"/>
    <w:rsid w:val="00E04822"/>
    <w:rsid w:val="00E062F9"/>
    <w:rsid w:val="00E10861"/>
    <w:rsid w:val="00E153DA"/>
    <w:rsid w:val="00E27B52"/>
    <w:rsid w:val="00E368B2"/>
    <w:rsid w:val="00E57586"/>
    <w:rsid w:val="00E64334"/>
    <w:rsid w:val="00E665CA"/>
    <w:rsid w:val="00E70A48"/>
    <w:rsid w:val="00E84B09"/>
    <w:rsid w:val="00E869BA"/>
    <w:rsid w:val="00E938FF"/>
    <w:rsid w:val="00E94019"/>
    <w:rsid w:val="00E956F4"/>
    <w:rsid w:val="00EA0577"/>
    <w:rsid w:val="00EA4765"/>
    <w:rsid w:val="00EB26C5"/>
    <w:rsid w:val="00EB368F"/>
    <w:rsid w:val="00EC3C6F"/>
    <w:rsid w:val="00ED1262"/>
    <w:rsid w:val="00ED1285"/>
    <w:rsid w:val="00ED674E"/>
    <w:rsid w:val="00EF181B"/>
    <w:rsid w:val="00EF2074"/>
    <w:rsid w:val="00EF372A"/>
    <w:rsid w:val="00F017BF"/>
    <w:rsid w:val="00F07911"/>
    <w:rsid w:val="00F11410"/>
    <w:rsid w:val="00F13611"/>
    <w:rsid w:val="00F1486B"/>
    <w:rsid w:val="00F500A7"/>
    <w:rsid w:val="00F65645"/>
    <w:rsid w:val="00F7229A"/>
    <w:rsid w:val="00F761FA"/>
    <w:rsid w:val="00F854DC"/>
    <w:rsid w:val="00F91202"/>
    <w:rsid w:val="00F9632D"/>
    <w:rsid w:val="00FA1AFB"/>
    <w:rsid w:val="00FA42C7"/>
    <w:rsid w:val="00FA6675"/>
    <w:rsid w:val="00FA75E6"/>
    <w:rsid w:val="00FA7FA8"/>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B634C-B693-44DD-B5CC-8DA648EF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15</Pages>
  <Words>5352</Words>
  <Characters>29440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54</cp:revision>
  <cp:lastPrinted>2016-10-12T16:58:00Z</cp:lastPrinted>
  <dcterms:created xsi:type="dcterms:W3CDTF">2016-10-04T18:55:00Z</dcterms:created>
  <dcterms:modified xsi:type="dcterms:W3CDTF">2016-12-31T03:50:00Z</dcterms:modified>
</cp:coreProperties>
</file>