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0EA" w:rsidRPr="00AB155D" w:rsidRDefault="005A75C7" w:rsidP="00AB155D">
      <w:pPr>
        <w:spacing w:line="240" w:lineRule="auto"/>
        <w:rPr>
          <w:rFonts w:ascii="Arial" w:hAnsi="Arial" w:cs="Arial"/>
          <w:spacing w:val="-4"/>
          <w:sz w:val="20"/>
          <w:szCs w:val="20"/>
        </w:rPr>
      </w:pPr>
      <w:r w:rsidRPr="00AB155D">
        <w:rPr>
          <w:rFonts w:ascii="Arial" w:hAnsi="Arial" w:cs="Arial"/>
          <w:spacing w:val="-4"/>
          <w:sz w:val="20"/>
          <w:szCs w:val="20"/>
        </w:rPr>
        <w:t>PRESUNCIÓN DE ANTIJURIDICIDAD</w:t>
      </w:r>
      <w:r w:rsidR="002720C7" w:rsidRPr="00AB155D">
        <w:rPr>
          <w:rFonts w:ascii="Arial" w:hAnsi="Arial" w:cs="Arial"/>
          <w:spacing w:val="-4"/>
          <w:sz w:val="20"/>
          <w:szCs w:val="20"/>
        </w:rPr>
        <w:t xml:space="preserve">/ </w:t>
      </w:r>
      <w:r w:rsidR="0002770F" w:rsidRPr="00AB155D">
        <w:rPr>
          <w:rFonts w:ascii="Arial" w:hAnsi="Arial" w:cs="Arial"/>
          <w:spacing w:val="-4"/>
          <w:sz w:val="20"/>
          <w:szCs w:val="20"/>
        </w:rPr>
        <w:t>Admite prueba en contrario en la conducta de</w:t>
      </w:r>
      <w:r w:rsidR="002720C7" w:rsidRPr="00AB155D">
        <w:rPr>
          <w:rFonts w:ascii="Arial" w:hAnsi="Arial" w:cs="Arial"/>
          <w:spacing w:val="-4"/>
          <w:sz w:val="20"/>
          <w:szCs w:val="20"/>
        </w:rPr>
        <w:t xml:space="preserve"> porte de sustancias que exceden el límite permitido</w:t>
      </w:r>
      <w:r w:rsidR="001640EA" w:rsidRPr="00AB155D">
        <w:rPr>
          <w:rFonts w:ascii="Arial" w:hAnsi="Arial" w:cs="Arial"/>
          <w:spacing w:val="-4"/>
          <w:sz w:val="20"/>
          <w:szCs w:val="20"/>
        </w:rPr>
        <w:t>/</w:t>
      </w:r>
      <w:r w:rsidR="00281A63" w:rsidRPr="00AB155D">
        <w:rPr>
          <w:rFonts w:ascii="Arial" w:hAnsi="Arial" w:cs="Arial"/>
          <w:spacing w:val="-4"/>
          <w:sz w:val="20"/>
          <w:szCs w:val="20"/>
        </w:rPr>
        <w:t xml:space="preserve"> </w:t>
      </w:r>
      <w:r w:rsidR="0002770F" w:rsidRPr="00AB155D">
        <w:rPr>
          <w:rFonts w:ascii="Arial" w:hAnsi="Arial" w:cs="Arial"/>
          <w:spacing w:val="-4"/>
          <w:sz w:val="20"/>
          <w:szCs w:val="20"/>
          <w:lang w:val="es-CO"/>
        </w:rPr>
        <w:t>Adicción a estupefacientes</w:t>
      </w:r>
      <w:r w:rsidR="0002770F" w:rsidRPr="00AB155D">
        <w:rPr>
          <w:rFonts w:ascii="Arial" w:hAnsi="Arial" w:cs="Arial"/>
          <w:spacing w:val="-4"/>
          <w:sz w:val="20"/>
          <w:szCs w:val="20"/>
        </w:rPr>
        <w:t>/</w:t>
      </w:r>
      <w:r w:rsidR="001640EA" w:rsidRPr="00AB155D">
        <w:rPr>
          <w:rFonts w:ascii="Arial" w:hAnsi="Arial" w:cs="Arial"/>
          <w:spacing w:val="-4"/>
          <w:sz w:val="20"/>
          <w:szCs w:val="20"/>
        </w:rPr>
        <w:t xml:space="preserve"> Duda a favor del acusado</w:t>
      </w:r>
    </w:p>
    <w:p w:rsidR="00E0685B" w:rsidRPr="00AB155D" w:rsidRDefault="00E0685B" w:rsidP="00AB155D">
      <w:pPr>
        <w:spacing w:line="240" w:lineRule="auto"/>
        <w:rPr>
          <w:rFonts w:ascii="Arial" w:hAnsi="Arial" w:cs="Arial"/>
          <w:spacing w:val="-4"/>
          <w:sz w:val="20"/>
          <w:szCs w:val="20"/>
        </w:rPr>
      </w:pPr>
    </w:p>
    <w:p w:rsidR="00E0685B" w:rsidRPr="00AB155D" w:rsidRDefault="005A75C7" w:rsidP="00AB155D">
      <w:pPr>
        <w:spacing w:line="240" w:lineRule="auto"/>
        <w:rPr>
          <w:rFonts w:ascii="Arial" w:hAnsi="Arial" w:cs="Arial"/>
          <w:spacing w:val="-4"/>
          <w:sz w:val="20"/>
          <w:szCs w:val="20"/>
        </w:rPr>
      </w:pPr>
      <w:r w:rsidRPr="00AB155D">
        <w:rPr>
          <w:rFonts w:ascii="Arial" w:hAnsi="Arial" w:cs="Arial"/>
          <w:spacing w:val="-4"/>
          <w:sz w:val="20"/>
          <w:szCs w:val="20"/>
        </w:rPr>
        <w:t>“</w:t>
      </w:r>
      <w:r w:rsidR="002F60DE">
        <w:rPr>
          <w:rFonts w:ascii="Arial" w:hAnsi="Arial" w:cs="Arial"/>
          <w:spacing w:val="-4"/>
          <w:sz w:val="20"/>
          <w:szCs w:val="20"/>
        </w:rPr>
        <w:t>(…)</w:t>
      </w:r>
      <w:r w:rsidR="00E0685B" w:rsidRPr="00AB155D">
        <w:rPr>
          <w:rFonts w:ascii="Arial" w:hAnsi="Arial" w:cs="Arial"/>
          <w:spacing w:val="-4"/>
          <w:sz w:val="20"/>
          <w:szCs w:val="20"/>
        </w:rPr>
        <w:t xml:space="preserve"> en criterio del Tribunal, existen argumentos tanto en pro como en contra para establecer la antijuridicidad de la conducta atribuida, es decir, que tan podría concluirse que el alcaloide lo llevaba consigo con fines de expendio (según lo indicó la fuente), como igualmente para decir que estaba en poder del mismo solo para su personal consumo sin afectar al colectivo (de conformidad con la información allegada con posterioridad); así que, ante la duda existente, la Corporación debe inclinarse por la determinación más favorable para el acusado, que no es otra que un fallo de carácter absolutorio.</w:t>
      </w:r>
      <w:r w:rsidR="0004476E">
        <w:rPr>
          <w:rFonts w:ascii="Arial" w:hAnsi="Arial" w:cs="Arial"/>
          <w:spacing w:val="-4"/>
          <w:sz w:val="20"/>
          <w:szCs w:val="20"/>
        </w:rPr>
        <w:t>”</w:t>
      </w:r>
    </w:p>
    <w:p w:rsidR="00E0685B" w:rsidRPr="00AB155D" w:rsidRDefault="00E0685B" w:rsidP="00AB155D">
      <w:pPr>
        <w:spacing w:line="240" w:lineRule="auto"/>
        <w:rPr>
          <w:rFonts w:ascii="Arial" w:hAnsi="Arial" w:cs="Arial"/>
          <w:spacing w:val="-4"/>
          <w:sz w:val="20"/>
          <w:szCs w:val="20"/>
        </w:rPr>
      </w:pPr>
    </w:p>
    <w:p w:rsidR="00E74D99" w:rsidRPr="0004476E" w:rsidRDefault="00E74D99" w:rsidP="0004476E">
      <w:pPr>
        <w:pStyle w:val="Textonotapie"/>
      </w:pPr>
      <w:r w:rsidRPr="0004476E">
        <w:t>Citas: Corte Suprema de Justicia, Sala Penal,</w:t>
      </w:r>
      <w:r w:rsidR="00161BC8" w:rsidRPr="0004476E">
        <w:t xml:space="preserve"> sentencia del</w:t>
      </w:r>
      <w:r w:rsidRPr="0004476E">
        <w:t xml:space="preserve"> 12 nov</w:t>
      </w:r>
      <w:r w:rsidR="00161BC8" w:rsidRPr="0004476E">
        <w:t>iembre de 2014 -</w:t>
      </w:r>
      <w:r w:rsidRPr="0004476E">
        <w:t>rad. 42617</w:t>
      </w:r>
      <w:r w:rsidR="00161BC8" w:rsidRPr="0004476E">
        <w:t>-</w:t>
      </w:r>
      <w:r w:rsidRPr="0004476E">
        <w:t>.</w:t>
      </w:r>
      <w:r w:rsidR="00161BC8" w:rsidRPr="0004476E">
        <w:t xml:space="preserve"> Tribunal Superior de Pereira, Sala Penal, </w:t>
      </w:r>
      <w:r w:rsidRPr="0004476E">
        <w:t>autos de</w:t>
      </w:r>
      <w:r w:rsidR="00E7403E" w:rsidRPr="0004476E">
        <w:t>l</w:t>
      </w:r>
      <w:r w:rsidRPr="0004476E">
        <w:t xml:space="preserve"> </w:t>
      </w:r>
      <w:r w:rsidR="00E7403E" w:rsidRPr="0004476E">
        <w:t xml:space="preserve">22 </w:t>
      </w:r>
      <w:r w:rsidR="0004476E">
        <w:rPr>
          <w:lang w:val="es-CO"/>
        </w:rPr>
        <w:t xml:space="preserve">de </w:t>
      </w:r>
      <w:r w:rsidR="00E7403E" w:rsidRPr="0004476E">
        <w:rPr>
          <w:lang w:val="es-MX"/>
        </w:rPr>
        <w:t>enero de 2016 -rad. 66001600003520130234801</w:t>
      </w:r>
      <w:r w:rsidR="00161BC8" w:rsidRPr="0004476E">
        <w:t>26</w:t>
      </w:r>
      <w:r w:rsidR="00E7403E" w:rsidRPr="0004476E">
        <w:t>-, 26</w:t>
      </w:r>
      <w:r w:rsidR="00161BC8" w:rsidRPr="0004476E">
        <w:t xml:space="preserve"> </w:t>
      </w:r>
      <w:r w:rsidR="0004476E">
        <w:rPr>
          <w:lang w:val="es-CO"/>
        </w:rPr>
        <w:t xml:space="preserve">de </w:t>
      </w:r>
      <w:r w:rsidRPr="0004476E">
        <w:t>marzo</w:t>
      </w:r>
      <w:r w:rsidR="00161BC8" w:rsidRPr="0004476E">
        <w:t xml:space="preserve"> </w:t>
      </w:r>
      <w:r w:rsidRPr="0004476E">
        <w:t>de 2015</w:t>
      </w:r>
      <w:r w:rsidR="00161BC8" w:rsidRPr="0004476E">
        <w:t xml:space="preserve"> -</w:t>
      </w:r>
      <w:r w:rsidRPr="0004476E">
        <w:t>rad</w:t>
      </w:r>
      <w:r w:rsidR="00161BC8" w:rsidRPr="0004476E">
        <w:t>.</w:t>
      </w:r>
      <w:r w:rsidRPr="0004476E">
        <w:t xml:space="preserve"> 66001600003520120371701</w:t>
      </w:r>
      <w:r w:rsidR="00E7403E" w:rsidRPr="0004476E">
        <w:t>-,</w:t>
      </w:r>
      <w:r w:rsidR="004A1B47" w:rsidRPr="0004476E">
        <w:t xml:space="preserve"> 26 de </w:t>
      </w:r>
      <w:r w:rsidR="004A1B47" w:rsidRPr="0004476E">
        <w:rPr>
          <w:lang w:val="es-MX"/>
        </w:rPr>
        <w:t xml:space="preserve">mayo de 2015 -rad. 660016000003520130503501- </w:t>
      </w:r>
      <w:r w:rsidR="0004476E">
        <w:t xml:space="preserve">y </w:t>
      </w:r>
      <w:r w:rsidR="00161BC8" w:rsidRPr="0004476E">
        <w:t>3 de junio de 2015 -</w:t>
      </w:r>
      <w:r w:rsidRPr="0004476E">
        <w:t>rad</w:t>
      </w:r>
      <w:r w:rsidR="00161BC8" w:rsidRPr="0004476E">
        <w:t xml:space="preserve">. </w:t>
      </w:r>
      <w:r w:rsidRPr="0004476E">
        <w:rPr>
          <w:lang w:val="es-MX"/>
        </w:rPr>
        <w:t>66001600003520130488901</w:t>
      </w:r>
      <w:r w:rsidR="00161BC8" w:rsidRPr="0004476E">
        <w:rPr>
          <w:lang w:val="es-MX"/>
        </w:rPr>
        <w:t>-</w:t>
      </w:r>
      <w:r w:rsidR="0004476E">
        <w:rPr>
          <w:lang w:val="es-MX"/>
        </w:rPr>
        <w:t>.</w:t>
      </w:r>
    </w:p>
    <w:p w:rsidR="007E2984" w:rsidRPr="00060F9C" w:rsidRDefault="007E2984" w:rsidP="009D2CE6">
      <w:pPr>
        <w:spacing w:line="240" w:lineRule="auto"/>
        <w:rPr>
          <w:sz w:val="12"/>
          <w:szCs w:val="12"/>
        </w:rPr>
      </w:pPr>
    </w:p>
    <w:p w:rsidR="002E4E84" w:rsidRPr="00060F9C" w:rsidRDefault="002E4E84" w:rsidP="009D2CE6">
      <w:pPr>
        <w:spacing w:line="240" w:lineRule="auto"/>
        <w:rPr>
          <w:b/>
          <w:bCs/>
          <w:spacing w:val="-4"/>
          <w:sz w:val="12"/>
          <w:szCs w:val="12"/>
        </w:rPr>
      </w:pPr>
      <w:r w:rsidRPr="00060F9C">
        <w:rPr>
          <w:sz w:val="12"/>
          <w:szCs w:val="12"/>
        </w:rPr>
        <w:t xml:space="preserve">                                                                  </w:t>
      </w:r>
      <w:r w:rsidRPr="00060F9C">
        <w:rPr>
          <w:spacing w:val="-4"/>
          <w:sz w:val="12"/>
          <w:szCs w:val="12"/>
        </w:rPr>
        <w:t xml:space="preserve">                  </w:t>
      </w:r>
      <w:r w:rsidR="00A433A0" w:rsidRPr="00060F9C">
        <w:rPr>
          <w:spacing w:val="-4"/>
          <w:sz w:val="12"/>
          <w:szCs w:val="12"/>
        </w:rPr>
        <w:t xml:space="preserve">      </w:t>
      </w:r>
      <w:r w:rsidRPr="00060F9C">
        <w:rPr>
          <w:spacing w:val="-4"/>
          <w:sz w:val="12"/>
          <w:szCs w:val="12"/>
        </w:rPr>
        <w:t xml:space="preserve"> </w:t>
      </w:r>
      <w:r w:rsidR="00561498" w:rsidRPr="00060F9C">
        <w:rPr>
          <w:spacing w:val="-4"/>
          <w:sz w:val="12"/>
          <w:szCs w:val="12"/>
        </w:rPr>
        <w:t xml:space="preserve">           </w:t>
      </w:r>
      <w:r w:rsidRPr="00060F9C">
        <w:rPr>
          <w:b/>
          <w:bCs/>
          <w:spacing w:val="-4"/>
          <w:sz w:val="12"/>
          <w:szCs w:val="12"/>
        </w:rPr>
        <w:t>REPÚBLICA DE COLOMBIA</w:t>
      </w:r>
    </w:p>
    <w:p w:rsidR="002E4E84" w:rsidRPr="00060F9C" w:rsidRDefault="002E4E84" w:rsidP="009D2CE6">
      <w:pPr>
        <w:spacing w:line="240" w:lineRule="auto"/>
        <w:rPr>
          <w:b/>
          <w:bCs/>
          <w:spacing w:val="-4"/>
          <w:sz w:val="12"/>
          <w:szCs w:val="12"/>
        </w:rPr>
      </w:pPr>
      <w:r w:rsidRPr="00060F9C">
        <w:rPr>
          <w:b/>
          <w:bCs/>
          <w:spacing w:val="-4"/>
          <w:sz w:val="12"/>
          <w:szCs w:val="12"/>
        </w:rPr>
        <w:t xml:space="preserve">                                                                                            </w:t>
      </w:r>
      <w:r w:rsidR="00A433A0" w:rsidRPr="00060F9C">
        <w:rPr>
          <w:b/>
          <w:bCs/>
          <w:spacing w:val="-4"/>
          <w:sz w:val="12"/>
          <w:szCs w:val="12"/>
        </w:rPr>
        <w:t xml:space="preserve">    </w:t>
      </w:r>
      <w:r w:rsidR="004800C7" w:rsidRPr="00060F9C">
        <w:rPr>
          <w:b/>
          <w:bCs/>
          <w:spacing w:val="-4"/>
          <w:sz w:val="12"/>
          <w:szCs w:val="12"/>
        </w:rPr>
        <w:t xml:space="preserve">       </w:t>
      </w:r>
      <w:r w:rsidRPr="00060F9C">
        <w:rPr>
          <w:b/>
          <w:bCs/>
          <w:spacing w:val="-4"/>
          <w:sz w:val="12"/>
          <w:szCs w:val="12"/>
        </w:rPr>
        <w:t xml:space="preserve">  </w:t>
      </w:r>
      <w:r w:rsidR="004800C7" w:rsidRPr="00060F9C">
        <w:rPr>
          <w:b/>
          <w:bCs/>
          <w:spacing w:val="-4"/>
          <w:sz w:val="12"/>
          <w:szCs w:val="12"/>
        </w:rPr>
        <w:t xml:space="preserve"> </w:t>
      </w:r>
      <w:r w:rsidR="00561498" w:rsidRPr="00060F9C">
        <w:rPr>
          <w:b/>
          <w:bCs/>
          <w:spacing w:val="-4"/>
          <w:sz w:val="12"/>
          <w:szCs w:val="12"/>
        </w:rPr>
        <w:t xml:space="preserve">              </w:t>
      </w:r>
      <w:r w:rsidRPr="00060F9C">
        <w:rPr>
          <w:b/>
          <w:bCs/>
          <w:spacing w:val="-4"/>
          <w:sz w:val="12"/>
          <w:szCs w:val="12"/>
        </w:rPr>
        <w:t xml:space="preserve"> </w:t>
      </w:r>
      <w:r w:rsidR="00CA2F7E" w:rsidRPr="00060F9C">
        <w:rPr>
          <w:b/>
          <w:bCs/>
          <w:spacing w:val="-4"/>
          <w:sz w:val="12"/>
          <w:szCs w:val="12"/>
        </w:rPr>
        <w:t xml:space="preserve"> </w:t>
      </w:r>
      <w:r w:rsidRPr="00060F9C">
        <w:rPr>
          <w:b/>
          <w:bCs/>
          <w:spacing w:val="-4"/>
          <w:sz w:val="12"/>
          <w:szCs w:val="12"/>
        </w:rPr>
        <w:t>PEREIRA-RISARALDA</w:t>
      </w:r>
    </w:p>
    <w:p w:rsidR="002E4E84" w:rsidRPr="00060F9C" w:rsidRDefault="00852711" w:rsidP="009D2CE6">
      <w:pPr>
        <w:tabs>
          <w:tab w:val="left" w:pos="3090"/>
        </w:tabs>
        <w:spacing w:line="240" w:lineRule="auto"/>
        <w:rPr>
          <w:spacing w:val="-4"/>
          <w:sz w:val="12"/>
          <w:szCs w:val="12"/>
        </w:rPr>
      </w:pPr>
      <w:r w:rsidRPr="00060F9C">
        <w:rPr>
          <w:noProof/>
          <w:spacing w:val="-4"/>
          <w:lang w:eastAsia="es-ES"/>
        </w:rPr>
        <w:drawing>
          <wp:anchor distT="0" distB="0" distL="114300" distR="114300" simplePos="0" relativeHeight="251657728" behindDoc="1" locked="0" layoutInCell="1" allowOverlap="1">
            <wp:simplePos x="0" y="0"/>
            <wp:positionH relativeFrom="column">
              <wp:posOffset>2456180</wp:posOffset>
            </wp:positionH>
            <wp:positionV relativeFrom="paragraph">
              <wp:posOffset>214630</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2E4E84" w:rsidRPr="00060F9C">
        <w:rPr>
          <w:b/>
          <w:bCs/>
          <w:spacing w:val="-4"/>
          <w:sz w:val="12"/>
          <w:szCs w:val="12"/>
        </w:rPr>
        <w:t xml:space="preserve">                                                                                              </w:t>
      </w:r>
      <w:r w:rsidR="00A433A0" w:rsidRPr="00060F9C">
        <w:rPr>
          <w:b/>
          <w:bCs/>
          <w:spacing w:val="-4"/>
          <w:sz w:val="12"/>
          <w:szCs w:val="12"/>
        </w:rPr>
        <w:t xml:space="preserve">     </w:t>
      </w:r>
      <w:r w:rsidR="002E4E84" w:rsidRPr="00060F9C">
        <w:rPr>
          <w:b/>
          <w:bCs/>
          <w:spacing w:val="-4"/>
          <w:sz w:val="12"/>
          <w:szCs w:val="12"/>
        </w:rPr>
        <w:t xml:space="preserve">    </w:t>
      </w:r>
      <w:r w:rsidR="004800C7" w:rsidRPr="00060F9C">
        <w:rPr>
          <w:b/>
          <w:bCs/>
          <w:spacing w:val="-4"/>
          <w:sz w:val="12"/>
          <w:szCs w:val="12"/>
        </w:rPr>
        <w:t xml:space="preserve">        </w:t>
      </w:r>
      <w:r w:rsidR="002E4E84" w:rsidRPr="00060F9C">
        <w:rPr>
          <w:b/>
          <w:bCs/>
          <w:spacing w:val="-4"/>
          <w:sz w:val="12"/>
          <w:szCs w:val="12"/>
        </w:rPr>
        <w:t xml:space="preserve">  </w:t>
      </w:r>
      <w:r w:rsidR="00561498" w:rsidRPr="00060F9C">
        <w:rPr>
          <w:b/>
          <w:bCs/>
          <w:spacing w:val="-4"/>
          <w:sz w:val="12"/>
          <w:szCs w:val="12"/>
        </w:rPr>
        <w:t xml:space="preserve">         </w:t>
      </w:r>
      <w:r w:rsidR="00CA2F7E" w:rsidRPr="00060F9C">
        <w:rPr>
          <w:b/>
          <w:bCs/>
          <w:spacing w:val="-4"/>
          <w:sz w:val="12"/>
          <w:szCs w:val="12"/>
        </w:rPr>
        <w:t xml:space="preserve">  </w:t>
      </w:r>
      <w:r w:rsidR="00561498" w:rsidRPr="00060F9C">
        <w:rPr>
          <w:b/>
          <w:bCs/>
          <w:spacing w:val="-4"/>
          <w:sz w:val="12"/>
          <w:szCs w:val="12"/>
        </w:rPr>
        <w:t xml:space="preserve">   </w:t>
      </w:r>
      <w:r w:rsidR="002E4E84" w:rsidRPr="00060F9C">
        <w:rPr>
          <w:b/>
          <w:bCs/>
          <w:spacing w:val="-4"/>
          <w:sz w:val="12"/>
          <w:szCs w:val="12"/>
        </w:rPr>
        <w:t>RAMA JUDICIAL</w:t>
      </w:r>
    </w:p>
    <w:p w:rsidR="002E4E84" w:rsidRPr="00060F9C" w:rsidRDefault="002E4E84" w:rsidP="009D2CE6">
      <w:pPr>
        <w:spacing w:line="240" w:lineRule="auto"/>
        <w:jc w:val="center"/>
        <w:rPr>
          <w:rFonts w:ascii="Algerian" w:hAnsi="Algerian" w:cs="Algerian"/>
          <w:spacing w:val="-4"/>
          <w:sz w:val="28"/>
          <w:szCs w:val="28"/>
        </w:rPr>
      </w:pPr>
      <w:r w:rsidRPr="00060F9C">
        <w:rPr>
          <w:rFonts w:ascii="Algerian" w:hAnsi="Algerian" w:cs="Algerian"/>
          <w:smallCaps/>
          <w:spacing w:val="-4"/>
          <w:sz w:val="28"/>
          <w:szCs w:val="28"/>
        </w:rPr>
        <w:t>TRIBUNAL SUPERIOR DE PEREIRA</w:t>
      </w:r>
    </w:p>
    <w:p w:rsidR="002E4E84" w:rsidRPr="00060F9C" w:rsidRDefault="002E4E84" w:rsidP="009D2CE6">
      <w:pPr>
        <w:pStyle w:val="Textoindependiente3"/>
        <w:tabs>
          <w:tab w:val="left" w:pos="1202"/>
        </w:tabs>
        <w:overflowPunct/>
        <w:autoSpaceDE/>
        <w:autoSpaceDN/>
        <w:adjustRightInd/>
        <w:spacing w:after="120" w:line="240" w:lineRule="auto"/>
        <w:jc w:val="center"/>
        <w:textAlignment w:val="auto"/>
        <w:rPr>
          <w:rFonts w:ascii="Algerian" w:hAnsi="Algerian" w:cs="Algerian"/>
          <w:spacing w:val="-4"/>
          <w:sz w:val="28"/>
          <w:szCs w:val="28"/>
          <w:lang w:val="es-ES"/>
        </w:rPr>
      </w:pPr>
      <w:r w:rsidRPr="00060F9C">
        <w:rPr>
          <w:rFonts w:ascii="Algerian" w:hAnsi="Algerian" w:cs="Algerian"/>
          <w:spacing w:val="-4"/>
          <w:sz w:val="28"/>
          <w:szCs w:val="28"/>
          <w:lang w:val="es-ES"/>
        </w:rPr>
        <w:t>SALA de decisión PENAL</w:t>
      </w:r>
    </w:p>
    <w:p w:rsidR="002E4E84" w:rsidRPr="00060F9C" w:rsidRDefault="002E4E84" w:rsidP="009D2CE6">
      <w:pPr>
        <w:spacing w:line="240" w:lineRule="auto"/>
        <w:jc w:val="center"/>
        <w:rPr>
          <w:spacing w:val="-4"/>
        </w:rPr>
      </w:pPr>
      <w:r w:rsidRPr="00060F9C">
        <w:rPr>
          <w:spacing w:val="-4"/>
        </w:rPr>
        <w:t>Magistrado Ponente</w:t>
      </w:r>
    </w:p>
    <w:p w:rsidR="002E4E84" w:rsidRPr="00060F9C" w:rsidRDefault="002E4E84" w:rsidP="009D2CE6">
      <w:pPr>
        <w:spacing w:line="240" w:lineRule="auto"/>
        <w:jc w:val="center"/>
        <w:rPr>
          <w:spacing w:val="-4"/>
          <w:sz w:val="24"/>
          <w:szCs w:val="24"/>
        </w:rPr>
      </w:pPr>
      <w:r w:rsidRPr="00060F9C">
        <w:rPr>
          <w:spacing w:val="-4"/>
          <w:sz w:val="24"/>
          <w:szCs w:val="24"/>
        </w:rPr>
        <w:t xml:space="preserve"> JORGE ARTURO CASTAÑO DUQUE</w:t>
      </w:r>
    </w:p>
    <w:p w:rsidR="002E4E84" w:rsidRPr="00060F9C" w:rsidRDefault="002E4E84" w:rsidP="009D2CE6">
      <w:pPr>
        <w:spacing w:line="240" w:lineRule="auto"/>
        <w:rPr>
          <w:spacing w:val="-4"/>
        </w:rPr>
      </w:pPr>
      <w:r w:rsidRPr="00060F9C">
        <w:rPr>
          <w:spacing w:val="-4"/>
        </w:rPr>
        <w:t xml:space="preserve">                                                 </w:t>
      </w:r>
    </w:p>
    <w:p w:rsidR="002E4E84" w:rsidRPr="00060F9C" w:rsidRDefault="002E4E84" w:rsidP="009D2CE6">
      <w:pPr>
        <w:spacing w:line="240" w:lineRule="auto"/>
        <w:rPr>
          <w:spacing w:val="-4"/>
        </w:rPr>
      </w:pPr>
    </w:p>
    <w:p w:rsidR="002E4E84" w:rsidRPr="00060F9C" w:rsidRDefault="002E4E84" w:rsidP="009D2CE6">
      <w:pPr>
        <w:spacing w:line="240" w:lineRule="auto"/>
        <w:jc w:val="center"/>
        <w:rPr>
          <w:spacing w:val="-4"/>
        </w:rPr>
      </w:pPr>
      <w:r w:rsidRPr="00060F9C">
        <w:rPr>
          <w:spacing w:val="-4"/>
        </w:rPr>
        <w:t xml:space="preserve">    Pereira</w:t>
      </w:r>
      <w:r w:rsidR="00906EF4" w:rsidRPr="00060F9C">
        <w:rPr>
          <w:spacing w:val="-4"/>
        </w:rPr>
        <w:t xml:space="preserve">, </w:t>
      </w:r>
      <w:r w:rsidR="0027357F" w:rsidRPr="00060F9C">
        <w:rPr>
          <w:spacing w:val="-4"/>
        </w:rPr>
        <w:t xml:space="preserve">veintitrés </w:t>
      </w:r>
      <w:r w:rsidR="00906EF4" w:rsidRPr="00060F9C">
        <w:rPr>
          <w:spacing w:val="-4"/>
        </w:rPr>
        <w:t>(</w:t>
      </w:r>
      <w:r w:rsidR="0027357F" w:rsidRPr="00060F9C">
        <w:rPr>
          <w:spacing w:val="-4"/>
        </w:rPr>
        <w:t>23</w:t>
      </w:r>
      <w:r w:rsidR="00906EF4" w:rsidRPr="00060F9C">
        <w:rPr>
          <w:spacing w:val="-4"/>
        </w:rPr>
        <w:t>) de febrero</w:t>
      </w:r>
      <w:r w:rsidR="00EF376B" w:rsidRPr="00060F9C">
        <w:rPr>
          <w:spacing w:val="-4"/>
        </w:rPr>
        <w:t xml:space="preserve"> </w:t>
      </w:r>
      <w:r w:rsidRPr="00060F9C">
        <w:rPr>
          <w:spacing w:val="-4"/>
        </w:rPr>
        <w:t>de</w:t>
      </w:r>
      <w:r w:rsidR="0049148A" w:rsidRPr="00060F9C">
        <w:rPr>
          <w:spacing w:val="-4"/>
        </w:rPr>
        <w:t xml:space="preserve"> </w:t>
      </w:r>
      <w:r w:rsidRPr="00060F9C">
        <w:rPr>
          <w:spacing w:val="-4"/>
        </w:rPr>
        <w:t xml:space="preserve">dos mil </w:t>
      </w:r>
      <w:r w:rsidR="00906EF4" w:rsidRPr="00060F9C">
        <w:rPr>
          <w:spacing w:val="-4"/>
        </w:rPr>
        <w:t>dieciséis</w:t>
      </w:r>
      <w:r w:rsidR="000F4F01" w:rsidRPr="00060F9C">
        <w:rPr>
          <w:spacing w:val="-4"/>
        </w:rPr>
        <w:t xml:space="preserve"> </w:t>
      </w:r>
      <w:r w:rsidRPr="00060F9C">
        <w:rPr>
          <w:spacing w:val="-4"/>
        </w:rPr>
        <w:t>(</w:t>
      </w:r>
      <w:r w:rsidR="00906EF4" w:rsidRPr="00060F9C">
        <w:rPr>
          <w:spacing w:val="-4"/>
        </w:rPr>
        <w:t>2016</w:t>
      </w:r>
      <w:r w:rsidRPr="00060F9C">
        <w:rPr>
          <w:spacing w:val="-4"/>
        </w:rPr>
        <w:t>)</w:t>
      </w:r>
    </w:p>
    <w:p w:rsidR="00FF62FD" w:rsidRPr="00060F9C" w:rsidRDefault="00FF62FD" w:rsidP="00FF62FD">
      <w:pPr>
        <w:spacing w:line="240" w:lineRule="auto"/>
        <w:rPr>
          <w:spacing w:val="-4"/>
        </w:rPr>
      </w:pPr>
    </w:p>
    <w:p w:rsidR="002E4E84" w:rsidRPr="00060F9C" w:rsidRDefault="002E4E84" w:rsidP="009D2CE6">
      <w:pPr>
        <w:spacing w:line="240" w:lineRule="auto"/>
        <w:jc w:val="center"/>
        <w:rPr>
          <w:spacing w:val="-4"/>
          <w:sz w:val="24"/>
          <w:szCs w:val="24"/>
        </w:rPr>
      </w:pPr>
      <w:r w:rsidRPr="00060F9C">
        <w:rPr>
          <w:spacing w:val="-4"/>
          <w:sz w:val="22"/>
          <w:szCs w:val="22"/>
        </w:rPr>
        <w:t xml:space="preserve">  </w:t>
      </w:r>
      <w:r w:rsidRPr="00060F9C">
        <w:rPr>
          <w:spacing w:val="-4"/>
          <w:sz w:val="24"/>
          <w:szCs w:val="24"/>
        </w:rPr>
        <w:t>ACTA DE APROBACIÓN No</w:t>
      </w:r>
      <w:r w:rsidR="00451B6B" w:rsidRPr="00060F9C">
        <w:rPr>
          <w:spacing w:val="-4"/>
          <w:sz w:val="24"/>
          <w:szCs w:val="24"/>
        </w:rPr>
        <w:t xml:space="preserve"> </w:t>
      </w:r>
      <w:r w:rsidR="0027357F" w:rsidRPr="00060F9C">
        <w:rPr>
          <w:spacing w:val="-4"/>
          <w:sz w:val="24"/>
          <w:szCs w:val="24"/>
        </w:rPr>
        <w:t>142</w:t>
      </w:r>
    </w:p>
    <w:p w:rsidR="002E4E84" w:rsidRPr="00060F9C" w:rsidRDefault="002E4E84" w:rsidP="009D2CE6">
      <w:pPr>
        <w:spacing w:line="240" w:lineRule="auto"/>
        <w:jc w:val="center"/>
        <w:rPr>
          <w:spacing w:val="-4"/>
          <w:sz w:val="24"/>
          <w:szCs w:val="24"/>
        </w:rPr>
      </w:pPr>
      <w:r w:rsidRPr="00060F9C">
        <w:rPr>
          <w:spacing w:val="-4"/>
          <w:sz w:val="24"/>
          <w:szCs w:val="24"/>
        </w:rPr>
        <w:t xml:space="preserve">  SEGUNDA INSTANCIA</w:t>
      </w:r>
    </w:p>
    <w:p w:rsidR="00FF62FD" w:rsidRPr="00060F9C" w:rsidRDefault="00FF62FD" w:rsidP="009D2CE6">
      <w:pPr>
        <w:spacing w:line="240" w:lineRule="auto"/>
        <w:rPr>
          <w:spacing w:val="-4"/>
        </w:rPr>
      </w:pPr>
    </w:p>
    <w:p w:rsidR="00236A92" w:rsidRPr="00060F9C" w:rsidRDefault="00236A92" w:rsidP="009D2CE6">
      <w:pPr>
        <w:spacing w:line="240" w:lineRule="auto"/>
        <w:rPr>
          <w:spacing w:val="-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929"/>
      </w:tblGrid>
      <w:tr w:rsidR="002E4E84" w:rsidRPr="00060F9C" w:rsidTr="00A733A2">
        <w:trPr>
          <w:trHeight w:val="259"/>
        </w:trPr>
        <w:tc>
          <w:tcPr>
            <w:tcW w:w="3860" w:type="dxa"/>
          </w:tcPr>
          <w:p w:rsidR="002E4E84" w:rsidRPr="00060F9C" w:rsidRDefault="002E4E84" w:rsidP="009D2CE6">
            <w:pPr>
              <w:pStyle w:val="Tablaidentificadora"/>
              <w:rPr>
                <w:spacing w:val="-4"/>
              </w:rPr>
            </w:pPr>
            <w:r w:rsidRPr="00060F9C">
              <w:rPr>
                <w:spacing w:val="-4"/>
              </w:rPr>
              <w:t xml:space="preserve">Fecha y hora de lectura: </w:t>
            </w:r>
          </w:p>
        </w:tc>
        <w:tc>
          <w:tcPr>
            <w:tcW w:w="4929" w:type="dxa"/>
          </w:tcPr>
          <w:p w:rsidR="002E4E84" w:rsidRPr="00060F9C" w:rsidRDefault="0027357F" w:rsidP="009D2CE6">
            <w:pPr>
              <w:pStyle w:val="Tablaidentificadora"/>
              <w:rPr>
                <w:spacing w:val="-4"/>
              </w:rPr>
            </w:pPr>
            <w:r w:rsidRPr="00060F9C">
              <w:rPr>
                <w:spacing w:val="-4"/>
              </w:rPr>
              <w:t>Febrero 24 de 2016, 9:36</w:t>
            </w:r>
            <w:r w:rsidR="00AA0519" w:rsidRPr="00060F9C">
              <w:rPr>
                <w:spacing w:val="-4"/>
              </w:rPr>
              <w:t xml:space="preserve"> a.m.</w:t>
            </w:r>
          </w:p>
        </w:tc>
      </w:tr>
      <w:tr w:rsidR="002E4E84" w:rsidRPr="00060F9C" w:rsidTr="00A733A2">
        <w:trPr>
          <w:trHeight w:val="259"/>
        </w:trPr>
        <w:tc>
          <w:tcPr>
            <w:tcW w:w="3860" w:type="dxa"/>
          </w:tcPr>
          <w:p w:rsidR="002E4E84" w:rsidRPr="00060F9C" w:rsidRDefault="002E4E84" w:rsidP="009D2CE6">
            <w:pPr>
              <w:pStyle w:val="Tablaidentificadora"/>
              <w:rPr>
                <w:spacing w:val="-4"/>
              </w:rPr>
            </w:pPr>
            <w:r w:rsidRPr="00060F9C">
              <w:rPr>
                <w:spacing w:val="-4"/>
              </w:rPr>
              <w:t xml:space="preserve">Imputado: </w:t>
            </w:r>
          </w:p>
        </w:tc>
        <w:tc>
          <w:tcPr>
            <w:tcW w:w="4929" w:type="dxa"/>
          </w:tcPr>
          <w:p w:rsidR="002E4E84" w:rsidRPr="00060F9C" w:rsidRDefault="00906EF4" w:rsidP="00852711">
            <w:pPr>
              <w:pStyle w:val="Tablaidentificadora"/>
              <w:rPr>
                <w:spacing w:val="-4"/>
              </w:rPr>
            </w:pPr>
            <w:r w:rsidRPr="00060F9C">
              <w:rPr>
                <w:spacing w:val="-4"/>
              </w:rPr>
              <w:t>E</w:t>
            </w:r>
            <w:r w:rsidR="00852711">
              <w:rPr>
                <w:spacing w:val="-4"/>
              </w:rPr>
              <w:t>ARG</w:t>
            </w:r>
          </w:p>
        </w:tc>
      </w:tr>
      <w:tr w:rsidR="002E4E84" w:rsidRPr="00060F9C" w:rsidTr="00A733A2">
        <w:trPr>
          <w:trHeight w:val="275"/>
        </w:trPr>
        <w:tc>
          <w:tcPr>
            <w:tcW w:w="3860" w:type="dxa"/>
          </w:tcPr>
          <w:p w:rsidR="002E4E84" w:rsidRPr="00060F9C" w:rsidRDefault="002E4E84" w:rsidP="009D2CE6">
            <w:pPr>
              <w:pStyle w:val="Tablaidentificadora"/>
              <w:rPr>
                <w:spacing w:val="-4"/>
              </w:rPr>
            </w:pPr>
            <w:r w:rsidRPr="00060F9C">
              <w:rPr>
                <w:spacing w:val="-4"/>
              </w:rPr>
              <w:t>Cédula de ciudadanía:</w:t>
            </w:r>
          </w:p>
        </w:tc>
        <w:tc>
          <w:tcPr>
            <w:tcW w:w="4929" w:type="dxa"/>
          </w:tcPr>
          <w:p w:rsidR="002E4E84" w:rsidRPr="00060F9C" w:rsidRDefault="00906EF4" w:rsidP="009D2CE6">
            <w:pPr>
              <w:pStyle w:val="Tablaidentificadora"/>
              <w:rPr>
                <w:spacing w:val="-4"/>
              </w:rPr>
            </w:pPr>
            <w:r w:rsidRPr="00060F9C">
              <w:rPr>
                <w:spacing w:val="-4"/>
              </w:rPr>
              <w:t>1´088.537.067 expedida en Apía (Rda.)</w:t>
            </w:r>
          </w:p>
        </w:tc>
      </w:tr>
      <w:tr w:rsidR="002E4E84" w:rsidRPr="00060F9C" w:rsidTr="00A733A2">
        <w:trPr>
          <w:trHeight w:val="259"/>
        </w:trPr>
        <w:tc>
          <w:tcPr>
            <w:tcW w:w="3860" w:type="dxa"/>
          </w:tcPr>
          <w:p w:rsidR="002E4E84" w:rsidRPr="00060F9C" w:rsidRDefault="002E4E84" w:rsidP="009D2CE6">
            <w:pPr>
              <w:pStyle w:val="Tablaidentificadora"/>
              <w:rPr>
                <w:spacing w:val="-4"/>
              </w:rPr>
            </w:pPr>
            <w:r w:rsidRPr="00060F9C">
              <w:rPr>
                <w:spacing w:val="-4"/>
              </w:rPr>
              <w:t>Delito:</w:t>
            </w:r>
          </w:p>
        </w:tc>
        <w:tc>
          <w:tcPr>
            <w:tcW w:w="4929" w:type="dxa"/>
          </w:tcPr>
          <w:p w:rsidR="002E4E84" w:rsidRPr="00060F9C" w:rsidRDefault="000F4F01" w:rsidP="003B7B1C">
            <w:pPr>
              <w:pStyle w:val="Tablaidentificadora"/>
              <w:rPr>
                <w:spacing w:val="-4"/>
              </w:rPr>
            </w:pPr>
            <w:r w:rsidRPr="00060F9C">
              <w:rPr>
                <w:spacing w:val="-4"/>
              </w:rPr>
              <w:t>Tráfico de estupefacientes</w:t>
            </w:r>
          </w:p>
        </w:tc>
      </w:tr>
      <w:tr w:rsidR="002E4E84" w:rsidRPr="00060F9C" w:rsidTr="00A733A2">
        <w:trPr>
          <w:trHeight w:val="259"/>
        </w:trPr>
        <w:tc>
          <w:tcPr>
            <w:tcW w:w="3860" w:type="dxa"/>
          </w:tcPr>
          <w:p w:rsidR="002E4E84" w:rsidRPr="00060F9C" w:rsidRDefault="002E4E84" w:rsidP="009D2CE6">
            <w:pPr>
              <w:pStyle w:val="Tablaidentificadora"/>
              <w:rPr>
                <w:spacing w:val="-4"/>
              </w:rPr>
            </w:pPr>
            <w:r w:rsidRPr="00060F9C">
              <w:rPr>
                <w:spacing w:val="-4"/>
              </w:rPr>
              <w:t>Procedencia:</w:t>
            </w:r>
          </w:p>
        </w:tc>
        <w:tc>
          <w:tcPr>
            <w:tcW w:w="4929" w:type="dxa"/>
          </w:tcPr>
          <w:p w:rsidR="002E4E84" w:rsidRPr="00060F9C" w:rsidRDefault="00076B1B" w:rsidP="00763F4D">
            <w:pPr>
              <w:pStyle w:val="Tablaidentificadora"/>
              <w:rPr>
                <w:spacing w:val="-4"/>
              </w:rPr>
            </w:pPr>
            <w:r w:rsidRPr="00060F9C">
              <w:rPr>
                <w:spacing w:val="-4"/>
              </w:rPr>
              <w:t xml:space="preserve">Juzgado </w:t>
            </w:r>
            <w:r w:rsidR="000F4F01" w:rsidRPr="00060F9C">
              <w:rPr>
                <w:spacing w:val="-4"/>
              </w:rPr>
              <w:t xml:space="preserve">Promiscuo </w:t>
            </w:r>
            <w:r w:rsidR="00972BEC" w:rsidRPr="00060F9C">
              <w:rPr>
                <w:spacing w:val="-4"/>
              </w:rPr>
              <w:t xml:space="preserve">del Circuito de </w:t>
            </w:r>
            <w:r w:rsidR="000F4F01" w:rsidRPr="00060F9C">
              <w:rPr>
                <w:spacing w:val="-4"/>
              </w:rPr>
              <w:t xml:space="preserve">Apía </w:t>
            </w:r>
            <w:r w:rsidR="003B7B1C" w:rsidRPr="00060F9C">
              <w:rPr>
                <w:spacing w:val="-4"/>
              </w:rPr>
              <w:t>(Rda.)</w:t>
            </w:r>
          </w:p>
        </w:tc>
      </w:tr>
      <w:tr w:rsidR="002E4E84" w:rsidRPr="00060F9C" w:rsidTr="00A733A2">
        <w:trPr>
          <w:trHeight w:val="275"/>
        </w:trPr>
        <w:tc>
          <w:tcPr>
            <w:tcW w:w="3860" w:type="dxa"/>
          </w:tcPr>
          <w:p w:rsidR="002E4E84" w:rsidRPr="00060F9C" w:rsidRDefault="002E4E84" w:rsidP="009D2CE6">
            <w:pPr>
              <w:pStyle w:val="Tablaidentificadora"/>
              <w:rPr>
                <w:spacing w:val="-4"/>
              </w:rPr>
            </w:pPr>
            <w:r w:rsidRPr="00060F9C">
              <w:rPr>
                <w:spacing w:val="-4"/>
              </w:rPr>
              <w:t>Asunto:</w:t>
            </w:r>
          </w:p>
        </w:tc>
        <w:tc>
          <w:tcPr>
            <w:tcW w:w="4929" w:type="dxa"/>
          </w:tcPr>
          <w:p w:rsidR="002E4E84" w:rsidRPr="00060F9C" w:rsidRDefault="002E4E84" w:rsidP="003B7B1C">
            <w:pPr>
              <w:pStyle w:val="Tablaidentificadora"/>
              <w:rPr>
                <w:spacing w:val="-4"/>
              </w:rPr>
            </w:pPr>
            <w:r w:rsidRPr="00060F9C">
              <w:rPr>
                <w:spacing w:val="-4"/>
              </w:rPr>
              <w:t>Decide apelación interpuesta por la defensa contra el fa</w:t>
            </w:r>
            <w:r w:rsidR="003B7B1C" w:rsidRPr="00060F9C">
              <w:rPr>
                <w:spacing w:val="-4"/>
              </w:rPr>
              <w:t>llo de condena de noviembre 26 de 2014</w:t>
            </w:r>
            <w:r w:rsidR="004B7D8A" w:rsidRPr="00060F9C">
              <w:rPr>
                <w:spacing w:val="-4"/>
              </w:rPr>
              <w:t xml:space="preserve">. </w:t>
            </w:r>
            <w:r w:rsidR="006C6A9F" w:rsidRPr="00060F9C">
              <w:rPr>
                <w:spacing w:val="-4"/>
              </w:rPr>
              <w:t>SE REVOCA</w:t>
            </w:r>
          </w:p>
        </w:tc>
      </w:tr>
    </w:tbl>
    <w:p w:rsidR="00A93253" w:rsidRPr="00060F9C" w:rsidRDefault="00A93253" w:rsidP="009D2CE6">
      <w:pPr>
        <w:spacing w:line="240" w:lineRule="auto"/>
        <w:rPr>
          <w:spacing w:val="-4"/>
        </w:rPr>
      </w:pPr>
    </w:p>
    <w:p w:rsidR="00C656E3" w:rsidRPr="00060F9C" w:rsidRDefault="00C656E3" w:rsidP="009D2CE6">
      <w:pPr>
        <w:spacing w:line="240" w:lineRule="auto"/>
      </w:pPr>
    </w:p>
    <w:p w:rsidR="00A93253" w:rsidRPr="00060F9C" w:rsidRDefault="00A93253" w:rsidP="00C0178C">
      <w:r w:rsidRPr="00060F9C">
        <w:t>El Tribunal Superior del Distrito Judicial de Pereira, pronuncia la sentencia en los siguientes términos:</w:t>
      </w:r>
    </w:p>
    <w:p w:rsidR="00A93253" w:rsidRPr="00060F9C" w:rsidRDefault="00A93253" w:rsidP="00C0178C">
      <w:pPr>
        <w:pStyle w:val="Textoindependiente2"/>
        <w:rPr>
          <w:rFonts w:ascii="Tahoma" w:hAnsi="Tahoma" w:cs="Tahoma"/>
        </w:rPr>
      </w:pPr>
    </w:p>
    <w:p w:rsidR="00A93253" w:rsidRPr="00060F9C" w:rsidRDefault="00A93253" w:rsidP="00C0178C">
      <w:pPr>
        <w:rPr>
          <w:rStyle w:val="Algerian"/>
          <w:rFonts w:cs="Algerian"/>
          <w:szCs w:val="30"/>
        </w:rPr>
      </w:pPr>
      <w:r w:rsidRPr="00060F9C">
        <w:rPr>
          <w:rStyle w:val="Algerian"/>
          <w:rFonts w:cs="Algerian"/>
          <w:szCs w:val="30"/>
        </w:rPr>
        <w:t>1.- Lo ocurrido</w:t>
      </w:r>
    </w:p>
    <w:p w:rsidR="00A93253" w:rsidRPr="00060F9C" w:rsidRDefault="00A93253" w:rsidP="00C0178C"/>
    <w:p w:rsidR="00A93253" w:rsidRPr="00060F9C" w:rsidRDefault="00A93253" w:rsidP="00C0178C">
      <w:r w:rsidRPr="00060F9C">
        <w:t>Los hechos jurídicamente relevantes y la actuación procesal esencial para la decisión a tomar, son:</w:t>
      </w:r>
    </w:p>
    <w:p w:rsidR="00A93253" w:rsidRPr="00060F9C" w:rsidRDefault="00A93253" w:rsidP="00C0178C"/>
    <w:p w:rsidR="00007692" w:rsidRPr="00060F9C" w:rsidRDefault="00A93253" w:rsidP="00C0178C">
      <w:pPr>
        <w:rPr>
          <w:rStyle w:val="Numeracinttulo"/>
          <w:b w:val="0"/>
          <w:sz w:val="26"/>
          <w:szCs w:val="26"/>
        </w:rPr>
      </w:pPr>
      <w:r w:rsidRPr="00060F9C">
        <w:rPr>
          <w:rStyle w:val="Numeracinttulo"/>
        </w:rPr>
        <w:lastRenderedPageBreak/>
        <w:t>1.1.-</w:t>
      </w:r>
      <w:r w:rsidRPr="00060F9C">
        <w:rPr>
          <w:rStyle w:val="Numeracinttulo"/>
          <w:b w:val="0"/>
          <w:bCs w:val="0"/>
          <w:sz w:val="26"/>
          <w:szCs w:val="26"/>
        </w:rPr>
        <w:t xml:space="preserve"> </w:t>
      </w:r>
      <w:r w:rsidR="00076C2B" w:rsidRPr="00060F9C">
        <w:rPr>
          <w:rStyle w:val="Numeracinttulo"/>
          <w:b w:val="0"/>
          <w:sz w:val="26"/>
          <w:szCs w:val="26"/>
        </w:rPr>
        <w:t xml:space="preserve">Dan cuenta los registros, </w:t>
      </w:r>
      <w:r w:rsidR="0060181A" w:rsidRPr="00060F9C">
        <w:rPr>
          <w:rStyle w:val="Numeracinttulo"/>
          <w:b w:val="0"/>
          <w:sz w:val="26"/>
          <w:szCs w:val="26"/>
        </w:rPr>
        <w:t>que en</w:t>
      </w:r>
      <w:r w:rsidR="003B7B1C" w:rsidRPr="00060F9C">
        <w:rPr>
          <w:rStyle w:val="Numeracinttulo"/>
          <w:b w:val="0"/>
          <w:sz w:val="26"/>
          <w:szCs w:val="26"/>
        </w:rPr>
        <w:t xml:space="preserve"> abril 06 de 2014 a las 21:42 horas, personal adscrito a la Policía Nacional del municipio de Apía (Rda.)</w:t>
      </w:r>
      <w:r w:rsidR="0012361F" w:rsidRPr="00060F9C">
        <w:rPr>
          <w:rStyle w:val="Numeracinttulo"/>
          <w:b w:val="0"/>
          <w:sz w:val="26"/>
          <w:szCs w:val="26"/>
        </w:rPr>
        <w:t xml:space="preserve"> </w:t>
      </w:r>
      <w:r w:rsidR="00076C2B" w:rsidRPr="00060F9C">
        <w:rPr>
          <w:rStyle w:val="Numeracinttulo"/>
          <w:b w:val="0"/>
          <w:sz w:val="26"/>
          <w:szCs w:val="26"/>
        </w:rPr>
        <w:t xml:space="preserve">que realizaba patrullaje por el </w:t>
      </w:r>
      <w:r w:rsidR="0012361F" w:rsidRPr="00060F9C">
        <w:rPr>
          <w:rStyle w:val="Numeracinttulo"/>
          <w:b w:val="0"/>
          <w:sz w:val="26"/>
          <w:szCs w:val="26"/>
        </w:rPr>
        <w:t xml:space="preserve">cuadrante 2 </w:t>
      </w:r>
      <w:r w:rsidR="00076C2B" w:rsidRPr="00060F9C">
        <w:rPr>
          <w:rStyle w:val="Numeracinttulo"/>
          <w:b w:val="0"/>
          <w:sz w:val="26"/>
          <w:szCs w:val="26"/>
        </w:rPr>
        <w:t>b</w:t>
      </w:r>
      <w:r w:rsidR="0012361F" w:rsidRPr="00060F9C">
        <w:rPr>
          <w:rStyle w:val="Numeracinttulo"/>
          <w:b w:val="0"/>
          <w:sz w:val="26"/>
          <w:szCs w:val="26"/>
        </w:rPr>
        <w:t>arrio Jaime Rendón</w:t>
      </w:r>
      <w:r w:rsidR="00076C2B" w:rsidRPr="00060F9C">
        <w:rPr>
          <w:rStyle w:val="Numeracinttulo"/>
          <w:b w:val="0"/>
          <w:sz w:val="26"/>
          <w:szCs w:val="26"/>
        </w:rPr>
        <w:t xml:space="preserve"> Obando</w:t>
      </w:r>
      <w:r w:rsidR="0012361F" w:rsidRPr="00060F9C">
        <w:rPr>
          <w:rStyle w:val="Numeracinttulo"/>
          <w:b w:val="0"/>
          <w:sz w:val="26"/>
          <w:szCs w:val="26"/>
        </w:rPr>
        <w:t>,</w:t>
      </w:r>
      <w:r w:rsidR="002F7B59" w:rsidRPr="00060F9C">
        <w:rPr>
          <w:rStyle w:val="Numeracinttulo"/>
          <w:b w:val="0"/>
          <w:sz w:val="26"/>
          <w:szCs w:val="26"/>
        </w:rPr>
        <w:t xml:space="preserve"> recibió información </w:t>
      </w:r>
      <w:r w:rsidR="00076C2B" w:rsidRPr="00060F9C">
        <w:rPr>
          <w:rStyle w:val="Numeracinttulo"/>
          <w:b w:val="0"/>
          <w:sz w:val="26"/>
          <w:szCs w:val="26"/>
        </w:rPr>
        <w:t xml:space="preserve">mediante llamada telefónica </w:t>
      </w:r>
      <w:r w:rsidR="0012361F" w:rsidRPr="00060F9C">
        <w:rPr>
          <w:rStyle w:val="Numeracinttulo"/>
          <w:b w:val="0"/>
          <w:sz w:val="26"/>
          <w:szCs w:val="26"/>
        </w:rPr>
        <w:t xml:space="preserve">de un ciudadano que no se </w:t>
      </w:r>
      <w:r w:rsidR="00076C2B" w:rsidRPr="00060F9C">
        <w:rPr>
          <w:rStyle w:val="Numeracinttulo"/>
          <w:b w:val="0"/>
          <w:sz w:val="26"/>
          <w:szCs w:val="26"/>
        </w:rPr>
        <w:t xml:space="preserve">identificó, </w:t>
      </w:r>
      <w:r w:rsidR="001E2F02" w:rsidRPr="00060F9C">
        <w:rPr>
          <w:rStyle w:val="Numeracinttulo"/>
          <w:b w:val="0"/>
          <w:sz w:val="26"/>
          <w:szCs w:val="26"/>
        </w:rPr>
        <w:t>que en el sector de la g</w:t>
      </w:r>
      <w:r w:rsidR="0012361F" w:rsidRPr="00060F9C">
        <w:rPr>
          <w:rStyle w:val="Numeracinttulo"/>
          <w:b w:val="0"/>
          <w:sz w:val="26"/>
          <w:szCs w:val="26"/>
        </w:rPr>
        <w:t>alería se encontra</w:t>
      </w:r>
      <w:r w:rsidR="00076C2B" w:rsidRPr="00060F9C">
        <w:rPr>
          <w:rStyle w:val="Numeracinttulo"/>
          <w:b w:val="0"/>
          <w:sz w:val="26"/>
          <w:szCs w:val="26"/>
        </w:rPr>
        <w:t>ba una persona de sexo masculino</w:t>
      </w:r>
      <w:r w:rsidR="00A025A7" w:rsidRPr="00060F9C">
        <w:rPr>
          <w:rStyle w:val="Numeracinttulo"/>
          <w:b w:val="0"/>
          <w:sz w:val="26"/>
          <w:szCs w:val="26"/>
        </w:rPr>
        <w:t xml:space="preserve"> expendiendo estupefacientes</w:t>
      </w:r>
      <w:r w:rsidR="0012361F" w:rsidRPr="00060F9C">
        <w:rPr>
          <w:rStyle w:val="Numeracinttulo"/>
          <w:b w:val="0"/>
          <w:sz w:val="26"/>
          <w:szCs w:val="26"/>
        </w:rPr>
        <w:t>, conocido con el alia</w:t>
      </w:r>
      <w:r w:rsidR="00447CE8" w:rsidRPr="00060F9C">
        <w:rPr>
          <w:rStyle w:val="Numeracinttulo"/>
          <w:b w:val="0"/>
          <w:sz w:val="26"/>
          <w:szCs w:val="26"/>
        </w:rPr>
        <w:t xml:space="preserve">s de “Caballo”, </w:t>
      </w:r>
      <w:r w:rsidR="006C6A9F" w:rsidRPr="00060F9C">
        <w:rPr>
          <w:rStyle w:val="Numeracinttulo"/>
          <w:b w:val="0"/>
          <w:sz w:val="26"/>
          <w:szCs w:val="26"/>
        </w:rPr>
        <w:t xml:space="preserve">del cual se suministraron </w:t>
      </w:r>
      <w:r w:rsidR="00CC12EA" w:rsidRPr="00060F9C">
        <w:rPr>
          <w:rStyle w:val="Numeracinttulo"/>
          <w:b w:val="0"/>
          <w:sz w:val="26"/>
          <w:szCs w:val="26"/>
        </w:rPr>
        <w:t>las ca</w:t>
      </w:r>
      <w:r w:rsidR="00007692" w:rsidRPr="00060F9C">
        <w:rPr>
          <w:rStyle w:val="Numeracinttulo"/>
          <w:b w:val="0"/>
          <w:sz w:val="26"/>
          <w:szCs w:val="26"/>
        </w:rPr>
        <w:t>racterísticas morfológicas y prendas de vestir,</w:t>
      </w:r>
      <w:r w:rsidR="00A025A7" w:rsidRPr="00060F9C">
        <w:rPr>
          <w:rStyle w:val="Numeracinttulo"/>
          <w:b w:val="0"/>
          <w:sz w:val="26"/>
          <w:szCs w:val="26"/>
        </w:rPr>
        <w:t xml:space="preserve"> </w:t>
      </w:r>
      <w:r w:rsidR="0012361F" w:rsidRPr="00060F9C">
        <w:rPr>
          <w:rStyle w:val="Numeracinttulo"/>
          <w:b w:val="0"/>
          <w:sz w:val="26"/>
          <w:szCs w:val="26"/>
        </w:rPr>
        <w:t xml:space="preserve">por lo que de inmediato se dirigieron al lugar y </w:t>
      </w:r>
      <w:r w:rsidR="00447CE8" w:rsidRPr="00060F9C">
        <w:rPr>
          <w:rStyle w:val="Numeracinttulo"/>
          <w:b w:val="0"/>
          <w:sz w:val="26"/>
          <w:szCs w:val="26"/>
        </w:rPr>
        <w:t>visualizaron</w:t>
      </w:r>
      <w:r w:rsidR="0012361F" w:rsidRPr="00060F9C">
        <w:rPr>
          <w:rStyle w:val="Numeracinttulo"/>
          <w:b w:val="0"/>
          <w:sz w:val="26"/>
          <w:szCs w:val="26"/>
        </w:rPr>
        <w:t xml:space="preserve"> al referido sujeto,</w:t>
      </w:r>
      <w:r w:rsidR="00007692" w:rsidRPr="00060F9C">
        <w:rPr>
          <w:rStyle w:val="Numeracinttulo"/>
          <w:b w:val="0"/>
          <w:sz w:val="26"/>
          <w:szCs w:val="26"/>
        </w:rPr>
        <w:t xml:space="preserve"> </w:t>
      </w:r>
      <w:r w:rsidR="002F7B59" w:rsidRPr="00060F9C">
        <w:rPr>
          <w:rStyle w:val="Numeracinttulo"/>
          <w:b w:val="0"/>
          <w:sz w:val="26"/>
          <w:szCs w:val="26"/>
        </w:rPr>
        <w:t xml:space="preserve">quien </w:t>
      </w:r>
      <w:r w:rsidR="00076C2B" w:rsidRPr="00060F9C">
        <w:rPr>
          <w:rStyle w:val="Numeracinttulo"/>
          <w:b w:val="0"/>
          <w:sz w:val="26"/>
          <w:szCs w:val="26"/>
        </w:rPr>
        <w:t>a</w:t>
      </w:r>
      <w:r w:rsidR="00007692" w:rsidRPr="00060F9C">
        <w:rPr>
          <w:rStyle w:val="Numeracinttulo"/>
          <w:b w:val="0"/>
          <w:sz w:val="26"/>
          <w:szCs w:val="26"/>
        </w:rPr>
        <w:t>l notar la presencia de los uniformados emprendi</w:t>
      </w:r>
      <w:r w:rsidR="00076C2B" w:rsidRPr="00060F9C">
        <w:rPr>
          <w:rStyle w:val="Numeracinttulo"/>
          <w:b w:val="0"/>
          <w:sz w:val="26"/>
          <w:szCs w:val="26"/>
        </w:rPr>
        <w:t xml:space="preserve">ó la huida. Durante la persecución </w:t>
      </w:r>
      <w:r w:rsidR="00447CE8" w:rsidRPr="00060F9C">
        <w:rPr>
          <w:rStyle w:val="Numeracinttulo"/>
          <w:b w:val="0"/>
          <w:sz w:val="26"/>
          <w:szCs w:val="26"/>
        </w:rPr>
        <w:t>los gendarmes observaron</w:t>
      </w:r>
      <w:r w:rsidR="00076C2B" w:rsidRPr="00060F9C">
        <w:rPr>
          <w:rStyle w:val="Numeracinttulo"/>
          <w:b w:val="0"/>
          <w:sz w:val="26"/>
          <w:szCs w:val="26"/>
        </w:rPr>
        <w:t xml:space="preserve"> que éste llevaba en su mano una bolsa plástica transparente que arrojó al piso, y una vez verificaron el contenido de la misma determinaron que en su interior se hallaban 3 bolsas más</w:t>
      </w:r>
      <w:r w:rsidR="00B43DC6" w:rsidRPr="00060F9C">
        <w:rPr>
          <w:rStyle w:val="Numeracinttulo"/>
          <w:b w:val="0"/>
          <w:sz w:val="26"/>
          <w:szCs w:val="26"/>
        </w:rPr>
        <w:t xml:space="preserve"> del mismo material</w:t>
      </w:r>
      <w:r w:rsidR="00166405" w:rsidRPr="00060F9C">
        <w:rPr>
          <w:rStyle w:val="Numeracinttulo"/>
          <w:b w:val="0"/>
          <w:sz w:val="26"/>
          <w:szCs w:val="26"/>
        </w:rPr>
        <w:t xml:space="preserve"> con </w:t>
      </w:r>
      <w:r w:rsidR="00CC12EA" w:rsidRPr="00060F9C">
        <w:rPr>
          <w:rStyle w:val="Numeracinttulo"/>
          <w:b w:val="0"/>
          <w:sz w:val="26"/>
          <w:szCs w:val="26"/>
        </w:rPr>
        <w:t>sustancia pulverulenta</w:t>
      </w:r>
      <w:r w:rsidR="003E1572" w:rsidRPr="00060F9C">
        <w:rPr>
          <w:rStyle w:val="Numeracinttulo"/>
          <w:b w:val="0"/>
          <w:sz w:val="26"/>
          <w:szCs w:val="26"/>
        </w:rPr>
        <w:t xml:space="preserve"> con características similares</w:t>
      </w:r>
      <w:r w:rsidR="00AC5A1B" w:rsidRPr="00060F9C">
        <w:rPr>
          <w:rStyle w:val="Numeracinttulo"/>
          <w:b w:val="0"/>
          <w:sz w:val="26"/>
          <w:szCs w:val="26"/>
        </w:rPr>
        <w:t xml:space="preserve"> a </w:t>
      </w:r>
      <w:r w:rsidR="00C35F16" w:rsidRPr="00060F9C">
        <w:rPr>
          <w:rStyle w:val="Numeracinttulo"/>
          <w:b w:val="0"/>
          <w:sz w:val="26"/>
          <w:szCs w:val="26"/>
        </w:rPr>
        <w:t>bas</w:t>
      </w:r>
      <w:r w:rsidR="00B01413" w:rsidRPr="00060F9C">
        <w:rPr>
          <w:rStyle w:val="Numeracinttulo"/>
          <w:b w:val="0"/>
          <w:sz w:val="26"/>
          <w:szCs w:val="26"/>
        </w:rPr>
        <w:t>uco</w:t>
      </w:r>
      <w:r w:rsidR="00B43DC6" w:rsidRPr="00060F9C">
        <w:rPr>
          <w:rStyle w:val="Numeracinttulo"/>
          <w:b w:val="0"/>
          <w:sz w:val="26"/>
          <w:szCs w:val="26"/>
        </w:rPr>
        <w:t>, lo que dio lugar a su</w:t>
      </w:r>
      <w:r w:rsidR="00076C2B" w:rsidRPr="00060F9C">
        <w:rPr>
          <w:rStyle w:val="Numeracinttulo"/>
          <w:b w:val="0"/>
          <w:sz w:val="26"/>
          <w:szCs w:val="26"/>
        </w:rPr>
        <w:t xml:space="preserve"> captura en la calle Jamaraya frente a la nomenclatura No 9-16.</w:t>
      </w:r>
    </w:p>
    <w:p w:rsidR="00B43DC6" w:rsidRPr="00060F9C" w:rsidRDefault="00B43DC6" w:rsidP="00C0178C">
      <w:pPr>
        <w:rPr>
          <w:rStyle w:val="Numeracinttulo"/>
          <w:b w:val="0"/>
          <w:sz w:val="26"/>
          <w:szCs w:val="26"/>
        </w:rPr>
      </w:pPr>
    </w:p>
    <w:p w:rsidR="000F4F01" w:rsidRPr="00060F9C" w:rsidRDefault="0060181A" w:rsidP="00C0178C">
      <w:pPr>
        <w:rPr>
          <w:rStyle w:val="Numeracinttulo"/>
          <w:b w:val="0"/>
          <w:sz w:val="26"/>
          <w:szCs w:val="26"/>
        </w:rPr>
      </w:pPr>
      <w:r w:rsidRPr="00060F9C">
        <w:rPr>
          <w:rStyle w:val="Numeracinttulo"/>
          <w:b w:val="0"/>
          <w:sz w:val="26"/>
          <w:szCs w:val="26"/>
        </w:rPr>
        <w:t xml:space="preserve">Al ser sometida la sustancia a la </w:t>
      </w:r>
      <w:r w:rsidR="000F4F01" w:rsidRPr="00060F9C">
        <w:rPr>
          <w:rStyle w:val="Numeracinttulo"/>
          <w:b w:val="0"/>
          <w:sz w:val="26"/>
          <w:szCs w:val="26"/>
        </w:rPr>
        <w:t>correspondiente diligencia de identificación y pesaje preliminar P</w:t>
      </w:r>
      <w:r w:rsidR="003A09FA" w:rsidRPr="00060F9C">
        <w:rPr>
          <w:rStyle w:val="Numeracinttulo"/>
          <w:b w:val="0"/>
          <w:sz w:val="26"/>
          <w:szCs w:val="26"/>
        </w:rPr>
        <w:t>.</w:t>
      </w:r>
      <w:r w:rsidR="000F4F01" w:rsidRPr="00060F9C">
        <w:rPr>
          <w:rStyle w:val="Numeracinttulo"/>
          <w:b w:val="0"/>
          <w:sz w:val="26"/>
          <w:szCs w:val="26"/>
        </w:rPr>
        <w:t>I</w:t>
      </w:r>
      <w:r w:rsidR="003A09FA" w:rsidRPr="00060F9C">
        <w:rPr>
          <w:rStyle w:val="Numeracinttulo"/>
          <w:b w:val="0"/>
          <w:sz w:val="26"/>
          <w:szCs w:val="26"/>
        </w:rPr>
        <w:t>.</w:t>
      </w:r>
      <w:r w:rsidR="000F4F01" w:rsidRPr="00060F9C">
        <w:rPr>
          <w:rStyle w:val="Numeracinttulo"/>
          <w:b w:val="0"/>
          <w:sz w:val="26"/>
          <w:szCs w:val="26"/>
        </w:rPr>
        <w:t>P</w:t>
      </w:r>
      <w:r w:rsidR="003A09FA" w:rsidRPr="00060F9C">
        <w:rPr>
          <w:rStyle w:val="Numeracinttulo"/>
          <w:b w:val="0"/>
          <w:sz w:val="26"/>
          <w:szCs w:val="26"/>
        </w:rPr>
        <w:t>.</w:t>
      </w:r>
      <w:r w:rsidR="000F4F01" w:rsidRPr="00060F9C">
        <w:rPr>
          <w:rStyle w:val="Numeracinttulo"/>
          <w:b w:val="0"/>
          <w:sz w:val="26"/>
          <w:szCs w:val="26"/>
        </w:rPr>
        <w:t>H</w:t>
      </w:r>
      <w:r w:rsidR="003A09FA" w:rsidRPr="00060F9C">
        <w:rPr>
          <w:rStyle w:val="Numeracinttulo"/>
          <w:b w:val="0"/>
          <w:sz w:val="26"/>
          <w:szCs w:val="26"/>
        </w:rPr>
        <w:t>.</w:t>
      </w:r>
      <w:r w:rsidR="000F4F01" w:rsidRPr="00060F9C">
        <w:rPr>
          <w:rStyle w:val="Numeracinttulo"/>
          <w:b w:val="0"/>
          <w:sz w:val="26"/>
          <w:szCs w:val="26"/>
        </w:rPr>
        <w:t xml:space="preserve">, arrojó resultado positivo para </w:t>
      </w:r>
      <w:r w:rsidR="003B7B1C" w:rsidRPr="00060F9C">
        <w:rPr>
          <w:rStyle w:val="Numeracinttulo"/>
          <w:b w:val="0"/>
          <w:sz w:val="26"/>
          <w:szCs w:val="26"/>
        </w:rPr>
        <w:t xml:space="preserve">cocaína y </w:t>
      </w:r>
      <w:r w:rsidR="000F4F01" w:rsidRPr="00060F9C">
        <w:rPr>
          <w:rStyle w:val="Numeracinttulo"/>
          <w:b w:val="0"/>
          <w:sz w:val="26"/>
          <w:szCs w:val="26"/>
        </w:rPr>
        <w:t xml:space="preserve">sus derivados, con un peso </w:t>
      </w:r>
      <w:r w:rsidR="003B7B1C" w:rsidRPr="00060F9C">
        <w:rPr>
          <w:rStyle w:val="Numeracinttulo"/>
          <w:b w:val="0"/>
          <w:sz w:val="26"/>
          <w:szCs w:val="26"/>
        </w:rPr>
        <w:t>neto de 4.0</w:t>
      </w:r>
      <w:r w:rsidR="000F4F01" w:rsidRPr="00060F9C">
        <w:rPr>
          <w:rStyle w:val="Numeracinttulo"/>
          <w:b w:val="0"/>
          <w:sz w:val="26"/>
          <w:szCs w:val="26"/>
        </w:rPr>
        <w:t xml:space="preserve"> gramos. </w:t>
      </w:r>
    </w:p>
    <w:p w:rsidR="000E4C96" w:rsidRPr="00060F9C" w:rsidRDefault="000E4C96" w:rsidP="00C0178C">
      <w:pPr>
        <w:rPr>
          <w:rStyle w:val="Numeracinttulo"/>
          <w:b w:val="0"/>
          <w:sz w:val="26"/>
          <w:szCs w:val="26"/>
        </w:rPr>
      </w:pPr>
    </w:p>
    <w:p w:rsidR="000F4F01" w:rsidRPr="00060F9C" w:rsidRDefault="000F4F01" w:rsidP="00C0178C">
      <w:pPr>
        <w:rPr>
          <w:rStyle w:val="Numeracinttulo"/>
          <w:b w:val="0"/>
          <w:sz w:val="26"/>
          <w:szCs w:val="26"/>
        </w:rPr>
      </w:pPr>
      <w:r w:rsidRPr="00060F9C">
        <w:rPr>
          <w:rStyle w:val="Numeracinttulo"/>
        </w:rPr>
        <w:t>1.2.</w:t>
      </w:r>
      <w:r w:rsidRPr="00060F9C">
        <w:rPr>
          <w:rStyle w:val="Numeracinttulo"/>
          <w:b w:val="0"/>
          <w:sz w:val="26"/>
          <w:szCs w:val="26"/>
        </w:rPr>
        <w:t>- A consecuencia de ese hallazgo y a instancia de la Fiscalía, se llevaron a cabo ante el Juzgado Promiscuo Municipal con funciones de contro</w:t>
      </w:r>
      <w:r w:rsidR="00E42D70" w:rsidRPr="00060F9C">
        <w:rPr>
          <w:rStyle w:val="Numeracinttulo"/>
          <w:b w:val="0"/>
          <w:sz w:val="26"/>
          <w:szCs w:val="26"/>
        </w:rPr>
        <w:t>l de garantías de Apía (Rda.) (abril 07</w:t>
      </w:r>
      <w:r w:rsidR="00565C09" w:rsidRPr="00060F9C">
        <w:rPr>
          <w:rStyle w:val="Numeracinttulo"/>
          <w:b w:val="0"/>
          <w:sz w:val="26"/>
          <w:szCs w:val="26"/>
        </w:rPr>
        <w:t xml:space="preserve"> de 2014</w:t>
      </w:r>
      <w:r w:rsidRPr="00060F9C">
        <w:rPr>
          <w:rStyle w:val="Numeracinttulo"/>
          <w:b w:val="0"/>
          <w:sz w:val="26"/>
          <w:szCs w:val="26"/>
        </w:rPr>
        <w:t xml:space="preserve">) las audiencias preliminares </w:t>
      </w:r>
      <w:r w:rsidR="00565C09" w:rsidRPr="00060F9C">
        <w:rPr>
          <w:rStyle w:val="Numeracinttulo"/>
          <w:b w:val="0"/>
          <w:sz w:val="26"/>
          <w:szCs w:val="26"/>
        </w:rPr>
        <w:t>por medio de las cuales</w:t>
      </w:r>
      <w:r w:rsidRPr="00060F9C">
        <w:rPr>
          <w:rStyle w:val="Numeracinttulo"/>
          <w:b w:val="0"/>
          <w:sz w:val="26"/>
          <w:szCs w:val="26"/>
        </w:rPr>
        <w:t xml:space="preserve">: (i) se legalizó la aprehensión; (ii) se imputó autoría en el delito de tráfico, fabricación o porte de estupefacientes, tipificado en </w:t>
      </w:r>
      <w:r w:rsidR="00B62602" w:rsidRPr="00060F9C">
        <w:rPr>
          <w:rStyle w:val="Numeracinttulo"/>
          <w:b w:val="0"/>
          <w:sz w:val="26"/>
          <w:szCs w:val="26"/>
        </w:rPr>
        <w:t xml:space="preserve">el </w:t>
      </w:r>
      <w:r w:rsidR="00565C09" w:rsidRPr="00060F9C">
        <w:rPr>
          <w:rStyle w:val="Numeracinttulo"/>
          <w:b w:val="0"/>
          <w:sz w:val="26"/>
          <w:szCs w:val="26"/>
        </w:rPr>
        <w:t xml:space="preserve">inciso 2º </w:t>
      </w:r>
      <w:r w:rsidRPr="00060F9C">
        <w:rPr>
          <w:rStyle w:val="Numeracinttulo"/>
          <w:b w:val="0"/>
          <w:sz w:val="26"/>
          <w:szCs w:val="26"/>
        </w:rPr>
        <w:t xml:space="preserve">el artículo 376 del Código Penal, </w:t>
      </w:r>
      <w:r w:rsidR="00870DDC" w:rsidRPr="00060F9C">
        <w:rPr>
          <w:rStyle w:val="Numeracinttulo"/>
          <w:b w:val="0"/>
          <w:sz w:val="26"/>
          <w:szCs w:val="26"/>
        </w:rPr>
        <w:t>verbo rector “llevar consigo”</w:t>
      </w:r>
      <w:r w:rsidRPr="00060F9C">
        <w:rPr>
          <w:rStyle w:val="Numeracinttulo"/>
          <w:b w:val="0"/>
          <w:sz w:val="26"/>
          <w:szCs w:val="26"/>
        </w:rPr>
        <w:t xml:space="preserve">, cargo </w:t>
      </w:r>
      <w:r w:rsidR="0025549D" w:rsidRPr="00060F9C">
        <w:rPr>
          <w:rStyle w:val="Numeracinttulo"/>
          <w:b w:val="0"/>
          <w:sz w:val="26"/>
          <w:szCs w:val="26"/>
        </w:rPr>
        <w:t>frente al cual el indiciado GUARDÓ SILENCIO</w:t>
      </w:r>
      <w:r w:rsidRPr="00060F9C">
        <w:rPr>
          <w:rStyle w:val="Numeracinttulo"/>
          <w:b w:val="0"/>
          <w:sz w:val="26"/>
          <w:szCs w:val="26"/>
        </w:rPr>
        <w:t>; y (iii) se</w:t>
      </w:r>
      <w:r w:rsidR="00870DDC" w:rsidRPr="00060F9C">
        <w:rPr>
          <w:rStyle w:val="Numeracinttulo"/>
          <w:b w:val="0"/>
          <w:sz w:val="26"/>
          <w:szCs w:val="26"/>
        </w:rPr>
        <w:t xml:space="preserve"> ordenó la libertad del procesado, toda vez que se retiró la solicitud de medida de aseguramiento</w:t>
      </w:r>
      <w:r w:rsidRPr="00060F9C">
        <w:rPr>
          <w:rStyle w:val="Numeracinttulo"/>
          <w:b w:val="0"/>
          <w:sz w:val="26"/>
          <w:szCs w:val="26"/>
        </w:rPr>
        <w:t>.</w:t>
      </w:r>
    </w:p>
    <w:p w:rsidR="000F4F01" w:rsidRPr="00060F9C" w:rsidRDefault="000F4F01" w:rsidP="00C0178C">
      <w:pPr>
        <w:rPr>
          <w:rStyle w:val="Numeracinttulo"/>
          <w:b w:val="0"/>
          <w:sz w:val="26"/>
          <w:szCs w:val="26"/>
        </w:rPr>
      </w:pPr>
    </w:p>
    <w:p w:rsidR="006128F3" w:rsidRPr="00060F9C" w:rsidRDefault="000F4F01" w:rsidP="00C0178C">
      <w:pPr>
        <w:rPr>
          <w:bCs/>
        </w:rPr>
      </w:pPr>
      <w:r w:rsidRPr="00060F9C">
        <w:rPr>
          <w:rStyle w:val="Numeracinttulo"/>
        </w:rPr>
        <w:t>1.3</w:t>
      </w:r>
      <w:r w:rsidRPr="00060F9C">
        <w:rPr>
          <w:rStyle w:val="Numeracinttulo"/>
          <w:b w:val="0"/>
          <w:sz w:val="26"/>
          <w:szCs w:val="26"/>
        </w:rPr>
        <w:t>.- Ante esa no aceptación unilateral a los cargos formulados, la Fiscalía presentó formal escrito de acusación (</w:t>
      </w:r>
      <w:r w:rsidR="0060181A" w:rsidRPr="00060F9C">
        <w:rPr>
          <w:rStyle w:val="Numeracinttulo"/>
          <w:b w:val="0"/>
          <w:sz w:val="26"/>
          <w:szCs w:val="26"/>
        </w:rPr>
        <w:t xml:space="preserve">julio </w:t>
      </w:r>
      <w:r w:rsidR="0025549D" w:rsidRPr="00060F9C">
        <w:rPr>
          <w:rStyle w:val="Numeracinttulo"/>
          <w:b w:val="0"/>
          <w:sz w:val="26"/>
          <w:szCs w:val="26"/>
        </w:rPr>
        <w:t>03 de 2014)</w:t>
      </w:r>
      <w:r w:rsidRPr="00060F9C">
        <w:rPr>
          <w:rStyle w:val="Numeracinttulo"/>
          <w:b w:val="0"/>
          <w:sz w:val="26"/>
          <w:szCs w:val="26"/>
        </w:rPr>
        <w:t>) por medio del cual</w:t>
      </w:r>
      <w:r w:rsidR="0060181A" w:rsidRPr="00060F9C">
        <w:rPr>
          <w:rStyle w:val="Numeracinttulo"/>
          <w:b w:val="0"/>
          <w:sz w:val="26"/>
          <w:szCs w:val="26"/>
        </w:rPr>
        <w:t xml:space="preserve"> se </w:t>
      </w:r>
      <w:r w:rsidRPr="00060F9C">
        <w:rPr>
          <w:rStyle w:val="Numeracinttulo"/>
          <w:b w:val="0"/>
          <w:sz w:val="26"/>
          <w:szCs w:val="26"/>
        </w:rPr>
        <w:t>atribuyó el mismo cargo</w:t>
      </w:r>
      <w:r w:rsidR="0001511B" w:rsidRPr="00060F9C">
        <w:rPr>
          <w:rStyle w:val="Numeracinttulo"/>
          <w:b w:val="0"/>
          <w:sz w:val="26"/>
          <w:szCs w:val="26"/>
        </w:rPr>
        <w:t>, cuyo conocimiento fue asignado</w:t>
      </w:r>
      <w:r w:rsidRPr="00060F9C">
        <w:rPr>
          <w:rStyle w:val="Numeracinttulo"/>
          <w:b w:val="0"/>
          <w:sz w:val="26"/>
          <w:szCs w:val="26"/>
        </w:rPr>
        <w:t xml:space="preserve"> al Juzgado </w:t>
      </w:r>
      <w:r w:rsidRPr="00060F9C">
        <w:rPr>
          <w:rStyle w:val="Numeracinttulo"/>
          <w:b w:val="0"/>
          <w:sz w:val="26"/>
          <w:szCs w:val="26"/>
        </w:rPr>
        <w:lastRenderedPageBreak/>
        <w:t>Promis</w:t>
      </w:r>
      <w:r w:rsidR="0001511B" w:rsidRPr="00060F9C">
        <w:rPr>
          <w:rStyle w:val="Numeracinttulo"/>
          <w:b w:val="0"/>
          <w:sz w:val="26"/>
          <w:szCs w:val="26"/>
        </w:rPr>
        <w:t>cuo del Circuito de Apía (Rda.), autoridad que convocó para la correspondientes a</w:t>
      </w:r>
      <w:r w:rsidRPr="00060F9C">
        <w:rPr>
          <w:rStyle w:val="Numeracinttulo"/>
          <w:b w:val="0"/>
          <w:sz w:val="26"/>
          <w:szCs w:val="26"/>
        </w:rPr>
        <w:t>udiencias de formulación de acusación (</w:t>
      </w:r>
      <w:r w:rsidR="0001511B" w:rsidRPr="00060F9C">
        <w:rPr>
          <w:rStyle w:val="Numeracinttulo"/>
          <w:b w:val="0"/>
          <w:sz w:val="26"/>
          <w:szCs w:val="26"/>
        </w:rPr>
        <w:t>julio 28 de 2014),</w:t>
      </w:r>
      <w:r w:rsidRPr="00060F9C">
        <w:rPr>
          <w:rStyle w:val="Numeracinttulo"/>
          <w:b w:val="0"/>
          <w:sz w:val="26"/>
          <w:szCs w:val="26"/>
        </w:rPr>
        <w:t xml:space="preserve"> preparatoria (</w:t>
      </w:r>
      <w:r w:rsidR="0001511B" w:rsidRPr="00060F9C">
        <w:rPr>
          <w:rStyle w:val="Numeracinttulo"/>
          <w:b w:val="0"/>
          <w:sz w:val="26"/>
          <w:szCs w:val="26"/>
        </w:rPr>
        <w:t>septiembre 03 de 2014</w:t>
      </w:r>
      <w:r w:rsidRPr="00060F9C">
        <w:rPr>
          <w:rStyle w:val="Numeracinttulo"/>
          <w:b w:val="0"/>
          <w:sz w:val="26"/>
          <w:szCs w:val="26"/>
        </w:rPr>
        <w:t>),</w:t>
      </w:r>
      <w:r w:rsidR="0001511B" w:rsidRPr="00060F9C">
        <w:rPr>
          <w:rStyle w:val="Numeracinttulo"/>
          <w:b w:val="0"/>
          <w:sz w:val="26"/>
          <w:szCs w:val="26"/>
        </w:rPr>
        <w:t xml:space="preserve"> y juicio oral</w:t>
      </w:r>
      <w:r w:rsidR="000E4C96" w:rsidRPr="00060F9C">
        <w:rPr>
          <w:bCs/>
        </w:rPr>
        <w:t xml:space="preserve"> </w:t>
      </w:r>
      <w:r w:rsidR="006128F3" w:rsidRPr="00060F9C">
        <w:rPr>
          <w:bCs/>
        </w:rPr>
        <w:t>(</w:t>
      </w:r>
      <w:r w:rsidR="0001511B" w:rsidRPr="00060F9C">
        <w:rPr>
          <w:bCs/>
        </w:rPr>
        <w:t>octubre 28 de 2014</w:t>
      </w:r>
      <w:r w:rsidR="006128F3" w:rsidRPr="00060F9C">
        <w:rPr>
          <w:bCs/>
        </w:rPr>
        <w:t xml:space="preserve">), </w:t>
      </w:r>
      <w:r w:rsidR="0001511B" w:rsidRPr="00060F9C">
        <w:rPr>
          <w:bCs/>
        </w:rPr>
        <w:t>al cabo del cual se anunció una decisión de carácter condenatoria, de la que se dio lectura</w:t>
      </w:r>
      <w:r w:rsidR="006128F3" w:rsidRPr="00060F9C">
        <w:rPr>
          <w:bCs/>
        </w:rPr>
        <w:t xml:space="preserve"> (</w:t>
      </w:r>
      <w:r w:rsidR="0001511B" w:rsidRPr="00060F9C">
        <w:rPr>
          <w:bCs/>
        </w:rPr>
        <w:t>noviembre 26 de 2014</w:t>
      </w:r>
      <w:r w:rsidR="00057176" w:rsidRPr="00060F9C">
        <w:rPr>
          <w:bCs/>
        </w:rPr>
        <w:t>)</w:t>
      </w:r>
      <w:r w:rsidR="0001511B" w:rsidRPr="00060F9C">
        <w:rPr>
          <w:bCs/>
        </w:rPr>
        <w:t>, con el siguiente resultado</w:t>
      </w:r>
      <w:r w:rsidR="006128F3" w:rsidRPr="00060F9C">
        <w:rPr>
          <w:bCs/>
        </w:rPr>
        <w:t xml:space="preserve">: (i) se condenó al acusado en congruencia con los cargos imputados; (ii) se le impuso sanción privativa de la libertad de </w:t>
      </w:r>
      <w:r w:rsidR="009951B7" w:rsidRPr="00060F9C">
        <w:rPr>
          <w:bCs/>
        </w:rPr>
        <w:t>64</w:t>
      </w:r>
      <w:r w:rsidR="006128F3" w:rsidRPr="00060F9C">
        <w:rPr>
          <w:bCs/>
        </w:rPr>
        <w:t xml:space="preserve"> meses,</w:t>
      </w:r>
      <w:r w:rsidR="00241268" w:rsidRPr="00060F9C">
        <w:rPr>
          <w:bCs/>
        </w:rPr>
        <w:t xml:space="preserve"> multa de </w:t>
      </w:r>
      <w:r w:rsidR="009951B7" w:rsidRPr="00060F9C">
        <w:rPr>
          <w:bCs/>
        </w:rPr>
        <w:t>1´232.000,</w:t>
      </w:r>
      <w:r w:rsidR="006128F3" w:rsidRPr="00060F9C">
        <w:rPr>
          <w:bCs/>
        </w:rPr>
        <w:t xml:space="preserve"> </w:t>
      </w:r>
      <w:r w:rsidR="00241268" w:rsidRPr="00060F9C">
        <w:rPr>
          <w:bCs/>
        </w:rPr>
        <w:t>e inhabilitación para el</w:t>
      </w:r>
      <w:r w:rsidR="006128F3" w:rsidRPr="00060F9C">
        <w:rPr>
          <w:bCs/>
        </w:rPr>
        <w:t xml:space="preserve"> ejercicio de derechos y funciones públicas por el mismo lapso</w:t>
      </w:r>
      <w:r w:rsidR="00DC1EC7" w:rsidRPr="00060F9C">
        <w:rPr>
          <w:bCs/>
        </w:rPr>
        <w:t xml:space="preserve"> de la pena</w:t>
      </w:r>
      <w:r w:rsidR="00241268" w:rsidRPr="00060F9C">
        <w:rPr>
          <w:bCs/>
        </w:rPr>
        <w:t xml:space="preserve"> principal</w:t>
      </w:r>
      <w:r w:rsidR="00DC1EC7" w:rsidRPr="00060F9C">
        <w:rPr>
          <w:bCs/>
        </w:rPr>
        <w:t xml:space="preserve"> de prisión</w:t>
      </w:r>
      <w:r w:rsidR="006128F3" w:rsidRPr="00060F9C">
        <w:rPr>
          <w:bCs/>
        </w:rPr>
        <w:t>; y (iii) se le negó el subrogado de la suspensión condici</w:t>
      </w:r>
      <w:r w:rsidR="00241268" w:rsidRPr="00060F9C">
        <w:rPr>
          <w:bCs/>
        </w:rPr>
        <w:t xml:space="preserve">onal de la ejecución de la pena </w:t>
      </w:r>
      <w:r w:rsidR="009951B7" w:rsidRPr="00060F9C">
        <w:rPr>
          <w:bCs/>
        </w:rPr>
        <w:t xml:space="preserve">y la prisión domiciliaria </w:t>
      </w:r>
      <w:r w:rsidR="00241268" w:rsidRPr="00060F9C">
        <w:rPr>
          <w:bCs/>
        </w:rPr>
        <w:t>por expresa prohibición legal.</w:t>
      </w:r>
    </w:p>
    <w:p w:rsidR="006128F3" w:rsidRPr="00060F9C" w:rsidRDefault="006128F3" w:rsidP="00C0178C"/>
    <w:p w:rsidR="00ED1316" w:rsidRPr="00060F9C" w:rsidRDefault="00A93253" w:rsidP="00C0178C">
      <w:pPr>
        <w:rPr>
          <w:rStyle w:val="Numeracinttulo"/>
          <w:b w:val="0"/>
          <w:bCs w:val="0"/>
          <w:sz w:val="26"/>
          <w:szCs w:val="26"/>
        </w:rPr>
      </w:pPr>
      <w:r w:rsidRPr="00060F9C">
        <w:rPr>
          <w:rStyle w:val="Numeracinttulo"/>
        </w:rPr>
        <w:t>1.</w:t>
      </w:r>
      <w:r w:rsidR="00B62602" w:rsidRPr="00060F9C">
        <w:rPr>
          <w:rStyle w:val="Numeracinttulo"/>
        </w:rPr>
        <w:t>4</w:t>
      </w:r>
      <w:r w:rsidRPr="00060F9C">
        <w:rPr>
          <w:rStyle w:val="Numeracinttulo"/>
        </w:rPr>
        <w:t>.-</w:t>
      </w:r>
      <w:r w:rsidR="00A959A2" w:rsidRPr="00060F9C">
        <w:rPr>
          <w:rStyle w:val="Numeracinttulo"/>
          <w:b w:val="0"/>
          <w:bCs w:val="0"/>
          <w:sz w:val="26"/>
          <w:szCs w:val="26"/>
        </w:rPr>
        <w:t xml:space="preserve"> </w:t>
      </w:r>
      <w:r w:rsidR="00896815" w:rsidRPr="00060F9C">
        <w:rPr>
          <w:rStyle w:val="Numeracinttulo"/>
          <w:b w:val="0"/>
          <w:bCs w:val="0"/>
          <w:sz w:val="26"/>
          <w:szCs w:val="26"/>
        </w:rPr>
        <w:t>La defensa</w:t>
      </w:r>
      <w:r w:rsidRPr="00060F9C">
        <w:rPr>
          <w:rStyle w:val="Numeracinttulo"/>
          <w:b w:val="0"/>
          <w:bCs w:val="0"/>
          <w:sz w:val="26"/>
          <w:szCs w:val="26"/>
        </w:rPr>
        <w:t xml:space="preserve"> no estuvo de acuerdo con esa determinación y la impugnó,</w:t>
      </w:r>
      <w:r w:rsidR="00ED1316" w:rsidRPr="00060F9C">
        <w:rPr>
          <w:rStyle w:val="Numeracinttulo"/>
          <w:b w:val="0"/>
          <w:bCs w:val="0"/>
          <w:sz w:val="26"/>
          <w:szCs w:val="26"/>
        </w:rPr>
        <w:t xml:space="preserve"> a consecuencia de lo cual pasó a sustentar la alzada </w:t>
      </w:r>
      <w:r w:rsidR="003E1572" w:rsidRPr="00060F9C">
        <w:rPr>
          <w:rStyle w:val="Numeracinttulo"/>
          <w:b w:val="0"/>
          <w:bCs w:val="0"/>
          <w:sz w:val="26"/>
          <w:szCs w:val="26"/>
        </w:rPr>
        <w:t>en forma oral</w:t>
      </w:r>
      <w:r w:rsidR="00B62602" w:rsidRPr="00060F9C">
        <w:rPr>
          <w:rStyle w:val="Numeracinttulo"/>
          <w:b w:val="0"/>
          <w:bCs w:val="0"/>
          <w:sz w:val="26"/>
          <w:szCs w:val="26"/>
        </w:rPr>
        <w:t>, y los registros fueron remitidos a esta Colegiatura para definir lo pertinente.</w:t>
      </w:r>
    </w:p>
    <w:p w:rsidR="002A5C6F" w:rsidRPr="00060F9C" w:rsidRDefault="002A5C6F" w:rsidP="00C0178C">
      <w:pPr>
        <w:rPr>
          <w:rStyle w:val="Numeracinttulo"/>
          <w:b w:val="0"/>
          <w:bCs w:val="0"/>
          <w:sz w:val="26"/>
          <w:szCs w:val="26"/>
        </w:rPr>
      </w:pPr>
    </w:p>
    <w:p w:rsidR="002A5C6F" w:rsidRPr="00060F9C" w:rsidRDefault="002A5C6F" w:rsidP="00C0178C">
      <w:pPr>
        <w:rPr>
          <w:rStyle w:val="Algerian"/>
          <w:szCs w:val="30"/>
        </w:rPr>
      </w:pPr>
      <w:r w:rsidRPr="00060F9C">
        <w:rPr>
          <w:rStyle w:val="Algerian"/>
          <w:szCs w:val="30"/>
        </w:rPr>
        <w:t>2.- Debate</w:t>
      </w:r>
    </w:p>
    <w:p w:rsidR="002A5C6F" w:rsidRPr="00060F9C" w:rsidRDefault="002A5C6F" w:rsidP="00C0178C"/>
    <w:p w:rsidR="002A5C6F" w:rsidRPr="00060F9C" w:rsidRDefault="002A5C6F" w:rsidP="00C0178C">
      <w:pPr>
        <w:rPr>
          <w:rFonts w:ascii="Algerian" w:hAnsi="Algerian"/>
          <w:sz w:val="20"/>
          <w:szCs w:val="20"/>
        </w:rPr>
      </w:pPr>
      <w:r w:rsidRPr="00060F9C">
        <w:rPr>
          <w:b/>
          <w:sz w:val="24"/>
          <w:szCs w:val="24"/>
        </w:rPr>
        <w:t>2.1-</w:t>
      </w:r>
      <w:r w:rsidRPr="00060F9C">
        <w:rPr>
          <w:b/>
        </w:rPr>
        <w:t xml:space="preserve"> </w:t>
      </w:r>
      <w:r w:rsidRPr="00060F9C">
        <w:t xml:space="preserve">Defensa </w:t>
      </w:r>
      <w:r w:rsidRPr="00060F9C">
        <w:rPr>
          <w:rFonts w:ascii="Verdana" w:hAnsi="Verdana"/>
          <w:sz w:val="20"/>
          <w:szCs w:val="20"/>
        </w:rPr>
        <w:t>-recurrente-</w:t>
      </w:r>
    </w:p>
    <w:p w:rsidR="00ED1316" w:rsidRPr="00060F9C" w:rsidRDefault="00ED1316" w:rsidP="00C0178C">
      <w:pPr>
        <w:rPr>
          <w:rStyle w:val="Numeracinttulo"/>
          <w:b w:val="0"/>
          <w:bCs w:val="0"/>
          <w:sz w:val="26"/>
          <w:szCs w:val="26"/>
        </w:rPr>
      </w:pPr>
    </w:p>
    <w:p w:rsidR="00C57F9E" w:rsidRPr="00060F9C" w:rsidRDefault="003B4658" w:rsidP="00C57F9E">
      <w:pPr>
        <w:rPr>
          <w:rStyle w:val="Numeracinttulo"/>
          <w:b w:val="0"/>
          <w:bCs w:val="0"/>
          <w:sz w:val="26"/>
          <w:szCs w:val="26"/>
        </w:rPr>
      </w:pPr>
      <w:r w:rsidRPr="00060F9C">
        <w:rPr>
          <w:rStyle w:val="Numeracinttulo"/>
          <w:b w:val="0"/>
          <w:bCs w:val="0"/>
          <w:sz w:val="26"/>
          <w:szCs w:val="26"/>
        </w:rPr>
        <w:t>Solicita que se revoque la decisión de carácter condenatorio emit</w:t>
      </w:r>
      <w:r w:rsidR="00520B19" w:rsidRPr="00060F9C">
        <w:rPr>
          <w:rStyle w:val="Numeracinttulo"/>
          <w:b w:val="0"/>
          <w:bCs w:val="0"/>
          <w:sz w:val="26"/>
          <w:szCs w:val="26"/>
        </w:rPr>
        <w:t xml:space="preserve">ida por el funcionario a quo, para que </w:t>
      </w:r>
      <w:r w:rsidR="00C35F16" w:rsidRPr="00060F9C">
        <w:rPr>
          <w:rStyle w:val="Numeracinttulo"/>
          <w:b w:val="0"/>
          <w:bCs w:val="0"/>
          <w:sz w:val="26"/>
          <w:szCs w:val="26"/>
        </w:rPr>
        <w:t>en su lugar</w:t>
      </w:r>
      <w:r w:rsidRPr="00060F9C">
        <w:rPr>
          <w:rStyle w:val="Numeracinttulo"/>
          <w:b w:val="0"/>
          <w:bCs w:val="0"/>
          <w:sz w:val="26"/>
          <w:szCs w:val="26"/>
        </w:rPr>
        <w:t xml:space="preserve"> se absuelva a su representado del punible que le fue endilgado</w:t>
      </w:r>
      <w:r w:rsidR="00520B19" w:rsidRPr="00060F9C">
        <w:rPr>
          <w:rStyle w:val="Numeracinttulo"/>
          <w:b w:val="0"/>
          <w:bCs w:val="0"/>
          <w:sz w:val="26"/>
          <w:szCs w:val="26"/>
        </w:rPr>
        <w:t>,</w:t>
      </w:r>
      <w:r w:rsidRPr="00060F9C">
        <w:rPr>
          <w:rStyle w:val="Numeracinttulo"/>
          <w:b w:val="0"/>
          <w:bCs w:val="0"/>
          <w:sz w:val="26"/>
          <w:szCs w:val="26"/>
        </w:rPr>
        <w:t xml:space="preserve"> y se ordene su libertad inmediata. Como fundamento de su petición expone</w:t>
      </w:r>
      <w:r w:rsidR="00B7042D" w:rsidRPr="00060F9C">
        <w:rPr>
          <w:rStyle w:val="Numeracinttulo"/>
          <w:b w:val="0"/>
          <w:bCs w:val="0"/>
          <w:sz w:val="26"/>
          <w:szCs w:val="26"/>
        </w:rPr>
        <w:t>:</w:t>
      </w:r>
    </w:p>
    <w:p w:rsidR="00C57F9E" w:rsidRPr="00060F9C" w:rsidRDefault="00C57F9E" w:rsidP="00C57F9E">
      <w:pPr>
        <w:rPr>
          <w:rStyle w:val="Numeracinttulo"/>
          <w:b w:val="0"/>
          <w:bCs w:val="0"/>
          <w:sz w:val="26"/>
          <w:szCs w:val="26"/>
        </w:rPr>
      </w:pPr>
    </w:p>
    <w:p w:rsidR="00C57F9E" w:rsidRPr="00060F9C" w:rsidRDefault="003E1572" w:rsidP="00C57F9E">
      <w:pPr>
        <w:rPr>
          <w:rStyle w:val="Numeracinttulo"/>
          <w:b w:val="0"/>
          <w:bCs w:val="0"/>
          <w:sz w:val="26"/>
          <w:szCs w:val="26"/>
        </w:rPr>
      </w:pPr>
      <w:r w:rsidRPr="00060F9C">
        <w:rPr>
          <w:rStyle w:val="Numeracinttulo"/>
          <w:b w:val="0"/>
          <w:bCs w:val="0"/>
          <w:sz w:val="26"/>
          <w:szCs w:val="26"/>
        </w:rPr>
        <w:t>No</w:t>
      </w:r>
      <w:r w:rsidR="00C57F9E" w:rsidRPr="00060F9C">
        <w:rPr>
          <w:rStyle w:val="Numeracinttulo"/>
          <w:b w:val="0"/>
          <w:bCs w:val="0"/>
          <w:sz w:val="26"/>
          <w:szCs w:val="26"/>
        </w:rPr>
        <w:t xml:space="preserve"> controvierte q</w:t>
      </w:r>
      <w:r w:rsidRPr="00060F9C">
        <w:rPr>
          <w:rStyle w:val="Numeracinttulo"/>
          <w:b w:val="0"/>
          <w:bCs w:val="0"/>
          <w:sz w:val="26"/>
          <w:szCs w:val="26"/>
        </w:rPr>
        <w:t xml:space="preserve">ue en abril 06 de 2014 su </w:t>
      </w:r>
      <w:r w:rsidR="00FF62FD" w:rsidRPr="00060F9C">
        <w:rPr>
          <w:rStyle w:val="Numeracinttulo"/>
          <w:b w:val="0"/>
          <w:bCs w:val="0"/>
          <w:sz w:val="26"/>
          <w:szCs w:val="26"/>
        </w:rPr>
        <w:t>defendido</w:t>
      </w:r>
      <w:r w:rsidRPr="00060F9C">
        <w:rPr>
          <w:rStyle w:val="Numeracinttulo"/>
          <w:b w:val="0"/>
          <w:bCs w:val="0"/>
          <w:sz w:val="26"/>
          <w:szCs w:val="26"/>
        </w:rPr>
        <w:t xml:space="preserve"> portaba 4.0 gramos</w:t>
      </w:r>
      <w:r w:rsidR="00217F8A" w:rsidRPr="00060F9C">
        <w:rPr>
          <w:rStyle w:val="Numeracinttulo"/>
          <w:b w:val="0"/>
          <w:bCs w:val="0"/>
          <w:sz w:val="26"/>
          <w:szCs w:val="26"/>
        </w:rPr>
        <w:t xml:space="preserve"> de cocaína</w:t>
      </w:r>
      <w:r w:rsidRPr="00060F9C">
        <w:rPr>
          <w:rStyle w:val="Numeracinttulo"/>
          <w:b w:val="0"/>
          <w:bCs w:val="0"/>
          <w:sz w:val="26"/>
          <w:szCs w:val="26"/>
        </w:rPr>
        <w:t xml:space="preserve">, </w:t>
      </w:r>
      <w:r w:rsidR="00520B19" w:rsidRPr="00060F9C">
        <w:rPr>
          <w:rStyle w:val="Numeracinttulo"/>
          <w:b w:val="0"/>
          <w:bCs w:val="0"/>
          <w:sz w:val="26"/>
          <w:szCs w:val="26"/>
        </w:rPr>
        <w:t xml:space="preserve"> </w:t>
      </w:r>
      <w:r w:rsidRPr="00060F9C">
        <w:rPr>
          <w:rStyle w:val="Numeracinttulo"/>
          <w:b w:val="0"/>
          <w:bCs w:val="0"/>
          <w:sz w:val="26"/>
          <w:szCs w:val="26"/>
        </w:rPr>
        <w:t xml:space="preserve">lo </w:t>
      </w:r>
      <w:r w:rsidR="00217F8A" w:rsidRPr="00060F9C">
        <w:rPr>
          <w:rStyle w:val="Numeracinttulo"/>
          <w:b w:val="0"/>
          <w:bCs w:val="0"/>
          <w:sz w:val="26"/>
          <w:szCs w:val="26"/>
        </w:rPr>
        <w:t xml:space="preserve">cual </w:t>
      </w:r>
      <w:r w:rsidRPr="00060F9C">
        <w:rPr>
          <w:rStyle w:val="Numeracinttulo"/>
          <w:b w:val="0"/>
          <w:bCs w:val="0"/>
          <w:sz w:val="26"/>
          <w:szCs w:val="26"/>
        </w:rPr>
        <w:t>dio lugar a su aprehensión,</w:t>
      </w:r>
      <w:r w:rsidR="00C57F9E" w:rsidRPr="00060F9C">
        <w:rPr>
          <w:rStyle w:val="Numeracinttulo"/>
          <w:b w:val="0"/>
          <w:bCs w:val="0"/>
          <w:sz w:val="26"/>
          <w:szCs w:val="26"/>
        </w:rPr>
        <w:t xml:space="preserve"> </w:t>
      </w:r>
      <w:r w:rsidR="00217F8A" w:rsidRPr="00060F9C">
        <w:rPr>
          <w:rStyle w:val="Numeracinttulo"/>
          <w:b w:val="0"/>
          <w:bCs w:val="0"/>
          <w:sz w:val="26"/>
          <w:szCs w:val="26"/>
        </w:rPr>
        <w:t xml:space="preserve">pero por parte de la Fiscalía no se demostró </w:t>
      </w:r>
      <w:r w:rsidR="00D22A70" w:rsidRPr="00060F9C">
        <w:rPr>
          <w:rStyle w:val="Numeracinttulo"/>
          <w:b w:val="0"/>
          <w:bCs w:val="0"/>
          <w:sz w:val="26"/>
          <w:szCs w:val="26"/>
        </w:rPr>
        <w:t xml:space="preserve">nada diferente al verbo rector </w:t>
      </w:r>
      <w:r w:rsidR="00746D3C" w:rsidRPr="00060F9C">
        <w:rPr>
          <w:rStyle w:val="Numeracinttulo"/>
          <w:b w:val="0"/>
          <w:bCs w:val="0"/>
          <w:sz w:val="26"/>
          <w:szCs w:val="26"/>
        </w:rPr>
        <w:t>“</w:t>
      </w:r>
      <w:r w:rsidR="00D22A70" w:rsidRPr="00060F9C">
        <w:rPr>
          <w:rStyle w:val="Numeracinttulo"/>
          <w:b w:val="0"/>
          <w:bCs w:val="0"/>
          <w:sz w:val="26"/>
          <w:szCs w:val="26"/>
        </w:rPr>
        <w:t>llevar consigo</w:t>
      </w:r>
      <w:r w:rsidR="00746D3C" w:rsidRPr="00060F9C">
        <w:rPr>
          <w:rStyle w:val="Numeracinttulo"/>
          <w:b w:val="0"/>
          <w:bCs w:val="0"/>
          <w:sz w:val="26"/>
          <w:szCs w:val="26"/>
        </w:rPr>
        <w:t>”</w:t>
      </w:r>
      <w:r w:rsidR="00D22A70" w:rsidRPr="00060F9C">
        <w:rPr>
          <w:rStyle w:val="Numeracinttulo"/>
          <w:b w:val="0"/>
          <w:bCs w:val="0"/>
          <w:sz w:val="26"/>
          <w:szCs w:val="26"/>
        </w:rPr>
        <w:t xml:space="preserve">, </w:t>
      </w:r>
      <w:r w:rsidR="00D31E75" w:rsidRPr="00060F9C">
        <w:rPr>
          <w:rStyle w:val="Numeracinttulo"/>
          <w:b w:val="0"/>
          <w:bCs w:val="0"/>
          <w:sz w:val="26"/>
          <w:szCs w:val="26"/>
        </w:rPr>
        <w:t>de lo cual debe inferirse que esa sustancia era para su</w:t>
      </w:r>
      <w:r w:rsidR="00746D3C" w:rsidRPr="00060F9C">
        <w:rPr>
          <w:rStyle w:val="Numeracinttulo"/>
          <w:b w:val="0"/>
          <w:bCs w:val="0"/>
          <w:sz w:val="26"/>
          <w:szCs w:val="26"/>
        </w:rPr>
        <w:t xml:space="preserve"> consumo. </w:t>
      </w:r>
    </w:p>
    <w:p w:rsidR="00C57F9E" w:rsidRPr="00060F9C" w:rsidRDefault="00C57F9E" w:rsidP="00C57F9E">
      <w:pPr>
        <w:rPr>
          <w:rStyle w:val="Numeracinttulo"/>
          <w:b w:val="0"/>
          <w:bCs w:val="0"/>
          <w:sz w:val="26"/>
          <w:szCs w:val="26"/>
        </w:rPr>
      </w:pPr>
    </w:p>
    <w:p w:rsidR="00C57F9E" w:rsidRPr="00060F9C" w:rsidRDefault="00D22A70" w:rsidP="00C57F9E">
      <w:pPr>
        <w:rPr>
          <w:rStyle w:val="Numeracinttulo"/>
          <w:b w:val="0"/>
          <w:bCs w:val="0"/>
          <w:sz w:val="26"/>
          <w:szCs w:val="26"/>
        </w:rPr>
      </w:pPr>
      <w:r w:rsidRPr="00060F9C">
        <w:rPr>
          <w:rStyle w:val="Numeracinttulo"/>
          <w:b w:val="0"/>
          <w:bCs w:val="0"/>
          <w:sz w:val="26"/>
          <w:szCs w:val="26"/>
        </w:rPr>
        <w:t>Con los testi</w:t>
      </w:r>
      <w:r w:rsidR="00217F8A" w:rsidRPr="00060F9C">
        <w:rPr>
          <w:rStyle w:val="Numeracinttulo"/>
          <w:b w:val="0"/>
          <w:bCs w:val="0"/>
          <w:sz w:val="26"/>
          <w:szCs w:val="26"/>
        </w:rPr>
        <w:t>monios de FELIX EDUARDO BLANDÓN</w:t>
      </w:r>
      <w:r w:rsidR="00C57F9E" w:rsidRPr="00060F9C">
        <w:rPr>
          <w:rStyle w:val="Numeracinttulo"/>
          <w:b w:val="0"/>
          <w:bCs w:val="0"/>
          <w:sz w:val="26"/>
          <w:szCs w:val="26"/>
        </w:rPr>
        <w:t>, CARLOS JULIO RAMÍREZ y JUAN CAMILO GAVIRIA,</w:t>
      </w:r>
      <w:r w:rsidRPr="00060F9C">
        <w:rPr>
          <w:rStyle w:val="Numeracinttulo"/>
          <w:b w:val="0"/>
          <w:bCs w:val="0"/>
          <w:sz w:val="26"/>
          <w:szCs w:val="26"/>
        </w:rPr>
        <w:t xml:space="preserve"> persona</w:t>
      </w:r>
      <w:r w:rsidR="00217F8A" w:rsidRPr="00060F9C">
        <w:rPr>
          <w:rStyle w:val="Numeracinttulo"/>
          <w:b w:val="0"/>
          <w:bCs w:val="0"/>
          <w:sz w:val="26"/>
          <w:szCs w:val="26"/>
        </w:rPr>
        <w:t>s</w:t>
      </w:r>
      <w:r w:rsidRPr="00060F9C">
        <w:rPr>
          <w:rStyle w:val="Numeracinttulo"/>
          <w:b w:val="0"/>
          <w:bCs w:val="0"/>
          <w:sz w:val="26"/>
          <w:szCs w:val="26"/>
        </w:rPr>
        <w:t xml:space="preserve"> que conocen desde hace muchos años a </w:t>
      </w:r>
      <w:r w:rsidRPr="00060F9C">
        <w:rPr>
          <w:rStyle w:val="Numeracinttulo"/>
          <w:bCs w:val="0"/>
          <w:sz w:val="22"/>
          <w:szCs w:val="22"/>
        </w:rPr>
        <w:lastRenderedPageBreak/>
        <w:t>E</w:t>
      </w:r>
      <w:r w:rsidR="00852711">
        <w:rPr>
          <w:rStyle w:val="Numeracinttulo"/>
          <w:bCs w:val="0"/>
          <w:sz w:val="22"/>
          <w:szCs w:val="22"/>
        </w:rPr>
        <w:t>ARG</w:t>
      </w:r>
      <w:r w:rsidRPr="00060F9C">
        <w:rPr>
          <w:rStyle w:val="Numeracinttulo"/>
          <w:b w:val="0"/>
          <w:bCs w:val="0"/>
          <w:sz w:val="26"/>
          <w:szCs w:val="26"/>
        </w:rPr>
        <w:t xml:space="preserve">, se demostró que éste es una persona adicta a los estupefacientes, ya que fueron enfáticos en decir que </w:t>
      </w:r>
      <w:r w:rsidR="00586EC3" w:rsidRPr="00060F9C">
        <w:rPr>
          <w:rStyle w:val="Numeracinttulo"/>
          <w:b w:val="0"/>
          <w:bCs w:val="0"/>
          <w:sz w:val="26"/>
          <w:szCs w:val="26"/>
        </w:rPr>
        <w:t xml:space="preserve">lo han visto consumiendo ese tipo de sustancias, </w:t>
      </w:r>
      <w:r w:rsidRPr="00060F9C">
        <w:rPr>
          <w:rStyle w:val="Numeracinttulo"/>
          <w:b w:val="0"/>
          <w:bCs w:val="0"/>
          <w:sz w:val="26"/>
          <w:szCs w:val="26"/>
        </w:rPr>
        <w:t>e incluso, afirmaron que ello es de público conocimiento en el municipio.</w:t>
      </w:r>
    </w:p>
    <w:p w:rsidR="004261EF" w:rsidRPr="00060F9C" w:rsidRDefault="004261EF" w:rsidP="00C57F9E">
      <w:pPr>
        <w:rPr>
          <w:rStyle w:val="Numeracinttulo"/>
          <w:b w:val="0"/>
          <w:bCs w:val="0"/>
          <w:sz w:val="26"/>
          <w:szCs w:val="26"/>
        </w:rPr>
      </w:pPr>
    </w:p>
    <w:p w:rsidR="00586EC3" w:rsidRPr="00060F9C" w:rsidRDefault="00D31E75" w:rsidP="00C57F9E">
      <w:pPr>
        <w:rPr>
          <w:rStyle w:val="Numeracinttulo"/>
          <w:b w:val="0"/>
          <w:bCs w:val="0"/>
          <w:sz w:val="26"/>
          <w:szCs w:val="26"/>
        </w:rPr>
      </w:pPr>
      <w:r w:rsidRPr="00060F9C">
        <w:rPr>
          <w:rStyle w:val="Numeracinttulo"/>
          <w:b w:val="0"/>
          <w:bCs w:val="0"/>
          <w:sz w:val="26"/>
          <w:szCs w:val="26"/>
        </w:rPr>
        <w:t>En</w:t>
      </w:r>
      <w:r w:rsidR="00586EC3" w:rsidRPr="00060F9C">
        <w:rPr>
          <w:rStyle w:val="Numeracinttulo"/>
          <w:b w:val="0"/>
          <w:bCs w:val="0"/>
          <w:sz w:val="26"/>
          <w:szCs w:val="26"/>
        </w:rPr>
        <w:t xml:space="preserve"> el momento de la individualización de la pena, </w:t>
      </w:r>
      <w:r w:rsidRPr="00060F9C">
        <w:rPr>
          <w:rStyle w:val="Numeracinttulo"/>
          <w:b w:val="0"/>
          <w:bCs w:val="0"/>
          <w:sz w:val="26"/>
          <w:szCs w:val="26"/>
        </w:rPr>
        <w:t xml:space="preserve">se introdujo </w:t>
      </w:r>
      <w:r w:rsidR="00217F8A" w:rsidRPr="00060F9C">
        <w:rPr>
          <w:rStyle w:val="Numeracinttulo"/>
          <w:b w:val="0"/>
          <w:bCs w:val="0"/>
          <w:sz w:val="26"/>
          <w:szCs w:val="26"/>
        </w:rPr>
        <w:t xml:space="preserve">la </w:t>
      </w:r>
      <w:r w:rsidR="00C57F9E" w:rsidRPr="00060F9C">
        <w:rPr>
          <w:rStyle w:val="Numeracinttulo"/>
          <w:b w:val="0"/>
          <w:bCs w:val="0"/>
          <w:sz w:val="26"/>
          <w:szCs w:val="26"/>
        </w:rPr>
        <w:t xml:space="preserve">historia clínica </w:t>
      </w:r>
      <w:r w:rsidR="00217F8A" w:rsidRPr="00060F9C">
        <w:rPr>
          <w:rStyle w:val="Numeracinttulo"/>
          <w:b w:val="0"/>
          <w:bCs w:val="0"/>
          <w:sz w:val="26"/>
          <w:szCs w:val="26"/>
        </w:rPr>
        <w:t xml:space="preserve">de </w:t>
      </w:r>
      <w:r w:rsidR="00021B94" w:rsidRPr="00060F9C">
        <w:rPr>
          <w:rStyle w:val="Numeracinttulo"/>
          <w:b w:val="0"/>
          <w:bCs w:val="0"/>
          <w:sz w:val="26"/>
          <w:szCs w:val="26"/>
        </w:rPr>
        <w:t xml:space="preserve">la </w:t>
      </w:r>
      <w:r w:rsidR="00217F8A" w:rsidRPr="00060F9C">
        <w:rPr>
          <w:rStyle w:val="Numeracinttulo"/>
          <w:b w:val="0"/>
          <w:bCs w:val="0"/>
          <w:sz w:val="26"/>
          <w:szCs w:val="26"/>
        </w:rPr>
        <w:t>valoración por siquiatría</w:t>
      </w:r>
      <w:r w:rsidR="00021B94" w:rsidRPr="00060F9C">
        <w:rPr>
          <w:rStyle w:val="Numeracinttulo"/>
          <w:b w:val="0"/>
          <w:bCs w:val="0"/>
          <w:sz w:val="26"/>
          <w:szCs w:val="26"/>
        </w:rPr>
        <w:t xml:space="preserve"> que le</w:t>
      </w:r>
      <w:r w:rsidR="008A17E5" w:rsidRPr="00060F9C">
        <w:rPr>
          <w:rStyle w:val="Numeracinttulo"/>
          <w:b w:val="0"/>
          <w:bCs w:val="0"/>
          <w:sz w:val="26"/>
          <w:szCs w:val="26"/>
        </w:rPr>
        <w:t xml:space="preserve"> fue realizada a su prohijado</w:t>
      </w:r>
      <w:r w:rsidR="00217F8A" w:rsidRPr="00060F9C">
        <w:rPr>
          <w:rStyle w:val="Numeracinttulo"/>
          <w:b w:val="0"/>
          <w:bCs w:val="0"/>
          <w:sz w:val="26"/>
          <w:szCs w:val="26"/>
        </w:rPr>
        <w:t xml:space="preserve">, </w:t>
      </w:r>
      <w:r w:rsidR="008A17E5" w:rsidRPr="00060F9C">
        <w:rPr>
          <w:rStyle w:val="Numeracinttulo"/>
          <w:b w:val="0"/>
          <w:bCs w:val="0"/>
          <w:sz w:val="26"/>
          <w:szCs w:val="26"/>
        </w:rPr>
        <w:t>en la</w:t>
      </w:r>
      <w:r w:rsidR="00021B94" w:rsidRPr="00060F9C">
        <w:rPr>
          <w:rStyle w:val="Numeracinttulo"/>
          <w:b w:val="0"/>
          <w:bCs w:val="0"/>
          <w:sz w:val="26"/>
          <w:szCs w:val="26"/>
        </w:rPr>
        <w:t xml:space="preserve"> </w:t>
      </w:r>
      <w:r w:rsidR="00217F8A" w:rsidRPr="00060F9C">
        <w:rPr>
          <w:rStyle w:val="Numeracinttulo"/>
          <w:b w:val="0"/>
          <w:bCs w:val="0"/>
          <w:sz w:val="26"/>
          <w:szCs w:val="26"/>
        </w:rPr>
        <w:t>cual el profesional</w:t>
      </w:r>
      <w:r w:rsidR="00D22A70" w:rsidRPr="00060F9C">
        <w:rPr>
          <w:rStyle w:val="Numeracinttulo"/>
          <w:b w:val="0"/>
          <w:bCs w:val="0"/>
          <w:sz w:val="26"/>
          <w:szCs w:val="26"/>
        </w:rPr>
        <w:t xml:space="preserve"> </w:t>
      </w:r>
      <w:r w:rsidRPr="00060F9C">
        <w:rPr>
          <w:rStyle w:val="Numeracinttulo"/>
          <w:b w:val="0"/>
          <w:bCs w:val="0"/>
          <w:sz w:val="26"/>
          <w:szCs w:val="26"/>
        </w:rPr>
        <w:t>concluyó que</w:t>
      </w:r>
      <w:r w:rsidR="00C57F9E" w:rsidRPr="00060F9C">
        <w:rPr>
          <w:rStyle w:val="Numeracinttulo"/>
          <w:b w:val="0"/>
          <w:bCs w:val="0"/>
          <w:sz w:val="26"/>
          <w:szCs w:val="26"/>
        </w:rPr>
        <w:t xml:space="preserve"> </w:t>
      </w:r>
      <w:r w:rsidR="00D22A70" w:rsidRPr="00060F9C">
        <w:rPr>
          <w:rStyle w:val="Numeracinttulo"/>
          <w:b w:val="0"/>
          <w:bCs w:val="0"/>
          <w:sz w:val="26"/>
          <w:szCs w:val="26"/>
        </w:rPr>
        <w:t xml:space="preserve">efectivamente </w:t>
      </w:r>
      <w:r w:rsidR="00021B94" w:rsidRPr="00060F9C">
        <w:rPr>
          <w:rStyle w:val="Numeracinttulo"/>
          <w:b w:val="0"/>
          <w:bCs w:val="0"/>
          <w:sz w:val="26"/>
          <w:szCs w:val="26"/>
        </w:rPr>
        <w:t>éste es consumidor</w:t>
      </w:r>
      <w:r w:rsidR="00D22A70" w:rsidRPr="00060F9C">
        <w:rPr>
          <w:rStyle w:val="Numeracinttulo"/>
          <w:b w:val="0"/>
          <w:bCs w:val="0"/>
          <w:sz w:val="26"/>
          <w:szCs w:val="26"/>
        </w:rPr>
        <w:t xml:space="preserve"> de estupefacientes</w:t>
      </w:r>
      <w:r w:rsidR="00586EC3" w:rsidRPr="00060F9C">
        <w:rPr>
          <w:rStyle w:val="Numeracinttulo"/>
          <w:b w:val="0"/>
          <w:bCs w:val="0"/>
          <w:sz w:val="26"/>
          <w:szCs w:val="26"/>
        </w:rPr>
        <w:t>.</w:t>
      </w:r>
    </w:p>
    <w:p w:rsidR="004261EF" w:rsidRPr="00060F9C" w:rsidRDefault="004261EF" w:rsidP="00C57F9E">
      <w:pPr>
        <w:rPr>
          <w:rStyle w:val="Numeracinttulo"/>
          <w:b w:val="0"/>
          <w:bCs w:val="0"/>
          <w:sz w:val="26"/>
          <w:szCs w:val="26"/>
        </w:rPr>
      </w:pPr>
    </w:p>
    <w:p w:rsidR="00746D3C" w:rsidRPr="00060F9C" w:rsidRDefault="00586EC3" w:rsidP="00746D3C">
      <w:pPr>
        <w:rPr>
          <w:rStyle w:val="Numeracinttulo"/>
          <w:b w:val="0"/>
          <w:bCs w:val="0"/>
          <w:sz w:val="26"/>
          <w:szCs w:val="26"/>
        </w:rPr>
      </w:pPr>
      <w:r w:rsidRPr="00060F9C">
        <w:rPr>
          <w:rStyle w:val="Numeracinttulo"/>
          <w:b w:val="0"/>
          <w:bCs w:val="0"/>
          <w:sz w:val="26"/>
          <w:szCs w:val="26"/>
        </w:rPr>
        <w:t>De esa manera se probó dentro del proceso, y no quedó duda al respecto, e</w:t>
      </w:r>
      <w:r w:rsidR="008A17E5" w:rsidRPr="00060F9C">
        <w:rPr>
          <w:rStyle w:val="Numeracinttulo"/>
          <w:b w:val="0"/>
          <w:bCs w:val="0"/>
          <w:sz w:val="26"/>
          <w:szCs w:val="26"/>
        </w:rPr>
        <w:t xml:space="preserve">n cuanto a que verdaderamente </w:t>
      </w:r>
      <w:r w:rsidR="00852711" w:rsidRPr="00852711">
        <w:rPr>
          <w:rStyle w:val="Numeracinttulo"/>
          <w:bCs w:val="0"/>
          <w:sz w:val="26"/>
          <w:szCs w:val="26"/>
        </w:rPr>
        <w:t>EARG</w:t>
      </w:r>
      <w:r w:rsidRPr="00060F9C">
        <w:rPr>
          <w:rStyle w:val="Numeracinttulo"/>
          <w:b w:val="0"/>
          <w:bCs w:val="0"/>
          <w:sz w:val="26"/>
          <w:szCs w:val="26"/>
        </w:rPr>
        <w:t xml:space="preserve"> es adicto a las sustancias alucinógenas, </w:t>
      </w:r>
      <w:r w:rsidR="00D22A70" w:rsidRPr="00060F9C">
        <w:rPr>
          <w:rStyle w:val="Numeracinttulo"/>
          <w:b w:val="0"/>
          <w:bCs w:val="0"/>
          <w:sz w:val="26"/>
          <w:szCs w:val="26"/>
        </w:rPr>
        <w:t>y que estamos frente a una p</w:t>
      </w:r>
      <w:r w:rsidR="00754B0D" w:rsidRPr="00060F9C">
        <w:rPr>
          <w:rStyle w:val="Numeracinttulo"/>
          <w:b w:val="0"/>
          <w:bCs w:val="0"/>
          <w:sz w:val="26"/>
          <w:szCs w:val="26"/>
        </w:rPr>
        <w:t>ersona enferma</w:t>
      </w:r>
      <w:r w:rsidR="00D22A70" w:rsidRPr="00060F9C">
        <w:rPr>
          <w:rStyle w:val="Numeracinttulo"/>
          <w:b w:val="0"/>
          <w:bCs w:val="0"/>
          <w:sz w:val="26"/>
          <w:szCs w:val="26"/>
        </w:rPr>
        <w:t xml:space="preserve"> y </w:t>
      </w:r>
      <w:r w:rsidR="00746D3C" w:rsidRPr="00060F9C">
        <w:rPr>
          <w:rStyle w:val="Numeracinttulo"/>
          <w:b w:val="0"/>
          <w:bCs w:val="0"/>
          <w:sz w:val="26"/>
          <w:szCs w:val="26"/>
        </w:rPr>
        <w:t>no frente a un delincuente; no obstante</w:t>
      </w:r>
      <w:r w:rsidR="00021B94" w:rsidRPr="00060F9C">
        <w:rPr>
          <w:rStyle w:val="Numeracinttulo"/>
          <w:b w:val="0"/>
          <w:bCs w:val="0"/>
          <w:sz w:val="26"/>
          <w:szCs w:val="26"/>
        </w:rPr>
        <w:t>,</w:t>
      </w:r>
      <w:r w:rsidR="00746D3C" w:rsidRPr="00060F9C">
        <w:rPr>
          <w:rStyle w:val="Numeracinttulo"/>
          <w:b w:val="0"/>
          <w:bCs w:val="0"/>
          <w:sz w:val="26"/>
          <w:szCs w:val="26"/>
        </w:rPr>
        <w:t xml:space="preserve"> el juez consideró que</w:t>
      </w:r>
      <w:r w:rsidR="008A17E5" w:rsidRPr="00060F9C">
        <w:rPr>
          <w:rStyle w:val="Numeracinttulo"/>
          <w:b w:val="0"/>
          <w:bCs w:val="0"/>
          <w:sz w:val="26"/>
          <w:szCs w:val="26"/>
        </w:rPr>
        <w:t xml:space="preserve"> debido a que</w:t>
      </w:r>
      <w:r w:rsidR="00746D3C" w:rsidRPr="00060F9C">
        <w:rPr>
          <w:rStyle w:val="Numeracinttulo"/>
          <w:b w:val="0"/>
          <w:bCs w:val="0"/>
          <w:sz w:val="26"/>
          <w:szCs w:val="26"/>
        </w:rPr>
        <w:t xml:space="preserve"> </w:t>
      </w:r>
      <w:r w:rsidR="00021B94" w:rsidRPr="00060F9C">
        <w:rPr>
          <w:rStyle w:val="Numeracinttulo"/>
          <w:b w:val="0"/>
          <w:bCs w:val="0"/>
          <w:sz w:val="26"/>
          <w:szCs w:val="26"/>
        </w:rPr>
        <w:t>l</w:t>
      </w:r>
      <w:r w:rsidR="00746D3C" w:rsidRPr="00060F9C">
        <w:rPr>
          <w:rStyle w:val="Numeracinttulo"/>
          <w:b w:val="0"/>
          <w:bCs w:val="0"/>
          <w:sz w:val="26"/>
          <w:szCs w:val="26"/>
        </w:rPr>
        <w:t xml:space="preserve">a cantidad </w:t>
      </w:r>
      <w:r w:rsidR="008A17E5" w:rsidRPr="00060F9C">
        <w:rPr>
          <w:rStyle w:val="Numeracinttulo"/>
          <w:b w:val="0"/>
          <w:bCs w:val="0"/>
          <w:sz w:val="26"/>
          <w:szCs w:val="26"/>
        </w:rPr>
        <w:t xml:space="preserve"> de la sustancia </w:t>
      </w:r>
      <w:r w:rsidR="00746D3C" w:rsidRPr="00060F9C">
        <w:rPr>
          <w:rStyle w:val="Numeracinttulo"/>
          <w:b w:val="0"/>
          <w:bCs w:val="0"/>
          <w:sz w:val="26"/>
          <w:szCs w:val="26"/>
        </w:rPr>
        <w:t>superó en 3 veces la dosis contemplada como personal, debía sancionarse su conducta.</w:t>
      </w:r>
    </w:p>
    <w:p w:rsidR="00586EC3" w:rsidRPr="00060F9C" w:rsidRDefault="00586EC3" w:rsidP="00C57F9E">
      <w:pPr>
        <w:rPr>
          <w:rStyle w:val="Numeracinttulo"/>
          <w:b w:val="0"/>
          <w:bCs w:val="0"/>
          <w:sz w:val="26"/>
          <w:szCs w:val="26"/>
        </w:rPr>
      </w:pPr>
    </w:p>
    <w:p w:rsidR="00C57F9E" w:rsidRPr="00060F9C" w:rsidRDefault="00586EC3" w:rsidP="00C57F9E">
      <w:pPr>
        <w:rPr>
          <w:rStyle w:val="Numeracinttulo"/>
          <w:b w:val="0"/>
          <w:bCs w:val="0"/>
          <w:sz w:val="26"/>
          <w:szCs w:val="26"/>
        </w:rPr>
      </w:pPr>
      <w:r w:rsidRPr="00060F9C">
        <w:rPr>
          <w:rStyle w:val="Numeracinttulo"/>
          <w:b w:val="0"/>
          <w:bCs w:val="0"/>
          <w:sz w:val="26"/>
          <w:szCs w:val="26"/>
        </w:rPr>
        <w:t xml:space="preserve">El punto de discusión es si a pesar de haberse demostrado la calidad de consumidor del acusado, </w:t>
      </w:r>
      <w:r w:rsidR="00D22A70" w:rsidRPr="00060F9C">
        <w:rPr>
          <w:rStyle w:val="Numeracinttulo"/>
          <w:b w:val="0"/>
          <w:bCs w:val="0"/>
          <w:sz w:val="26"/>
          <w:szCs w:val="26"/>
        </w:rPr>
        <w:t>por el hecho llevar</w:t>
      </w:r>
      <w:r w:rsidRPr="00060F9C">
        <w:rPr>
          <w:rStyle w:val="Numeracinttulo"/>
          <w:b w:val="0"/>
          <w:bCs w:val="0"/>
          <w:sz w:val="26"/>
          <w:szCs w:val="26"/>
        </w:rPr>
        <w:t xml:space="preserve"> consigo 4.0 gramos de coca</w:t>
      </w:r>
      <w:r w:rsidR="00D22A70" w:rsidRPr="00060F9C">
        <w:rPr>
          <w:rStyle w:val="Numeracinttulo"/>
          <w:b w:val="0"/>
          <w:bCs w:val="0"/>
          <w:sz w:val="26"/>
          <w:szCs w:val="26"/>
        </w:rPr>
        <w:t xml:space="preserve">ína es un imperativo legal </w:t>
      </w:r>
      <w:r w:rsidRPr="00060F9C">
        <w:rPr>
          <w:rStyle w:val="Numeracinttulo"/>
          <w:b w:val="0"/>
          <w:bCs w:val="0"/>
          <w:sz w:val="26"/>
          <w:szCs w:val="26"/>
        </w:rPr>
        <w:t xml:space="preserve">proferir </w:t>
      </w:r>
      <w:r w:rsidR="00D22A70" w:rsidRPr="00060F9C">
        <w:rPr>
          <w:rStyle w:val="Numeracinttulo"/>
          <w:b w:val="0"/>
          <w:bCs w:val="0"/>
          <w:sz w:val="26"/>
          <w:szCs w:val="26"/>
        </w:rPr>
        <w:t xml:space="preserve">en su contra una sentencia de condena, o si por el contrario, </w:t>
      </w:r>
      <w:r w:rsidR="00754B0D" w:rsidRPr="00060F9C">
        <w:rPr>
          <w:rStyle w:val="Numeracinttulo"/>
          <w:b w:val="0"/>
          <w:bCs w:val="0"/>
          <w:sz w:val="26"/>
          <w:szCs w:val="26"/>
        </w:rPr>
        <w:t xml:space="preserve">a </w:t>
      </w:r>
      <w:r w:rsidR="00D22A70" w:rsidRPr="00060F9C">
        <w:rPr>
          <w:rStyle w:val="Numeracinttulo"/>
          <w:b w:val="0"/>
          <w:bCs w:val="0"/>
          <w:sz w:val="26"/>
          <w:szCs w:val="26"/>
        </w:rPr>
        <w:t xml:space="preserve">esa cantidad en </w:t>
      </w:r>
      <w:r w:rsidRPr="00060F9C">
        <w:rPr>
          <w:rStyle w:val="Numeracinttulo"/>
          <w:b w:val="0"/>
          <w:bCs w:val="0"/>
          <w:sz w:val="26"/>
          <w:szCs w:val="26"/>
        </w:rPr>
        <w:t xml:space="preserve">manos de </w:t>
      </w:r>
      <w:r w:rsidR="00D22A70" w:rsidRPr="00060F9C">
        <w:rPr>
          <w:rStyle w:val="Numeracinttulo"/>
          <w:b w:val="0"/>
          <w:bCs w:val="0"/>
          <w:sz w:val="26"/>
          <w:szCs w:val="26"/>
        </w:rPr>
        <w:t xml:space="preserve">un adicto </w:t>
      </w:r>
      <w:r w:rsidRPr="00060F9C">
        <w:rPr>
          <w:rStyle w:val="Numeracinttulo"/>
          <w:b w:val="0"/>
          <w:bCs w:val="0"/>
          <w:sz w:val="26"/>
          <w:szCs w:val="26"/>
        </w:rPr>
        <w:t>no puede dársele la conno</w:t>
      </w:r>
      <w:r w:rsidR="00D22A70" w:rsidRPr="00060F9C">
        <w:rPr>
          <w:rStyle w:val="Numeracinttulo"/>
          <w:b w:val="0"/>
          <w:bCs w:val="0"/>
          <w:sz w:val="26"/>
          <w:szCs w:val="26"/>
        </w:rPr>
        <w:t xml:space="preserve">tación de una conducta punible, ya que lo considera como su dosis personal, razón por la que debe ser absuelto, y brindársele </w:t>
      </w:r>
      <w:r w:rsidRPr="00060F9C">
        <w:rPr>
          <w:rStyle w:val="Numeracinttulo"/>
          <w:b w:val="0"/>
          <w:bCs w:val="0"/>
          <w:sz w:val="26"/>
          <w:szCs w:val="26"/>
        </w:rPr>
        <w:t xml:space="preserve">un tratamiento </w:t>
      </w:r>
      <w:r w:rsidR="00860A35" w:rsidRPr="00060F9C">
        <w:rPr>
          <w:rStyle w:val="Numeracinttulo"/>
          <w:b w:val="0"/>
          <w:bCs w:val="0"/>
          <w:sz w:val="26"/>
          <w:szCs w:val="26"/>
        </w:rPr>
        <w:t>diferencial</w:t>
      </w:r>
      <w:r w:rsidRPr="00060F9C">
        <w:rPr>
          <w:rStyle w:val="Numeracinttulo"/>
          <w:b w:val="0"/>
          <w:bCs w:val="0"/>
          <w:sz w:val="26"/>
          <w:szCs w:val="26"/>
        </w:rPr>
        <w:t xml:space="preserve"> por parte de las autoridades.</w:t>
      </w:r>
    </w:p>
    <w:p w:rsidR="00586EC3" w:rsidRPr="00060F9C" w:rsidRDefault="00586EC3" w:rsidP="00C57F9E">
      <w:pPr>
        <w:rPr>
          <w:rStyle w:val="Numeracinttulo"/>
          <w:b w:val="0"/>
          <w:bCs w:val="0"/>
          <w:sz w:val="26"/>
          <w:szCs w:val="26"/>
        </w:rPr>
      </w:pPr>
    </w:p>
    <w:p w:rsidR="00410ED1" w:rsidRPr="00060F9C" w:rsidRDefault="00586EC3" w:rsidP="00C57F9E">
      <w:pPr>
        <w:rPr>
          <w:rStyle w:val="Numeracinttulo"/>
          <w:b w:val="0"/>
          <w:bCs w:val="0"/>
          <w:sz w:val="26"/>
          <w:szCs w:val="26"/>
        </w:rPr>
      </w:pPr>
      <w:r w:rsidRPr="00060F9C">
        <w:rPr>
          <w:rStyle w:val="Numeracinttulo"/>
          <w:b w:val="0"/>
          <w:bCs w:val="0"/>
          <w:sz w:val="26"/>
          <w:szCs w:val="26"/>
        </w:rPr>
        <w:t xml:space="preserve">Al respecto la </w:t>
      </w:r>
      <w:r w:rsidR="00554499" w:rsidRPr="00060F9C">
        <w:rPr>
          <w:rStyle w:val="Numeracinttulo"/>
          <w:b w:val="0"/>
          <w:bCs w:val="0"/>
          <w:sz w:val="26"/>
          <w:szCs w:val="26"/>
        </w:rPr>
        <w:t xml:space="preserve">H. </w:t>
      </w:r>
      <w:r w:rsidRPr="00060F9C">
        <w:rPr>
          <w:rStyle w:val="Numeracinttulo"/>
          <w:b w:val="0"/>
          <w:bCs w:val="0"/>
          <w:sz w:val="26"/>
          <w:szCs w:val="26"/>
        </w:rPr>
        <w:t>Corte Suprema de Justicia se ha pronunciado recientemente en sentencia</w:t>
      </w:r>
      <w:r w:rsidR="00746D3C" w:rsidRPr="00060F9C">
        <w:rPr>
          <w:rStyle w:val="Numeracinttulo"/>
          <w:b w:val="0"/>
          <w:bCs w:val="0"/>
          <w:sz w:val="26"/>
          <w:szCs w:val="26"/>
        </w:rPr>
        <w:t xml:space="preserve"> 42617 de noviembre 12 de 2014,</w:t>
      </w:r>
      <w:r w:rsidR="00444283" w:rsidRPr="00060F9C">
        <w:rPr>
          <w:rStyle w:val="Numeracinttulo"/>
          <w:b w:val="0"/>
          <w:bCs w:val="0"/>
          <w:sz w:val="26"/>
          <w:szCs w:val="26"/>
        </w:rPr>
        <w:t xml:space="preserve"> cuyo aparte pertinente cita, </w:t>
      </w:r>
      <w:r w:rsidR="00746D3C" w:rsidRPr="00060F9C">
        <w:rPr>
          <w:rStyle w:val="Numeracinttulo"/>
          <w:b w:val="0"/>
          <w:bCs w:val="0"/>
          <w:sz w:val="26"/>
          <w:szCs w:val="26"/>
        </w:rPr>
        <w:t>y en la cual se</w:t>
      </w:r>
      <w:r w:rsidR="00444283" w:rsidRPr="00060F9C">
        <w:rPr>
          <w:rStyle w:val="Numeracinttulo"/>
          <w:b w:val="0"/>
          <w:bCs w:val="0"/>
          <w:sz w:val="26"/>
          <w:szCs w:val="26"/>
        </w:rPr>
        <w:t xml:space="preserve"> concluyó que la decisión </w:t>
      </w:r>
      <w:r w:rsidR="00746D3C" w:rsidRPr="00060F9C">
        <w:rPr>
          <w:rStyle w:val="Numeracinttulo"/>
          <w:b w:val="0"/>
          <w:bCs w:val="0"/>
          <w:sz w:val="26"/>
          <w:szCs w:val="26"/>
        </w:rPr>
        <w:t xml:space="preserve">absolutoria proferida </w:t>
      </w:r>
      <w:r w:rsidR="00754B0D" w:rsidRPr="00060F9C">
        <w:rPr>
          <w:rStyle w:val="Numeracinttulo"/>
          <w:b w:val="0"/>
          <w:bCs w:val="0"/>
          <w:sz w:val="26"/>
          <w:szCs w:val="26"/>
        </w:rPr>
        <w:t>en primera y segunda</w:t>
      </w:r>
      <w:r w:rsidR="00746D3C" w:rsidRPr="00060F9C">
        <w:rPr>
          <w:rStyle w:val="Numeracinttulo"/>
          <w:b w:val="0"/>
          <w:bCs w:val="0"/>
          <w:sz w:val="26"/>
          <w:szCs w:val="26"/>
        </w:rPr>
        <w:t xml:space="preserve"> instancia a favor de </w:t>
      </w:r>
      <w:r w:rsidR="00444283" w:rsidRPr="00060F9C">
        <w:rPr>
          <w:rStyle w:val="Numeracinttulo"/>
          <w:b w:val="0"/>
          <w:bCs w:val="0"/>
          <w:sz w:val="26"/>
          <w:szCs w:val="26"/>
        </w:rPr>
        <w:t>una persona con 52 gramos de marihuana y 0.8 de cocaína</w:t>
      </w:r>
      <w:r w:rsidR="00746D3C" w:rsidRPr="00060F9C">
        <w:rPr>
          <w:rStyle w:val="Numeracinttulo"/>
          <w:b w:val="0"/>
          <w:bCs w:val="0"/>
          <w:sz w:val="26"/>
          <w:szCs w:val="26"/>
        </w:rPr>
        <w:t>,</w:t>
      </w:r>
      <w:r w:rsidR="00444283" w:rsidRPr="00060F9C">
        <w:rPr>
          <w:rStyle w:val="Numeracinttulo"/>
          <w:b w:val="0"/>
          <w:bCs w:val="0"/>
          <w:sz w:val="26"/>
          <w:szCs w:val="26"/>
        </w:rPr>
        <w:t xml:space="preserve"> fue correcta, porque</w:t>
      </w:r>
      <w:r w:rsidR="00746D3C" w:rsidRPr="00060F9C">
        <w:rPr>
          <w:rStyle w:val="Numeracinttulo"/>
          <w:b w:val="0"/>
          <w:bCs w:val="0"/>
          <w:sz w:val="26"/>
          <w:szCs w:val="26"/>
        </w:rPr>
        <w:t xml:space="preserve"> se demostró su</w:t>
      </w:r>
      <w:r w:rsidR="00410ED1" w:rsidRPr="00060F9C">
        <w:rPr>
          <w:rStyle w:val="Numeracinttulo"/>
          <w:b w:val="0"/>
          <w:bCs w:val="0"/>
          <w:sz w:val="26"/>
          <w:szCs w:val="26"/>
        </w:rPr>
        <w:t xml:space="preserve"> condición de consumidor</w:t>
      </w:r>
      <w:r w:rsidR="00444283" w:rsidRPr="00060F9C">
        <w:rPr>
          <w:rStyle w:val="Numeracinttulo"/>
          <w:b w:val="0"/>
          <w:bCs w:val="0"/>
          <w:sz w:val="26"/>
          <w:szCs w:val="26"/>
        </w:rPr>
        <w:t xml:space="preserve"> </w:t>
      </w:r>
      <w:r w:rsidR="00746D3C" w:rsidRPr="00060F9C">
        <w:rPr>
          <w:rStyle w:val="Numeracinttulo"/>
          <w:b w:val="0"/>
          <w:bCs w:val="0"/>
          <w:sz w:val="26"/>
          <w:szCs w:val="26"/>
        </w:rPr>
        <w:t>y adicto</w:t>
      </w:r>
      <w:r w:rsidR="00410ED1" w:rsidRPr="00060F9C">
        <w:rPr>
          <w:rStyle w:val="Numeracinttulo"/>
          <w:b w:val="0"/>
          <w:bCs w:val="0"/>
          <w:sz w:val="26"/>
          <w:szCs w:val="26"/>
        </w:rPr>
        <w:t xml:space="preserve">, </w:t>
      </w:r>
      <w:r w:rsidR="00021B94" w:rsidRPr="00060F9C">
        <w:rPr>
          <w:rStyle w:val="Numeracinttulo"/>
          <w:b w:val="0"/>
          <w:bCs w:val="0"/>
          <w:sz w:val="26"/>
          <w:szCs w:val="26"/>
        </w:rPr>
        <w:t xml:space="preserve">y ello </w:t>
      </w:r>
      <w:r w:rsidR="00746D3C" w:rsidRPr="00060F9C">
        <w:rPr>
          <w:rStyle w:val="Numeracinttulo"/>
          <w:b w:val="0"/>
          <w:bCs w:val="0"/>
          <w:sz w:val="26"/>
          <w:szCs w:val="26"/>
        </w:rPr>
        <w:t>permite catalogarlo como un</w:t>
      </w:r>
      <w:r w:rsidR="00754B0D" w:rsidRPr="00060F9C">
        <w:rPr>
          <w:rStyle w:val="Numeracinttulo"/>
          <w:b w:val="0"/>
          <w:bCs w:val="0"/>
          <w:sz w:val="26"/>
          <w:szCs w:val="26"/>
        </w:rPr>
        <w:t xml:space="preserve"> enfermo</w:t>
      </w:r>
      <w:r w:rsidR="00746D3C" w:rsidRPr="00060F9C">
        <w:rPr>
          <w:rStyle w:val="Numeracinttulo"/>
          <w:b w:val="0"/>
          <w:bCs w:val="0"/>
          <w:sz w:val="26"/>
          <w:szCs w:val="26"/>
        </w:rPr>
        <w:t xml:space="preserve"> y no como un delincuente, y en ese sentido la Corporación llam</w:t>
      </w:r>
      <w:r w:rsidR="00754B0D" w:rsidRPr="00060F9C">
        <w:rPr>
          <w:rStyle w:val="Numeracinttulo"/>
          <w:b w:val="0"/>
          <w:bCs w:val="0"/>
          <w:sz w:val="26"/>
          <w:szCs w:val="26"/>
        </w:rPr>
        <w:t>ó</w:t>
      </w:r>
      <w:r w:rsidR="00410ED1" w:rsidRPr="00060F9C">
        <w:rPr>
          <w:rStyle w:val="Numeracinttulo"/>
          <w:b w:val="0"/>
          <w:bCs w:val="0"/>
          <w:sz w:val="26"/>
          <w:szCs w:val="26"/>
        </w:rPr>
        <w:t xml:space="preserve"> la atención del Estado</w:t>
      </w:r>
      <w:r w:rsidR="00746D3C" w:rsidRPr="00060F9C">
        <w:rPr>
          <w:rStyle w:val="Numeracinttulo"/>
          <w:b w:val="0"/>
          <w:bCs w:val="0"/>
          <w:sz w:val="26"/>
          <w:szCs w:val="26"/>
        </w:rPr>
        <w:t xml:space="preserve"> </w:t>
      </w:r>
      <w:r w:rsidR="00746D3C" w:rsidRPr="00060F9C">
        <w:rPr>
          <w:rStyle w:val="Numeracinttulo"/>
          <w:b w:val="0"/>
          <w:bCs w:val="0"/>
          <w:sz w:val="26"/>
          <w:szCs w:val="26"/>
        </w:rPr>
        <w:lastRenderedPageBreak/>
        <w:t>para que</w:t>
      </w:r>
      <w:r w:rsidR="00754B0D" w:rsidRPr="00060F9C">
        <w:rPr>
          <w:rStyle w:val="Numeracinttulo"/>
          <w:b w:val="0"/>
          <w:bCs w:val="0"/>
          <w:sz w:val="26"/>
          <w:szCs w:val="26"/>
        </w:rPr>
        <w:t xml:space="preserve"> a ese tipo de personas</w:t>
      </w:r>
      <w:r w:rsidR="00746D3C" w:rsidRPr="00060F9C">
        <w:rPr>
          <w:rStyle w:val="Numeracinttulo"/>
          <w:b w:val="0"/>
          <w:bCs w:val="0"/>
          <w:sz w:val="26"/>
          <w:szCs w:val="26"/>
        </w:rPr>
        <w:t xml:space="preserve"> se le garantice </w:t>
      </w:r>
      <w:r w:rsidR="00410ED1" w:rsidRPr="00060F9C">
        <w:rPr>
          <w:rStyle w:val="Numeracinttulo"/>
          <w:b w:val="0"/>
          <w:bCs w:val="0"/>
          <w:sz w:val="26"/>
          <w:szCs w:val="26"/>
        </w:rPr>
        <w:t>una especial protección</w:t>
      </w:r>
      <w:r w:rsidR="00746D3C" w:rsidRPr="00060F9C">
        <w:rPr>
          <w:rStyle w:val="Numeracinttulo"/>
          <w:b w:val="0"/>
          <w:bCs w:val="0"/>
          <w:sz w:val="26"/>
          <w:szCs w:val="26"/>
        </w:rPr>
        <w:t xml:space="preserve"> por parte de</w:t>
      </w:r>
      <w:r w:rsidR="00410ED1" w:rsidRPr="00060F9C">
        <w:rPr>
          <w:rStyle w:val="Numeracinttulo"/>
          <w:b w:val="0"/>
          <w:bCs w:val="0"/>
          <w:sz w:val="26"/>
          <w:szCs w:val="26"/>
        </w:rPr>
        <w:t xml:space="preserve"> las entidades.</w:t>
      </w:r>
    </w:p>
    <w:p w:rsidR="00561498" w:rsidRPr="00060F9C" w:rsidRDefault="00561498" w:rsidP="00C57F9E">
      <w:pPr>
        <w:rPr>
          <w:rStyle w:val="Numeracinttulo"/>
          <w:b w:val="0"/>
          <w:bCs w:val="0"/>
          <w:sz w:val="26"/>
          <w:szCs w:val="26"/>
        </w:rPr>
      </w:pPr>
    </w:p>
    <w:p w:rsidR="002A5C6F" w:rsidRPr="00060F9C" w:rsidRDefault="002A5C6F" w:rsidP="00C0178C">
      <w:pPr>
        <w:rPr>
          <w:rFonts w:ascii="Algerian" w:hAnsi="Algerian"/>
        </w:rPr>
      </w:pPr>
      <w:r w:rsidRPr="00060F9C">
        <w:rPr>
          <w:b/>
          <w:sz w:val="24"/>
          <w:szCs w:val="24"/>
        </w:rPr>
        <w:t>2.2</w:t>
      </w:r>
      <w:r w:rsidR="00B7042D" w:rsidRPr="00060F9C">
        <w:rPr>
          <w:b/>
          <w:sz w:val="24"/>
          <w:szCs w:val="24"/>
        </w:rPr>
        <w:t>.</w:t>
      </w:r>
      <w:r w:rsidRPr="00060F9C">
        <w:rPr>
          <w:b/>
          <w:sz w:val="24"/>
          <w:szCs w:val="24"/>
        </w:rPr>
        <w:t>-</w:t>
      </w:r>
      <w:r w:rsidRPr="00060F9C">
        <w:rPr>
          <w:b/>
        </w:rPr>
        <w:t xml:space="preserve"> </w:t>
      </w:r>
      <w:r w:rsidRPr="00060F9C">
        <w:t xml:space="preserve">Fiscalía </w:t>
      </w:r>
      <w:r w:rsidRPr="00060F9C">
        <w:rPr>
          <w:rFonts w:ascii="Verdana" w:hAnsi="Verdana"/>
          <w:sz w:val="20"/>
          <w:szCs w:val="20"/>
        </w:rPr>
        <w:t>-no recurrente-</w:t>
      </w:r>
    </w:p>
    <w:p w:rsidR="002A5C6F" w:rsidRPr="00060F9C" w:rsidRDefault="002A5C6F" w:rsidP="00C0178C"/>
    <w:p w:rsidR="005D72F9" w:rsidRPr="00060F9C" w:rsidRDefault="00131652" w:rsidP="00C0178C">
      <w:r w:rsidRPr="00060F9C">
        <w:t xml:space="preserve">Sostiene que debe confirmarse </w:t>
      </w:r>
      <w:r w:rsidR="002A5C6F" w:rsidRPr="00060F9C">
        <w:t xml:space="preserve">el fallo </w:t>
      </w:r>
      <w:r w:rsidRPr="00060F9C">
        <w:t>de responsabilidad emitido</w:t>
      </w:r>
      <w:r w:rsidR="002A5C6F" w:rsidRPr="00060F9C">
        <w:t xml:space="preserve"> por la primera instancia,</w:t>
      </w:r>
      <w:r w:rsidR="002F163C" w:rsidRPr="00060F9C">
        <w:t xml:space="preserve"> </w:t>
      </w:r>
      <w:r w:rsidRPr="00060F9C">
        <w:t>con fundamento en lo siguiente</w:t>
      </w:r>
      <w:r w:rsidR="002A5C6F" w:rsidRPr="00060F9C">
        <w:t>:</w:t>
      </w:r>
      <w:r w:rsidR="002F163C" w:rsidRPr="00060F9C">
        <w:t xml:space="preserve"> </w:t>
      </w:r>
    </w:p>
    <w:p w:rsidR="005D72F9" w:rsidRPr="00060F9C" w:rsidRDefault="005D72F9" w:rsidP="00C0178C"/>
    <w:p w:rsidR="005D72F9" w:rsidRPr="00060F9C" w:rsidRDefault="00C91ABB" w:rsidP="00C0178C">
      <w:r w:rsidRPr="00060F9C">
        <w:t>La sentencia condenatoria proferida por el juez de primer nivel es el resultado de la valora</w:t>
      </w:r>
      <w:r w:rsidR="00754B0D" w:rsidRPr="00060F9C">
        <w:t>ción de todas las pruebas practicadas</w:t>
      </w:r>
      <w:r w:rsidR="00791E62" w:rsidRPr="00060F9C">
        <w:t xml:space="preserve"> y allegadas a</w:t>
      </w:r>
      <w:r w:rsidR="00754B0D" w:rsidRPr="00060F9C">
        <w:t xml:space="preserve"> </w:t>
      </w:r>
      <w:r w:rsidRPr="00060F9C">
        <w:t xml:space="preserve">la actuación, </w:t>
      </w:r>
      <w:r w:rsidR="00754B0D" w:rsidRPr="00060F9C">
        <w:t xml:space="preserve">de conformidad con las cuales se determinó </w:t>
      </w:r>
      <w:r w:rsidRPr="00060F9C">
        <w:t>a la existencia de los hechos y la responsabilidad del acusado en calidad de autor y a título de dolo.</w:t>
      </w:r>
    </w:p>
    <w:p w:rsidR="00C91ABB" w:rsidRPr="00060F9C" w:rsidRDefault="00C91ABB" w:rsidP="00C0178C"/>
    <w:p w:rsidR="00C91ABB" w:rsidRPr="00060F9C" w:rsidRDefault="00C91ABB" w:rsidP="00C0178C">
      <w:r w:rsidRPr="00060F9C">
        <w:t xml:space="preserve">No se pueden olvidar las circunstancias que rodearon la captura del señor </w:t>
      </w:r>
      <w:r w:rsidRPr="00060F9C">
        <w:rPr>
          <w:b/>
          <w:sz w:val="22"/>
          <w:szCs w:val="22"/>
        </w:rPr>
        <w:t>E</w:t>
      </w:r>
      <w:r w:rsidR="00852711">
        <w:rPr>
          <w:b/>
          <w:sz w:val="22"/>
          <w:szCs w:val="22"/>
        </w:rPr>
        <w:t>ARG</w:t>
      </w:r>
      <w:r w:rsidR="0084039E" w:rsidRPr="00060F9C">
        <w:t xml:space="preserve">, </w:t>
      </w:r>
      <w:r w:rsidR="00B53B1F" w:rsidRPr="00060F9C">
        <w:t xml:space="preserve">puesto que </w:t>
      </w:r>
      <w:r w:rsidRPr="00060F9C">
        <w:t>según lo informado por los agentes captores en sus d</w:t>
      </w:r>
      <w:r w:rsidR="00B53B1F" w:rsidRPr="00060F9C">
        <w:t>eclaraciones, previo a su aprehensión</w:t>
      </w:r>
      <w:r w:rsidRPr="00060F9C">
        <w:t xml:space="preserve"> recibieron </w:t>
      </w:r>
      <w:r w:rsidR="00E50F7B" w:rsidRPr="00060F9C">
        <w:t>información en cuanto a que éste</w:t>
      </w:r>
      <w:r w:rsidR="00B53B1F" w:rsidRPr="00060F9C">
        <w:t>, quien es bastante conocido en el municipio,</w:t>
      </w:r>
      <w:r w:rsidRPr="00060F9C">
        <w:t xml:space="preserve"> </w:t>
      </w:r>
      <w:r w:rsidR="00E50F7B" w:rsidRPr="00060F9C">
        <w:t xml:space="preserve">estaba </w:t>
      </w:r>
      <w:r w:rsidRPr="00060F9C">
        <w:t xml:space="preserve">en el sector de la galería al parecer expendiendo estupefacientes, por lo que se trasladaron hasta ese lugar, </w:t>
      </w:r>
      <w:r w:rsidR="00B53B1F" w:rsidRPr="00060F9C">
        <w:t xml:space="preserve">y </w:t>
      </w:r>
      <w:r w:rsidRPr="00060F9C">
        <w:t>allí</w:t>
      </w:r>
      <w:r w:rsidR="00E50F7B" w:rsidRPr="00060F9C">
        <w:t xml:space="preserve"> lo encontraron</w:t>
      </w:r>
      <w:r w:rsidR="00021B94" w:rsidRPr="00060F9C">
        <w:t xml:space="preserve">, mas no estaba consumiendo </w:t>
      </w:r>
      <w:r w:rsidR="00B53B1F" w:rsidRPr="00060F9C">
        <w:t>estupefacientes</w:t>
      </w:r>
      <w:r w:rsidR="00ED17F5" w:rsidRPr="00060F9C">
        <w:t>. Dicho ciudadano</w:t>
      </w:r>
      <w:r w:rsidR="00E50F7B" w:rsidRPr="00060F9C">
        <w:t xml:space="preserve"> a</w:t>
      </w:r>
      <w:r w:rsidRPr="00060F9C">
        <w:t>l notar la presencia policial huyó con el fin de evadirlos</w:t>
      </w:r>
      <w:r w:rsidR="005873D3" w:rsidRPr="00060F9C">
        <w:t>, pero lograron</w:t>
      </w:r>
      <w:r w:rsidR="00E50F7B" w:rsidRPr="00060F9C">
        <w:t xml:space="preserve"> alcanzarlo</w:t>
      </w:r>
      <w:r w:rsidR="00B53B1F" w:rsidRPr="00060F9C">
        <w:t xml:space="preserve"> y </w:t>
      </w:r>
      <w:r w:rsidR="00E50F7B" w:rsidRPr="00060F9C">
        <w:t>ver</w:t>
      </w:r>
      <w:r w:rsidR="00B53B1F" w:rsidRPr="00060F9C">
        <w:t xml:space="preserve"> </w:t>
      </w:r>
      <w:r w:rsidR="005873D3" w:rsidRPr="00060F9C">
        <w:t xml:space="preserve">cuando </w:t>
      </w:r>
      <w:r w:rsidR="00B53B1F" w:rsidRPr="00060F9C">
        <w:t>arrojó una bolsa que contenía e</w:t>
      </w:r>
      <w:r w:rsidR="00166F73" w:rsidRPr="00060F9C">
        <w:t>l alcaloide.</w:t>
      </w:r>
    </w:p>
    <w:p w:rsidR="00D42651" w:rsidRPr="00060F9C" w:rsidRDefault="00D42651" w:rsidP="00C0178C"/>
    <w:p w:rsidR="005873D3" w:rsidRPr="00060F9C" w:rsidRDefault="00D42651" w:rsidP="005873D3">
      <w:r w:rsidRPr="00060F9C">
        <w:t>Si esa sustancia estupefaciente era para el consumo,</w:t>
      </w:r>
      <w:r w:rsidR="00ED17F5" w:rsidRPr="00060F9C">
        <w:t xml:space="preserve"> como se afirma,</w:t>
      </w:r>
      <w:r w:rsidRPr="00060F9C">
        <w:t xml:space="preserve"> de acuerdo con lo establecido el literal J del artículo 2º de la Ley 30/86</w:t>
      </w:r>
      <w:r w:rsidR="00791E62" w:rsidRPr="00060F9C">
        <w:t>,</w:t>
      </w:r>
      <w:r w:rsidRPr="00060F9C">
        <w:t xml:space="preserve"> declarado exeq</w:t>
      </w:r>
      <w:r w:rsidR="007315B4" w:rsidRPr="00060F9C">
        <w:t>uible en la sentencia C-</w:t>
      </w:r>
      <w:r w:rsidR="00791E62" w:rsidRPr="00060F9C">
        <w:t xml:space="preserve">221/94, la </w:t>
      </w:r>
      <w:r w:rsidRPr="00060F9C">
        <w:t xml:space="preserve">dosis personal para cocaína </w:t>
      </w:r>
      <w:r w:rsidR="00021B94" w:rsidRPr="00060F9C">
        <w:t>es de 1 gramo</w:t>
      </w:r>
      <w:r w:rsidR="005873D3" w:rsidRPr="00060F9C">
        <w:t xml:space="preserve">, disposición a la que el señor </w:t>
      </w:r>
      <w:r w:rsidR="005873D3" w:rsidRPr="00060F9C">
        <w:rPr>
          <w:b/>
          <w:sz w:val="22"/>
          <w:szCs w:val="22"/>
        </w:rPr>
        <w:t>E</w:t>
      </w:r>
      <w:r w:rsidR="00852711">
        <w:rPr>
          <w:b/>
          <w:sz w:val="22"/>
          <w:szCs w:val="22"/>
        </w:rPr>
        <w:t>ARG</w:t>
      </w:r>
      <w:r w:rsidR="005873D3" w:rsidRPr="00060F9C">
        <w:t xml:space="preserve"> debía ceñirse, pero éste sobrepasó esa cantidad, por lo que es responsable de la conducta punible por la que fue condenado.</w:t>
      </w:r>
    </w:p>
    <w:p w:rsidR="00791E62" w:rsidRPr="00060F9C" w:rsidRDefault="00791E62" w:rsidP="00791E62"/>
    <w:p w:rsidR="00791E62" w:rsidRPr="00060F9C" w:rsidRDefault="00791E62" w:rsidP="00791E62">
      <w:pPr>
        <w:rPr>
          <w:spacing w:val="-4"/>
        </w:rPr>
      </w:pPr>
      <w:r w:rsidRPr="00060F9C">
        <w:t xml:space="preserve">De permitirse que la dosis legal se sobrepase al capricho de las personas o de acuerdo con las necesidades que éstas tengan, se estaría patrocinando otro </w:t>
      </w:r>
      <w:r w:rsidRPr="00060F9C">
        <w:lastRenderedPageBreak/>
        <w:t xml:space="preserve">tipo de </w:t>
      </w:r>
      <w:r w:rsidR="00ED17F5" w:rsidRPr="00060F9C">
        <w:t>delitos relacionados</w:t>
      </w:r>
      <w:r w:rsidRPr="00060F9C">
        <w:t xml:space="preserve"> con el narcotráfico, y precisamente en la sentencia 35978 de agosto 17 de 2011, se consignó que las personas </w:t>
      </w:r>
      <w:r w:rsidRPr="00060F9C">
        <w:rPr>
          <w:spacing w:val="-4"/>
        </w:rPr>
        <w:t>consumidoras de sustancias estupefaci</w:t>
      </w:r>
      <w:r w:rsidR="00021B94" w:rsidRPr="00060F9C">
        <w:rPr>
          <w:spacing w:val="-4"/>
        </w:rPr>
        <w:t>entes que</w:t>
      </w:r>
      <w:r w:rsidRPr="00060F9C">
        <w:rPr>
          <w:spacing w:val="-4"/>
        </w:rPr>
        <w:t xml:space="preserve"> llevan cantidades que superen la cantidad permitida deben responder penalmente </w:t>
      </w:r>
      <w:r w:rsidR="004261EF" w:rsidRPr="00060F9C">
        <w:rPr>
          <w:spacing w:val="-4"/>
        </w:rPr>
        <w:t>por ese hecho</w:t>
      </w:r>
      <w:r w:rsidRPr="00060F9C">
        <w:rPr>
          <w:spacing w:val="-4"/>
        </w:rPr>
        <w:t>.</w:t>
      </w:r>
    </w:p>
    <w:p w:rsidR="00021B94" w:rsidRPr="00060F9C" w:rsidRDefault="00021B94" w:rsidP="00C0178C">
      <w:pPr>
        <w:rPr>
          <w:spacing w:val="-4"/>
        </w:rPr>
      </w:pPr>
    </w:p>
    <w:p w:rsidR="00A05153" w:rsidRPr="00060F9C" w:rsidRDefault="002A5C6F" w:rsidP="00C0178C">
      <w:pPr>
        <w:rPr>
          <w:rStyle w:val="Algerian"/>
          <w:rFonts w:cs="Algerian"/>
          <w:spacing w:val="-4"/>
          <w:szCs w:val="30"/>
        </w:rPr>
      </w:pPr>
      <w:r w:rsidRPr="00060F9C">
        <w:rPr>
          <w:rStyle w:val="Algerian"/>
          <w:rFonts w:cs="Algerian"/>
          <w:spacing w:val="-4"/>
          <w:szCs w:val="30"/>
        </w:rPr>
        <w:t>3</w:t>
      </w:r>
      <w:r w:rsidR="00A93253" w:rsidRPr="00060F9C">
        <w:rPr>
          <w:rStyle w:val="Algerian"/>
          <w:rFonts w:cs="Algerian"/>
          <w:spacing w:val="-4"/>
          <w:szCs w:val="30"/>
        </w:rPr>
        <w:t xml:space="preserve">.- </w:t>
      </w:r>
      <w:r w:rsidR="00A05153" w:rsidRPr="00060F9C">
        <w:rPr>
          <w:rStyle w:val="Algerian"/>
          <w:rFonts w:ascii="Tahoma" w:hAnsi="Tahoma"/>
          <w:spacing w:val="-4"/>
          <w:sz w:val="28"/>
          <w:szCs w:val="28"/>
        </w:rPr>
        <w:t>Para resolver,</w:t>
      </w:r>
      <w:r w:rsidR="00A05153" w:rsidRPr="00060F9C">
        <w:rPr>
          <w:rStyle w:val="Algerian"/>
          <w:rFonts w:ascii="Tahoma" w:hAnsi="Tahoma"/>
          <w:spacing w:val="-4"/>
          <w:szCs w:val="30"/>
        </w:rPr>
        <w:t xml:space="preserve"> </w:t>
      </w:r>
      <w:r w:rsidR="00A05153" w:rsidRPr="00060F9C">
        <w:rPr>
          <w:rStyle w:val="Algerian"/>
          <w:rFonts w:cs="Algerian"/>
          <w:spacing w:val="-4"/>
          <w:szCs w:val="30"/>
        </w:rPr>
        <w:t>SE CONSIDERA</w:t>
      </w:r>
    </w:p>
    <w:p w:rsidR="00D579AE" w:rsidRPr="00060F9C" w:rsidRDefault="00D579AE" w:rsidP="00C0178C">
      <w:pPr>
        <w:rPr>
          <w:b/>
          <w:bCs/>
          <w:spacing w:val="-4"/>
          <w:sz w:val="24"/>
          <w:szCs w:val="24"/>
        </w:rPr>
      </w:pPr>
    </w:p>
    <w:p w:rsidR="00D579AE" w:rsidRPr="00060F9C" w:rsidRDefault="002A5C6F" w:rsidP="00C0178C">
      <w:pPr>
        <w:rPr>
          <w:b/>
          <w:bCs/>
          <w:spacing w:val="-4"/>
          <w:sz w:val="24"/>
          <w:szCs w:val="24"/>
        </w:rPr>
      </w:pPr>
      <w:r w:rsidRPr="00060F9C">
        <w:rPr>
          <w:b/>
          <w:bCs/>
          <w:spacing w:val="-4"/>
          <w:sz w:val="24"/>
          <w:szCs w:val="24"/>
        </w:rPr>
        <w:t>3</w:t>
      </w:r>
      <w:r w:rsidR="00D579AE" w:rsidRPr="00060F9C">
        <w:rPr>
          <w:b/>
          <w:bCs/>
          <w:spacing w:val="-4"/>
          <w:sz w:val="24"/>
          <w:szCs w:val="24"/>
        </w:rPr>
        <w:t>.1.- Competencia</w:t>
      </w:r>
    </w:p>
    <w:p w:rsidR="00D579AE" w:rsidRPr="00060F9C" w:rsidRDefault="00D579AE" w:rsidP="00C0178C">
      <w:pPr>
        <w:rPr>
          <w:spacing w:val="-4"/>
        </w:rPr>
      </w:pPr>
    </w:p>
    <w:p w:rsidR="00AE7E87" w:rsidRPr="00060F9C" w:rsidRDefault="00AE7E87" w:rsidP="00C0178C">
      <w:pPr>
        <w:rPr>
          <w:rFonts w:ascii="Verdana" w:hAnsi="Verdana"/>
          <w:spacing w:val="-4"/>
          <w:sz w:val="20"/>
          <w:szCs w:val="20"/>
        </w:rPr>
      </w:pPr>
      <w:r w:rsidRPr="00060F9C">
        <w:rPr>
          <w:spacing w:val="-4"/>
        </w:rPr>
        <w:t xml:space="preserve">La tiene esta Colegiatura de conformidad con los factores objetivo, territorial y funcional a voces de los artículos 20, 34.1 y 179 de la Ley 906 de 2004 </w:t>
      </w:r>
      <w:r w:rsidRPr="00060F9C">
        <w:rPr>
          <w:rFonts w:ascii="Verdana" w:hAnsi="Verdana" w:cs="Verdana"/>
          <w:spacing w:val="-4"/>
          <w:sz w:val="20"/>
          <w:szCs w:val="20"/>
        </w:rPr>
        <w:t>-modificado este último por el artículo 91 de la Ley 1395 de 2010-</w:t>
      </w:r>
      <w:r w:rsidRPr="00060F9C">
        <w:rPr>
          <w:spacing w:val="-4"/>
        </w:rPr>
        <w:t xml:space="preserve">, al haber sido oportunamente interpuesta y debidamente sustentada una apelación contra providencia susceptible de ese recurso y por una parte habilitada para hacerlo </w:t>
      </w:r>
      <w:r w:rsidRPr="00060F9C">
        <w:rPr>
          <w:rFonts w:ascii="Verdana" w:hAnsi="Verdana" w:cs="Verdana"/>
          <w:spacing w:val="-4"/>
          <w:sz w:val="20"/>
          <w:szCs w:val="20"/>
        </w:rPr>
        <w:t>-en nuestro caso la defensa-</w:t>
      </w:r>
      <w:r w:rsidRPr="00060F9C">
        <w:rPr>
          <w:rFonts w:ascii="Verdana" w:hAnsi="Verdana"/>
          <w:spacing w:val="-4"/>
          <w:sz w:val="20"/>
          <w:szCs w:val="20"/>
        </w:rPr>
        <w:t>.</w:t>
      </w:r>
    </w:p>
    <w:p w:rsidR="00AE7E87" w:rsidRPr="00060F9C" w:rsidRDefault="00AE7E87" w:rsidP="00C0178C">
      <w:pPr>
        <w:rPr>
          <w:b/>
          <w:bCs/>
          <w:spacing w:val="-4"/>
        </w:rPr>
      </w:pPr>
    </w:p>
    <w:p w:rsidR="00D579AE" w:rsidRPr="00060F9C" w:rsidRDefault="002A5C6F" w:rsidP="00C0178C">
      <w:pPr>
        <w:rPr>
          <w:spacing w:val="-4"/>
          <w:sz w:val="24"/>
          <w:szCs w:val="24"/>
        </w:rPr>
      </w:pPr>
      <w:r w:rsidRPr="00060F9C">
        <w:rPr>
          <w:b/>
          <w:bCs/>
          <w:spacing w:val="-4"/>
          <w:sz w:val="24"/>
          <w:szCs w:val="24"/>
        </w:rPr>
        <w:t>3</w:t>
      </w:r>
      <w:r w:rsidR="00D579AE" w:rsidRPr="00060F9C">
        <w:rPr>
          <w:b/>
          <w:bCs/>
          <w:spacing w:val="-4"/>
          <w:sz w:val="24"/>
          <w:szCs w:val="24"/>
        </w:rPr>
        <w:t>.2.-</w:t>
      </w:r>
      <w:r w:rsidR="00D579AE" w:rsidRPr="00060F9C">
        <w:rPr>
          <w:spacing w:val="-4"/>
          <w:sz w:val="24"/>
          <w:szCs w:val="24"/>
        </w:rPr>
        <w:t xml:space="preserve"> </w:t>
      </w:r>
      <w:r w:rsidR="00D579AE" w:rsidRPr="00060F9C">
        <w:rPr>
          <w:b/>
          <w:bCs/>
          <w:spacing w:val="-4"/>
          <w:sz w:val="24"/>
          <w:szCs w:val="24"/>
        </w:rPr>
        <w:t>Problema jurídico planteado</w:t>
      </w:r>
    </w:p>
    <w:p w:rsidR="00D579AE" w:rsidRPr="00060F9C" w:rsidRDefault="00D579AE" w:rsidP="00C0178C">
      <w:pPr>
        <w:rPr>
          <w:spacing w:val="-4"/>
        </w:rPr>
      </w:pPr>
    </w:p>
    <w:p w:rsidR="005873D3" w:rsidRPr="00060F9C" w:rsidRDefault="005873D3" w:rsidP="005873D3">
      <w:pPr>
        <w:rPr>
          <w:spacing w:val="-4"/>
        </w:rPr>
      </w:pPr>
      <w:r w:rsidRPr="00060F9C">
        <w:rPr>
          <w:spacing w:val="-4"/>
        </w:rPr>
        <w:t>Al Tribunal le corresponde establecer si la decisión condenatoria proferida por la primera instancia en contra del aquí implicado se encuentra ajustada a derecho</w:t>
      </w:r>
      <w:r w:rsidR="009451EB" w:rsidRPr="00060F9C">
        <w:rPr>
          <w:spacing w:val="-4"/>
        </w:rPr>
        <w:t>,</w:t>
      </w:r>
      <w:r w:rsidRPr="00060F9C">
        <w:rPr>
          <w:spacing w:val="-4"/>
        </w:rPr>
        <w:t xml:space="preserve"> y para tal</w:t>
      </w:r>
      <w:r w:rsidR="00676F58" w:rsidRPr="00060F9C">
        <w:rPr>
          <w:spacing w:val="-4"/>
        </w:rPr>
        <w:t xml:space="preserve"> efecto es necesario determinar si en el presente caso puede desvirtuarse la presunción de antijuridicidad de la conducta de tráfico de estupefacientes en la modalidad de </w:t>
      </w:r>
      <w:r w:rsidR="009451EB" w:rsidRPr="00060F9C">
        <w:rPr>
          <w:spacing w:val="-4"/>
        </w:rPr>
        <w:t>“</w:t>
      </w:r>
      <w:r w:rsidR="00676F58" w:rsidRPr="00060F9C">
        <w:rPr>
          <w:spacing w:val="-4"/>
        </w:rPr>
        <w:t>llevar consigo</w:t>
      </w:r>
      <w:r w:rsidR="009451EB" w:rsidRPr="00060F9C">
        <w:rPr>
          <w:spacing w:val="-4"/>
        </w:rPr>
        <w:t>”,</w:t>
      </w:r>
      <w:r w:rsidRPr="00060F9C">
        <w:rPr>
          <w:spacing w:val="-4"/>
        </w:rPr>
        <w:t xml:space="preserve"> </w:t>
      </w:r>
      <w:r w:rsidR="00F921F8" w:rsidRPr="00060F9C">
        <w:rPr>
          <w:spacing w:val="-4"/>
        </w:rPr>
        <w:t xml:space="preserve">que le fue endilgada al acusado, y </w:t>
      </w:r>
      <w:r w:rsidR="008F7299" w:rsidRPr="00060F9C">
        <w:rPr>
          <w:spacing w:val="-4"/>
        </w:rPr>
        <w:t xml:space="preserve">en consecuencia </w:t>
      </w:r>
      <w:r w:rsidR="00F921F8" w:rsidRPr="00060F9C">
        <w:rPr>
          <w:spacing w:val="-4"/>
        </w:rPr>
        <w:t xml:space="preserve">hay lugar a absolverlo en aplicación </w:t>
      </w:r>
      <w:r w:rsidR="00D15666" w:rsidRPr="00060F9C">
        <w:rPr>
          <w:spacing w:val="-4"/>
        </w:rPr>
        <w:t>del precedente de</w:t>
      </w:r>
      <w:r w:rsidRPr="00060F9C">
        <w:rPr>
          <w:spacing w:val="-4"/>
        </w:rPr>
        <w:t xml:space="preserve"> la H. </w:t>
      </w:r>
      <w:r w:rsidR="00D15666" w:rsidRPr="00060F9C">
        <w:rPr>
          <w:spacing w:val="-4"/>
        </w:rPr>
        <w:t xml:space="preserve">Corte Suprema de Justicia </w:t>
      </w:r>
      <w:r w:rsidR="00F921F8" w:rsidRPr="00060F9C">
        <w:rPr>
          <w:spacing w:val="-4"/>
        </w:rPr>
        <w:t xml:space="preserve">consignado en la sentencia </w:t>
      </w:r>
      <w:r w:rsidRPr="00060F9C">
        <w:rPr>
          <w:spacing w:val="-4"/>
        </w:rPr>
        <w:t xml:space="preserve">CJS SP, 12 nov. </w:t>
      </w:r>
      <w:r w:rsidRPr="00060F9C">
        <w:rPr>
          <w:rStyle w:val="Numeracinttulo"/>
          <w:b w:val="0"/>
          <w:bCs w:val="0"/>
          <w:spacing w:val="-4"/>
          <w:sz w:val="26"/>
          <w:szCs w:val="26"/>
        </w:rPr>
        <w:t>2014, rad. 42617</w:t>
      </w:r>
      <w:r w:rsidR="00657DA0" w:rsidRPr="00060F9C">
        <w:rPr>
          <w:spacing w:val="-4"/>
        </w:rPr>
        <w:t>.</w:t>
      </w:r>
    </w:p>
    <w:p w:rsidR="00881A6F" w:rsidRPr="00060F9C" w:rsidRDefault="00881A6F" w:rsidP="00C0178C">
      <w:pPr>
        <w:rPr>
          <w:spacing w:val="-4"/>
        </w:rPr>
      </w:pPr>
    </w:p>
    <w:p w:rsidR="00D579AE" w:rsidRPr="00060F9C" w:rsidRDefault="002A5C6F" w:rsidP="00C0178C">
      <w:pPr>
        <w:rPr>
          <w:b/>
          <w:bCs/>
          <w:spacing w:val="-4"/>
          <w:sz w:val="24"/>
          <w:szCs w:val="24"/>
        </w:rPr>
      </w:pPr>
      <w:r w:rsidRPr="00060F9C">
        <w:rPr>
          <w:b/>
          <w:bCs/>
          <w:spacing w:val="-4"/>
          <w:sz w:val="24"/>
          <w:szCs w:val="24"/>
        </w:rPr>
        <w:t>3</w:t>
      </w:r>
      <w:r w:rsidR="00D579AE" w:rsidRPr="00060F9C">
        <w:rPr>
          <w:b/>
          <w:bCs/>
          <w:spacing w:val="-4"/>
          <w:sz w:val="24"/>
          <w:szCs w:val="24"/>
        </w:rPr>
        <w:t>.3.- Solución a la controversia</w:t>
      </w:r>
    </w:p>
    <w:p w:rsidR="00A27BD4" w:rsidRPr="00060F9C" w:rsidRDefault="00A27BD4" w:rsidP="00FF62FD">
      <w:pPr>
        <w:widowControl w:val="0"/>
        <w:autoSpaceDE w:val="0"/>
        <w:autoSpaceDN w:val="0"/>
        <w:adjustRightInd w:val="0"/>
        <w:rPr>
          <w:spacing w:val="-4"/>
        </w:rPr>
      </w:pPr>
      <w:r w:rsidRPr="00060F9C">
        <w:rPr>
          <w:spacing w:val="-4"/>
        </w:rPr>
        <w:t xml:space="preserve">No observa la Colegiatura existencia de vicios sustanciales que afecten garantías fundamentales de las partes e intervinientes, puesto que el trámite de todas las etapas procesales se surtió con acatamiento del debido proceso, y los medios de conocimiento fueron incorporados en debida forma, en consonancia con los principios que rigen el sistema penal acusatorio, por lo que se pasará a realizar </w:t>
      </w:r>
      <w:r w:rsidRPr="00060F9C">
        <w:rPr>
          <w:spacing w:val="-4"/>
        </w:rPr>
        <w:lastRenderedPageBreak/>
        <w:t>el análisis correspondiente del fallo adoptado por la primera instancia, en los términos anunciados.</w:t>
      </w:r>
    </w:p>
    <w:p w:rsidR="00D579AE" w:rsidRPr="00060F9C" w:rsidRDefault="00D579AE" w:rsidP="00FF62FD">
      <w:pPr>
        <w:rPr>
          <w:spacing w:val="-4"/>
        </w:rPr>
      </w:pPr>
    </w:p>
    <w:p w:rsidR="00166405" w:rsidRPr="00060F9C" w:rsidRDefault="00A27BD4" w:rsidP="00FF62FD">
      <w:pPr>
        <w:rPr>
          <w:rStyle w:val="Numeracinttulo"/>
          <w:b w:val="0"/>
          <w:spacing w:val="-4"/>
          <w:sz w:val="26"/>
          <w:szCs w:val="26"/>
        </w:rPr>
      </w:pPr>
      <w:r w:rsidRPr="00060F9C">
        <w:rPr>
          <w:spacing w:val="-4"/>
        </w:rPr>
        <w:t xml:space="preserve">Como se indicara al principio de la providencia, los hechos génesis de la presente actuación sucedieron </w:t>
      </w:r>
      <w:r w:rsidR="00166405" w:rsidRPr="00060F9C">
        <w:rPr>
          <w:rStyle w:val="Numeracinttulo"/>
          <w:b w:val="0"/>
          <w:spacing w:val="-4"/>
          <w:sz w:val="26"/>
          <w:szCs w:val="26"/>
        </w:rPr>
        <w:t>en abril 06 de 2014 a las 21:42 horas, cuando personal adscrito a la Policía Nacional del municipio de Apía (Rda.) que realizaba patrullaje por el cuadrante 2 barrio Jaime Rendón Obando, recibió información mediante llamada telefónica de un ciudadano que no se identificó, que en el sector de la Galería se encontraba una persona de sexo masculino, conocido con el alias de “Caballo”, del cual se suministraron las características morfológicas y prendas de vestir, al parecer expendiendo estupefacientes, por lo que de inmediato se dirigieron al lugar y visualizaron al referido sujeto, quien al notar la presencia de los uniformados emprendió la huida. Durante la persecución los gendarmes observaron que éste llevaba en su mano una bolsa plástica transparente que arrojó al piso, y una vez verificaron el contenido de la misma determinaron que en su interior se hallaban 3 bolsas más del mismo material con sustancia pulverulenta con características similares a bazuco, lo que dio lugar a su captura en la calle Jamaraya frente a la nomenclatura No 9-16.</w:t>
      </w:r>
    </w:p>
    <w:p w:rsidR="00A27BD4" w:rsidRPr="00060F9C" w:rsidRDefault="00A27BD4" w:rsidP="00FF62FD">
      <w:pPr>
        <w:widowControl w:val="0"/>
        <w:autoSpaceDE w:val="0"/>
        <w:autoSpaceDN w:val="0"/>
        <w:adjustRightInd w:val="0"/>
        <w:rPr>
          <w:spacing w:val="-4"/>
        </w:rPr>
      </w:pPr>
    </w:p>
    <w:p w:rsidR="00D31E75" w:rsidRPr="00060F9C" w:rsidRDefault="00025F0F" w:rsidP="00FF62FD">
      <w:pPr>
        <w:rPr>
          <w:spacing w:val="-4"/>
        </w:rPr>
      </w:pPr>
      <w:r w:rsidRPr="00060F9C">
        <w:rPr>
          <w:spacing w:val="-4"/>
        </w:rPr>
        <w:t>Por parte de la togada recurrente n</w:t>
      </w:r>
      <w:r w:rsidR="00D31E75" w:rsidRPr="00060F9C">
        <w:rPr>
          <w:spacing w:val="-4"/>
        </w:rPr>
        <w:t xml:space="preserve">o se </w:t>
      </w:r>
      <w:r w:rsidRPr="00060F9C">
        <w:rPr>
          <w:spacing w:val="-4"/>
        </w:rPr>
        <w:t xml:space="preserve">controvierte </w:t>
      </w:r>
      <w:r w:rsidR="00D31E75" w:rsidRPr="00060F9C">
        <w:rPr>
          <w:spacing w:val="-4"/>
        </w:rPr>
        <w:t xml:space="preserve">la materialidad de la conducta, </w:t>
      </w:r>
      <w:r w:rsidRPr="00060F9C">
        <w:rPr>
          <w:spacing w:val="-4"/>
        </w:rPr>
        <w:t xml:space="preserve">en cuanto que reconoce que su representado fue </w:t>
      </w:r>
      <w:r w:rsidR="00D31E75" w:rsidRPr="00060F9C">
        <w:rPr>
          <w:spacing w:val="-4"/>
        </w:rPr>
        <w:t>sorpre</w:t>
      </w:r>
      <w:r w:rsidR="007E11CC" w:rsidRPr="00060F9C">
        <w:rPr>
          <w:spacing w:val="-4"/>
        </w:rPr>
        <w:t>ndido cuando llevaba consigo</w:t>
      </w:r>
      <w:r w:rsidR="00D31E75" w:rsidRPr="00060F9C">
        <w:rPr>
          <w:spacing w:val="-4"/>
        </w:rPr>
        <w:t xml:space="preserve"> sustancia estupefaciente, </w:t>
      </w:r>
      <w:r w:rsidR="004F78E0" w:rsidRPr="00060F9C">
        <w:rPr>
          <w:spacing w:val="-4"/>
        </w:rPr>
        <w:t xml:space="preserve">y en efecto así quedó demostrado, toda vez que al realizar la correspondiente </w:t>
      </w:r>
      <w:r w:rsidR="00D31E75" w:rsidRPr="00060F9C">
        <w:rPr>
          <w:spacing w:val="-4"/>
        </w:rPr>
        <w:t xml:space="preserve">prueba de P.I.P.H. dio resultado positivo para cocaína y sus derivados, con un peso neto de 4.0 gramos, </w:t>
      </w:r>
      <w:r w:rsidR="008F7299" w:rsidRPr="00060F9C">
        <w:rPr>
          <w:spacing w:val="-4"/>
        </w:rPr>
        <w:t>lo</w:t>
      </w:r>
      <w:r w:rsidR="00D31E75" w:rsidRPr="00060F9C">
        <w:rPr>
          <w:spacing w:val="-4"/>
        </w:rPr>
        <w:t xml:space="preserve"> que fue confirmado con prueba de laboratorio.</w:t>
      </w:r>
    </w:p>
    <w:p w:rsidR="00A27BD4" w:rsidRPr="00060F9C" w:rsidRDefault="00A27BD4" w:rsidP="00FF62FD">
      <w:pPr>
        <w:rPr>
          <w:spacing w:val="-4"/>
        </w:rPr>
      </w:pPr>
    </w:p>
    <w:p w:rsidR="00BF2B0B" w:rsidRPr="00060F9C" w:rsidRDefault="00A27BD4" w:rsidP="00FF62FD">
      <w:pPr>
        <w:rPr>
          <w:spacing w:val="-4"/>
        </w:rPr>
      </w:pPr>
      <w:r w:rsidRPr="00060F9C">
        <w:rPr>
          <w:spacing w:val="-4"/>
          <w:lang w:val="es-CO"/>
        </w:rPr>
        <w:t>La censura pla</w:t>
      </w:r>
      <w:r w:rsidR="009451EB" w:rsidRPr="00060F9C">
        <w:rPr>
          <w:spacing w:val="-4"/>
          <w:lang w:val="es-CO"/>
        </w:rPr>
        <w:t>nteada por la profesional del derecho</w:t>
      </w:r>
      <w:r w:rsidR="002A46FD" w:rsidRPr="00060F9C">
        <w:rPr>
          <w:spacing w:val="-4"/>
          <w:lang w:val="es-CO"/>
        </w:rPr>
        <w:t xml:space="preserve"> frente a la</w:t>
      </w:r>
      <w:r w:rsidRPr="00060F9C">
        <w:rPr>
          <w:spacing w:val="-4"/>
          <w:lang w:val="es-CO"/>
        </w:rPr>
        <w:t xml:space="preserve"> determinación</w:t>
      </w:r>
      <w:r w:rsidR="002A46FD" w:rsidRPr="00060F9C">
        <w:rPr>
          <w:spacing w:val="-4"/>
          <w:lang w:val="es-CO"/>
        </w:rPr>
        <w:t xml:space="preserve"> del juez de primer nivel</w:t>
      </w:r>
      <w:r w:rsidRPr="00060F9C">
        <w:rPr>
          <w:spacing w:val="-4"/>
          <w:lang w:val="es-CO"/>
        </w:rPr>
        <w:t>, es</w:t>
      </w:r>
      <w:r w:rsidR="002A46FD" w:rsidRPr="00060F9C">
        <w:rPr>
          <w:spacing w:val="-4"/>
          <w:lang w:val="es-CO"/>
        </w:rPr>
        <w:t xml:space="preserve"> referente a que dicho</w:t>
      </w:r>
      <w:r w:rsidR="006C5792" w:rsidRPr="00060F9C">
        <w:rPr>
          <w:spacing w:val="-4"/>
          <w:lang w:val="es-CO"/>
        </w:rPr>
        <w:t xml:space="preserve"> funcionario, pese a que se acreditó con prueba testimonial la adicción de su representado a los estupefacientes, así como con la historia clínica allegada en el momento de la individualización de pena y sentencia, le impuso una sentencia de condena en consideración a que la cantidad que llevaba consigo </w:t>
      </w:r>
      <w:r w:rsidR="002A46FD" w:rsidRPr="00060F9C">
        <w:rPr>
          <w:spacing w:val="-4"/>
        </w:rPr>
        <w:t xml:space="preserve">supera 3 veces la dosis </w:t>
      </w:r>
      <w:r w:rsidR="002A46FD" w:rsidRPr="00060F9C">
        <w:rPr>
          <w:spacing w:val="-4"/>
        </w:rPr>
        <w:lastRenderedPageBreak/>
        <w:t>establecida por el legislador, y en e</w:t>
      </w:r>
      <w:r w:rsidR="006C5792" w:rsidRPr="00060F9C">
        <w:rPr>
          <w:spacing w:val="-4"/>
        </w:rPr>
        <w:t>sas condiciones su conducta debe</w:t>
      </w:r>
      <w:r w:rsidR="002A46FD" w:rsidRPr="00060F9C">
        <w:rPr>
          <w:spacing w:val="-4"/>
        </w:rPr>
        <w:t xml:space="preserve"> ser sancionada penalmente</w:t>
      </w:r>
      <w:r w:rsidR="00BF2B0B" w:rsidRPr="00060F9C">
        <w:rPr>
          <w:spacing w:val="-4"/>
        </w:rPr>
        <w:t>.</w:t>
      </w:r>
    </w:p>
    <w:p w:rsidR="004F78E0" w:rsidRPr="00060F9C" w:rsidRDefault="00BF2B0B" w:rsidP="00FF62FD">
      <w:pPr>
        <w:rPr>
          <w:spacing w:val="-4"/>
        </w:rPr>
      </w:pPr>
      <w:r w:rsidRPr="00060F9C">
        <w:rPr>
          <w:spacing w:val="-4"/>
        </w:rPr>
        <w:t xml:space="preserve"> </w:t>
      </w:r>
    </w:p>
    <w:p w:rsidR="00A27BD4" w:rsidRPr="00060F9C" w:rsidRDefault="006C5792" w:rsidP="00FF62FD">
      <w:pPr>
        <w:rPr>
          <w:spacing w:val="-4"/>
          <w:lang w:val="es-CO"/>
        </w:rPr>
      </w:pPr>
      <w:r w:rsidRPr="00060F9C">
        <w:rPr>
          <w:rStyle w:val="Numeracinttulo"/>
          <w:b w:val="0"/>
          <w:bCs w:val="0"/>
          <w:spacing w:val="-4"/>
          <w:sz w:val="26"/>
          <w:szCs w:val="26"/>
        </w:rPr>
        <w:t>En su criterio el judicializado en su condición de consumi</w:t>
      </w:r>
      <w:r w:rsidR="009F4A41" w:rsidRPr="00060F9C">
        <w:rPr>
          <w:rStyle w:val="Numeracinttulo"/>
          <w:b w:val="0"/>
          <w:bCs w:val="0"/>
          <w:spacing w:val="-4"/>
          <w:sz w:val="26"/>
          <w:szCs w:val="26"/>
        </w:rPr>
        <w:t>dor habitual de estupefacientes</w:t>
      </w:r>
      <w:r w:rsidRPr="00060F9C">
        <w:rPr>
          <w:rStyle w:val="Numeracinttulo"/>
          <w:b w:val="0"/>
          <w:bCs w:val="0"/>
          <w:spacing w:val="-4"/>
          <w:sz w:val="26"/>
          <w:szCs w:val="26"/>
        </w:rPr>
        <w:t xml:space="preserve"> no debe ser tratado como un delincuente sino como una persona enferma, a la cual el Estado debe garantizarle una especial protección, y al respecto </w:t>
      </w:r>
      <w:r w:rsidR="00D9668A" w:rsidRPr="00060F9C">
        <w:rPr>
          <w:rStyle w:val="Numeracinttulo"/>
          <w:b w:val="0"/>
          <w:bCs w:val="0"/>
          <w:spacing w:val="-4"/>
          <w:sz w:val="26"/>
          <w:szCs w:val="26"/>
        </w:rPr>
        <w:t xml:space="preserve">citó pronunciamiento de </w:t>
      </w:r>
      <w:r w:rsidRPr="00060F9C">
        <w:rPr>
          <w:rStyle w:val="Numeracinttulo"/>
          <w:b w:val="0"/>
          <w:bCs w:val="0"/>
          <w:spacing w:val="-4"/>
          <w:sz w:val="26"/>
          <w:szCs w:val="26"/>
        </w:rPr>
        <w:t>la H.</w:t>
      </w:r>
      <w:r w:rsidR="00D9668A" w:rsidRPr="00060F9C">
        <w:rPr>
          <w:rStyle w:val="Numeracinttulo"/>
          <w:b w:val="0"/>
          <w:bCs w:val="0"/>
          <w:spacing w:val="-4"/>
          <w:sz w:val="26"/>
          <w:szCs w:val="26"/>
        </w:rPr>
        <w:t xml:space="preserve"> Corte Suprema de Justicia (</w:t>
      </w:r>
      <w:r w:rsidRPr="00060F9C">
        <w:rPr>
          <w:rStyle w:val="Numeracinttulo"/>
          <w:b w:val="0"/>
          <w:bCs w:val="0"/>
          <w:spacing w:val="-4"/>
          <w:sz w:val="26"/>
          <w:szCs w:val="26"/>
        </w:rPr>
        <w:t>CSJ SP 42617</w:t>
      </w:r>
      <w:r w:rsidR="00CF4D0B" w:rsidRPr="00060F9C">
        <w:rPr>
          <w:rStyle w:val="Numeracinttulo"/>
          <w:b w:val="0"/>
          <w:bCs w:val="0"/>
          <w:spacing w:val="-4"/>
          <w:sz w:val="26"/>
          <w:szCs w:val="26"/>
        </w:rPr>
        <w:t>, 19 nov.</w:t>
      </w:r>
      <w:r w:rsidRPr="00060F9C">
        <w:rPr>
          <w:rStyle w:val="Numeracinttulo"/>
          <w:b w:val="0"/>
          <w:bCs w:val="0"/>
          <w:spacing w:val="-4"/>
          <w:sz w:val="26"/>
          <w:szCs w:val="26"/>
        </w:rPr>
        <w:t xml:space="preserve"> 2014,</w:t>
      </w:r>
      <w:r w:rsidR="00CF4D0B" w:rsidRPr="00060F9C">
        <w:rPr>
          <w:rStyle w:val="Numeracinttulo"/>
          <w:b w:val="0"/>
          <w:bCs w:val="0"/>
          <w:spacing w:val="-4"/>
          <w:sz w:val="26"/>
          <w:szCs w:val="26"/>
        </w:rPr>
        <w:t xml:space="preserve"> rad. 42617</w:t>
      </w:r>
      <w:r w:rsidR="00D9668A" w:rsidRPr="00060F9C">
        <w:rPr>
          <w:rStyle w:val="Numeracinttulo"/>
          <w:b w:val="0"/>
          <w:bCs w:val="0"/>
          <w:spacing w:val="-4"/>
          <w:sz w:val="26"/>
          <w:szCs w:val="26"/>
        </w:rPr>
        <w:t>)</w:t>
      </w:r>
      <w:r w:rsidR="009F4A41" w:rsidRPr="00060F9C">
        <w:rPr>
          <w:rStyle w:val="Numeracinttulo"/>
          <w:b w:val="0"/>
          <w:bCs w:val="0"/>
          <w:spacing w:val="-4"/>
          <w:sz w:val="26"/>
          <w:szCs w:val="26"/>
        </w:rPr>
        <w:t>,</w:t>
      </w:r>
      <w:r w:rsidRPr="00060F9C">
        <w:rPr>
          <w:rStyle w:val="Numeracinttulo"/>
          <w:b w:val="0"/>
          <w:bCs w:val="0"/>
          <w:spacing w:val="-4"/>
          <w:sz w:val="26"/>
          <w:szCs w:val="26"/>
        </w:rPr>
        <w:t xml:space="preserve"> </w:t>
      </w:r>
      <w:r w:rsidR="00D9668A" w:rsidRPr="00060F9C">
        <w:rPr>
          <w:rStyle w:val="Numeracinttulo"/>
          <w:b w:val="0"/>
          <w:bCs w:val="0"/>
          <w:spacing w:val="-4"/>
          <w:sz w:val="26"/>
          <w:szCs w:val="26"/>
        </w:rPr>
        <w:t>en el</w:t>
      </w:r>
      <w:r w:rsidR="00CF4D0B" w:rsidRPr="00060F9C">
        <w:rPr>
          <w:rStyle w:val="Numeracinttulo"/>
          <w:b w:val="0"/>
          <w:bCs w:val="0"/>
          <w:spacing w:val="-4"/>
          <w:sz w:val="26"/>
          <w:szCs w:val="26"/>
        </w:rPr>
        <w:t xml:space="preserve"> cual </w:t>
      </w:r>
      <w:r w:rsidR="00D9668A" w:rsidRPr="00060F9C">
        <w:rPr>
          <w:rStyle w:val="Numeracinttulo"/>
          <w:b w:val="0"/>
          <w:bCs w:val="0"/>
          <w:spacing w:val="-4"/>
          <w:sz w:val="26"/>
          <w:szCs w:val="26"/>
        </w:rPr>
        <w:t>esa C</w:t>
      </w:r>
      <w:r w:rsidR="009F4A41" w:rsidRPr="00060F9C">
        <w:rPr>
          <w:rStyle w:val="Numeracinttulo"/>
          <w:b w:val="0"/>
          <w:bCs w:val="0"/>
          <w:spacing w:val="-4"/>
          <w:sz w:val="26"/>
          <w:szCs w:val="26"/>
        </w:rPr>
        <w:t xml:space="preserve">orporación determinó que fue </w:t>
      </w:r>
      <w:r w:rsidR="00C426E6" w:rsidRPr="00060F9C">
        <w:rPr>
          <w:rStyle w:val="Numeracinttulo"/>
          <w:b w:val="0"/>
          <w:bCs w:val="0"/>
          <w:spacing w:val="-4"/>
          <w:sz w:val="26"/>
          <w:szCs w:val="26"/>
        </w:rPr>
        <w:t>acertada la decisión absolutoria proferida dentro de e</w:t>
      </w:r>
      <w:r w:rsidR="00D9668A" w:rsidRPr="00060F9C">
        <w:rPr>
          <w:rStyle w:val="Numeracinttulo"/>
          <w:b w:val="0"/>
          <w:bCs w:val="0"/>
          <w:spacing w:val="-4"/>
          <w:sz w:val="26"/>
          <w:szCs w:val="26"/>
        </w:rPr>
        <w:t>sa actuación</w:t>
      </w:r>
      <w:r w:rsidR="00C426E6" w:rsidRPr="00060F9C">
        <w:rPr>
          <w:rStyle w:val="Numeracinttulo"/>
          <w:b w:val="0"/>
          <w:bCs w:val="0"/>
          <w:spacing w:val="-4"/>
          <w:sz w:val="26"/>
          <w:szCs w:val="26"/>
        </w:rPr>
        <w:t xml:space="preserve">, no obstante que llevaba consigo 52 gramos de marihuana y 0.8 gramos de cocaína, toda vez que se acreditó que se trataba de </w:t>
      </w:r>
      <w:r w:rsidR="008F7299" w:rsidRPr="00060F9C">
        <w:rPr>
          <w:rStyle w:val="Numeracinttulo"/>
          <w:b w:val="0"/>
          <w:bCs w:val="0"/>
          <w:spacing w:val="-4"/>
          <w:sz w:val="26"/>
          <w:szCs w:val="26"/>
        </w:rPr>
        <w:t>un adicto a las sustancias tóxic</w:t>
      </w:r>
      <w:r w:rsidR="00C426E6" w:rsidRPr="00060F9C">
        <w:rPr>
          <w:rStyle w:val="Numeracinttulo"/>
          <w:b w:val="0"/>
          <w:bCs w:val="0"/>
          <w:spacing w:val="-4"/>
          <w:sz w:val="26"/>
          <w:szCs w:val="26"/>
        </w:rPr>
        <w:t>as.</w:t>
      </w:r>
    </w:p>
    <w:p w:rsidR="00A27BD4" w:rsidRPr="00060F9C" w:rsidRDefault="00A27BD4" w:rsidP="00FF62FD">
      <w:pPr>
        <w:pStyle w:val="Sinespaciado"/>
        <w:spacing w:line="360" w:lineRule="auto"/>
        <w:jc w:val="both"/>
        <w:rPr>
          <w:rFonts w:ascii="Tahoma" w:hAnsi="Tahoma" w:cs="Tahoma"/>
          <w:spacing w:val="-4"/>
          <w:sz w:val="26"/>
          <w:szCs w:val="26"/>
        </w:rPr>
      </w:pPr>
    </w:p>
    <w:p w:rsidR="00A27BD4" w:rsidRPr="00060F9C" w:rsidRDefault="00A27BD4" w:rsidP="00FF62FD">
      <w:pPr>
        <w:pStyle w:val="Sinespaciado"/>
        <w:spacing w:line="360" w:lineRule="auto"/>
        <w:jc w:val="both"/>
        <w:rPr>
          <w:rFonts w:ascii="Tahoma" w:hAnsi="Tahoma" w:cs="Tahoma"/>
          <w:spacing w:val="-4"/>
          <w:sz w:val="26"/>
        </w:rPr>
      </w:pPr>
      <w:r w:rsidRPr="00060F9C">
        <w:rPr>
          <w:rFonts w:ascii="Tahoma" w:hAnsi="Tahoma" w:cs="Tahoma"/>
          <w:spacing w:val="-4"/>
          <w:sz w:val="26"/>
          <w:szCs w:val="26"/>
        </w:rPr>
        <w:t>Al</w:t>
      </w:r>
      <w:r w:rsidR="00871243" w:rsidRPr="00060F9C">
        <w:rPr>
          <w:rFonts w:ascii="Tahoma" w:hAnsi="Tahoma" w:cs="Tahoma"/>
          <w:spacing w:val="-4"/>
          <w:sz w:val="26"/>
          <w:szCs w:val="26"/>
        </w:rPr>
        <w:t xml:space="preserve"> respecto </w:t>
      </w:r>
      <w:r w:rsidR="00BF2B0B" w:rsidRPr="00060F9C">
        <w:rPr>
          <w:rFonts w:ascii="Tahoma" w:hAnsi="Tahoma" w:cs="Tahoma"/>
          <w:spacing w:val="-4"/>
          <w:sz w:val="26"/>
          <w:szCs w:val="26"/>
        </w:rPr>
        <w:t>debe decir la Colegiatura que has</w:t>
      </w:r>
      <w:r w:rsidR="00065404" w:rsidRPr="00060F9C">
        <w:rPr>
          <w:rFonts w:ascii="Tahoma" w:hAnsi="Tahoma" w:cs="Tahoma"/>
          <w:spacing w:val="-4"/>
          <w:sz w:val="26"/>
          <w:szCs w:val="26"/>
        </w:rPr>
        <w:t>ta hace muy poco sobre el presente tópico</w:t>
      </w:r>
      <w:r w:rsidR="00BF2B0B" w:rsidRPr="00060F9C">
        <w:rPr>
          <w:rFonts w:ascii="Tahoma" w:hAnsi="Tahoma" w:cs="Tahoma"/>
          <w:spacing w:val="-4"/>
          <w:sz w:val="26"/>
          <w:szCs w:val="26"/>
        </w:rPr>
        <w:t xml:space="preserve"> se </w:t>
      </w:r>
      <w:r w:rsidRPr="00060F9C">
        <w:rPr>
          <w:rFonts w:ascii="Tahoma" w:hAnsi="Tahoma" w:cs="Tahoma"/>
          <w:spacing w:val="-4"/>
          <w:sz w:val="26"/>
          <w:szCs w:val="26"/>
        </w:rPr>
        <w:t>había sostenido, con fundamento en</w:t>
      </w:r>
      <w:r w:rsidR="004C2DDD" w:rsidRPr="00060F9C">
        <w:rPr>
          <w:rFonts w:ascii="Tahoma" w:hAnsi="Tahoma" w:cs="Tahoma"/>
          <w:spacing w:val="-4"/>
          <w:sz w:val="26"/>
          <w:szCs w:val="26"/>
        </w:rPr>
        <w:t xml:space="preserve"> precedentes </w:t>
      </w:r>
      <w:r w:rsidRPr="00060F9C">
        <w:rPr>
          <w:rFonts w:ascii="Tahoma" w:hAnsi="Tahoma" w:cs="Tahoma"/>
          <w:spacing w:val="-4"/>
          <w:sz w:val="26"/>
          <w:szCs w:val="26"/>
        </w:rPr>
        <w:t>de la H. Corte Suprema de Justicia</w:t>
      </w:r>
      <w:r w:rsidRPr="00060F9C">
        <w:rPr>
          <w:rStyle w:val="Refdenotaalpie"/>
          <w:rFonts w:cs="Tahoma"/>
          <w:spacing w:val="-4"/>
        </w:rPr>
        <w:footnoteReference w:id="1"/>
      </w:r>
      <w:r w:rsidRPr="00060F9C">
        <w:rPr>
          <w:rFonts w:ascii="Tahoma" w:hAnsi="Tahoma" w:cs="Tahoma"/>
          <w:spacing w:val="-4"/>
          <w:sz w:val="26"/>
          <w:szCs w:val="26"/>
        </w:rPr>
        <w:t xml:space="preserve">, </w:t>
      </w:r>
      <w:r w:rsidRPr="00060F9C">
        <w:rPr>
          <w:rFonts w:ascii="Tahoma" w:hAnsi="Tahoma" w:cs="Tahoma"/>
          <w:spacing w:val="-4"/>
          <w:sz w:val="26"/>
          <w:szCs w:val="26"/>
          <w:lang w:eastAsia="es-CO"/>
        </w:rPr>
        <w:t xml:space="preserve">que lo de ser o no consumidor de estupefacientes era algo que únicamente interesaba para aquellos casos en que se estaba ante la incautación de una cantidad que no superaba la dosis personal o de aprovisionamiento; es decir, contrario sensu, que cuando esa cantidad era superior a la dosis permitida, se presumía </w:t>
      </w:r>
      <w:r w:rsidRPr="00060F9C">
        <w:rPr>
          <w:rFonts w:ascii="Tahoma" w:hAnsi="Tahoma" w:cs="Tahoma"/>
          <w:spacing w:val="-4"/>
          <w:sz w:val="26"/>
        </w:rPr>
        <w:t>de pleno derecho que con tal comportamiento se vulneraba de manera eficaz y efectiva el interés jurídicamente protegido</w:t>
      </w:r>
      <w:r w:rsidRPr="00060F9C">
        <w:rPr>
          <w:rStyle w:val="Refdenotaalpie"/>
          <w:rFonts w:cs="Tahoma"/>
          <w:spacing w:val="-4"/>
        </w:rPr>
        <w:footnoteReference w:id="2"/>
      </w:r>
      <w:r w:rsidR="00954E82" w:rsidRPr="00060F9C">
        <w:rPr>
          <w:rFonts w:ascii="Tahoma" w:hAnsi="Tahoma" w:cs="Tahoma"/>
          <w:spacing w:val="-4"/>
          <w:sz w:val="26"/>
        </w:rPr>
        <w:t xml:space="preserve">, tesis </w:t>
      </w:r>
      <w:r w:rsidR="00836C2A" w:rsidRPr="00060F9C">
        <w:rPr>
          <w:rFonts w:ascii="Tahoma" w:hAnsi="Tahoma" w:cs="Tahoma"/>
          <w:spacing w:val="-4"/>
          <w:sz w:val="26"/>
        </w:rPr>
        <w:t xml:space="preserve">jurisprudencial </w:t>
      </w:r>
      <w:r w:rsidR="00954E82" w:rsidRPr="00060F9C">
        <w:rPr>
          <w:rFonts w:ascii="Tahoma" w:hAnsi="Tahoma" w:cs="Tahoma"/>
          <w:spacing w:val="-4"/>
          <w:sz w:val="26"/>
        </w:rPr>
        <w:t>a la que se acogió el fallador de primer nivel.</w:t>
      </w:r>
    </w:p>
    <w:p w:rsidR="00A27BD4" w:rsidRPr="00060F9C" w:rsidRDefault="00A27BD4" w:rsidP="00FF62FD">
      <w:pPr>
        <w:pStyle w:val="Sinespaciado"/>
        <w:spacing w:line="360" w:lineRule="auto"/>
        <w:jc w:val="both"/>
        <w:rPr>
          <w:rFonts w:ascii="Tahoma" w:hAnsi="Tahoma" w:cs="Tahoma"/>
          <w:spacing w:val="-4"/>
          <w:sz w:val="26"/>
          <w:szCs w:val="26"/>
        </w:rPr>
      </w:pPr>
    </w:p>
    <w:p w:rsidR="00A27BD4" w:rsidRPr="00060F9C" w:rsidRDefault="00A27BD4" w:rsidP="00FF62FD">
      <w:pPr>
        <w:rPr>
          <w:rFonts w:ascii="Verdana" w:hAnsi="Verdana"/>
          <w:spacing w:val="-4"/>
          <w:sz w:val="20"/>
          <w:szCs w:val="20"/>
        </w:rPr>
      </w:pPr>
      <w:r w:rsidRPr="00060F9C">
        <w:rPr>
          <w:spacing w:val="-4"/>
        </w:rPr>
        <w:t>No obstante, la H. Corte Suprema de Justicia</w:t>
      </w:r>
      <w:r w:rsidR="008A1D80" w:rsidRPr="00060F9C">
        <w:rPr>
          <w:spacing w:val="-4"/>
        </w:rPr>
        <w:t xml:space="preserve"> en decisión</w:t>
      </w:r>
      <w:r w:rsidR="00BF2B0B" w:rsidRPr="00060F9C">
        <w:rPr>
          <w:rStyle w:val="Refdenotaalpie"/>
          <w:spacing w:val="-4"/>
        </w:rPr>
        <w:footnoteReference w:id="3"/>
      </w:r>
      <w:r w:rsidR="00BF2B0B" w:rsidRPr="00060F9C">
        <w:rPr>
          <w:spacing w:val="-4"/>
        </w:rPr>
        <w:t xml:space="preserve"> </w:t>
      </w:r>
      <w:r w:rsidR="00065404" w:rsidRPr="00060F9C">
        <w:rPr>
          <w:spacing w:val="-4"/>
        </w:rPr>
        <w:t>que sirve de sustento a</w:t>
      </w:r>
      <w:r w:rsidR="00836C2A" w:rsidRPr="00060F9C">
        <w:rPr>
          <w:spacing w:val="-4"/>
        </w:rPr>
        <w:t xml:space="preserve"> la defensa para </w:t>
      </w:r>
      <w:r w:rsidR="00065404" w:rsidRPr="00060F9C">
        <w:rPr>
          <w:spacing w:val="-4"/>
        </w:rPr>
        <w:t xml:space="preserve">mostrar </w:t>
      </w:r>
      <w:r w:rsidR="008A1D80" w:rsidRPr="00060F9C">
        <w:rPr>
          <w:spacing w:val="-4"/>
        </w:rPr>
        <w:t>inconformidad</w:t>
      </w:r>
      <w:r w:rsidRPr="00060F9C">
        <w:rPr>
          <w:spacing w:val="-4"/>
        </w:rPr>
        <w:t xml:space="preserve"> </w:t>
      </w:r>
      <w:r w:rsidR="00836C2A" w:rsidRPr="00060F9C">
        <w:rPr>
          <w:spacing w:val="-4"/>
        </w:rPr>
        <w:t xml:space="preserve">con el fallo de primer nivel y su solicitud de absolución por falta de lesividad de la conducta realizada por su representado </w:t>
      </w:r>
      <w:r w:rsidRPr="00060F9C">
        <w:rPr>
          <w:rFonts w:ascii="Verdana" w:hAnsi="Verdana"/>
          <w:spacing w:val="-4"/>
          <w:sz w:val="20"/>
          <w:szCs w:val="20"/>
        </w:rPr>
        <w:t>-</w:t>
      </w:r>
      <w:r w:rsidR="00BF2B0B" w:rsidRPr="00060F9C">
        <w:rPr>
          <w:rFonts w:ascii="Verdana" w:hAnsi="Verdana"/>
          <w:spacing w:val="-4"/>
          <w:sz w:val="20"/>
          <w:szCs w:val="20"/>
        </w:rPr>
        <w:t>la cual no había sido proferida para el momento en que se culminó el juicio y se hicieron los respectivos alegatos de conclusión</w:t>
      </w:r>
      <w:r w:rsidR="00C64788" w:rsidRPr="00060F9C">
        <w:rPr>
          <w:rFonts w:ascii="Verdana" w:hAnsi="Verdana"/>
          <w:spacing w:val="-4"/>
          <w:sz w:val="20"/>
          <w:szCs w:val="20"/>
        </w:rPr>
        <w:t>, aunque sí para el instante en que se profirió la sentencia de primer grado</w:t>
      </w:r>
      <w:r w:rsidR="00BF2B0B" w:rsidRPr="00060F9C">
        <w:rPr>
          <w:rFonts w:ascii="Verdana" w:hAnsi="Verdana"/>
          <w:spacing w:val="-4"/>
          <w:sz w:val="20"/>
          <w:szCs w:val="20"/>
        </w:rPr>
        <w:t xml:space="preserve">- </w:t>
      </w:r>
      <w:r w:rsidR="008A1D80" w:rsidRPr="00060F9C">
        <w:rPr>
          <w:spacing w:val="-4"/>
        </w:rPr>
        <w:t>v</w:t>
      </w:r>
      <w:r w:rsidRPr="00060F9C">
        <w:rPr>
          <w:spacing w:val="-4"/>
        </w:rPr>
        <w:t xml:space="preserve">arió sustancialmente esa posición en el sentido de entender que la presunción de antijuridicidad en los portes de sustancias que exceden el límite de lo permitido como delito de peligro </w:t>
      </w:r>
      <w:r w:rsidRPr="00060F9C">
        <w:rPr>
          <w:spacing w:val="-4"/>
        </w:rPr>
        <w:lastRenderedPageBreak/>
        <w:t xml:space="preserve">abstracto, es legal </w:t>
      </w:r>
      <w:r w:rsidRPr="00060F9C">
        <w:rPr>
          <w:rFonts w:ascii="Verdana" w:hAnsi="Verdana"/>
          <w:spacing w:val="-4"/>
          <w:sz w:val="20"/>
          <w:szCs w:val="20"/>
        </w:rPr>
        <w:t xml:space="preserve">-iuris tantum- </w:t>
      </w:r>
      <w:r w:rsidRPr="00060F9C">
        <w:rPr>
          <w:spacing w:val="-4"/>
        </w:rPr>
        <w:t>y no de derecho</w:t>
      </w:r>
      <w:r w:rsidRPr="00060F9C">
        <w:rPr>
          <w:rFonts w:ascii="Verdana" w:hAnsi="Verdana"/>
          <w:spacing w:val="-4"/>
          <w:sz w:val="20"/>
          <w:szCs w:val="20"/>
        </w:rPr>
        <w:t xml:space="preserve"> -iuris et de iure-,</w:t>
      </w:r>
      <w:r w:rsidRPr="00060F9C">
        <w:rPr>
          <w:spacing w:val="-4"/>
        </w:rPr>
        <w:t xml:space="preserve"> a consecuencia de lo </w:t>
      </w:r>
      <w:r w:rsidR="00A95804" w:rsidRPr="00060F9C">
        <w:rPr>
          <w:spacing w:val="-4"/>
        </w:rPr>
        <w:t>cual admite prueba en contrario; y</w:t>
      </w:r>
      <w:r w:rsidR="00C64788" w:rsidRPr="00060F9C">
        <w:rPr>
          <w:spacing w:val="-4"/>
        </w:rPr>
        <w:t>,</w:t>
      </w:r>
      <w:r w:rsidR="00A95804" w:rsidRPr="00060F9C">
        <w:rPr>
          <w:spacing w:val="-4"/>
        </w:rPr>
        <w:t xml:space="preserve"> por tanto, la cantidad</w:t>
      </w:r>
      <w:r w:rsidR="00C64788" w:rsidRPr="00060F9C">
        <w:rPr>
          <w:spacing w:val="-4"/>
        </w:rPr>
        <w:t xml:space="preserve"> de estupefaciente incautado no sería</w:t>
      </w:r>
      <w:r w:rsidR="00A95804" w:rsidRPr="00060F9C">
        <w:rPr>
          <w:spacing w:val="-4"/>
        </w:rPr>
        <w:t xml:space="preserve"> el único elemento para definir ese aspecto, sino uno más de los que los falladores deben valorar para efectos de determinar lo pertinente. </w:t>
      </w:r>
      <w:r w:rsidR="007E11CC" w:rsidRPr="00060F9C">
        <w:rPr>
          <w:spacing w:val="-4"/>
        </w:rPr>
        <w:t>Algunos</w:t>
      </w:r>
      <w:r w:rsidR="00C64788" w:rsidRPr="00060F9C">
        <w:rPr>
          <w:spacing w:val="-4"/>
        </w:rPr>
        <w:t xml:space="preserve"> de los</w:t>
      </w:r>
      <w:r w:rsidR="007E11CC" w:rsidRPr="00060F9C">
        <w:rPr>
          <w:spacing w:val="-4"/>
        </w:rPr>
        <w:t xml:space="preserve"> apartes más relevantes</w:t>
      </w:r>
      <w:r w:rsidRPr="00060F9C">
        <w:rPr>
          <w:spacing w:val="-4"/>
        </w:rPr>
        <w:t xml:space="preserve"> de esta determinación </w:t>
      </w:r>
      <w:r w:rsidR="007E11CC" w:rsidRPr="00060F9C">
        <w:rPr>
          <w:spacing w:val="-4"/>
        </w:rPr>
        <w:t xml:space="preserve">para lo que es materia de análisis, </w:t>
      </w:r>
      <w:r w:rsidRPr="00060F9C">
        <w:rPr>
          <w:spacing w:val="-4"/>
        </w:rPr>
        <w:t>son los siguientes:</w:t>
      </w:r>
    </w:p>
    <w:p w:rsidR="00A27BD4" w:rsidRPr="00060F9C" w:rsidRDefault="00A27BD4" w:rsidP="00FF62FD">
      <w:pPr>
        <w:spacing w:line="240" w:lineRule="auto"/>
        <w:rPr>
          <w:rFonts w:ascii="Verdana" w:hAnsi="Verdana" w:cs="Microsoft Sans Serif"/>
          <w:spacing w:val="-4"/>
          <w:sz w:val="20"/>
          <w:szCs w:val="20"/>
        </w:rPr>
      </w:pPr>
    </w:p>
    <w:p w:rsidR="00A27BD4" w:rsidRPr="00060F9C" w:rsidRDefault="00A27BD4" w:rsidP="00FF62FD">
      <w:pPr>
        <w:spacing w:line="240" w:lineRule="auto"/>
        <w:ind w:left="510" w:right="510"/>
        <w:rPr>
          <w:rFonts w:ascii="Verdana" w:hAnsi="Verdana" w:cs="Microsoft Sans Serif"/>
          <w:spacing w:val="-4"/>
          <w:sz w:val="20"/>
          <w:szCs w:val="20"/>
        </w:rPr>
      </w:pPr>
      <w:r w:rsidRPr="00060F9C">
        <w:rPr>
          <w:rFonts w:ascii="Verdana" w:hAnsi="Verdana" w:cs="Microsoft Sans Serif"/>
          <w:spacing w:val="-4"/>
          <w:sz w:val="20"/>
          <w:szCs w:val="20"/>
        </w:rPr>
        <w:t>“</w:t>
      </w:r>
      <w:r w:rsidR="00FF62FD" w:rsidRPr="00060F9C">
        <w:rPr>
          <w:rFonts w:ascii="Verdana" w:hAnsi="Verdana" w:cs="Microsoft Sans Serif"/>
          <w:spacing w:val="-4"/>
          <w:sz w:val="20"/>
          <w:szCs w:val="20"/>
        </w:rPr>
        <w:t xml:space="preserve">[…] </w:t>
      </w:r>
      <w:r w:rsidRPr="00060F9C">
        <w:rPr>
          <w:rFonts w:ascii="Verdana" w:hAnsi="Verdana" w:cs="Microsoft Sans Serif"/>
          <w:spacing w:val="-4"/>
          <w:sz w:val="20"/>
          <w:szCs w:val="20"/>
        </w:rPr>
        <w:t xml:space="preserve">La posición uniforme de la Corte en relación al porte de estupefacientes destinado al consumo se puede sintetizar así: </w:t>
      </w:r>
      <w:r w:rsidRPr="00060F9C">
        <w:rPr>
          <w:rFonts w:ascii="Verdana" w:hAnsi="Verdana" w:cs="Microsoft Sans Serif"/>
          <w:b/>
          <w:spacing w:val="-4"/>
          <w:sz w:val="18"/>
          <w:szCs w:val="18"/>
        </w:rPr>
        <w:t>si la cantidad que se lleva consigo sobrepasa ligeramente la dosis legal de uso personal carecerá de lesividad por su insignificancia.</w:t>
      </w:r>
      <w:r w:rsidRPr="00060F9C">
        <w:rPr>
          <w:rFonts w:ascii="Verdana" w:hAnsi="Verdana" w:cs="Microsoft Sans Serif"/>
          <w:spacing w:val="-4"/>
          <w:sz w:val="20"/>
          <w:szCs w:val="20"/>
        </w:rPr>
        <w:t xml:space="preserve"> </w:t>
      </w:r>
      <w:r w:rsidRPr="00060F9C">
        <w:rPr>
          <w:rFonts w:ascii="Verdana" w:hAnsi="Verdana" w:cs="Microsoft Sans Serif"/>
          <w:b/>
          <w:spacing w:val="-4"/>
          <w:sz w:val="18"/>
          <w:szCs w:val="18"/>
        </w:rPr>
        <w:t>Un exceso superior, aun cuando sea para el propio consumo, siempre será antijurídico porque hace presumir –de derecho-</w:t>
      </w:r>
      <w:r w:rsidRPr="00060F9C">
        <w:rPr>
          <w:rFonts w:ascii="Verdana" w:hAnsi="Verdana" w:cs="Microsoft Sans Serif"/>
          <w:spacing w:val="-4"/>
          <w:sz w:val="20"/>
          <w:szCs w:val="20"/>
        </w:rPr>
        <w:t xml:space="preserve"> el riesgo para la salud pública, el orden socioeconómico y la seguridad pública, tal y como se afirmó en la decisión proferida e</w:t>
      </w:r>
      <w:r w:rsidRPr="00060F9C">
        <w:rPr>
          <w:rFonts w:ascii="Verdana" w:hAnsi="Verdana" w:cs="Microsoft Sans Serif"/>
          <w:spacing w:val="-4"/>
          <w:sz w:val="20"/>
          <w:szCs w:val="20"/>
          <w:lang w:val="es-ES_tradnl"/>
        </w:rPr>
        <w:t>l 17 de agosto de 2011, Rad. 35978</w:t>
      </w:r>
      <w:r w:rsidRPr="00060F9C">
        <w:rPr>
          <w:rFonts w:ascii="Verdana" w:hAnsi="Verdana" w:cs="Microsoft Sans Serif"/>
          <w:spacing w:val="-4"/>
          <w:sz w:val="20"/>
          <w:szCs w:val="20"/>
        </w:rPr>
        <w:t xml:space="preserve">. En ese orden, </w:t>
      </w:r>
      <w:r w:rsidRPr="00060F9C">
        <w:rPr>
          <w:rFonts w:ascii="Verdana" w:hAnsi="Verdana" w:cs="Microsoft Sans Serif"/>
          <w:b/>
          <w:spacing w:val="-4"/>
          <w:sz w:val="18"/>
          <w:szCs w:val="18"/>
        </w:rPr>
        <w:t xml:space="preserve">se tendría que cuando el exceso es mínimo la presunción de antijuridicidad es </w:t>
      </w:r>
      <w:r w:rsidRPr="00060F9C">
        <w:rPr>
          <w:rFonts w:ascii="Verdana" w:hAnsi="Verdana" w:cs="Microsoft Sans Serif"/>
          <w:b/>
          <w:i/>
          <w:spacing w:val="-4"/>
          <w:sz w:val="18"/>
          <w:szCs w:val="18"/>
        </w:rPr>
        <w:t>iuris tantum</w:t>
      </w:r>
      <w:r w:rsidRPr="00060F9C">
        <w:rPr>
          <w:rFonts w:ascii="Verdana" w:hAnsi="Verdana" w:cs="Microsoft Sans Serif"/>
          <w:b/>
          <w:spacing w:val="-4"/>
          <w:sz w:val="18"/>
          <w:szCs w:val="18"/>
        </w:rPr>
        <w:t xml:space="preserve"> porque admite prueba en contrario, como la del fin de consumo, mientras que cuando el exceso es mayor la presunción es </w:t>
      </w:r>
      <w:r w:rsidRPr="00060F9C">
        <w:rPr>
          <w:rFonts w:ascii="Verdana" w:hAnsi="Verdana" w:cs="Microsoft Sans Serif"/>
          <w:b/>
          <w:i/>
          <w:spacing w:val="-4"/>
          <w:sz w:val="18"/>
          <w:szCs w:val="18"/>
        </w:rPr>
        <w:t>iuris et de iure</w:t>
      </w:r>
      <w:r w:rsidRPr="00060F9C">
        <w:rPr>
          <w:rFonts w:ascii="Verdana" w:hAnsi="Verdana" w:cs="Microsoft Sans Serif"/>
          <w:b/>
          <w:spacing w:val="-4"/>
          <w:sz w:val="18"/>
          <w:szCs w:val="18"/>
        </w:rPr>
        <w:t xml:space="preserve"> porque no admite controversia probatoria alguna</w:t>
      </w:r>
      <w:r w:rsidRPr="00060F9C">
        <w:rPr>
          <w:rFonts w:ascii="Verdana" w:hAnsi="Verdana" w:cs="Microsoft Sans Serif"/>
          <w:spacing w:val="-4"/>
          <w:sz w:val="20"/>
          <w:szCs w:val="20"/>
        </w:rPr>
        <w:t xml:space="preserve">. </w:t>
      </w:r>
    </w:p>
    <w:p w:rsidR="00A27BD4" w:rsidRPr="00060F9C" w:rsidRDefault="00A27BD4" w:rsidP="00FF62FD">
      <w:pPr>
        <w:pStyle w:val="Prrafodelista"/>
        <w:ind w:left="510" w:right="510"/>
        <w:jc w:val="both"/>
        <w:rPr>
          <w:rFonts w:cs="Microsoft Sans Serif"/>
          <w:spacing w:val="-4"/>
          <w:sz w:val="20"/>
          <w:szCs w:val="20"/>
        </w:rPr>
      </w:pPr>
    </w:p>
    <w:p w:rsidR="00A27BD4" w:rsidRPr="00060F9C" w:rsidRDefault="00A27BD4" w:rsidP="00FF62FD">
      <w:pPr>
        <w:spacing w:line="240" w:lineRule="auto"/>
        <w:ind w:left="510" w:right="510"/>
        <w:rPr>
          <w:rFonts w:ascii="Verdana" w:hAnsi="Verdana" w:cs="Microsoft Sans Serif"/>
          <w:spacing w:val="-4"/>
          <w:sz w:val="20"/>
          <w:szCs w:val="20"/>
        </w:rPr>
      </w:pPr>
      <w:r w:rsidRPr="00060F9C">
        <w:rPr>
          <w:rFonts w:ascii="Verdana" w:hAnsi="Verdana" w:cs="Microsoft Sans Serif"/>
          <w:spacing w:val="-4"/>
          <w:sz w:val="20"/>
          <w:szCs w:val="20"/>
        </w:rPr>
        <w:t xml:space="preserve">[…] </w:t>
      </w:r>
    </w:p>
    <w:p w:rsidR="00A27BD4" w:rsidRPr="00060F9C" w:rsidRDefault="00A27BD4" w:rsidP="00FF62FD">
      <w:pPr>
        <w:spacing w:line="240" w:lineRule="auto"/>
        <w:ind w:left="510" w:right="510"/>
        <w:rPr>
          <w:rFonts w:ascii="Verdana" w:hAnsi="Verdana" w:cs="Microsoft Sans Serif"/>
          <w:spacing w:val="-4"/>
          <w:sz w:val="20"/>
          <w:szCs w:val="20"/>
        </w:rPr>
      </w:pPr>
      <w:r w:rsidRPr="00060F9C">
        <w:rPr>
          <w:rFonts w:ascii="Verdana" w:hAnsi="Verdana" w:cs="Microsoft Sans Serif"/>
          <w:spacing w:val="-4"/>
          <w:sz w:val="20"/>
          <w:szCs w:val="20"/>
        </w:rPr>
        <w:t xml:space="preserve">Así las cosas, </w:t>
      </w:r>
      <w:r w:rsidRPr="00060F9C">
        <w:rPr>
          <w:rFonts w:ascii="Verdana" w:hAnsi="Verdana" w:cs="Microsoft Sans Serif"/>
          <w:b/>
          <w:spacing w:val="-4"/>
          <w:sz w:val="18"/>
          <w:szCs w:val="18"/>
        </w:rPr>
        <w:t>el porte de estupefacientes en una cantidad superior a la establecida legalmente como dosis de uso personal, es una conducta típica que se presume antijurídica</w:t>
      </w:r>
      <w:r w:rsidRPr="00060F9C">
        <w:rPr>
          <w:rFonts w:ascii="Verdana" w:hAnsi="Verdana" w:cs="Microsoft Sans Serif"/>
          <w:spacing w:val="-4"/>
          <w:sz w:val="20"/>
          <w:szCs w:val="20"/>
        </w:rPr>
        <w:t xml:space="preserve">. Sin embargo, como quiera que </w:t>
      </w:r>
      <w:r w:rsidRPr="00060F9C">
        <w:rPr>
          <w:rFonts w:ascii="Verdana" w:hAnsi="Verdana" w:cs="Microsoft Sans Serif"/>
          <w:b/>
          <w:spacing w:val="-4"/>
          <w:sz w:val="18"/>
          <w:szCs w:val="18"/>
        </w:rPr>
        <w:t xml:space="preserve">tal presunción ostenta carácter </w:t>
      </w:r>
      <w:r w:rsidRPr="00060F9C">
        <w:rPr>
          <w:rFonts w:ascii="Verdana" w:hAnsi="Verdana" w:cs="Microsoft Sans Serif"/>
          <w:b/>
          <w:i/>
          <w:spacing w:val="-4"/>
          <w:sz w:val="18"/>
          <w:szCs w:val="18"/>
        </w:rPr>
        <w:t>iuris tantum</w:t>
      </w:r>
      <w:r w:rsidRPr="00060F9C">
        <w:rPr>
          <w:rFonts w:ascii="Verdana" w:hAnsi="Verdana" w:cs="Microsoft Sans Serif"/>
          <w:b/>
          <w:spacing w:val="-4"/>
          <w:sz w:val="18"/>
          <w:szCs w:val="18"/>
        </w:rPr>
        <w:t>, la prueba de que su destino es el consumo estrictamente personal sin que apareje interferencia en derechos ajenos</w:t>
      </w:r>
      <w:r w:rsidRPr="00060F9C">
        <w:rPr>
          <w:rFonts w:ascii="Verdana" w:hAnsi="Verdana" w:cs="Microsoft Sans Serif"/>
          <w:spacing w:val="-4"/>
          <w:sz w:val="20"/>
          <w:szCs w:val="20"/>
        </w:rPr>
        <w:t xml:space="preserve"> (orden socio-económico o la seguridad pública), </w:t>
      </w:r>
      <w:r w:rsidRPr="00060F9C">
        <w:rPr>
          <w:rFonts w:ascii="Verdana" w:hAnsi="Verdana" w:cs="Microsoft Sans Serif"/>
          <w:b/>
          <w:spacing w:val="-4"/>
          <w:sz w:val="18"/>
          <w:szCs w:val="18"/>
        </w:rPr>
        <w:t>desvirtúa tal suposición legal y, por ende, excluye la responsabilidad penal</w:t>
      </w:r>
      <w:r w:rsidRPr="00060F9C">
        <w:rPr>
          <w:rFonts w:ascii="Verdana" w:hAnsi="Verdana" w:cs="Microsoft Sans Serif"/>
          <w:spacing w:val="-4"/>
          <w:sz w:val="20"/>
          <w:szCs w:val="20"/>
        </w:rPr>
        <w:t xml:space="preserve">. En consecuencia, </w:t>
      </w:r>
      <w:r w:rsidRPr="00060F9C">
        <w:rPr>
          <w:rFonts w:ascii="Verdana" w:hAnsi="Verdana" w:cs="Microsoft Sans Serif"/>
          <w:b/>
          <w:spacing w:val="-4"/>
          <w:sz w:val="18"/>
          <w:szCs w:val="18"/>
        </w:rPr>
        <w:t xml:space="preserve">la cantidad de estupefaciente </w:t>
      </w:r>
      <w:r w:rsidRPr="00060F9C">
        <w:rPr>
          <w:rFonts w:ascii="Verdana" w:hAnsi="Verdana" w:cs="Microsoft Sans Serif"/>
          <w:spacing w:val="-4"/>
          <w:sz w:val="20"/>
          <w:szCs w:val="20"/>
        </w:rPr>
        <w:t xml:space="preserve">que se lleve consigo </w:t>
      </w:r>
      <w:r w:rsidRPr="00060F9C">
        <w:rPr>
          <w:rFonts w:ascii="Verdana" w:hAnsi="Verdana" w:cs="Microsoft Sans Serif"/>
          <w:b/>
          <w:spacing w:val="-4"/>
          <w:sz w:val="18"/>
          <w:szCs w:val="18"/>
        </w:rPr>
        <w:t>no es el único elemento definitorio de la antijuridicidad</w:t>
      </w:r>
      <w:r w:rsidRPr="00060F9C">
        <w:rPr>
          <w:rFonts w:ascii="Verdana" w:hAnsi="Verdana" w:cs="Microsoft Sans Serif"/>
          <w:spacing w:val="-4"/>
          <w:sz w:val="20"/>
          <w:szCs w:val="20"/>
        </w:rPr>
        <w:t xml:space="preserve">, </w:t>
      </w:r>
      <w:r w:rsidRPr="00060F9C">
        <w:rPr>
          <w:rFonts w:ascii="Verdana" w:hAnsi="Verdana" w:cs="Microsoft Sans Serif"/>
          <w:b/>
          <w:spacing w:val="-4"/>
          <w:sz w:val="18"/>
          <w:szCs w:val="18"/>
        </w:rPr>
        <w:t>sino sólo uno más de los que habrán de valorar los juzgadores</w:t>
      </w:r>
      <w:r w:rsidRPr="00060F9C">
        <w:rPr>
          <w:rFonts w:ascii="Verdana" w:hAnsi="Verdana" w:cs="Microsoft Sans Serif"/>
          <w:spacing w:val="-4"/>
          <w:sz w:val="20"/>
          <w:szCs w:val="20"/>
        </w:rPr>
        <w:t xml:space="preserve"> a fin de determinar la licitud de la finalidad del porte.   </w:t>
      </w:r>
    </w:p>
    <w:p w:rsidR="00A27BD4" w:rsidRPr="00060F9C" w:rsidRDefault="00A27BD4" w:rsidP="00FF62FD">
      <w:pPr>
        <w:spacing w:line="240" w:lineRule="auto"/>
        <w:ind w:left="510" w:right="510" w:firstLine="708"/>
        <w:rPr>
          <w:rFonts w:ascii="Verdana" w:hAnsi="Verdana" w:cs="Microsoft Sans Serif"/>
          <w:spacing w:val="-4"/>
          <w:sz w:val="20"/>
          <w:szCs w:val="20"/>
        </w:rPr>
      </w:pPr>
    </w:p>
    <w:p w:rsidR="00A27BD4" w:rsidRPr="00060F9C" w:rsidRDefault="00A27BD4" w:rsidP="00FF62FD">
      <w:pPr>
        <w:spacing w:line="240" w:lineRule="auto"/>
        <w:ind w:left="510" w:right="510"/>
        <w:rPr>
          <w:rFonts w:ascii="Verdana" w:hAnsi="Verdana" w:cs="Microsoft Sans Serif"/>
          <w:spacing w:val="-4"/>
          <w:sz w:val="20"/>
          <w:szCs w:val="20"/>
        </w:rPr>
      </w:pPr>
      <w:r w:rsidRPr="00060F9C">
        <w:rPr>
          <w:rFonts w:ascii="Verdana" w:hAnsi="Verdana" w:cs="Microsoft Sans Serif"/>
          <w:spacing w:val="-4"/>
          <w:sz w:val="20"/>
          <w:szCs w:val="20"/>
        </w:rPr>
        <w:t>Esta tesis no implica un cambio rotundo en la línea jurisprudencial que se traía, por cuanto, como se vio al principio, ésta ya había despejado el camino para admitir que el porte para el consumo no vulnera los bienes jurídicos protegidos y que (en algunas ocasiones) la prueba de tal circunstancia excluía la antijuridicidad de la conducta. Por el contrario, al argumento medular que se venía sosteniendo hace casi 10 años (falta de antijuridicidad del porte de estupefacientes en algunos eventos), se le hacen producir todos los efectos que conlleva de manera plena y no parcial, como antes. Además, la tesis se ajusta de mejor manera al espíritu y al tenor del panorama constitucional que en relación al consumidor de drogas rige a partir del año 2009 [….]”</w:t>
      </w:r>
      <w:r w:rsidRPr="00060F9C">
        <w:rPr>
          <w:rStyle w:val="Refdenotaalpie"/>
          <w:rFonts w:cs="Microsoft Sans Serif"/>
          <w:spacing w:val="-4"/>
          <w:szCs w:val="20"/>
        </w:rPr>
        <w:footnoteReference w:id="4"/>
      </w:r>
      <w:r w:rsidRPr="00060F9C">
        <w:rPr>
          <w:rFonts w:ascii="Verdana" w:hAnsi="Verdana" w:cs="Microsoft Sans Serif"/>
          <w:spacing w:val="-4"/>
          <w:sz w:val="20"/>
          <w:szCs w:val="20"/>
        </w:rPr>
        <w:t>.</w:t>
      </w:r>
    </w:p>
    <w:p w:rsidR="00D762C5" w:rsidRPr="00060F9C" w:rsidRDefault="00D762C5" w:rsidP="00D9668A">
      <w:pPr>
        <w:pStyle w:val="Sinespaciado"/>
        <w:ind w:left="510" w:right="510"/>
        <w:jc w:val="both"/>
        <w:rPr>
          <w:rFonts w:ascii="Verdana" w:hAnsi="Verdana" w:cs="Tahoma"/>
          <w:spacing w:val="-4"/>
          <w:sz w:val="20"/>
          <w:szCs w:val="20"/>
        </w:rPr>
      </w:pPr>
    </w:p>
    <w:p w:rsidR="00A27BD4" w:rsidRPr="00060F9C" w:rsidRDefault="00A856EE" w:rsidP="00A856EE">
      <w:pPr>
        <w:rPr>
          <w:b/>
          <w:spacing w:val="-4"/>
          <w:sz w:val="28"/>
          <w:szCs w:val="28"/>
        </w:rPr>
      </w:pPr>
      <w:r w:rsidRPr="00060F9C">
        <w:rPr>
          <w:spacing w:val="-4"/>
        </w:rPr>
        <w:t>Por su supuesto, esta Sala está en la obligación de acoger d</w:t>
      </w:r>
      <w:r w:rsidR="00A27BD4" w:rsidRPr="00060F9C">
        <w:rPr>
          <w:spacing w:val="-4"/>
        </w:rPr>
        <w:t>icho precedente</w:t>
      </w:r>
      <w:r w:rsidRPr="00060F9C">
        <w:rPr>
          <w:spacing w:val="-4"/>
        </w:rPr>
        <w:t>,</w:t>
      </w:r>
      <w:r w:rsidR="0055196E" w:rsidRPr="00060F9C">
        <w:rPr>
          <w:spacing w:val="-4"/>
        </w:rPr>
        <w:t xml:space="preserve"> y de hecho ya lo ha </w:t>
      </w:r>
      <w:r w:rsidR="00836C2A" w:rsidRPr="00060F9C">
        <w:rPr>
          <w:spacing w:val="-4"/>
        </w:rPr>
        <w:t>aplicado en varias ocasiones</w:t>
      </w:r>
      <w:r w:rsidR="00836C2A" w:rsidRPr="00060F9C">
        <w:rPr>
          <w:rStyle w:val="Refdenotaalpie"/>
          <w:rFonts w:cs="Microsoft Sans Serif"/>
          <w:spacing w:val="-4"/>
          <w:szCs w:val="20"/>
        </w:rPr>
        <w:footnoteReference w:id="5"/>
      </w:r>
      <w:r w:rsidR="00836C2A" w:rsidRPr="00060F9C">
        <w:rPr>
          <w:spacing w:val="-4"/>
        </w:rPr>
        <w:t xml:space="preserve"> en procesos con terminación anticipada, </w:t>
      </w:r>
      <w:r w:rsidR="0055196E" w:rsidRPr="00060F9C">
        <w:rPr>
          <w:spacing w:val="-4"/>
        </w:rPr>
        <w:t xml:space="preserve">y con fundamento en el mismo ha optado </w:t>
      </w:r>
      <w:r w:rsidR="00836C2A" w:rsidRPr="00060F9C">
        <w:rPr>
          <w:spacing w:val="-4"/>
        </w:rPr>
        <w:t xml:space="preserve">por decretar la nulidad del allanamiento a cargos para que </w:t>
      </w:r>
      <w:r w:rsidR="0055196E" w:rsidRPr="00060F9C">
        <w:rPr>
          <w:spacing w:val="-4"/>
        </w:rPr>
        <w:t xml:space="preserve">por parte de la defensa, que es a quien corresponde la carga de la prueba en ese sentido, </w:t>
      </w:r>
      <w:r w:rsidR="00A75940" w:rsidRPr="00060F9C">
        <w:rPr>
          <w:spacing w:val="-4"/>
        </w:rPr>
        <w:t>se alleguen</w:t>
      </w:r>
      <w:r w:rsidR="00836C2A" w:rsidRPr="00060F9C">
        <w:rPr>
          <w:spacing w:val="-4"/>
        </w:rPr>
        <w:t xml:space="preserve"> en juicio las </w:t>
      </w:r>
      <w:r w:rsidR="00836C2A" w:rsidRPr="00060F9C">
        <w:rPr>
          <w:spacing w:val="-4"/>
        </w:rPr>
        <w:lastRenderedPageBreak/>
        <w:t>pruebas pertinentes para desvirtuar la presunción legal de antijuridicidad de la cond</w:t>
      </w:r>
      <w:r w:rsidRPr="00060F9C">
        <w:rPr>
          <w:spacing w:val="-4"/>
        </w:rPr>
        <w:t>ucta por haber</w:t>
      </w:r>
      <w:r w:rsidR="00836C2A" w:rsidRPr="00060F9C">
        <w:rPr>
          <w:spacing w:val="-4"/>
        </w:rPr>
        <w:t xml:space="preserve"> superado la dosis permitida.</w:t>
      </w:r>
    </w:p>
    <w:p w:rsidR="00A27BD4" w:rsidRPr="00060F9C" w:rsidRDefault="00A27BD4" w:rsidP="00FF62FD">
      <w:pPr>
        <w:spacing w:line="240" w:lineRule="auto"/>
        <w:ind w:right="680"/>
        <w:rPr>
          <w:spacing w:val="-4"/>
        </w:rPr>
      </w:pPr>
    </w:p>
    <w:p w:rsidR="0059780C" w:rsidRPr="00060F9C" w:rsidRDefault="005726C8" w:rsidP="00FF62FD">
      <w:pPr>
        <w:rPr>
          <w:spacing w:val="-4"/>
        </w:rPr>
      </w:pPr>
      <w:r w:rsidRPr="00060F9C">
        <w:rPr>
          <w:spacing w:val="-4"/>
        </w:rPr>
        <w:t xml:space="preserve">Ahora, </w:t>
      </w:r>
      <w:r w:rsidR="00A449FA" w:rsidRPr="00060F9C">
        <w:rPr>
          <w:spacing w:val="-4"/>
        </w:rPr>
        <w:t>al analizar las circunstancias particulares del presente caso en torno a determinar si se desvirtuó o no esa presunción legal de antijuridicidad de la conducta</w:t>
      </w:r>
      <w:r w:rsidR="00FF4FD9" w:rsidRPr="00060F9C">
        <w:rPr>
          <w:spacing w:val="-4"/>
        </w:rPr>
        <w:t xml:space="preserve"> con</w:t>
      </w:r>
      <w:r w:rsidR="00A449FA" w:rsidRPr="00060F9C">
        <w:rPr>
          <w:spacing w:val="-4"/>
        </w:rPr>
        <w:t xml:space="preserve"> los medios de conocimiento</w:t>
      </w:r>
      <w:r w:rsidR="00FF4FD9" w:rsidRPr="00060F9C">
        <w:rPr>
          <w:spacing w:val="-4"/>
        </w:rPr>
        <w:t xml:space="preserve"> incorporados</w:t>
      </w:r>
      <w:r w:rsidR="00A75940" w:rsidRPr="00060F9C">
        <w:rPr>
          <w:spacing w:val="-4"/>
        </w:rPr>
        <w:t xml:space="preserve"> válidamente a la actuación</w:t>
      </w:r>
      <w:r w:rsidRPr="00060F9C">
        <w:rPr>
          <w:spacing w:val="-4"/>
        </w:rPr>
        <w:t>,</w:t>
      </w:r>
      <w:r w:rsidR="00A95804" w:rsidRPr="00060F9C">
        <w:rPr>
          <w:spacing w:val="-4"/>
        </w:rPr>
        <w:t xml:space="preserve"> </w:t>
      </w:r>
      <w:r w:rsidR="0059780C" w:rsidRPr="00060F9C">
        <w:rPr>
          <w:spacing w:val="-4"/>
        </w:rPr>
        <w:t>se tiene lo siguiente:</w:t>
      </w:r>
    </w:p>
    <w:p w:rsidR="0059780C" w:rsidRPr="00060F9C" w:rsidRDefault="0059780C" w:rsidP="00FF62FD">
      <w:pPr>
        <w:rPr>
          <w:spacing w:val="-4"/>
        </w:rPr>
      </w:pPr>
    </w:p>
    <w:p w:rsidR="003C3B14" w:rsidRPr="00060F9C" w:rsidRDefault="007A172C" w:rsidP="00FF62FD">
      <w:pPr>
        <w:rPr>
          <w:spacing w:val="-4"/>
        </w:rPr>
      </w:pPr>
      <w:r w:rsidRPr="00060F9C">
        <w:rPr>
          <w:spacing w:val="-4"/>
        </w:rPr>
        <w:t>-</w:t>
      </w:r>
      <w:r w:rsidR="00A75940" w:rsidRPr="00060F9C">
        <w:rPr>
          <w:spacing w:val="-4"/>
        </w:rPr>
        <w:t xml:space="preserve"> </w:t>
      </w:r>
      <w:r w:rsidRPr="00060F9C">
        <w:rPr>
          <w:spacing w:val="-4"/>
        </w:rPr>
        <w:t>L</w:t>
      </w:r>
      <w:r w:rsidR="0059780C" w:rsidRPr="00060F9C">
        <w:rPr>
          <w:spacing w:val="-4"/>
        </w:rPr>
        <w:t xml:space="preserve">os patrulleros IVÁN ANDRÉS DÍAZ BONILLA y </w:t>
      </w:r>
      <w:r w:rsidR="003C3B14" w:rsidRPr="00060F9C">
        <w:rPr>
          <w:spacing w:val="-4"/>
        </w:rPr>
        <w:t xml:space="preserve">EDWAR ERNEY PENAGOS POSSO, quienes </w:t>
      </w:r>
      <w:r w:rsidR="0059780C" w:rsidRPr="00060F9C">
        <w:rPr>
          <w:spacing w:val="-4"/>
        </w:rPr>
        <w:t>participaron en el procedimiento</w:t>
      </w:r>
      <w:r w:rsidR="003C3B14" w:rsidRPr="00060F9C">
        <w:rPr>
          <w:spacing w:val="-4"/>
        </w:rPr>
        <w:t xml:space="preserve"> </w:t>
      </w:r>
      <w:r w:rsidR="0059780C" w:rsidRPr="00060F9C">
        <w:rPr>
          <w:spacing w:val="-4"/>
        </w:rPr>
        <w:t xml:space="preserve">de captura del aquí judicializado, </w:t>
      </w:r>
      <w:r w:rsidRPr="00060F9C">
        <w:rPr>
          <w:spacing w:val="-4"/>
        </w:rPr>
        <w:t>aseguraron haber sido i</w:t>
      </w:r>
      <w:r w:rsidR="0059780C" w:rsidRPr="00060F9C">
        <w:rPr>
          <w:spacing w:val="-4"/>
        </w:rPr>
        <w:t>nformados por una fuente humana no identificada que éste se encontraba en el sector de la galería expendien</w:t>
      </w:r>
      <w:r w:rsidR="003C3B14" w:rsidRPr="00060F9C">
        <w:rPr>
          <w:spacing w:val="-4"/>
        </w:rPr>
        <w:t>do sustancia estupefaciente</w:t>
      </w:r>
      <w:r w:rsidR="00A75940" w:rsidRPr="00060F9C">
        <w:rPr>
          <w:spacing w:val="-4"/>
        </w:rPr>
        <w:t>s</w:t>
      </w:r>
      <w:r w:rsidR="003C3B14" w:rsidRPr="00060F9C">
        <w:rPr>
          <w:spacing w:val="-4"/>
        </w:rPr>
        <w:t xml:space="preserve">, y cuando llegaron a ese sitio pudieron corroborar que estaba allí, y emprendió la huida al notar la presencia de ellos, </w:t>
      </w:r>
      <w:r w:rsidR="005A61F6" w:rsidRPr="00060F9C">
        <w:rPr>
          <w:spacing w:val="-4"/>
        </w:rPr>
        <w:t xml:space="preserve">pese a lo cual lograron observar </w:t>
      </w:r>
      <w:r w:rsidR="003C3B14" w:rsidRPr="00060F9C">
        <w:rPr>
          <w:spacing w:val="-4"/>
        </w:rPr>
        <w:t>que arrojó una bol</w:t>
      </w:r>
      <w:r w:rsidR="005A61F6" w:rsidRPr="00060F9C">
        <w:rPr>
          <w:spacing w:val="-4"/>
        </w:rPr>
        <w:t>sa que contenía estupefacientes, razón por</w:t>
      </w:r>
      <w:r w:rsidR="00FF7F29" w:rsidRPr="00060F9C">
        <w:rPr>
          <w:spacing w:val="-4"/>
        </w:rPr>
        <w:t xml:space="preserve"> la que fue </w:t>
      </w:r>
      <w:r w:rsidR="00A75940" w:rsidRPr="00060F9C">
        <w:rPr>
          <w:spacing w:val="-4"/>
        </w:rPr>
        <w:t xml:space="preserve">posteriormente </w:t>
      </w:r>
      <w:r w:rsidR="00FF7F29" w:rsidRPr="00060F9C">
        <w:rPr>
          <w:spacing w:val="-4"/>
        </w:rPr>
        <w:t>apre</w:t>
      </w:r>
      <w:r w:rsidR="005A61F6" w:rsidRPr="00060F9C">
        <w:rPr>
          <w:spacing w:val="-4"/>
        </w:rPr>
        <w:t>hendido.</w:t>
      </w:r>
    </w:p>
    <w:p w:rsidR="002F45B0" w:rsidRPr="00060F9C" w:rsidRDefault="002F45B0" w:rsidP="00FF62FD">
      <w:pPr>
        <w:rPr>
          <w:spacing w:val="-4"/>
        </w:rPr>
      </w:pPr>
    </w:p>
    <w:p w:rsidR="006835DC" w:rsidRPr="00060F9C" w:rsidRDefault="007A172C" w:rsidP="00FF62FD">
      <w:pPr>
        <w:rPr>
          <w:spacing w:val="-4"/>
        </w:rPr>
      </w:pPr>
      <w:r w:rsidRPr="00060F9C">
        <w:rPr>
          <w:spacing w:val="-4"/>
        </w:rPr>
        <w:t>-</w:t>
      </w:r>
      <w:r w:rsidR="00A75940" w:rsidRPr="00060F9C">
        <w:rPr>
          <w:spacing w:val="-4"/>
        </w:rPr>
        <w:t xml:space="preserve"> </w:t>
      </w:r>
      <w:r w:rsidRPr="00060F9C">
        <w:rPr>
          <w:spacing w:val="-4"/>
        </w:rPr>
        <w:t>L</w:t>
      </w:r>
      <w:r w:rsidR="003C3B14" w:rsidRPr="00060F9C">
        <w:rPr>
          <w:spacing w:val="-4"/>
        </w:rPr>
        <w:t xml:space="preserve">os señores CARLOS JULIO RAMÍREZ BERMÚDEZ, JUAN CAMILO GAVIRIA SANTA y FELIX EDUARDO BLANDÓN BEDOYA, </w:t>
      </w:r>
      <w:r w:rsidRPr="00060F9C">
        <w:rPr>
          <w:spacing w:val="-4"/>
        </w:rPr>
        <w:t xml:space="preserve">amigos de </w:t>
      </w:r>
      <w:r w:rsidRPr="00060F9C">
        <w:rPr>
          <w:b/>
          <w:spacing w:val="-4"/>
          <w:sz w:val="22"/>
          <w:szCs w:val="22"/>
        </w:rPr>
        <w:t>E</w:t>
      </w:r>
      <w:r w:rsidR="00852711">
        <w:rPr>
          <w:b/>
          <w:spacing w:val="-4"/>
          <w:sz w:val="22"/>
          <w:szCs w:val="22"/>
        </w:rPr>
        <w:t>ARG</w:t>
      </w:r>
      <w:r w:rsidRPr="00060F9C">
        <w:rPr>
          <w:spacing w:val="-4"/>
        </w:rPr>
        <w:t xml:space="preserve">, afirmaron que les consta </w:t>
      </w:r>
      <w:r w:rsidR="00866952" w:rsidRPr="00060F9C">
        <w:rPr>
          <w:spacing w:val="-4"/>
        </w:rPr>
        <w:t xml:space="preserve">que éste consume </w:t>
      </w:r>
      <w:r w:rsidRPr="00060F9C">
        <w:rPr>
          <w:spacing w:val="-4"/>
        </w:rPr>
        <w:t xml:space="preserve">estupefacientes </w:t>
      </w:r>
      <w:r w:rsidR="00A449FA" w:rsidRPr="00060F9C">
        <w:rPr>
          <w:spacing w:val="-4"/>
        </w:rPr>
        <w:t>desde hace varios años;</w:t>
      </w:r>
      <w:r w:rsidR="00866952" w:rsidRPr="00060F9C">
        <w:rPr>
          <w:spacing w:val="-4"/>
        </w:rPr>
        <w:t xml:space="preserve"> incluso, </w:t>
      </w:r>
      <w:r w:rsidR="00A449FA" w:rsidRPr="00060F9C">
        <w:rPr>
          <w:spacing w:val="-4"/>
        </w:rPr>
        <w:t>GAVIRIA SANTA sostuvo que es de público conocimiento en el pueblo que éste es adicto a ese tipo de sustancias.</w:t>
      </w:r>
    </w:p>
    <w:p w:rsidR="005A61F6" w:rsidRPr="00060F9C" w:rsidRDefault="005A61F6" w:rsidP="00FF62FD"/>
    <w:p w:rsidR="00FF4FD9" w:rsidRPr="00060F9C" w:rsidRDefault="00061F9E" w:rsidP="00FF62FD">
      <w:pPr>
        <w:rPr>
          <w:spacing w:val="-4"/>
        </w:rPr>
      </w:pPr>
      <w:r w:rsidRPr="00060F9C">
        <w:rPr>
          <w:spacing w:val="-4"/>
        </w:rPr>
        <w:t>-</w:t>
      </w:r>
      <w:r w:rsidR="00A75940" w:rsidRPr="00060F9C">
        <w:rPr>
          <w:spacing w:val="-4"/>
        </w:rPr>
        <w:t xml:space="preserve"> </w:t>
      </w:r>
      <w:r w:rsidR="006835DC" w:rsidRPr="00060F9C">
        <w:rPr>
          <w:spacing w:val="-4"/>
        </w:rPr>
        <w:t>Po</w:t>
      </w:r>
      <w:r w:rsidR="00A449FA" w:rsidRPr="00060F9C">
        <w:rPr>
          <w:spacing w:val="-4"/>
        </w:rPr>
        <w:t>r parte de la defensa se aseguró</w:t>
      </w:r>
      <w:r w:rsidR="006835DC" w:rsidRPr="00060F9C">
        <w:rPr>
          <w:spacing w:val="-4"/>
        </w:rPr>
        <w:t xml:space="preserve"> que la sustancia que fue hallada en poder de su representado era para s</w:t>
      </w:r>
      <w:r w:rsidR="00FF4FD9" w:rsidRPr="00060F9C">
        <w:rPr>
          <w:spacing w:val="-4"/>
        </w:rPr>
        <w:t>u propio consumo, y en efecto e</w:t>
      </w:r>
      <w:r w:rsidRPr="00060F9C">
        <w:rPr>
          <w:spacing w:val="-4"/>
        </w:rPr>
        <w:t xml:space="preserve">l verbo rector que fue imputado al procesado es el de </w:t>
      </w:r>
      <w:r w:rsidR="00FD1A90" w:rsidRPr="00060F9C">
        <w:rPr>
          <w:spacing w:val="-4"/>
        </w:rPr>
        <w:t>“</w:t>
      </w:r>
      <w:r w:rsidRPr="00060F9C">
        <w:rPr>
          <w:spacing w:val="-4"/>
        </w:rPr>
        <w:t>llevar consigo</w:t>
      </w:r>
      <w:r w:rsidR="00FD1A90" w:rsidRPr="00060F9C">
        <w:rPr>
          <w:spacing w:val="-4"/>
        </w:rPr>
        <w:t>”</w:t>
      </w:r>
      <w:r w:rsidRPr="00060F9C">
        <w:rPr>
          <w:spacing w:val="-4"/>
        </w:rPr>
        <w:t>.</w:t>
      </w:r>
    </w:p>
    <w:p w:rsidR="002F45B0" w:rsidRPr="00060F9C" w:rsidRDefault="002F45B0" w:rsidP="002F45B0">
      <w:pPr>
        <w:rPr>
          <w:spacing w:val="-4"/>
        </w:rPr>
      </w:pPr>
    </w:p>
    <w:p w:rsidR="002F45B0" w:rsidRPr="00060F9C" w:rsidRDefault="00E7334D" w:rsidP="002F45B0">
      <w:pPr>
        <w:rPr>
          <w:spacing w:val="-4"/>
        </w:rPr>
      </w:pPr>
      <w:r w:rsidRPr="00060F9C">
        <w:rPr>
          <w:spacing w:val="-4"/>
        </w:rPr>
        <w:t xml:space="preserve">- Si bien la cantidad del alcaloide hallado en poder del judicializado fue 4.0 gramos de cocaína, la cual supera la dosis permitida como de uso personal en el artículo 2 de la Ley 30/86 que es de 1 gramo, </w:t>
      </w:r>
      <w:r w:rsidR="002F45B0" w:rsidRPr="00060F9C">
        <w:rPr>
          <w:spacing w:val="-4"/>
        </w:rPr>
        <w:t>se trata de una cantidad razonable en atención a la adicción que se asegura present</w:t>
      </w:r>
      <w:r w:rsidR="00FF7F29" w:rsidRPr="00060F9C">
        <w:rPr>
          <w:spacing w:val="-4"/>
        </w:rPr>
        <w:t>a</w:t>
      </w:r>
      <w:r w:rsidR="002F45B0" w:rsidRPr="00060F9C">
        <w:rPr>
          <w:spacing w:val="-4"/>
        </w:rPr>
        <w:t xml:space="preserve"> el procesado.</w:t>
      </w:r>
    </w:p>
    <w:p w:rsidR="00E7334D" w:rsidRPr="00060F9C" w:rsidRDefault="00E7334D" w:rsidP="002F45B0">
      <w:pPr>
        <w:rPr>
          <w:spacing w:val="-4"/>
        </w:rPr>
      </w:pPr>
    </w:p>
    <w:p w:rsidR="00E7334D" w:rsidRPr="00060F9C" w:rsidRDefault="00E7334D" w:rsidP="00E7334D">
      <w:pPr>
        <w:rPr>
          <w:spacing w:val="-4"/>
        </w:rPr>
      </w:pPr>
      <w:r w:rsidRPr="00060F9C">
        <w:rPr>
          <w:spacing w:val="-4"/>
        </w:rPr>
        <w:lastRenderedPageBreak/>
        <w:t>-</w:t>
      </w:r>
      <w:r w:rsidR="006C4859" w:rsidRPr="00060F9C">
        <w:rPr>
          <w:spacing w:val="-4"/>
        </w:rPr>
        <w:t xml:space="preserve"> </w:t>
      </w:r>
      <w:r w:rsidRPr="00060F9C">
        <w:rPr>
          <w:spacing w:val="-4"/>
        </w:rPr>
        <w:t>La presentación de la sustancia tampoco permite inferir</w:t>
      </w:r>
      <w:r w:rsidR="006C4859" w:rsidRPr="00060F9C">
        <w:rPr>
          <w:spacing w:val="-4"/>
        </w:rPr>
        <w:t xml:space="preserve"> </w:t>
      </w:r>
      <w:r w:rsidRPr="00060F9C">
        <w:rPr>
          <w:spacing w:val="-4"/>
        </w:rPr>
        <w:t>que no se trata</w:t>
      </w:r>
      <w:r w:rsidR="006C4859" w:rsidRPr="00060F9C">
        <w:rPr>
          <w:spacing w:val="-4"/>
        </w:rPr>
        <w:t>b</w:t>
      </w:r>
      <w:r w:rsidRPr="00060F9C">
        <w:rPr>
          <w:spacing w:val="-4"/>
        </w:rPr>
        <w:t>a de</w:t>
      </w:r>
      <w:r w:rsidR="006C4859" w:rsidRPr="00060F9C">
        <w:rPr>
          <w:spacing w:val="-4"/>
        </w:rPr>
        <w:t xml:space="preserve"> una sustancia destinada al consumo personal,</w:t>
      </w:r>
      <w:r w:rsidRPr="00060F9C">
        <w:rPr>
          <w:spacing w:val="-4"/>
        </w:rPr>
        <w:t xml:space="preserve"> p</w:t>
      </w:r>
      <w:r w:rsidR="006C4859" w:rsidRPr="00060F9C">
        <w:rPr>
          <w:spacing w:val="-4"/>
        </w:rPr>
        <w:t>orque</w:t>
      </w:r>
      <w:r w:rsidRPr="00060F9C">
        <w:rPr>
          <w:spacing w:val="-4"/>
        </w:rPr>
        <w:t xml:space="preserve"> si bien se encontraba distribuida en tres bolsas plásticas, es probable que la haya adquirido en esas condiciones. </w:t>
      </w:r>
    </w:p>
    <w:p w:rsidR="00FF4FD9" w:rsidRPr="00060F9C" w:rsidRDefault="00FF4FD9" w:rsidP="00FF62FD">
      <w:pPr>
        <w:rPr>
          <w:spacing w:val="-4"/>
        </w:rPr>
      </w:pPr>
    </w:p>
    <w:p w:rsidR="00FD1A90" w:rsidRPr="00060F9C" w:rsidRDefault="00FF4FD9" w:rsidP="00FF62FD">
      <w:pPr>
        <w:rPr>
          <w:spacing w:val="-4"/>
        </w:rPr>
      </w:pPr>
      <w:r w:rsidRPr="00060F9C">
        <w:rPr>
          <w:spacing w:val="-4"/>
        </w:rPr>
        <w:t>-</w:t>
      </w:r>
      <w:r w:rsidR="006C4859" w:rsidRPr="00060F9C">
        <w:rPr>
          <w:spacing w:val="-4"/>
        </w:rPr>
        <w:t xml:space="preserve"> </w:t>
      </w:r>
      <w:r w:rsidR="00E7334D" w:rsidRPr="00060F9C">
        <w:rPr>
          <w:spacing w:val="-4"/>
        </w:rPr>
        <w:t xml:space="preserve">Pese a que </w:t>
      </w:r>
      <w:r w:rsidR="006835DC" w:rsidRPr="00060F9C">
        <w:rPr>
          <w:spacing w:val="-4"/>
        </w:rPr>
        <w:t>por</w:t>
      </w:r>
      <w:r w:rsidR="00FF7F29" w:rsidRPr="00060F9C">
        <w:rPr>
          <w:spacing w:val="-4"/>
        </w:rPr>
        <w:t xml:space="preserve"> parte de la Fiscalía se enfatizó</w:t>
      </w:r>
      <w:r w:rsidR="006835DC" w:rsidRPr="00060F9C">
        <w:rPr>
          <w:spacing w:val="-4"/>
        </w:rPr>
        <w:t xml:space="preserve"> que no pueden desconocerse las circunstancias que rodearon la captura, lo cierto </w:t>
      </w:r>
      <w:r w:rsidR="00061F9E" w:rsidRPr="00060F9C">
        <w:rPr>
          <w:spacing w:val="-4"/>
        </w:rPr>
        <w:t>es que a pesar de que en un principio de acuerdo con la información aportada por un ciudadano</w:t>
      </w:r>
      <w:r w:rsidRPr="00060F9C">
        <w:rPr>
          <w:spacing w:val="-4"/>
        </w:rPr>
        <w:t xml:space="preserve"> cuya identidad se desconoce</w:t>
      </w:r>
      <w:r w:rsidR="00061F9E" w:rsidRPr="00060F9C">
        <w:rPr>
          <w:spacing w:val="-4"/>
        </w:rPr>
        <w:t>,</w:t>
      </w:r>
      <w:r w:rsidR="00E7334D" w:rsidRPr="00060F9C">
        <w:rPr>
          <w:spacing w:val="-4"/>
        </w:rPr>
        <w:t xml:space="preserve"> se tuvo la hipótesis de una posible venta,</w:t>
      </w:r>
      <w:r w:rsidR="00061F9E" w:rsidRPr="00060F9C">
        <w:rPr>
          <w:spacing w:val="-4"/>
        </w:rPr>
        <w:t xml:space="preserve"> cuando los uniformados llegaron al sitio no encontraron al aquí procesad</w:t>
      </w:r>
      <w:r w:rsidR="005B4D81" w:rsidRPr="00060F9C">
        <w:rPr>
          <w:spacing w:val="-4"/>
        </w:rPr>
        <w:t>o comercializando la sustancia, aunque tampoco consumiéndola.</w:t>
      </w:r>
    </w:p>
    <w:p w:rsidR="00FD1A90" w:rsidRPr="00060F9C" w:rsidRDefault="00FD1A90" w:rsidP="00FF62FD">
      <w:pPr>
        <w:rPr>
          <w:spacing w:val="-4"/>
        </w:rPr>
      </w:pPr>
    </w:p>
    <w:p w:rsidR="001D11F7" w:rsidRPr="00060F9C" w:rsidRDefault="00E7334D" w:rsidP="00FF62FD">
      <w:pPr>
        <w:rPr>
          <w:spacing w:val="-4"/>
        </w:rPr>
      </w:pPr>
      <w:r w:rsidRPr="00060F9C">
        <w:rPr>
          <w:spacing w:val="-4"/>
        </w:rPr>
        <w:t>- E</w:t>
      </w:r>
      <w:r w:rsidR="00FF7F29" w:rsidRPr="00060F9C">
        <w:rPr>
          <w:spacing w:val="-4"/>
        </w:rPr>
        <w:t>s verdad</w:t>
      </w:r>
      <w:r w:rsidRPr="00060F9C">
        <w:rPr>
          <w:spacing w:val="-4"/>
        </w:rPr>
        <w:t xml:space="preserve"> que el hoy procesado</w:t>
      </w:r>
      <w:r w:rsidR="00061F9E" w:rsidRPr="00060F9C">
        <w:rPr>
          <w:spacing w:val="-4"/>
        </w:rPr>
        <w:t xml:space="preserve"> al notar la presencia de los uniformados emprendió la huida, pero ello n</w:t>
      </w:r>
      <w:r w:rsidR="00FD1A90" w:rsidRPr="00060F9C">
        <w:rPr>
          <w:spacing w:val="-4"/>
        </w:rPr>
        <w:t>o puede ser suficiente para det</w:t>
      </w:r>
      <w:r w:rsidR="00061F9E" w:rsidRPr="00060F9C">
        <w:rPr>
          <w:spacing w:val="-4"/>
        </w:rPr>
        <w:t>e</w:t>
      </w:r>
      <w:r w:rsidR="00FD1A90" w:rsidRPr="00060F9C">
        <w:rPr>
          <w:spacing w:val="-4"/>
        </w:rPr>
        <w:t>rminar que estaba expendiend</w:t>
      </w:r>
      <w:r w:rsidR="004F6B9B" w:rsidRPr="00060F9C">
        <w:rPr>
          <w:spacing w:val="-4"/>
        </w:rPr>
        <w:t>o la sustancia, máxime que no</w:t>
      </w:r>
      <w:r w:rsidR="00FD1A90" w:rsidRPr="00060F9C">
        <w:rPr>
          <w:spacing w:val="-4"/>
        </w:rPr>
        <w:t xml:space="preserve"> se </w:t>
      </w:r>
      <w:r w:rsidR="004F6B9B" w:rsidRPr="00060F9C">
        <w:rPr>
          <w:spacing w:val="-4"/>
        </w:rPr>
        <w:t xml:space="preserve">le </w:t>
      </w:r>
      <w:r w:rsidR="00FD1A90" w:rsidRPr="00060F9C">
        <w:rPr>
          <w:spacing w:val="-4"/>
        </w:rPr>
        <w:t>encontró ningún elemento que indicara que así fuera</w:t>
      </w:r>
      <w:r w:rsidR="001D11F7" w:rsidRPr="00060F9C">
        <w:rPr>
          <w:spacing w:val="-4"/>
        </w:rPr>
        <w:t>.</w:t>
      </w:r>
    </w:p>
    <w:p w:rsidR="005A61F6" w:rsidRPr="00060F9C" w:rsidRDefault="005A61F6" w:rsidP="00FF62FD">
      <w:pPr>
        <w:rPr>
          <w:spacing w:val="-4"/>
        </w:rPr>
      </w:pPr>
    </w:p>
    <w:p w:rsidR="005A61F6" w:rsidRPr="00060F9C" w:rsidRDefault="005A61F6" w:rsidP="005A61F6">
      <w:pPr>
        <w:rPr>
          <w:spacing w:val="-4"/>
        </w:rPr>
      </w:pPr>
      <w:r w:rsidRPr="00060F9C">
        <w:rPr>
          <w:spacing w:val="-4"/>
        </w:rPr>
        <w:t>- No es posible tener en consideración lo concluido en la valoración siquiátrica que le fue efectuada al procesado, toda vez que la misma no fue allegada como prueba dentro de la actuación, sino en forma extemporánea.</w:t>
      </w:r>
    </w:p>
    <w:p w:rsidR="00341E66" w:rsidRPr="00060F9C" w:rsidRDefault="00341E66" w:rsidP="00FF62FD">
      <w:pPr>
        <w:rPr>
          <w:spacing w:val="-4"/>
        </w:rPr>
      </w:pPr>
    </w:p>
    <w:p w:rsidR="006C4859" w:rsidRPr="00060F9C" w:rsidRDefault="00236033" w:rsidP="00FF62FD">
      <w:pPr>
        <w:rPr>
          <w:spacing w:val="-4"/>
        </w:rPr>
      </w:pPr>
      <w:r w:rsidRPr="00060F9C">
        <w:rPr>
          <w:spacing w:val="-4"/>
        </w:rPr>
        <w:t>En esas con</w:t>
      </w:r>
      <w:r w:rsidR="006C4859" w:rsidRPr="00060F9C">
        <w:rPr>
          <w:spacing w:val="-4"/>
        </w:rPr>
        <w:t>diciones, en criterio del Tribunal</w:t>
      </w:r>
      <w:r w:rsidRPr="00060F9C">
        <w:rPr>
          <w:spacing w:val="-4"/>
        </w:rPr>
        <w:t>,</w:t>
      </w:r>
      <w:r w:rsidR="006C4859" w:rsidRPr="00060F9C">
        <w:rPr>
          <w:spacing w:val="-4"/>
        </w:rPr>
        <w:t xml:space="preserve"> existen argumentos tanto en pro como en contra para establecer la antijuridicidad de la conducta atribuida, es decir, que tan podría concluirse que el alcaloide lo llevaba consigo con fines de expendio (según lo indicó la fuente), como igualmente para decir que estaba en poder del mismo solo para su personal consumo sin afectar al colectivo (de conformidad con la información allegada con posterioridad); así que, ante la duda existente, la Corporación debe inclinarse por la determinación más favorable para el acusado, que no es otra que un fallo de carácter absolutorio.</w:t>
      </w:r>
    </w:p>
    <w:p w:rsidR="0059780C" w:rsidRPr="00060F9C" w:rsidRDefault="0059780C" w:rsidP="00FF62FD">
      <w:pPr>
        <w:rPr>
          <w:spacing w:val="-4"/>
        </w:rPr>
      </w:pPr>
    </w:p>
    <w:p w:rsidR="00A27BD4" w:rsidRPr="00060F9C" w:rsidRDefault="00266FFA" w:rsidP="00FF62FD">
      <w:pPr>
        <w:rPr>
          <w:spacing w:val="-4"/>
        </w:rPr>
      </w:pPr>
      <w:r w:rsidRPr="00060F9C">
        <w:rPr>
          <w:spacing w:val="-4"/>
        </w:rPr>
        <w:t xml:space="preserve">En consonancia con lo </w:t>
      </w:r>
      <w:r w:rsidR="006C4859" w:rsidRPr="00060F9C">
        <w:rPr>
          <w:spacing w:val="-4"/>
        </w:rPr>
        <w:t>indicado</w:t>
      </w:r>
      <w:r w:rsidRPr="00060F9C">
        <w:rPr>
          <w:spacing w:val="-4"/>
        </w:rPr>
        <w:t xml:space="preserve">, </w:t>
      </w:r>
      <w:r w:rsidR="00C0178C" w:rsidRPr="00060F9C">
        <w:rPr>
          <w:spacing w:val="-4"/>
        </w:rPr>
        <w:t xml:space="preserve">la Sala </w:t>
      </w:r>
      <w:r w:rsidR="00A27BD4" w:rsidRPr="00060F9C">
        <w:rPr>
          <w:spacing w:val="-4"/>
        </w:rPr>
        <w:t xml:space="preserve">revocará la determinación adoptada por el juez de primer nivel, y en consecuencia absolverá al procesado del cargo que </w:t>
      </w:r>
      <w:r w:rsidR="00A27BD4" w:rsidRPr="00060F9C">
        <w:rPr>
          <w:spacing w:val="-4"/>
        </w:rPr>
        <w:lastRenderedPageBreak/>
        <w:t>le fue endilgado como autor de la conducta punible de tráfico, fabricación o porte de estupefacientes</w:t>
      </w:r>
      <w:r w:rsidRPr="00060F9C">
        <w:rPr>
          <w:spacing w:val="-4"/>
        </w:rPr>
        <w:t xml:space="preserve"> en la modalidad de “llevar consigo”</w:t>
      </w:r>
      <w:r w:rsidR="005F40CA" w:rsidRPr="00060F9C">
        <w:rPr>
          <w:spacing w:val="-4"/>
        </w:rPr>
        <w:t>.</w:t>
      </w:r>
    </w:p>
    <w:p w:rsidR="005F40CA" w:rsidRPr="00060F9C" w:rsidRDefault="005F40CA" w:rsidP="00FF62FD">
      <w:pPr>
        <w:rPr>
          <w:spacing w:val="-4"/>
        </w:rPr>
      </w:pPr>
    </w:p>
    <w:p w:rsidR="00AA0519" w:rsidRPr="00060F9C" w:rsidRDefault="00AA0519" w:rsidP="00FF62FD">
      <w:pPr>
        <w:rPr>
          <w:spacing w:val="-4"/>
        </w:rPr>
      </w:pPr>
      <w:r w:rsidRPr="00060F9C">
        <w:rPr>
          <w:spacing w:val="-4"/>
        </w:rPr>
        <w:t xml:space="preserve">En mérito de lo expuesto, el Tribunal Superior del Distrito Judicial de Pereira (Rda.), administrando justicia en nombre de </w:t>
      </w:r>
      <w:smartTag w:uri="urn:schemas-microsoft-com:office:smarttags" w:element="PersonName">
        <w:smartTagPr>
          <w:attr w:name="ProductID" w:val="la Rep￺blica"/>
        </w:smartTagPr>
        <w:r w:rsidRPr="00060F9C">
          <w:rPr>
            <w:spacing w:val="-4"/>
          </w:rPr>
          <w:t>la República</w:t>
        </w:r>
      </w:smartTag>
      <w:r w:rsidRPr="00060F9C">
        <w:rPr>
          <w:spacing w:val="-4"/>
        </w:rPr>
        <w:t xml:space="preserve"> y por autoridad de la ley, </w:t>
      </w:r>
      <w:r w:rsidRPr="00060F9C">
        <w:rPr>
          <w:b/>
          <w:spacing w:val="-4"/>
          <w:sz w:val="22"/>
          <w:szCs w:val="22"/>
        </w:rPr>
        <w:t>REVOCA</w:t>
      </w:r>
      <w:r w:rsidRPr="00060F9C">
        <w:rPr>
          <w:spacing w:val="-4"/>
        </w:rPr>
        <w:t xml:space="preserve"> el fallo de condena objeto de recurso, y en su lugar </w:t>
      </w:r>
      <w:r w:rsidRPr="00060F9C">
        <w:rPr>
          <w:b/>
          <w:spacing w:val="-4"/>
          <w:sz w:val="22"/>
          <w:szCs w:val="22"/>
        </w:rPr>
        <w:t>ABSUELVE</w:t>
      </w:r>
      <w:r w:rsidRPr="00060F9C">
        <w:rPr>
          <w:spacing w:val="-4"/>
          <w:sz w:val="22"/>
          <w:szCs w:val="22"/>
        </w:rPr>
        <w:t xml:space="preserve"> </w:t>
      </w:r>
      <w:r w:rsidRPr="00060F9C">
        <w:rPr>
          <w:spacing w:val="-4"/>
        </w:rPr>
        <w:t xml:space="preserve">al acusado </w:t>
      </w:r>
      <w:r w:rsidRPr="00060F9C">
        <w:rPr>
          <w:b/>
          <w:spacing w:val="-4"/>
          <w:sz w:val="22"/>
          <w:szCs w:val="22"/>
        </w:rPr>
        <w:t>E</w:t>
      </w:r>
      <w:r w:rsidR="00852711">
        <w:rPr>
          <w:b/>
          <w:spacing w:val="-4"/>
          <w:sz w:val="22"/>
          <w:szCs w:val="22"/>
        </w:rPr>
        <w:t>ARG</w:t>
      </w:r>
      <w:bookmarkStart w:id="0" w:name="_GoBack"/>
      <w:bookmarkEnd w:id="0"/>
      <w:r w:rsidRPr="00060F9C">
        <w:rPr>
          <w:spacing w:val="-4"/>
          <w:sz w:val="22"/>
        </w:rPr>
        <w:t xml:space="preserve"> </w:t>
      </w:r>
      <w:r w:rsidRPr="00060F9C">
        <w:rPr>
          <w:spacing w:val="-4"/>
        </w:rPr>
        <w:t>de los cargos imputados, en consecuencia, se ordena su libertad inmediata.</w:t>
      </w:r>
    </w:p>
    <w:p w:rsidR="00AA0519" w:rsidRPr="00060F9C" w:rsidRDefault="00AA0519" w:rsidP="00FF62FD">
      <w:pPr>
        <w:rPr>
          <w:spacing w:val="-4"/>
        </w:rPr>
      </w:pPr>
    </w:p>
    <w:p w:rsidR="00AA0519" w:rsidRPr="00060F9C" w:rsidRDefault="00AA0519" w:rsidP="00FF62FD">
      <w:pPr>
        <w:rPr>
          <w:spacing w:val="-4"/>
        </w:rPr>
      </w:pPr>
      <w:r w:rsidRPr="00060F9C">
        <w:rPr>
          <w:spacing w:val="-4"/>
        </w:rPr>
        <w:t>Esta sentencia queda notificada en estrados y contra ella procede el recurso extraordinario de casación, que de interponerse habrá de hacerse dentro del término legal.</w:t>
      </w:r>
    </w:p>
    <w:p w:rsidR="00AA0519" w:rsidRPr="00060F9C" w:rsidRDefault="00AA0519" w:rsidP="00AA0519">
      <w:pPr>
        <w:rPr>
          <w:spacing w:val="-4"/>
        </w:rPr>
      </w:pPr>
    </w:p>
    <w:p w:rsidR="002C26C4" w:rsidRPr="00060F9C" w:rsidRDefault="002C26C4" w:rsidP="00C0178C">
      <w:pPr>
        <w:rPr>
          <w:spacing w:val="-4"/>
        </w:rPr>
      </w:pPr>
      <w:r w:rsidRPr="00060F9C">
        <w:rPr>
          <w:spacing w:val="-4"/>
        </w:rPr>
        <w:t xml:space="preserve">Los Magistrados, </w:t>
      </w:r>
    </w:p>
    <w:p w:rsidR="002C26C4" w:rsidRPr="00060F9C" w:rsidRDefault="002C26C4" w:rsidP="00C0178C">
      <w:pPr>
        <w:rPr>
          <w:spacing w:val="-4"/>
          <w:lang w:val="es-ES_tradnl"/>
        </w:rPr>
      </w:pPr>
    </w:p>
    <w:p w:rsidR="00561498" w:rsidRDefault="00561498" w:rsidP="00C0178C">
      <w:pPr>
        <w:rPr>
          <w:spacing w:val="-4"/>
          <w:lang w:val="es-ES_tradnl"/>
        </w:rPr>
      </w:pPr>
    </w:p>
    <w:p w:rsidR="006C46A2" w:rsidRPr="00060F9C" w:rsidRDefault="006C46A2" w:rsidP="00C0178C">
      <w:pPr>
        <w:rPr>
          <w:spacing w:val="-4"/>
          <w:lang w:val="es-ES_tradnl"/>
        </w:rPr>
      </w:pPr>
    </w:p>
    <w:p w:rsidR="002C26C4" w:rsidRPr="00060F9C" w:rsidRDefault="002C26C4" w:rsidP="00C0178C">
      <w:pPr>
        <w:rPr>
          <w:spacing w:val="-4"/>
          <w:lang w:val="es-ES_tradnl"/>
        </w:rPr>
      </w:pPr>
      <w:r w:rsidRPr="00060F9C">
        <w:rPr>
          <w:spacing w:val="-4"/>
          <w:lang w:val="es-ES_tradnl"/>
        </w:rPr>
        <w:t>JORGE ARTURO CASTAÑO DUQUE</w:t>
      </w:r>
      <w:r w:rsidRPr="00060F9C">
        <w:rPr>
          <w:spacing w:val="-4"/>
          <w:lang w:val="es-ES_tradnl"/>
        </w:rPr>
        <w:tab/>
      </w:r>
      <w:r w:rsidRPr="00060F9C">
        <w:rPr>
          <w:spacing w:val="-4"/>
          <w:lang w:val="es-ES_tradnl"/>
        </w:rPr>
        <w:tab/>
        <w:t>JAIRO ERNESTO ESCO</w:t>
      </w:r>
      <w:r w:rsidR="00561498" w:rsidRPr="00060F9C">
        <w:rPr>
          <w:spacing w:val="-4"/>
          <w:lang w:val="es-ES_tradnl"/>
        </w:rPr>
        <w:t>BAR SANZ</w:t>
      </w:r>
    </w:p>
    <w:p w:rsidR="00561498" w:rsidRDefault="00561498" w:rsidP="00612268">
      <w:pPr>
        <w:rPr>
          <w:spacing w:val="-4"/>
          <w:lang w:val="es-ES_tradnl"/>
        </w:rPr>
      </w:pPr>
    </w:p>
    <w:p w:rsidR="006C46A2" w:rsidRPr="00060F9C" w:rsidRDefault="006C46A2" w:rsidP="00612268">
      <w:pPr>
        <w:rPr>
          <w:spacing w:val="-4"/>
          <w:lang w:val="es-ES_tradnl"/>
        </w:rPr>
      </w:pPr>
    </w:p>
    <w:p w:rsidR="008F1BBA" w:rsidRPr="00060F9C" w:rsidRDefault="008F1BBA" w:rsidP="00C0178C">
      <w:pPr>
        <w:jc w:val="center"/>
        <w:rPr>
          <w:spacing w:val="-4"/>
          <w:lang w:val="es-ES_tradnl"/>
        </w:rPr>
      </w:pPr>
    </w:p>
    <w:p w:rsidR="002C26C4" w:rsidRPr="00060F9C" w:rsidRDefault="002C26C4" w:rsidP="00C0178C">
      <w:pPr>
        <w:jc w:val="center"/>
        <w:rPr>
          <w:spacing w:val="-4"/>
          <w:lang w:val="es-ES_tradnl"/>
        </w:rPr>
      </w:pPr>
      <w:r w:rsidRPr="00060F9C">
        <w:rPr>
          <w:spacing w:val="-4"/>
          <w:lang w:val="es-ES_tradnl"/>
        </w:rPr>
        <w:t>MANUEL YARZAGARAY BANDERA</w:t>
      </w:r>
    </w:p>
    <w:p w:rsidR="00AB74FF" w:rsidRPr="00060F9C" w:rsidRDefault="00165827" w:rsidP="00C0178C">
      <w:pPr>
        <w:rPr>
          <w:spacing w:val="-4"/>
          <w:lang w:eastAsia="es-CO"/>
        </w:rPr>
      </w:pPr>
      <w:r w:rsidRPr="00060F9C">
        <w:rPr>
          <w:spacing w:val="-4"/>
          <w:lang w:eastAsia="es-CO"/>
        </w:rPr>
        <w:tab/>
      </w:r>
      <w:r w:rsidRPr="00060F9C">
        <w:rPr>
          <w:spacing w:val="-4"/>
          <w:lang w:eastAsia="es-CO"/>
        </w:rPr>
        <w:tab/>
      </w:r>
      <w:r w:rsidRPr="00060F9C">
        <w:rPr>
          <w:spacing w:val="-4"/>
          <w:lang w:eastAsia="es-CO"/>
        </w:rPr>
        <w:tab/>
        <w:t xml:space="preserve">    </w:t>
      </w:r>
      <w:r w:rsidR="00274155" w:rsidRPr="00060F9C">
        <w:rPr>
          <w:spacing w:val="-4"/>
          <w:lang w:eastAsia="es-CO"/>
        </w:rPr>
        <w:t xml:space="preserve">        </w:t>
      </w:r>
    </w:p>
    <w:p w:rsidR="008F1BBA" w:rsidRPr="00060F9C" w:rsidRDefault="0081459D" w:rsidP="00561498">
      <w:pPr>
        <w:rPr>
          <w:spacing w:val="-4"/>
          <w:lang w:eastAsia="es-CO"/>
        </w:rPr>
      </w:pPr>
      <w:r w:rsidRPr="00060F9C">
        <w:rPr>
          <w:spacing w:val="-4"/>
          <w:lang w:eastAsia="es-CO"/>
        </w:rPr>
        <w:t>La Secretaria</w:t>
      </w:r>
      <w:r w:rsidR="00036644" w:rsidRPr="00060F9C">
        <w:rPr>
          <w:spacing w:val="-4"/>
          <w:lang w:eastAsia="es-CO"/>
        </w:rPr>
        <w:t xml:space="preserve"> de la Sala,</w:t>
      </w:r>
    </w:p>
    <w:p w:rsidR="00561498" w:rsidRDefault="00561498" w:rsidP="00561498">
      <w:pPr>
        <w:rPr>
          <w:spacing w:val="-4"/>
          <w:lang w:eastAsia="es-CO"/>
        </w:rPr>
      </w:pPr>
    </w:p>
    <w:p w:rsidR="006C46A2" w:rsidRPr="00060F9C" w:rsidRDefault="006C46A2" w:rsidP="00561498">
      <w:pPr>
        <w:rPr>
          <w:spacing w:val="-4"/>
          <w:lang w:eastAsia="es-CO"/>
        </w:rPr>
      </w:pPr>
    </w:p>
    <w:p w:rsidR="00561498" w:rsidRPr="00060F9C" w:rsidRDefault="00561498" w:rsidP="00561498">
      <w:pPr>
        <w:rPr>
          <w:spacing w:val="-4"/>
          <w:lang w:eastAsia="es-CO"/>
        </w:rPr>
      </w:pPr>
    </w:p>
    <w:p w:rsidR="00DF5F07" w:rsidRPr="00060F9C" w:rsidRDefault="0081459D" w:rsidP="00FF62FD">
      <w:pPr>
        <w:jc w:val="center"/>
        <w:rPr>
          <w:spacing w:val="-4"/>
          <w:sz w:val="24"/>
          <w:szCs w:val="24"/>
        </w:rPr>
      </w:pPr>
      <w:r w:rsidRPr="00060F9C">
        <w:rPr>
          <w:spacing w:val="-4"/>
          <w:lang w:eastAsia="es-CO"/>
        </w:rPr>
        <w:t>MARÍA ELENA RÍOS VÁSQUEZ</w:t>
      </w:r>
    </w:p>
    <w:sectPr w:rsidR="00DF5F07" w:rsidRPr="00060F9C" w:rsidSect="00561498">
      <w:headerReference w:type="default" r:id="rId9"/>
      <w:footerReference w:type="default" r:id="rId10"/>
      <w:pgSz w:w="12242" w:h="18722" w:code="123"/>
      <w:pgMar w:top="2155" w:right="1134" w:bottom="1304" w:left="2155"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BE8" w:rsidRDefault="00BF0BE8">
      <w:pPr>
        <w:spacing w:line="240" w:lineRule="auto"/>
      </w:pPr>
      <w:r>
        <w:separator/>
      </w:r>
    </w:p>
  </w:endnote>
  <w:endnote w:type="continuationSeparator" w:id="0">
    <w:p w:rsidR="00BF0BE8" w:rsidRDefault="00BF0B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0B8" w:rsidRPr="00C36996" w:rsidRDefault="004260B8" w:rsidP="00C36996">
    <w:pPr>
      <w:pStyle w:val="Piedepgina"/>
    </w:pPr>
    <w:r w:rsidRPr="00C36996">
      <w:t xml:space="preserve">Página </w:t>
    </w:r>
    <w:r w:rsidRPr="00C36996">
      <w:fldChar w:fldCharType="begin"/>
    </w:r>
    <w:r w:rsidRPr="00C36996">
      <w:instrText xml:space="preserve"> PAGE </w:instrText>
    </w:r>
    <w:r w:rsidRPr="00C36996">
      <w:fldChar w:fldCharType="separate"/>
    </w:r>
    <w:r w:rsidR="00852711">
      <w:rPr>
        <w:noProof/>
      </w:rPr>
      <w:t>12</w:t>
    </w:r>
    <w:r w:rsidRPr="00C36996">
      <w:fldChar w:fldCharType="end"/>
    </w:r>
    <w:r w:rsidRPr="00C36996">
      <w:t xml:space="preserve"> de </w:t>
    </w:r>
    <w:fldSimple w:instr=" NUMPAGES ">
      <w:r w:rsidR="00852711">
        <w:rPr>
          <w:noProof/>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BE8" w:rsidRDefault="00BF0BE8">
      <w:pPr>
        <w:spacing w:line="240" w:lineRule="auto"/>
      </w:pPr>
      <w:r>
        <w:separator/>
      </w:r>
    </w:p>
  </w:footnote>
  <w:footnote w:type="continuationSeparator" w:id="0">
    <w:p w:rsidR="00BF0BE8" w:rsidRDefault="00BF0BE8">
      <w:pPr>
        <w:spacing w:line="240" w:lineRule="auto"/>
      </w:pPr>
      <w:r>
        <w:continuationSeparator/>
      </w:r>
    </w:p>
  </w:footnote>
  <w:footnote w:id="1">
    <w:p w:rsidR="00A27BD4" w:rsidRPr="00561498" w:rsidRDefault="00A27BD4" w:rsidP="0004476E">
      <w:pPr>
        <w:pStyle w:val="Textonotapie"/>
      </w:pPr>
      <w:r w:rsidRPr="00561498">
        <w:rPr>
          <w:rStyle w:val="Refdenotaalpie"/>
          <w:b/>
        </w:rPr>
        <w:footnoteRef/>
      </w:r>
      <w:r w:rsidRPr="00561498">
        <w:t xml:space="preserve"> </w:t>
      </w:r>
      <w:r w:rsidRPr="00561498">
        <w:rPr>
          <w:i/>
        </w:rPr>
        <w:t>C.S.J.</w:t>
      </w:r>
      <w:r w:rsidRPr="00561498">
        <w:t xml:space="preserve">, casación penal del 18-11-08, radicación 29.183, al expresar, </w:t>
      </w:r>
      <w:r w:rsidRPr="00561498">
        <w:rPr>
          <w:i/>
          <w:iCs/>
          <w:lang w:val="es-CO"/>
        </w:rPr>
        <w:t>C.S.J.</w:t>
      </w:r>
      <w:r w:rsidRPr="00561498">
        <w:rPr>
          <w:lang w:val="es-CO"/>
        </w:rPr>
        <w:t xml:space="preserve">, casación penal </w:t>
      </w:r>
      <w:r w:rsidR="008A1D80" w:rsidRPr="00561498">
        <w:rPr>
          <w:lang w:val="es-CO"/>
        </w:rPr>
        <w:t>del 08-07-09, radicación 31531, entre otros</w:t>
      </w:r>
    </w:p>
  </w:footnote>
  <w:footnote w:id="2">
    <w:p w:rsidR="00A27BD4" w:rsidRPr="00561498" w:rsidRDefault="00A27BD4" w:rsidP="0004476E">
      <w:pPr>
        <w:pStyle w:val="Textonotapie"/>
      </w:pPr>
      <w:r w:rsidRPr="00561498">
        <w:rPr>
          <w:rStyle w:val="Refdenotaalpie"/>
        </w:rPr>
        <w:footnoteRef/>
      </w:r>
      <w:r w:rsidRPr="00561498">
        <w:t xml:space="preserve"> Ver entre otras la sentencia de agosto diecisiete (17) de 2011. Proceso # 35978.</w:t>
      </w:r>
    </w:p>
  </w:footnote>
  <w:footnote w:id="3">
    <w:p w:rsidR="00BF2B0B" w:rsidRPr="00561498" w:rsidRDefault="00BF2B0B" w:rsidP="0004476E">
      <w:pPr>
        <w:pStyle w:val="Textonotapie"/>
      </w:pPr>
      <w:r w:rsidRPr="00561498">
        <w:rPr>
          <w:rStyle w:val="Refdenotaalpie"/>
          <w:b/>
        </w:rPr>
        <w:footnoteRef/>
      </w:r>
      <w:r w:rsidRPr="00561498">
        <w:t xml:space="preserve"> CSJ SP, 12 nov, 2014, rad. 42617.</w:t>
      </w:r>
    </w:p>
  </w:footnote>
  <w:footnote w:id="4">
    <w:p w:rsidR="00A27BD4" w:rsidRPr="00561498" w:rsidRDefault="00A27BD4" w:rsidP="0004476E">
      <w:pPr>
        <w:pStyle w:val="Textonotapie"/>
      </w:pPr>
      <w:r w:rsidRPr="00561498">
        <w:rPr>
          <w:rStyle w:val="Refdenotaalpie"/>
          <w:b/>
        </w:rPr>
        <w:footnoteRef/>
      </w:r>
      <w:r w:rsidRPr="00561498">
        <w:t xml:space="preserve"> C.S.J., casación penal del doce (12) de noviembre 2014. Rad. # 42617. negrillas fuera del texto.</w:t>
      </w:r>
    </w:p>
  </w:footnote>
  <w:footnote w:id="5">
    <w:p w:rsidR="00836C2A" w:rsidRPr="00561498" w:rsidRDefault="00836C2A" w:rsidP="00561498">
      <w:pPr>
        <w:pStyle w:val="Encabezado"/>
        <w:spacing w:line="240" w:lineRule="auto"/>
        <w:rPr>
          <w:spacing w:val="-6"/>
          <w:lang w:val="es-CO"/>
        </w:rPr>
      </w:pPr>
      <w:r w:rsidRPr="00561498">
        <w:rPr>
          <w:rStyle w:val="Refdenotaalpie"/>
          <w:rFonts w:ascii="Verdana" w:hAnsi="Verdana"/>
          <w:b/>
          <w:spacing w:val="-6"/>
          <w:sz w:val="20"/>
          <w:szCs w:val="20"/>
        </w:rPr>
        <w:footnoteRef/>
      </w:r>
      <w:r w:rsidRPr="00561498">
        <w:rPr>
          <w:rFonts w:ascii="Verdana" w:hAnsi="Verdana"/>
          <w:spacing w:val="-6"/>
          <w:sz w:val="20"/>
          <w:szCs w:val="20"/>
        </w:rPr>
        <w:t xml:space="preserve"> </w:t>
      </w:r>
      <w:r w:rsidRPr="00561498">
        <w:rPr>
          <w:rFonts w:ascii="Verdana" w:hAnsi="Verdana"/>
          <w:spacing w:val="-6"/>
          <w:sz w:val="20"/>
          <w:szCs w:val="20"/>
          <w:lang w:val="es-CO"/>
        </w:rPr>
        <w:t>Entre ellos, a</w:t>
      </w:r>
      <w:r w:rsidR="008059A7" w:rsidRPr="00561498">
        <w:rPr>
          <w:rFonts w:ascii="Verdana" w:hAnsi="Verdana"/>
          <w:spacing w:val="-6"/>
          <w:sz w:val="20"/>
          <w:szCs w:val="20"/>
        </w:rPr>
        <w:t xml:space="preserve">utos </w:t>
      </w:r>
      <w:r w:rsidRPr="00561498">
        <w:rPr>
          <w:rFonts w:ascii="Verdana" w:hAnsi="Verdana"/>
          <w:spacing w:val="-6"/>
          <w:sz w:val="20"/>
          <w:szCs w:val="20"/>
        </w:rPr>
        <w:t>de marzo 26 de 2015, radicado</w:t>
      </w:r>
      <w:r w:rsidR="008059A7" w:rsidRPr="00561498">
        <w:rPr>
          <w:rFonts w:ascii="Verdana" w:hAnsi="Verdana"/>
          <w:spacing w:val="-6"/>
          <w:sz w:val="20"/>
          <w:szCs w:val="20"/>
        </w:rPr>
        <w:t xml:space="preserve"> 6600160000352012</w:t>
      </w:r>
      <w:r w:rsidRPr="00561498">
        <w:rPr>
          <w:rFonts w:ascii="Verdana" w:hAnsi="Verdana"/>
          <w:spacing w:val="-6"/>
          <w:sz w:val="20"/>
          <w:szCs w:val="20"/>
        </w:rPr>
        <w:t>0</w:t>
      </w:r>
      <w:r w:rsidR="008059A7" w:rsidRPr="00561498">
        <w:rPr>
          <w:rFonts w:ascii="Verdana" w:hAnsi="Verdana"/>
          <w:spacing w:val="-6"/>
          <w:sz w:val="20"/>
          <w:szCs w:val="20"/>
        </w:rPr>
        <w:t>3717</w:t>
      </w:r>
      <w:r w:rsidRPr="00561498">
        <w:rPr>
          <w:rFonts w:ascii="Verdana" w:hAnsi="Verdana"/>
          <w:spacing w:val="-6"/>
          <w:sz w:val="20"/>
          <w:szCs w:val="20"/>
        </w:rPr>
        <w:t>01 M</w:t>
      </w:r>
      <w:r w:rsidR="008059A7" w:rsidRPr="00561498">
        <w:rPr>
          <w:rFonts w:ascii="Verdana" w:hAnsi="Verdana"/>
          <w:spacing w:val="-6"/>
          <w:sz w:val="20"/>
          <w:szCs w:val="20"/>
        </w:rPr>
        <w:t xml:space="preserve">.P. Yarzagaray Bandera, </w:t>
      </w:r>
      <w:r w:rsidRPr="00561498">
        <w:rPr>
          <w:rFonts w:ascii="Verdana" w:hAnsi="Verdana"/>
          <w:spacing w:val="-6"/>
          <w:sz w:val="20"/>
          <w:szCs w:val="20"/>
          <w:lang w:val="es-CO"/>
        </w:rPr>
        <w:t xml:space="preserve">junio 03 de 2015, radicado </w:t>
      </w:r>
      <w:r w:rsidRPr="00561498">
        <w:rPr>
          <w:rFonts w:ascii="Verdana" w:hAnsi="Verdana"/>
          <w:spacing w:val="-6"/>
          <w:sz w:val="20"/>
          <w:szCs w:val="20"/>
          <w:lang w:val="es-MX"/>
        </w:rPr>
        <w:t>66001600003520130488901</w:t>
      </w:r>
      <w:r w:rsidR="00E87F0A" w:rsidRPr="00561498">
        <w:rPr>
          <w:rFonts w:ascii="Verdana" w:hAnsi="Verdana"/>
          <w:spacing w:val="-6"/>
          <w:sz w:val="20"/>
          <w:szCs w:val="20"/>
          <w:lang w:val="es-MX"/>
        </w:rPr>
        <w:t>, mayo 26 de 2015 radicado  66001600000352013 05035 01</w:t>
      </w:r>
      <w:r w:rsidR="008059A7" w:rsidRPr="00561498">
        <w:rPr>
          <w:rFonts w:ascii="Verdana" w:hAnsi="Verdana"/>
          <w:spacing w:val="-6"/>
          <w:sz w:val="20"/>
          <w:szCs w:val="20"/>
          <w:lang w:val="es-MX"/>
        </w:rPr>
        <w:t>,</w:t>
      </w:r>
      <w:r w:rsidR="00E87F0A" w:rsidRPr="00561498">
        <w:rPr>
          <w:rFonts w:ascii="Verdana" w:hAnsi="Verdana"/>
          <w:spacing w:val="-6"/>
          <w:sz w:val="20"/>
          <w:szCs w:val="20"/>
          <w:lang w:val="es-MX"/>
        </w:rPr>
        <w:t xml:space="preserve"> y</w:t>
      </w:r>
      <w:r w:rsidR="00713F9E" w:rsidRPr="00561498">
        <w:rPr>
          <w:rFonts w:ascii="Verdana" w:hAnsi="Verdana"/>
          <w:spacing w:val="-6"/>
          <w:sz w:val="20"/>
          <w:szCs w:val="20"/>
          <w:lang w:val="es-MX"/>
        </w:rPr>
        <w:t xml:space="preserve"> enero </w:t>
      </w:r>
      <w:r w:rsidR="00E87F0A" w:rsidRPr="00561498">
        <w:rPr>
          <w:rFonts w:ascii="Verdana" w:hAnsi="Verdana"/>
          <w:spacing w:val="-6"/>
          <w:sz w:val="20"/>
          <w:szCs w:val="20"/>
          <w:lang w:val="es-MX"/>
        </w:rPr>
        <w:t xml:space="preserve"> </w:t>
      </w:r>
      <w:r w:rsidR="00713F9E" w:rsidRPr="00561498">
        <w:rPr>
          <w:rFonts w:ascii="Verdana" w:hAnsi="Verdana"/>
          <w:spacing w:val="-6"/>
          <w:sz w:val="20"/>
          <w:szCs w:val="20"/>
          <w:lang w:val="es-MX"/>
        </w:rPr>
        <w:t>22 de 2016</w:t>
      </w:r>
      <w:r w:rsidR="00E87F0A" w:rsidRPr="00561498">
        <w:rPr>
          <w:rFonts w:ascii="Verdana" w:hAnsi="Verdana"/>
          <w:spacing w:val="-6"/>
          <w:sz w:val="20"/>
          <w:szCs w:val="20"/>
          <w:lang w:val="es-MX"/>
        </w:rPr>
        <w:t xml:space="preserve"> radicado 66001600003520130</w:t>
      </w:r>
      <w:r w:rsidR="008059A7" w:rsidRPr="00561498">
        <w:rPr>
          <w:rFonts w:ascii="Verdana" w:hAnsi="Verdana"/>
          <w:spacing w:val="-6"/>
          <w:sz w:val="20"/>
          <w:szCs w:val="20"/>
          <w:lang w:val="es-MX"/>
        </w:rPr>
        <w:t>2348</w:t>
      </w:r>
      <w:r w:rsidR="00E87F0A" w:rsidRPr="00561498">
        <w:rPr>
          <w:rFonts w:ascii="Verdana" w:hAnsi="Verdana"/>
          <w:spacing w:val="-6"/>
          <w:sz w:val="20"/>
          <w:szCs w:val="20"/>
          <w:lang w:val="es-MX"/>
        </w:rPr>
        <w:t>01, M.P. Jorge Arturo Castaño Duque.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0B8" w:rsidRPr="003B4C3C" w:rsidRDefault="00906EF4" w:rsidP="00083C20">
    <w:pPr>
      <w:pStyle w:val="Encabezado"/>
      <w:spacing w:line="240" w:lineRule="auto"/>
      <w:jc w:val="right"/>
      <w:rPr>
        <w:rFonts w:ascii="Courier New" w:hAnsi="Courier New" w:cs="Courier New"/>
        <w:sz w:val="16"/>
        <w:szCs w:val="16"/>
        <w:lang w:val="es-MX"/>
      </w:rPr>
    </w:pPr>
    <w:r>
      <w:rPr>
        <w:rFonts w:ascii="Courier New" w:hAnsi="Courier New" w:cs="Courier New"/>
        <w:sz w:val="16"/>
        <w:szCs w:val="16"/>
        <w:lang w:val="es-MX"/>
      </w:rPr>
      <w:t>TRÁFICO</w:t>
    </w:r>
    <w:r w:rsidR="000F4F01" w:rsidRPr="009D2CE6">
      <w:rPr>
        <w:rFonts w:ascii="Courier New" w:hAnsi="Courier New" w:cs="Courier New"/>
        <w:sz w:val="16"/>
        <w:szCs w:val="16"/>
        <w:lang w:val="es-MX"/>
      </w:rPr>
      <w:t xml:space="preserve"> DE ESTUPEFACIENTES</w:t>
    </w:r>
    <w:r w:rsidR="004260B8" w:rsidRPr="009D2CE6">
      <w:rPr>
        <w:rFonts w:ascii="Courier New" w:hAnsi="Courier New" w:cs="Courier New"/>
        <w:sz w:val="16"/>
        <w:szCs w:val="16"/>
        <w:lang w:val="es-MX"/>
      </w:rPr>
      <w:t xml:space="preserve">  </w:t>
    </w:r>
  </w:p>
  <w:p w:rsidR="004260B8" w:rsidRDefault="004260B8" w:rsidP="00083C20">
    <w:pPr>
      <w:pStyle w:val="Encabezado"/>
      <w:spacing w:line="240" w:lineRule="auto"/>
      <w:jc w:val="right"/>
      <w:rPr>
        <w:rFonts w:ascii="Courier New" w:hAnsi="Courier New" w:cs="Courier New"/>
        <w:sz w:val="16"/>
        <w:szCs w:val="16"/>
        <w:lang w:val="es-MX"/>
      </w:rPr>
    </w:pPr>
    <w:r>
      <w:rPr>
        <w:rFonts w:ascii="Courier New" w:hAnsi="Courier New" w:cs="Courier New"/>
        <w:sz w:val="16"/>
        <w:szCs w:val="16"/>
        <w:lang w:val="es-MX"/>
      </w:rPr>
      <w:t>RADICACIÓN:</w:t>
    </w:r>
    <w:r w:rsidR="00906EF4">
      <w:rPr>
        <w:rFonts w:ascii="Courier New" w:hAnsi="Courier New" w:cs="Courier New"/>
        <w:sz w:val="16"/>
        <w:szCs w:val="16"/>
        <w:lang w:val="es-MX"/>
      </w:rPr>
      <w:t xml:space="preserve">   66045600006120140009001</w:t>
    </w:r>
  </w:p>
  <w:p w:rsidR="00906EF4" w:rsidRDefault="00906EF4" w:rsidP="00083C20">
    <w:pPr>
      <w:pStyle w:val="Encabezado"/>
      <w:spacing w:line="240" w:lineRule="auto"/>
      <w:jc w:val="right"/>
      <w:rPr>
        <w:rFonts w:ascii="Courier New" w:hAnsi="Courier New" w:cs="Courier New"/>
        <w:sz w:val="16"/>
        <w:szCs w:val="16"/>
        <w:lang w:val="es-MX"/>
      </w:rPr>
    </w:pPr>
    <w:r>
      <w:rPr>
        <w:rFonts w:ascii="Courier New" w:hAnsi="Courier New" w:cs="Courier New"/>
        <w:sz w:val="16"/>
        <w:szCs w:val="16"/>
        <w:lang w:val="es-MX"/>
      </w:rPr>
      <w:t>PROCESADO:E</w:t>
    </w:r>
    <w:r w:rsidR="00852711">
      <w:rPr>
        <w:rFonts w:ascii="Courier New" w:hAnsi="Courier New" w:cs="Courier New"/>
        <w:sz w:val="16"/>
        <w:szCs w:val="16"/>
        <w:lang w:val="es-MX"/>
      </w:rPr>
      <w:t>ARG</w:t>
    </w:r>
    <w:r>
      <w:rPr>
        <w:rFonts w:ascii="Courier New" w:hAnsi="Courier New" w:cs="Courier New"/>
        <w:sz w:val="16"/>
        <w:szCs w:val="16"/>
        <w:lang w:val="es-MX"/>
      </w:rPr>
      <w:t>.</w:t>
    </w:r>
  </w:p>
  <w:p w:rsidR="009D2CE6" w:rsidRPr="00AA0519" w:rsidRDefault="00AA0519" w:rsidP="00083C20">
    <w:pPr>
      <w:pStyle w:val="Encabezado"/>
      <w:spacing w:line="240" w:lineRule="auto"/>
      <w:jc w:val="right"/>
      <w:rPr>
        <w:rFonts w:ascii="Courier New" w:hAnsi="Courier New" w:cs="Courier New"/>
        <w:sz w:val="16"/>
        <w:szCs w:val="16"/>
        <w:lang w:val="es-MX"/>
      </w:rPr>
    </w:pPr>
    <w:r w:rsidRPr="00AA0519">
      <w:rPr>
        <w:rFonts w:ascii="Courier New" w:hAnsi="Courier New" w:cs="Courier New"/>
        <w:sz w:val="16"/>
        <w:szCs w:val="16"/>
        <w:lang w:val="es-MX"/>
      </w:rPr>
      <w:t>REVOCA Y ABSUELVE</w:t>
    </w:r>
  </w:p>
  <w:p w:rsidR="0020046A" w:rsidRDefault="00386244" w:rsidP="00083C20">
    <w:pPr>
      <w:pStyle w:val="Encabezado"/>
      <w:spacing w:line="240" w:lineRule="auto"/>
      <w:jc w:val="right"/>
      <w:rPr>
        <w:rFonts w:ascii="Courier New" w:hAnsi="Courier New" w:cs="Courier New"/>
        <w:sz w:val="16"/>
        <w:szCs w:val="16"/>
        <w:lang w:val="es-MX"/>
      </w:rPr>
    </w:pPr>
    <w:r w:rsidRPr="00AA0519">
      <w:rPr>
        <w:rFonts w:ascii="Courier New" w:hAnsi="Courier New" w:cs="Courier New"/>
        <w:sz w:val="16"/>
        <w:szCs w:val="16"/>
        <w:lang w:val="es-MX"/>
      </w:rPr>
      <w:t>S.</w:t>
    </w:r>
    <w:r w:rsidR="0020046A" w:rsidRPr="00AA0519">
      <w:rPr>
        <w:rFonts w:ascii="Courier New" w:hAnsi="Courier New" w:cs="Courier New"/>
        <w:sz w:val="16"/>
        <w:szCs w:val="16"/>
        <w:lang w:val="es-MX"/>
      </w:rPr>
      <w:t>No.</w:t>
    </w:r>
    <w:r w:rsidR="00AA0519" w:rsidRPr="00AA0519">
      <w:rPr>
        <w:rFonts w:ascii="Courier New" w:hAnsi="Courier New" w:cs="Courier New"/>
        <w:sz w:val="16"/>
        <w:szCs w:val="16"/>
        <w:lang w:val="es-MX"/>
      </w:rPr>
      <w:t>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FA3DCB"/>
    <w:multiLevelType w:val="hybridMultilevel"/>
    <w:tmpl w:val="AB62574E"/>
    <w:lvl w:ilvl="0" w:tplc="AC4A0F56">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58"/>
    <w:rsid w:val="00000DDC"/>
    <w:rsid w:val="000054C0"/>
    <w:rsid w:val="00007692"/>
    <w:rsid w:val="00013B25"/>
    <w:rsid w:val="0001511B"/>
    <w:rsid w:val="0001516E"/>
    <w:rsid w:val="00021B94"/>
    <w:rsid w:val="00021E9E"/>
    <w:rsid w:val="00024A94"/>
    <w:rsid w:val="00025F0F"/>
    <w:rsid w:val="0002770F"/>
    <w:rsid w:val="00034210"/>
    <w:rsid w:val="000361AB"/>
    <w:rsid w:val="00036644"/>
    <w:rsid w:val="00040CB3"/>
    <w:rsid w:val="0004476E"/>
    <w:rsid w:val="00055F9C"/>
    <w:rsid w:val="00057176"/>
    <w:rsid w:val="00060379"/>
    <w:rsid w:val="00060F9C"/>
    <w:rsid w:val="00061F9E"/>
    <w:rsid w:val="000628FF"/>
    <w:rsid w:val="00065404"/>
    <w:rsid w:val="000678A2"/>
    <w:rsid w:val="000756C0"/>
    <w:rsid w:val="00076095"/>
    <w:rsid w:val="00076B1B"/>
    <w:rsid w:val="00076C2B"/>
    <w:rsid w:val="00083C20"/>
    <w:rsid w:val="0008464F"/>
    <w:rsid w:val="000934EB"/>
    <w:rsid w:val="000966F9"/>
    <w:rsid w:val="000A6FD4"/>
    <w:rsid w:val="000B3720"/>
    <w:rsid w:val="000D1DE8"/>
    <w:rsid w:val="000D273E"/>
    <w:rsid w:val="000D6352"/>
    <w:rsid w:val="000D74DA"/>
    <w:rsid w:val="000D7847"/>
    <w:rsid w:val="000E4C96"/>
    <w:rsid w:val="000E4CAA"/>
    <w:rsid w:val="000E5BAF"/>
    <w:rsid w:val="000E7932"/>
    <w:rsid w:val="000F4C90"/>
    <w:rsid w:val="000F4F01"/>
    <w:rsid w:val="00107795"/>
    <w:rsid w:val="001117E9"/>
    <w:rsid w:val="00121FA1"/>
    <w:rsid w:val="001233F6"/>
    <w:rsid w:val="0012361F"/>
    <w:rsid w:val="001253B7"/>
    <w:rsid w:val="001261C2"/>
    <w:rsid w:val="00130688"/>
    <w:rsid w:val="00130FC8"/>
    <w:rsid w:val="00131652"/>
    <w:rsid w:val="00140A95"/>
    <w:rsid w:val="00142D50"/>
    <w:rsid w:val="00143F0D"/>
    <w:rsid w:val="00146E4A"/>
    <w:rsid w:val="001534A6"/>
    <w:rsid w:val="00155215"/>
    <w:rsid w:val="00160BB9"/>
    <w:rsid w:val="00160CFC"/>
    <w:rsid w:val="00160F37"/>
    <w:rsid w:val="00161BC8"/>
    <w:rsid w:val="001623D8"/>
    <w:rsid w:val="001640EA"/>
    <w:rsid w:val="00165827"/>
    <w:rsid w:val="00166405"/>
    <w:rsid w:val="00166F73"/>
    <w:rsid w:val="0016732A"/>
    <w:rsid w:val="001763A2"/>
    <w:rsid w:val="0018027C"/>
    <w:rsid w:val="00181079"/>
    <w:rsid w:val="0018641B"/>
    <w:rsid w:val="00186EA0"/>
    <w:rsid w:val="00193A8F"/>
    <w:rsid w:val="0019602D"/>
    <w:rsid w:val="001A561B"/>
    <w:rsid w:val="001A56E9"/>
    <w:rsid w:val="001B2029"/>
    <w:rsid w:val="001B7328"/>
    <w:rsid w:val="001D11F7"/>
    <w:rsid w:val="001D1A96"/>
    <w:rsid w:val="001D3BB7"/>
    <w:rsid w:val="001D4062"/>
    <w:rsid w:val="001D639C"/>
    <w:rsid w:val="001D6B88"/>
    <w:rsid w:val="001E0B5D"/>
    <w:rsid w:val="001E15F5"/>
    <w:rsid w:val="001E2A2D"/>
    <w:rsid w:val="001E2F02"/>
    <w:rsid w:val="001F5281"/>
    <w:rsid w:val="001F5BB3"/>
    <w:rsid w:val="0020046A"/>
    <w:rsid w:val="0020051E"/>
    <w:rsid w:val="002017C0"/>
    <w:rsid w:val="00202700"/>
    <w:rsid w:val="00204334"/>
    <w:rsid w:val="00217F8A"/>
    <w:rsid w:val="00221258"/>
    <w:rsid w:val="0022379A"/>
    <w:rsid w:val="002262EC"/>
    <w:rsid w:val="002322C3"/>
    <w:rsid w:val="00236033"/>
    <w:rsid w:val="00236A92"/>
    <w:rsid w:val="00240C40"/>
    <w:rsid w:val="00241268"/>
    <w:rsid w:val="0025011C"/>
    <w:rsid w:val="002547E9"/>
    <w:rsid w:val="0025549D"/>
    <w:rsid w:val="00255AB5"/>
    <w:rsid w:val="00255B8F"/>
    <w:rsid w:val="00257EE3"/>
    <w:rsid w:val="0026086D"/>
    <w:rsid w:val="0026295B"/>
    <w:rsid w:val="002633A3"/>
    <w:rsid w:val="00265CDA"/>
    <w:rsid w:val="00266FFA"/>
    <w:rsid w:val="00267E48"/>
    <w:rsid w:val="00270AB8"/>
    <w:rsid w:val="00270B41"/>
    <w:rsid w:val="002720C7"/>
    <w:rsid w:val="0027357F"/>
    <w:rsid w:val="00274155"/>
    <w:rsid w:val="00277A0C"/>
    <w:rsid w:val="00281A63"/>
    <w:rsid w:val="00282410"/>
    <w:rsid w:val="002871D8"/>
    <w:rsid w:val="00287E3A"/>
    <w:rsid w:val="00294889"/>
    <w:rsid w:val="002A1F7F"/>
    <w:rsid w:val="002A4423"/>
    <w:rsid w:val="002A46FD"/>
    <w:rsid w:val="002A5C6F"/>
    <w:rsid w:val="002B191C"/>
    <w:rsid w:val="002B1F1B"/>
    <w:rsid w:val="002B74B7"/>
    <w:rsid w:val="002C26C4"/>
    <w:rsid w:val="002C2A9E"/>
    <w:rsid w:val="002C76B6"/>
    <w:rsid w:val="002D1D5B"/>
    <w:rsid w:val="002D371A"/>
    <w:rsid w:val="002D3B4E"/>
    <w:rsid w:val="002D50A4"/>
    <w:rsid w:val="002E2969"/>
    <w:rsid w:val="002E4966"/>
    <w:rsid w:val="002E4E84"/>
    <w:rsid w:val="002E7308"/>
    <w:rsid w:val="002F163C"/>
    <w:rsid w:val="002F2773"/>
    <w:rsid w:val="002F45B0"/>
    <w:rsid w:val="002F552A"/>
    <w:rsid w:val="002F60DE"/>
    <w:rsid w:val="002F796B"/>
    <w:rsid w:val="002F7B59"/>
    <w:rsid w:val="003029DB"/>
    <w:rsid w:val="00310D78"/>
    <w:rsid w:val="00316FC6"/>
    <w:rsid w:val="00317908"/>
    <w:rsid w:val="00323D08"/>
    <w:rsid w:val="003264BD"/>
    <w:rsid w:val="00337063"/>
    <w:rsid w:val="00341E66"/>
    <w:rsid w:val="00342E3E"/>
    <w:rsid w:val="00343CDF"/>
    <w:rsid w:val="0034615F"/>
    <w:rsid w:val="00347DA1"/>
    <w:rsid w:val="0037410F"/>
    <w:rsid w:val="00377513"/>
    <w:rsid w:val="00381DE6"/>
    <w:rsid w:val="00386244"/>
    <w:rsid w:val="00387679"/>
    <w:rsid w:val="00390A25"/>
    <w:rsid w:val="003A01CB"/>
    <w:rsid w:val="003A09FA"/>
    <w:rsid w:val="003A11D8"/>
    <w:rsid w:val="003B0EAE"/>
    <w:rsid w:val="003B1279"/>
    <w:rsid w:val="003B1DEC"/>
    <w:rsid w:val="003B4658"/>
    <w:rsid w:val="003B4C3C"/>
    <w:rsid w:val="003B76DC"/>
    <w:rsid w:val="003B7B1C"/>
    <w:rsid w:val="003C1BBB"/>
    <w:rsid w:val="003C2CFB"/>
    <w:rsid w:val="003C3B14"/>
    <w:rsid w:val="003D2DDA"/>
    <w:rsid w:val="003E1572"/>
    <w:rsid w:val="003E2861"/>
    <w:rsid w:val="003E7203"/>
    <w:rsid w:val="003F1D67"/>
    <w:rsid w:val="003F1F3D"/>
    <w:rsid w:val="003F22DE"/>
    <w:rsid w:val="003F27F4"/>
    <w:rsid w:val="003F30AE"/>
    <w:rsid w:val="003F6CD0"/>
    <w:rsid w:val="003F77A7"/>
    <w:rsid w:val="00400373"/>
    <w:rsid w:val="0040466B"/>
    <w:rsid w:val="0040789A"/>
    <w:rsid w:val="00410ED1"/>
    <w:rsid w:val="0041650F"/>
    <w:rsid w:val="00425A47"/>
    <w:rsid w:val="00425FE8"/>
    <w:rsid w:val="004260B8"/>
    <w:rsid w:val="004261EF"/>
    <w:rsid w:val="004308C3"/>
    <w:rsid w:val="00434A67"/>
    <w:rsid w:val="00444283"/>
    <w:rsid w:val="00444414"/>
    <w:rsid w:val="00445BCD"/>
    <w:rsid w:val="00446927"/>
    <w:rsid w:val="00447CE8"/>
    <w:rsid w:val="004502F1"/>
    <w:rsid w:val="00451B6B"/>
    <w:rsid w:val="00455BFB"/>
    <w:rsid w:val="00460E2A"/>
    <w:rsid w:val="00463B36"/>
    <w:rsid w:val="00464065"/>
    <w:rsid w:val="004773AA"/>
    <w:rsid w:val="004800C7"/>
    <w:rsid w:val="004816E1"/>
    <w:rsid w:val="00481C0E"/>
    <w:rsid w:val="00483F9B"/>
    <w:rsid w:val="0049148A"/>
    <w:rsid w:val="00493D2E"/>
    <w:rsid w:val="004A12AC"/>
    <w:rsid w:val="004A168D"/>
    <w:rsid w:val="004A1B47"/>
    <w:rsid w:val="004A205A"/>
    <w:rsid w:val="004A2BFF"/>
    <w:rsid w:val="004A641E"/>
    <w:rsid w:val="004B180E"/>
    <w:rsid w:val="004B38C8"/>
    <w:rsid w:val="004B7D8A"/>
    <w:rsid w:val="004C2DDD"/>
    <w:rsid w:val="004C6039"/>
    <w:rsid w:val="004D7D51"/>
    <w:rsid w:val="004E0F70"/>
    <w:rsid w:val="004E7233"/>
    <w:rsid w:val="004F0B66"/>
    <w:rsid w:val="004F37BA"/>
    <w:rsid w:val="004F3E1C"/>
    <w:rsid w:val="004F64FE"/>
    <w:rsid w:val="004F6B9B"/>
    <w:rsid w:val="004F78E0"/>
    <w:rsid w:val="00501E78"/>
    <w:rsid w:val="00506401"/>
    <w:rsid w:val="005157D9"/>
    <w:rsid w:val="00520B19"/>
    <w:rsid w:val="00520FF2"/>
    <w:rsid w:val="005247F0"/>
    <w:rsid w:val="00526766"/>
    <w:rsid w:val="00537250"/>
    <w:rsid w:val="00541156"/>
    <w:rsid w:val="00546B59"/>
    <w:rsid w:val="0055196E"/>
    <w:rsid w:val="00554499"/>
    <w:rsid w:val="00554B6E"/>
    <w:rsid w:val="00556C17"/>
    <w:rsid w:val="00557373"/>
    <w:rsid w:val="00561498"/>
    <w:rsid w:val="005643EE"/>
    <w:rsid w:val="00565C09"/>
    <w:rsid w:val="005714E6"/>
    <w:rsid w:val="005716DA"/>
    <w:rsid w:val="00571FF4"/>
    <w:rsid w:val="005726C8"/>
    <w:rsid w:val="005737E9"/>
    <w:rsid w:val="0057514C"/>
    <w:rsid w:val="005824D9"/>
    <w:rsid w:val="00584121"/>
    <w:rsid w:val="00585188"/>
    <w:rsid w:val="00586E37"/>
    <w:rsid w:val="00586EC3"/>
    <w:rsid w:val="005873D3"/>
    <w:rsid w:val="00595D28"/>
    <w:rsid w:val="00596D28"/>
    <w:rsid w:val="0059780C"/>
    <w:rsid w:val="005A1847"/>
    <w:rsid w:val="005A1945"/>
    <w:rsid w:val="005A3732"/>
    <w:rsid w:val="005A3B44"/>
    <w:rsid w:val="005A5D5B"/>
    <w:rsid w:val="005A61F6"/>
    <w:rsid w:val="005A75C7"/>
    <w:rsid w:val="005A79B0"/>
    <w:rsid w:val="005B4D81"/>
    <w:rsid w:val="005C14B1"/>
    <w:rsid w:val="005C15BD"/>
    <w:rsid w:val="005C2198"/>
    <w:rsid w:val="005C71B7"/>
    <w:rsid w:val="005D120C"/>
    <w:rsid w:val="005D1605"/>
    <w:rsid w:val="005D4D15"/>
    <w:rsid w:val="005D72F9"/>
    <w:rsid w:val="005D7A56"/>
    <w:rsid w:val="005E1285"/>
    <w:rsid w:val="005E4FDA"/>
    <w:rsid w:val="005E758E"/>
    <w:rsid w:val="005F00CC"/>
    <w:rsid w:val="005F31D9"/>
    <w:rsid w:val="005F40CA"/>
    <w:rsid w:val="005F4D52"/>
    <w:rsid w:val="005F5EB6"/>
    <w:rsid w:val="005F68E3"/>
    <w:rsid w:val="0060181A"/>
    <w:rsid w:val="00601E60"/>
    <w:rsid w:val="00602E46"/>
    <w:rsid w:val="00605744"/>
    <w:rsid w:val="006108A5"/>
    <w:rsid w:val="00612268"/>
    <w:rsid w:val="00612302"/>
    <w:rsid w:val="006128F3"/>
    <w:rsid w:val="00614574"/>
    <w:rsid w:val="006236A0"/>
    <w:rsid w:val="006257C7"/>
    <w:rsid w:val="006304CF"/>
    <w:rsid w:val="00640B3C"/>
    <w:rsid w:val="006417E9"/>
    <w:rsid w:val="0064651F"/>
    <w:rsid w:val="0064743F"/>
    <w:rsid w:val="00647730"/>
    <w:rsid w:val="0065192C"/>
    <w:rsid w:val="006531B4"/>
    <w:rsid w:val="00655BAE"/>
    <w:rsid w:val="006566AC"/>
    <w:rsid w:val="00657DA0"/>
    <w:rsid w:val="0066169C"/>
    <w:rsid w:val="006636D0"/>
    <w:rsid w:val="00663C97"/>
    <w:rsid w:val="00665B0B"/>
    <w:rsid w:val="00666B2D"/>
    <w:rsid w:val="006706BE"/>
    <w:rsid w:val="006728B5"/>
    <w:rsid w:val="00676F58"/>
    <w:rsid w:val="006835DC"/>
    <w:rsid w:val="00683C05"/>
    <w:rsid w:val="00691E9E"/>
    <w:rsid w:val="00693C84"/>
    <w:rsid w:val="00696813"/>
    <w:rsid w:val="00696D2E"/>
    <w:rsid w:val="006A0AF3"/>
    <w:rsid w:val="006A4168"/>
    <w:rsid w:val="006B2498"/>
    <w:rsid w:val="006B5CDA"/>
    <w:rsid w:val="006C46A2"/>
    <w:rsid w:val="006C4859"/>
    <w:rsid w:val="006C5792"/>
    <w:rsid w:val="006C6A9F"/>
    <w:rsid w:val="006D675C"/>
    <w:rsid w:val="006E1680"/>
    <w:rsid w:val="006E5A21"/>
    <w:rsid w:val="006E626E"/>
    <w:rsid w:val="006E6FC8"/>
    <w:rsid w:val="006E7B4F"/>
    <w:rsid w:val="006F0D84"/>
    <w:rsid w:val="006F101C"/>
    <w:rsid w:val="006F5300"/>
    <w:rsid w:val="006F6C8E"/>
    <w:rsid w:val="007126B0"/>
    <w:rsid w:val="00713970"/>
    <w:rsid w:val="00713F9E"/>
    <w:rsid w:val="00716C91"/>
    <w:rsid w:val="007206D8"/>
    <w:rsid w:val="007315B4"/>
    <w:rsid w:val="00732CA0"/>
    <w:rsid w:val="00743B89"/>
    <w:rsid w:val="00746D3C"/>
    <w:rsid w:val="0075134C"/>
    <w:rsid w:val="00752BF1"/>
    <w:rsid w:val="00754B0D"/>
    <w:rsid w:val="00755A50"/>
    <w:rsid w:val="007607DF"/>
    <w:rsid w:val="00761445"/>
    <w:rsid w:val="00763F4D"/>
    <w:rsid w:val="0076529D"/>
    <w:rsid w:val="00780788"/>
    <w:rsid w:val="0078110C"/>
    <w:rsid w:val="00782FD1"/>
    <w:rsid w:val="007901B7"/>
    <w:rsid w:val="00790BA8"/>
    <w:rsid w:val="00791E62"/>
    <w:rsid w:val="00793B1D"/>
    <w:rsid w:val="00794D5D"/>
    <w:rsid w:val="00795811"/>
    <w:rsid w:val="007A172C"/>
    <w:rsid w:val="007A1E82"/>
    <w:rsid w:val="007A47A4"/>
    <w:rsid w:val="007A6D5C"/>
    <w:rsid w:val="007B236F"/>
    <w:rsid w:val="007B7045"/>
    <w:rsid w:val="007C471D"/>
    <w:rsid w:val="007C4AF6"/>
    <w:rsid w:val="007C5E77"/>
    <w:rsid w:val="007D448E"/>
    <w:rsid w:val="007D77B4"/>
    <w:rsid w:val="007E11CC"/>
    <w:rsid w:val="007E2984"/>
    <w:rsid w:val="007E79E8"/>
    <w:rsid w:val="007F14DF"/>
    <w:rsid w:val="007F18C9"/>
    <w:rsid w:val="007F4583"/>
    <w:rsid w:val="007F509F"/>
    <w:rsid w:val="007F5FCE"/>
    <w:rsid w:val="00803C3A"/>
    <w:rsid w:val="008059A7"/>
    <w:rsid w:val="00806EE3"/>
    <w:rsid w:val="0081459D"/>
    <w:rsid w:val="0081554C"/>
    <w:rsid w:val="00824497"/>
    <w:rsid w:val="008251A7"/>
    <w:rsid w:val="00826AE8"/>
    <w:rsid w:val="00830B2F"/>
    <w:rsid w:val="008348E2"/>
    <w:rsid w:val="008362FA"/>
    <w:rsid w:val="00836C2A"/>
    <w:rsid w:val="0084039E"/>
    <w:rsid w:val="00842F4D"/>
    <w:rsid w:val="00844E56"/>
    <w:rsid w:val="0084604B"/>
    <w:rsid w:val="00852711"/>
    <w:rsid w:val="00855277"/>
    <w:rsid w:val="00856309"/>
    <w:rsid w:val="00860A35"/>
    <w:rsid w:val="008631DA"/>
    <w:rsid w:val="00866952"/>
    <w:rsid w:val="00870DDC"/>
    <w:rsid w:val="00871243"/>
    <w:rsid w:val="0087437A"/>
    <w:rsid w:val="00874F77"/>
    <w:rsid w:val="0087763C"/>
    <w:rsid w:val="00881A6F"/>
    <w:rsid w:val="00881ABC"/>
    <w:rsid w:val="00894C67"/>
    <w:rsid w:val="00895634"/>
    <w:rsid w:val="00896815"/>
    <w:rsid w:val="008972BD"/>
    <w:rsid w:val="008A108F"/>
    <w:rsid w:val="008A17E5"/>
    <w:rsid w:val="008A1D80"/>
    <w:rsid w:val="008A7F83"/>
    <w:rsid w:val="008B3DD3"/>
    <w:rsid w:val="008B754D"/>
    <w:rsid w:val="008C043C"/>
    <w:rsid w:val="008C2032"/>
    <w:rsid w:val="008D1BB6"/>
    <w:rsid w:val="008D3F08"/>
    <w:rsid w:val="008D5909"/>
    <w:rsid w:val="008D6A12"/>
    <w:rsid w:val="008E0073"/>
    <w:rsid w:val="008E30CA"/>
    <w:rsid w:val="008E5FE8"/>
    <w:rsid w:val="008E6B8B"/>
    <w:rsid w:val="008F0C48"/>
    <w:rsid w:val="008F1BBA"/>
    <w:rsid w:val="008F7299"/>
    <w:rsid w:val="00903C85"/>
    <w:rsid w:val="00906EF4"/>
    <w:rsid w:val="00907344"/>
    <w:rsid w:val="00910A7B"/>
    <w:rsid w:val="0092519C"/>
    <w:rsid w:val="0093728D"/>
    <w:rsid w:val="0093752B"/>
    <w:rsid w:val="00944C74"/>
    <w:rsid w:val="009451EB"/>
    <w:rsid w:val="00946789"/>
    <w:rsid w:val="009516FC"/>
    <w:rsid w:val="00954E82"/>
    <w:rsid w:val="00955D85"/>
    <w:rsid w:val="00956778"/>
    <w:rsid w:val="00960C10"/>
    <w:rsid w:val="00961F91"/>
    <w:rsid w:val="00964479"/>
    <w:rsid w:val="00964629"/>
    <w:rsid w:val="00964D20"/>
    <w:rsid w:val="009676C6"/>
    <w:rsid w:val="00970636"/>
    <w:rsid w:val="00972BEC"/>
    <w:rsid w:val="00973AFE"/>
    <w:rsid w:val="009808F5"/>
    <w:rsid w:val="00986E31"/>
    <w:rsid w:val="00990A2E"/>
    <w:rsid w:val="009951B7"/>
    <w:rsid w:val="009A6DA3"/>
    <w:rsid w:val="009B2FB9"/>
    <w:rsid w:val="009B31FD"/>
    <w:rsid w:val="009C0780"/>
    <w:rsid w:val="009D0568"/>
    <w:rsid w:val="009D16D5"/>
    <w:rsid w:val="009D2CE6"/>
    <w:rsid w:val="009D3DE3"/>
    <w:rsid w:val="009D3FEC"/>
    <w:rsid w:val="009D416A"/>
    <w:rsid w:val="009D4343"/>
    <w:rsid w:val="009D60FF"/>
    <w:rsid w:val="009E2279"/>
    <w:rsid w:val="009E3E87"/>
    <w:rsid w:val="009E6A35"/>
    <w:rsid w:val="009E6B74"/>
    <w:rsid w:val="009F00A3"/>
    <w:rsid w:val="009F0F29"/>
    <w:rsid w:val="009F19B2"/>
    <w:rsid w:val="009F4A40"/>
    <w:rsid w:val="009F4A41"/>
    <w:rsid w:val="009F658B"/>
    <w:rsid w:val="00A007A9"/>
    <w:rsid w:val="00A025A7"/>
    <w:rsid w:val="00A04BB2"/>
    <w:rsid w:val="00A05153"/>
    <w:rsid w:val="00A10CED"/>
    <w:rsid w:val="00A14243"/>
    <w:rsid w:val="00A23518"/>
    <w:rsid w:val="00A24A05"/>
    <w:rsid w:val="00A2563D"/>
    <w:rsid w:val="00A26394"/>
    <w:rsid w:val="00A27BD4"/>
    <w:rsid w:val="00A374BC"/>
    <w:rsid w:val="00A401C5"/>
    <w:rsid w:val="00A408D0"/>
    <w:rsid w:val="00A433A0"/>
    <w:rsid w:val="00A449FA"/>
    <w:rsid w:val="00A46731"/>
    <w:rsid w:val="00A534F2"/>
    <w:rsid w:val="00A53754"/>
    <w:rsid w:val="00A5651A"/>
    <w:rsid w:val="00A5767E"/>
    <w:rsid w:val="00A65C0E"/>
    <w:rsid w:val="00A733A2"/>
    <w:rsid w:val="00A7591E"/>
    <w:rsid w:val="00A75940"/>
    <w:rsid w:val="00A856EE"/>
    <w:rsid w:val="00A93253"/>
    <w:rsid w:val="00A95804"/>
    <w:rsid w:val="00A959A2"/>
    <w:rsid w:val="00AA0519"/>
    <w:rsid w:val="00AA0693"/>
    <w:rsid w:val="00AA0B22"/>
    <w:rsid w:val="00AA346D"/>
    <w:rsid w:val="00AA3760"/>
    <w:rsid w:val="00AA3E8D"/>
    <w:rsid w:val="00AA440C"/>
    <w:rsid w:val="00AA5B76"/>
    <w:rsid w:val="00AA699C"/>
    <w:rsid w:val="00AB155D"/>
    <w:rsid w:val="00AB3712"/>
    <w:rsid w:val="00AB3B39"/>
    <w:rsid w:val="00AB52E0"/>
    <w:rsid w:val="00AB74FF"/>
    <w:rsid w:val="00AC3ACB"/>
    <w:rsid w:val="00AC5A1B"/>
    <w:rsid w:val="00AE0E58"/>
    <w:rsid w:val="00AE2FC4"/>
    <w:rsid w:val="00AE4DE3"/>
    <w:rsid w:val="00AE7E87"/>
    <w:rsid w:val="00AF6C4F"/>
    <w:rsid w:val="00B01413"/>
    <w:rsid w:val="00B10D21"/>
    <w:rsid w:val="00B12AA4"/>
    <w:rsid w:val="00B1445B"/>
    <w:rsid w:val="00B178F6"/>
    <w:rsid w:val="00B21E67"/>
    <w:rsid w:val="00B23078"/>
    <w:rsid w:val="00B25DDF"/>
    <w:rsid w:val="00B2704E"/>
    <w:rsid w:val="00B32948"/>
    <w:rsid w:val="00B346B0"/>
    <w:rsid w:val="00B36122"/>
    <w:rsid w:val="00B369C1"/>
    <w:rsid w:val="00B426F5"/>
    <w:rsid w:val="00B43DC6"/>
    <w:rsid w:val="00B53B1F"/>
    <w:rsid w:val="00B61E7B"/>
    <w:rsid w:val="00B62602"/>
    <w:rsid w:val="00B635C2"/>
    <w:rsid w:val="00B640D7"/>
    <w:rsid w:val="00B7042D"/>
    <w:rsid w:val="00B7342E"/>
    <w:rsid w:val="00B81D5A"/>
    <w:rsid w:val="00B830D0"/>
    <w:rsid w:val="00B8799E"/>
    <w:rsid w:val="00B90FAF"/>
    <w:rsid w:val="00B92DAE"/>
    <w:rsid w:val="00B97B43"/>
    <w:rsid w:val="00B97F3F"/>
    <w:rsid w:val="00BA182B"/>
    <w:rsid w:val="00BA1DFA"/>
    <w:rsid w:val="00BA2B81"/>
    <w:rsid w:val="00BA5703"/>
    <w:rsid w:val="00BB2990"/>
    <w:rsid w:val="00BC57D2"/>
    <w:rsid w:val="00BC7497"/>
    <w:rsid w:val="00BD2B97"/>
    <w:rsid w:val="00BD2C1E"/>
    <w:rsid w:val="00BD79D8"/>
    <w:rsid w:val="00BE1F2E"/>
    <w:rsid w:val="00BE7664"/>
    <w:rsid w:val="00BE7C06"/>
    <w:rsid w:val="00BF0BE8"/>
    <w:rsid w:val="00BF2B0B"/>
    <w:rsid w:val="00BF6B90"/>
    <w:rsid w:val="00C0178C"/>
    <w:rsid w:val="00C0472F"/>
    <w:rsid w:val="00C04F57"/>
    <w:rsid w:val="00C067A2"/>
    <w:rsid w:val="00C10719"/>
    <w:rsid w:val="00C312C0"/>
    <w:rsid w:val="00C35F16"/>
    <w:rsid w:val="00C36996"/>
    <w:rsid w:val="00C426E6"/>
    <w:rsid w:val="00C47F1E"/>
    <w:rsid w:val="00C57BA9"/>
    <w:rsid w:val="00C57F9E"/>
    <w:rsid w:val="00C64788"/>
    <w:rsid w:val="00C647C3"/>
    <w:rsid w:val="00C656E3"/>
    <w:rsid w:val="00C744B4"/>
    <w:rsid w:val="00C83871"/>
    <w:rsid w:val="00C8483B"/>
    <w:rsid w:val="00C8693F"/>
    <w:rsid w:val="00C869C1"/>
    <w:rsid w:val="00C86B93"/>
    <w:rsid w:val="00C87DB0"/>
    <w:rsid w:val="00C91ABB"/>
    <w:rsid w:val="00C953D3"/>
    <w:rsid w:val="00CA2F7E"/>
    <w:rsid w:val="00CA3E63"/>
    <w:rsid w:val="00CA72E1"/>
    <w:rsid w:val="00CA7D16"/>
    <w:rsid w:val="00CB5634"/>
    <w:rsid w:val="00CC12EA"/>
    <w:rsid w:val="00CC2E26"/>
    <w:rsid w:val="00CC5A74"/>
    <w:rsid w:val="00CC5B33"/>
    <w:rsid w:val="00CD57AD"/>
    <w:rsid w:val="00CE10FB"/>
    <w:rsid w:val="00CE49ED"/>
    <w:rsid w:val="00CF4D0B"/>
    <w:rsid w:val="00CF5B61"/>
    <w:rsid w:val="00CF6126"/>
    <w:rsid w:val="00CF63F2"/>
    <w:rsid w:val="00D00C69"/>
    <w:rsid w:val="00D038D8"/>
    <w:rsid w:val="00D07797"/>
    <w:rsid w:val="00D10A81"/>
    <w:rsid w:val="00D10B62"/>
    <w:rsid w:val="00D14EA4"/>
    <w:rsid w:val="00D15666"/>
    <w:rsid w:val="00D17214"/>
    <w:rsid w:val="00D227FE"/>
    <w:rsid w:val="00D22A70"/>
    <w:rsid w:val="00D24535"/>
    <w:rsid w:val="00D246D3"/>
    <w:rsid w:val="00D31E75"/>
    <w:rsid w:val="00D374A7"/>
    <w:rsid w:val="00D4235A"/>
    <w:rsid w:val="00D42651"/>
    <w:rsid w:val="00D51BD6"/>
    <w:rsid w:val="00D54ECE"/>
    <w:rsid w:val="00D579AE"/>
    <w:rsid w:val="00D57AF6"/>
    <w:rsid w:val="00D619D5"/>
    <w:rsid w:val="00D6281D"/>
    <w:rsid w:val="00D64B8E"/>
    <w:rsid w:val="00D762C5"/>
    <w:rsid w:val="00D8502B"/>
    <w:rsid w:val="00D9668A"/>
    <w:rsid w:val="00D97233"/>
    <w:rsid w:val="00DA00CB"/>
    <w:rsid w:val="00DA0F44"/>
    <w:rsid w:val="00DA0F5C"/>
    <w:rsid w:val="00DA53A3"/>
    <w:rsid w:val="00DB065F"/>
    <w:rsid w:val="00DB2C1F"/>
    <w:rsid w:val="00DB327D"/>
    <w:rsid w:val="00DB4E7F"/>
    <w:rsid w:val="00DC006B"/>
    <w:rsid w:val="00DC1A66"/>
    <w:rsid w:val="00DC1EC7"/>
    <w:rsid w:val="00DC6D39"/>
    <w:rsid w:val="00DC72C3"/>
    <w:rsid w:val="00DD0CEC"/>
    <w:rsid w:val="00DD1982"/>
    <w:rsid w:val="00DD4C84"/>
    <w:rsid w:val="00DD4CD9"/>
    <w:rsid w:val="00DE2581"/>
    <w:rsid w:val="00DF16A7"/>
    <w:rsid w:val="00DF29E9"/>
    <w:rsid w:val="00DF5F07"/>
    <w:rsid w:val="00E0575C"/>
    <w:rsid w:val="00E0685B"/>
    <w:rsid w:val="00E06860"/>
    <w:rsid w:val="00E11DEF"/>
    <w:rsid w:val="00E130A0"/>
    <w:rsid w:val="00E23CA4"/>
    <w:rsid w:val="00E2502F"/>
    <w:rsid w:val="00E26C36"/>
    <w:rsid w:val="00E33490"/>
    <w:rsid w:val="00E3443C"/>
    <w:rsid w:val="00E371D0"/>
    <w:rsid w:val="00E3791D"/>
    <w:rsid w:val="00E42D44"/>
    <w:rsid w:val="00E42D70"/>
    <w:rsid w:val="00E43D3E"/>
    <w:rsid w:val="00E44326"/>
    <w:rsid w:val="00E45044"/>
    <w:rsid w:val="00E471E6"/>
    <w:rsid w:val="00E50F7B"/>
    <w:rsid w:val="00E52899"/>
    <w:rsid w:val="00E53B57"/>
    <w:rsid w:val="00E54E03"/>
    <w:rsid w:val="00E54FFB"/>
    <w:rsid w:val="00E6140B"/>
    <w:rsid w:val="00E70E8F"/>
    <w:rsid w:val="00E7334D"/>
    <w:rsid w:val="00E7403E"/>
    <w:rsid w:val="00E740B7"/>
    <w:rsid w:val="00E74D99"/>
    <w:rsid w:val="00E77616"/>
    <w:rsid w:val="00E77C3D"/>
    <w:rsid w:val="00E83B5D"/>
    <w:rsid w:val="00E868B9"/>
    <w:rsid w:val="00E86C31"/>
    <w:rsid w:val="00E87F0A"/>
    <w:rsid w:val="00E92254"/>
    <w:rsid w:val="00EA456E"/>
    <w:rsid w:val="00EB007A"/>
    <w:rsid w:val="00EB03CA"/>
    <w:rsid w:val="00EB7970"/>
    <w:rsid w:val="00EC44FF"/>
    <w:rsid w:val="00EC6957"/>
    <w:rsid w:val="00ED1316"/>
    <w:rsid w:val="00ED17F5"/>
    <w:rsid w:val="00ED4FCB"/>
    <w:rsid w:val="00EE0249"/>
    <w:rsid w:val="00EE26A8"/>
    <w:rsid w:val="00EF376B"/>
    <w:rsid w:val="00EF4292"/>
    <w:rsid w:val="00EF4507"/>
    <w:rsid w:val="00EF6A1B"/>
    <w:rsid w:val="00EF78ED"/>
    <w:rsid w:val="00EF7D38"/>
    <w:rsid w:val="00F06FC9"/>
    <w:rsid w:val="00F14733"/>
    <w:rsid w:val="00F1536B"/>
    <w:rsid w:val="00F165EB"/>
    <w:rsid w:val="00F2150B"/>
    <w:rsid w:val="00F22EEB"/>
    <w:rsid w:val="00F3040A"/>
    <w:rsid w:val="00F31DAD"/>
    <w:rsid w:val="00F360B0"/>
    <w:rsid w:val="00F425CF"/>
    <w:rsid w:val="00F42C32"/>
    <w:rsid w:val="00F43BAB"/>
    <w:rsid w:val="00F462A6"/>
    <w:rsid w:val="00F4717F"/>
    <w:rsid w:val="00F51A28"/>
    <w:rsid w:val="00F54027"/>
    <w:rsid w:val="00F553FD"/>
    <w:rsid w:val="00F64229"/>
    <w:rsid w:val="00F6692F"/>
    <w:rsid w:val="00F737DE"/>
    <w:rsid w:val="00F7649F"/>
    <w:rsid w:val="00F81037"/>
    <w:rsid w:val="00F814BE"/>
    <w:rsid w:val="00F921F8"/>
    <w:rsid w:val="00F9274B"/>
    <w:rsid w:val="00FA566F"/>
    <w:rsid w:val="00FA6001"/>
    <w:rsid w:val="00FB0537"/>
    <w:rsid w:val="00FB39F7"/>
    <w:rsid w:val="00FB49E9"/>
    <w:rsid w:val="00FB56C3"/>
    <w:rsid w:val="00FB78C0"/>
    <w:rsid w:val="00FC065B"/>
    <w:rsid w:val="00FC73F6"/>
    <w:rsid w:val="00FD1A90"/>
    <w:rsid w:val="00FD3904"/>
    <w:rsid w:val="00FD4D73"/>
    <w:rsid w:val="00FE1CAC"/>
    <w:rsid w:val="00FE462D"/>
    <w:rsid w:val="00FE7AA3"/>
    <w:rsid w:val="00FF3DB6"/>
    <w:rsid w:val="00FF4FD9"/>
    <w:rsid w:val="00FF5805"/>
    <w:rsid w:val="00FF62FD"/>
    <w:rsid w:val="00FF7F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E0C5E09-FC82-4202-AC00-072702A7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E58"/>
    <w:pPr>
      <w:spacing w:line="360" w:lineRule="auto"/>
      <w:jc w:val="both"/>
    </w:pPr>
    <w:rPr>
      <w:rFonts w:ascii="Tahoma" w:hAnsi="Tahoma" w:cs="Tahoma"/>
      <w:sz w:val="26"/>
      <w:szCs w:val="26"/>
      <w:lang w:eastAsia="es-MX"/>
    </w:rPr>
  </w:style>
  <w:style w:type="paragraph" w:styleId="Ttulo1">
    <w:name w:val="heading 1"/>
    <w:basedOn w:val="Normal"/>
    <w:next w:val="Normal"/>
    <w:link w:val="Ttulo1Car"/>
    <w:uiPriority w:val="99"/>
    <w:qFormat/>
    <w:rsid w:val="00AE0E58"/>
    <w:pPr>
      <w:keepNext/>
      <w:spacing w:before="240" w:after="60"/>
      <w:outlineLvl w:val="0"/>
    </w:pPr>
    <w:rPr>
      <w:rFonts w:cs="Times New Roman"/>
      <w:b/>
      <w:bCs/>
      <w:kern w:val="32"/>
      <w:sz w:val="32"/>
      <w:szCs w:val="32"/>
      <w:lang w:val="x-none"/>
    </w:rPr>
  </w:style>
  <w:style w:type="paragraph" w:styleId="Ttulo2">
    <w:name w:val="heading 2"/>
    <w:basedOn w:val="Normal"/>
    <w:next w:val="Normal"/>
    <w:link w:val="Ttulo2Car"/>
    <w:semiHidden/>
    <w:unhideWhenUsed/>
    <w:qFormat/>
    <w:locked/>
    <w:rsid w:val="000F4F01"/>
    <w:pPr>
      <w:keepNext/>
      <w:spacing w:before="240" w:after="60"/>
      <w:outlineLvl w:val="1"/>
    </w:pPr>
    <w:rPr>
      <w:rFonts w:ascii="Calibri Light" w:hAnsi="Calibri Light" w:cs="Times New Roman"/>
      <w:b/>
      <w:bCs/>
      <w:i/>
      <w:iCs/>
      <w:sz w:val="28"/>
      <w:szCs w:val="28"/>
    </w:rPr>
  </w:style>
  <w:style w:type="paragraph" w:styleId="Ttulo9">
    <w:name w:val="heading 9"/>
    <w:basedOn w:val="Normal"/>
    <w:next w:val="Normal"/>
    <w:link w:val="Ttulo9Car"/>
    <w:uiPriority w:val="99"/>
    <w:qFormat/>
    <w:rsid w:val="00AE0E58"/>
    <w:pPr>
      <w:keepNext/>
      <w:overflowPunct w:val="0"/>
      <w:autoSpaceDE w:val="0"/>
      <w:autoSpaceDN w:val="0"/>
      <w:adjustRightInd w:val="0"/>
      <w:jc w:val="center"/>
      <w:outlineLvl w:val="8"/>
    </w:pPr>
    <w:rPr>
      <w:rFonts w:ascii="Bookman Old Style" w:hAnsi="Bookman Old Style" w:cs="Times New Roman"/>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AE0E58"/>
    <w:rPr>
      <w:rFonts w:ascii="Tahoma" w:hAnsi="Tahoma" w:cs="Tahoma"/>
      <w:b/>
      <w:bCs/>
      <w:kern w:val="32"/>
      <w:sz w:val="32"/>
      <w:szCs w:val="32"/>
      <w:lang w:val="x-none" w:eastAsia="es-MX"/>
    </w:rPr>
  </w:style>
  <w:style w:type="character" w:customStyle="1" w:styleId="Ttulo9Car">
    <w:name w:val="Título 9 Car"/>
    <w:link w:val="Ttulo9"/>
    <w:uiPriority w:val="99"/>
    <w:locked/>
    <w:rsid w:val="00AE0E58"/>
    <w:rPr>
      <w:rFonts w:ascii="Bookman Old Style" w:hAnsi="Bookman Old Style" w:cs="Bookman Old Style"/>
      <w:b/>
      <w:bCs/>
      <w:sz w:val="26"/>
      <w:szCs w:val="26"/>
      <w:lang w:val="x-none" w:eastAsia="es-MX"/>
    </w:rPr>
  </w:style>
  <w:style w:type="paragraph" w:styleId="Piedepgina">
    <w:name w:val="footer"/>
    <w:basedOn w:val="Normal"/>
    <w:link w:val="PiedepginaCar"/>
    <w:autoRedefine/>
    <w:uiPriority w:val="99"/>
    <w:rsid w:val="00C36996"/>
    <w:pPr>
      <w:tabs>
        <w:tab w:val="center" w:pos="4252"/>
        <w:tab w:val="right" w:pos="8504"/>
      </w:tabs>
      <w:overflowPunct w:val="0"/>
      <w:autoSpaceDE w:val="0"/>
      <w:autoSpaceDN w:val="0"/>
      <w:adjustRightInd w:val="0"/>
      <w:spacing w:line="240" w:lineRule="auto"/>
      <w:jc w:val="left"/>
      <w:textAlignment w:val="baseline"/>
    </w:pPr>
    <w:rPr>
      <w:rFonts w:ascii="Courier New" w:hAnsi="Courier New" w:cs="Times New Roman"/>
      <w:sz w:val="12"/>
      <w:szCs w:val="12"/>
      <w:lang w:eastAsia="es-ES"/>
    </w:rPr>
  </w:style>
  <w:style w:type="character" w:customStyle="1" w:styleId="PiedepginaCar">
    <w:name w:val="Pie de página Car"/>
    <w:link w:val="Piedepgina"/>
    <w:uiPriority w:val="99"/>
    <w:locked/>
    <w:rsid w:val="00C36996"/>
    <w:rPr>
      <w:rFonts w:ascii="Courier New" w:hAnsi="Courier New" w:cs="Courier New"/>
      <w:sz w:val="12"/>
      <w:szCs w:val="12"/>
      <w:lang w:val="es-ES" w:eastAsia="es-ES"/>
    </w:rPr>
  </w:style>
  <w:style w:type="character" w:customStyle="1" w:styleId="Nombreprincipal">
    <w:name w:val="Nombre principal"/>
    <w:rsid w:val="00AE0E58"/>
    <w:rPr>
      <w:rFonts w:ascii="Tahoma" w:hAnsi="Tahoma" w:cs="Tahoma"/>
      <w:b/>
      <w:bCs/>
      <w:smallCaps/>
      <w:sz w:val="22"/>
      <w:szCs w:val="22"/>
    </w:rPr>
  </w:style>
  <w:style w:type="character" w:customStyle="1" w:styleId="Algerian">
    <w:name w:val="Algerian"/>
    <w:rsid w:val="00AE0E58"/>
    <w:rPr>
      <w:rFonts w:ascii="Algerian" w:hAnsi="Algerian"/>
      <w:sz w:val="30"/>
    </w:rPr>
  </w:style>
  <w:style w:type="paragraph" w:styleId="Encabezado">
    <w:name w:val="header"/>
    <w:basedOn w:val="Normal"/>
    <w:link w:val="EncabezadoCar"/>
    <w:uiPriority w:val="99"/>
    <w:rsid w:val="00AE0E58"/>
    <w:pPr>
      <w:tabs>
        <w:tab w:val="center" w:pos="4252"/>
        <w:tab w:val="right" w:pos="8504"/>
      </w:tabs>
    </w:pPr>
    <w:rPr>
      <w:rFonts w:cs="Times New Roman"/>
      <w:lang w:val="x-none"/>
    </w:rPr>
  </w:style>
  <w:style w:type="character" w:customStyle="1" w:styleId="EncabezadoCar">
    <w:name w:val="Encabezado Car"/>
    <w:link w:val="Encabezado"/>
    <w:uiPriority w:val="99"/>
    <w:locked/>
    <w:rsid w:val="00AE0E58"/>
    <w:rPr>
      <w:rFonts w:ascii="Tahoma" w:hAnsi="Tahoma" w:cs="Tahoma"/>
      <w:sz w:val="26"/>
      <w:szCs w:val="26"/>
      <w:lang w:val="x-none" w:eastAsia="es-MX"/>
    </w:rPr>
  </w:style>
  <w:style w:type="paragraph" w:styleId="Textoindependiente2">
    <w:name w:val="Body Text 2"/>
    <w:basedOn w:val="Normal"/>
    <w:link w:val="Textoindependiente2Car"/>
    <w:uiPriority w:val="99"/>
    <w:semiHidden/>
    <w:rsid w:val="00AE0E58"/>
    <w:pPr>
      <w:overflowPunct w:val="0"/>
      <w:autoSpaceDE w:val="0"/>
      <w:autoSpaceDN w:val="0"/>
      <w:adjustRightInd w:val="0"/>
    </w:pPr>
    <w:rPr>
      <w:rFonts w:ascii="Bookman Old Style" w:hAnsi="Bookman Old Style" w:cs="Times New Roman"/>
      <w:lang w:val="es-CO"/>
    </w:rPr>
  </w:style>
  <w:style w:type="character" w:customStyle="1" w:styleId="Textoindependiente2Car">
    <w:name w:val="Texto independiente 2 Car"/>
    <w:link w:val="Textoindependiente2"/>
    <w:uiPriority w:val="99"/>
    <w:semiHidden/>
    <w:locked/>
    <w:rsid w:val="00AE0E58"/>
    <w:rPr>
      <w:rFonts w:ascii="Bookman Old Style" w:hAnsi="Bookman Old Style" w:cs="Bookman Old Style"/>
      <w:sz w:val="26"/>
      <w:szCs w:val="26"/>
      <w:lang w:val="es-CO" w:eastAsia="es-MX"/>
    </w:rPr>
  </w:style>
  <w:style w:type="paragraph" w:customStyle="1" w:styleId="Tablaidentificadora">
    <w:name w:val="Tabla identificadora"/>
    <w:basedOn w:val="Normal"/>
    <w:uiPriority w:val="99"/>
    <w:rsid w:val="00AE0E58"/>
    <w:pPr>
      <w:spacing w:line="240" w:lineRule="auto"/>
    </w:pPr>
    <w:rPr>
      <w:sz w:val="24"/>
      <w:szCs w:val="24"/>
    </w:rPr>
  </w:style>
  <w:style w:type="character" w:customStyle="1" w:styleId="Numeracinttulo">
    <w:name w:val="Numeración título"/>
    <w:rsid w:val="00AE0E58"/>
    <w:rPr>
      <w:rFonts w:ascii="Tahoma" w:hAnsi="Tahoma" w:cs="Tahoma"/>
      <w:b/>
      <w:bCs/>
      <w:sz w:val="24"/>
      <w:szCs w:val="24"/>
    </w:rPr>
  </w:style>
  <w:style w:type="paragraph" w:customStyle="1" w:styleId="AlgerianTtulo">
    <w:name w:val="Algerian Título"/>
    <w:next w:val="Normal"/>
    <w:link w:val="AlgerianTtuloCar"/>
    <w:uiPriority w:val="99"/>
    <w:rsid w:val="00AE0E58"/>
    <w:pPr>
      <w:tabs>
        <w:tab w:val="left" w:pos="1202"/>
      </w:tabs>
      <w:spacing w:line="360" w:lineRule="auto"/>
      <w:jc w:val="both"/>
    </w:pPr>
    <w:rPr>
      <w:rFonts w:ascii="Algerian" w:hAnsi="Algerian" w:cs="Algerian"/>
      <w:sz w:val="30"/>
      <w:szCs w:val="30"/>
    </w:rPr>
  </w:style>
  <w:style w:type="character" w:customStyle="1" w:styleId="AlgerianTtuloCar">
    <w:name w:val="Algerian Título Car"/>
    <w:link w:val="AlgerianTtulo"/>
    <w:uiPriority w:val="99"/>
    <w:locked/>
    <w:rsid w:val="00AE0E58"/>
    <w:rPr>
      <w:rFonts w:ascii="Algerian" w:hAnsi="Algerian" w:cs="Algerian"/>
      <w:sz w:val="30"/>
      <w:szCs w:val="30"/>
      <w:lang w:val="es-ES" w:eastAsia="es-ES" w:bidi="ar-SA"/>
    </w:rPr>
  </w:style>
  <w:style w:type="paragraph" w:styleId="Textoindependiente3">
    <w:name w:val="Body Text 3"/>
    <w:basedOn w:val="Normal"/>
    <w:link w:val="Textoindependiente3Car"/>
    <w:uiPriority w:val="99"/>
    <w:rsid w:val="00910A7B"/>
    <w:pPr>
      <w:overflowPunct w:val="0"/>
      <w:autoSpaceDE w:val="0"/>
      <w:autoSpaceDN w:val="0"/>
      <w:adjustRightInd w:val="0"/>
      <w:textAlignment w:val="baseline"/>
    </w:pPr>
    <w:rPr>
      <w:rFonts w:cs="Times New Roman"/>
      <w:sz w:val="16"/>
      <w:szCs w:val="16"/>
      <w:lang w:val="x-none"/>
    </w:rPr>
  </w:style>
  <w:style w:type="character" w:customStyle="1" w:styleId="Textoindependiente3Car">
    <w:name w:val="Texto independiente 3 Car"/>
    <w:link w:val="Textoindependiente3"/>
    <w:uiPriority w:val="99"/>
    <w:locked/>
    <w:rsid w:val="00A93253"/>
    <w:rPr>
      <w:rFonts w:ascii="Tahoma" w:hAnsi="Tahoma" w:cs="Tahoma"/>
      <w:sz w:val="16"/>
      <w:szCs w:val="16"/>
      <w:lang w:val="x-none" w:eastAsia="es-MX"/>
    </w:rPr>
  </w:style>
  <w:style w:type="paragraph" w:styleId="Textoindependiente">
    <w:name w:val="Body Text"/>
    <w:basedOn w:val="Normal"/>
    <w:link w:val="TextoindependienteCar"/>
    <w:uiPriority w:val="99"/>
    <w:rsid w:val="00A93253"/>
    <w:pPr>
      <w:spacing w:after="120"/>
    </w:pPr>
    <w:rPr>
      <w:rFonts w:cs="Times New Roman"/>
      <w:lang w:val="x-none"/>
    </w:rPr>
  </w:style>
  <w:style w:type="character" w:customStyle="1" w:styleId="TextoindependienteCar">
    <w:name w:val="Texto independiente Car"/>
    <w:link w:val="Textoindependiente"/>
    <w:uiPriority w:val="99"/>
    <w:locked/>
    <w:rsid w:val="00A93253"/>
    <w:rPr>
      <w:rFonts w:ascii="Tahoma" w:hAnsi="Tahoma" w:cs="Tahoma"/>
      <w:sz w:val="26"/>
      <w:szCs w:val="26"/>
      <w:lang w:val="x-none" w:eastAsia="es-MX"/>
    </w:rPr>
  </w:style>
  <w:style w:type="paragraph" w:styleId="Textonotapie">
    <w:name w:val="footnote text"/>
    <w:aliases w:val="Ref. de nota al pie1,Texto de nota al pie,Footnotes refss,Appel note de bas de page,referencia nota al pie,Footnote number,BVI fnr,f,Footnote Text Char Char Char Char Char,Footnote Text Char Char Char Char,Footnote reference,FA Fu"/>
    <w:basedOn w:val="Normal"/>
    <w:link w:val="TextonotapieCar"/>
    <w:autoRedefine/>
    <w:uiPriority w:val="99"/>
    <w:qFormat/>
    <w:rsid w:val="0004476E"/>
    <w:pPr>
      <w:spacing w:line="240" w:lineRule="auto"/>
    </w:pPr>
    <w:rPr>
      <w:rFonts w:ascii="Arial" w:hAnsi="Arial" w:cs="Arial"/>
      <w:spacing w:val="-6"/>
      <w:sz w:val="16"/>
      <w:szCs w:val="16"/>
      <w:lang w:val="x-none" w:eastAsia="x-none"/>
    </w:rPr>
  </w:style>
  <w:style w:type="character" w:customStyle="1" w:styleId="TextonotapieCar">
    <w:name w:val="Texto nota pie Car"/>
    <w:aliases w:val="Ref. de nota al pie1 Car,Texto de nota al pie Car,Footnotes refss Car,Appel note de bas de page Car,referencia nota al pie Car,Footnote number Car,BVI fnr Car,f Car"/>
    <w:link w:val="Textonotapie"/>
    <w:uiPriority w:val="99"/>
    <w:locked/>
    <w:rsid w:val="0004476E"/>
    <w:rPr>
      <w:rFonts w:ascii="Arial" w:hAnsi="Arial" w:cs="Arial"/>
      <w:spacing w:val="-6"/>
      <w:sz w:val="16"/>
      <w:szCs w:val="16"/>
      <w:lang w:val="x-none" w:eastAsia="x-none"/>
    </w:rPr>
  </w:style>
  <w:style w:type="paragraph" w:customStyle="1" w:styleId="Profesin">
    <w:name w:val="ProfesiÛn"/>
    <w:basedOn w:val="Normal"/>
    <w:uiPriority w:val="99"/>
    <w:rsid w:val="00910A7B"/>
    <w:pPr>
      <w:tabs>
        <w:tab w:val="left" w:pos="1134"/>
      </w:tabs>
      <w:spacing w:line="360" w:lineRule="atLeast"/>
      <w:jc w:val="center"/>
    </w:pPr>
    <w:rPr>
      <w:rFonts w:ascii="Arial" w:hAnsi="Arial" w:cs="Arial"/>
      <w:b/>
      <w:bCs/>
      <w:sz w:val="32"/>
      <w:szCs w:val="32"/>
      <w:lang w:val="es-CO" w:eastAsia="es-ES"/>
    </w:rPr>
  </w:style>
  <w:style w:type="paragraph" w:styleId="Puesto">
    <w:name w:val="Title"/>
    <w:basedOn w:val="Normal"/>
    <w:link w:val="PuestoCar"/>
    <w:uiPriority w:val="99"/>
    <w:qFormat/>
    <w:rsid w:val="00A93253"/>
    <w:pPr>
      <w:spacing w:line="240" w:lineRule="auto"/>
      <w:jc w:val="center"/>
    </w:pPr>
    <w:rPr>
      <w:rFonts w:ascii="Times New Roman" w:hAnsi="Times New Roman" w:cs="Times New Roman"/>
      <w:sz w:val="24"/>
      <w:szCs w:val="24"/>
      <w:lang w:val="es-MX" w:eastAsia="x-none"/>
    </w:rPr>
  </w:style>
  <w:style w:type="character" w:customStyle="1" w:styleId="PuestoCar">
    <w:name w:val="Puesto Car"/>
    <w:link w:val="Puesto"/>
    <w:uiPriority w:val="99"/>
    <w:locked/>
    <w:rsid w:val="00A93253"/>
    <w:rPr>
      <w:rFonts w:ascii="Times New Roman" w:hAnsi="Times New Roman" w:cs="Times New Roman"/>
      <w:sz w:val="24"/>
      <w:szCs w:val="24"/>
      <w:lang w:val="es-MX" w:eastAsia="x-none"/>
    </w:rPr>
  </w:style>
  <w:style w:type="character" w:customStyle="1" w:styleId="TextonotapieCar1">
    <w:name w:val="Texto nota pie Car1"/>
    <w:aliases w:val="Footnote Text Char Char Char Char Char Car,Footnote Text Char Char Char Char Car,Footnote reference Car,FA Fu Car,Footnote Text Char Car,Footnote Text Char Char Char Char Char Char Char Char Car,FA Fu Car1,FA Fu Car Car"/>
    <w:uiPriority w:val="99"/>
    <w:locked/>
    <w:rsid w:val="00D8502B"/>
    <w:rPr>
      <w:rFonts w:cs="Times New Roman"/>
      <w:lang w:val="es-CO" w:eastAsia="x-none"/>
    </w:rPr>
  </w:style>
  <w:style w:type="paragraph" w:styleId="Textonotaalfinal">
    <w:name w:val="endnote text"/>
    <w:basedOn w:val="Normal"/>
    <w:link w:val="TextonotaalfinalCar"/>
    <w:uiPriority w:val="99"/>
    <w:semiHidden/>
    <w:unhideWhenUsed/>
    <w:rsid w:val="000D7847"/>
    <w:rPr>
      <w:rFonts w:cs="Times New Roman"/>
      <w:sz w:val="20"/>
      <w:szCs w:val="20"/>
    </w:rPr>
  </w:style>
  <w:style w:type="character" w:customStyle="1" w:styleId="TextonotaalfinalCar">
    <w:name w:val="Texto nota al final Car"/>
    <w:link w:val="Textonotaalfinal"/>
    <w:uiPriority w:val="99"/>
    <w:semiHidden/>
    <w:rsid w:val="000D7847"/>
    <w:rPr>
      <w:rFonts w:ascii="Tahoma" w:hAnsi="Tahoma" w:cs="Tahoma"/>
      <w:lang w:val="es-ES" w:eastAsia="es-MX"/>
    </w:rPr>
  </w:style>
  <w:style w:type="character" w:styleId="Refdenotaalfinal">
    <w:name w:val="endnote reference"/>
    <w:uiPriority w:val="99"/>
    <w:semiHidden/>
    <w:unhideWhenUsed/>
    <w:rsid w:val="000D7847"/>
    <w:rPr>
      <w:vertAlign w:val="superscript"/>
    </w:rPr>
  </w:style>
  <w:style w:type="character" w:styleId="Refdenotaalpie">
    <w:name w:val="footnote reference"/>
    <w:aliases w:val="FC,Footnote symbol,Footnote,Ref. de nota al pie2,Nota de pie,Ref,de nota al pie,Pie de pagina,Ref. ...,Ref1"/>
    <w:uiPriority w:val="99"/>
    <w:unhideWhenUsed/>
    <w:qFormat/>
    <w:rsid w:val="002633A3"/>
    <w:rPr>
      <w:vertAlign w:val="superscript"/>
    </w:rPr>
  </w:style>
  <w:style w:type="paragraph" w:styleId="Textodeglobo">
    <w:name w:val="Balloon Text"/>
    <w:basedOn w:val="Normal"/>
    <w:link w:val="TextodegloboCar"/>
    <w:uiPriority w:val="99"/>
    <w:semiHidden/>
    <w:unhideWhenUsed/>
    <w:rsid w:val="0016732A"/>
    <w:pPr>
      <w:spacing w:line="240" w:lineRule="auto"/>
    </w:pPr>
    <w:rPr>
      <w:rFonts w:cs="Times New Roman"/>
      <w:sz w:val="16"/>
      <w:szCs w:val="16"/>
    </w:rPr>
  </w:style>
  <w:style w:type="character" w:customStyle="1" w:styleId="TextodegloboCar">
    <w:name w:val="Texto de globo Car"/>
    <w:link w:val="Textodeglobo"/>
    <w:uiPriority w:val="99"/>
    <w:semiHidden/>
    <w:rsid w:val="0016732A"/>
    <w:rPr>
      <w:rFonts w:ascii="Tahoma" w:hAnsi="Tahoma" w:cs="Tahoma"/>
      <w:sz w:val="16"/>
      <w:szCs w:val="16"/>
      <w:lang w:val="es-ES" w:eastAsia="es-MX"/>
    </w:rPr>
  </w:style>
  <w:style w:type="character" w:customStyle="1" w:styleId="Ttulo2Car">
    <w:name w:val="Título 2 Car"/>
    <w:link w:val="Ttulo2"/>
    <w:semiHidden/>
    <w:rsid w:val="000F4F01"/>
    <w:rPr>
      <w:rFonts w:ascii="Calibri Light" w:eastAsia="Times New Roman" w:hAnsi="Calibri Light" w:cs="Times New Roman"/>
      <w:b/>
      <w:bCs/>
      <w:i/>
      <w:iCs/>
      <w:sz w:val="28"/>
      <w:szCs w:val="28"/>
      <w:lang w:val="es-ES" w:eastAsia="es-MX"/>
    </w:rPr>
  </w:style>
  <w:style w:type="paragraph" w:styleId="Sinespaciado">
    <w:name w:val="No Spacing"/>
    <w:link w:val="SinespaciadoCar"/>
    <w:uiPriority w:val="1"/>
    <w:qFormat/>
    <w:rsid w:val="00A27BD4"/>
    <w:rPr>
      <w:sz w:val="22"/>
      <w:szCs w:val="22"/>
      <w:lang w:val="es-CO" w:eastAsia="en-US"/>
    </w:rPr>
  </w:style>
  <w:style w:type="character" w:customStyle="1" w:styleId="SinespaciadoCar">
    <w:name w:val="Sin espaciado Car"/>
    <w:link w:val="Sinespaciado"/>
    <w:uiPriority w:val="1"/>
    <w:locked/>
    <w:rsid w:val="00A27BD4"/>
    <w:rPr>
      <w:sz w:val="22"/>
      <w:szCs w:val="22"/>
      <w:lang w:eastAsia="en-US"/>
    </w:rPr>
  </w:style>
  <w:style w:type="paragraph" w:styleId="Prrafodelista">
    <w:name w:val="List Paragraph"/>
    <w:basedOn w:val="Normal"/>
    <w:uiPriority w:val="99"/>
    <w:qFormat/>
    <w:rsid w:val="00A27BD4"/>
    <w:pPr>
      <w:spacing w:line="240" w:lineRule="auto"/>
      <w:ind w:left="708"/>
      <w:jc w:val="left"/>
    </w:pPr>
    <w:rPr>
      <w:rFonts w:ascii="Verdana" w:hAnsi="Verdana" w:cs="Verdana"/>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1857">
      <w:bodyDiv w:val="1"/>
      <w:marLeft w:val="0"/>
      <w:marRight w:val="0"/>
      <w:marTop w:val="0"/>
      <w:marBottom w:val="0"/>
      <w:divBdr>
        <w:top w:val="none" w:sz="0" w:space="0" w:color="auto"/>
        <w:left w:val="none" w:sz="0" w:space="0" w:color="auto"/>
        <w:bottom w:val="none" w:sz="0" w:space="0" w:color="auto"/>
        <w:right w:val="none" w:sz="0" w:space="0" w:color="auto"/>
      </w:divBdr>
    </w:div>
    <w:div w:id="753745482">
      <w:bodyDiv w:val="1"/>
      <w:marLeft w:val="0"/>
      <w:marRight w:val="0"/>
      <w:marTop w:val="0"/>
      <w:marBottom w:val="0"/>
      <w:divBdr>
        <w:top w:val="none" w:sz="0" w:space="0" w:color="auto"/>
        <w:left w:val="none" w:sz="0" w:space="0" w:color="auto"/>
        <w:bottom w:val="none" w:sz="0" w:space="0" w:color="auto"/>
        <w:right w:val="none" w:sz="0" w:space="0" w:color="auto"/>
      </w:divBdr>
    </w:div>
    <w:div w:id="1827234819">
      <w:marLeft w:val="0"/>
      <w:marRight w:val="0"/>
      <w:marTop w:val="0"/>
      <w:marBottom w:val="0"/>
      <w:divBdr>
        <w:top w:val="none" w:sz="0" w:space="0" w:color="auto"/>
        <w:left w:val="none" w:sz="0" w:space="0" w:color="auto"/>
        <w:bottom w:val="none" w:sz="0" w:space="0" w:color="auto"/>
        <w:right w:val="none" w:sz="0" w:space="0" w:color="auto"/>
      </w:divBdr>
    </w:div>
    <w:div w:id="1827234820">
      <w:marLeft w:val="0"/>
      <w:marRight w:val="0"/>
      <w:marTop w:val="0"/>
      <w:marBottom w:val="0"/>
      <w:divBdr>
        <w:top w:val="none" w:sz="0" w:space="0" w:color="auto"/>
        <w:left w:val="none" w:sz="0" w:space="0" w:color="auto"/>
        <w:bottom w:val="none" w:sz="0" w:space="0" w:color="auto"/>
        <w:right w:val="none" w:sz="0" w:space="0" w:color="auto"/>
      </w:divBdr>
    </w:div>
    <w:div w:id="186813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C9254-3B16-4230-9832-7B1309F1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3612</Words>
  <Characters>19868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Company>
  <LinksUpToDate>false</LinksUpToDate>
  <CharactersWithSpaces>23434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Jorge</dc:creator>
  <cp:keywords/>
  <cp:lastModifiedBy>Henry Lora Rodriguez</cp:lastModifiedBy>
  <cp:revision>2</cp:revision>
  <cp:lastPrinted>2015-03-24T16:47:00Z</cp:lastPrinted>
  <dcterms:created xsi:type="dcterms:W3CDTF">2018-02-15T14:12:00Z</dcterms:created>
  <dcterms:modified xsi:type="dcterms:W3CDTF">2018-02-15T14:12:00Z</dcterms:modified>
</cp:coreProperties>
</file>