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CC" w:rsidRPr="00400CCC" w:rsidRDefault="00400CCC" w:rsidP="00400CC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400CCC" w:rsidRPr="00400CCC" w:rsidRDefault="00400CCC" w:rsidP="00400CCC">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t>Auto  - 2ª Instancia -26 de enero de 2017</w:t>
      </w:r>
    </w:p>
    <w:p w:rsidR="00400CCC" w:rsidRPr="00400CCC" w:rsidRDefault="00400CCC" w:rsidP="00400CCC">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eastAsia="fr-FR"/>
        </w:rPr>
        <w:t>2016-00203-01</w:t>
      </w:r>
    </w:p>
    <w:p w:rsidR="00400CCC" w:rsidRPr="00400CCC" w:rsidRDefault="00400CCC" w:rsidP="00400CCC">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400CCC">
        <w:rPr>
          <w:rFonts w:ascii="Calibri" w:eastAsia="Calibri" w:hAnsi="Calibri" w:cs="Calibri"/>
          <w:bCs/>
          <w:color w:val="222222"/>
          <w:sz w:val="18"/>
          <w:szCs w:val="18"/>
          <w:lang w:val="es-CO" w:eastAsia="fr-FR"/>
        </w:rPr>
        <w:t xml:space="preserve">CITY </w:t>
      </w:r>
      <w:proofErr w:type="spellStart"/>
      <w:r w:rsidRPr="00400CCC">
        <w:rPr>
          <w:rFonts w:ascii="Calibri" w:eastAsia="Calibri" w:hAnsi="Calibri" w:cs="Calibri"/>
          <w:bCs/>
          <w:color w:val="222222"/>
          <w:sz w:val="18"/>
          <w:szCs w:val="18"/>
          <w:lang w:val="es-CO" w:eastAsia="fr-FR"/>
        </w:rPr>
        <w:t>RENT</w:t>
      </w:r>
      <w:proofErr w:type="spellEnd"/>
      <w:r w:rsidRPr="00400CCC">
        <w:rPr>
          <w:rFonts w:ascii="Calibri" w:eastAsia="Calibri" w:hAnsi="Calibri" w:cs="Calibri"/>
          <w:bCs/>
          <w:color w:val="222222"/>
          <w:sz w:val="18"/>
          <w:szCs w:val="18"/>
          <w:lang w:val="es-CO" w:eastAsia="fr-FR"/>
        </w:rPr>
        <w:t xml:space="preserve"> LTDA.</w:t>
      </w:r>
    </w:p>
    <w:p w:rsidR="00400CCC" w:rsidRPr="00400CCC" w:rsidRDefault="00400CCC" w:rsidP="00400CCC">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proofErr w:type="spellStart"/>
      <w:r w:rsidRPr="00400CCC">
        <w:rPr>
          <w:rFonts w:ascii="Calibri" w:eastAsia="Calibri" w:hAnsi="Calibri" w:cs="Calibri"/>
          <w:bCs/>
          <w:color w:val="222222"/>
          <w:sz w:val="18"/>
          <w:szCs w:val="18"/>
          <w:lang w:val="es-CO" w:eastAsia="fr-FR"/>
        </w:rPr>
        <w:t>VD</w:t>
      </w:r>
      <w:proofErr w:type="spellEnd"/>
      <w:r w:rsidRPr="00400CCC">
        <w:rPr>
          <w:rFonts w:ascii="Calibri" w:eastAsia="Calibri" w:hAnsi="Calibri" w:cs="Calibri"/>
          <w:bCs/>
          <w:color w:val="222222"/>
          <w:sz w:val="18"/>
          <w:szCs w:val="18"/>
          <w:lang w:val="es-CO" w:eastAsia="fr-FR"/>
        </w:rPr>
        <w:t xml:space="preserve"> EL MUNDO A SUS PIES </w:t>
      </w:r>
      <w:proofErr w:type="spellStart"/>
      <w:r w:rsidRPr="00400CCC">
        <w:rPr>
          <w:rFonts w:ascii="Calibri" w:eastAsia="Calibri" w:hAnsi="Calibri" w:cs="Calibri"/>
          <w:bCs/>
          <w:color w:val="222222"/>
          <w:sz w:val="18"/>
          <w:szCs w:val="18"/>
          <w:lang w:val="es-CO" w:eastAsia="fr-FR"/>
        </w:rPr>
        <w:t>SAS</w:t>
      </w:r>
      <w:proofErr w:type="spellEnd"/>
    </w:p>
    <w:p w:rsidR="00400CCC" w:rsidRPr="00400CCC" w:rsidRDefault="00400CCC" w:rsidP="00400CCC">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400CCC">
        <w:rPr>
          <w:rFonts w:ascii="Calibri" w:eastAsia="Calibri" w:hAnsi="Calibri" w:cs="Calibri"/>
          <w:color w:val="222222"/>
          <w:sz w:val="18"/>
          <w:szCs w:val="18"/>
          <w:lang w:val="es-CO" w:eastAsia="fr-FR"/>
        </w:rPr>
        <w:t>Proceso:                </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t>Verbal – Declara inadmisible por falta de procedencia recurso de apelación</w:t>
      </w:r>
    </w:p>
    <w:p w:rsidR="00400CCC" w:rsidRPr="00400CCC" w:rsidRDefault="00400CCC" w:rsidP="00400CCC">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400CCC" w:rsidRPr="00400CCC" w:rsidRDefault="00400CCC" w:rsidP="00400CCC">
      <w:pPr>
        <w:shd w:val="clear" w:color="auto" w:fill="FFFFFF"/>
        <w:ind w:left="2124" w:hanging="2124"/>
        <w:jc w:val="both"/>
        <w:rPr>
          <w:rFonts w:ascii="Calibri" w:eastAsia="Calibri" w:hAnsi="Calibri" w:cs="Calibri"/>
          <w:bCs/>
          <w:iCs/>
          <w:color w:val="222222"/>
          <w:sz w:val="10"/>
          <w:szCs w:val="10"/>
          <w:lang w:val="es-CO" w:eastAsia="fr-FR"/>
        </w:rPr>
      </w:pPr>
    </w:p>
    <w:p w:rsidR="00400CCC" w:rsidRPr="00400CCC" w:rsidRDefault="00400CCC" w:rsidP="00400CCC">
      <w:pPr>
        <w:shd w:val="clear" w:color="auto" w:fill="FFFFFF"/>
        <w:spacing w:after="200"/>
        <w:jc w:val="both"/>
        <w:rPr>
          <w:rFonts w:ascii="Arial" w:hAnsi="Arial" w:cs="Arial"/>
          <w:w w:val="140"/>
          <w:sz w:val="14"/>
          <w:lang w:val="es-CO"/>
        </w:rPr>
      </w:pPr>
      <w:r w:rsidRPr="00400CCC">
        <w:rPr>
          <w:rFonts w:ascii="Calibri" w:hAnsi="Calibri" w:cs="Calibri"/>
          <w:b/>
          <w:color w:val="222222"/>
          <w:sz w:val="18"/>
          <w:szCs w:val="18"/>
          <w:lang w:val="es-CO" w:eastAsia="fr-FR"/>
        </w:rPr>
        <w:t xml:space="preserve">Temas: </w:t>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r>
      <w:r w:rsidRPr="00400CCC">
        <w:rPr>
          <w:rFonts w:ascii="Calibri" w:hAnsi="Calibri" w:cs="Calibri"/>
          <w:b/>
          <w:color w:val="222222"/>
          <w:sz w:val="18"/>
          <w:szCs w:val="18"/>
          <w:lang w:val="es-CO" w:eastAsia="fr-FR"/>
        </w:rPr>
        <w:tab/>
        <w:t xml:space="preserve">RESTITUCIÓN DE BIEN INMUEBLE POR MORA EN EL PAGO / PROCESO DE ÚNICA INSTANCIA / IMPROCEDENCIA RECURSO DE APELACIÓN. </w:t>
      </w:r>
      <w:r w:rsidRPr="00400CCC">
        <w:rPr>
          <w:rFonts w:ascii="Calibri" w:hAnsi="Calibri" w:cs="Calibri"/>
          <w:color w:val="222222"/>
          <w:sz w:val="18"/>
          <w:szCs w:val="18"/>
          <w:lang w:val="es-CO" w:eastAsia="fr-FR"/>
        </w:rPr>
        <w:t>“</w:t>
      </w:r>
      <w:r w:rsidRPr="00400CCC">
        <w:rPr>
          <w:rFonts w:ascii="Calibri" w:eastAsia="Calibri" w:hAnsi="Calibri" w:cs="Calibri"/>
          <w:color w:val="222222"/>
          <w:sz w:val="18"/>
          <w:szCs w:val="18"/>
          <w:lang w:eastAsia="fr-FR"/>
        </w:rPr>
        <w:t>[L]a causal para pedir la restitución de bien, es la mora en el pago (Hecho 11 y pretensión 1, folio 9, copias), asunto para el cual el nuevo estatuto puntualizó que eran procesos de única instancia (Artículo 384-9º)</w:t>
      </w:r>
      <w:r w:rsidRPr="00400CCC">
        <w:rPr>
          <w:rFonts w:ascii="Calibri" w:eastAsia="Calibri" w:hAnsi="Calibri" w:cs="Calibri"/>
          <w:i/>
          <w:color w:val="222222"/>
          <w:sz w:val="18"/>
          <w:szCs w:val="18"/>
          <w:lang w:eastAsia="fr-FR"/>
        </w:rPr>
        <w:t xml:space="preserve">, </w:t>
      </w:r>
      <w:r w:rsidRPr="00400CCC">
        <w:rPr>
          <w:rFonts w:ascii="Calibri" w:eastAsia="Calibri" w:hAnsi="Calibri" w:cs="Calibri"/>
          <w:color w:val="222222"/>
          <w:sz w:val="18"/>
          <w:szCs w:val="18"/>
          <w:lang w:eastAsia="fr-FR"/>
        </w:rPr>
        <w:t xml:space="preserve">tal como ya estaba consagrado en el artículo 39 de la Ley 820 y las precisiones que a esa normativa hizo la CC. (…) </w:t>
      </w:r>
      <w:r w:rsidRPr="00400CCC">
        <w:rPr>
          <w:rFonts w:ascii="Calibri" w:eastAsia="Calibri" w:hAnsi="Calibri" w:cs="Calibri"/>
          <w:color w:val="222222"/>
          <w:sz w:val="18"/>
          <w:szCs w:val="18"/>
          <w:lang w:val="es-CO" w:eastAsia="fr-FR"/>
        </w:rPr>
        <w:t>Así las cosas, como se trata de un asunto de única instancia, es improcedente la alzada y lo consecuente es declarar la inadmisibilidad del recurso.”.</w:t>
      </w:r>
      <w:r w:rsidRPr="00400CCC">
        <w:rPr>
          <w:rFonts w:ascii="Calibri" w:eastAsia="Calibri" w:hAnsi="Calibri" w:cs="Calibri"/>
          <w:b/>
          <w:color w:val="222222"/>
          <w:sz w:val="18"/>
          <w:szCs w:val="18"/>
          <w:lang w:val="es-CO" w:eastAsia="fr-FR"/>
        </w:rPr>
        <w:t xml:space="preserve"> </w:t>
      </w:r>
    </w:p>
    <w:p w:rsidR="000F4FD9" w:rsidRDefault="00FC0999" w:rsidP="00283F3B">
      <w:pPr>
        <w:pStyle w:val="Sinespaciado1"/>
        <w:spacing w:line="360" w:lineRule="auto"/>
        <w:jc w:val="center"/>
        <w:rPr>
          <w:rFonts w:ascii="Arial" w:hAnsi="Arial" w:cs="Arial"/>
          <w:w w:val="140"/>
          <w:sz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ansinterligne"/>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0CCC">
      <w:pPr>
        <w:jc w:val="center"/>
        <w:rPr>
          <w:rFonts w:ascii="Arial" w:hAnsi="Arial" w:cs="Arial"/>
          <w:b/>
          <w:bCs/>
          <w:sz w:val="22"/>
          <w:szCs w:val="26"/>
        </w:rPr>
      </w:pPr>
    </w:p>
    <w:p w:rsidR="000F4FD9" w:rsidRPr="00BB695D" w:rsidRDefault="000F4FD9" w:rsidP="00681918">
      <w:pPr>
        <w:pStyle w:val="Corpsdetex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t>Asunto</w:t>
      </w:r>
      <w:r w:rsidRPr="00BB695D">
        <w:rPr>
          <w:rFonts w:ascii="Arial" w:hAnsi="Arial"/>
          <w:sz w:val="22"/>
          <w:szCs w:val="22"/>
        </w:rPr>
        <w:tab/>
      </w:r>
      <w:r w:rsidRPr="00BB695D">
        <w:rPr>
          <w:rFonts w:ascii="Arial" w:hAnsi="Arial"/>
          <w:sz w:val="22"/>
          <w:szCs w:val="22"/>
        </w:rPr>
        <w:tab/>
      </w:r>
      <w:r w:rsidRPr="00BB695D">
        <w:rPr>
          <w:rFonts w:ascii="Arial" w:hAnsi="Arial"/>
          <w:sz w:val="22"/>
          <w:szCs w:val="22"/>
        </w:rPr>
        <w:tab/>
        <w:t xml:space="preserve">: Decide admisibilidad </w:t>
      </w:r>
      <w:r w:rsidR="00EC4BBA">
        <w:rPr>
          <w:rFonts w:ascii="Arial" w:hAnsi="Arial"/>
          <w:sz w:val="22"/>
          <w:szCs w:val="22"/>
        </w:rPr>
        <w:t>–</w:t>
      </w:r>
      <w:r w:rsidR="00BA3131" w:rsidRPr="00BB695D">
        <w:rPr>
          <w:rFonts w:ascii="Arial" w:hAnsi="Arial"/>
          <w:sz w:val="22"/>
          <w:szCs w:val="22"/>
        </w:rPr>
        <w:t xml:space="preserve"> A</w:t>
      </w:r>
      <w:r w:rsidRPr="00BB695D">
        <w:rPr>
          <w:rFonts w:ascii="Arial" w:hAnsi="Arial"/>
          <w:sz w:val="22"/>
          <w:szCs w:val="22"/>
        </w:rPr>
        <w:t>pelación</w:t>
      </w:r>
      <w:r w:rsidR="00EC4BBA">
        <w:rPr>
          <w:rFonts w:ascii="Arial" w:hAnsi="Arial"/>
          <w:sz w:val="22"/>
          <w:szCs w:val="22"/>
        </w:rPr>
        <w:t xml:space="preserve"> de auto</w:t>
      </w:r>
    </w:p>
    <w:p w:rsidR="00BA3B52" w:rsidRDefault="00BA3B52" w:rsidP="00BA3B52">
      <w:pPr>
        <w:pStyle w:val="Corpsdetex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Verbal </w:t>
      </w:r>
      <w:r w:rsidR="00182D8B">
        <w:rPr>
          <w:rFonts w:ascii="Arial" w:hAnsi="Arial" w:cs="Arial"/>
          <w:sz w:val="22"/>
          <w:szCs w:val="22"/>
          <w:lang w:val="es-CO"/>
        </w:rPr>
        <w:t xml:space="preserve">– Restitución de bien inmueble </w:t>
      </w:r>
    </w:p>
    <w:p w:rsidR="00BA3B52" w:rsidRDefault="00BA3B52" w:rsidP="00BA3B52">
      <w:pPr>
        <w:pStyle w:val="Corpsdetex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xml:space="preserve">: </w:t>
      </w:r>
      <w:r w:rsidR="00182D8B">
        <w:rPr>
          <w:rFonts w:ascii="Arial" w:hAnsi="Arial" w:cs="Arial"/>
          <w:sz w:val="22"/>
          <w:szCs w:val="22"/>
          <w:lang w:val="es-CO"/>
        </w:rPr>
        <w:t xml:space="preserve">City </w:t>
      </w:r>
      <w:proofErr w:type="spellStart"/>
      <w:r w:rsidR="00182D8B">
        <w:rPr>
          <w:rFonts w:ascii="Arial" w:hAnsi="Arial" w:cs="Arial"/>
          <w:sz w:val="22"/>
          <w:szCs w:val="22"/>
          <w:lang w:val="es-CO"/>
        </w:rPr>
        <w:t>Rent</w:t>
      </w:r>
      <w:proofErr w:type="spellEnd"/>
      <w:r w:rsidR="00182D8B">
        <w:rPr>
          <w:rFonts w:ascii="Arial" w:hAnsi="Arial" w:cs="Arial"/>
          <w:sz w:val="22"/>
          <w:szCs w:val="22"/>
          <w:lang w:val="es-CO"/>
        </w:rPr>
        <w:t xml:space="preserve"> Ltda</w:t>
      </w:r>
      <w:r w:rsidR="00FF09E8">
        <w:rPr>
          <w:rFonts w:ascii="Arial" w:hAnsi="Arial" w:cs="Arial"/>
          <w:sz w:val="22"/>
          <w:szCs w:val="22"/>
          <w:lang w:val="es-CO"/>
        </w:rPr>
        <w:t>.</w:t>
      </w:r>
    </w:p>
    <w:p w:rsidR="00BA3B52" w:rsidRDefault="00BA3B52" w:rsidP="00BA3B52">
      <w:pPr>
        <w:spacing w:line="360" w:lineRule="auto"/>
        <w:ind w:left="3540" w:hanging="2124"/>
        <w:rPr>
          <w:rFonts w:ascii="Arial" w:hAnsi="Arial" w:cs="Arial"/>
          <w:sz w:val="22"/>
          <w:szCs w:val="22"/>
          <w:lang w:val="es-CO"/>
        </w:rPr>
      </w:pPr>
      <w:r>
        <w:rPr>
          <w:rFonts w:ascii="Arial" w:hAnsi="Arial" w:cs="Arial"/>
          <w:sz w:val="22"/>
          <w:szCs w:val="22"/>
          <w:lang w:val="es-CO"/>
        </w:rPr>
        <w:t>Demandado</w:t>
      </w:r>
      <w:r>
        <w:rPr>
          <w:rFonts w:ascii="Arial" w:hAnsi="Arial" w:cs="Arial"/>
          <w:sz w:val="22"/>
          <w:szCs w:val="22"/>
          <w:lang w:val="es-CO"/>
        </w:rPr>
        <w:tab/>
        <w:t xml:space="preserve">: </w:t>
      </w:r>
      <w:r w:rsidR="00182D8B">
        <w:rPr>
          <w:rFonts w:ascii="Arial" w:hAnsi="Arial" w:cs="Arial"/>
          <w:sz w:val="22"/>
          <w:szCs w:val="22"/>
          <w:lang w:val="es-CO"/>
        </w:rPr>
        <w:t>VD El Mundo a sus pies SAS</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Juzgado</w:t>
      </w:r>
      <w:r w:rsidR="00BA3B52">
        <w:rPr>
          <w:rFonts w:ascii="Arial" w:hAnsi="Arial" w:cs="Arial"/>
          <w:sz w:val="22"/>
          <w:szCs w:val="22"/>
        </w:rPr>
        <w:t xml:space="preserve"> </w:t>
      </w:r>
      <w:r w:rsidR="005F7966">
        <w:rPr>
          <w:rFonts w:ascii="Arial" w:hAnsi="Arial" w:cs="Arial"/>
          <w:sz w:val="22"/>
          <w:szCs w:val="22"/>
        </w:rPr>
        <w:t xml:space="preserve">Segundo </w:t>
      </w:r>
      <w:r w:rsidR="00BA3B52">
        <w:rPr>
          <w:rFonts w:ascii="Arial" w:hAnsi="Arial" w:cs="Arial"/>
          <w:sz w:val="22"/>
          <w:szCs w:val="22"/>
        </w:rPr>
        <w:t>C</w:t>
      </w:r>
      <w:r w:rsidR="00577894">
        <w:rPr>
          <w:rFonts w:ascii="Arial" w:hAnsi="Arial" w:cs="Arial"/>
          <w:sz w:val="22"/>
          <w:szCs w:val="22"/>
        </w:rPr>
        <w:t xml:space="preserve">ivil del Circuito de </w:t>
      </w:r>
      <w:r w:rsidR="005F7966">
        <w:rPr>
          <w:rFonts w:ascii="Arial" w:hAnsi="Arial" w:cs="Arial"/>
          <w:sz w:val="22"/>
          <w:szCs w:val="22"/>
        </w:rPr>
        <w:t>Pereira</w:t>
      </w:r>
    </w:p>
    <w:p w:rsidR="00440173" w:rsidRDefault="00440173" w:rsidP="00440173">
      <w:pPr>
        <w:pStyle w:val="Corpsdetex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3B52">
        <w:rPr>
          <w:rFonts w:ascii="Arial" w:hAnsi="Arial" w:cs="Arial"/>
          <w:sz w:val="22"/>
          <w:szCs w:val="22"/>
        </w:rPr>
        <w:t>6</w:t>
      </w:r>
      <w:r>
        <w:rPr>
          <w:rFonts w:ascii="Arial" w:hAnsi="Arial" w:cs="Arial"/>
          <w:sz w:val="22"/>
          <w:szCs w:val="22"/>
        </w:rPr>
        <w:t>-00</w:t>
      </w:r>
      <w:r w:rsidR="00182D8B">
        <w:rPr>
          <w:rFonts w:ascii="Arial" w:hAnsi="Arial" w:cs="Arial"/>
          <w:sz w:val="22"/>
          <w:szCs w:val="22"/>
        </w:rPr>
        <w:t>203</w:t>
      </w:r>
      <w:r>
        <w:rPr>
          <w:rFonts w:ascii="Arial" w:hAnsi="Arial" w:cs="Arial"/>
          <w:sz w:val="22"/>
          <w:szCs w:val="22"/>
        </w:rPr>
        <w:t>-01</w:t>
      </w:r>
    </w:p>
    <w:p w:rsidR="000001CD" w:rsidRDefault="000001CD" w:rsidP="000001CD">
      <w:pPr>
        <w:spacing w:line="360" w:lineRule="auto"/>
        <w:ind w:left="708"/>
        <w:jc w:val="both"/>
        <w:rPr>
          <w:rFonts w:ascii="Arial" w:hAnsi="Arial" w:cs="Arial"/>
          <w:sz w:val="22"/>
          <w:szCs w:val="22"/>
        </w:rPr>
      </w:pPr>
      <w:r>
        <w:rPr>
          <w:rFonts w:ascii="Arial" w:hAnsi="Arial"/>
          <w:sz w:val="22"/>
          <w:szCs w:val="22"/>
        </w:rPr>
        <w:tab/>
      </w: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Pro</w:t>
      </w:r>
      <w:r w:rsidR="00182D8B">
        <w:rPr>
          <w:rFonts w:ascii="Arial" w:hAnsi="Arial" w:cs="Arial"/>
          <w:sz w:val="22"/>
          <w:szCs w:val="22"/>
        </w:rPr>
        <w:t xml:space="preserve">cedencia de alzada – </w:t>
      </w:r>
      <w:r w:rsidR="00993204">
        <w:rPr>
          <w:rFonts w:ascii="Arial" w:hAnsi="Arial" w:cs="Arial"/>
          <w:sz w:val="22"/>
          <w:szCs w:val="22"/>
        </w:rPr>
        <w:t>Trámite de única instancia</w:t>
      </w:r>
    </w:p>
    <w:p w:rsidR="009D0B7B" w:rsidRPr="009D0B7B" w:rsidRDefault="009D0B7B" w:rsidP="00440173">
      <w:pPr>
        <w:pStyle w:val="Corpsdetexte"/>
        <w:spacing w:line="360" w:lineRule="auto"/>
        <w:ind w:left="1416"/>
        <w:rPr>
          <w:rFonts w:ascii="Arial" w:hAnsi="Arial" w:cs="Arial"/>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F4FD9" w:rsidRPr="00400CCC" w:rsidRDefault="000F4FD9" w:rsidP="00400CCC">
      <w:pPr>
        <w:pStyle w:val="Corpsdetexte"/>
        <w:pBdr>
          <w:bottom w:val="double" w:sz="6" w:space="1" w:color="auto"/>
        </w:pBdr>
        <w:spacing w:line="240" w:lineRule="auto"/>
        <w:jc w:val="center"/>
        <w:rPr>
          <w:rFonts w:ascii="Arial" w:hAnsi="Arial" w:cs="Arial"/>
          <w:sz w:val="10"/>
          <w:szCs w:val="10"/>
        </w:rPr>
      </w:pPr>
    </w:p>
    <w:p w:rsidR="000F4FD9" w:rsidRPr="00400CCC" w:rsidRDefault="000F4FD9" w:rsidP="00A14F72">
      <w:pPr>
        <w:pStyle w:val="Corpsdetexte"/>
        <w:spacing w:line="276" w:lineRule="auto"/>
        <w:jc w:val="center"/>
        <w:rPr>
          <w:rFonts w:ascii="Arial" w:hAnsi="Arial" w:cs="Arial"/>
          <w:sz w:val="10"/>
          <w:szCs w:val="10"/>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FF09E8">
        <w:rPr>
          <w:rFonts w:ascii="Arial" w:hAnsi="Arial" w:cs="Arial"/>
          <w:bCs/>
          <w:smallCaps/>
          <w:sz w:val="28"/>
          <w:szCs w:val="24"/>
          <w:lang w:val="es-CO"/>
        </w:rPr>
        <w:t>veintiséis</w:t>
      </w:r>
      <w:r w:rsidR="005F7966">
        <w:rPr>
          <w:rFonts w:ascii="Arial" w:hAnsi="Arial" w:cs="Arial"/>
          <w:bCs/>
          <w:smallCaps/>
          <w:sz w:val="28"/>
          <w:szCs w:val="24"/>
          <w:lang w:val="es-CO"/>
        </w:rPr>
        <w:t xml:space="preserve"> </w:t>
      </w:r>
      <w:r w:rsidRPr="000001CD">
        <w:rPr>
          <w:rFonts w:ascii="Arial" w:hAnsi="Arial" w:cs="Arial"/>
          <w:bCs/>
          <w:smallCaps/>
          <w:sz w:val="28"/>
          <w:szCs w:val="24"/>
          <w:lang w:val="es-CO"/>
        </w:rPr>
        <w:t>(</w:t>
      </w:r>
      <w:r w:rsidR="00FF09E8">
        <w:rPr>
          <w:rFonts w:ascii="Arial" w:hAnsi="Arial" w:cs="Arial"/>
          <w:bCs/>
          <w:smallCaps/>
          <w:sz w:val="28"/>
          <w:szCs w:val="24"/>
          <w:lang w:val="es-CO"/>
        </w:rPr>
        <w:t>26</w:t>
      </w:r>
      <w:r w:rsidRPr="000001CD">
        <w:rPr>
          <w:rFonts w:ascii="Arial" w:hAnsi="Arial" w:cs="Arial"/>
          <w:bCs/>
          <w:smallCaps/>
          <w:sz w:val="28"/>
          <w:szCs w:val="24"/>
          <w:lang w:val="es-CO"/>
        </w:rPr>
        <w:t xml:space="preserve">) de </w:t>
      </w:r>
      <w:r w:rsidR="00182D8B">
        <w:rPr>
          <w:rFonts w:ascii="Arial" w:hAnsi="Arial" w:cs="Arial"/>
          <w:bCs/>
          <w:smallCaps/>
          <w:sz w:val="28"/>
          <w:szCs w:val="24"/>
          <w:lang w:val="es-CO"/>
        </w:rPr>
        <w:t xml:space="preserve">enero </w:t>
      </w:r>
      <w:r w:rsidRPr="000001CD">
        <w:rPr>
          <w:rFonts w:ascii="Arial" w:hAnsi="Arial" w:cs="Arial"/>
          <w:bCs/>
          <w:smallCaps/>
          <w:sz w:val="28"/>
          <w:szCs w:val="24"/>
          <w:lang w:val="es-CO"/>
        </w:rPr>
        <w:t xml:space="preserve">de dos mil </w:t>
      </w:r>
      <w:r w:rsidR="00182D8B" w:rsidRPr="000001CD">
        <w:rPr>
          <w:rFonts w:ascii="Arial" w:hAnsi="Arial" w:cs="Arial"/>
          <w:bCs/>
          <w:smallCaps/>
          <w:sz w:val="28"/>
          <w:szCs w:val="24"/>
          <w:lang w:val="es-CO"/>
        </w:rPr>
        <w:t>diecis</w:t>
      </w:r>
      <w:r w:rsidR="00182D8B">
        <w:rPr>
          <w:rFonts w:ascii="Arial" w:hAnsi="Arial" w:cs="Arial"/>
          <w:bCs/>
          <w:smallCaps/>
          <w:sz w:val="28"/>
          <w:szCs w:val="24"/>
          <w:lang w:val="es-CO"/>
        </w:rPr>
        <w:t xml:space="preserve">iete </w:t>
      </w:r>
      <w:r w:rsidRPr="000001CD">
        <w:rPr>
          <w:rFonts w:ascii="Arial" w:hAnsi="Arial" w:cs="Arial"/>
          <w:bCs/>
          <w:smallCaps/>
          <w:sz w:val="28"/>
          <w:szCs w:val="24"/>
          <w:lang w:val="es-CO"/>
        </w:rPr>
        <w:t>(201</w:t>
      </w:r>
      <w:r w:rsidR="00182D8B">
        <w:rPr>
          <w:rFonts w:ascii="Arial" w:hAnsi="Arial" w:cs="Arial"/>
          <w:bCs/>
          <w:smallCaps/>
          <w:sz w:val="28"/>
          <w:szCs w:val="24"/>
          <w:lang w:val="es-CO"/>
        </w:rPr>
        <w:t>7</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ansinterligne"/>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Pr="00125206" w:rsidRDefault="000F4FD9" w:rsidP="00310452">
      <w:pPr>
        <w:pStyle w:val="Titre"/>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182D8B">
        <w:rPr>
          <w:rFonts w:ascii="Arial" w:hAnsi="Arial" w:cs="Arial"/>
          <w:sz w:val="24"/>
          <w:szCs w:val="24"/>
        </w:rPr>
        <w:t>31</w:t>
      </w:r>
      <w:r w:rsidR="005F7966">
        <w:rPr>
          <w:rFonts w:ascii="Arial" w:hAnsi="Arial" w:cs="Arial"/>
          <w:sz w:val="24"/>
          <w:szCs w:val="24"/>
        </w:rPr>
        <w:t>-10</w:t>
      </w:r>
      <w:r w:rsidR="00BA3B52">
        <w:rPr>
          <w:rFonts w:ascii="Arial" w:hAnsi="Arial" w:cs="Arial"/>
          <w:sz w:val="24"/>
          <w:szCs w:val="24"/>
        </w:rPr>
        <w:t>-2016</w:t>
      </w:r>
      <w:r w:rsidR="000F4FD9" w:rsidRPr="00B40F83">
        <w:rPr>
          <w:rFonts w:ascii="Arial" w:hAnsi="Arial" w:cs="Arial"/>
          <w:sz w:val="24"/>
          <w:szCs w:val="24"/>
        </w:rPr>
        <w:t xml:space="preserve">, </w:t>
      </w:r>
      <w:r w:rsidR="00924E0B">
        <w:rPr>
          <w:rFonts w:ascii="Arial" w:hAnsi="Arial" w:cs="Arial"/>
          <w:sz w:val="24"/>
          <w:szCs w:val="24"/>
        </w:rPr>
        <w:t xml:space="preserve">que </w:t>
      </w:r>
      <w:r w:rsidR="00182D8B">
        <w:rPr>
          <w:rFonts w:ascii="Arial" w:hAnsi="Arial" w:cs="Arial"/>
          <w:sz w:val="24"/>
          <w:szCs w:val="24"/>
        </w:rPr>
        <w:t>declaró terminado el proceso en aplicación del artículo 22 de la Ley 1116</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r w:rsidR="00900A84">
        <w:rPr>
          <w:rFonts w:ascii="Arial" w:hAnsi="Arial" w:cs="Arial"/>
          <w:sz w:val="24"/>
          <w:szCs w:val="24"/>
        </w:rPr>
        <w:t xml:space="preserve"> </w:t>
      </w:r>
    </w:p>
    <w:p w:rsidR="000F4FD9" w:rsidRDefault="000F4FD9" w:rsidP="00310452">
      <w:pPr>
        <w:pStyle w:val="Sansinterligne"/>
        <w:widowControl/>
        <w:autoSpaceDE/>
        <w:autoSpaceDN/>
        <w:adjustRightInd/>
        <w:spacing w:line="360" w:lineRule="auto"/>
        <w:jc w:val="both"/>
        <w:rPr>
          <w:rFonts w:ascii="Arial" w:hAnsi="Arial" w:cs="Arial"/>
        </w:rPr>
      </w:pPr>
    </w:p>
    <w:p w:rsidR="000F4FD9" w:rsidRDefault="000F4FD9" w:rsidP="00BD12C5">
      <w:pPr>
        <w:pStyle w:val="Sansinterligne"/>
        <w:numPr>
          <w:ilvl w:val="0"/>
          <w:numId w:val="3"/>
        </w:numPr>
        <w:spacing w:line="360" w:lineRule="auto"/>
        <w:jc w:val="both"/>
        <w:rPr>
          <w:rFonts w:ascii="Arial" w:hAnsi="Arial" w:cs="Arial"/>
        </w:rPr>
      </w:pPr>
      <w:r w:rsidRPr="00DB7C98">
        <w:rPr>
          <w:rFonts w:ascii="Arial" w:hAnsi="Arial" w:cs="Arial"/>
          <w:sz w:val="28"/>
        </w:rPr>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0F4FD9" w:rsidRDefault="000F4FD9" w:rsidP="00395DD3">
      <w:pPr>
        <w:spacing w:line="360" w:lineRule="auto"/>
        <w:jc w:val="both"/>
        <w:rPr>
          <w:rFonts w:ascii="Arial" w:hAnsi="Arial" w:cs="Arial"/>
          <w:sz w:val="24"/>
        </w:rPr>
      </w:pPr>
      <w:r>
        <w:rPr>
          <w:rFonts w:ascii="Arial" w:hAnsi="Arial" w:cs="Arial"/>
          <w:sz w:val="24"/>
        </w:rPr>
        <w:t xml:space="preserve">2.1. </w:t>
      </w:r>
      <w:r w:rsidRPr="00182D8B">
        <w:rPr>
          <w:rFonts w:ascii="Arial" w:hAnsi="Arial" w:cs="Arial"/>
          <w:smallCaps/>
          <w:sz w:val="22"/>
        </w:rPr>
        <w:t>Los requisitos de viabilidad de un recurso</w:t>
      </w:r>
    </w:p>
    <w:p w:rsidR="000F4FD9" w:rsidRDefault="000F4FD9" w:rsidP="00395DD3">
      <w:pPr>
        <w:spacing w:line="360" w:lineRule="auto"/>
        <w:jc w:val="both"/>
        <w:rPr>
          <w:rFonts w:ascii="Arial" w:hAnsi="Arial" w:cs="Arial"/>
          <w:sz w:val="24"/>
        </w:rPr>
      </w:pPr>
    </w:p>
    <w:p w:rsidR="00E15135" w:rsidRPr="00E15135" w:rsidRDefault="00182D8B" w:rsidP="00E15135">
      <w:pPr>
        <w:spacing w:line="360" w:lineRule="auto"/>
        <w:jc w:val="both"/>
        <w:rPr>
          <w:rFonts w:ascii="Arial" w:hAnsi="Arial" w:cs="Arial"/>
          <w:i/>
          <w:sz w:val="24"/>
          <w:szCs w:val="22"/>
        </w:rPr>
      </w:pPr>
      <w:r>
        <w:rPr>
          <w:rFonts w:ascii="Arial" w:hAnsi="Arial"/>
          <w:sz w:val="24"/>
        </w:rPr>
        <w:t xml:space="preserve">En materia de </w:t>
      </w:r>
      <w:r w:rsidR="00E15135" w:rsidRPr="00E15135">
        <w:rPr>
          <w:rFonts w:ascii="Arial" w:hAnsi="Arial"/>
          <w:sz w:val="24"/>
        </w:rPr>
        <w:t>recursos, si bien la regulación en el CG</w:t>
      </w:r>
      <w:r w:rsidR="00E478D3">
        <w:rPr>
          <w:rFonts w:ascii="Arial" w:hAnsi="Arial"/>
          <w:sz w:val="24"/>
        </w:rPr>
        <w:t>P</w:t>
      </w:r>
      <w:r w:rsidR="00E15135" w:rsidRPr="00E15135">
        <w:rPr>
          <w:rFonts w:ascii="Arial" w:hAnsi="Arial"/>
          <w:sz w:val="24"/>
        </w:rPr>
        <w:t xml:space="preserve"> modificó algunos tópicos, lo atinente a los supuestos de viabilidad del recurso y específicamente para los autos, no tuvo un cambio sustancial respecto de lo regulado para este aspecto en el CPC</w:t>
      </w:r>
      <w:r>
        <w:rPr>
          <w:rFonts w:ascii="Arial" w:hAnsi="Arial"/>
          <w:sz w:val="24"/>
        </w:rPr>
        <w:t xml:space="preserve"> y en esa </w:t>
      </w:r>
      <w:r>
        <w:rPr>
          <w:rFonts w:ascii="Arial" w:hAnsi="Arial"/>
          <w:sz w:val="24"/>
        </w:rPr>
        <w:lastRenderedPageBreak/>
        <w:t>medida</w:t>
      </w:r>
      <w:r w:rsidR="00E15135" w:rsidRPr="00E15135">
        <w:rPr>
          <w:rFonts w:ascii="Arial" w:hAnsi="Arial"/>
          <w:sz w:val="24"/>
        </w:rPr>
        <w:t xml:space="preserve"> </w:t>
      </w:r>
      <w:r>
        <w:rPr>
          <w:rFonts w:ascii="Arial" w:hAnsi="Arial"/>
          <w:sz w:val="24"/>
        </w:rPr>
        <w:t>tanto l</w:t>
      </w:r>
      <w:r w:rsidR="00E15135" w:rsidRPr="00E15135">
        <w:rPr>
          <w:rFonts w:ascii="Arial" w:hAnsi="Arial"/>
          <w:sz w:val="24"/>
        </w:rPr>
        <w:t xml:space="preserve">a jurisprudencia </w:t>
      </w:r>
      <w:r>
        <w:rPr>
          <w:rFonts w:ascii="Arial" w:hAnsi="Arial"/>
          <w:sz w:val="24"/>
        </w:rPr>
        <w:t xml:space="preserve">como la </w:t>
      </w:r>
      <w:r w:rsidR="00E15135" w:rsidRPr="00E15135">
        <w:rPr>
          <w:rFonts w:ascii="Arial" w:hAnsi="Arial"/>
          <w:sz w:val="24"/>
        </w:rPr>
        <w:t>doctrina que se han encargado de estudiar el tema con arreglo al CPC</w:t>
      </w:r>
      <w:r w:rsidR="00E15135" w:rsidRPr="00E15135">
        <w:rPr>
          <w:rFonts w:ascii="Arial" w:hAnsi="Arial" w:cs="Arial"/>
          <w:sz w:val="24"/>
          <w:szCs w:val="22"/>
        </w:rPr>
        <w:t xml:space="preserve">, </w:t>
      </w:r>
      <w:r w:rsidR="00FA7F1C">
        <w:rPr>
          <w:rFonts w:ascii="Arial" w:hAnsi="Arial" w:cs="Arial"/>
          <w:sz w:val="24"/>
          <w:szCs w:val="22"/>
        </w:rPr>
        <w:t xml:space="preserve">son </w:t>
      </w:r>
      <w:r w:rsidR="00E15135" w:rsidRPr="00E15135">
        <w:rPr>
          <w:rFonts w:ascii="Arial" w:hAnsi="Arial" w:cs="Arial"/>
          <w:sz w:val="24"/>
          <w:szCs w:val="22"/>
        </w:rPr>
        <w:t>aplicable</w:t>
      </w:r>
      <w:r w:rsidR="00FA7F1C">
        <w:rPr>
          <w:rFonts w:ascii="Arial" w:hAnsi="Arial" w:cs="Arial"/>
          <w:sz w:val="24"/>
          <w:szCs w:val="22"/>
        </w:rPr>
        <w:t>s</w:t>
      </w:r>
      <w:r w:rsidR="00E15135" w:rsidRPr="00E15135">
        <w:rPr>
          <w:rFonts w:ascii="Arial" w:hAnsi="Arial" w:cs="Arial"/>
          <w:sz w:val="24"/>
          <w:szCs w:val="22"/>
        </w:rPr>
        <w:t xml:space="preserve"> para el nuevo estatuto</w:t>
      </w:r>
      <w:r w:rsidR="00E478D3">
        <w:rPr>
          <w:rFonts w:ascii="Arial" w:hAnsi="Arial" w:cs="Arial"/>
          <w:sz w:val="24"/>
          <w:szCs w:val="22"/>
        </w:rPr>
        <w:t xml:space="preserve"> (CGP)</w:t>
      </w:r>
      <w:r w:rsidR="00E15135" w:rsidRPr="00E15135">
        <w:rPr>
          <w:rFonts w:ascii="Arial" w:hAnsi="Arial" w:cs="Arial"/>
          <w:sz w:val="24"/>
          <w:szCs w:val="22"/>
        </w:rPr>
        <w:t>.</w:t>
      </w:r>
    </w:p>
    <w:p w:rsidR="00E15135" w:rsidRPr="00AC3AFA" w:rsidRDefault="00E15135" w:rsidP="00395DD3">
      <w:pPr>
        <w:spacing w:line="360" w:lineRule="auto"/>
        <w:jc w:val="both"/>
        <w:rPr>
          <w:rFonts w:ascii="Arial" w:hAnsi="Arial" w:cs="Arial"/>
          <w:sz w:val="24"/>
        </w:rPr>
      </w:pPr>
    </w:p>
    <w:p w:rsidR="00E478D3" w:rsidRDefault="000378CE" w:rsidP="00B27CC5">
      <w:pPr>
        <w:pStyle w:val="Sansinterligne"/>
        <w:spacing w:line="360" w:lineRule="auto"/>
        <w:jc w:val="both"/>
        <w:rPr>
          <w:rFonts w:ascii="Arial" w:hAnsi="Arial" w:cs="Arial"/>
        </w:rPr>
      </w:pPr>
      <w:r>
        <w:rPr>
          <w:rFonts w:ascii="Arial" w:hAnsi="Arial" w:cs="Arial"/>
        </w:rPr>
        <w:t xml:space="preserve">En ese contexto y como siempre es indispensable la revisión de esos presupuestos que permiten desatar el recurso, según lo rotula la doctrina </w:t>
      </w:r>
      <w:r>
        <w:rPr>
          <w:rFonts w:ascii="Arial" w:hAnsi="Arial" w:cs="Arial"/>
          <w:szCs w:val="24"/>
        </w:rPr>
        <w:t>procesal nacional</w:t>
      </w:r>
      <w:r>
        <w:rPr>
          <w:rFonts w:ascii="Arial" w:hAnsi="Arial" w:cs="Arial"/>
          <w:szCs w:val="24"/>
          <w:vertAlign w:val="superscript"/>
        </w:rPr>
        <w:footnoteReference w:id="1"/>
      </w:r>
      <w:r>
        <w:rPr>
          <w:rFonts w:ascii="Arial" w:hAnsi="Arial" w:cs="Arial"/>
          <w:szCs w:val="24"/>
          <w:vertAlign w:val="superscript"/>
        </w:rPr>
        <w:t>-</w:t>
      </w:r>
      <w:r>
        <w:rPr>
          <w:rFonts w:ascii="Arial" w:hAnsi="Arial" w:cs="Arial"/>
          <w:szCs w:val="24"/>
          <w:vertAlign w:val="superscript"/>
        </w:rPr>
        <w:footnoteReference w:id="2"/>
      </w:r>
      <w:r>
        <w:rPr>
          <w:rFonts w:ascii="Arial" w:hAnsi="Arial" w:cs="Arial"/>
        </w:rPr>
        <w:t xml:space="preserve">, a efectos de examinar el tema discutido por vía de apelación, puesto que se dice que son ellos una serie de exigencias normativas formales que permiten su trámite y aseguran su decisión.  </w:t>
      </w:r>
    </w:p>
    <w:p w:rsidR="00E478D3" w:rsidRDefault="00E478D3" w:rsidP="00B27CC5">
      <w:pPr>
        <w:pStyle w:val="Sansinterligne"/>
        <w:spacing w:line="360" w:lineRule="auto"/>
        <w:jc w:val="both"/>
        <w:rPr>
          <w:rFonts w:ascii="Arial" w:hAnsi="Arial" w:cs="Arial"/>
        </w:rPr>
      </w:pPr>
    </w:p>
    <w:p w:rsidR="002B6258" w:rsidRDefault="00E478D3" w:rsidP="00B27CC5">
      <w:pPr>
        <w:pStyle w:val="Sansinterligne"/>
        <w:spacing w:line="360" w:lineRule="auto"/>
        <w:jc w:val="both"/>
        <w:rPr>
          <w:rFonts w:ascii="Arial" w:hAnsi="Arial" w:cs="Arial"/>
        </w:rPr>
      </w:pPr>
      <w:r>
        <w:rPr>
          <w:rFonts w:ascii="Arial" w:hAnsi="Arial" w:cs="Arial"/>
        </w:rPr>
        <w:t>Así lo</w:t>
      </w:r>
      <w:r w:rsidR="000378CE">
        <w:rPr>
          <w:rFonts w:ascii="Arial" w:hAnsi="Arial" w:cs="Arial"/>
        </w:rPr>
        <w:t xml:space="preserve"> anota el profesor López Blanco: </w:t>
      </w:r>
      <w:r w:rsidR="000378CE" w:rsidRPr="00F601E9">
        <w:rPr>
          <w:rFonts w:ascii="Arial" w:hAnsi="Arial" w:cs="Arial"/>
          <w:sz w:val="22"/>
        </w:rPr>
        <w:t>“</w:t>
      </w:r>
      <w:r w:rsidR="000378CE" w:rsidRPr="00F601E9">
        <w:rPr>
          <w:rFonts w:ascii="Arial" w:hAnsi="Arial" w:cs="Arial"/>
          <w:i/>
          <w:sz w:val="22"/>
        </w:rPr>
        <w:t>En todo caso sin estar reunidos los requisitos de viabilidad del recurso jamás se podrá tener éxito en el mismo por constituir un precedente necesario para decidirlo.</w:t>
      </w:r>
      <w:r w:rsidR="000378CE" w:rsidRPr="00F601E9">
        <w:rPr>
          <w:rFonts w:ascii="Arial" w:hAnsi="Arial" w:cs="Arial"/>
          <w:sz w:val="22"/>
        </w:rPr>
        <w:t>”</w:t>
      </w:r>
      <w:r w:rsidR="000378CE" w:rsidRPr="00F601E9">
        <w:rPr>
          <w:rFonts w:ascii="Arial" w:hAnsi="Arial" w:cs="Arial"/>
          <w:sz w:val="22"/>
          <w:vertAlign w:val="superscript"/>
        </w:rPr>
        <w:footnoteReference w:id="3"/>
      </w:r>
      <w:r w:rsidR="000378CE">
        <w:rPr>
          <w:rFonts w:ascii="Arial" w:hAnsi="Arial" w:cs="Arial"/>
        </w:rPr>
        <w:t xml:space="preserve">.  </w:t>
      </w:r>
      <w:r w:rsidR="0044659A">
        <w:rPr>
          <w:rFonts w:ascii="Arial" w:hAnsi="Arial" w:cs="Arial"/>
        </w:rPr>
        <w:t>Y lo e</w:t>
      </w:r>
      <w:r w:rsidR="000F4FD9" w:rsidRPr="00B27CC5">
        <w:rPr>
          <w:rFonts w:ascii="Arial" w:hAnsi="Arial" w:cs="Arial"/>
        </w:rPr>
        <w:t>xplica el profesor Rojas Gómez</w:t>
      </w:r>
      <w:r w:rsidR="000F4FD9" w:rsidRPr="00B27CC5">
        <w:rPr>
          <w:rStyle w:val="Appelnotedebasdep"/>
          <w:rFonts w:ascii="Arial" w:hAnsi="Arial" w:cs="Arial"/>
        </w:rPr>
        <w:footnoteReference w:id="4"/>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ansinterligne"/>
        <w:spacing w:line="360" w:lineRule="auto"/>
        <w:jc w:val="both"/>
        <w:rPr>
          <w:rFonts w:ascii="Arial" w:hAnsi="Arial" w:cs="Arial"/>
        </w:rPr>
      </w:pPr>
    </w:p>
    <w:p w:rsidR="00686829" w:rsidRDefault="000F4FD9" w:rsidP="00395DD3">
      <w:pPr>
        <w:pStyle w:val="Sansinterligne"/>
        <w:spacing w:line="360" w:lineRule="auto"/>
        <w:jc w:val="both"/>
        <w:rPr>
          <w:rFonts w:ascii="Bookman Old Style" w:hAnsi="Bookman Old Style"/>
          <w:i/>
          <w:color w:val="2D2D2D"/>
          <w:szCs w:val="24"/>
          <w:shd w:val="clear" w:color="auto" w:fill="FFFFFF"/>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CSJ </w:t>
      </w:r>
      <w:r w:rsidR="00686829">
        <w:rPr>
          <w:rFonts w:ascii="Arial" w:hAnsi="Arial" w:cs="Arial"/>
        </w:rPr>
        <w:t xml:space="preserve">así lo ha </w:t>
      </w:r>
      <w:r w:rsidR="00802BC8">
        <w:rPr>
          <w:rFonts w:ascii="Arial" w:hAnsi="Arial" w:cs="Arial"/>
        </w:rPr>
        <w:t>e</w:t>
      </w:r>
      <w:r w:rsidR="0023712B">
        <w:rPr>
          <w:rFonts w:ascii="Arial" w:hAnsi="Arial" w:cs="Arial"/>
        </w:rPr>
        <w:t>nseña</w:t>
      </w:r>
      <w:r w:rsidR="00686829">
        <w:rPr>
          <w:rFonts w:ascii="Arial" w:hAnsi="Arial" w:cs="Arial"/>
        </w:rPr>
        <w:t>do</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r w:rsidR="00686829">
        <w:rPr>
          <w:rStyle w:val="Appelnotedebasdep"/>
          <w:rFonts w:ascii="Arial" w:hAnsi="Arial"/>
        </w:rPr>
        <w:footnoteReference w:id="5"/>
      </w:r>
      <w:r w:rsidR="00686829">
        <w:rPr>
          <w:rFonts w:ascii="Arial" w:hAnsi="Arial" w:cs="Arial"/>
        </w:rPr>
        <w:t>. Y</w:t>
      </w:r>
      <w:r w:rsidR="00182D8B">
        <w:rPr>
          <w:rFonts w:ascii="Arial" w:hAnsi="Arial" w:cs="Arial"/>
        </w:rPr>
        <w:t xml:space="preserve"> </w:t>
      </w:r>
      <w:r w:rsidR="00686829">
        <w:rPr>
          <w:rFonts w:ascii="Arial" w:hAnsi="Arial" w:cs="Arial"/>
        </w:rPr>
        <w:t>en reciente decisión (2016)</w:t>
      </w:r>
      <w:r w:rsidR="00686829">
        <w:rPr>
          <w:rStyle w:val="Appelnotedebasdep"/>
          <w:rFonts w:ascii="Arial" w:hAnsi="Arial"/>
        </w:rPr>
        <w:footnoteReference w:id="6"/>
      </w:r>
      <w:r w:rsidR="00686829">
        <w:rPr>
          <w:rFonts w:ascii="Arial" w:hAnsi="Arial" w:cs="Arial"/>
        </w:rPr>
        <w:t xml:space="preserve"> recordó: </w:t>
      </w:r>
      <w:r w:rsidR="00686829" w:rsidRPr="00686829">
        <w:rPr>
          <w:rFonts w:ascii="Arial" w:hAnsi="Arial" w:cs="Arial"/>
          <w:sz w:val="22"/>
          <w:szCs w:val="22"/>
        </w:rPr>
        <w:t xml:space="preserve">“(…) </w:t>
      </w:r>
      <w:r w:rsidR="00686829"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sidR="00686829">
        <w:rPr>
          <w:rFonts w:ascii="Arial" w:hAnsi="Arial" w:cs="Arial"/>
          <w:i/>
          <w:color w:val="2D2D2D"/>
          <w:sz w:val="22"/>
          <w:szCs w:val="22"/>
          <w:shd w:val="clear" w:color="auto" w:fill="FFFFFF"/>
        </w:rPr>
        <w:t>.</w:t>
      </w:r>
    </w:p>
    <w:p w:rsidR="00686829" w:rsidRDefault="00686829" w:rsidP="00395DD3">
      <w:pPr>
        <w:pStyle w:val="Sansinterligne"/>
        <w:spacing w:line="360" w:lineRule="auto"/>
        <w:jc w:val="both"/>
        <w:rPr>
          <w:rFonts w:ascii="Arial" w:hAnsi="Arial" w:cs="Arial"/>
        </w:rPr>
      </w:pPr>
    </w:p>
    <w:p w:rsidR="00965470" w:rsidRDefault="00925B32" w:rsidP="00965470">
      <w:pPr>
        <w:pStyle w:val="Sansinterligne"/>
        <w:spacing w:line="360" w:lineRule="auto"/>
        <w:jc w:val="both"/>
        <w:rPr>
          <w:rFonts w:ascii="Arial" w:hAnsi="Arial" w:cs="Arial"/>
        </w:rPr>
      </w:pPr>
      <w:r>
        <w:rPr>
          <w:rFonts w:ascii="Arial" w:hAnsi="Arial" w:cs="Arial"/>
        </w:rPr>
        <w:t xml:space="preserve">Para el </w:t>
      </w:r>
      <w:r w:rsidR="00F601E9">
        <w:rPr>
          <w:rFonts w:ascii="Arial" w:hAnsi="Arial" w:cs="Arial"/>
        </w:rPr>
        <w:t xml:space="preserve">asunto </w:t>
      </w:r>
      <w:r w:rsidR="000F4FD9" w:rsidRPr="002E1265">
        <w:rPr>
          <w:rFonts w:ascii="Arial" w:hAnsi="Arial" w:cs="Arial"/>
        </w:rPr>
        <w:t>son legitimación, oportunidad, procedencia y sustentación.</w:t>
      </w:r>
      <w:r w:rsidR="00767974">
        <w:rPr>
          <w:rFonts w:ascii="Arial" w:hAnsi="Arial" w:cs="Arial"/>
        </w:rPr>
        <w:t xml:space="preserve">  En particular se echa de menos en este caso la procedencia, entendida como </w:t>
      </w:r>
      <w:r w:rsidR="00491DD9">
        <w:rPr>
          <w:rFonts w:ascii="Arial" w:hAnsi="Arial" w:cs="Arial"/>
        </w:rPr>
        <w:t>la expresa autorización normativa para atacar la decisión por vía de alzada</w:t>
      </w:r>
      <w:r w:rsidR="00BB695D">
        <w:rPr>
          <w:rFonts w:ascii="Arial" w:hAnsi="Arial" w:cs="Arial"/>
        </w:rPr>
        <w:t>.</w:t>
      </w:r>
      <w:r w:rsidR="00965470" w:rsidRPr="00965470">
        <w:rPr>
          <w:rFonts w:ascii="Arial" w:hAnsi="Arial" w:cs="Arial"/>
        </w:rPr>
        <w:t xml:space="preserve"> </w:t>
      </w:r>
    </w:p>
    <w:p w:rsidR="00965470" w:rsidRDefault="00965470" w:rsidP="00965470">
      <w:pPr>
        <w:pStyle w:val="Sansinterligne"/>
        <w:spacing w:line="360" w:lineRule="auto"/>
        <w:jc w:val="both"/>
        <w:rPr>
          <w:rFonts w:ascii="Arial" w:hAnsi="Arial" w:cs="Arial"/>
        </w:rPr>
      </w:pPr>
    </w:p>
    <w:p w:rsidR="00504903" w:rsidRPr="003D741C" w:rsidRDefault="00504903" w:rsidP="00504903">
      <w:pPr>
        <w:spacing w:line="360" w:lineRule="auto"/>
        <w:jc w:val="both"/>
        <w:rPr>
          <w:rFonts w:ascii="Arial" w:hAnsi="Arial" w:cs="Arial"/>
          <w:sz w:val="24"/>
        </w:rPr>
      </w:pPr>
      <w:r w:rsidRPr="005846FC">
        <w:rPr>
          <w:rFonts w:ascii="Arial" w:hAnsi="Arial" w:cs="Arial"/>
          <w:sz w:val="24"/>
        </w:rPr>
        <w:t xml:space="preserve">2.2. </w:t>
      </w:r>
      <w:r w:rsidRPr="00182D8B">
        <w:rPr>
          <w:rFonts w:ascii="Arial" w:hAnsi="Arial" w:cs="Arial"/>
          <w:smallCaps/>
          <w:sz w:val="22"/>
        </w:rPr>
        <w:t>El caso concreto que se analiza</w:t>
      </w:r>
    </w:p>
    <w:p w:rsidR="00504903" w:rsidRPr="005D1B31" w:rsidRDefault="00504903" w:rsidP="00965470">
      <w:pPr>
        <w:pStyle w:val="Sansinterligne"/>
        <w:spacing w:line="360" w:lineRule="auto"/>
        <w:jc w:val="both"/>
        <w:rPr>
          <w:rFonts w:ascii="Arial" w:hAnsi="Arial" w:cs="Arial"/>
        </w:rPr>
      </w:pPr>
    </w:p>
    <w:p w:rsidR="00073C11" w:rsidRPr="002240F3" w:rsidRDefault="00073C11" w:rsidP="00073C11">
      <w:pPr>
        <w:pStyle w:val="Sansinterligne"/>
        <w:spacing w:line="360" w:lineRule="auto"/>
        <w:jc w:val="both"/>
        <w:rPr>
          <w:rFonts w:ascii="Arial" w:hAnsi="Arial" w:cs="Arial"/>
        </w:rPr>
      </w:pPr>
      <w:r w:rsidRPr="002240F3">
        <w:rPr>
          <w:rFonts w:ascii="Arial" w:hAnsi="Arial" w:cs="Arial"/>
        </w:rPr>
        <w:t xml:space="preserve">El principio de la doble instancia, previsto por el artículo 31 de nuestra Carta Política, no es absoluto sino relativo, aplica para las sentencias con las excepciones que disponga el legislador. La doctrina constitucional sobre este principio ha sido constante y sólida desde </w:t>
      </w:r>
      <w:r w:rsidRPr="002240F3">
        <w:rPr>
          <w:rFonts w:ascii="Arial" w:hAnsi="Arial" w:cs="Arial"/>
        </w:rPr>
        <w:lastRenderedPageBreak/>
        <w:t>1995</w:t>
      </w:r>
      <w:r w:rsidRPr="002240F3">
        <w:rPr>
          <w:rStyle w:val="Appelnotedebasdep"/>
          <w:rFonts w:ascii="Arial" w:hAnsi="Arial"/>
        </w:rPr>
        <w:footnoteReference w:id="7"/>
      </w:r>
      <w:r w:rsidRPr="002240F3">
        <w:rPr>
          <w:rFonts w:ascii="Arial" w:hAnsi="Arial" w:cs="Arial"/>
        </w:rPr>
        <w:t xml:space="preserve"> hasta nuestros días </w:t>
      </w:r>
      <w:r w:rsidR="005F7966" w:rsidRPr="002240F3">
        <w:rPr>
          <w:rFonts w:ascii="Arial" w:hAnsi="Arial" w:cs="Arial"/>
        </w:rPr>
        <w:t>(201</w:t>
      </w:r>
      <w:r w:rsidR="005F7966">
        <w:rPr>
          <w:rFonts w:ascii="Arial" w:hAnsi="Arial" w:cs="Arial"/>
        </w:rPr>
        <w:t>6</w:t>
      </w:r>
      <w:r w:rsidR="005F7966" w:rsidRPr="002240F3">
        <w:rPr>
          <w:rFonts w:ascii="Arial" w:hAnsi="Arial" w:cs="Arial"/>
        </w:rPr>
        <w:t>)</w:t>
      </w:r>
      <w:r w:rsidR="005F7966" w:rsidRPr="002240F3">
        <w:rPr>
          <w:rStyle w:val="Appelnotedebasdep"/>
          <w:rFonts w:ascii="Arial" w:hAnsi="Arial"/>
        </w:rPr>
        <w:footnoteReference w:id="8"/>
      </w:r>
      <w:r w:rsidR="005F7966" w:rsidRPr="002240F3">
        <w:rPr>
          <w:rFonts w:ascii="Arial" w:hAnsi="Arial" w:cs="Arial"/>
        </w:rPr>
        <w:t xml:space="preserve">; en esta reciente decisión, también se declaró exequible </w:t>
      </w:r>
      <w:r w:rsidR="005F7966" w:rsidRPr="008E29B6">
        <w:rPr>
          <w:rFonts w:ascii="Arial" w:hAnsi="Arial" w:cs="Arial"/>
        </w:rPr>
        <w:t xml:space="preserve">la expresión </w:t>
      </w:r>
      <w:r w:rsidR="005F7966" w:rsidRPr="008E29B6">
        <w:rPr>
          <w:rFonts w:ascii="Arial" w:hAnsi="Arial" w:cs="Arial"/>
          <w:i/>
          <w:sz w:val="22"/>
        </w:rPr>
        <w:t>"(…) si el apelante no asiste a la audiencia, se declarará desierto el recurso (…)"</w:t>
      </w:r>
      <w:r w:rsidR="005F7966" w:rsidRPr="008E29B6">
        <w:rPr>
          <w:rFonts w:ascii="Arial" w:hAnsi="Arial" w:cs="Arial"/>
        </w:rPr>
        <w:t xml:space="preserve"> d</w:t>
      </w:r>
      <w:r w:rsidR="005F7966" w:rsidRPr="002240F3">
        <w:rPr>
          <w:rFonts w:ascii="Arial" w:hAnsi="Arial" w:cs="Arial"/>
        </w:rPr>
        <w:t xml:space="preserve">el artículo </w:t>
      </w:r>
      <w:r w:rsidR="005F7966">
        <w:rPr>
          <w:rFonts w:ascii="Arial" w:hAnsi="Arial" w:cs="Arial"/>
        </w:rPr>
        <w:t>192 de la Ley 1437</w:t>
      </w:r>
      <w:r w:rsidRPr="002240F3">
        <w:rPr>
          <w:rFonts w:ascii="Arial" w:hAnsi="Arial" w:cs="Arial"/>
        </w:rPr>
        <w:t>.</w:t>
      </w:r>
    </w:p>
    <w:p w:rsidR="00073C11" w:rsidRDefault="00073C11" w:rsidP="00073C11">
      <w:pPr>
        <w:pStyle w:val="Sansinterligne"/>
        <w:spacing w:line="360" w:lineRule="auto"/>
        <w:jc w:val="both"/>
        <w:rPr>
          <w:rFonts w:ascii="Arial" w:hAnsi="Arial" w:cs="Arial"/>
        </w:rPr>
      </w:pPr>
    </w:p>
    <w:p w:rsidR="005D1B31" w:rsidRDefault="005F7966" w:rsidP="00965470">
      <w:pPr>
        <w:pStyle w:val="Sansinterligne"/>
        <w:spacing w:line="360" w:lineRule="auto"/>
        <w:jc w:val="both"/>
        <w:rPr>
          <w:rFonts w:ascii="Arial" w:hAnsi="Arial" w:cs="Arial"/>
          <w:szCs w:val="24"/>
          <w:lang w:val="es-MX"/>
        </w:rPr>
      </w:pPr>
      <w:r w:rsidRPr="00545527">
        <w:rPr>
          <w:rFonts w:ascii="Arial" w:hAnsi="Arial" w:cs="Arial"/>
        </w:rPr>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w:t>
      </w:r>
      <w:r w:rsidR="00627040">
        <w:rPr>
          <w:rFonts w:ascii="Arial" w:hAnsi="Arial" w:cs="Arial"/>
        </w:rPr>
        <w:t xml:space="preserve">En el </w:t>
      </w:r>
      <w:r w:rsidR="00627040" w:rsidRPr="00545527">
        <w:rPr>
          <w:rFonts w:ascii="Arial" w:hAnsi="Arial" w:cs="Arial"/>
        </w:rPr>
        <w:t>C</w:t>
      </w:r>
      <w:r w:rsidR="00627040">
        <w:rPr>
          <w:rFonts w:ascii="Arial" w:hAnsi="Arial" w:cs="Arial"/>
        </w:rPr>
        <w:t>GP (Tal como lo hacía el CPC),</w:t>
      </w:r>
      <w:r w:rsidR="00627040" w:rsidRPr="00545527">
        <w:rPr>
          <w:rFonts w:ascii="Arial" w:hAnsi="Arial" w:cs="Arial"/>
        </w:rPr>
        <w:t xml:space="preserve"> opera la mencionada regla de especificidad</w:t>
      </w:r>
      <w:r w:rsidRPr="00545527">
        <w:rPr>
          <w:rFonts w:ascii="Arial" w:hAnsi="Arial" w:cs="Arial"/>
        </w:rPr>
        <w:t>, tal como lo reconocen los autores nacionales</w:t>
      </w:r>
      <w:r w:rsidRPr="00545527">
        <w:rPr>
          <w:rStyle w:val="Appelnotedebasdep"/>
          <w:rFonts w:ascii="Arial" w:hAnsi="Arial" w:cs="Arial"/>
          <w:szCs w:val="24"/>
        </w:rPr>
        <w:footnoteReference w:id="9"/>
      </w:r>
      <w:r w:rsidRPr="00545527">
        <w:rPr>
          <w:rFonts w:ascii="Arial" w:hAnsi="Arial" w:cs="Arial"/>
          <w:szCs w:val="24"/>
          <w:vertAlign w:val="superscript"/>
        </w:rPr>
        <w:t>-</w:t>
      </w:r>
      <w:r w:rsidRPr="00545527">
        <w:rPr>
          <w:rStyle w:val="Appelnotedebasdep"/>
          <w:rFonts w:ascii="Arial" w:hAnsi="Arial" w:cs="Arial"/>
          <w:szCs w:val="24"/>
        </w:rPr>
        <w:footnoteReference w:id="10"/>
      </w:r>
      <w:r w:rsidRPr="00545527">
        <w:rPr>
          <w:rFonts w:ascii="Arial" w:hAnsi="Arial" w:cs="Arial"/>
          <w:szCs w:val="24"/>
          <w:vertAlign w:val="superscript"/>
        </w:rPr>
        <w:t>-</w:t>
      </w:r>
      <w:r w:rsidRPr="00545527">
        <w:rPr>
          <w:rStyle w:val="Appelnotedebasdep"/>
          <w:rFonts w:ascii="Arial" w:hAnsi="Arial" w:cs="Arial"/>
          <w:szCs w:val="24"/>
        </w:rPr>
        <w:footnoteReference w:id="11"/>
      </w:r>
      <w:r w:rsidRPr="00545527">
        <w:rPr>
          <w:rFonts w:ascii="Arial" w:hAnsi="Arial" w:cs="Arial"/>
          <w:szCs w:val="24"/>
        </w:rPr>
        <w:t xml:space="preserve"> y la misma CSJ, Sala de Casación Civil</w:t>
      </w:r>
      <w:r w:rsidRPr="00545527">
        <w:rPr>
          <w:rFonts w:ascii="Arial" w:hAnsi="Arial"/>
          <w:vertAlign w:val="superscript"/>
        </w:rPr>
        <w:footnoteReference w:id="12"/>
      </w:r>
      <w:r w:rsidRPr="00545527">
        <w:rPr>
          <w:rFonts w:ascii="Arial" w:hAnsi="Arial" w:cs="Arial"/>
          <w:szCs w:val="24"/>
        </w:rPr>
        <w:t>.</w:t>
      </w:r>
      <w:r>
        <w:rPr>
          <w:rFonts w:ascii="Arial" w:hAnsi="Arial" w:cs="Arial"/>
          <w:szCs w:val="24"/>
        </w:rPr>
        <w:t xml:space="preserve"> Así está consagrado en el artículo 3</w:t>
      </w:r>
      <w:r w:rsidR="00D956E3">
        <w:rPr>
          <w:rFonts w:ascii="Arial" w:hAnsi="Arial" w:cs="Arial"/>
          <w:szCs w:val="24"/>
        </w:rPr>
        <w:t>2</w:t>
      </w:r>
      <w:r>
        <w:rPr>
          <w:rFonts w:ascii="Arial" w:hAnsi="Arial" w:cs="Arial"/>
          <w:szCs w:val="24"/>
        </w:rPr>
        <w:t>1 del C</w:t>
      </w:r>
      <w:r w:rsidR="00D956E3">
        <w:rPr>
          <w:rFonts w:ascii="Arial" w:hAnsi="Arial" w:cs="Arial"/>
          <w:szCs w:val="24"/>
        </w:rPr>
        <w:t>GP</w:t>
      </w:r>
      <w:r w:rsidRPr="00C0469A">
        <w:rPr>
          <w:rFonts w:ascii="Arial" w:hAnsi="Arial" w:cs="Arial"/>
          <w:szCs w:val="24"/>
          <w:lang w:val="es-MX"/>
        </w:rPr>
        <w:t>.</w:t>
      </w:r>
    </w:p>
    <w:p w:rsidR="005F7966" w:rsidRPr="00D574B8" w:rsidRDefault="005F7966" w:rsidP="00965470">
      <w:pPr>
        <w:pStyle w:val="Sansinterligne"/>
        <w:spacing w:line="360" w:lineRule="auto"/>
        <w:jc w:val="both"/>
        <w:rPr>
          <w:rFonts w:ascii="Arial" w:hAnsi="Arial" w:cs="Arial"/>
        </w:rPr>
      </w:pPr>
    </w:p>
    <w:p w:rsidR="004132E1" w:rsidRPr="007B01B4" w:rsidRDefault="003C771A" w:rsidP="00D5329C">
      <w:pPr>
        <w:pStyle w:val="Sansinterligne"/>
        <w:spacing w:line="360" w:lineRule="auto"/>
        <w:jc w:val="both"/>
        <w:rPr>
          <w:rFonts w:ascii="Arial" w:hAnsi="Arial" w:cs="Arial"/>
          <w:szCs w:val="24"/>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dispuesto por el artículo 3</w:t>
      </w:r>
      <w:r w:rsidR="005C434A">
        <w:rPr>
          <w:rFonts w:ascii="Arial" w:hAnsi="Arial" w:cs="Arial"/>
          <w:szCs w:val="24"/>
        </w:rPr>
        <w:t>25</w:t>
      </w:r>
      <w:r w:rsidR="00BE4E53" w:rsidRPr="001F088A">
        <w:rPr>
          <w:rFonts w:ascii="Arial" w:hAnsi="Arial" w:cs="Arial"/>
          <w:szCs w:val="24"/>
        </w:rPr>
        <w:t xml:space="preserve"> del C</w:t>
      </w:r>
      <w:r w:rsidR="005C434A">
        <w:rPr>
          <w:rFonts w:ascii="Arial" w:hAnsi="Arial" w:cs="Arial"/>
          <w:szCs w:val="24"/>
        </w:rPr>
        <w:t>GP</w:t>
      </w:r>
      <w:r w:rsidR="00BE4E53" w:rsidRPr="001F088A">
        <w:rPr>
          <w:rFonts w:ascii="Arial" w:hAnsi="Arial" w:cs="Arial"/>
          <w:szCs w:val="24"/>
        </w:rPr>
        <w:t xml:space="preserve">, </w:t>
      </w:r>
      <w:r w:rsidR="007B01B4">
        <w:rPr>
          <w:rFonts w:ascii="Arial" w:hAnsi="Arial" w:cs="Arial"/>
          <w:szCs w:val="24"/>
        </w:rPr>
        <w:t>en este caso</w:t>
      </w:r>
      <w:r w:rsidR="00FB0BE0">
        <w:rPr>
          <w:rFonts w:ascii="Arial" w:hAnsi="Arial" w:cs="Arial"/>
          <w:szCs w:val="24"/>
        </w:rPr>
        <w:t>,</w:t>
      </w:r>
      <w:r>
        <w:rPr>
          <w:rFonts w:ascii="Arial" w:hAnsi="Arial" w:cs="Arial"/>
          <w:szCs w:val="24"/>
        </w:rPr>
        <w:t xml:space="preserve"> se </w:t>
      </w:r>
      <w:r w:rsidR="00FB0BE0">
        <w:rPr>
          <w:rFonts w:ascii="Arial" w:hAnsi="Arial" w:cs="Arial"/>
          <w:szCs w:val="24"/>
        </w:rPr>
        <w:t xml:space="preserve">encuentra </w:t>
      </w:r>
      <w:r>
        <w:rPr>
          <w:rFonts w:ascii="Arial" w:hAnsi="Arial" w:cs="Arial"/>
          <w:szCs w:val="24"/>
        </w:rPr>
        <w:t>que</w:t>
      </w:r>
      <w:r w:rsidR="00BF1297">
        <w:rPr>
          <w:rFonts w:ascii="Arial" w:hAnsi="Arial" w:cs="Arial"/>
          <w:szCs w:val="24"/>
        </w:rPr>
        <w:t>,</w:t>
      </w:r>
      <w:r>
        <w:rPr>
          <w:rFonts w:ascii="Arial" w:hAnsi="Arial" w:cs="Arial"/>
          <w:szCs w:val="24"/>
        </w:rPr>
        <w:t xml:space="preserve"> </w:t>
      </w:r>
      <w:r w:rsidR="00D956E3">
        <w:rPr>
          <w:rFonts w:ascii="Arial" w:hAnsi="Arial" w:cs="Arial"/>
          <w:szCs w:val="24"/>
        </w:rPr>
        <w:t>la causal para pedir la restitución de bien, es la mora en el pago (</w:t>
      </w:r>
      <w:r w:rsidR="00FB0BE0">
        <w:rPr>
          <w:rFonts w:ascii="Arial" w:hAnsi="Arial" w:cs="Arial"/>
          <w:szCs w:val="24"/>
        </w:rPr>
        <w:t>Hecho 11 y p</w:t>
      </w:r>
      <w:r w:rsidR="00D956E3">
        <w:rPr>
          <w:rFonts w:ascii="Arial" w:hAnsi="Arial" w:cs="Arial"/>
          <w:szCs w:val="24"/>
        </w:rPr>
        <w:t xml:space="preserve">retensión 1, folio </w:t>
      </w:r>
      <w:r w:rsidR="00FB0BE0">
        <w:rPr>
          <w:rFonts w:ascii="Arial" w:hAnsi="Arial" w:cs="Arial"/>
          <w:szCs w:val="24"/>
        </w:rPr>
        <w:t>9</w:t>
      </w:r>
      <w:r w:rsidR="00D956E3">
        <w:rPr>
          <w:rFonts w:ascii="Arial" w:hAnsi="Arial" w:cs="Arial"/>
          <w:szCs w:val="24"/>
        </w:rPr>
        <w:t>, copias)</w:t>
      </w:r>
      <w:r>
        <w:rPr>
          <w:rFonts w:ascii="Arial" w:hAnsi="Arial" w:cs="Arial"/>
          <w:szCs w:val="24"/>
        </w:rPr>
        <w:t xml:space="preserve">, </w:t>
      </w:r>
      <w:r w:rsidR="00D956E3">
        <w:rPr>
          <w:rFonts w:ascii="Arial" w:hAnsi="Arial" w:cs="Arial"/>
          <w:szCs w:val="24"/>
        </w:rPr>
        <w:t xml:space="preserve">asunto para el cual el nuevo estatuto </w:t>
      </w:r>
      <w:r w:rsidR="007B01B4">
        <w:rPr>
          <w:rFonts w:ascii="Arial" w:hAnsi="Arial" w:cs="Arial"/>
          <w:szCs w:val="24"/>
        </w:rPr>
        <w:t>puntualizó que eran procesos de única instancia (Artículo 384-9º)</w:t>
      </w:r>
      <w:r w:rsidR="007B01B4">
        <w:rPr>
          <w:rFonts w:ascii="Bookman Old Style" w:hAnsi="Bookman Old Style" w:cs="Bookman Old Style"/>
          <w:i/>
          <w:szCs w:val="24"/>
        </w:rPr>
        <w:t xml:space="preserve">, </w:t>
      </w:r>
      <w:r w:rsidR="007B01B4">
        <w:rPr>
          <w:rFonts w:ascii="Arial" w:hAnsi="Arial" w:cs="Arial"/>
          <w:szCs w:val="24"/>
        </w:rPr>
        <w:t>tal como ya estaba consagrado en el artículo 39 de la Ley 820</w:t>
      </w:r>
      <w:r w:rsidR="00551743">
        <w:rPr>
          <w:rFonts w:ascii="Arial" w:hAnsi="Arial" w:cs="Arial"/>
          <w:szCs w:val="24"/>
        </w:rPr>
        <w:t xml:space="preserve"> y las precisiones que a esa normativa hizo la CC</w:t>
      </w:r>
      <w:r w:rsidR="00551743">
        <w:rPr>
          <w:rStyle w:val="Appelnotedebasdep"/>
          <w:rFonts w:ascii="Arial" w:hAnsi="Arial"/>
          <w:szCs w:val="24"/>
        </w:rPr>
        <w:footnoteReference w:id="13"/>
      </w:r>
      <w:r w:rsidR="007B01B4">
        <w:rPr>
          <w:rFonts w:ascii="Arial" w:hAnsi="Arial" w:cs="Arial"/>
          <w:szCs w:val="24"/>
        </w:rPr>
        <w:t>.</w:t>
      </w:r>
    </w:p>
    <w:p w:rsidR="00D956E3" w:rsidRDefault="00D956E3" w:rsidP="00D5329C">
      <w:pPr>
        <w:pStyle w:val="Sansinterligne"/>
        <w:spacing w:line="360" w:lineRule="auto"/>
        <w:jc w:val="both"/>
        <w:rPr>
          <w:rFonts w:ascii="Arial" w:hAnsi="Arial" w:cs="Arial"/>
          <w:szCs w:val="24"/>
        </w:rPr>
      </w:pPr>
    </w:p>
    <w:p w:rsidR="00597A3A" w:rsidRDefault="00597A3A" w:rsidP="00965470">
      <w:pPr>
        <w:pStyle w:val="Sansinterligne"/>
        <w:spacing w:line="360" w:lineRule="auto"/>
        <w:jc w:val="both"/>
        <w:rPr>
          <w:rFonts w:ascii="Arial" w:hAnsi="Arial" w:cs="Arial"/>
        </w:rPr>
      </w:pPr>
      <w:r>
        <w:rPr>
          <w:rFonts w:ascii="Arial" w:hAnsi="Arial" w:cs="Arial"/>
        </w:rPr>
        <w:t xml:space="preserve">Y es que </w:t>
      </w:r>
      <w:r w:rsidRPr="00597A3A">
        <w:rPr>
          <w:rFonts w:ascii="Arial" w:hAnsi="Arial" w:cs="Arial"/>
          <w:i/>
          <w:sz w:val="22"/>
        </w:rPr>
        <w:t xml:space="preserve">“(…) el número de instancias del proceso de restitución depende, no solo de la cuantía, sino también de los hechos que del demandante aduce como causa de la pretensión. </w:t>
      </w:r>
      <w:r w:rsidRPr="00597A3A">
        <w:rPr>
          <w:rFonts w:ascii="Arial" w:hAnsi="Arial" w:cs="Arial"/>
          <w:i/>
          <w:sz w:val="22"/>
          <w:u w:val="single"/>
        </w:rPr>
        <w:t>Por lo tanto, si el proceso es de menor o mayor cuantía debe tener dos instancias, salvo que sea la mora del arrendatario el único motivo de terminación del arrendamiento, caso en el cual es de única instancia (…)</w:t>
      </w:r>
      <w:r>
        <w:rPr>
          <w:rFonts w:ascii="Arial" w:hAnsi="Arial" w:cs="Arial"/>
        </w:rPr>
        <w:t xml:space="preserve">” (Subrayas fuera de texto), así </w:t>
      </w:r>
      <w:r w:rsidR="00530709">
        <w:rPr>
          <w:rFonts w:ascii="Arial" w:hAnsi="Arial" w:cs="Arial"/>
        </w:rPr>
        <w:t xml:space="preserve">lo </w:t>
      </w:r>
      <w:r w:rsidR="00530709" w:rsidRPr="00B27CC5">
        <w:rPr>
          <w:rFonts w:ascii="Arial" w:hAnsi="Arial" w:cs="Arial"/>
        </w:rPr>
        <w:t>anota el profesor</w:t>
      </w:r>
      <w:r>
        <w:rPr>
          <w:rFonts w:ascii="Arial" w:hAnsi="Arial" w:cs="Arial"/>
        </w:rPr>
        <w:t xml:space="preserve"> </w:t>
      </w:r>
      <w:r w:rsidRPr="00B27CC5">
        <w:rPr>
          <w:rFonts w:ascii="Arial" w:hAnsi="Arial" w:cs="Arial"/>
        </w:rPr>
        <w:t>Rojas Gómez</w:t>
      </w:r>
      <w:r w:rsidRPr="00B27CC5">
        <w:rPr>
          <w:rStyle w:val="Appelnotedebasdep"/>
          <w:rFonts w:ascii="Arial" w:hAnsi="Arial" w:cs="Arial"/>
        </w:rPr>
        <w:footnoteReference w:id="14"/>
      </w:r>
      <w:r>
        <w:rPr>
          <w:rFonts w:ascii="Arial" w:hAnsi="Arial" w:cs="Arial"/>
        </w:rPr>
        <w:t>.</w:t>
      </w:r>
      <w:r w:rsidRPr="00B27CC5">
        <w:rPr>
          <w:rFonts w:ascii="Arial" w:hAnsi="Arial" w:cs="Arial"/>
        </w:rPr>
        <w:t xml:space="preserve"> </w:t>
      </w:r>
    </w:p>
    <w:p w:rsidR="00597A3A" w:rsidRDefault="00597A3A" w:rsidP="00965470">
      <w:pPr>
        <w:pStyle w:val="Sansinterligne"/>
        <w:spacing w:line="360" w:lineRule="auto"/>
        <w:jc w:val="both"/>
        <w:rPr>
          <w:rFonts w:ascii="Arial" w:hAnsi="Arial" w:cs="Arial"/>
        </w:rPr>
      </w:pPr>
    </w:p>
    <w:p w:rsidR="00E75B0E" w:rsidRPr="005C434A" w:rsidRDefault="00E75B0E" w:rsidP="00E75B0E">
      <w:pPr>
        <w:pStyle w:val="Sansinterligne"/>
        <w:spacing w:line="360" w:lineRule="auto"/>
        <w:jc w:val="both"/>
        <w:rPr>
          <w:rFonts w:ascii="Arial" w:hAnsi="Arial" w:cs="Arial"/>
          <w:szCs w:val="24"/>
        </w:rPr>
      </w:pPr>
      <w:r>
        <w:rPr>
          <w:rFonts w:ascii="Arial" w:hAnsi="Arial" w:cs="Arial"/>
        </w:rPr>
        <w:t xml:space="preserve">Así las cosas, </w:t>
      </w:r>
      <w:r w:rsidR="00542CE3">
        <w:rPr>
          <w:rFonts w:ascii="Arial" w:hAnsi="Arial" w:cs="Arial"/>
        </w:rPr>
        <w:t xml:space="preserve">como se trata de un asunto de única instancia, es improcedente la alzada y </w:t>
      </w:r>
      <w:r>
        <w:rPr>
          <w:rFonts w:ascii="Arial" w:hAnsi="Arial" w:cs="Arial"/>
        </w:rPr>
        <w:t xml:space="preserve">lo consecuente es declarar la </w:t>
      </w:r>
      <w:r w:rsidR="00FF09E8" w:rsidRPr="00575FFF">
        <w:rPr>
          <w:rFonts w:ascii="Arial" w:hAnsi="Arial" w:cs="Arial"/>
          <w:szCs w:val="24"/>
        </w:rPr>
        <w:t xml:space="preserve">inadmisibilidad </w:t>
      </w:r>
      <w:r>
        <w:rPr>
          <w:rFonts w:ascii="Arial" w:hAnsi="Arial" w:cs="Arial"/>
        </w:rPr>
        <w:t xml:space="preserve">del recurso. </w:t>
      </w:r>
    </w:p>
    <w:p w:rsidR="00FA7F1C" w:rsidRDefault="00FA7F1C" w:rsidP="00965470">
      <w:pPr>
        <w:pStyle w:val="Sansinterligne"/>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Corpsdetexte"/>
        <w:spacing w:line="360" w:lineRule="auto"/>
        <w:ind w:right="51"/>
        <w:rPr>
          <w:rFonts w:ascii="Arial" w:hAnsi="Arial"/>
          <w:sz w:val="20"/>
          <w:szCs w:val="22"/>
          <w:lang w:val="es-CO"/>
        </w:rPr>
      </w:pPr>
    </w:p>
    <w:p w:rsidR="001D1A4A" w:rsidRDefault="001D1A4A" w:rsidP="00575FFF">
      <w:pPr>
        <w:pStyle w:val="Corpsdetexte"/>
        <w:spacing w:line="360" w:lineRule="auto"/>
        <w:rPr>
          <w:rFonts w:ascii="Arial" w:hAnsi="Arial" w:cs="Arial"/>
          <w:szCs w:val="24"/>
        </w:rPr>
      </w:pPr>
      <w:r w:rsidRPr="00575FFF">
        <w:rPr>
          <w:rFonts w:ascii="Arial" w:hAnsi="Arial"/>
          <w:szCs w:val="24"/>
          <w:lang w:val="es-CO"/>
        </w:rPr>
        <w:t xml:space="preserve">En armonía con las premisas expuestas, </w:t>
      </w:r>
      <w:r w:rsidRPr="00575FFF">
        <w:rPr>
          <w:rFonts w:ascii="Arial" w:hAnsi="Arial" w:cs="Arial"/>
          <w:szCs w:val="24"/>
        </w:rPr>
        <w:t xml:space="preserve">se declarará la inadmisibilidad del recurso de apelación contra la providencia </w:t>
      </w:r>
      <w:r w:rsidR="00542CE3" w:rsidRPr="00B40F83">
        <w:rPr>
          <w:rFonts w:ascii="Arial" w:hAnsi="Arial" w:cs="Arial"/>
          <w:szCs w:val="24"/>
        </w:rPr>
        <w:t xml:space="preserve">contra </w:t>
      </w:r>
      <w:r w:rsidR="00542CE3">
        <w:rPr>
          <w:rFonts w:ascii="Arial" w:hAnsi="Arial" w:cs="Arial"/>
          <w:szCs w:val="24"/>
        </w:rPr>
        <w:t>el auto del 31-10-2016</w:t>
      </w:r>
      <w:r w:rsidRPr="00575FFF">
        <w:rPr>
          <w:rFonts w:ascii="Arial" w:hAnsi="Arial" w:cs="Arial"/>
          <w:szCs w:val="24"/>
        </w:rPr>
        <w:t>, atendida su improcedencia, como atrás se dijera.</w:t>
      </w:r>
    </w:p>
    <w:p w:rsidR="00BC2E4F" w:rsidRPr="00575FFF" w:rsidRDefault="00BC2E4F" w:rsidP="00575FFF">
      <w:pPr>
        <w:pStyle w:val="Corpsdetexte"/>
        <w:spacing w:line="360" w:lineRule="auto"/>
        <w:rPr>
          <w:rFonts w:ascii="Arial" w:hAnsi="Arial" w:cs="Arial"/>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575FFF" w:rsidRDefault="00575FFF" w:rsidP="00575FFF">
      <w:pPr>
        <w:autoSpaceDE w:val="0"/>
        <w:autoSpaceDN w:val="0"/>
        <w:adjustRightInd w:val="0"/>
        <w:spacing w:line="360" w:lineRule="auto"/>
        <w:jc w:val="both"/>
        <w:rPr>
          <w:rFonts w:ascii="Arial" w:hAnsi="Arial" w:cs="Arial"/>
          <w:sz w:val="24"/>
          <w:szCs w:val="24"/>
          <w:lang w:val="es-ES_tradnl"/>
        </w:rPr>
      </w:pPr>
    </w:p>
    <w:p w:rsidR="000F4FD9" w:rsidRDefault="000F4FD9" w:rsidP="00310452">
      <w:pPr>
        <w:pStyle w:val="Sansinterligne"/>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21526B" w:rsidRDefault="000F4FD9" w:rsidP="00310452">
      <w:pPr>
        <w:pStyle w:val="Sansinterligne"/>
        <w:spacing w:line="360" w:lineRule="auto"/>
        <w:jc w:val="center"/>
        <w:rPr>
          <w:rFonts w:ascii="Arial" w:hAnsi="Arial" w:cs="Arial"/>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542CE3">
        <w:rPr>
          <w:rFonts w:ascii="Arial" w:hAnsi="Arial" w:cs="Arial"/>
          <w:szCs w:val="24"/>
        </w:rPr>
        <w:t>31</w:t>
      </w:r>
      <w:r w:rsidR="00E75B0E">
        <w:rPr>
          <w:rFonts w:ascii="Arial" w:hAnsi="Arial" w:cs="Arial"/>
          <w:szCs w:val="24"/>
        </w:rPr>
        <w:t>-10</w:t>
      </w:r>
      <w:r w:rsidR="00FA7F1C">
        <w:rPr>
          <w:rFonts w:ascii="Arial" w:hAnsi="Arial" w:cs="Arial"/>
          <w:szCs w:val="24"/>
        </w:rPr>
        <w:t>-2016</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21526B" w:rsidRDefault="00CF2413" w:rsidP="00CF2413">
      <w:pPr>
        <w:pStyle w:val="Textopredeterminado"/>
        <w:spacing w:line="360" w:lineRule="auto"/>
        <w:ind w:left="360"/>
        <w:jc w:val="both"/>
        <w:rPr>
          <w:rFonts w:ascii="Arial" w:hAnsi="Arial" w:cs="Arial"/>
          <w:szCs w:val="24"/>
        </w:rPr>
      </w:pPr>
    </w:p>
    <w:p w:rsidR="000F4FD9" w:rsidRPr="0021526B" w:rsidRDefault="000F4FD9" w:rsidP="00504903">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DEVOLVER el expediente al Juzgado </w:t>
      </w:r>
      <w:r w:rsidR="00E75B0E">
        <w:rPr>
          <w:rFonts w:ascii="Arial" w:hAnsi="Arial" w:cs="Arial"/>
          <w:szCs w:val="24"/>
        </w:rPr>
        <w:t xml:space="preserve">Segundo </w:t>
      </w:r>
      <w:r w:rsidR="000B0522" w:rsidRPr="0021526B">
        <w:rPr>
          <w:rFonts w:ascii="Arial" w:hAnsi="Arial" w:cs="Arial"/>
          <w:szCs w:val="24"/>
        </w:rPr>
        <w:t xml:space="preserve">Civil </w:t>
      </w:r>
      <w:r w:rsidR="00504903" w:rsidRPr="0021526B">
        <w:rPr>
          <w:rFonts w:ascii="Arial" w:hAnsi="Arial" w:cs="Arial"/>
          <w:szCs w:val="24"/>
        </w:rPr>
        <w:t xml:space="preserve">del Circuito de </w:t>
      </w:r>
      <w:r w:rsidR="00E75B0E">
        <w:rPr>
          <w:rFonts w:ascii="Arial" w:hAnsi="Arial" w:cs="Arial"/>
          <w:szCs w:val="24"/>
        </w:rPr>
        <w:t>Pereira</w:t>
      </w:r>
      <w:r w:rsidRPr="0021526B">
        <w:rPr>
          <w:rFonts w:ascii="Arial" w:hAnsi="Arial" w:cs="Arial"/>
          <w:szCs w:val="24"/>
        </w:rPr>
        <w:t>.</w:t>
      </w:r>
    </w:p>
    <w:p w:rsidR="0049796A" w:rsidRDefault="0049796A" w:rsidP="001454DA">
      <w:pPr>
        <w:pStyle w:val="Textopredeterminado"/>
        <w:spacing w:line="360" w:lineRule="auto"/>
        <w:ind w:left="360"/>
        <w:jc w:val="center"/>
        <w:rPr>
          <w:rFonts w:ascii="Arial" w:hAnsi="Arial" w:cs="Arial"/>
          <w:szCs w:val="24"/>
        </w:rPr>
      </w:pPr>
    </w:p>
    <w:p w:rsidR="00BC2E4F" w:rsidRPr="00BC2E4F" w:rsidRDefault="00BC2E4F" w:rsidP="00BC2E4F">
      <w:pPr>
        <w:pStyle w:val="Textopredeterminado"/>
        <w:numPr>
          <w:ilvl w:val="0"/>
          <w:numId w:val="2"/>
        </w:numPr>
        <w:spacing w:line="360" w:lineRule="auto"/>
        <w:jc w:val="both"/>
        <w:rPr>
          <w:rFonts w:ascii="Arial" w:hAnsi="Arial" w:cs="Arial"/>
          <w:szCs w:val="24"/>
        </w:rPr>
      </w:pPr>
      <w:r w:rsidRPr="00BC2E4F">
        <w:rPr>
          <w:rFonts w:ascii="Arial" w:hAnsi="Arial" w:cs="Arial"/>
          <w:szCs w:val="24"/>
        </w:rPr>
        <w:t>ADVERTIR que contra esta providencia no procede recurso alguno.</w:t>
      </w:r>
    </w:p>
    <w:p w:rsidR="00BC2E4F" w:rsidRPr="0021526B" w:rsidRDefault="00BC2E4F" w:rsidP="001454DA">
      <w:pPr>
        <w:pStyle w:val="Textopredeterminado"/>
        <w:spacing w:line="360" w:lineRule="auto"/>
        <w:ind w:left="360"/>
        <w:jc w:val="center"/>
        <w:rPr>
          <w:rFonts w:ascii="Arial" w:hAnsi="Arial" w:cs="Arial"/>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t>Notifíquese</w:t>
      </w:r>
      <w:proofErr w:type="spellEnd"/>
      <w:r w:rsidRPr="00577894">
        <w:rPr>
          <w:rFonts w:ascii="Arial" w:hAnsi="Arial" w:cs="Arial"/>
          <w:smallCaps/>
          <w:szCs w:val="24"/>
          <w:lang w:val="en-US"/>
        </w:rPr>
        <w:t>,</w:t>
      </w:r>
    </w:p>
    <w:p w:rsidR="000F4FD9" w:rsidRDefault="000F4FD9" w:rsidP="002E11FF">
      <w:pPr>
        <w:pStyle w:val="Sansinterligne"/>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5D1B31" w:rsidP="00B7680C">
      <w:pPr>
        <w:pStyle w:val="Sansinterligne"/>
        <w:spacing w:line="360" w:lineRule="auto"/>
        <w:jc w:val="right"/>
        <w:rPr>
          <w:rFonts w:ascii="Arial" w:hAnsi="Arial" w:cs="Arial"/>
          <w:spacing w:val="20"/>
          <w:w w:val="150"/>
          <w:lang w:val="en-US"/>
        </w:rPr>
      </w:pPr>
      <w:r w:rsidRPr="006A1BB2">
        <w:rPr>
          <w:noProof/>
          <w:lang w:val="fr-FR" w:eastAsia="fr-FR"/>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127000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52011" id="Rectangle 7" o:spid="_x0000_s1026" style="position:absolute;left:0;text-align:left;margin-left:140.2pt;margin-top:10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F10094">
        <w:rPr>
          <w:rFonts w:ascii="Arial" w:hAnsi="Arial" w:cs="Arial"/>
          <w:sz w:val="12"/>
          <w:szCs w:val="12"/>
          <w:lang w:val="en-US"/>
        </w:rPr>
        <w:t>DGH /</w:t>
      </w:r>
      <w:r w:rsidR="00B7680C">
        <w:rPr>
          <w:rFonts w:ascii="Arial" w:hAnsi="Arial" w:cs="Arial"/>
          <w:sz w:val="12"/>
          <w:szCs w:val="12"/>
          <w:lang w:val="en-US"/>
        </w:rPr>
        <w:t>DGD/</w:t>
      </w:r>
      <w:r w:rsidR="00B7680C" w:rsidRPr="00F10094">
        <w:rPr>
          <w:rFonts w:ascii="Arial" w:hAnsi="Arial" w:cs="Arial"/>
          <w:sz w:val="12"/>
          <w:szCs w:val="12"/>
          <w:lang w:val="en-US"/>
        </w:rPr>
        <w:t xml:space="preserve"> 201</w:t>
      </w:r>
      <w:r w:rsidR="00542CE3">
        <w:rPr>
          <w:rFonts w:ascii="Arial" w:hAnsi="Arial" w:cs="Arial"/>
          <w:sz w:val="12"/>
          <w:szCs w:val="12"/>
          <w:lang w:val="en-US"/>
        </w:rPr>
        <w:t>7</w:t>
      </w:r>
    </w:p>
    <w:p w:rsidR="000F4FD9" w:rsidRDefault="000F4FD9" w:rsidP="00147B6F">
      <w:pPr>
        <w:pStyle w:val="Sansinterligne"/>
        <w:spacing w:line="360" w:lineRule="auto"/>
        <w:ind w:firstLine="708"/>
        <w:jc w:val="right"/>
        <w:rPr>
          <w:rFonts w:ascii="Arial" w:hAnsi="Arial" w:cs="Arial"/>
          <w:sz w:val="12"/>
          <w:szCs w:val="16"/>
          <w:lang w:val="en-US"/>
        </w:rPr>
      </w:pPr>
      <w:bookmarkStart w:id="0" w:name="_GoBack"/>
      <w:bookmarkEnd w:id="0"/>
    </w:p>
    <w:sectPr w:rsidR="000F4FD9" w:rsidSect="00993204">
      <w:headerReference w:type="default" r:id="rId10"/>
      <w:footerReference w:type="default" r:id="rId11"/>
      <w:pgSz w:w="12242" w:h="18722" w:code="121"/>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B9" w:rsidRDefault="00C301B9" w:rsidP="00934BB4">
      <w:r>
        <w:separator/>
      </w:r>
    </w:p>
  </w:endnote>
  <w:endnote w:type="continuationSeparator" w:id="0">
    <w:p w:rsidR="00C301B9" w:rsidRDefault="00C301B9"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086A0B" w:rsidRDefault="003E6859" w:rsidP="006E6DCB">
    <w:pPr>
      <w:pStyle w:val="Pieddepage"/>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depage"/>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B9" w:rsidRDefault="00C301B9" w:rsidP="00934BB4">
      <w:r>
        <w:separator/>
      </w:r>
    </w:p>
  </w:footnote>
  <w:footnote w:type="continuationSeparator" w:id="0">
    <w:p w:rsidR="00C301B9" w:rsidRDefault="00C301B9" w:rsidP="00934BB4">
      <w:r>
        <w:continuationSeparator/>
      </w:r>
    </w:p>
  </w:footnote>
  <w:footnote w:id="1">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w:t>
      </w:r>
      <w:r>
        <w:rPr>
          <w:rFonts w:asciiTheme="minorHAnsi" w:hAnsiTheme="minorHAnsi" w:cs="Calibri"/>
          <w:szCs w:val="18"/>
          <w:lang w:val="es-CO"/>
        </w:rPr>
        <w:t xml:space="preserve">LÓPEZ BLANCO, Hernán Fabio. Código general del proceso, parte general, Bogotá DC, </w:t>
      </w:r>
      <w:proofErr w:type="spellStart"/>
      <w:r>
        <w:rPr>
          <w:rFonts w:asciiTheme="minorHAnsi" w:hAnsiTheme="minorHAnsi" w:cs="Calibri"/>
          <w:szCs w:val="18"/>
          <w:lang w:val="es-CO"/>
        </w:rPr>
        <w:t>Dupré</w:t>
      </w:r>
      <w:proofErr w:type="spellEnd"/>
      <w:r>
        <w:rPr>
          <w:rFonts w:asciiTheme="minorHAnsi" w:hAnsiTheme="minorHAnsi" w:cs="Calibri"/>
          <w:szCs w:val="18"/>
          <w:lang w:val="es-CO"/>
        </w:rPr>
        <w:t xml:space="preserve"> editores, 2016, </w:t>
      </w:r>
      <w:proofErr w:type="spellStart"/>
      <w:r>
        <w:rPr>
          <w:rFonts w:asciiTheme="minorHAnsi" w:hAnsiTheme="minorHAnsi" w:cs="Calibri"/>
          <w:szCs w:val="18"/>
          <w:lang w:val="es-CO"/>
        </w:rPr>
        <w:t>p.769</w:t>
      </w:r>
      <w:proofErr w:type="spellEnd"/>
      <w:r>
        <w:rPr>
          <w:rFonts w:asciiTheme="minorHAnsi" w:hAnsiTheme="minorHAnsi" w:cs="Calibri"/>
          <w:szCs w:val="18"/>
          <w:lang w:val="es-CO"/>
        </w:rPr>
        <w:t>-776</w:t>
      </w:r>
      <w:r>
        <w:rPr>
          <w:rFonts w:ascii="Calibri" w:hAnsi="Calibri" w:cs="Calibri"/>
        </w:rPr>
        <w:t>.</w:t>
      </w:r>
    </w:p>
  </w:footnote>
  <w:footnote w:id="2">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PARRA QUIJANO, Jairo. Derecho procesal civil, tomo I, Santafé de Bogotá D.C., Temis, 1992, p.276.</w:t>
      </w:r>
    </w:p>
  </w:footnote>
  <w:footnote w:id="3">
    <w:p w:rsidR="000378CE" w:rsidRPr="004A043E" w:rsidRDefault="000378CE" w:rsidP="004A043E">
      <w:pPr>
        <w:pStyle w:val="Sansinterligne"/>
        <w:jc w:val="both"/>
        <w:rPr>
          <w:rFonts w:asciiTheme="minorHAnsi" w:hAnsiTheme="minorHAnsi"/>
        </w:rPr>
      </w:pPr>
      <w:r w:rsidRPr="004A043E">
        <w:rPr>
          <w:rFonts w:asciiTheme="minorHAnsi" w:hAnsiTheme="minorHAnsi" w:cs="Calibri"/>
          <w:sz w:val="20"/>
          <w:vertAlign w:val="superscript"/>
        </w:rPr>
        <w:footnoteRef/>
      </w:r>
      <w:r w:rsidRPr="004A043E">
        <w:rPr>
          <w:rFonts w:asciiTheme="minorHAnsi" w:hAnsiTheme="minorHAnsi" w:cs="Calibri"/>
          <w:sz w:val="20"/>
        </w:rPr>
        <w:t xml:space="preserve"> </w:t>
      </w:r>
      <w:r w:rsidRPr="004A043E">
        <w:rPr>
          <w:rFonts w:asciiTheme="minorHAnsi" w:hAnsiTheme="minorHAnsi" w:cs="Calibri"/>
          <w:sz w:val="20"/>
          <w:lang w:val="es-CO"/>
        </w:rPr>
        <w:t xml:space="preserve">LÓPEZ BLANCO, Hernán Fabio. </w:t>
      </w:r>
      <w:r w:rsidRPr="004A043E">
        <w:rPr>
          <w:rFonts w:asciiTheme="minorHAnsi" w:hAnsiTheme="minorHAnsi" w:cs="Calibri"/>
          <w:sz w:val="20"/>
        </w:rPr>
        <w:t>Ob. cit., p.769.</w:t>
      </w:r>
    </w:p>
  </w:footnote>
  <w:footnote w:id="4">
    <w:p w:rsidR="003E6859" w:rsidRPr="004A043E" w:rsidRDefault="003E6859" w:rsidP="004A043E">
      <w:pPr>
        <w:pStyle w:val="Notedebasdepage"/>
        <w:jc w:val="both"/>
        <w:rPr>
          <w:rFonts w:asciiTheme="minorHAnsi" w:hAnsiTheme="minorHAnsi" w:cs="Calibri"/>
          <w:lang w:val="es-CO"/>
        </w:rPr>
      </w:pPr>
      <w:r w:rsidRPr="004A043E">
        <w:rPr>
          <w:rStyle w:val="Appelnotedebasdep"/>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686829" w:rsidRPr="004A043E" w:rsidRDefault="00686829" w:rsidP="00686829">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CSJ</w:t>
      </w:r>
      <w:r w:rsidR="00897A18">
        <w:rPr>
          <w:rFonts w:asciiTheme="minorHAnsi" w:hAnsiTheme="minorHAnsi"/>
          <w:lang w:val="es-CO"/>
        </w:rPr>
        <w:t>, Civil</w:t>
      </w:r>
      <w:r w:rsidRPr="004A043E">
        <w:rPr>
          <w:rFonts w:asciiTheme="minorHAnsi" w:hAnsiTheme="minorHAnsi"/>
          <w:lang w:val="es-CO"/>
        </w:rPr>
        <w:t xml:space="preserve">. Sentencia del 17-09-1992; MP: Alberto Ospina Botero,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w:t>
      </w:r>
      <w:proofErr w:type="spellStart"/>
      <w:r w:rsidRPr="004A043E">
        <w:rPr>
          <w:rFonts w:asciiTheme="minorHAnsi" w:hAnsiTheme="minorHAnsi"/>
          <w:lang w:val="es-CO"/>
        </w:rPr>
        <w:t>núm.251</w:t>
      </w:r>
      <w:proofErr w:type="spellEnd"/>
      <w:r w:rsidRPr="004A043E">
        <w:rPr>
          <w:rFonts w:asciiTheme="minorHAnsi" w:hAnsiTheme="minorHAnsi"/>
          <w:lang w:val="es-CO"/>
        </w:rPr>
        <w:t xml:space="preserve">,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6">
    <w:p w:rsidR="00686829" w:rsidRPr="00686829" w:rsidRDefault="00686829">
      <w:pPr>
        <w:pStyle w:val="Notedebasdepage"/>
        <w:rPr>
          <w:lang w:val="es-CO"/>
        </w:rPr>
      </w:pPr>
      <w:r>
        <w:rPr>
          <w:rStyle w:val="Appelnotedebasdep"/>
        </w:rPr>
        <w:footnoteRef/>
      </w:r>
      <w:r>
        <w:t xml:space="preserve"> </w:t>
      </w:r>
      <w:r w:rsidR="00897A18" w:rsidRPr="004A043E">
        <w:rPr>
          <w:rFonts w:asciiTheme="minorHAnsi" w:hAnsiTheme="minorHAnsi"/>
          <w:lang w:val="es-CO"/>
        </w:rPr>
        <w:t>CSJ</w:t>
      </w:r>
      <w:r w:rsidR="00897A18">
        <w:rPr>
          <w:rFonts w:asciiTheme="minorHAnsi" w:hAnsiTheme="minorHAnsi"/>
          <w:lang w:val="es-CO"/>
        </w:rPr>
        <w:t>, Civil</w:t>
      </w:r>
      <w:r w:rsidR="00897A18" w:rsidRPr="004A043E">
        <w:rPr>
          <w:rFonts w:asciiTheme="minorHAnsi" w:hAnsiTheme="minorHAnsi"/>
          <w:lang w:val="es-CO"/>
        </w:rPr>
        <w:t>.</w:t>
      </w:r>
      <w:r w:rsidRPr="00717C18">
        <w:rPr>
          <w:rFonts w:asciiTheme="minorHAnsi" w:hAnsiTheme="minorHAnsi"/>
          <w:lang w:val="es-CO"/>
        </w:rPr>
        <w:t xml:space="preserve">  Providencia STC5</w:t>
      </w:r>
      <w:r>
        <w:rPr>
          <w:rFonts w:asciiTheme="minorHAnsi" w:hAnsiTheme="minorHAnsi"/>
          <w:lang w:val="es-CO"/>
        </w:rPr>
        <w:t>273</w:t>
      </w:r>
      <w:r w:rsidRPr="00717C18">
        <w:rPr>
          <w:rFonts w:asciiTheme="minorHAnsi" w:hAnsiTheme="minorHAnsi"/>
          <w:lang w:val="es-CO"/>
        </w:rPr>
        <w:t xml:space="preserve">-2016, MP: </w:t>
      </w:r>
      <w:r>
        <w:rPr>
          <w:rFonts w:asciiTheme="minorHAnsi" w:hAnsiTheme="minorHAnsi"/>
          <w:lang w:val="es-CO"/>
        </w:rPr>
        <w:t>Ariel Salazar Ramírez.</w:t>
      </w:r>
    </w:p>
  </w:footnote>
  <w:footnote w:id="7">
    <w:p w:rsidR="00073C11" w:rsidRPr="004A043E" w:rsidRDefault="00073C11" w:rsidP="004A043E">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CC.  Sentencia C-153 de 1995.</w:t>
      </w:r>
    </w:p>
  </w:footnote>
  <w:footnote w:id="8">
    <w:p w:rsidR="005F7966" w:rsidRPr="004A043E" w:rsidRDefault="005F7966" w:rsidP="005F7966">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CC.  Sentencia C-</w:t>
      </w:r>
      <w:r>
        <w:rPr>
          <w:rFonts w:asciiTheme="minorHAnsi" w:hAnsiTheme="minorHAnsi"/>
          <w:lang w:val="es-CO"/>
        </w:rPr>
        <w:t>337</w:t>
      </w:r>
      <w:r w:rsidRPr="004A043E">
        <w:rPr>
          <w:rFonts w:asciiTheme="minorHAnsi" w:hAnsiTheme="minorHAnsi"/>
          <w:lang w:val="es-CO"/>
        </w:rPr>
        <w:t xml:space="preserve"> de 2016.</w:t>
      </w:r>
    </w:p>
  </w:footnote>
  <w:footnote w:id="9">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ROJAS GÓMEZ, Miguel Enrique. El proceso civil colombiano, parte general, Universidad Externado de Colombia, 1999, Bogotá D.C., p.260.</w:t>
      </w:r>
    </w:p>
  </w:footnote>
  <w:footnote w:id="10">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DEVIS ECHANDÍA, Hernando. El proceso civil, parte general, 1990, Bogotá DC, </w:t>
      </w:r>
      <w:proofErr w:type="spellStart"/>
      <w:r w:rsidRPr="00CE69D3">
        <w:rPr>
          <w:rFonts w:asciiTheme="minorHAnsi" w:hAnsiTheme="minorHAnsi" w:cstheme="minorHAnsi"/>
        </w:rPr>
        <w:t>Diké</w:t>
      </w:r>
      <w:proofErr w:type="spellEnd"/>
      <w:r w:rsidRPr="00CE69D3">
        <w:rPr>
          <w:rFonts w:asciiTheme="minorHAnsi" w:hAnsiTheme="minorHAnsi" w:cstheme="minorHAnsi"/>
        </w:rPr>
        <w:t xml:space="preserve">, </w:t>
      </w:r>
      <w:proofErr w:type="spellStart"/>
      <w:r w:rsidRPr="00CE69D3">
        <w:rPr>
          <w:rFonts w:asciiTheme="minorHAnsi" w:hAnsiTheme="minorHAnsi" w:cstheme="minorHAnsi"/>
        </w:rPr>
        <w:t>p.341</w:t>
      </w:r>
      <w:proofErr w:type="spellEnd"/>
      <w:r w:rsidRPr="00CE69D3">
        <w:rPr>
          <w:rFonts w:asciiTheme="minorHAnsi" w:hAnsiTheme="minorHAnsi" w:cstheme="minorHAnsi"/>
        </w:rPr>
        <w:t>.</w:t>
      </w:r>
    </w:p>
  </w:footnote>
  <w:footnote w:id="11">
    <w:p w:rsidR="005F7966" w:rsidRPr="00CE69D3" w:rsidRDefault="005F7966" w:rsidP="005F7966">
      <w:pPr>
        <w:pStyle w:val="Notedebasdepage"/>
        <w:jc w:val="both"/>
        <w:rPr>
          <w:rFonts w:asciiTheme="minorHAnsi" w:hAnsiTheme="minorHAnsi" w:cstheme="minorHAnsi"/>
          <w:lang w:val="es-MX"/>
        </w:rPr>
      </w:pPr>
      <w:r w:rsidRPr="00CE69D3">
        <w:rPr>
          <w:rStyle w:val="Appelnotedebasdep"/>
          <w:rFonts w:asciiTheme="minorHAnsi" w:hAnsiTheme="minorHAnsi" w:cstheme="minorHAnsi"/>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LÓPEZ BLANCO, Hernán Fabio. </w:t>
      </w:r>
      <w:r w:rsidRPr="00CE69D3">
        <w:rPr>
          <w:rFonts w:asciiTheme="minorHAnsi" w:hAnsiTheme="minorHAnsi" w:cstheme="minorHAnsi"/>
        </w:rPr>
        <w:t>Ob. cit., p.792.</w:t>
      </w:r>
    </w:p>
  </w:footnote>
  <w:footnote w:id="12">
    <w:p w:rsidR="005F7966" w:rsidRPr="00CE69D3" w:rsidRDefault="005F7966" w:rsidP="005F7966">
      <w:pPr>
        <w:pStyle w:val="Notedebasdepage"/>
        <w:jc w:val="both"/>
        <w:rPr>
          <w:rFonts w:asciiTheme="minorHAnsi" w:hAnsiTheme="minorHAnsi" w:cstheme="minorHAnsi"/>
        </w:rPr>
      </w:pPr>
      <w:r w:rsidRPr="00CE69D3">
        <w:rPr>
          <w:rFonts w:asciiTheme="minorHAnsi" w:hAnsiTheme="minorHAnsi" w:cstheme="minorHAnsi"/>
          <w:vertAlign w:val="superscript"/>
        </w:rPr>
        <w:footnoteRef/>
      </w:r>
      <w:r w:rsidRPr="00CE69D3">
        <w:rPr>
          <w:rFonts w:asciiTheme="minorHAnsi" w:hAnsiTheme="minorHAnsi" w:cstheme="minorHAnsi"/>
        </w:rPr>
        <w:t xml:space="preserve"> </w:t>
      </w:r>
      <w:r w:rsidRPr="00CE69D3">
        <w:rPr>
          <w:rFonts w:asciiTheme="minorHAnsi" w:hAnsiTheme="minorHAnsi" w:cstheme="minorHAnsi"/>
          <w:lang w:val="es-CO"/>
        </w:rPr>
        <w:t xml:space="preserve">CSJ, Civil.  Providencia </w:t>
      </w:r>
      <w:r w:rsidR="00627040">
        <w:rPr>
          <w:rFonts w:asciiTheme="minorHAnsi" w:hAnsiTheme="minorHAnsi" w:cstheme="minorHAnsi"/>
          <w:lang w:val="es-CO"/>
        </w:rPr>
        <w:t xml:space="preserve">STC10759 </w:t>
      </w:r>
      <w:r w:rsidRPr="00CE69D3">
        <w:rPr>
          <w:rFonts w:asciiTheme="minorHAnsi" w:hAnsiTheme="minorHAnsi" w:cstheme="minorHAnsi"/>
          <w:lang w:val="es-CO"/>
        </w:rPr>
        <w:t xml:space="preserve">del </w:t>
      </w:r>
      <w:r w:rsidR="00627040">
        <w:rPr>
          <w:rFonts w:asciiTheme="minorHAnsi" w:hAnsiTheme="minorHAnsi" w:cstheme="minorHAnsi"/>
          <w:lang w:val="es-CO"/>
        </w:rPr>
        <w:t>11-08-2015</w:t>
      </w:r>
      <w:r w:rsidRPr="00CE69D3">
        <w:rPr>
          <w:rFonts w:asciiTheme="minorHAnsi" w:hAnsiTheme="minorHAnsi" w:cstheme="minorHAnsi"/>
          <w:lang w:val="es-CO"/>
        </w:rPr>
        <w:t xml:space="preserve">, MP: </w:t>
      </w:r>
      <w:r w:rsidR="00627040">
        <w:rPr>
          <w:rFonts w:asciiTheme="minorHAnsi" w:hAnsiTheme="minorHAnsi" w:cstheme="minorHAnsi"/>
          <w:lang w:val="es-CO"/>
        </w:rPr>
        <w:t>Fernando Giraldo Gutiérrez</w:t>
      </w:r>
      <w:r w:rsidRPr="00CE69D3">
        <w:rPr>
          <w:rFonts w:asciiTheme="minorHAnsi" w:hAnsiTheme="minorHAnsi" w:cstheme="minorHAnsi"/>
          <w:lang w:val="es-CO"/>
        </w:rPr>
        <w:t>.</w:t>
      </w:r>
    </w:p>
  </w:footnote>
  <w:footnote w:id="13">
    <w:p w:rsidR="00551743" w:rsidRPr="00551743" w:rsidRDefault="00551743" w:rsidP="00551743">
      <w:pPr>
        <w:pStyle w:val="Notedebasdepage"/>
        <w:jc w:val="both"/>
        <w:rPr>
          <w:rFonts w:asciiTheme="minorHAnsi" w:hAnsiTheme="minorHAnsi"/>
          <w:lang w:val="es-CO"/>
        </w:rPr>
      </w:pPr>
      <w:r w:rsidRPr="00551743">
        <w:rPr>
          <w:rStyle w:val="Appelnotedebasdep"/>
          <w:rFonts w:asciiTheme="minorHAnsi" w:hAnsiTheme="minorHAnsi"/>
        </w:rPr>
        <w:footnoteRef/>
      </w:r>
      <w:r w:rsidRPr="00551743">
        <w:rPr>
          <w:rFonts w:asciiTheme="minorHAnsi" w:hAnsiTheme="minorHAnsi"/>
        </w:rPr>
        <w:t xml:space="preserve"> </w:t>
      </w:r>
      <w:r w:rsidRPr="00551743">
        <w:rPr>
          <w:rFonts w:asciiTheme="minorHAnsi" w:hAnsiTheme="minorHAnsi"/>
          <w:lang w:val="es-CO"/>
        </w:rPr>
        <w:t>CC. Sentencia T-820 de 2014.</w:t>
      </w:r>
    </w:p>
  </w:footnote>
  <w:footnote w:id="14">
    <w:p w:rsidR="00597A3A" w:rsidRPr="004A043E" w:rsidRDefault="00597A3A" w:rsidP="00597A3A">
      <w:pPr>
        <w:pStyle w:val="Notedebasdepage"/>
        <w:jc w:val="both"/>
        <w:rPr>
          <w:rFonts w:asciiTheme="minorHAnsi" w:hAnsiTheme="minorHAnsi" w:cs="Calibri"/>
          <w:lang w:val="es-CO"/>
        </w:rPr>
      </w:pPr>
      <w:r w:rsidRPr="004A043E">
        <w:rPr>
          <w:rStyle w:val="Appelnotedebasdep"/>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 xml:space="preserve">ROJAS GÓMEZ, Miguel Enrique. Lecciones de derecho procesal, tomo </w:t>
      </w:r>
      <w:r>
        <w:rPr>
          <w:rFonts w:asciiTheme="minorHAnsi" w:hAnsiTheme="minorHAnsi" w:cs="Calibri"/>
          <w:lang w:val="es-CO"/>
        </w:rPr>
        <w:t>4</w:t>
      </w:r>
      <w:r w:rsidRPr="004A043E">
        <w:rPr>
          <w:rFonts w:asciiTheme="minorHAnsi" w:hAnsiTheme="minorHAnsi" w:cs="Calibri"/>
          <w:lang w:val="es-CO"/>
        </w:rPr>
        <w:t>, proce</w:t>
      </w:r>
      <w:r>
        <w:rPr>
          <w:rFonts w:asciiTheme="minorHAnsi" w:hAnsiTheme="minorHAnsi" w:cs="Calibri"/>
          <w:lang w:val="es-CO"/>
        </w:rPr>
        <w:t>sos de conocimiento</w:t>
      </w:r>
      <w:r w:rsidRPr="004A043E">
        <w:rPr>
          <w:rFonts w:asciiTheme="minorHAnsi" w:hAnsiTheme="minorHAnsi" w:cs="Calibri"/>
          <w:lang w:val="es-CO"/>
        </w:rPr>
        <w:t>, Escuela de Actualización Jurídica ESAJU, 201</w:t>
      </w:r>
      <w:r>
        <w:rPr>
          <w:rFonts w:asciiTheme="minorHAnsi" w:hAnsiTheme="minorHAnsi" w:cs="Calibri"/>
          <w:lang w:val="es-CO"/>
        </w:rPr>
        <w:t>6</w:t>
      </w:r>
      <w:r w:rsidRPr="004A043E">
        <w:rPr>
          <w:rFonts w:asciiTheme="minorHAnsi" w:hAnsiTheme="minorHAnsi" w:cs="Calibri"/>
          <w:lang w:val="es-CO"/>
        </w:rPr>
        <w:t>, Bogotá DC, p.3</w:t>
      </w:r>
      <w:r>
        <w:rPr>
          <w:rFonts w:asciiTheme="minorHAnsi" w:hAnsiTheme="minorHAnsi" w:cs="Calibri"/>
          <w:lang w:val="es-CO"/>
        </w:rPr>
        <w:t>22</w:t>
      </w:r>
      <w:r w:rsidRPr="004A043E">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6F2303" w:rsidRDefault="003E6859" w:rsidP="00D279DF">
    <w:pPr>
      <w:pStyle w:val="En-tte"/>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400CCC" w:rsidRPr="00400CCC">
      <w:rPr>
        <w:rFonts w:ascii="Calibri" w:hAnsi="Calibri" w:cs="Calibri"/>
        <w:bCs/>
        <w:noProof/>
      </w:rPr>
      <w:t>4</w:t>
    </w:r>
    <w:r w:rsidRPr="006F2303">
      <w:rPr>
        <w:rFonts w:ascii="Calibri" w:hAnsi="Calibri" w:cs="Calibri"/>
      </w:rPr>
      <w:fldChar w:fldCharType="end"/>
    </w:r>
  </w:p>
  <w:p w:rsidR="003E6859" w:rsidRPr="006F2303" w:rsidRDefault="003E6859" w:rsidP="00D279DF">
    <w:pPr>
      <w:pStyle w:val="En-tte"/>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BA3B52">
      <w:rPr>
        <w:rFonts w:ascii="Calibri" w:hAnsi="Calibri" w:cs="Calibri"/>
        <w:i/>
      </w:rPr>
      <w:t>6</w:t>
    </w:r>
    <w:r w:rsidRPr="006F2303">
      <w:rPr>
        <w:rFonts w:ascii="Calibri" w:hAnsi="Calibri" w:cs="Calibri"/>
        <w:i/>
      </w:rPr>
      <w:t>-00</w:t>
    </w:r>
    <w:r w:rsidR="00900A84">
      <w:rPr>
        <w:rFonts w:ascii="Calibri" w:hAnsi="Calibri" w:cs="Calibri"/>
        <w:i/>
      </w:rPr>
      <w:t>203</w:t>
    </w:r>
    <w:r w:rsidRPr="006F2303">
      <w:rPr>
        <w:rFonts w:ascii="Calibri" w:hAnsi="Calibri" w:cs="Calibri"/>
        <w:i/>
      </w:rPr>
      <w:t>-01 LLRR</w:t>
    </w:r>
  </w:p>
  <w:p w:rsidR="003E6859" w:rsidRPr="006F2303" w:rsidRDefault="003E6859" w:rsidP="0013799C">
    <w:pPr>
      <w:pStyle w:val="En-tte"/>
      <w:ind w:right="360"/>
      <w:jc w:val="both"/>
      <w:rPr>
        <w:rFonts w:ascii="Calibri" w:hAnsi="Calibri" w:cs="Calibri"/>
      </w:rPr>
    </w:pPr>
  </w:p>
  <w:p w:rsidR="003E6859" w:rsidRPr="006F2303" w:rsidRDefault="003E6859" w:rsidP="00585B94">
    <w:pPr>
      <w:pStyle w:val="En-tte"/>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1CD"/>
    <w:rsid w:val="0000074F"/>
    <w:rsid w:val="0000145D"/>
    <w:rsid w:val="00005CC9"/>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78CE"/>
    <w:rsid w:val="0004057A"/>
    <w:rsid w:val="00041035"/>
    <w:rsid w:val="000426DF"/>
    <w:rsid w:val="00045583"/>
    <w:rsid w:val="000539EE"/>
    <w:rsid w:val="000557CF"/>
    <w:rsid w:val="000602F3"/>
    <w:rsid w:val="00070885"/>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4383"/>
    <w:rsid w:val="00170B4F"/>
    <w:rsid w:val="00170BE7"/>
    <w:rsid w:val="001720A4"/>
    <w:rsid w:val="00181456"/>
    <w:rsid w:val="00182CE6"/>
    <w:rsid w:val="00182D8B"/>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B1A2D"/>
    <w:rsid w:val="003B35E1"/>
    <w:rsid w:val="003C1FF7"/>
    <w:rsid w:val="003C23B2"/>
    <w:rsid w:val="003C58A8"/>
    <w:rsid w:val="003C7277"/>
    <w:rsid w:val="003C771A"/>
    <w:rsid w:val="003D05FD"/>
    <w:rsid w:val="003D1FEE"/>
    <w:rsid w:val="003D5E3D"/>
    <w:rsid w:val="003D637D"/>
    <w:rsid w:val="003D6411"/>
    <w:rsid w:val="003D741C"/>
    <w:rsid w:val="003E0BE1"/>
    <w:rsid w:val="003E1342"/>
    <w:rsid w:val="003E18D8"/>
    <w:rsid w:val="003E6859"/>
    <w:rsid w:val="003F751D"/>
    <w:rsid w:val="00400CCC"/>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E0A26"/>
    <w:rsid w:val="004E51C2"/>
    <w:rsid w:val="004E759E"/>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61AA"/>
    <w:rsid w:val="00530709"/>
    <w:rsid w:val="00532DF0"/>
    <w:rsid w:val="00534744"/>
    <w:rsid w:val="00540948"/>
    <w:rsid w:val="00542CE3"/>
    <w:rsid w:val="00547417"/>
    <w:rsid w:val="00551743"/>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97A3A"/>
    <w:rsid w:val="005A3954"/>
    <w:rsid w:val="005A5A28"/>
    <w:rsid w:val="005B1749"/>
    <w:rsid w:val="005B3F17"/>
    <w:rsid w:val="005B51AB"/>
    <w:rsid w:val="005B7C4B"/>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5F7966"/>
    <w:rsid w:val="00602CAB"/>
    <w:rsid w:val="0060616C"/>
    <w:rsid w:val="006128BE"/>
    <w:rsid w:val="00612EBD"/>
    <w:rsid w:val="0061392E"/>
    <w:rsid w:val="006167BC"/>
    <w:rsid w:val="00616E79"/>
    <w:rsid w:val="006235DB"/>
    <w:rsid w:val="00626D38"/>
    <w:rsid w:val="00627040"/>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30F1"/>
    <w:rsid w:val="007A01F0"/>
    <w:rsid w:val="007A0FC4"/>
    <w:rsid w:val="007A1C38"/>
    <w:rsid w:val="007A203D"/>
    <w:rsid w:val="007A45E3"/>
    <w:rsid w:val="007B01B4"/>
    <w:rsid w:val="007B06A8"/>
    <w:rsid w:val="007B0B58"/>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4FD"/>
    <w:rsid w:val="00840C98"/>
    <w:rsid w:val="008434CD"/>
    <w:rsid w:val="00844A81"/>
    <w:rsid w:val="00845DB6"/>
    <w:rsid w:val="008505ED"/>
    <w:rsid w:val="008510B9"/>
    <w:rsid w:val="00851DF5"/>
    <w:rsid w:val="00852028"/>
    <w:rsid w:val="00853A3F"/>
    <w:rsid w:val="00853B0D"/>
    <w:rsid w:val="00855783"/>
    <w:rsid w:val="008569C4"/>
    <w:rsid w:val="0086065B"/>
    <w:rsid w:val="008619A9"/>
    <w:rsid w:val="00866786"/>
    <w:rsid w:val="00866CEB"/>
    <w:rsid w:val="00870DD8"/>
    <w:rsid w:val="00872615"/>
    <w:rsid w:val="00872825"/>
    <w:rsid w:val="008743FB"/>
    <w:rsid w:val="008745F4"/>
    <w:rsid w:val="0087657B"/>
    <w:rsid w:val="00877D36"/>
    <w:rsid w:val="008922FC"/>
    <w:rsid w:val="00892FB7"/>
    <w:rsid w:val="008934E6"/>
    <w:rsid w:val="00894746"/>
    <w:rsid w:val="00894D1F"/>
    <w:rsid w:val="00897A18"/>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0A84"/>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793A"/>
    <w:rsid w:val="00971480"/>
    <w:rsid w:val="009721FE"/>
    <w:rsid w:val="00977144"/>
    <w:rsid w:val="00982B46"/>
    <w:rsid w:val="00982D1F"/>
    <w:rsid w:val="00984E65"/>
    <w:rsid w:val="00991EC2"/>
    <w:rsid w:val="00993204"/>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B7B"/>
    <w:rsid w:val="009D2F2D"/>
    <w:rsid w:val="009E0216"/>
    <w:rsid w:val="009E1074"/>
    <w:rsid w:val="009E1ACB"/>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25D91"/>
    <w:rsid w:val="00C301B9"/>
    <w:rsid w:val="00C32A6F"/>
    <w:rsid w:val="00C34B6F"/>
    <w:rsid w:val="00C35F68"/>
    <w:rsid w:val="00C37B5C"/>
    <w:rsid w:val="00C42051"/>
    <w:rsid w:val="00C52CF4"/>
    <w:rsid w:val="00C6677A"/>
    <w:rsid w:val="00C66938"/>
    <w:rsid w:val="00C6731E"/>
    <w:rsid w:val="00C67CDE"/>
    <w:rsid w:val="00C8450D"/>
    <w:rsid w:val="00C85F9E"/>
    <w:rsid w:val="00C861F3"/>
    <w:rsid w:val="00C9261A"/>
    <w:rsid w:val="00C93C5F"/>
    <w:rsid w:val="00C93D6D"/>
    <w:rsid w:val="00C95487"/>
    <w:rsid w:val="00CA2CF0"/>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ADD"/>
    <w:rsid w:val="00D574B8"/>
    <w:rsid w:val="00D63659"/>
    <w:rsid w:val="00D6728C"/>
    <w:rsid w:val="00D73274"/>
    <w:rsid w:val="00D758AB"/>
    <w:rsid w:val="00D75C32"/>
    <w:rsid w:val="00D761C2"/>
    <w:rsid w:val="00D90DCB"/>
    <w:rsid w:val="00D91BEB"/>
    <w:rsid w:val="00D91D05"/>
    <w:rsid w:val="00D933B7"/>
    <w:rsid w:val="00D94E49"/>
    <w:rsid w:val="00D956E3"/>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F2360"/>
    <w:rsid w:val="00DF25A3"/>
    <w:rsid w:val="00DF2C89"/>
    <w:rsid w:val="00DF6816"/>
    <w:rsid w:val="00DF6AE1"/>
    <w:rsid w:val="00E0685A"/>
    <w:rsid w:val="00E06B96"/>
    <w:rsid w:val="00E07EEF"/>
    <w:rsid w:val="00E1029B"/>
    <w:rsid w:val="00E12383"/>
    <w:rsid w:val="00E15135"/>
    <w:rsid w:val="00E17947"/>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5B0E"/>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4BBA"/>
    <w:rsid w:val="00EC519C"/>
    <w:rsid w:val="00ED117C"/>
    <w:rsid w:val="00ED4349"/>
    <w:rsid w:val="00ED506C"/>
    <w:rsid w:val="00ED70B1"/>
    <w:rsid w:val="00EE1700"/>
    <w:rsid w:val="00EE186F"/>
    <w:rsid w:val="00EE2A4D"/>
    <w:rsid w:val="00EF0336"/>
    <w:rsid w:val="00EF73DE"/>
    <w:rsid w:val="00F05F0F"/>
    <w:rsid w:val="00F10094"/>
    <w:rsid w:val="00F10D94"/>
    <w:rsid w:val="00F207CD"/>
    <w:rsid w:val="00F21836"/>
    <w:rsid w:val="00F23475"/>
    <w:rsid w:val="00F2575F"/>
    <w:rsid w:val="00F25E89"/>
    <w:rsid w:val="00F278D5"/>
    <w:rsid w:val="00F27C3C"/>
    <w:rsid w:val="00F36966"/>
    <w:rsid w:val="00F37133"/>
    <w:rsid w:val="00F40A1D"/>
    <w:rsid w:val="00F430EE"/>
    <w:rsid w:val="00F437F8"/>
    <w:rsid w:val="00F453F1"/>
    <w:rsid w:val="00F465E7"/>
    <w:rsid w:val="00F503EE"/>
    <w:rsid w:val="00F55497"/>
    <w:rsid w:val="00F601E9"/>
    <w:rsid w:val="00F6278C"/>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B0BE0"/>
    <w:rsid w:val="00FB21C4"/>
    <w:rsid w:val="00FB49E3"/>
    <w:rsid w:val="00FC0999"/>
    <w:rsid w:val="00FC0BB6"/>
    <w:rsid w:val="00FC7BEE"/>
    <w:rsid w:val="00FD17BA"/>
    <w:rsid w:val="00FD1AEE"/>
    <w:rsid w:val="00FD349C"/>
    <w:rsid w:val="00FD6E2F"/>
    <w:rsid w:val="00FD72DA"/>
    <w:rsid w:val="00FF09E8"/>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5311-2BB1-4A9B-9B6C-6EA2EBBE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Malucimedina</cp:lastModifiedBy>
  <cp:revision>8</cp:revision>
  <cp:lastPrinted>2017-01-26T12:24:00Z</cp:lastPrinted>
  <dcterms:created xsi:type="dcterms:W3CDTF">2017-01-25T13:48:00Z</dcterms:created>
  <dcterms:modified xsi:type="dcterms:W3CDTF">2017-04-24T01:13:00Z</dcterms:modified>
</cp:coreProperties>
</file>