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B8" w:rsidRPr="00B610B8" w:rsidRDefault="00B610B8" w:rsidP="00B610B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B610B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610B8">
        <w:rPr>
          <w:rFonts w:ascii="Calibri" w:eastAsia="Calibri" w:hAnsi="Calibri" w:cs="Calibr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B610B8">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B610B8">
        <w:rPr>
          <w:rFonts w:ascii="Arial" w:hAnsi="Arial" w:cs="Arial"/>
          <w:sz w:val="22"/>
          <w:szCs w:val="22"/>
        </w:rPr>
        <w:t>– 1ª instancia – 18 de enero de 2017</w:t>
      </w:r>
    </w:p>
    <w:p w:rsidR="00B610B8" w:rsidRPr="002060F5" w:rsidRDefault="00B610B8"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AA3DDD">
        <w:rPr>
          <w:rFonts w:ascii="Arial" w:hAnsi="Arial" w:cs="Arial"/>
          <w:sz w:val="22"/>
        </w:rPr>
        <w:t>Camilo Andrés Reyes Medina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4C02AD">
        <w:rPr>
          <w:rFonts w:ascii="Arial" w:hAnsi="Arial" w:cs="Arial"/>
          <w:sz w:val="22"/>
        </w:rPr>
        <w:t xml:space="preserve">Segundo de </w:t>
      </w:r>
      <w:r w:rsidR="00AA3DDD">
        <w:rPr>
          <w:rFonts w:ascii="Arial" w:hAnsi="Arial" w:cs="Arial"/>
          <w:sz w:val="22"/>
        </w:rPr>
        <w:t xml:space="preserve">Familia </w:t>
      </w:r>
      <w:r w:rsidR="004C02AD">
        <w:rPr>
          <w:rFonts w:ascii="Arial" w:hAnsi="Arial" w:cs="Arial"/>
          <w:sz w:val="22"/>
        </w:rPr>
        <w:t>de Pereira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AA3DDD">
        <w:rPr>
          <w:rFonts w:ascii="Arial" w:hAnsi="Arial" w:cs="Arial"/>
          <w:sz w:val="22"/>
          <w:szCs w:val="22"/>
        </w:rPr>
        <w:t>Daniela García Hincapié</w:t>
      </w:r>
      <w:r w:rsidR="005322B6">
        <w:rPr>
          <w:rFonts w:ascii="Arial" w:hAnsi="Arial" w:cs="Arial"/>
          <w:sz w:val="22"/>
          <w:szCs w:val="22"/>
        </w:rPr>
        <w:t xml:space="preserve">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322B6">
        <w:rPr>
          <w:rFonts w:ascii="Arial" w:hAnsi="Arial" w:cs="Arial"/>
          <w:sz w:val="22"/>
        </w:rPr>
        <w:t>2016-</w:t>
      </w:r>
      <w:r w:rsidR="004C02AD">
        <w:rPr>
          <w:rFonts w:ascii="Arial" w:hAnsi="Arial" w:cs="Arial"/>
          <w:sz w:val="22"/>
        </w:rPr>
        <w:t>01255</w:t>
      </w:r>
      <w:r w:rsidR="005322B6">
        <w:rPr>
          <w:rFonts w:ascii="Arial" w:hAnsi="Arial" w:cs="Arial"/>
          <w:sz w:val="22"/>
        </w:rPr>
        <w:t xml:space="preserve">-00 </w:t>
      </w:r>
      <w:r w:rsidRPr="00A00766">
        <w:rPr>
          <w:rFonts w:ascii="Arial" w:hAnsi="Arial" w:cs="Arial"/>
          <w:sz w:val="22"/>
        </w:rPr>
        <w:t>(Interno No.</w:t>
      </w:r>
      <w:r w:rsidR="004C02AD">
        <w:rPr>
          <w:rFonts w:ascii="Arial" w:hAnsi="Arial" w:cs="Arial"/>
          <w:sz w:val="22"/>
        </w:rPr>
        <w:t>1255</w:t>
      </w:r>
      <w:r w:rsidRPr="00A00766">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Default="007E004A" w:rsidP="00102D82">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C628DD">
        <w:rPr>
          <w:rFonts w:ascii="Arial" w:hAnsi="Arial"/>
          <w:sz w:val="22"/>
          <w:szCs w:val="22"/>
        </w:rPr>
        <w:t>17 de 18-01-2017</w:t>
      </w:r>
    </w:p>
    <w:p w:rsidR="00B610B8" w:rsidRPr="00B610B8" w:rsidRDefault="00B610B8" w:rsidP="00B610B8">
      <w:pPr>
        <w:ind w:left="708" w:firstLine="708"/>
        <w:rPr>
          <w:rFonts w:ascii="Arial" w:hAnsi="Arial"/>
          <w:sz w:val="16"/>
          <w:szCs w:val="16"/>
        </w:rPr>
      </w:pPr>
    </w:p>
    <w:p w:rsidR="00B610B8" w:rsidRPr="002060F5" w:rsidRDefault="00B610B8" w:rsidP="00AB2294">
      <w:pPr>
        <w:ind w:left="1416"/>
        <w:jc w:val="both"/>
        <w:rPr>
          <w:rFonts w:ascii="Arial" w:hAnsi="Arial" w:cs="Arial"/>
          <w:b/>
          <w:bCs/>
          <w:sz w:val="22"/>
          <w:szCs w:val="22"/>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t xml:space="preserve">: </w:t>
      </w:r>
      <w:r w:rsidR="00AB2294" w:rsidRPr="00AB2294">
        <w:rPr>
          <w:rFonts w:ascii="Arial" w:hAnsi="Arial"/>
          <w:b/>
          <w:bCs/>
          <w:iCs/>
          <w:sz w:val="20"/>
          <w:szCs w:val="20"/>
        </w:rPr>
        <w:t>D</w:t>
      </w:r>
      <w:proofErr w:type="spellStart"/>
      <w:r w:rsidR="00AB2294" w:rsidRPr="00AB2294">
        <w:rPr>
          <w:rFonts w:ascii="Arial" w:hAnsi="Arial"/>
          <w:b/>
          <w:bCs/>
          <w:iCs/>
          <w:sz w:val="20"/>
          <w:szCs w:val="20"/>
          <w:lang w:val="es-CO"/>
        </w:rPr>
        <w:t>EBIDO</w:t>
      </w:r>
      <w:proofErr w:type="spellEnd"/>
      <w:r w:rsidR="00AB2294" w:rsidRPr="00AB2294">
        <w:rPr>
          <w:rFonts w:ascii="Arial" w:hAnsi="Arial"/>
          <w:b/>
          <w:bCs/>
          <w:iCs/>
          <w:sz w:val="20"/>
          <w:szCs w:val="20"/>
          <w:lang w:val="es-CO"/>
        </w:rPr>
        <w:t xml:space="preserve"> PROCESO / TUTELA CONTRA PROVIDENCIA JUDICIAL / NO SE AGOTARON LOS RECURSOS </w:t>
      </w:r>
      <w:r w:rsidR="00AB2294" w:rsidRPr="00AB2294">
        <w:rPr>
          <w:rFonts w:ascii="Arial" w:hAnsi="Arial"/>
          <w:b/>
          <w:bCs/>
          <w:iCs/>
          <w:sz w:val="20"/>
          <w:szCs w:val="20"/>
        </w:rPr>
        <w:t>/ CARÁCTER RESIDUAL DE LA ACCIÓN DE TUTELA /</w:t>
      </w:r>
      <w:r w:rsidR="00AB2294" w:rsidRPr="00AB2294">
        <w:rPr>
          <w:rFonts w:ascii="Arial" w:hAnsi="Arial"/>
          <w:b/>
          <w:bCs/>
          <w:iCs/>
          <w:sz w:val="20"/>
          <w:szCs w:val="20"/>
          <w:lang w:val="es-CO"/>
        </w:rPr>
        <w:t xml:space="preserve"> IMPROCEDENCIA. </w:t>
      </w:r>
      <w:r w:rsidR="00AB2294" w:rsidRPr="00AB2294">
        <w:rPr>
          <w:rFonts w:ascii="Arial" w:hAnsi="Arial"/>
          <w:bCs/>
          <w:iCs/>
          <w:sz w:val="20"/>
          <w:szCs w:val="20"/>
          <w:lang w:val="es-CO"/>
        </w:rPr>
        <w:t>“</w:t>
      </w:r>
      <w:r w:rsidR="00AB2294" w:rsidRPr="00AB2294">
        <w:rPr>
          <w:rFonts w:ascii="Arial" w:hAnsi="Arial"/>
          <w:bCs/>
          <w:iCs/>
          <w:sz w:val="20"/>
          <w:szCs w:val="20"/>
          <w:lang w:val="es-ES_tradnl"/>
        </w:rPr>
        <w:t xml:space="preserve">Conforme al acervo probatorio el actor formuló el 01-04-2016 demanda contra la señora Daniela García Hincapié para que se estableciera un régimen para visitar a su hija menor de edad (Folios 97 a 99, ib.), luego, el 26-05-2016 la demandada contestó la demanda, se opuso a las pretensiones y sugirió que las visitas se realizaran durante el receso escolar y vacaciones de la menor, porque estaba residenciada en Canadá (Folios 100 a 104, ib.). En la audiencia practicada el 24-11-2016 en la etapa de conciliación el juez suspendió la grabación de la audiencia mientras se estudiaban las fórmulas de arreglo propuestas por las partes; reanudada la grabación concluyó que se ha llegado a un acuerdo, describió el modo en que se realizarían las visitas, las llamadas telefónicas y las cargas que debía cumplir el demandante. Luego las partes afirmaron que estaban de acuerdo con la conciliación descrita en la audiencia y a continuación fue aprobada. Finalmente el apoderado del actor manifestó que no tenía recurso alguno que presentar (Audiencia obrante en disco compacto visible a folio 105, ib.). Claramente se advierte inexistente manifestación alguna por parte del accionante en cuanto a que fue coaccionado para acceder a la conciliación aprobada, por el contrario manifestó que estaba conforme con el acuerdo planteado, de tal suerte, que el juez accionado nunca tuvo la oportunidad de valorar la queja alegada en esta tutela. Además de lo expuesto, hay que decir que el accionante tampoco recurrió el proveído que aprobó la conciliación entre las partes, por consiguiente, también se advierte incumplido el presupuesto de la subsidiariedad, como ha explicado </w:t>
      </w:r>
      <w:r w:rsidR="00AB2294" w:rsidRPr="00AB2294">
        <w:rPr>
          <w:rFonts w:ascii="Arial" w:hAnsi="Arial"/>
          <w:bCs/>
          <w:iCs/>
          <w:sz w:val="20"/>
          <w:szCs w:val="20"/>
        </w:rPr>
        <w:t xml:space="preserve">la CC, que reiteradamente ha referido que la acción de tutela mal puede implementarse como medio para sustituir los mecanismos ordinarios de defensa. (…) </w:t>
      </w:r>
      <w:r w:rsidR="00AB2294" w:rsidRPr="00AB2294">
        <w:rPr>
          <w:rFonts w:ascii="Arial" w:hAnsi="Arial"/>
          <w:bCs/>
          <w:iCs/>
          <w:sz w:val="20"/>
          <w:szCs w:val="20"/>
          <w:lang w:val="es-ES_tradnl"/>
        </w:rPr>
        <w:t xml:space="preserve">En ese contexto, </w:t>
      </w:r>
      <w:r w:rsidR="00AB2294" w:rsidRPr="00AB2294">
        <w:rPr>
          <w:rFonts w:ascii="Arial" w:hAnsi="Arial"/>
          <w:bCs/>
          <w:iCs/>
          <w:sz w:val="20"/>
          <w:szCs w:val="20"/>
        </w:rPr>
        <w:t>la presente acción de tutela es improcedente toda vez que se incumplen dos de los siete (7) requisitos generales de procedibilidad, como lo son el de la subsidiariedad y el de alegar la vulneración de sus derechos en el proceso judicial.”.</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DB63AB" w:rsidRDefault="00102D82" w:rsidP="00102D82">
      <w:pPr>
        <w:spacing w:line="360" w:lineRule="auto"/>
        <w:jc w:val="center"/>
        <w:rPr>
          <w:rFonts w:ascii="Arial" w:hAnsi="Arial" w:cs="Arial"/>
          <w:iCs/>
          <w:sz w:val="28"/>
          <w:szCs w:val="28"/>
          <w:lang w:val="es-CO"/>
        </w:rPr>
      </w:pPr>
      <w:r w:rsidRPr="00DB63AB">
        <w:rPr>
          <w:rFonts w:ascii="Arial" w:hAnsi="Arial" w:cs="Arial"/>
          <w:iCs/>
          <w:smallCaps/>
          <w:sz w:val="28"/>
          <w:szCs w:val="28"/>
          <w:lang w:val="es-CO"/>
        </w:rPr>
        <w:t xml:space="preserve">Pereira, R., </w:t>
      </w:r>
      <w:r w:rsidR="00C628DD">
        <w:rPr>
          <w:rFonts w:ascii="Arial" w:hAnsi="Arial" w:cs="Arial"/>
          <w:iCs/>
          <w:smallCaps/>
          <w:sz w:val="28"/>
          <w:szCs w:val="28"/>
          <w:lang w:val="es-CO"/>
        </w:rPr>
        <w:t xml:space="preserve">dieciocho </w:t>
      </w:r>
      <w:r w:rsidRPr="00DB63AB">
        <w:rPr>
          <w:rFonts w:ascii="Arial" w:hAnsi="Arial" w:cs="Arial"/>
          <w:iCs/>
          <w:smallCaps/>
          <w:sz w:val="28"/>
          <w:szCs w:val="28"/>
          <w:lang w:val="es-CO"/>
        </w:rPr>
        <w:t>(</w:t>
      </w:r>
      <w:r w:rsidR="00C628DD">
        <w:rPr>
          <w:rFonts w:ascii="Arial" w:hAnsi="Arial" w:cs="Arial"/>
          <w:iCs/>
          <w:smallCaps/>
          <w:sz w:val="28"/>
          <w:szCs w:val="28"/>
          <w:lang w:val="es-CO"/>
        </w:rPr>
        <w:t>18</w:t>
      </w:r>
      <w:r w:rsidRPr="00DB63AB">
        <w:rPr>
          <w:rFonts w:ascii="Arial" w:hAnsi="Arial" w:cs="Arial"/>
          <w:iCs/>
          <w:smallCaps/>
          <w:sz w:val="28"/>
          <w:szCs w:val="28"/>
          <w:lang w:val="es-CO"/>
        </w:rPr>
        <w:t xml:space="preserve">) de </w:t>
      </w:r>
      <w:r w:rsidR="004C02AD">
        <w:rPr>
          <w:rFonts w:ascii="Arial" w:hAnsi="Arial" w:cs="Arial"/>
          <w:iCs/>
          <w:smallCaps/>
          <w:sz w:val="28"/>
          <w:szCs w:val="28"/>
          <w:lang w:val="es-CO"/>
        </w:rPr>
        <w:t xml:space="preserve">enero </w:t>
      </w:r>
      <w:r w:rsidRPr="00DB63AB">
        <w:rPr>
          <w:rFonts w:ascii="Arial" w:hAnsi="Arial" w:cs="Arial"/>
          <w:iCs/>
          <w:smallCaps/>
          <w:sz w:val="28"/>
          <w:szCs w:val="28"/>
          <w:lang w:val="es-CO"/>
        </w:rPr>
        <w:t xml:space="preserve">de dos mil </w:t>
      </w:r>
      <w:r w:rsidR="004C02AD">
        <w:rPr>
          <w:rFonts w:ascii="Arial" w:hAnsi="Arial" w:cs="Arial"/>
          <w:iCs/>
          <w:smallCaps/>
          <w:sz w:val="28"/>
          <w:szCs w:val="28"/>
          <w:lang w:val="es-CO"/>
        </w:rPr>
        <w:t xml:space="preserve">diecisiete </w:t>
      </w:r>
      <w:r w:rsidRPr="00DB63AB">
        <w:rPr>
          <w:rFonts w:ascii="Arial" w:hAnsi="Arial" w:cs="Arial"/>
          <w:iCs/>
          <w:smallCaps/>
          <w:sz w:val="28"/>
          <w:szCs w:val="28"/>
          <w:lang w:val="es-CO"/>
        </w:rPr>
        <w:t>(</w:t>
      </w:r>
      <w:r w:rsidR="004C02AD">
        <w:rPr>
          <w:rFonts w:ascii="Arial" w:hAnsi="Arial" w:cs="Arial"/>
          <w:iCs/>
          <w:smallCaps/>
          <w:sz w:val="28"/>
          <w:szCs w:val="28"/>
          <w:lang w:val="es-CO"/>
        </w:rPr>
        <w:t>2017</w:t>
      </w:r>
      <w:r w:rsidRPr="00DB63AB">
        <w:rPr>
          <w:rFonts w:ascii="Arial" w:hAnsi="Arial" w:cs="Arial"/>
          <w:iCs/>
          <w:smallCaps/>
          <w:sz w:val="28"/>
          <w:szCs w:val="28"/>
          <w:lang w:val="es-CO"/>
        </w:rPr>
        <w:t>)</w:t>
      </w:r>
      <w:r w:rsidRPr="00DB63AB">
        <w:rPr>
          <w:rFonts w:ascii="Arial" w:hAnsi="Arial" w:cs="Arial"/>
          <w:iCs/>
          <w:sz w:val="28"/>
          <w:szCs w:val="28"/>
          <w:lang w:val="es-CO"/>
        </w:rPr>
        <w:t>.</w:t>
      </w:r>
    </w:p>
    <w:p w:rsidR="000147A2" w:rsidRPr="007251E6"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251E6" w:rsidRDefault="00134F0A" w:rsidP="007949D4">
      <w:pPr>
        <w:pStyle w:val="Corpsdetexte"/>
        <w:spacing w:line="360" w:lineRule="auto"/>
        <w:rPr>
          <w:rFonts w:ascii="Arial" w:hAnsi="Arial"/>
          <w:sz w:val="20"/>
          <w:szCs w:val="24"/>
        </w:rPr>
      </w:pPr>
    </w:p>
    <w:p w:rsidR="00645B05" w:rsidRDefault="00645B05" w:rsidP="00645B05">
      <w:pPr>
        <w:pStyle w:val="Corpsdetexte"/>
        <w:spacing w:line="360" w:lineRule="auto"/>
        <w:rPr>
          <w:rFonts w:ascii="Arial" w:hAnsi="Arial"/>
          <w:szCs w:val="24"/>
        </w:rPr>
      </w:pPr>
      <w:r w:rsidRPr="00F9418E">
        <w:rPr>
          <w:rFonts w:ascii="Arial" w:hAnsi="Arial"/>
          <w:szCs w:val="24"/>
        </w:rPr>
        <w:t xml:space="preserve">La </w:t>
      </w:r>
      <w:r w:rsidR="005322B6">
        <w:rPr>
          <w:rFonts w:ascii="Arial" w:hAnsi="Arial"/>
          <w:szCs w:val="24"/>
        </w:rPr>
        <w:t>acción constitucional referida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322B6">
        <w:rPr>
          <w:rFonts w:ascii="Arial" w:hAnsi="Arial"/>
          <w:szCs w:val="24"/>
        </w:rPr>
        <w:t xml:space="preserve"> invalide</w:t>
      </w:r>
      <w:r w:rsidRPr="00F9418E">
        <w:rPr>
          <w:rFonts w:ascii="Arial" w:hAnsi="Arial"/>
          <w:szCs w:val="24"/>
        </w:rPr>
        <w:t>.</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7251E6" w:rsidRDefault="0099045D" w:rsidP="0099045D">
      <w:pPr>
        <w:pStyle w:val="Corpsdetexte"/>
        <w:spacing w:line="360" w:lineRule="auto"/>
        <w:rPr>
          <w:rFonts w:ascii="Arial" w:hAnsi="Arial" w:cs="Arial"/>
          <w:sz w:val="20"/>
          <w:szCs w:val="24"/>
        </w:rPr>
      </w:pPr>
    </w:p>
    <w:p w:rsidR="003843DB" w:rsidRPr="00021447" w:rsidRDefault="00BF5544" w:rsidP="003843DB">
      <w:pPr>
        <w:spacing w:line="360" w:lineRule="auto"/>
        <w:jc w:val="both"/>
        <w:rPr>
          <w:rFonts w:ascii="Arial" w:hAnsi="Arial" w:cs="Arial"/>
          <w:sz w:val="22"/>
        </w:rPr>
      </w:pPr>
      <w:r>
        <w:rPr>
          <w:rFonts w:ascii="Arial" w:hAnsi="Arial" w:cs="Arial"/>
          <w:color w:val="000000"/>
        </w:rPr>
        <w:t xml:space="preserve">Relató el actor </w:t>
      </w:r>
      <w:r w:rsidR="004C02AD">
        <w:rPr>
          <w:rFonts w:ascii="Arial" w:hAnsi="Arial" w:cs="Arial"/>
          <w:color w:val="000000"/>
        </w:rPr>
        <w:t xml:space="preserve">que demandó a la señora Daniela García Hincapié ante el juzgado accionado en proceso de revisión de visitas, </w:t>
      </w:r>
      <w:r w:rsidR="00021447">
        <w:rPr>
          <w:rFonts w:ascii="Arial" w:hAnsi="Arial" w:cs="Arial"/>
          <w:color w:val="000000"/>
        </w:rPr>
        <w:t xml:space="preserve">y que en la audiencia celebrada </w:t>
      </w:r>
      <w:r w:rsidR="004C02AD">
        <w:rPr>
          <w:rFonts w:ascii="Arial" w:hAnsi="Arial" w:cs="Arial"/>
          <w:color w:val="000000"/>
        </w:rPr>
        <w:t>el 23-11-2016</w:t>
      </w:r>
      <w:r w:rsidR="00021447">
        <w:rPr>
          <w:rFonts w:ascii="Arial" w:hAnsi="Arial" w:cs="Arial"/>
          <w:color w:val="000000"/>
        </w:rPr>
        <w:t xml:space="preserve"> se vio sometido a aceptar la voluntad de la parte demandada, </w:t>
      </w:r>
      <w:r w:rsidR="00814DD0">
        <w:rPr>
          <w:rFonts w:ascii="Arial" w:hAnsi="Arial" w:cs="Arial"/>
          <w:color w:val="000000"/>
        </w:rPr>
        <w:t xml:space="preserve">debido a que la menor </w:t>
      </w:r>
      <w:r w:rsidR="00814DD0">
        <w:rPr>
          <w:rFonts w:ascii="Arial" w:hAnsi="Arial" w:cs="Arial"/>
          <w:color w:val="000000"/>
          <w:lang w:val="es-CO"/>
        </w:rPr>
        <w:t xml:space="preserve">se encuentra </w:t>
      </w:r>
      <w:r w:rsidR="00814DD0">
        <w:rPr>
          <w:rFonts w:ascii="Arial" w:hAnsi="Arial" w:cs="Arial"/>
          <w:color w:val="000000"/>
        </w:rPr>
        <w:t xml:space="preserve">fuera del país producto de autorización realizada por el </w:t>
      </w:r>
      <w:r w:rsidR="00021447">
        <w:rPr>
          <w:rFonts w:ascii="Arial" w:hAnsi="Arial" w:cs="Arial"/>
          <w:color w:val="000000"/>
        </w:rPr>
        <w:t>Juzgado de Familia de Dosquebradas mediante sentencia del 08-06-2016</w:t>
      </w:r>
      <w:r w:rsidR="00814DD0">
        <w:rPr>
          <w:rFonts w:ascii="Arial" w:hAnsi="Arial" w:cs="Arial"/>
          <w:color w:val="000000"/>
        </w:rPr>
        <w:t>, de manera que solo podrá visitarla dos veces al año y estará obligado a pagar los gastos de desplazamiento</w:t>
      </w:r>
      <w:r w:rsidR="00934DEB" w:rsidRPr="00021447">
        <w:rPr>
          <w:rFonts w:ascii="Arial" w:hAnsi="Arial" w:cs="Arial"/>
          <w:sz w:val="22"/>
        </w:rPr>
        <w:t xml:space="preserve"> </w:t>
      </w:r>
      <w:r w:rsidR="003843DB" w:rsidRPr="00021447">
        <w:rPr>
          <w:rFonts w:ascii="Arial" w:hAnsi="Arial" w:cs="Arial"/>
          <w:sz w:val="22"/>
        </w:rPr>
        <w:t xml:space="preserve">(Folios </w:t>
      </w:r>
      <w:r w:rsidR="008E3493" w:rsidRPr="00021447">
        <w:rPr>
          <w:rFonts w:ascii="Arial" w:hAnsi="Arial" w:cs="Arial"/>
          <w:sz w:val="22"/>
        </w:rPr>
        <w:t>1 a 8</w:t>
      </w:r>
      <w:r w:rsidR="003843DB" w:rsidRPr="00021447">
        <w:rPr>
          <w:rFonts w:ascii="Arial" w:hAnsi="Arial" w:cs="Arial"/>
          <w:sz w:val="22"/>
        </w:rPr>
        <w:t xml:space="preserve">, este cuaderno). </w:t>
      </w:r>
    </w:p>
    <w:p w:rsidR="007A12E1" w:rsidRPr="007251E6" w:rsidRDefault="007A12E1" w:rsidP="00AC2785">
      <w:pPr>
        <w:spacing w:line="360" w:lineRule="auto"/>
        <w:jc w:val="both"/>
        <w:rPr>
          <w:rFonts w:ascii="Arial" w:hAnsi="Arial" w:cs="Arial"/>
          <w:color w:val="000000"/>
          <w:sz w:val="20"/>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934DEB"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Se infiere del petitorio que se pretende la protección del </w:t>
      </w:r>
      <w:r w:rsidR="0079124B">
        <w:rPr>
          <w:rFonts w:ascii="Arial" w:hAnsi="Arial" w:cs="Arial"/>
          <w:spacing w:val="-3"/>
          <w:lang w:val="es-ES_tradnl"/>
        </w:rPr>
        <w:t>derecho fundamental</w:t>
      </w:r>
      <w:r w:rsidR="004A4E9F">
        <w:rPr>
          <w:rFonts w:ascii="Arial" w:hAnsi="Arial" w:cs="Arial"/>
          <w:spacing w:val="-3"/>
          <w:lang w:val="es-ES_tradnl"/>
        </w:rPr>
        <w:t xml:space="preserve"> </w:t>
      </w:r>
      <w:r w:rsidR="0079124B">
        <w:rPr>
          <w:rFonts w:ascii="Arial" w:hAnsi="Arial" w:cs="Arial"/>
          <w:spacing w:val="-3"/>
          <w:lang w:val="es-ES_tradnl"/>
        </w:rPr>
        <w:t xml:space="preserve">al debido proceso </w:t>
      </w:r>
      <w:r>
        <w:rPr>
          <w:rFonts w:ascii="Arial" w:hAnsi="Arial" w:cs="Arial"/>
        </w:rPr>
        <w:t>(Folios 1 a 8</w:t>
      </w:r>
      <w:r w:rsidR="00645B05" w:rsidRPr="00FD594D">
        <w:rPr>
          <w:rFonts w:ascii="Arial" w:hAnsi="Arial" w:cs="Arial"/>
        </w:rPr>
        <w:t>, este cuaderno).</w:t>
      </w:r>
      <w:r w:rsidR="002F2C09">
        <w:rPr>
          <w:rFonts w:ascii="Arial" w:hAnsi="Arial" w:cs="Arial"/>
          <w:spacing w:val="-3"/>
          <w:lang w:val="es-ES_tradnl"/>
        </w:rPr>
        <w:t xml:space="preserve"> </w:t>
      </w:r>
    </w:p>
    <w:p w:rsidR="0079124B" w:rsidRPr="007251E6" w:rsidRDefault="0079124B"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41916" w:rsidRPr="007251E6" w:rsidRDefault="00341916" w:rsidP="00341916">
      <w:pPr>
        <w:pStyle w:val="Corpsdetexte"/>
        <w:spacing w:line="360" w:lineRule="auto"/>
        <w:ind w:left="360"/>
        <w:rPr>
          <w:rFonts w:ascii="Arial" w:hAnsi="Arial"/>
          <w:sz w:val="20"/>
          <w:szCs w:val="24"/>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retende que</w:t>
      </w:r>
      <w:r w:rsidR="00934DEB">
        <w:rPr>
          <w:rFonts w:ascii="Arial" w:hAnsi="Arial" w:cs="Arial"/>
        </w:rPr>
        <w:t xml:space="preserve"> se deje sin efectos </w:t>
      </w:r>
      <w:r w:rsidR="00021447">
        <w:rPr>
          <w:rFonts w:ascii="Arial" w:hAnsi="Arial" w:cs="Arial"/>
        </w:rPr>
        <w:t xml:space="preserve">la conciliación celebrada el 23-11-2016 </w:t>
      </w:r>
      <w:r w:rsidR="00934DEB">
        <w:rPr>
          <w:rFonts w:ascii="Arial" w:hAnsi="Arial" w:cs="Arial"/>
        </w:rPr>
        <w:t>por el accionado</w:t>
      </w:r>
      <w:r w:rsidR="0079124B">
        <w:rPr>
          <w:rFonts w:ascii="Arial" w:hAnsi="Arial" w:cs="Arial"/>
        </w:rPr>
        <w:t xml:space="preserve"> </w:t>
      </w:r>
      <w:r w:rsidR="00645B05" w:rsidRPr="00FD594D">
        <w:rPr>
          <w:rFonts w:ascii="Arial" w:hAnsi="Arial" w:cs="Arial"/>
        </w:rPr>
        <w:t xml:space="preserve">(Folio </w:t>
      </w:r>
      <w:r w:rsidR="00934DEB">
        <w:rPr>
          <w:rFonts w:ascii="Arial" w:hAnsi="Arial" w:cs="Arial"/>
        </w:rPr>
        <w:t>6</w:t>
      </w:r>
      <w:r w:rsidR="00645B05" w:rsidRPr="00FD594D">
        <w:rPr>
          <w:rFonts w:ascii="Arial" w:hAnsi="Arial" w:cs="Arial"/>
        </w:rPr>
        <w:t>, este cuaderno).</w:t>
      </w:r>
    </w:p>
    <w:p w:rsidR="00CE71D8" w:rsidRPr="007251E6" w:rsidRDefault="00CE71D8" w:rsidP="000145EA">
      <w:pPr>
        <w:pStyle w:val="Sansinterligne"/>
        <w:spacing w:line="360" w:lineRule="auto"/>
        <w:jc w:val="both"/>
        <w:rPr>
          <w:rFonts w:ascii="Arial" w:hAnsi="Arial" w:cs="Arial"/>
          <w:sz w:val="20"/>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251E6" w:rsidRDefault="0035297D" w:rsidP="00704D44">
      <w:pPr>
        <w:pStyle w:val="Sansinterligne"/>
        <w:tabs>
          <w:tab w:val="left" w:pos="1200"/>
        </w:tabs>
        <w:spacing w:line="360" w:lineRule="auto"/>
        <w:jc w:val="both"/>
        <w:rPr>
          <w:rFonts w:ascii="Arial" w:hAnsi="Arial"/>
          <w:sz w:val="20"/>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814DD0">
        <w:rPr>
          <w:rFonts w:ascii="Arial" w:hAnsi="Arial"/>
        </w:rPr>
        <w:t>13</w:t>
      </w:r>
      <w:r w:rsidR="00B374AE">
        <w:rPr>
          <w:rFonts w:ascii="Arial" w:hAnsi="Arial"/>
        </w:rPr>
        <w:t>-</w:t>
      </w:r>
      <w:r w:rsidR="00814DD0">
        <w:rPr>
          <w:rFonts w:ascii="Arial" w:hAnsi="Arial"/>
        </w:rPr>
        <w:t>12</w:t>
      </w:r>
      <w:r w:rsidR="00B374AE">
        <w:rPr>
          <w:rFonts w:ascii="Arial" w:hAnsi="Arial"/>
        </w:rPr>
        <w:t>-2016</w:t>
      </w:r>
      <w:r w:rsidR="00DD597F">
        <w:rPr>
          <w:rFonts w:ascii="Arial" w:hAnsi="Arial"/>
        </w:rPr>
        <w:t xml:space="preserve">, </w:t>
      </w:r>
      <w:r w:rsidR="003606C8" w:rsidRPr="00B74361">
        <w:rPr>
          <w:rFonts w:ascii="Arial" w:hAnsi="Arial"/>
        </w:rPr>
        <w:t>con providencia</w:t>
      </w:r>
      <w:r w:rsidR="003606C8" w:rsidRPr="008E5A62">
        <w:rPr>
          <w:rFonts w:ascii="Arial" w:hAnsi="Arial"/>
        </w:rPr>
        <w:t xml:space="preserve"> </w:t>
      </w:r>
      <w:r w:rsidR="00EF64A3">
        <w:rPr>
          <w:rFonts w:ascii="Arial" w:hAnsi="Arial"/>
        </w:rPr>
        <w:t>de</w:t>
      </w:r>
      <w:r w:rsidR="00FF281F">
        <w:rPr>
          <w:rFonts w:ascii="Arial" w:hAnsi="Arial"/>
        </w:rPr>
        <w:t xml:space="preserve">l día </w:t>
      </w:r>
      <w:r w:rsidR="00814DD0">
        <w:rPr>
          <w:rFonts w:ascii="Arial" w:hAnsi="Arial"/>
        </w:rPr>
        <w:t>15</w:t>
      </w:r>
      <w:r w:rsidR="00934DEB">
        <w:rPr>
          <w:rFonts w:ascii="Arial" w:hAnsi="Arial"/>
        </w:rPr>
        <w:t xml:space="preserve">-12-2016 </w:t>
      </w:r>
      <w:r w:rsidR="00FF281F">
        <w:rPr>
          <w:rFonts w:ascii="Arial" w:hAnsi="Arial"/>
        </w:rPr>
        <w:t>se</w:t>
      </w:r>
      <w:r w:rsidR="00934DEB">
        <w:rPr>
          <w:rFonts w:ascii="Arial" w:hAnsi="Arial"/>
        </w:rPr>
        <w:t xml:space="preserve"> </w:t>
      </w:r>
      <w:r w:rsidR="00FF281F">
        <w:rPr>
          <w:rFonts w:ascii="Arial" w:hAnsi="Arial"/>
        </w:rPr>
        <w:t>admitió</w:t>
      </w:r>
      <w:r>
        <w:rPr>
          <w:rFonts w:ascii="Arial" w:hAnsi="Arial"/>
        </w:rPr>
        <w:t xml:space="preserve">,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B374AE">
        <w:rPr>
          <w:rFonts w:ascii="Arial" w:hAnsi="Arial"/>
        </w:rPr>
        <w:t xml:space="preserve"> (Folio</w:t>
      </w:r>
      <w:r w:rsidR="008E50E4">
        <w:rPr>
          <w:rFonts w:ascii="Arial" w:hAnsi="Arial"/>
        </w:rPr>
        <w:t xml:space="preserve"> </w:t>
      </w:r>
      <w:r w:rsidR="00814DD0">
        <w:rPr>
          <w:rFonts w:ascii="Arial" w:hAnsi="Arial"/>
        </w:rPr>
        <w:t>65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934DEB">
        <w:rPr>
          <w:rFonts w:ascii="Arial" w:hAnsi="Arial"/>
        </w:rPr>
        <w:t>s</w:t>
      </w:r>
      <w:r w:rsidR="008E50E4">
        <w:rPr>
          <w:rFonts w:ascii="Arial" w:hAnsi="Arial"/>
        </w:rPr>
        <w:t xml:space="preserve"> </w:t>
      </w:r>
      <w:r w:rsidR="00814DD0">
        <w:rPr>
          <w:rFonts w:ascii="Arial" w:hAnsi="Arial"/>
        </w:rPr>
        <w:t>66 a 68</w:t>
      </w:r>
      <w:r w:rsidR="00934DEB">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w:t>
      </w:r>
      <w:r w:rsidR="00FF281F">
        <w:rPr>
          <w:rFonts w:ascii="Arial" w:hAnsi="Arial"/>
        </w:rPr>
        <w:t xml:space="preserve"> </w:t>
      </w:r>
      <w:r w:rsidR="00370C42">
        <w:rPr>
          <w:rFonts w:ascii="Arial" w:hAnsi="Arial"/>
        </w:rPr>
        <w:t>Contestaron</w:t>
      </w:r>
      <w:r w:rsidR="00DB6819">
        <w:rPr>
          <w:rFonts w:ascii="Arial" w:hAnsi="Arial"/>
        </w:rPr>
        <w:t xml:space="preserve"> </w:t>
      </w:r>
      <w:r w:rsidR="00FF281F">
        <w:rPr>
          <w:rFonts w:ascii="Arial" w:hAnsi="Arial"/>
        </w:rPr>
        <w:t xml:space="preserve">el Procurador </w:t>
      </w:r>
      <w:r w:rsidR="003057EE">
        <w:rPr>
          <w:rFonts w:ascii="Arial" w:hAnsi="Arial"/>
        </w:rPr>
        <w:t xml:space="preserve">21 Judicial II </w:t>
      </w:r>
      <w:r w:rsidR="00645B05">
        <w:rPr>
          <w:rFonts w:ascii="Arial" w:hAnsi="Arial"/>
          <w:lang w:val="es-CO"/>
        </w:rPr>
        <w:t>(Folio</w:t>
      </w:r>
      <w:r w:rsidR="00370C42">
        <w:rPr>
          <w:rFonts w:ascii="Arial" w:hAnsi="Arial"/>
          <w:lang w:val="es-CO"/>
        </w:rPr>
        <w:t>s</w:t>
      </w:r>
      <w:r w:rsidR="00645B05">
        <w:rPr>
          <w:rFonts w:ascii="Arial" w:hAnsi="Arial"/>
          <w:lang w:val="es-CO"/>
        </w:rPr>
        <w:t xml:space="preserve"> </w:t>
      </w:r>
      <w:r w:rsidR="00814DD0">
        <w:rPr>
          <w:rFonts w:ascii="Arial" w:hAnsi="Arial"/>
          <w:lang w:val="es-CO"/>
        </w:rPr>
        <w:t>69 a 73</w:t>
      </w:r>
      <w:r w:rsidR="003057EE">
        <w:rPr>
          <w:rFonts w:ascii="Arial" w:hAnsi="Arial"/>
          <w:lang w:val="es-CO"/>
        </w:rPr>
        <w:t xml:space="preserve">, </w:t>
      </w:r>
      <w:r w:rsidR="00370C42">
        <w:rPr>
          <w:rFonts w:ascii="Arial" w:hAnsi="Arial"/>
          <w:lang w:val="es-CO"/>
        </w:rPr>
        <w:t>ib.</w:t>
      </w:r>
      <w:r w:rsidR="00645B05">
        <w:rPr>
          <w:rFonts w:ascii="Arial" w:hAnsi="Arial"/>
          <w:lang w:val="es-CO"/>
        </w:rPr>
        <w:t>)</w:t>
      </w:r>
      <w:r w:rsidR="00814DD0">
        <w:rPr>
          <w:rFonts w:ascii="Arial" w:hAnsi="Arial"/>
          <w:lang w:val="es-CO"/>
        </w:rPr>
        <w:t xml:space="preserve">, </w:t>
      </w:r>
      <w:r w:rsidR="00814DD0">
        <w:rPr>
          <w:rFonts w:ascii="Arial" w:hAnsi="Arial"/>
        </w:rPr>
        <w:t>la señora Daniela García Hincapié (Folios 75 a 82, ib.) y el accionado (Folio 95, ib.)</w:t>
      </w:r>
      <w:r w:rsidR="00CB54FB">
        <w:rPr>
          <w:rFonts w:ascii="Arial" w:hAnsi="Arial" w:cs="Arial"/>
          <w:spacing w:val="3"/>
        </w:rPr>
        <w:t>.</w:t>
      </w:r>
      <w:r w:rsidR="001A4C76">
        <w:rPr>
          <w:rFonts w:ascii="Arial" w:hAnsi="Arial" w:cs="Arial"/>
        </w:rPr>
        <w:t xml:space="preserve"> </w:t>
      </w:r>
    </w:p>
    <w:p w:rsidR="00B41B34" w:rsidRPr="007251E6"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Default="00310F89" w:rsidP="004774FB">
      <w:pPr>
        <w:spacing w:line="360" w:lineRule="auto"/>
        <w:jc w:val="both"/>
        <w:rPr>
          <w:rFonts w:ascii="Arial" w:hAnsi="Arial"/>
          <w:sz w:val="20"/>
        </w:rPr>
      </w:pPr>
    </w:p>
    <w:p w:rsidR="00814DD0" w:rsidRDefault="00814DD0" w:rsidP="00814DD0">
      <w:pPr>
        <w:spacing w:line="360" w:lineRule="auto"/>
        <w:jc w:val="both"/>
        <w:rPr>
          <w:rFonts w:ascii="Arial" w:hAnsi="Arial"/>
        </w:rPr>
      </w:pPr>
      <w:r w:rsidRPr="00814DD0">
        <w:rPr>
          <w:rFonts w:ascii="Arial" w:hAnsi="Arial"/>
        </w:rPr>
        <w:t>El Procurador 21 Judicial II</w:t>
      </w:r>
      <w:r w:rsidR="00BE57C7">
        <w:rPr>
          <w:rFonts w:ascii="Arial" w:hAnsi="Arial"/>
        </w:rPr>
        <w:t xml:space="preserve"> manifestó que los reproches que se hacen a la conciliación celebrada ante el juzgado accionado carecen de sustento suficiente para dejarla sin efecto, además, que sería desfavorable para el actor y para su hija porque quedarían si piso los compromisos pactados </w:t>
      </w:r>
      <w:r>
        <w:rPr>
          <w:rFonts w:ascii="Arial" w:hAnsi="Arial" w:cs="Arial"/>
          <w:spacing w:val="3"/>
        </w:rPr>
        <w:t xml:space="preserve">(Folios </w:t>
      </w:r>
      <w:r w:rsidR="00BE57C7">
        <w:rPr>
          <w:rFonts w:ascii="Arial" w:hAnsi="Arial" w:cs="Arial"/>
          <w:spacing w:val="3"/>
        </w:rPr>
        <w:t>70 a 73</w:t>
      </w:r>
      <w:r>
        <w:rPr>
          <w:rFonts w:ascii="Arial" w:hAnsi="Arial" w:cs="Arial"/>
          <w:spacing w:val="3"/>
        </w:rPr>
        <w:t>, ib.)</w:t>
      </w:r>
      <w:r>
        <w:rPr>
          <w:rFonts w:ascii="Arial" w:hAnsi="Arial"/>
        </w:rPr>
        <w:t xml:space="preserve">. </w:t>
      </w:r>
    </w:p>
    <w:p w:rsidR="00814DD0" w:rsidRDefault="00814DD0" w:rsidP="004774FB">
      <w:pPr>
        <w:spacing w:line="360" w:lineRule="auto"/>
        <w:jc w:val="both"/>
        <w:rPr>
          <w:rFonts w:ascii="Arial" w:hAnsi="Arial"/>
          <w:sz w:val="20"/>
        </w:rPr>
      </w:pPr>
    </w:p>
    <w:p w:rsidR="00BE57C7" w:rsidRDefault="00BE57C7" w:rsidP="00BE57C7">
      <w:pPr>
        <w:spacing w:line="360" w:lineRule="auto"/>
        <w:jc w:val="both"/>
        <w:rPr>
          <w:rFonts w:ascii="Arial" w:hAnsi="Arial"/>
        </w:rPr>
      </w:pPr>
      <w:r w:rsidRPr="00BE57C7">
        <w:rPr>
          <w:rFonts w:ascii="Arial" w:hAnsi="Arial"/>
        </w:rPr>
        <w:t>La señora Daniela García Hincapié</w:t>
      </w:r>
      <w:r>
        <w:rPr>
          <w:rFonts w:ascii="Arial" w:hAnsi="Arial"/>
        </w:rPr>
        <w:t xml:space="preserve"> </w:t>
      </w:r>
      <w:r w:rsidR="004B101A">
        <w:rPr>
          <w:rFonts w:ascii="Arial" w:hAnsi="Arial"/>
        </w:rPr>
        <w:t>s</w:t>
      </w:r>
      <w:r>
        <w:rPr>
          <w:rFonts w:ascii="Arial" w:hAnsi="Arial"/>
        </w:rPr>
        <w:t xml:space="preserve">e opuso a la prosperidad de la tutela con fundamento </w:t>
      </w:r>
      <w:r w:rsidR="00C628DD">
        <w:rPr>
          <w:rFonts w:ascii="Arial" w:hAnsi="Arial"/>
        </w:rPr>
        <w:t xml:space="preserve">en que </w:t>
      </w:r>
      <w:r w:rsidR="004B101A">
        <w:rPr>
          <w:rFonts w:ascii="Arial" w:hAnsi="Arial"/>
        </w:rPr>
        <w:t xml:space="preserve">el accionante, tanto en los acuerdos como en la conciliación estuvo acompañado de apoderado judicial y él mismo concilió en los términos de la decisión cuestionada </w:t>
      </w:r>
      <w:r>
        <w:rPr>
          <w:rFonts w:ascii="Arial" w:hAnsi="Arial"/>
        </w:rPr>
        <w:t xml:space="preserve">(Folios </w:t>
      </w:r>
      <w:r w:rsidR="004B101A">
        <w:rPr>
          <w:rFonts w:ascii="Arial" w:hAnsi="Arial"/>
        </w:rPr>
        <w:t>75 a 82</w:t>
      </w:r>
      <w:r>
        <w:rPr>
          <w:rFonts w:ascii="Arial" w:hAnsi="Arial"/>
        </w:rPr>
        <w:t xml:space="preserve">, ib.).  </w:t>
      </w:r>
    </w:p>
    <w:p w:rsidR="00C85A0F" w:rsidRPr="00FD594D" w:rsidRDefault="00370C42" w:rsidP="00C85A0F">
      <w:pPr>
        <w:spacing w:line="360" w:lineRule="auto"/>
        <w:jc w:val="both"/>
        <w:rPr>
          <w:rFonts w:ascii="Arial" w:hAnsi="Arial"/>
        </w:rPr>
      </w:pPr>
      <w:r w:rsidRPr="004B101A">
        <w:rPr>
          <w:rFonts w:ascii="Arial" w:hAnsi="Arial"/>
        </w:rPr>
        <w:lastRenderedPageBreak/>
        <w:t xml:space="preserve">El Juzgado </w:t>
      </w:r>
      <w:r w:rsidR="004B101A">
        <w:rPr>
          <w:rFonts w:ascii="Arial" w:hAnsi="Arial"/>
          <w:lang w:val="es-CO"/>
        </w:rPr>
        <w:t xml:space="preserve">Segundo de </w:t>
      </w:r>
      <w:r w:rsidRPr="004B101A">
        <w:rPr>
          <w:rFonts w:ascii="Arial" w:hAnsi="Arial"/>
        </w:rPr>
        <w:t xml:space="preserve">Familia </w:t>
      </w:r>
      <w:r w:rsidR="004B101A">
        <w:rPr>
          <w:rFonts w:ascii="Arial" w:hAnsi="Arial"/>
        </w:rPr>
        <w:t xml:space="preserve">de Pereira adujo que se atiene a </w:t>
      </w:r>
      <w:r w:rsidR="001A0814">
        <w:rPr>
          <w:rFonts w:ascii="Arial" w:hAnsi="Arial"/>
        </w:rPr>
        <w:t xml:space="preserve">lo que se decida </w:t>
      </w:r>
      <w:r w:rsidR="004B101A">
        <w:rPr>
          <w:rFonts w:ascii="Arial" w:hAnsi="Arial"/>
        </w:rPr>
        <w:t>por esta Corporación</w:t>
      </w:r>
      <w:r w:rsidR="001A0814">
        <w:rPr>
          <w:rFonts w:ascii="Arial" w:hAnsi="Arial"/>
        </w:rPr>
        <w:t>. A</w:t>
      </w:r>
      <w:r w:rsidR="004B101A">
        <w:rPr>
          <w:rFonts w:ascii="Arial" w:hAnsi="Arial"/>
        </w:rPr>
        <w:t xml:space="preserve">claró que la tutela refiere a hechos relacionados con decisiones del Juzgado de Familia de Dosquebradas, por lo que consideró confusa la admisión del amparo en su contra </w:t>
      </w:r>
      <w:r w:rsidR="00C85A0F" w:rsidRPr="00FD594D">
        <w:rPr>
          <w:rFonts w:ascii="Arial" w:hAnsi="Arial"/>
        </w:rPr>
        <w:t>(Folio</w:t>
      </w:r>
      <w:r w:rsidR="00C85A0F">
        <w:rPr>
          <w:rFonts w:ascii="Arial" w:hAnsi="Arial"/>
        </w:rPr>
        <w:t>s</w:t>
      </w:r>
      <w:r w:rsidR="00C85A0F" w:rsidRPr="00FD594D">
        <w:rPr>
          <w:rFonts w:ascii="Arial" w:hAnsi="Arial"/>
        </w:rPr>
        <w:t xml:space="preserve"> </w:t>
      </w:r>
      <w:r w:rsidR="004B101A">
        <w:rPr>
          <w:rFonts w:ascii="Arial" w:hAnsi="Arial"/>
        </w:rPr>
        <w:t>95</w:t>
      </w:r>
      <w:r w:rsidR="00C85A0F">
        <w:rPr>
          <w:rFonts w:ascii="Arial" w:hAnsi="Arial"/>
        </w:rPr>
        <w:t xml:space="preserve">, </w:t>
      </w:r>
      <w:r w:rsidR="00C85A0F" w:rsidRPr="00FD594D">
        <w:rPr>
          <w:rFonts w:ascii="Arial" w:hAnsi="Arial"/>
        </w:rPr>
        <w:t xml:space="preserve">ib.). </w:t>
      </w:r>
    </w:p>
    <w:p w:rsidR="004368E6" w:rsidRDefault="004368E6" w:rsidP="00310F89">
      <w:pPr>
        <w:spacing w:line="360" w:lineRule="auto"/>
        <w:jc w:val="both"/>
        <w:rPr>
          <w:rFonts w:ascii="Arial" w:hAnsi="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4368E6" w:rsidRDefault="004368E6" w:rsidP="004368E6">
      <w:pPr>
        <w:pStyle w:val="Corpsdetexte"/>
        <w:spacing w:line="360" w:lineRule="auto"/>
        <w:ind w:left="400"/>
        <w:rPr>
          <w:rFonts w:ascii="Arial" w:hAnsi="Arial"/>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D81928" w:rsidRDefault="00D81928" w:rsidP="00D81928">
      <w:pPr>
        <w:pStyle w:val="Corpsdetexte"/>
        <w:tabs>
          <w:tab w:val="clear" w:pos="708"/>
          <w:tab w:val="left" w:pos="709"/>
        </w:tabs>
        <w:spacing w:line="360" w:lineRule="auto"/>
        <w:ind w:left="720"/>
        <w:rPr>
          <w:rFonts w:ascii="Arial" w:hAnsi="Arial"/>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1A0814">
        <w:rPr>
          <w:rFonts w:ascii="Arial" w:hAnsi="Arial" w:cs="Arial"/>
          <w:color w:val="000000"/>
          <w:sz w:val="24"/>
          <w:szCs w:val="24"/>
          <w:lang w:val="es-CO"/>
        </w:rPr>
        <w:t xml:space="preserve">Segundo </w:t>
      </w:r>
      <w:r w:rsidR="00DC2E31">
        <w:rPr>
          <w:rFonts w:ascii="Arial" w:hAnsi="Arial" w:cs="Arial"/>
          <w:color w:val="000000"/>
          <w:sz w:val="24"/>
          <w:szCs w:val="24"/>
        </w:rPr>
        <w:t xml:space="preserve">de Familia de </w:t>
      </w:r>
      <w:r w:rsidR="001A0814">
        <w:rPr>
          <w:rFonts w:ascii="Arial" w:hAnsi="Arial" w:cs="Arial"/>
          <w:color w:val="000000"/>
          <w:sz w:val="24"/>
          <w:szCs w:val="24"/>
        </w:rPr>
        <w:t xml:space="preserve">Pereira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DC2E31" w:rsidRPr="00EE1C51" w:rsidRDefault="00DC2E31" w:rsidP="00CF429F">
      <w:pPr>
        <w:pStyle w:val="Retraitcorpsdetexte2"/>
        <w:spacing w:after="0" w:line="360" w:lineRule="auto"/>
        <w:ind w:left="0"/>
        <w:jc w:val="both"/>
        <w:rPr>
          <w:rFonts w:ascii="Arial" w:hAnsi="Arial" w:cs="Arial"/>
          <w:sz w:val="24"/>
          <w:szCs w:val="24"/>
        </w:rPr>
      </w:pPr>
    </w:p>
    <w:p w:rsidR="00CF429F" w:rsidRPr="00DF74B6" w:rsidRDefault="00CF429F" w:rsidP="00CF429F">
      <w:pPr>
        <w:pStyle w:val="Corpsdetex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7251E6" w:rsidRDefault="00CF429F" w:rsidP="00CF429F">
      <w:pPr>
        <w:pStyle w:val="Corpsdetexte"/>
        <w:spacing w:line="360" w:lineRule="auto"/>
        <w:rPr>
          <w:rFonts w:ascii="Arial" w:hAnsi="Arial" w:cs="Arial"/>
          <w:sz w:val="20"/>
          <w:szCs w:val="24"/>
        </w:rPr>
      </w:pPr>
    </w:p>
    <w:p w:rsidR="00AC1EFF" w:rsidRDefault="00AC1EFF" w:rsidP="00AC1EFF">
      <w:pPr>
        <w:pStyle w:val="Corpsdetexte"/>
        <w:spacing w:line="360" w:lineRule="auto"/>
        <w:rPr>
          <w:rFonts w:ascii="Arial" w:hAnsi="Arial" w:cs="Arial"/>
          <w:szCs w:val="24"/>
        </w:rPr>
      </w:pPr>
      <w:r w:rsidRPr="00FD594D">
        <w:rPr>
          <w:rFonts w:ascii="Arial" w:hAnsi="Arial" w:cs="Arial"/>
          <w:szCs w:val="24"/>
        </w:rPr>
        <w:t>Se cumple la legitimación por activa dado que el actor</w:t>
      </w:r>
      <w:r w:rsidR="001A0814">
        <w:rPr>
          <w:rFonts w:ascii="Arial" w:hAnsi="Arial" w:cs="Arial"/>
          <w:szCs w:val="24"/>
        </w:rPr>
        <w:t xml:space="preserve"> promovió el proceso de revisión de visitas </w:t>
      </w:r>
      <w:r>
        <w:rPr>
          <w:rFonts w:ascii="Arial" w:hAnsi="Arial" w:cs="Arial"/>
          <w:szCs w:val="24"/>
        </w:rPr>
        <w:t xml:space="preserve">en </w:t>
      </w:r>
      <w:r w:rsidR="00DC2E31">
        <w:rPr>
          <w:rFonts w:ascii="Arial" w:hAnsi="Arial" w:cs="Arial"/>
          <w:szCs w:val="24"/>
        </w:rPr>
        <w:t xml:space="preserve">el que se </w:t>
      </w:r>
      <w:r w:rsidRPr="00FD594D">
        <w:rPr>
          <w:rFonts w:ascii="Arial" w:hAnsi="Arial" w:cs="Arial"/>
          <w:szCs w:val="24"/>
        </w:rPr>
        <w:t>reprocha la falta al debido proceso.</w:t>
      </w:r>
      <w:r>
        <w:rPr>
          <w:rFonts w:ascii="Arial" w:hAnsi="Arial" w:cs="Arial"/>
          <w:szCs w:val="24"/>
        </w:rPr>
        <w:t xml:space="preserve"> Y por pasiva, lo es el Juzgado</w:t>
      </w:r>
      <w:r>
        <w:rPr>
          <w:rFonts w:ascii="Arial" w:hAnsi="Arial" w:cs="Arial"/>
          <w:color w:val="000000"/>
          <w:szCs w:val="24"/>
        </w:rPr>
        <w:t xml:space="preserve"> </w:t>
      </w:r>
      <w:r w:rsidR="001A0814">
        <w:rPr>
          <w:rFonts w:ascii="Arial" w:hAnsi="Arial" w:cs="Arial"/>
          <w:color w:val="000000"/>
          <w:szCs w:val="24"/>
        </w:rPr>
        <w:t xml:space="preserve">Segundo de </w:t>
      </w:r>
      <w:r w:rsidR="00DC2E31">
        <w:rPr>
          <w:rFonts w:ascii="Arial" w:hAnsi="Arial" w:cs="Arial"/>
          <w:color w:val="000000"/>
          <w:szCs w:val="24"/>
        </w:rPr>
        <w:t xml:space="preserve">Familia de </w:t>
      </w:r>
      <w:r w:rsidR="001A0814">
        <w:rPr>
          <w:rFonts w:ascii="Arial" w:hAnsi="Arial" w:cs="Arial"/>
          <w:color w:val="000000"/>
          <w:szCs w:val="24"/>
        </w:rPr>
        <w:t>Pereira</w:t>
      </w:r>
      <w:r w:rsidRPr="00FD594D">
        <w:rPr>
          <w:rFonts w:ascii="Arial" w:hAnsi="Arial" w:cs="Arial"/>
          <w:szCs w:val="24"/>
        </w:rPr>
        <w:t xml:space="preserve">, al ser la autoridad judicial que conoce </w:t>
      </w:r>
      <w:r w:rsidR="00DC2E31">
        <w:rPr>
          <w:rFonts w:ascii="Arial" w:hAnsi="Arial" w:cs="Arial"/>
          <w:szCs w:val="24"/>
        </w:rPr>
        <w:t>el proceso</w:t>
      </w:r>
      <w:r w:rsidRPr="00FD594D">
        <w:rPr>
          <w:rFonts w:ascii="Arial" w:hAnsi="Arial" w:cs="Arial"/>
          <w:szCs w:val="24"/>
        </w:rPr>
        <w:t>.</w:t>
      </w:r>
    </w:p>
    <w:p w:rsidR="0025335F" w:rsidRPr="007251E6" w:rsidRDefault="0025335F" w:rsidP="00AC1EFF">
      <w:pPr>
        <w:pStyle w:val="Corpsdetexte"/>
        <w:spacing w:line="360" w:lineRule="auto"/>
        <w:rPr>
          <w:rFonts w:ascii="Arial" w:hAnsi="Arial" w:cs="Arial"/>
          <w:sz w:val="20"/>
          <w:szCs w:val="24"/>
        </w:rPr>
      </w:pPr>
    </w:p>
    <w:p w:rsidR="00AC1EFF" w:rsidRDefault="00AC1EFF" w:rsidP="00AC1EFF">
      <w:pPr>
        <w:pStyle w:val="Corpsdetex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1A4C76" w:rsidRPr="007251E6" w:rsidRDefault="001A4C76" w:rsidP="001A4C76">
      <w:pPr>
        <w:widowControl/>
        <w:spacing w:line="360" w:lineRule="auto"/>
        <w:jc w:val="both"/>
        <w:rPr>
          <w:rFonts w:ascii="Arial" w:hAnsi="Arial"/>
          <w:sz w:val="20"/>
          <w:lang w:val="es-ES_tradnl"/>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1A0814">
        <w:rPr>
          <w:rFonts w:ascii="Arial" w:hAnsi="Arial" w:cs="Arial"/>
          <w:color w:val="000000"/>
        </w:rPr>
        <w:t>accionado,</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DC2E31">
        <w:rPr>
          <w:rFonts w:ascii="Arial" w:hAnsi="Arial" w:cs="Arial"/>
          <w:spacing w:val="-3"/>
          <w:lang w:val="es-ES_tradnl"/>
        </w:rPr>
        <w:t>el proceso</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1A0814" w:rsidRPr="00907C22" w:rsidRDefault="001A0814" w:rsidP="001A0814">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w:t>
      </w:r>
      <w:r w:rsidRPr="00907C22">
        <w:rPr>
          <w:rFonts w:ascii="Arial" w:hAnsi="Arial" w:cs="Arial"/>
          <w:szCs w:val="24"/>
        </w:rPr>
        <w:lastRenderedPageBreak/>
        <w:t xml:space="preserve">“vías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w:t>
      </w:r>
      <w:proofErr w:type="spellStart"/>
      <w:r>
        <w:rPr>
          <w:rFonts w:ascii="Arial" w:hAnsi="Arial" w:cs="Arial"/>
          <w:szCs w:val="24"/>
        </w:rPr>
        <w:t>Natale</w:t>
      </w:r>
      <w:proofErr w:type="spellEnd"/>
      <w:r>
        <w:rPr>
          <w:rStyle w:val="Appelnotedebasdep"/>
          <w:rFonts w:ascii="Arial" w:hAnsi="Arial"/>
          <w:szCs w:val="24"/>
        </w:rPr>
        <w:footnoteReference w:id="2"/>
      </w:r>
      <w:r>
        <w:rPr>
          <w:rFonts w:ascii="Arial" w:hAnsi="Arial" w:cs="Arial"/>
          <w:szCs w:val="24"/>
        </w:rPr>
        <w:t>.</w:t>
      </w:r>
    </w:p>
    <w:p w:rsidR="001A0814" w:rsidRPr="00E649FA" w:rsidRDefault="001A0814" w:rsidP="001A0814">
      <w:pPr>
        <w:pStyle w:val="Corpsdetexte"/>
        <w:spacing w:line="360" w:lineRule="auto"/>
        <w:rPr>
          <w:rFonts w:ascii="Arial" w:hAnsi="Arial" w:cs="Arial"/>
          <w:szCs w:val="24"/>
        </w:rPr>
      </w:pPr>
    </w:p>
    <w:p w:rsidR="001A0814" w:rsidRPr="00907C22" w:rsidRDefault="001A0814" w:rsidP="001A0814">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1A0814" w:rsidRPr="00E649FA" w:rsidRDefault="001A0814" w:rsidP="001A0814">
      <w:pPr>
        <w:pStyle w:val="Corpsdetexte"/>
        <w:spacing w:line="360" w:lineRule="auto"/>
        <w:rPr>
          <w:rFonts w:ascii="Arial" w:hAnsi="Arial" w:cs="Arial"/>
          <w:szCs w:val="24"/>
        </w:rPr>
      </w:pPr>
    </w:p>
    <w:p w:rsidR="001A0814" w:rsidRPr="00907C22" w:rsidRDefault="001A0814" w:rsidP="001A0814">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Corte Constitucional</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1A0814" w:rsidRPr="00E649FA" w:rsidRDefault="001A0814" w:rsidP="001A0814">
      <w:pPr>
        <w:pStyle w:val="Corpsdetexte"/>
        <w:spacing w:line="360" w:lineRule="auto"/>
        <w:rPr>
          <w:rFonts w:ascii="Arial" w:hAnsi="Arial" w:cs="Arial"/>
          <w:szCs w:val="24"/>
        </w:rPr>
      </w:pPr>
    </w:p>
    <w:p w:rsidR="001A0814" w:rsidRPr="00907C22" w:rsidRDefault="001A0814" w:rsidP="001A0814">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1A0814" w:rsidRDefault="001A0814" w:rsidP="00F260D7">
      <w:pPr>
        <w:pStyle w:val="Corpsdetexte"/>
        <w:spacing w:line="360" w:lineRule="auto"/>
        <w:rPr>
          <w:rFonts w:ascii="Arial" w:hAnsi="Arial" w:cs="Arial"/>
          <w:sz w:val="20"/>
          <w:szCs w:val="24"/>
        </w:rPr>
      </w:pPr>
    </w:p>
    <w:p w:rsidR="00E11637" w:rsidRPr="003353DD" w:rsidRDefault="00E11637" w:rsidP="00E11637">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3353DD">
        <w:rPr>
          <w:rFonts w:ascii="Arial" w:hAnsi="Arial" w:cs="Arial"/>
          <w:szCs w:val="24"/>
        </w:rPr>
        <w:t>El carácter subsidiario de la acción de tutela</w:t>
      </w:r>
      <w:r w:rsidRPr="003353DD">
        <w:rPr>
          <w:rFonts w:ascii="Arial" w:hAnsi="Arial" w:cs="Arial"/>
          <w:szCs w:val="24"/>
        </w:rPr>
        <w:tab/>
      </w:r>
    </w:p>
    <w:p w:rsidR="00E11637" w:rsidRDefault="00E11637" w:rsidP="00E11637">
      <w:pPr>
        <w:pStyle w:val="Corpsdetexte"/>
        <w:tabs>
          <w:tab w:val="clear" w:pos="0"/>
        </w:tabs>
        <w:spacing w:line="360" w:lineRule="auto"/>
        <w:rPr>
          <w:rFonts w:ascii="Arial" w:hAnsi="Arial" w:cs="Arial"/>
          <w:szCs w:val="24"/>
        </w:rPr>
      </w:pPr>
    </w:p>
    <w:p w:rsidR="00E11637" w:rsidRDefault="00E11637" w:rsidP="00E11637">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 xml:space="preserve">cuando el afectado no disponga de otro medio de defensa </w:t>
      </w:r>
      <w:r>
        <w:rPr>
          <w:rFonts w:ascii="Arial" w:hAnsi="Arial" w:cs="Arial"/>
          <w:i/>
          <w:sz w:val="22"/>
          <w:szCs w:val="22"/>
          <w:u w:val="single"/>
        </w:rPr>
        <w:lastRenderedPageBreak/>
        <w:t>judicial, salvo que aquella se utilice como mecanismo transitorio para evitar un perjuicio irremediable</w:t>
      </w:r>
      <w:r>
        <w:rPr>
          <w:rFonts w:ascii="Arial" w:hAnsi="Arial" w:cs="Arial"/>
          <w:sz w:val="22"/>
          <w:szCs w:val="22"/>
          <w:u w:val="single"/>
        </w:rPr>
        <w:t xml:space="preserve">”. </w:t>
      </w:r>
    </w:p>
    <w:p w:rsidR="00E11637" w:rsidRDefault="00E11637" w:rsidP="00E11637">
      <w:pPr>
        <w:pStyle w:val="Corpsdetexte"/>
        <w:tabs>
          <w:tab w:val="clear" w:pos="0"/>
        </w:tabs>
        <w:spacing w:line="360" w:lineRule="auto"/>
        <w:rPr>
          <w:rFonts w:ascii="Arial" w:hAnsi="Arial" w:cs="Arial"/>
          <w:szCs w:val="24"/>
          <w:u w:val="single"/>
        </w:rPr>
      </w:pPr>
    </w:p>
    <w:p w:rsidR="00E11637" w:rsidRDefault="00E11637" w:rsidP="00E11637">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E11637" w:rsidRDefault="00E11637" w:rsidP="00E11637">
      <w:pPr>
        <w:widowControl/>
        <w:autoSpaceDE/>
        <w:adjustRightInd/>
        <w:spacing w:line="360" w:lineRule="auto"/>
        <w:jc w:val="both"/>
        <w:rPr>
          <w:rFonts w:ascii="Arial" w:hAnsi="Arial" w:cs="Arial"/>
          <w:szCs w:val="22"/>
          <w:lang w:val="es-ES_tradnl"/>
        </w:rPr>
      </w:pPr>
    </w:p>
    <w:p w:rsidR="00E11637" w:rsidRDefault="00E11637" w:rsidP="00E11637">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(2016)</w:t>
      </w:r>
      <w:r>
        <w:rPr>
          <w:rStyle w:val="Appelnotedebasdep"/>
          <w:rFonts w:ascii="Arial" w:hAnsi="Arial"/>
          <w:szCs w:val="24"/>
        </w:rPr>
        <w:footnoteReference w:id="13"/>
      </w:r>
      <w:r>
        <w:rPr>
          <w:rFonts w:ascii="Arial" w:hAnsi="Arial" w:cs="Arial"/>
          <w:szCs w:val="24"/>
        </w:rPr>
        <w:t xml:space="preserve">. </w:t>
      </w:r>
      <w:r>
        <w:rPr>
          <w:rFonts w:ascii="Arial" w:hAnsi="Arial" w:cs="Arial"/>
        </w:rPr>
        <w:t>También la CSJ se ha referido al tema</w:t>
      </w:r>
      <w:r>
        <w:rPr>
          <w:rStyle w:val="Appelnotedebasdep"/>
          <w:rFonts w:ascii="Arial" w:hAnsi="Arial" w:cs="Arial"/>
        </w:rPr>
        <w:footnoteReference w:id="14"/>
      </w:r>
      <w:r>
        <w:rPr>
          <w:rFonts w:ascii="Arial" w:hAnsi="Arial" w:cs="Arial"/>
          <w:vertAlign w:val="superscript"/>
        </w:rPr>
        <w:t>-</w:t>
      </w:r>
      <w:r>
        <w:rPr>
          <w:rStyle w:val="Appelnotedebasdep"/>
          <w:rFonts w:ascii="Arial" w:hAnsi="Arial"/>
        </w:rPr>
        <w:footnoteReference w:id="15"/>
      </w:r>
      <w:r>
        <w:rPr>
          <w:rFonts w:ascii="Arial" w:hAnsi="Arial" w:cs="Arial"/>
        </w:rPr>
        <w:t xml:space="preserve"> (2016)</w:t>
      </w:r>
      <w:r>
        <w:rPr>
          <w:rStyle w:val="Appelnotedebasdep"/>
          <w:rFonts w:ascii="Arial" w:hAnsi="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E11637" w:rsidRPr="007251E6" w:rsidRDefault="00E11637" w:rsidP="00F260D7">
      <w:pPr>
        <w:pStyle w:val="Corpsdetexte"/>
        <w:spacing w:line="360" w:lineRule="auto"/>
        <w:rPr>
          <w:rFonts w:ascii="Arial" w:hAnsi="Arial" w:cs="Arial"/>
          <w:sz w:val="20"/>
          <w:szCs w:val="24"/>
        </w:rPr>
      </w:pPr>
    </w:p>
    <w:p w:rsidR="008E1295" w:rsidRDefault="008E1295" w:rsidP="00952597">
      <w:pPr>
        <w:pStyle w:val="Corpsdetexte"/>
        <w:numPr>
          <w:ilvl w:val="0"/>
          <w:numId w:val="18"/>
        </w:numPr>
        <w:spacing w:line="360" w:lineRule="auto"/>
        <w:rPr>
          <w:rFonts w:ascii="Arial" w:hAnsi="Arial"/>
          <w:szCs w:val="24"/>
        </w:rPr>
      </w:pPr>
      <w:r w:rsidRPr="00952597">
        <w:rPr>
          <w:rFonts w:ascii="Arial" w:hAnsi="Arial"/>
          <w:szCs w:val="24"/>
        </w:rPr>
        <w:t xml:space="preserve">EL CASO CONCRETO </w:t>
      </w:r>
    </w:p>
    <w:p w:rsidR="008139F4" w:rsidRPr="007251E6" w:rsidRDefault="008139F4" w:rsidP="008139F4">
      <w:pPr>
        <w:pStyle w:val="Corpsdetexte"/>
        <w:spacing w:line="360" w:lineRule="auto"/>
        <w:ind w:left="400"/>
        <w:rPr>
          <w:rFonts w:ascii="Arial" w:hAnsi="Arial"/>
          <w:sz w:val="20"/>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Puesto que los requisitos generales de procedibilidad son concurrentes, esto es, incumplido uno, se torna inane el examen de los demás, menos podrían revisarse los supuestos especiales, el análisis que sigue se limitará </w:t>
      </w:r>
      <w:r w:rsidR="00AF2BE6">
        <w:rPr>
          <w:rFonts w:ascii="Arial" w:hAnsi="Arial" w:cs="Arial"/>
          <w:lang w:val="es-ES_tradnl"/>
        </w:rPr>
        <w:t>analizar la ausencia de alegato por parte del actor de la vulneración de sus derechos dentro del proceso judicial</w:t>
      </w:r>
      <w:r w:rsidR="00E10829">
        <w:rPr>
          <w:rFonts w:ascii="Arial" w:hAnsi="Arial" w:cs="Arial"/>
          <w:lang w:val="es-ES_tradnl"/>
        </w:rPr>
        <w:t xml:space="preserve">, es decir, no puso en conocimiento del Juez accionado </w:t>
      </w:r>
      <w:r w:rsidR="000F1DB6">
        <w:rPr>
          <w:rFonts w:ascii="Arial" w:hAnsi="Arial" w:cs="Arial"/>
          <w:lang w:val="es-ES_tradnl"/>
        </w:rPr>
        <w:t xml:space="preserve">la coacción a que se vio sometido </w:t>
      </w:r>
      <w:r w:rsidR="00E10829">
        <w:rPr>
          <w:rFonts w:ascii="Arial" w:hAnsi="Arial" w:cs="Arial"/>
          <w:lang w:val="es-ES_tradnl"/>
        </w:rPr>
        <w:t>para conciliar el régimen de visitas</w:t>
      </w:r>
      <w:r w:rsidR="00AF2BE6">
        <w:rPr>
          <w:rFonts w:ascii="Arial" w:hAnsi="Arial" w:cs="Arial"/>
          <w:lang w:val="es-ES_tradnl"/>
        </w:rPr>
        <w:t xml:space="preserve">, </w:t>
      </w:r>
      <w:r w:rsidR="000F1DB6">
        <w:rPr>
          <w:rFonts w:ascii="Arial" w:hAnsi="Arial" w:cs="Arial"/>
          <w:lang w:val="es-ES_tradnl"/>
        </w:rPr>
        <w:t xml:space="preserve">también se estudiará </w:t>
      </w:r>
      <w:r w:rsidR="00AF2BE6">
        <w:rPr>
          <w:rFonts w:ascii="Arial" w:hAnsi="Arial" w:cs="Arial"/>
          <w:lang w:val="es-ES_tradnl"/>
        </w:rPr>
        <w:t>la subsidiariedad</w:t>
      </w:r>
      <w:r>
        <w:rPr>
          <w:rFonts w:ascii="Arial" w:hAnsi="Arial" w:cs="Arial"/>
          <w:lang w:val="es-ES_tradnl"/>
        </w:rPr>
        <w:t xml:space="preserve">, porque </w:t>
      </w:r>
      <w:r w:rsidR="000F1DB6">
        <w:rPr>
          <w:rFonts w:ascii="Arial" w:hAnsi="Arial" w:cs="Arial"/>
          <w:lang w:val="es-ES_tradnl"/>
        </w:rPr>
        <w:t xml:space="preserve">son los </w:t>
      </w:r>
      <w:r>
        <w:rPr>
          <w:rFonts w:ascii="Arial" w:hAnsi="Arial" w:cs="Arial"/>
          <w:lang w:val="es-ES_tradnl"/>
        </w:rPr>
        <w:t>elemento</w:t>
      </w:r>
      <w:r w:rsidR="000F1DB6">
        <w:rPr>
          <w:rFonts w:ascii="Arial" w:hAnsi="Arial" w:cs="Arial"/>
          <w:lang w:val="es-ES_tradnl"/>
        </w:rPr>
        <w:t>s</w:t>
      </w:r>
      <w:r>
        <w:rPr>
          <w:rFonts w:ascii="Arial" w:hAnsi="Arial" w:cs="Arial"/>
          <w:lang w:val="es-ES_tradnl"/>
        </w:rPr>
        <w:t xml:space="preserve"> que se advierte</w:t>
      </w:r>
      <w:r w:rsidR="000F1DB6">
        <w:rPr>
          <w:rFonts w:ascii="Arial" w:hAnsi="Arial" w:cs="Arial"/>
          <w:lang w:val="es-ES_tradnl"/>
        </w:rPr>
        <w:t>n</w:t>
      </w:r>
      <w:r>
        <w:rPr>
          <w:rFonts w:ascii="Arial" w:hAnsi="Arial" w:cs="Arial"/>
          <w:lang w:val="es-ES_tradnl"/>
        </w:rPr>
        <w:t xml:space="preserve"> ausente</w:t>
      </w:r>
      <w:r w:rsidR="000F1DB6">
        <w:rPr>
          <w:rFonts w:ascii="Arial" w:hAnsi="Arial" w:cs="Arial"/>
          <w:lang w:val="es-ES_tradnl"/>
        </w:rPr>
        <w:t>s</w:t>
      </w:r>
      <w:r>
        <w:rPr>
          <w:rFonts w:ascii="Arial" w:hAnsi="Arial" w:cs="Arial"/>
          <w:lang w:val="es-ES_tradnl"/>
        </w:rPr>
        <w:t xml:space="preserve"> y resulta</w:t>
      </w:r>
      <w:r w:rsidR="000F1DB6">
        <w:rPr>
          <w:rFonts w:ascii="Arial" w:hAnsi="Arial" w:cs="Arial"/>
          <w:lang w:val="es-ES_tradnl"/>
        </w:rPr>
        <w:t>n</w:t>
      </w:r>
      <w:r>
        <w:rPr>
          <w:rFonts w:ascii="Arial" w:hAnsi="Arial" w:cs="Arial"/>
          <w:lang w:val="es-ES_tradnl"/>
        </w:rPr>
        <w:t xml:space="preserve"> suficiente</w:t>
      </w:r>
      <w:r w:rsidR="000F1DB6">
        <w:rPr>
          <w:rFonts w:ascii="Arial" w:hAnsi="Arial" w:cs="Arial"/>
          <w:lang w:val="es-ES_tradnl"/>
        </w:rPr>
        <w:t>s</w:t>
      </w:r>
      <w:r>
        <w:rPr>
          <w:rFonts w:ascii="Arial" w:hAnsi="Arial" w:cs="Arial"/>
          <w:lang w:val="es-ES_tradnl"/>
        </w:rPr>
        <w:t xml:space="preserve"> para </w:t>
      </w:r>
      <w:r w:rsidR="0025335F">
        <w:rPr>
          <w:rFonts w:ascii="Arial" w:hAnsi="Arial" w:cs="Arial"/>
          <w:lang w:val="es-ES_tradnl"/>
        </w:rPr>
        <w:t xml:space="preserve">el </w:t>
      </w:r>
      <w:r>
        <w:rPr>
          <w:rFonts w:ascii="Arial" w:hAnsi="Arial" w:cs="Arial"/>
          <w:lang w:val="es-ES_tradnl"/>
        </w:rPr>
        <w:t xml:space="preserve">fracaso </w:t>
      </w:r>
      <w:r w:rsidR="00DC2E31">
        <w:rPr>
          <w:rFonts w:ascii="Arial" w:hAnsi="Arial" w:cs="Arial"/>
          <w:lang w:val="es-ES_tradnl"/>
        </w:rPr>
        <w:t xml:space="preserve">del </w:t>
      </w:r>
      <w:r>
        <w:rPr>
          <w:rFonts w:ascii="Arial" w:hAnsi="Arial" w:cs="Arial"/>
          <w:lang w:val="es-ES_tradnl"/>
        </w:rPr>
        <w:t>amparo.</w:t>
      </w:r>
    </w:p>
    <w:p w:rsidR="00130DD6" w:rsidRPr="007251E6" w:rsidRDefault="00130DD6" w:rsidP="00130DD6">
      <w:pPr>
        <w:spacing w:line="360" w:lineRule="auto"/>
        <w:jc w:val="both"/>
        <w:rPr>
          <w:rFonts w:ascii="Arial" w:hAnsi="Arial" w:cs="Arial"/>
          <w:sz w:val="20"/>
          <w:lang w:val="es-ES_tradnl"/>
        </w:rPr>
      </w:pPr>
    </w:p>
    <w:p w:rsidR="009B030A" w:rsidRDefault="00401D3F" w:rsidP="00401D3F">
      <w:pPr>
        <w:spacing w:line="360" w:lineRule="auto"/>
        <w:jc w:val="both"/>
        <w:rPr>
          <w:rFonts w:ascii="Arial" w:hAnsi="Arial" w:cs="Arial"/>
          <w:lang w:val="es-ES_tradnl"/>
        </w:rPr>
      </w:pPr>
      <w:r>
        <w:rPr>
          <w:rFonts w:ascii="Arial" w:hAnsi="Arial" w:cs="Arial"/>
          <w:lang w:val="es-ES_tradnl"/>
        </w:rPr>
        <w:lastRenderedPageBreak/>
        <w:t>Conforme al acervo probatorio</w:t>
      </w:r>
      <w:r w:rsidR="00B57418">
        <w:rPr>
          <w:rFonts w:ascii="Arial" w:hAnsi="Arial" w:cs="Arial"/>
          <w:lang w:val="es-ES_tradnl"/>
        </w:rPr>
        <w:t xml:space="preserve"> el actor formuló </w:t>
      </w:r>
      <w:r w:rsidR="000F1DB6">
        <w:rPr>
          <w:rFonts w:ascii="Arial" w:hAnsi="Arial" w:cs="Arial"/>
          <w:lang w:val="es-ES_tradnl"/>
        </w:rPr>
        <w:t xml:space="preserve">el 01-04-2016 </w:t>
      </w:r>
      <w:r w:rsidR="00B57418">
        <w:rPr>
          <w:rFonts w:ascii="Arial" w:hAnsi="Arial" w:cs="Arial"/>
          <w:lang w:val="es-ES_tradnl"/>
        </w:rPr>
        <w:t xml:space="preserve">demanda contra la señora </w:t>
      </w:r>
      <w:r w:rsidR="000F1DB6">
        <w:rPr>
          <w:rFonts w:ascii="Arial" w:hAnsi="Arial" w:cs="Arial"/>
          <w:lang w:val="es-ES_tradnl"/>
        </w:rPr>
        <w:t xml:space="preserve">Daniela </w:t>
      </w:r>
      <w:r w:rsidR="00B57418">
        <w:rPr>
          <w:rFonts w:ascii="Arial" w:hAnsi="Arial" w:cs="Arial"/>
          <w:lang w:val="es-ES_tradnl"/>
        </w:rPr>
        <w:t xml:space="preserve">García Hincapié para que se </w:t>
      </w:r>
      <w:r w:rsidR="000F1DB6">
        <w:rPr>
          <w:rFonts w:ascii="Arial" w:hAnsi="Arial" w:cs="Arial"/>
          <w:lang w:val="es-ES_tradnl"/>
        </w:rPr>
        <w:t xml:space="preserve">estableciera un </w:t>
      </w:r>
      <w:r w:rsidR="00B57418">
        <w:rPr>
          <w:rFonts w:ascii="Arial" w:hAnsi="Arial" w:cs="Arial"/>
          <w:lang w:val="es-ES_tradnl"/>
        </w:rPr>
        <w:t xml:space="preserve">régimen </w:t>
      </w:r>
      <w:r w:rsidR="000F1DB6">
        <w:rPr>
          <w:rFonts w:ascii="Arial" w:hAnsi="Arial" w:cs="Arial"/>
          <w:lang w:val="es-ES_tradnl"/>
        </w:rPr>
        <w:t>para visitar a su hija menor de edad (Folios 97 a 99, ib.)</w:t>
      </w:r>
      <w:r w:rsidR="00B57418">
        <w:rPr>
          <w:rFonts w:ascii="Arial" w:hAnsi="Arial" w:cs="Arial"/>
          <w:lang w:val="es-ES_tradnl"/>
        </w:rPr>
        <w:t xml:space="preserve">, </w:t>
      </w:r>
      <w:r w:rsidR="000F1DB6">
        <w:rPr>
          <w:rFonts w:ascii="Arial" w:hAnsi="Arial" w:cs="Arial"/>
          <w:lang w:val="es-ES_tradnl"/>
        </w:rPr>
        <w:t xml:space="preserve">luego, el 26-05-2016 </w:t>
      </w:r>
      <w:r w:rsidR="00B57418">
        <w:rPr>
          <w:rFonts w:ascii="Arial" w:hAnsi="Arial" w:cs="Arial"/>
          <w:lang w:val="es-ES_tradnl"/>
        </w:rPr>
        <w:t>la demandada contestó</w:t>
      </w:r>
      <w:r w:rsidR="000F1DB6">
        <w:rPr>
          <w:rFonts w:ascii="Arial" w:hAnsi="Arial" w:cs="Arial"/>
          <w:lang w:val="es-ES_tradnl"/>
        </w:rPr>
        <w:t xml:space="preserve"> la demanda</w:t>
      </w:r>
      <w:r w:rsidR="00B57418">
        <w:rPr>
          <w:rFonts w:ascii="Arial" w:hAnsi="Arial" w:cs="Arial"/>
          <w:lang w:val="es-ES_tradnl"/>
        </w:rPr>
        <w:t xml:space="preserve">, se </w:t>
      </w:r>
      <w:r w:rsidR="009B030A">
        <w:rPr>
          <w:rFonts w:ascii="Arial" w:hAnsi="Arial" w:cs="Arial"/>
          <w:lang w:val="es-ES_tradnl"/>
        </w:rPr>
        <w:t>o</w:t>
      </w:r>
      <w:r w:rsidR="00B57418">
        <w:rPr>
          <w:rFonts w:ascii="Arial" w:hAnsi="Arial" w:cs="Arial"/>
          <w:lang w:val="es-ES_tradnl"/>
        </w:rPr>
        <w:t>puso a las pretensiones y sugirió que las visitas se realizaran durante el receso escolar y vacaciones</w:t>
      </w:r>
      <w:r w:rsidR="009B030A">
        <w:rPr>
          <w:rFonts w:ascii="Arial" w:hAnsi="Arial" w:cs="Arial"/>
          <w:lang w:val="es-ES_tradnl"/>
        </w:rPr>
        <w:t xml:space="preserve"> de la menor, porque estaba residenciada en Canadá</w:t>
      </w:r>
      <w:r w:rsidR="000F1DB6">
        <w:rPr>
          <w:rFonts w:ascii="Arial" w:hAnsi="Arial" w:cs="Arial"/>
          <w:lang w:val="es-ES_tradnl"/>
        </w:rPr>
        <w:t xml:space="preserve"> (Folios 100 a 104, ib.)</w:t>
      </w:r>
      <w:r w:rsidR="00B57418">
        <w:rPr>
          <w:rFonts w:ascii="Arial" w:hAnsi="Arial" w:cs="Arial"/>
          <w:lang w:val="es-ES_tradnl"/>
        </w:rPr>
        <w:t>.</w:t>
      </w:r>
    </w:p>
    <w:p w:rsidR="009B030A" w:rsidRDefault="009B030A" w:rsidP="00401D3F">
      <w:pPr>
        <w:spacing w:line="360" w:lineRule="auto"/>
        <w:jc w:val="both"/>
        <w:rPr>
          <w:rFonts w:ascii="Arial" w:hAnsi="Arial" w:cs="Arial"/>
          <w:lang w:val="es-ES_tradnl"/>
        </w:rPr>
      </w:pPr>
    </w:p>
    <w:p w:rsidR="009B030A" w:rsidRDefault="009B030A" w:rsidP="00401D3F">
      <w:pPr>
        <w:spacing w:line="360" w:lineRule="auto"/>
        <w:jc w:val="both"/>
        <w:rPr>
          <w:rFonts w:ascii="Arial" w:hAnsi="Arial" w:cs="Arial"/>
          <w:lang w:val="es-ES_tradnl"/>
        </w:rPr>
      </w:pPr>
      <w:r>
        <w:rPr>
          <w:rFonts w:ascii="Arial" w:hAnsi="Arial" w:cs="Arial"/>
          <w:lang w:val="es-ES_tradnl"/>
        </w:rPr>
        <w:t xml:space="preserve">En la audiencia practicada el 24-11-2016 en la etapa de conciliación el juez suspendió la grabación de la audiencia mientras </w:t>
      </w:r>
      <w:r w:rsidR="00552FE4">
        <w:rPr>
          <w:rFonts w:ascii="Arial" w:hAnsi="Arial" w:cs="Arial"/>
          <w:lang w:val="es-ES_tradnl"/>
        </w:rPr>
        <w:t xml:space="preserve">se </w:t>
      </w:r>
      <w:r>
        <w:rPr>
          <w:rFonts w:ascii="Arial" w:hAnsi="Arial" w:cs="Arial"/>
          <w:lang w:val="es-ES_tradnl"/>
        </w:rPr>
        <w:t>estudiaban las fórmulas de arreglo propuestas</w:t>
      </w:r>
      <w:r w:rsidR="00552FE4">
        <w:rPr>
          <w:rFonts w:ascii="Arial" w:hAnsi="Arial" w:cs="Arial"/>
          <w:lang w:val="es-ES_tradnl"/>
        </w:rPr>
        <w:t xml:space="preserve"> por las partes;</w:t>
      </w:r>
      <w:r>
        <w:rPr>
          <w:rFonts w:ascii="Arial" w:hAnsi="Arial" w:cs="Arial"/>
          <w:lang w:val="es-ES_tradnl"/>
        </w:rPr>
        <w:t xml:space="preserve"> reanudada la grabación concluyó que se ha llegado a un acuerdo, describió el modo en que se realizarían las visitas, </w:t>
      </w:r>
      <w:r w:rsidR="000F1DB6">
        <w:rPr>
          <w:rFonts w:ascii="Arial" w:hAnsi="Arial" w:cs="Arial"/>
          <w:lang w:val="es-ES_tradnl"/>
        </w:rPr>
        <w:t xml:space="preserve">las </w:t>
      </w:r>
      <w:r>
        <w:rPr>
          <w:rFonts w:ascii="Arial" w:hAnsi="Arial" w:cs="Arial"/>
          <w:lang w:val="es-ES_tradnl"/>
        </w:rPr>
        <w:t xml:space="preserve">llamadas telefónicas y </w:t>
      </w:r>
      <w:r w:rsidR="00552FE4">
        <w:rPr>
          <w:rFonts w:ascii="Arial" w:hAnsi="Arial" w:cs="Arial"/>
          <w:lang w:val="es-ES_tradnl"/>
        </w:rPr>
        <w:t xml:space="preserve">las </w:t>
      </w:r>
      <w:r>
        <w:rPr>
          <w:rFonts w:ascii="Arial" w:hAnsi="Arial" w:cs="Arial"/>
          <w:lang w:val="es-ES_tradnl"/>
        </w:rPr>
        <w:t xml:space="preserve">cargas que debía cumplir el demandante. Luego las partes afirmaron que estaban de acuerdo con la conciliación descrita en la audiencia y a continuación </w:t>
      </w:r>
      <w:r w:rsidR="00552FE4">
        <w:rPr>
          <w:rFonts w:ascii="Arial" w:hAnsi="Arial" w:cs="Arial"/>
          <w:lang w:val="es-ES_tradnl"/>
        </w:rPr>
        <w:t>fue aprobada</w:t>
      </w:r>
      <w:r>
        <w:rPr>
          <w:rFonts w:ascii="Arial" w:hAnsi="Arial" w:cs="Arial"/>
          <w:lang w:val="es-ES_tradnl"/>
        </w:rPr>
        <w:t xml:space="preserve">. </w:t>
      </w:r>
      <w:r w:rsidR="00552FE4">
        <w:rPr>
          <w:rFonts w:ascii="Arial" w:hAnsi="Arial" w:cs="Arial"/>
          <w:lang w:val="es-ES_tradnl"/>
        </w:rPr>
        <w:t xml:space="preserve">Finalmente el </w:t>
      </w:r>
      <w:r>
        <w:rPr>
          <w:rFonts w:ascii="Arial" w:hAnsi="Arial" w:cs="Arial"/>
          <w:lang w:val="es-ES_tradnl"/>
        </w:rPr>
        <w:t xml:space="preserve">apoderado del actor </w:t>
      </w:r>
      <w:r w:rsidR="00552FE4">
        <w:rPr>
          <w:rFonts w:ascii="Arial" w:hAnsi="Arial" w:cs="Arial"/>
          <w:lang w:val="es-ES_tradnl"/>
        </w:rPr>
        <w:t xml:space="preserve">manifestó que no tenía recurso alguno que presentar (Audiencia obrante en disco compacto visible a folio </w:t>
      </w:r>
      <w:r w:rsidR="000F1DB6">
        <w:rPr>
          <w:rFonts w:ascii="Arial" w:hAnsi="Arial" w:cs="Arial"/>
          <w:lang w:val="es-ES_tradnl"/>
        </w:rPr>
        <w:t>105, ib.</w:t>
      </w:r>
      <w:r w:rsidR="00552FE4">
        <w:rPr>
          <w:rFonts w:ascii="Arial" w:hAnsi="Arial" w:cs="Arial"/>
          <w:lang w:val="es-ES_tradnl"/>
        </w:rPr>
        <w:t>)</w:t>
      </w:r>
      <w:r>
        <w:rPr>
          <w:rFonts w:ascii="Arial" w:hAnsi="Arial" w:cs="Arial"/>
          <w:lang w:val="es-ES_tradnl"/>
        </w:rPr>
        <w:t xml:space="preserve">. </w:t>
      </w:r>
    </w:p>
    <w:p w:rsidR="009B030A" w:rsidRDefault="009B030A" w:rsidP="00401D3F">
      <w:pPr>
        <w:spacing w:line="360" w:lineRule="auto"/>
        <w:jc w:val="both"/>
        <w:rPr>
          <w:rFonts w:ascii="Arial" w:hAnsi="Arial" w:cs="Arial"/>
          <w:lang w:val="es-ES_tradnl"/>
        </w:rPr>
      </w:pPr>
    </w:p>
    <w:p w:rsidR="00552FE4" w:rsidRDefault="00552FE4" w:rsidP="00401D3F">
      <w:pPr>
        <w:spacing w:line="360" w:lineRule="auto"/>
        <w:jc w:val="both"/>
        <w:rPr>
          <w:rFonts w:ascii="Arial" w:hAnsi="Arial" w:cs="Arial"/>
          <w:lang w:val="es-ES_tradnl"/>
        </w:rPr>
      </w:pPr>
      <w:r>
        <w:rPr>
          <w:rFonts w:ascii="Arial" w:hAnsi="Arial" w:cs="Arial"/>
          <w:lang w:val="es-ES_tradnl"/>
        </w:rPr>
        <w:t xml:space="preserve">Claramente se advierte inexistente manifestación alguna por parte del accionante en cuanto a que fue coaccionado para acceder a la conciliación aprobada, por el contrario manifestó que estaba conforme con el acuerdo planteado, de tal suerte, que </w:t>
      </w:r>
      <w:r w:rsidR="000F1DB6">
        <w:rPr>
          <w:rFonts w:ascii="Arial" w:hAnsi="Arial" w:cs="Arial"/>
          <w:lang w:val="es-ES_tradnl"/>
        </w:rPr>
        <w:t xml:space="preserve">el juez accionado </w:t>
      </w:r>
      <w:r>
        <w:rPr>
          <w:rFonts w:ascii="Arial" w:hAnsi="Arial" w:cs="Arial"/>
          <w:lang w:val="es-ES_tradnl"/>
        </w:rPr>
        <w:t xml:space="preserve">nunca tuvo la oportunidad de valorar la queja </w:t>
      </w:r>
      <w:r w:rsidR="00AF2BE6">
        <w:rPr>
          <w:rFonts w:ascii="Arial" w:hAnsi="Arial" w:cs="Arial"/>
          <w:lang w:val="es-ES_tradnl"/>
        </w:rPr>
        <w:t xml:space="preserve">alegada </w:t>
      </w:r>
      <w:r>
        <w:rPr>
          <w:rFonts w:ascii="Arial" w:hAnsi="Arial" w:cs="Arial"/>
          <w:lang w:val="es-ES_tradnl"/>
        </w:rPr>
        <w:t xml:space="preserve">en esta tutela. </w:t>
      </w:r>
    </w:p>
    <w:p w:rsidR="00552FE4" w:rsidRDefault="00552FE4" w:rsidP="00401D3F">
      <w:pPr>
        <w:spacing w:line="360" w:lineRule="auto"/>
        <w:jc w:val="both"/>
        <w:rPr>
          <w:rFonts w:ascii="Arial" w:hAnsi="Arial" w:cs="Arial"/>
          <w:lang w:val="es-ES_tradnl"/>
        </w:rPr>
      </w:pPr>
    </w:p>
    <w:p w:rsidR="004C08A3" w:rsidRPr="006125E5" w:rsidRDefault="00552FE4" w:rsidP="004C08A3">
      <w:pPr>
        <w:spacing w:line="360" w:lineRule="auto"/>
        <w:jc w:val="both"/>
        <w:rPr>
          <w:rFonts w:ascii="Arial" w:hAnsi="Arial" w:cs="Arial"/>
          <w:sz w:val="22"/>
          <w:szCs w:val="22"/>
        </w:rPr>
      </w:pPr>
      <w:r>
        <w:rPr>
          <w:rFonts w:ascii="Arial" w:hAnsi="Arial" w:cs="Arial"/>
          <w:lang w:val="es-ES_tradnl"/>
        </w:rPr>
        <w:t>Además de lo expuesto</w:t>
      </w:r>
      <w:r w:rsidR="00AF2BE6">
        <w:rPr>
          <w:rFonts w:ascii="Arial" w:hAnsi="Arial" w:cs="Arial"/>
          <w:lang w:val="es-ES_tradnl"/>
        </w:rPr>
        <w:t>,</w:t>
      </w:r>
      <w:r>
        <w:rPr>
          <w:rFonts w:ascii="Arial" w:hAnsi="Arial" w:cs="Arial"/>
          <w:lang w:val="es-ES_tradnl"/>
        </w:rPr>
        <w:t xml:space="preserve"> hay que decir que el accionante tampoco recurrió el proveído que aprobó la conciliación entre las partes, por consiguiente, </w:t>
      </w:r>
      <w:r w:rsidR="000F1DB6">
        <w:rPr>
          <w:rFonts w:ascii="Arial" w:hAnsi="Arial" w:cs="Arial"/>
          <w:lang w:val="es-ES_tradnl"/>
        </w:rPr>
        <w:t xml:space="preserve">también </w:t>
      </w:r>
      <w:r>
        <w:rPr>
          <w:rFonts w:ascii="Arial" w:hAnsi="Arial" w:cs="Arial"/>
          <w:lang w:val="es-ES_tradnl"/>
        </w:rPr>
        <w:t>se advierte incumplido el presupuesto de la subsidiariedad</w:t>
      </w:r>
      <w:r w:rsidR="004C08A3" w:rsidRPr="006125E5">
        <w:rPr>
          <w:rFonts w:ascii="Arial" w:hAnsi="Arial" w:cs="Arial"/>
          <w:lang w:val="es-ES_tradnl"/>
        </w:rPr>
        <w:t xml:space="preserve">, como ha explicado </w:t>
      </w:r>
      <w:r w:rsidR="004C08A3" w:rsidRPr="006125E5">
        <w:rPr>
          <w:rFonts w:ascii="Arial" w:hAnsi="Arial"/>
        </w:rPr>
        <w:t xml:space="preserve">la </w:t>
      </w:r>
      <w:r w:rsidR="004C08A3">
        <w:rPr>
          <w:rFonts w:ascii="Arial" w:hAnsi="Arial"/>
        </w:rPr>
        <w:t>CC</w:t>
      </w:r>
      <w:r w:rsidR="004C08A3" w:rsidRPr="006125E5">
        <w:rPr>
          <w:rFonts w:ascii="Arial" w:hAnsi="Arial"/>
        </w:rPr>
        <w:t>, que reiteradamente ha referido que la acción de tutela mal puede implementarse como medio para sustituir los mecanismos ordinarios de defensa</w:t>
      </w:r>
      <w:r w:rsidR="004C08A3" w:rsidRPr="00FF4929">
        <w:rPr>
          <w:rStyle w:val="Appelnotedebasdep"/>
          <w:rFonts w:ascii="Arial" w:hAnsi="Arial" w:cs="Arial"/>
          <w:sz w:val="22"/>
          <w:szCs w:val="22"/>
        </w:rPr>
        <w:footnoteReference w:id="17"/>
      </w:r>
      <w:r w:rsidR="004C08A3" w:rsidRPr="006125E5">
        <w:rPr>
          <w:rFonts w:ascii="Arial" w:hAnsi="Arial" w:cs="Arial"/>
          <w:sz w:val="22"/>
          <w:szCs w:val="22"/>
        </w:rPr>
        <w:t>.</w:t>
      </w:r>
    </w:p>
    <w:p w:rsidR="004C08A3" w:rsidRPr="006125E5" w:rsidRDefault="004C08A3" w:rsidP="004C08A3">
      <w:pPr>
        <w:spacing w:line="360" w:lineRule="auto"/>
        <w:jc w:val="both"/>
        <w:rPr>
          <w:rFonts w:ascii="Arial" w:hAnsi="Arial" w:cs="Arial"/>
          <w:bCs/>
          <w:sz w:val="20"/>
          <w:lang w:val="es-CO"/>
        </w:rPr>
      </w:pPr>
    </w:p>
    <w:p w:rsidR="004C08A3" w:rsidRDefault="004C08A3" w:rsidP="004C08A3">
      <w:pPr>
        <w:spacing w:line="360" w:lineRule="auto"/>
        <w:ind w:right="51"/>
        <w:jc w:val="both"/>
        <w:rPr>
          <w:rFonts w:ascii="Arial" w:hAnsi="Arial"/>
        </w:rPr>
      </w:pPr>
      <w:r w:rsidRPr="006125E5">
        <w:rPr>
          <w:rFonts w:ascii="Arial" w:hAnsi="Arial"/>
        </w:rPr>
        <w:t xml:space="preserve">Cabe acotar que nada se arguyó y menos acreditó por parte del accionante, de forma que pudiera estimarse </w:t>
      </w:r>
      <w:r w:rsidRPr="006125E5">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8"/>
      </w:r>
      <w:r w:rsidRPr="006125E5">
        <w:rPr>
          <w:rFonts w:ascii="Arial" w:hAnsi="Arial" w:cs="Arial"/>
          <w:bCs/>
          <w:szCs w:val="22"/>
          <w:lang w:val="es-CO"/>
        </w:rPr>
        <w:t xml:space="preserve"> de tal modo que amerite un análisis flexible del requisito de procedibilidad echado de menos</w:t>
      </w:r>
      <w:r w:rsidRPr="006125E5">
        <w:rPr>
          <w:rFonts w:ascii="Arial" w:hAnsi="Arial"/>
        </w:rPr>
        <w:t>.</w:t>
      </w:r>
    </w:p>
    <w:p w:rsidR="00AF2BE6" w:rsidRPr="006125E5" w:rsidRDefault="00AF2BE6" w:rsidP="004C08A3">
      <w:pPr>
        <w:spacing w:line="360" w:lineRule="auto"/>
        <w:ind w:right="51"/>
        <w:jc w:val="both"/>
        <w:rPr>
          <w:rFonts w:ascii="Arial" w:hAnsi="Arial"/>
        </w:rPr>
      </w:pPr>
    </w:p>
    <w:p w:rsidR="004C08A3" w:rsidRPr="002E25B4" w:rsidRDefault="004C08A3" w:rsidP="002E25B4">
      <w:pPr>
        <w:spacing w:line="360" w:lineRule="auto"/>
        <w:ind w:right="51"/>
        <w:jc w:val="both"/>
        <w:rPr>
          <w:rFonts w:ascii="Arial" w:hAnsi="Arial"/>
        </w:rPr>
      </w:pPr>
      <w:r w:rsidRPr="002E25B4">
        <w:rPr>
          <w:rFonts w:ascii="Arial" w:hAnsi="Arial" w:cs="Arial"/>
          <w:lang w:val="es-ES_tradnl"/>
        </w:rPr>
        <w:t xml:space="preserve">En ese contexto, </w:t>
      </w:r>
      <w:r w:rsidRPr="002E25B4">
        <w:rPr>
          <w:rFonts w:ascii="Arial" w:hAnsi="Arial"/>
        </w:rPr>
        <w:t>la presente acción de tutela es improcedente toda vez que se incumple</w:t>
      </w:r>
      <w:r w:rsidR="00AF2BE6">
        <w:rPr>
          <w:rFonts w:ascii="Arial" w:hAnsi="Arial"/>
        </w:rPr>
        <w:t>n</w:t>
      </w:r>
      <w:r w:rsidRPr="002E25B4">
        <w:rPr>
          <w:rFonts w:ascii="Arial" w:hAnsi="Arial"/>
        </w:rPr>
        <w:t xml:space="preserve"> </w:t>
      </w:r>
      <w:r w:rsidR="00AF2BE6">
        <w:rPr>
          <w:rFonts w:ascii="Arial" w:hAnsi="Arial"/>
        </w:rPr>
        <w:t xml:space="preserve">dos </w:t>
      </w:r>
      <w:r w:rsidRPr="002E25B4">
        <w:rPr>
          <w:rFonts w:ascii="Arial" w:hAnsi="Arial"/>
        </w:rPr>
        <w:t xml:space="preserve">de los siete (7) requisitos generales de procedibilidad, como lo </w:t>
      </w:r>
      <w:r w:rsidR="00AF2BE6">
        <w:rPr>
          <w:rFonts w:ascii="Arial" w:hAnsi="Arial"/>
        </w:rPr>
        <w:t xml:space="preserve">son </w:t>
      </w:r>
      <w:r w:rsidRPr="002E25B4">
        <w:rPr>
          <w:rFonts w:ascii="Arial" w:hAnsi="Arial"/>
        </w:rPr>
        <w:t>el de la subsidiariedad</w:t>
      </w:r>
      <w:r w:rsidR="000F1DB6">
        <w:rPr>
          <w:rFonts w:ascii="Arial" w:hAnsi="Arial"/>
        </w:rPr>
        <w:t xml:space="preserve"> y el de alegar la vulneración de sus derechos en el proceso judicial</w:t>
      </w:r>
      <w:r w:rsidRPr="002E25B4">
        <w:rPr>
          <w:rFonts w:ascii="Arial" w:hAnsi="Arial"/>
        </w:rPr>
        <w:t>.</w:t>
      </w:r>
    </w:p>
    <w:p w:rsidR="00ED44D2" w:rsidRPr="002E25B4" w:rsidRDefault="00ED44D2" w:rsidP="002E25B4">
      <w:pPr>
        <w:spacing w:line="360" w:lineRule="auto"/>
        <w:ind w:right="51"/>
        <w:jc w:val="both"/>
        <w:rPr>
          <w:rFonts w:ascii="Arial" w:hAnsi="Arial"/>
        </w:rPr>
      </w:pPr>
    </w:p>
    <w:p w:rsidR="00FF5B57" w:rsidRPr="002E25B4" w:rsidRDefault="00FF5B57" w:rsidP="002E25B4">
      <w:pPr>
        <w:pStyle w:val="Corpsdetexte"/>
        <w:numPr>
          <w:ilvl w:val="0"/>
          <w:numId w:val="18"/>
        </w:numPr>
        <w:spacing w:line="360" w:lineRule="auto"/>
        <w:rPr>
          <w:rFonts w:ascii="Arial" w:hAnsi="Arial"/>
          <w:szCs w:val="24"/>
        </w:rPr>
      </w:pPr>
      <w:r w:rsidRPr="002E25B4">
        <w:rPr>
          <w:rFonts w:ascii="Arial" w:hAnsi="Arial"/>
          <w:szCs w:val="24"/>
        </w:rPr>
        <w:lastRenderedPageBreak/>
        <w:t xml:space="preserve">LAS CONCLUSIONES </w:t>
      </w:r>
    </w:p>
    <w:p w:rsidR="00685B1B" w:rsidRPr="002E25B4" w:rsidRDefault="00685B1B" w:rsidP="002E25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ED44D2" w:rsidRPr="002E25B4" w:rsidRDefault="00ED44D2" w:rsidP="002E25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2E25B4">
        <w:rPr>
          <w:rFonts w:ascii="Arial" w:hAnsi="Arial" w:cs="Arial"/>
          <w:szCs w:val="24"/>
          <w:lang w:val="es-ES"/>
        </w:rPr>
        <w:t xml:space="preserve">Con fundamento en las consideraciones expuestas, </w:t>
      </w:r>
      <w:r w:rsidRPr="002E25B4">
        <w:rPr>
          <w:rFonts w:ascii="Arial" w:hAnsi="Arial" w:cs="Arial"/>
          <w:szCs w:val="24"/>
        </w:rPr>
        <w:t xml:space="preserve">en los acápites anteriores: (i) Se declarará </w:t>
      </w:r>
      <w:r w:rsidR="00685B1B" w:rsidRPr="002E25B4">
        <w:rPr>
          <w:rFonts w:ascii="Arial" w:hAnsi="Arial" w:cs="Arial"/>
          <w:szCs w:val="24"/>
        </w:rPr>
        <w:t xml:space="preserve"> </w:t>
      </w:r>
      <w:r w:rsidRPr="002E25B4">
        <w:rPr>
          <w:rFonts w:ascii="Arial" w:hAnsi="Arial" w:cs="Arial"/>
          <w:szCs w:val="24"/>
        </w:rPr>
        <w:t>improcedente</w:t>
      </w:r>
      <w:r w:rsidR="00685B1B" w:rsidRPr="002E25B4">
        <w:rPr>
          <w:rFonts w:ascii="Arial" w:hAnsi="Arial" w:cs="Arial"/>
          <w:szCs w:val="24"/>
        </w:rPr>
        <w:t xml:space="preserve"> </w:t>
      </w:r>
      <w:r w:rsidRPr="002E25B4">
        <w:rPr>
          <w:rFonts w:ascii="Arial" w:hAnsi="Arial" w:cs="Arial"/>
          <w:szCs w:val="24"/>
        </w:rPr>
        <w:t xml:space="preserve"> </w:t>
      </w:r>
      <w:r w:rsidR="008B070F" w:rsidRPr="002E25B4">
        <w:rPr>
          <w:rFonts w:ascii="Arial" w:hAnsi="Arial" w:cs="Arial"/>
          <w:szCs w:val="24"/>
        </w:rPr>
        <w:t xml:space="preserve">la </w:t>
      </w:r>
      <w:r w:rsidR="00685B1B" w:rsidRPr="002E25B4">
        <w:rPr>
          <w:rFonts w:ascii="Arial" w:hAnsi="Arial" w:cs="Arial"/>
          <w:szCs w:val="24"/>
        </w:rPr>
        <w:t xml:space="preserve"> </w:t>
      </w:r>
      <w:r w:rsidR="008B070F" w:rsidRPr="002E25B4">
        <w:rPr>
          <w:rFonts w:ascii="Arial" w:hAnsi="Arial" w:cs="Arial"/>
          <w:szCs w:val="24"/>
        </w:rPr>
        <w:t xml:space="preserve">acción </w:t>
      </w:r>
      <w:r w:rsidR="00685B1B" w:rsidRPr="002E25B4">
        <w:rPr>
          <w:rFonts w:ascii="Arial" w:hAnsi="Arial" w:cs="Arial"/>
          <w:szCs w:val="24"/>
        </w:rPr>
        <w:t xml:space="preserve"> </w:t>
      </w:r>
      <w:r w:rsidR="000F1DB6">
        <w:rPr>
          <w:rFonts w:ascii="Arial" w:hAnsi="Arial" w:cs="Arial"/>
          <w:szCs w:val="24"/>
        </w:rPr>
        <w:t>constitucional</w:t>
      </w:r>
      <w:r w:rsidRPr="002E25B4">
        <w:rPr>
          <w:rFonts w:ascii="Arial" w:hAnsi="Arial" w:cs="Arial"/>
          <w:szCs w:val="24"/>
        </w:rPr>
        <w:t>; y, (ii)</w:t>
      </w:r>
      <w:r w:rsidRPr="002E25B4">
        <w:rPr>
          <w:rFonts w:ascii="Arial" w:hAnsi="Arial" w:cs="Arial"/>
          <w:szCs w:val="24"/>
          <w:lang w:val="es-ES"/>
        </w:rPr>
        <w:t xml:space="preserve"> </w:t>
      </w:r>
      <w:r w:rsidR="008B070F" w:rsidRPr="002E25B4">
        <w:rPr>
          <w:rFonts w:ascii="Arial" w:hAnsi="Arial" w:cs="Arial"/>
          <w:szCs w:val="24"/>
        </w:rPr>
        <w:t>Se negará</w:t>
      </w:r>
      <w:r w:rsidRPr="002E25B4">
        <w:rPr>
          <w:rFonts w:ascii="Arial" w:hAnsi="Arial" w:cs="Arial"/>
          <w:szCs w:val="24"/>
        </w:rPr>
        <w:t xml:space="preserve"> respecto a los vinculados</w:t>
      </w:r>
      <w:r w:rsidRPr="002E25B4">
        <w:rPr>
          <w:rFonts w:ascii="Arial" w:hAnsi="Arial" w:cs="Arial"/>
          <w:szCs w:val="24"/>
          <w:lang w:val="es-ES"/>
        </w:rPr>
        <w:t>.</w:t>
      </w:r>
    </w:p>
    <w:p w:rsidR="00ED44D2" w:rsidRPr="002E25B4" w:rsidRDefault="00ED44D2" w:rsidP="002E25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ED44D2" w:rsidRPr="002E25B4" w:rsidRDefault="00ED44D2" w:rsidP="002E25B4">
      <w:pPr>
        <w:tabs>
          <w:tab w:val="left" w:pos="-720"/>
        </w:tabs>
        <w:suppressAutoHyphens/>
        <w:spacing w:line="360" w:lineRule="auto"/>
        <w:jc w:val="both"/>
        <w:rPr>
          <w:rFonts w:ascii="Arial" w:hAnsi="Arial" w:cs="Arial"/>
        </w:rPr>
      </w:pPr>
      <w:r w:rsidRPr="002E25B4">
        <w:rPr>
          <w:rFonts w:ascii="Arial" w:hAnsi="Arial" w:cs="Arial"/>
        </w:rPr>
        <w:t xml:space="preserve">En mérito de lo expuesto, el </w:t>
      </w:r>
      <w:r w:rsidRPr="002E25B4">
        <w:rPr>
          <w:rFonts w:ascii="Arial" w:hAnsi="Arial" w:cs="Arial"/>
          <w:bCs/>
          <w:smallCaps/>
        </w:rPr>
        <w:t>Tribunal Superior del Distrito Judicial de Pereira, Sala de Decisión Civil -Familia</w:t>
      </w:r>
      <w:r w:rsidRPr="002E25B4">
        <w:rPr>
          <w:rFonts w:ascii="Arial" w:hAnsi="Arial" w:cs="Arial"/>
        </w:rPr>
        <w:t>, administrando Justicia, en nombre de la República y por autoridad de la Ley,</w:t>
      </w:r>
    </w:p>
    <w:p w:rsidR="00ED44D2" w:rsidRDefault="00ED44D2" w:rsidP="002E25B4">
      <w:pPr>
        <w:pStyle w:val="Corpsdetexte"/>
        <w:spacing w:line="360" w:lineRule="auto"/>
        <w:jc w:val="center"/>
        <w:rPr>
          <w:rFonts w:ascii="Arial" w:hAnsi="Arial" w:cs="Arial"/>
          <w:bCs/>
          <w:smallCaps/>
          <w:szCs w:val="24"/>
        </w:rPr>
      </w:pPr>
      <w:r w:rsidRPr="002E25B4">
        <w:rPr>
          <w:rFonts w:ascii="Arial" w:hAnsi="Arial" w:cs="Arial"/>
          <w:bCs/>
          <w:smallCaps/>
          <w:szCs w:val="24"/>
        </w:rPr>
        <w:t xml:space="preserve">F A L </w:t>
      </w:r>
      <w:proofErr w:type="spellStart"/>
      <w:r w:rsidRPr="002E25B4">
        <w:rPr>
          <w:rFonts w:ascii="Arial" w:hAnsi="Arial" w:cs="Arial"/>
          <w:bCs/>
          <w:smallCaps/>
          <w:szCs w:val="24"/>
        </w:rPr>
        <w:t>L</w:t>
      </w:r>
      <w:proofErr w:type="spellEnd"/>
      <w:r w:rsidRPr="002E25B4">
        <w:rPr>
          <w:rFonts w:ascii="Arial" w:hAnsi="Arial" w:cs="Arial"/>
          <w:bCs/>
          <w:smallCaps/>
          <w:szCs w:val="24"/>
        </w:rPr>
        <w:t xml:space="preserve"> A,</w:t>
      </w:r>
    </w:p>
    <w:p w:rsidR="00E11637" w:rsidRPr="002E25B4" w:rsidRDefault="00E11637" w:rsidP="002E25B4">
      <w:pPr>
        <w:pStyle w:val="Corpsdetexte"/>
        <w:spacing w:line="360" w:lineRule="auto"/>
        <w:jc w:val="center"/>
        <w:rPr>
          <w:rFonts w:ascii="Arial" w:hAnsi="Arial" w:cs="Arial"/>
          <w:bCs/>
          <w:smallCaps/>
          <w:szCs w:val="24"/>
        </w:rPr>
      </w:pPr>
    </w:p>
    <w:p w:rsidR="00ED44D2" w:rsidRPr="002E25B4" w:rsidRDefault="00ED44D2" w:rsidP="002E25B4">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E25B4">
        <w:rPr>
          <w:rFonts w:ascii="Arial" w:hAnsi="Arial" w:cs="Arial"/>
        </w:rPr>
        <w:t>DECLARAR improcedente la</w:t>
      </w:r>
      <w:r w:rsidR="008B070F" w:rsidRPr="002E25B4">
        <w:rPr>
          <w:rFonts w:ascii="Arial" w:hAnsi="Arial" w:cs="Arial"/>
        </w:rPr>
        <w:t xml:space="preserve"> </w:t>
      </w:r>
      <w:r w:rsidRPr="002E25B4">
        <w:rPr>
          <w:rFonts w:ascii="Arial" w:hAnsi="Arial" w:cs="Arial"/>
        </w:rPr>
        <w:t xml:space="preserve">tutela propuesta por el señor </w:t>
      </w:r>
      <w:r w:rsidR="008B070F" w:rsidRPr="002E25B4">
        <w:rPr>
          <w:rFonts w:ascii="Arial" w:hAnsi="Arial" w:cs="Arial"/>
        </w:rPr>
        <w:t xml:space="preserve">Camilo Andrés Reyes Medina </w:t>
      </w:r>
      <w:r w:rsidRPr="002E25B4">
        <w:rPr>
          <w:rFonts w:ascii="Arial" w:hAnsi="Arial" w:cs="Arial"/>
        </w:rPr>
        <w:t xml:space="preserve">contra el Juzgado </w:t>
      </w:r>
      <w:r w:rsidR="000F1DB6">
        <w:rPr>
          <w:rFonts w:ascii="Arial" w:hAnsi="Arial" w:cs="Arial"/>
        </w:rPr>
        <w:t xml:space="preserve">Segundo de </w:t>
      </w:r>
      <w:r w:rsidR="008B070F" w:rsidRPr="002E25B4">
        <w:rPr>
          <w:rFonts w:ascii="Arial" w:hAnsi="Arial" w:cs="Arial"/>
        </w:rPr>
        <w:t xml:space="preserve">Familia de </w:t>
      </w:r>
      <w:r w:rsidR="000F1DB6">
        <w:rPr>
          <w:rFonts w:ascii="Arial" w:hAnsi="Arial" w:cs="Arial"/>
        </w:rPr>
        <w:t>Pereira</w:t>
      </w:r>
      <w:r w:rsidRPr="002E25B4">
        <w:rPr>
          <w:rFonts w:ascii="Arial" w:hAnsi="Arial" w:cs="Arial"/>
        </w:rPr>
        <w:t>.</w:t>
      </w:r>
    </w:p>
    <w:p w:rsidR="00ED44D2" w:rsidRPr="002E25B4" w:rsidRDefault="00ED44D2" w:rsidP="002E25B4">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B72677" w:rsidRPr="002E25B4" w:rsidRDefault="00ED44D2" w:rsidP="002E25B4">
      <w:pPr>
        <w:pStyle w:val="Corpsdetexte"/>
        <w:numPr>
          <w:ilvl w:val="0"/>
          <w:numId w:val="27"/>
        </w:numPr>
        <w:tabs>
          <w:tab w:val="clear" w:pos="720"/>
          <w:tab w:val="num" w:pos="360"/>
        </w:tabs>
        <w:spacing w:line="360" w:lineRule="auto"/>
        <w:ind w:left="360"/>
        <w:textAlignment w:val="auto"/>
        <w:rPr>
          <w:rFonts w:ascii="Arial" w:hAnsi="Arial" w:cs="Arial"/>
          <w:szCs w:val="24"/>
        </w:rPr>
      </w:pPr>
      <w:r w:rsidRPr="002E25B4">
        <w:rPr>
          <w:rFonts w:ascii="Arial" w:hAnsi="Arial" w:cs="Arial"/>
          <w:szCs w:val="24"/>
        </w:rPr>
        <w:t xml:space="preserve">NEGAR </w:t>
      </w:r>
      <w:r w:rsidR="008B070F" w:rsidRPr="002E25B4">
        <w:rPr>
          <w:rFonts w:ascii="Arial" w:hAnsi="Arial" w:cs="Arial"/>
          <w:szCs w:val="24"/>
        </w:rPr>
        <w:t xml:space="preserve">el </w:t>
      </w:r>
      <w:r w:rsidRPr="002E25B4">
        <w:rPr>
          <w:rFonts w:ascii="Arial" w:hAnsi="Arial" w:cs="Arial"/>
          <w:szCs w:val="24"/>
        </w:rPr>
        <w:t xml:space="preserve">amparo promovido frente a </w:t>
      </w:r>
      <w:r w:rsidR="008B070F" w:rsidRPr="002E25B4">
        <w:rPr>
          <w:rFonts w:ascii="Arial" w:hAnsi="Arial" w:cs="Arial"/>
          <w:szCs w:val="24"/>
        </w:rPr>
        <w:t xml:space="preserve">Daniela García Hincapié, </w:t>
      </w:r>
      <w:r w:rsidR="00E11637">
        <w:rPr>
          <w:rFonts w:ascii="Arial" w:hAnsi="Arial" w:cs="Arial"/>
          <w:szCs w:val="24"/>
        </w:rPr>
        <w:t>el Defensor</w:t>
      </w:r>
      <w:r w:rsidR="008B070F" w:rsidRPr="002E25B4">
        <w:rPr>
          <w:rFonts w:ascii="Arial" w:hAnsi="Arial" w:cs="Arial"/>
          <w:szCs w:val="24"/>
        </w:rPr>
        <w:t xml:space="preserve"> de Familia y el Procurador </w:t>
      </w:r>
      <w:r w:rsidR="009B03B7" w:rsidRPr="002E25B4">
        <w:rPr>
          <w:rFonts w:ascii="Arial" w:hAnsi="Arial" w:cs="Arial"/>
          <w:szCs w:val="24"/>
        </w:rPr>
        <w:t>21</w:t>
      </w:r>
      <w:r w:rsidR="00E11637">
        <w:rPr>
          <w:rFonts w:ascii="Arial" w:hAnsi="Arial" w:cs="Arial"/>
          <w:szCs w:val="24"/>
        </w:rPr>
        <w:t xml:space="preserve"> </w:t>
      </w:r>
      <w:r w:rsidR="008B070F" w:rsidRPr="002E25B4">
        <w:rPr>
          <w:rFonts w:ascii="Arial" w:hAnsi="Arial" w:cs="Arial"/>
          <w:szCs w:val="24"/>
        </w:rPr>
        <w:t>Judicial II</w:t>
      </w:r>
      <w:r w:rsidR="00E11637">
        <w:rPr>
          <w:rFonts w:ascii="Arial" w:hAnsi="Arial" w:cs="Arial"/>
          <w:szCs w:val="24"/>
        </w:rPr>
        <w:t>,</w:t>
      </w:r>
      <w:r w:rsidR="009B03B7" w:rsidRPr="002E25B4">
        <w:rPr>
          <w:rFonts w:ascii="Arial" w:hAnsi="Arial" w:cs="Arial"/>
          <w:szCs w:val="24"/>
        </w:rPr>
        <w:t xml:space="preserve"> </w:t>
      </w:r>
      <w:r w:rsidRPr="002E25B4">
        <w:rPr>
          <w:rFonts w:ascii="Arial" w:hAnsi="Arial" w:cs="Arial"/>
          <w:szCs w:val="24"/>
        </w:rPr>
        <w:t>por inexistencia de violación o amenaza a los derechos invocados.</w:t>
      </w:r>
    </w:p>
    <w:p w:rsidR="00FF5B57" w:rsidRPr="002E25B4" w:rsidRDefault="00FF5B57" w:rsidP="002E25B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E25B4">
        <w:rPr>
          <w:rFonts w:ascii="Arial" w:hAnsi="Arial" w:cs="Arial"/>
        </w:rPr>
        <w:t>NOTIFICAR esta decisión a todas las partes, por el medio más expedito y eficaz.</w:t>
      </w:r>
    </w:p>
    <w:p w:rsidR="00FF5B57" w:rsidRPr="002E25B4" w:rsidRDefault="00FF5B57" w:rsidP="002E25B4">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2E25B4" w:rsidRDefault="00FF5B57" w:rsidP="002E25B4">
      <w:pPr>
        <w:pStyle w:val="Corpsdetexte"/>
        <w:numPr>
          <w:ilvl w:val="0"/>
          <w:numId w:val="6"/>
        </w:numPr>
        <w:tabs>
          <w:tab w:val="clear" w:pos="720"/>
          <w:tab w:val="num" w:pos="360"/>
        </w:tabs>
        <w:spacing w:line="360" w:lineRule="auto"/>
        <w:ind w:left="360"/>
        <w:rPr>
          <w:rFonts w:ascii="Arial" w:hAnsi="Arial" w:cs="Arial"/>
          <w:szCs w:val="24"/>
        </w:rPr>
      </w:pPr>
      <w:r w:rsidRPr="002E25B4">
        <w:rPr>
          <w:rFonts w:ascii="Arial" w:hAnsi="Arial" w:cs="Arial"/>
          <w:szCs w:val="24"/>
        </w:rPr>
        <w:t>REMITIR este expediente, a la Corte Constitucional para su eventual revisión, de no ser impugnada.</w:t>
      </w:r>
    </w:p>
    <w:p w:rsidR="00FF5B57" w:rsidRPr="002E25B4" w:rsidRDefault="00FF5B57" w:rsidP="002E25B4">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2E25B4" w:rsidRDefault="00FF5B57" w:rsidP="002E25B4">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E25B4">
        <w:rPr>
          <w:rFonts w:ascii="Arial" w:hAnsi="Arial" w:cs="Arial"/>
        </w:rPr>
        <w:t>ORDENAR el archivo del expediente, surtidos los trámites anteriores.</w:t>
      </w:r>
    </w:p>
    <w:p w:rsidR="00626C89" w:rsidRPr="002E25B4" w:rsidRDefault="00626C89" w:rsidP="002E25B4">
      <w:pPr>
        <w:pStyle w:val="Paragraphedeliste"/>
        <w:widowControl/>
        <w:autoSpaceDE/>
        <w:autoSpaceDN/>
        <w:adjustRightInd/>
        <w:spacing w:line="360" w:lineRule="auto"/>
        <w:ind w:left="360" w:right="51"/>
        <w:contextualSpacing/>
        <w:jc w:val="both"/>
        <w:rPr>
          <w:rFonts w:ascii="Arial" w:hAnsi="Arial"/>
          <w:sz w:val="8"/>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B30152" w:rsidRDefault="00B30152" w:rsidP="00417DA5">
      <w:pPr>
        <w:pStyle w:val="Corpsdetexte"/>
        <w:spacing w:line="360" w:lineRule="auto"/>
        <w:jc w:val="center"/>
        <w:rPr>
          <w:rFonts w:ascii="Arial" w:hAnsi="Arial"/>
          <w:sz w:val="44"/>
          <w:szCs w:val="24"/>
          <w:lang w:val="en-US"/>
        </w:rPr>
      </w:pPr>
    </w:p>
    <w:p w:rsidR="00E11637" w:rsidRPr="00E11637" w:rsidRDefault="00E11637" w:rsidP="00417DA5">
      <w:pPr>
        <w:pStyle w:val="Corpsdetexte"/>
        <w:spacing w:line="360" w:lineRule="auto"/>
        <w:jc w:val="center"/>
        <w:rPr>
          <w:rFonts w:ascii="Arial" w:hAnsi="Arial"/>
          <w:sz w:val="18"/>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5C4C0F"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lang w:val="en-US"/>
        </w:rPr>
      </w:pPr>
    </w:p>
    <w:p w:rsidR="00E11637" w:rsidRPr="00E11637" w:rsidRDefault="00E1163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lang w:val="en-US"/>
        </w:rPr>
      </w:pPr>
    </w:p>
    <w:p w:rsidR="005C4C0F"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E11637" w:rsidRPr="004368E6" w:rsidRDefault="00E1163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bookmarkStart w:id="0" w:name="_GoBack"/>
      <w:bookmarkEnd w:id="0"/>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368E6" w:rsidRDefault="00445605" w:rsidP="00E11637">
      <w:pPr>
        <w:pStyle w:val="Corpsdetex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sectPr w:rsidR="004368E6" w:rsidSect="00570073">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69" w:rsidRDefault="00FF6669" w:rsidP="0099045D">
      <w:r>
        <w:separator/>
      </w:r>
    </w:p>
  </w:endnote>
  <w:endnote w:type="continuationSeparator" w:id="0">
    <w:p w:rsidR="00FF6669" w:rsidRDefault="00FF666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E6" w:rsidRDefault="004368E6"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4368E6" w:rsidRDefault="004368E6" w:rsidP="0013771A">
    <w:pPr>
      <w:pStyle w:val="Pieddepage"/>
      <w:spacing w:line="360" w:lineRule="auto"/>
      <w:jc w:val="right"/>
      <w:rPr>
        <w:rFonts w:ascii="Arial" w:hAnsi="Arial" w:cs="Arial"/>
        <w:spacing w:val="20"/>
        <w:w w:val="200"/>
        <w:sz w:val="14"/>
        <w:szCs w:val="10"/>
        <w:lang w:val="es-CO"/>
      </w:rPr>
    </w:pPr>
  </w:p>
  <w:p w:rsidR="004368E6" w:rsidRPr="003E18D8" w:rsidRDefault="004368E6"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368E6" w:rsidRPr="007F7D49" w:rsidRDefault="004368E6"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69" w:rsidRDefault="00FF6669" w:rsidP="0099045D">
      <w:r>
        <w:separator/>
      </w:r>
    </w:p>
  </w:footnote>
  <w:footnote w:type="continuationSeparator" w:id="0">
    <w:p w:rsidR="00FF6669" w:rsidRDefault="00FF6669" w:rsidP="0099045D">
      <w:r>
        <w:continuationSeparator/>
      </w:r>
    </w:p>
  </w:footnote>
  <w:footnote w:id="1">
    <w:p w:rsidR="001A0814" w:rsidRPr="00E17BD7" w:rsidRDefault="001A0814" w:rsidP="001A0814">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SA, Bogotá, 2013, p.103.</w:t>
      </w:r>
    </w:p>
  </w:footnote>
  <w:footnote w:id="2">
    <w:p w:rsidR="001A0814" w:rsidRPr="00E17BD7" w:rsidRDefault="001A0814" w:rsidP="001A0814">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NATALE, Édgar Andrés. Tutela contra decisiones judiciales, Universidad Santo Tomás y editorial Ibáñez, Bogotá DC, 2014, p.83.</w:t>
      </w:r>
    </w:p>
  </w:footnote>
  <w:footnote w:id="3">
    <w:p w:rsidR="001A0814" w:rsidRPr="00E17BD7" w:rsidRDefault="001A0814" w:rsidP="001A0814">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1A0814" w:rsidRPr="00E17BD7" w:rsidRDefault="001A0814" w:rsidP="001A0814">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1A0814" w:rsidRPr="00E17BD7" w:rsidRDefault="001A0814" w:rsidP="001A0814">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1A0814" w:rsidRPr="00E17BD7" w:rsidRDefault="001A0814" w:rsidP="001A0814">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1A0814" w:rsidRPr="00E17BD7" w:rsidRDefault="001A0814" w:rsidP="001A0814">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1A0814" w:rsidRPr="00E17BD7" w:rsidRDefault="001A0814" w:rsidP="001A0814">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p.233-285.</w:t>
      </w:r>
    </w:p>
  </w:footnote>
  <w:footnote w:id="9">
    <w:p w:rsidR="00E11637" w:rsidRPr="00B610B8" w:rsidRDefault="00E11637" w:rsidP="00E11637">
      <w:pPr>
        <w:pStyle w:val="Notedebasdepage"/>
        <w:jc w:val="both"/>
        <w:rPr>
          <w:lang w:val="fr-FR"/>
        </w:rPr>
      </w:pPr>
      <w:r>
        <w:rPr>
          <w:rStyle w:val="Appelnotedebasdep"/>
          <w:rFonts w:asciiTheme="minorHAnsi" w:hAnsiTheme="minorHAnsi"/>
        </w:rPr>
        <w:footnoteRef/>
      </w:r>
      <w:r w:rsidRPr="00B610B8">
        <w:rPr>
          <w:rFonts w:asciiTheme="minorHAnsi" w:hAnsiTheme="minorHAnsi"/>
          <w:lang w:val="fr-FR"/>
        </w:rPr>
        <w:t xml:space="preserve"> </w:t>
      </w:r>
      <w:r w:rsidRPr="00B610B8">
        <w:rPr>
          <w:rFonts w:asciiTheme="minorHAnsi" w:hAnsiTheme="minorHAnsi" w:cs="Calibri"/>
          <w:lang w:val="fr-FR"/>
        </w:rPr>
        <w:t xml:space="preserve">CC. Sentencia T-134 de 1994. </w:t>
      </w:r>
    </w:p>
  </w:footnote>
  <w:footnote w:id="10">
    <w:p w:rsidR="00E11637" w:rsidRPr="00B610B8" w:rsidRDefault="00E11637" w:rsidP="00E11637">
      <w:pPr>
        <w:pStyle w:val="Notedebasdepage"/>
        <w:rPr>
          <w:lang w:val="fr-FR"/>
        </w:rPr>
      </w:pPr>
      <w:r>
        <w:rPr>
          <w:rStyle w:val="Appelnotedebasdep"/>
        </w:rPr>
        <w:footnoteRef/>
      </w:r>
      <w:r w:rsidRPr="00B610B8">
        <w:rPr>
          <w:lang w:val="fr-FR"/>
        </w:rPr>
        <w:t xml:space="preserve"> </w:t>
      </w:r>
      <w:r w:rsidRPr="00B610B8">
        <w:rPr>
          <w:rFonts w:asciiTheme="minorHAnsi" w:hAnsiTheme="minorHAnsi" w:cs="Calibri"/>
          <w:lang w:val="fr-FR"/>
        </w:rPr>
        <w:t>CC. Sentencia T-103 de 2014.</w:t>
      </w:r>
    </w:p>
  </w:footnote>
  <w:footnote w:id="11">
    <w:p w:rsidR="00E11637" w:rsidRPr="00B610B8" w:rsidRDefault="00E11637" w:rsidP="00E11637">
      <w:pPr>
        <w:pStyle w:val="Notedebasdepage"/>
        <w:jc w:val="both"/>
        <w:rPr>
          <w:lang w:val="fr-FR"/>
        </w:rPr>
      </w:pPr>
      <w:r>
        <w:rPr>
          <w:rStyle w:val="Appelnotedebasdep"/>
          <w:rFonts w:asciiTheme="minorHAnsi" w:hAnsiTheme="minorHAnsi" w:cs="Calibri"/>
        </w:rPr>
        <w:footnoteRef/>
      </w:r>
      <w:r w:rsidRPr="00B610B8">
        <w:rPr>
          <w:rFonts w:asciiTheme="minorHAnsi" w:hAnsiTheme="minorHAnsi" w:cs="Calibri"/>
          <w:lang w:val="fr-FR"/>
        </w:rPr>
        <w:t xml:space="preserve"> CC. Sentencia T-567 de 1998.</w:t>
      </w:r>
    </w:p>
  </w:footnote>
  <w:footnote w:id="12">
    <w:p w:rsidR="00E11637" w:rsidRPr="00B610B8" w:rsidRDefault="00E11637" w:rsidP="00E11637">
      <w:pPr>
        <w:pStyle w:val="Notedebasdepage"/>
        <w:jc w:val="both"/>
        <w:rPr>
          <w:lang w:val="fr-FR"/>
        </w:rPr>
      </w:pPr>
      <w:r>
        <w:rPr>
          <w:rStyle w:val="Appelnotedebasdep"/>
          <w:rFonts w:asciiTheme="minorHAnsi" w:hAnsiTheme="minorHAnsi"/>
        </w:rPr>
        <w:footnoteRef/>
      </w:r>
      <w:r w:rsidRPr="00B610B8">
        <w:rPr>
          <w:rFonts w:asciiTheme="minorHAnsi" w:hAnsiTheme="minorHAnsi"/>
          <w:lang w:val="fr-FR"/>
        </w:rPr>
        <w:t xml:space="preserve"> </w:t>
      </w:r>
      <w:r w:rsidRPr="00B610B8">
        <w:rPr>
          <w:rFonts w:asciiTheme="minorHAnsi" w:hAnsiTheme="minorHAnsi" w:cs="Calibri"/>
          <w:lang w:val="fr-FR"/>
        </w:rPr>
        <w:t>CC. Sentencia T-662 de 2013.</w:t>
      </w:r>
      <w:r w:rsidRPr="00B610B8">
        <w:rPr>
          <w:b/>
          <w:bCs/>
          <w:color w:val="2D2D2D"/>
          <w:sz w:val="28"/>
          <w:szCs w:val="28"/>
          <w:bdr w:val="none" w:sz="0" w:space="0" w:color="auto" w:frame="1"/>
          <w:shd w:val="clear" w:color="auto" w:fill="FFFFFF"/>
          <w:lang w:val="fr-FR"/>
        </w:rPr>
        <w:t xml:space="preserve"> </w:t>
      </w:r>
    </w:p>
  </w:footnote>
  <w:footnote w:id="13">
    <w:p w:rsidR="00E11637" w:rsidRPr="00B610B8" w:rsidRDefault="00E11637" w:rsidP="00E11637">
      <w:pPr>
        <w:pStyle w:val="Notedebasdepage"/>
        <w:jc w:val="both"/>
        <w:rPr>
          <w:lang w:val="fr-FR"/>
        </w:rPr>
      </w:pPr>
      <w:r>
        <w:rPr>
          <w:rStyle w:val="Appelnotedebasdep"/>
        </w:rPr>
        <w:footnoteRef/>
      </w:r>
      <w:r w:rsidRPr="00B610B8">
        <w:rPr>
          <w:lang w:val="fr-FR"/>
        </w:rPr>
        <w:t xml:space="preserve"> </w:t>
      </w:r>
      <w:r w:rsidRPr="00B610B8">
        <w:rPr>
          <w:rFonts w:asciiTheme="minorHAnsi" w:hAnsiTheme="minorHAnsi" w:cs="Calibri"/>
          <w:lang w:val="fr-FR"/>
        </w:rPr>
        <w:t xml:space="preserve">CC. </w:t>
      </w:r>
      <w:r w:rsidRPr="00B610B8">
        <w:rPr>
          <w:rFonts w:ascii="Calibri" w:hAnsi="Calibri"/>
          <w:bCs/>
          <w:bdr w:val="none" w:sz="0" w:space="0" w:color="auto" w:frame="1"/>
          <w:shd w:val="clear" w:color="auto" w:fill="FFFFFF"/>
          <w:lang w:val="fr-FR"/>
        </w:rPr>
        <w:t>Sentencia T-037 de 2016 y T-120 de 2016.</w:t>
      </w:r>
    </w:p>
  </w:footnote>
  <w:footnote w:id="14">
    <w:p w:rsidR="00E11637" w:rsidRDefault="00E11637" w:rsidP="00E11637">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MP: Margarita Cabello Blanco, </w:t>
      </w:r>
      <w:proofErr w:type="spellStart"/>
      <w:r>
        <w:rPr>
          <w:rFonts w:asciiTheme="minorHAnsi" w:hAnsiTheme="minorHAnsi" w:cs="Calibri"/>
          <w:lang w:val="es-CO"/>
        </w:rPr>
        <w:t>exp</w:t>
      </w:r>
      <w:proofErr w:type="spellEnd"/>
      <w:r>
        <w:rPr>
          <w:rFonts w:asciiTheme="minorHAnsi" w:hAnsiTheme="minorHAnsi" w:cs="Calibri"/>
          <w:lang w:val="es-CO"/>
        </w:rPr>
        <w:t>. No.23001-22-14-000-2014-00097-01</w:t>
      </w:r>
      <w:r>
        <w:rPr>
          <w:rFonts w:asciiTheme="minorHAnsi" w:hAnsiTheme="minorHAnsi" w:cs="Calibri"/>
          <w:w w:val="110"/>
          <w:lang w:val="es-CO"/>
        </w:rPr>
        <w:t>.</w:t>
      </w:r>
    </w:p>
  </w:footnote>
  <w:footnote w:id="15">
    <w:p w:rsidR="00E11637" w:rsidRDefault="00E11637" w:rsidP="00E11637">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16">
    <w:p w:rsidR="00E11637" w:rsidRDefault="00E11637" w:rsidP="00E11637">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r>
        <w:rPr>
          <w:rFonts w:ascii="Calibri" w:hAnsi="Calibri"/>
          <w:lang w:val="es-CO"/>
        </w:rPr>
        <w:t>STC3931-2016.</w:t>
      </w:r>
    </w:p>
  </w:footnote>
  <w:footnote w:id="17">
    <w:p w:rsidR="004368E6" w:rsidRPr="00B610B8" w:rsidRDefault="004368E6" w:rsidP="004C08A3">
      <w:pPr>
        <w:pStyle w:val="Notedebasdepage"/>
        <w:jc w:val="both"/>
        <w:rPr>
          <w:lang w:val="fr-FR"/>
        </w:rPr>
      </w:pPr>
      <w:r w:rsidRPr="0088104A">
        <w:rPr>
          <w:rStyle w:val="Appelnotedebasdep"/>
          <w:rFonts w:asciiTheme="minorHAnsi" w:hAnsiTheme="minorHAnsi" w:cs="Calibri"/>
        </w:rPr>
        <w:footnoteRef/>
      </w:r>
      <w:r w:rsidRPr="00B610B8">
        <w:rPr>
          <w:rFonts w:asciiTheme="minorHAnsi" w:hAnsiTheme="minorHAnsi" w:cs="Calibri"/>
          <w:lang w:val="fr-FR"/>
        </w:rPr>
        <w:t xml:space="preserve"> CC.  Sentencia T-567 de 1998.</w:t>
      </w:r>
    </w:p>
  </w:footnote>
  <w:footnote w:id="18">
    <w:p w:rsidR="004368E6" w:rsidRPr="008B43C6" w:rsidRDefault="004368E6" w:rsidP="004C08A3">
      <w:pPr>
        <w:pStyle w:val="Notedebasdepage"/>
        <w:rPr>
          <w:lang w:val="es-CO"/>
        </w:rPr>
      </w:pPr>
      <w:r>
        <w:rPr>
          <w:rStyle w:val="Appelnotedebasdep"/>
        </w:rPr>
        <w:footnoteRef/>
      </w:r>
      <w:r w:rsidRPr="00B610B8">
        <w:rPr>
          <w:lang w:val="fr-FR"/>
        </w:rPr>
        <w:t xml:space="preserve"> </w:t>
      </w:r>
      <w:r w:rsidRPr="00B610B8">
        <w:rPr>
          <w:rFonts w:asciiTheme="minorHAnsi" w:hAnsiTheme="minorHAnsi" w:cs="Calibri"/>
          <w:lang w:val="fr-FR"/>
        </w:rPr>
        <w:t xml:space="preserve">CC.  </w:t>
      </w:r>
      <w:r w:rsidRPr="0088104A">
        <w:rPr>
          <w:rFonts w:asciiTheme="minorHAnsi" w:hAnsiTheme="minorHAnsi" w:cs="Calibri"/>
        </w:rPr>
        <w:t xml:space="preserve">Sentencia </w:t>
      </w:r>
      <w:r w:rsidR="00C628DD">
        <w:rPr>
          <w:rFonts w:asciiTheme="minorHAnsi" w:hAnsiTheme="minorHAnsi" w:cs="Calibri"/>
        </w:rPr>
        <w:t>SU-222 de 2016</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E6" w:rsidRPr="006414F7" w:rsidRDefault="004368E6">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B2294">
      <w:rPr>
        <w:rFonts w:ascii="Calibri" w:hAnsi="Calibri" w:cs="Calibri"/>
        <w:i/>
        <w:noProof/>
        <w:sz w:val="20"/>
      </w:rPr>
      <w:t>7</w:t>
    </w:r>
    <w:r w:rsidRPr="006414F7">
      <w:rPr>
        <w:rFonts w:ascii="Calibri" w:hAnsi="Calibri" w:cs="Calibri"/>
        <w:i/>
        <w:sz w:val="20"/>
      </w:rPr>
      <w:fldChar w:fldCharType="end"/>
    </w:r>
  </w:p>
  <w:p w:rsidR="004368E6" w:rsidRPr="006414F7" w:rsidRDefault="004368E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4C02AD">
      <w:rPr>
        <w:rFonts w:ascii="Calibri" w:hAnsi="Calibri" w:cs="Calibri"/>
        <w:i/>
        <w:sz w:val="20"/>
        <w:szCs w:val="22"/>
      </w:rPr>
      <w:t>01255</w:t>
    </w:r>
    <w:r>
      <w:rPr>
        <w:rFonts w:ascii="Calibri" w:hAnsi="Calibri" w:cs="Calibri"/>
        <w:i/>
        <w:sz w:val="20"/>
        <w:szCs w:val="22"/>
      </w:rPr>
      <w:t xml:space="preserve">-00 </w:t>
    </w:r>
    <w:r w:rsidR="004C02AD">
      <w:rPr>
        <w:rFonts w:ascii="Calibri" w:hAnsi="Calibri" w:cs="Calibri"/>
        <w:i/>
        <w:sz w:val="20"/>
        <w:szCs w:val="22"/>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447"/>
    <w:rsid w:val="00021844"/>
    <w:rsid w:val="00021E04"/>
    <w:rsid w:val="00022159"/>
    <w:rsid w:val="000224B4"/>
    <w:rsid w:val="00022708"/>
    <w:rsid w:val="00022765"/>
    <w:rsid w:val="00023536"/>
    <w:rsid w:val="00023B88"/>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223"/>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AA5"/>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066C"/>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DB6"/>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1C3"/>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814"/>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5B4"/>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7E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C42"/>
    <w:rsid w:val="00370D1D"/>
    <w:rsid w:val="0037217E"/>
    <w:rsid w:val="003722A2"/>
    <w:rsid w:val="00372BC7"/>
    <w:rsid w:val="003733E2"/>
    <w:rsid w:val="0037348A"/>
    <w:rsid w:val="0037396E"/>
    <w:rsid w:val="003739B4"/>
    <w:rsid w:val="00374B7E"/>
    <w:rsid w:val="003750F7"/>
    <w:rsid w:val="0037599F"/>
    <w:rsid w:val="00375AAF"/>
    <w:rsid w:val="00375E91"/>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0FA"/>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D3F"/>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68E6"/>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6BF"/>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2F3A"/>
    <w:rsid w:val="004932AD"/>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01A"/>
    <w:rsid w:val="004B115F"/>
    <w:rsid w:val="004B1986"/>
    <w:rsid w:val="004B1BC3"/>
    <w:rsid w:val="004B36EB"/>
    <w:rsid w:val="004B3732"/>
    <w:rsid w:val="004B3F03"/>
    <w:rsid w:val="004B3F1F"/>
    <w:rsid w:val="004B45E4"/>
    <w:rsid w:val="004B4FA9"/>
    <w:rsid w:val="004B7439"/>
    <w:rsid w:val="004B77EB"/>
    <w:rsid w:val="004C02AD"/>
    <w:rsid w:val="004C08A3"/>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2B6"/>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2FE4"/>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073"/>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CBB"/>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277"/>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5B1B"/>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6C7"/>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D9D"/>
    <w:rsid w:val="00747E14"/>
    <w:rsid w:val="00750723"/>
    <w:rsid w:val="007507D7"/>
    <w:rsid w:val="007508C9"/>
    <w:rsid w:val="00750900"/>
    <w:rsid w:val="00750FB3"/>
    <w:rsid w:val="0075117C"/>
    <w:rsid w:val="00751F95"/>
    <w:rsid w:val="0075358D"/>
    <w:rsid w:val="00753879"/>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2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24B"/>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718"/>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AE"/>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4DD0"/>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5A9"/>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070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B8"/>
    <w:rsid w:val="008D49E9"/>
    <w:rsid w:val="008D53F1"/>
    <w:rsid w:val="008D7F5B"/>
    <w:rsid w:val="008E1295"/>
    <w:rsid w:val="008E2633"/>
    <w:rsid w:val="008E2790"/>
    <w:rsid w:val="008E3493"/>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4DEB"/>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59E"/>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A"/>
    <w:rsid w:val="009B030E"/>
    <w:rsid w:val="009B03B7"/>
    <w:rsid w:val="009B0F6D"/>
    <w:rsid w:val="009B179A"/>
    <w:rsid w:val="009B17AF"/>
    <w:rsid w:val="009B18EB"/>
    <w:rsid w:val="009B22F3"/>
    <w:rsid w:val="009B2D14"/>
    <w:rsid w:val="009B332A"/>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1F8C"/>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3DDD"/>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94"/>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2BE6"/>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AE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92F"/>
    <w:rsid w:val="00B54AC7"/>
    <w:rsid w:val="00B54BCA"/>
    <w:rsid w:val="00B54E75"/>
    <w:rsid w:val="00B54EFC"/>
    <w:rsid w:val="00B54F2D"/>
    <w:rsid w:val="00B55085"/>
    <w:rsid w:val="00B554F6"/>
    <w:rsid w:val="00B55C95"/>
    <w:rsid w:val="00B56A42"/>
    <w:rsid w:val="00B56BC8"/>
    <w:rsid w:val="00B57418"/>
    <w:rsid w:val="00B5760B"/>
    <w:rsid w:val="00B57911"/>
    <w:rsid w:val="00B57C24"/>
    <w:rsid w:val="00B57C98"/>
    <w:rsid w:val="00B60E09"/>
    <w:rsid w:val="00B610B8"/>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677"/>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21A"/>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57C7"/>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0C6"/>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319"/>
    <w:rsid w:val="00C224B6"/>
    <w:rsid w:val="00C224E8"/>
    <w:rsid w:val="00C228CA"/>
    <w:rsid w:val="00C230C3"/>
    <w:rsid w:val="00C235B7"/>
    <w:rsid w:val="00C235DA"/>
    <w:rsid w:val="00C236E4"/>
    <w:rsid w:val="00C23BCD"/>
    <w:rsid w:val="00C23F1E"/>
    <w:rsid w:val="00C24301"/>
    <w:rsid w:val="00C244B0"/>
    <w:rsid w:val="00C2502D"/>
    <w:rsid w:val="00C2529A"/>
    <w:rsid w:val="00C25439"/>
    <w:rsid w:val="00C25731"/>
    <w:rsid w:val="00C25D14"/>
    <w:rsid w:val="00C262F5"/>
    <w:rsid w:val="00C26E04"/>
    <w:rsid w:val="00C278CE"/>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4D47"/>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8DD"/>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145"/>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5CD"/>
    <w:rsid w:val="00D1467D"/>
    <w:rsid w:val="00D14DBF"/>
    <w:rsid w:val="00D15292"/>
    <w:rsid w:val="00D154FE"/>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AD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928"/>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2E86"/>
    <w:rsid w:val="00DB4EE6"/>
    <w:rsid w:val="00DB4F9E"/>
    <w:rsid w:val="00DB4FEB"/>
    <w:rsid w:val="00DB501D"/>
    <w:rsid w:val="00DB569D"/>
    <w:rsid w:val="00DB63AB"/>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829"/>
    <w:rsid w:val="00E10900"/>
    <w:rsid w:val="00E10981"/>
    <w:rsid w:val="00E10AF0"/>
    <w:rsid w:val="00E10F1B"/>
    <w:rsid w:val="00E11244"/>
    <w:rsid w:val="00E11396"/>
    <w:rsid w:val="00E11604"/>
    <w:rsid w:val="00E11637"/>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8EF"/>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AE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E09"/>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18AD"/>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0EF"/>
    <w:rsid w:val="00EC6191"/>
    <w:rsid w:val="00EC67A6"/>
    <w:rsid w:val="00EC73B3"/>
    <w:rsid w:val="00ED0BA4"/>
    <w:rsid w:val="00ED2337"/>
    <w:rsid w:val="00ED2BA3"/>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CCF"/>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81F"/>
    <w:rsid w:val="00FF2A49"/>
    <w:rsid w:val="00FF35BF"/>
    <w:rsid w:val="00FF36AF"/>
    <w:rsid w:val="00FF4278"/>
    <w:rsid w:val="00FF4A0D"/>
    <w:rsid w:val="00FF4DA2"/>
    <w:rsid w:val="00FF4FAB"/>
    <w:rsid w:val="00FF5B57"/>
    <w:rsid w:val="00FF6120"/>
    <w:rsid w:val="00FF61F4"/>
    <w:rsid w:val="00FF6669"/>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439">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35101097">
      <w:bodyDiv w:val="1"/>
      <w:marLeft w:val="0"/>
      <w:marRight w:val="0"/>
      <w:marTop w:val="0"/>
      <w:marBottom w:val="0"/>
      <w:divBdr>
        <w:top w:val="none" w:sz="0" w:space="0" w:color="auto"/>
        <w:left w:val="none" w:sz="0" w:space="0" w:color="auto"/>
        <w:bottom w:val="none" w:sz="0" w:space="0" w:color="auto"/>
        <w:right w:val="none" w:sz="0" w:space="0" w:color="auto"/>
      </w:divBdr>
    </w:div>
    <w:div w:id="583957811">
      <w:bodyDiv w:val="1"/>
      <w:marLeft w:val="0"/>
      <w:marRight w:val="0"/>
      <w:marTop w:val="0"/>
      <w:marBottom w:val="0"/>
      <w:divBdr>
        <w:top w:val="none" w:sz="0" w:space="0" w:color="auto"/>
        <w:left w:val="none" w:sz="0" w:space="0" w:color="auto"/>
        <w:bottom w:val="none" w:sz="0" w:space="0" w:color="auto"/>
        <w:right w:val="none" w:sz="0" w:space="0" w:color="auto"/>
      </w:divBdr>
    </w:div>
    <w:div w:id="809984126">
      <w:bodyDiv w:val="1"/>
      <w:marLeft w:val="0"/>
      <w:marRight w:val="0"/>
      <w:marTop w:val="0"/>
      <w:marBottom w:val="0"/>
      <w:divBdr>
        <w:top w:val="none" w:sz="0" w:space="0" w:color="auto"/>
        <w:left w:val="none" w:sz="0" w:space="0" w:color="auto"/>
        <w:bottom w:val="none" w:sz="0" w:space="0" w:color="auto"/>
        <w:right w:val="none" w:sz="0" w:space="0" w:color="auto"/>
      </w:divBdr>
    </w:div>
    <w:div w:id="827599059">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18501435">
      <w:bodyDiv w:val="1"/>
      <w:marLeft w:val="0"/>
      <w:marRight w:val="0"/>
      <w:marTop w:val="0"/>
      <w:marBottom w:val="0"/>
      <w:divBdr>
        <w:top w:val="none" w:sz="0" w:space="0" w:color="auto"/>
        <w:left w:val="none" w:sz="0" w:space="0" w:color="auto"/>
        <w:bottom w:val="none" w:sz="0" w:space="0" w:color="auto"/>
        <w:right w:val="none" w:sz="0" w:space="0" w:color="auto"/>
      </w:divBdr>
    </w:div>
    <w:div w:id="1621649950">
      <w:bodyDiv w:val="1"/>
      <w:marLeft w:val="0"/>
      <w:marRight w:val="0"/>
      <w:marTop w:val="0"/>
      <w:marBottom w:val="0"/>
      <w:divBdr>
        <w:top w:val="none" w:sz="0" w:space="0" w:color="auto"/>
        <w:left w:val="none" w:sz="0" w:space="0" w:color="auto"/>
        <w:bottom w:val="none" w:sz="0" w:space="0" w:color="auto"/>
        <w:right w:val="none" w:sz="0" w:space="0" w:color="auto"/>
      </w:divBdr>
    </w:div>
    <w:div w:id="1629774876">
      <w:bodyDiv w:val="1"/>
      <w:marLeft w:val="0"/>
      <w:marRight w:val="0"/>
      <w:marTop w:val="0"/>
      <w:marBottom w:val="0"/>
      <w:divBdr>
        <w:top w:val="none" w:sz="0" w:space="0" w:color="auto"/>
        <w:left w:val="none" w:sz="0" w:space="0" w:color="auto"/>
        <w:bottom w:val="none" w:sz="0" w:space="0" w:color="auto"/>
        <w:right w:val="none" w:sz="0" w:space="0" w:color="auto"/>
      </w:divBdr>
    </w:div>
    <w:div w:id="1693385002">
      <w:bodyDiv w:val="1"/>
      <w:marLeft w:val="0"/>
      <w:marRight w:val="0"/>
      <w:marTop w:val="0"/>
      <w:marBottom w:val="0"/>
      <w:divBdr>
        <w:top w:val="none" w:sz="0" w:space="0" w:color="auto"/>
        <w:left w:val="none" w:sz="0" w:space="0" w:color="auto"/>
        <w:bottom w:val="none" w:sz="0" w:space="0" w:color="auto"/>
        <w:right w:val="none" w:sz="0" w:space="0" w:color="auto"/>
      </w:divBdr>
    </w:div>
    <w:div w:id="1885870695">
      <w:bodyDiv w:val="1"/>
      <w:marLeft w:val="0"/>
      <w:marRight w:val="0"/>
      <w:marTop w:val="0"/>
      <w:marBottom w:val="0"/>
      <w:divBdr>
        <w:top w:val="none" w:sz="0" w:space="0" w:color="auto"/>
        <w:left w:val="none" w:sz="0" w:space="0" w:color="auto"/>
        <w:bottom w:val="none" w:sz="0" w:space="0" w:color="auto"/>
        <w:right w:val="none" w:sz="0" w:space="0" w:color="auto"/>
      </w:divBdr>
    </w:div>
    <w:div w:id="1961109168">
      <w:bodyDiv w:val="1"/>
      <w:marLeft w:val="0"/>
      <w:marRight w:val="0"/>
      <w:marTop w:val="0"/>
      <w:marBottom w:val="0"/>
      <w:divBdr>
        <w:top w:val="none" w:sz="0" w:space="0" w:color="auto"/>
        <w:left w:val="none" w:sz="0" w:space="0" w:color="auto"/>
        <w:bottom w:val="none" w:sz="0" w:space="0" w:color="auto"/>
        <w:right w:val="none" w:sz="0" w:space="0" w:color="auto"/>
      </w:divBdr>
    </w:div>
    <w:div w:id="19648016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6A2A-5250-44D7-A667-6361464B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2291</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2017-01-19T13:37:00Z</cp:lastPrinted>
  <dcterms:created xsi:type="dcterms:W3CDTF">2017-01-18T14:11:00Z</dcterms:created>
  <dcterms:modified xsi:type="dcterms:W3CDTF">2017-05-05T01:29:00Z</dcterms:modified>
</cp:coreProperties>
</file>