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C0" w:rsidRPr="00A817A6" w:rsidRDefault="00754CC0" w:rsidP="00754CC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754CC0" w:rsidRPr="00754CC0" w:rsidRDefault="00754CC0"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5C26B3" w:rsidRPr="003D195F" w:rsidRDefault="005C26B3" w:rsidP="005C26B3">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5C26B3" w:rsidRPr="003D195F" w:rsidRDefault="005C26B3" w:rsidP="005C26B3">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D</w:t>
      </w:r>
      <w:r w:rsidRPr="003D195F">
        <w:rPr>
          <w:rFonts w:ascii="Arial" w:hAnsi="Arial" w:cs="Arial"/>
          <w:w w:val="140"/>
          <w:sz w:val="16"/>
          <w:szCs w:val="18"/>
          <w:lang w:val="es-CO"/>
        </w:rPr>
        <w:t xml:space="preserve">EPARTAMENTO DE </w:t>
      </w:r>
      <w:r w:rsidRPr="003D195F">
        <w:rPr>
          <w:rFonts w:ascii="Arial" w:hAnsi="Arial" w:cs="Arial"/>
          <w:w w:val="140"/>
          <w:sz w:val="18"/>
          <w:szCs w:val="18"/>
          <w:lang w:val="es-CO"/>
        </w:rPr>
        <w:t>R</w:t>
      </w:r>
      <w:r w:rsidRPr="003D195F">
        <w:rPr>
          <w:rFonts w:ascii="Arial" w:hAnsi="Arial" w:cs="Arial"/>
          <w:w w:val="140"/>
          <w:sz w:val="16"/>
          <w:szCs w:val="18"/>
          <w:lang w:val="es-CO"/>
        </w:rPr>
        <w:t>ISARALDA</w:t>
      </w:r>
    </w:p>
    <w:p w:rsidR="003913E3" w:rsidRPr="007A7120" w:rsidRDefault="003913E3" w:rsidP="00F839CE">
      <w:pPr>
        <w:spacing w:line="360" w:lineRule="auto"/>
        <w:jc w:val="center"/>
        <w:rPr>
          <w:rFonts w:ascii="Arial" w:hAnsi="Arial" w:cs="Arial"/>
          <w:b/>
          <w:bCs/>
          <w:sz w:val="20"/>
          <w:szCs w:val="26"/>
        </w:rPr>
      </w:pPr>
    </w:p>
    <w:p w:rsidR="003913E3" w:rsidRPr="00F86DCE" w:rsidRDefault="0082372A" w:rsidP="00C55802">
      <w:pPr>
        <w:pStyle w:val="Corpsdetexte"/>
        <w:spacing w:line="360" w:lineRule="auto"/>
        <w:ind w:left="1416"/>
        <w:rPr>
          <w:rFonts w:ascii="Arial" w:hAnsi="Arial"/>
          <w:sz w:val="22"/>
          <w:szCs w:val="22"/>
        </w:rPr>
      </w:pPr>
      <w:r>
        <w:rPr>
          <w:rFonts w:ascii="Arial" w:hAnsi="Arial"/>
          <w:sz w:val="22"/>
          <w:szCs w:val="22"/>
        </w:rPr>
        <w:t>Providencia</w:t>
      </w:r>
      <w:r w:rsidR="003913E3" w:rsidRPr="00F86DCE">
        <w:rPr>
          <w:rFonts w:ascii="Arial" w:hAnsi="Arial"/>
          <w:sz w:val="22"/>
          <w:szCs w:val="22"/>
        </w:rPr>
        <w:tab/>
      </w:r>
      <w:r w:rsidR="003913E3" w:rsidRPr="00F86DCE">
        <w:rPr>
          <w:rFonts w:ascii="Arial" w:hAnsi="Arial"/>
          <w:sz w:val="22"/>
          <w:szCs w:val="22"/>
        </w:rPr>
        <w:tab/>
        <w:t xml:space="preserve">: Sentencia </w:t>
      </w:r>
      <w:r>
        <w:rPr>
          <w:rFonts w:ascii="Arial" w:hAnsi="Arial"/>
          <w:sz w:val="22"/>
          <w:szCs w:val="22"/>
        </w:rPr>
        <w:t>– 2ª instancia – 17 de enero de 2017</w:t>
      </w:r>
    </w:p>
    <w:p w:rsidR="0082372A" w:rsidRDefault="0082372A" w:rsidP="0082372A">
      <w:pPr>
        <w:pStyle w:val="Corpsdetexte"/>
        <w:spacing w:line="360" w:lineRule="auto"/>
        <w:ind w:left="3540" w:hanging="2124"/>
        <w:rPr>
          <w:rFonts w:ascii="Arial" w:hAnsi="Arial" w:cs="Arial"/>
          <w:sz w:val="22"/>
          <w:szCs w:val="22"/>
        </w:rPr>
      </w:pPr>
      <w:r>
        <w:rPr>
          <w:rFonts w:ascii="Arial" w:hAnsi="Arial" w:cs="Arial"/>
          <w:sz w:val="22"/>
          <w:szCs w:val="22"/>
        </w:rPr>
        <w:t>Proceso</w:t>
      </w:r>
      <w:r>
        <w:rPr>
          <w:rFonts w:ascii="Arial" w:hAnsi="Arial" w:cs="Arial"/>
          <w:sz w:val="22"/>
          <w:szCs w:val="22"/>
        </w:rPr>
        <w:tab/>
      </w:r>
      <w:r>
        <w:rPr>
          <w:rFonts w:ascii="Arial" w:hAnsi="Arial" w:cs="Arial"/>
          <w:sz w:val="22"/>
          <w:szCs w:val="22"/>
        </w:rPr>
        <w:tab/>
        <w:t>: Acción de Tutela – Confirma y modifica decisión del a quo que declaró improcedente el amparo</w:t>
      </w:r>
    </w:p>
    <w:p w:rsidR="00586A21" w:rsidRPr="00594392"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Accionante</w:t>
      </w:r>
      <w:r w:rsidRPr="00594392">
        <w:rPr>
          <w:rFonts w:ascii="Arial" w:hAnsi="Arial" w:cs="Arial"/>
          <w:sz w:val="22"/>
          <w:szCs w:val="22"/>
        </w:rPr>
        <w:tab/>
      </w:r>
      <w:r w:rsidRPr="00594392">
        <w:rPr>
          <w:rFonts w:ascii="Arial" w:hAnsi="Arial" w:cs="Arial"/>
          <w:sz w:val="22"/>
          <w:szCs w:val="22"/>
        </w:rPr>
        <w:tab/>
        <w:t xml:space="preserve">: </w:t>
      </w:r>
      <w:r w:rsidR="001F3FA3">
        <w:rPr>
          <w:rFonts w:ascii="Arial" w:hAnsi="Arial" w:cs="Arial"/>
          <w:sz w:val="22"/>
          <w:szCs w:val="22"/>
        </w:rPr>
        <w:t>Juvenal Ríos Correa</w:t>
      </w:r>
    </w:p>
    <w:p w:rsidR="00586A21"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 xml:space="preserve">o </w:t>
      </w:r>
      <w:r w:rsidRPr="00594392">
        <w:rPr>
          <w:rFonts w:ascii="Arial" w:hAnsi="Arial" w:cs="Arial"/>
          <w:sz w:val="22"/>
          <w:szCs w:val="22"/>
        </w:rPr>
        <w:tab/>
      </w:r>
      <w:r w:rsidRPr="00594392">
        <w:rPr>
          <w:rFonts w:ascii="Arial" w:hAnsi="Arial" w:cs="Arial"/>
          <w:sz w:val="22"/>
          <w:szCs w:val="22"/>
        </w:rPr>
        <w:tab/>
        <w:t xml:space="preserve">: </w:t>
      </w:r>
      <w:r>
        <w:rPr>
          <w:rFonts w:ascii="Arial" w:hAnsi="Arial" w:cs="Arial"/>
          <w:sz w:val="22"/>
          <w:szCs w:val="22"/>
        </w:rPr>
        <w:t xml:space="preserve">Juzgado </w:t>
      </w:r>
      <w:r w:rsidR="001F3FA3">
        <w:rPr>
          <w:rFonts w:ascii="Arial" w:hAnsi="Arial" w:cs="Arial"/>
          <w:sz w:val="22"/>
          <w:szCs w:val="22"/>
        </w:rPr>
        <w:t xml:space="preserve">Promiscuo Municipal de </w:t>
      </w:r>
      <w:proofErr w:type="spellStart"/>
      <w:r w:rsidR="001F3FA3">
        <w:rPr>
          <w:rFonts w:ascii="Arial" w:hAnsi="Arial" w:cs="Arial"/>
          <w:sz w:val="22"/>
          <w:szCs w:val="22"/>
        </w:rPr>
        <w:t>Apía</w:t>
      </w:r>
      <w:proofErr w:type="spellEnd"/>
      <w:r w:rsidR="001F3FA3">
        <w:rPr>
          <w:rFonts w:ascii="Arial" w:hAnsi="Arial" w:cs="Arial"/>
          <w:sz w:val="22"/>
          <w:szCs w:val="22"/>
        </w:rPr>
        <w:t xml:space="preserve"> </w:t>
      </w:r>
    </w:p>
    <w:p w:rsidR="00586A21" w:rsidRPr="00594392" w:rsidRDefault="00586A21" w:rsidP="00586A21">
      <w:pPr>
        <w:pStyle w:val="Corpsdetexte"/>
        <w:spacing w:line="360" w:lineRule="auto"/>
        <w:ind w:left="1416"/>
        <w:rPr>
          <w:rFonts w:ascii="Arial" w:hAnsi="Arial" w:cs="Arial"/>
          <w:sz w:val="22"/>
          <w:szCs w:val="22"/>
        </w:rPr>
      </w:pPr>
      <w:r>
        <w:rPr>
          <w:rFonts w:ascii="Arial" w:hAnsi="Arial" w:cs="Arial"/>
          <w:sz w:val="22"/>
          <w:szCs w:val="22"/>
        </w:rPr>
        <w:t>Vinculado</w:t>
      </w:r>
      <w:r w:rsidR="000A572A">
        <w:rPr>
          <w:rFonts w:ascii="Arial" w:hAnsi="Arial" w:cs="Arial"/>
          <w:sz w:val="22"/>
          <w:szCs w:val="22"/>
        </w:rPr>
        <w:tab/>
      </w:r>
      <w:r>
        <w:rPr>
          <w:rFonts w:ascii="Arial" w:hAnsi="Arial" w:cs="Arial"/>
          <w:sz w:val="22"/>
          <w:szCs w:val="22"/>
        </w:rPr>
        <w:tab/>
        <w:t xml:space="preserve">: </w:t>
      </w:r>
      <w:r w:rsidR="001F3FA3">
        <w:rPr>
          <w:rFonts w:ascii="Arial" w:hAnsi="Arial" w:cs="Arial"/>
          <w:sz w:val="22"/>
          <w:szCs w:val="22"/>
        </w:rPr>
        <w:t>Adriana María Velásquez Vásquez</w:t>
      </w:r>
    </w:p>
    <w:p w:rsidR="00586A21" w:rsidRPr="00594392"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1F3FA3">
        <w:rPr>
          <w:rFonts w:ascii="Arial" w:hAnsi="Arial" w:cs="Arial"/>
          <w:sz w:val="22"/>
          <w:szCs w:val="22"/>
        </w:rPr>
        <w:t xml:space="preserve">Promiscuo del Circuito de </w:t>
      </w:r>
      <w:proofErr w:type="spellStart"/>
      <w:r w:rsidR="001F3FA3">
        <w:rPr>
          <w:rFonts w:ascii="Arial" w:hAnsi="Arial" w:cs="Arial"/>
          <w:sz w:val="22"/>
          <w:szCs w:val="22"/>
        </w:rPr>
        <w:t>Apía</w:t>
      </w:r>
      <w:proofErr w:type="spellEnd"/>
      <w:r w:rsidR="001F3FA3">
        <w:rPr>
          <w:rFonts w:ascii="Arial" w:hAnsi="Arial" w:cs="Arial"/>
          <w:sz w:val="22"/>
          <w:szCs w:val="22"/>
        </w:rPr>
        <w:t xml:space="preserve"> </w:t>
      </w:r>
    </w:p>
    <w:p w:rsidR="00586A21" w:rsidRPr="00594392"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xml:space="preserve">: </w:t>
      </w:r>
      <w:r w:rsidR="001F3FA3">
        <w:rPr>
          <w:rFonts w:ascii="Arial" w:hAnsi="Arial" w:cs="Arial"/>
          <w:sz w:val="22"/>
          <w:szCs w:val="22"/>
        </w:rPr>
        <w:t>2016-00150-01</w:t>
      </w:r>
    </w:p>
    <w:p w:rsidR="003913E3" w:rsidRPr="00B772B6" w:rsidRDefault="004A12F7" w:rsidP="004A12F7">
      <w:pPr>
        <w:pStyle w:val="Corpsdetex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proofErr w:type="spellStart"/>
      <w:r w:rsidR="003913E3" w:rsidRPr="00F86DCE">
        <w:rPr>
          <w:rFonts w:ascii="Arial" w:hAnsi="Arial" w:cs="Arial"/>
          <w:smallCaps/>
          <w:sz w:val="22"/>
          <w:szCs w:val="22"/>
          <w:lang w:val="es-CO"/>
        </w:rPr>
        <w:t>Duberney</w:t>
      </w:r>
      <w:proofErr w:type="spellEnd"/>
      <w:r w:rsidR="003913E3" w:rsidRPr="00F86DCE">
        <w:rPr>
          <w:rFonts w:ascii="Arial" w:hAnsi="Arial" w:cs="Arial"/>
          <w:smallCaps/>
          <w:sz w:val="22"/>
          <w:szCs w:val="22"/>
          <w:lang w:val="es-CO"/>
        </w:rPr>
        <w:t xml:space="preserve"> Grisales Herrera</w:t>
      </w:r>
    </w:p>
    <w:p w:rsidR="003913E3" w:rsidRDefault="003913E3" w:rsidP="00C55802">
      <w:pPr>
        <w:spacing w:line="360" w:lineRule="auto"/>
        <w:ind w:left="1416"/>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B263EA">
        <w:rPr>
          <w:rFonts w:ascii="Arial" w:hAnsi="Arial"/>
          <w:sz w:val="22"/>
          <w:szCs w:val="22"/>
        </w:rPr>
        <w:t>11 de 17-01-2017</w:t>
      </w:r>
    </w:p>
    <w:p w:rsidR="0082372A" w:rsidRPr="0082372A" w:rsidRDefault="0082372A" w:rsidP="00C55802">
      <w:pPr>
        <w:spacing w:line="360" w:lineRule="auto"/>
        <w:ind w:left="1416"/>
        <w:rPr>
          <w:rFonts w:ascii="Arial" w:hAnsi="Arial"/>
          <w:sz w:val="6"/>
          <w:szCs w:val="6"/>
        </w:rPr>
      </w:pPr>
    </w:p>
    <w:p w:rsidR="0082372A" w:rsidRPr="0082372A" w:rsidRDefault="0082372A" w:rsidP="0082372A">
      <w:pPr>
        <w:ind w:left="1416"/>
        <w:jc w:val="both"/>
        <w:rPr>
          <w:rFonts w:ascii="Arial" w:hAnsi="Arial"/>
          <w:bCs/>
          <w:iCs/>
          <w:sz w:val="20"/>
          <w:szCs w:val="20"/>
        </w:rPr>
      </w:pPr>
      <w:r>
        <w:rPr>
          <w:rFonts w:ascii="Arial" w:hAnsi="Arial"/>
          <w:sz w:val="22"/>
          <w:szCs w:val="22"/>
        </w:rPr>
        <w:t xml:space="preserve">Temas </w:t>
      </w:r>
      <w:r>
        <w:rPr>
          <w:rFonts w:ascii="Arial" w:hAnsi="Arial"/>
          <w:sz w:val="22"/>
          <w:szCs w:val="22"/>
        </w:rPr>
        <w:tab/>
      </w:r>
      <w:r>
        <w:rPr>
          <w:rFonts w:ascii="Arial" w:hAnsi="Arial"/>
          <w:sz w:val="22"/>
          <w:szCs w:val="22"/>
        </w:rPr>
        <w:tab/>
        <w:t xml:space="preserve">: </w:t>
      </w:r>
      <w:r w:rsidRPr="0082372A">
        <w:rPr>
          <w:rFonts w:ascii="Arial" w:hAnsi="Arial"/>
          <w:b/>
          <w:bCs/>
          <w:iCs/>
          <w:sz w:val="20"/>
          <w:szCs w:val="20"/>
          <w:lang w:val="es-CO"/>
        </w:rPr>
        <w:t xml:space="preserve">DEBIDO PROCESO / TUTELA CONTRA PROVIDENCIA JUDICIAL /NO EXISTE DEFECTO FACTICO NI SUSTANTIVO </w:t>
      </w:r>
      <w:r w:rsidRPr="0082372A">
        <w:rPr>
          <w:rFonts w:ascii="Arial" w:hAnsi="Arial"/>
          <w:b/>
          <w:bCs/>
          <w:iCs/>
          <w:sz w:val="20"/>
          <w:szCs w:val="20"/>
        </w:rPr>
        <w:t>/</w:t>
      </w:r>
      <w:r w:rsidRPr="0082372A">
        <w:rPr>
          <w:rFonts w:ascii="Arial" w:hAnsi="Arial"/>
          <w:b/>
          <w:bCs/>
          <w:iCs/>
          <w:sz w:val="20"/>
          <w:szCs w:val="20"/>
          <w:lang w:val="es-CO"/>
        </w:rPr>
        <w:t xml:space="preserve"> NIEGA.</w:t>
      </w:r>
      <w:r w:rsidRPr="0082372A">
        <w:rPr>
          <w:rFonts w:ascii="Arial" w:hAnsi="Arial"/>
          <w:bCs/>
          <w:iCs/>
          <w:sz w:val="20"/>
          <w:szCs w:val="20"/>
          <w:lang w:val="es-CO"/>
        </w:rPr>
        <w:t xml:space="preserve"> “</w:t>
      </w:r>
      <w:r w:rsidRPr="0082372A">
        <w:rPr>
          <w:rFonts w:ascii="Arial" w:hAnsi="Arial"/>
          <w:bCs/>
          <w:iCs/>
          <w:sz w:val="20"/>
          <w:szCs w:val="20"/>
        </w:rPr>
        <w:t xml:space="preserve">Para la Sala resulta evidente que el despacho judicial accionado no incurrió en la valoración defectuosa </w:t>
      </w:r>
      <w:r w:rsidRPr="0082372A">
        <w:rPr>
          <w:rFonts w:ascii="Arial" w:hAnsi="Arial"/>
          <w:bCs/>
          <w:iCs/>
          <w:sz w:val="20"/>
          <w:szCs w:val="20"/>
          <w:lang w:val="es-CO"/>
        </w:rPr>
        <w:t xml:space="preserve">de los elementos probatorios alegada por el actor, pues en la providencia atacada estudió en conjunto las pruebas recaudadas, y expuso razonadamente el mérito que daba a cada una de ellas (Artículos 164 y 176, </w:t>
      </w:r>
      <w:proofErr w:type="spellStart"/>
      <w:r w:rsidRPr="0082372A">
        <w:rPr>
          <w:rFonts w:ascii="Arial" w:hAnsi="Arial"/>
          <w:bCs/>
          <w:iCs/>
          <w:sz w:val="20"/>
          <w:szCs w:val="20"/>
          <w:lang w:val="es-CO"/>
        </w:rPr>
        <w:t>CGP</w:t>
      </w:r>
      <w:proofErr w:type="spellEnd"/>
      <w:r w:rsidRPr="0082372A">
        <w:rPr>
          <w:rFonts w:ascii="Arial" w:hAnsi="Arial"/>
          <w:bCs/>
          <w:iCs/>
          <w:sz w:val="20"/>
          <w:szCs w:val="20"/>
          <w:lang w:val="es-CO"/>
        </w:rPr>
        <w:t xml:space="preserve">), además, aplicó acertadamente el artículo 97 del </w:t>
      </w:r>
      <w:proofErr w:type="spellStart"/>
      <w:r w:rsidRPr="0082372A">
        <w:rPr>
          <w:rFonts w:ascii="Arial" w:hAnsi="Arial"/>
          <w:bCs/>
          <w:iCs/>
          <w:sz w:val="20"/>
          <w:szCs w:val="20"/>
          <w:lang w:val="es-CO"/>
        </w:rPr>
        <w:t>CGP</w:t>
      </w:r>
      <w:proofErr w:type="spellEnd"/>
      <w:r w:rsidRPr="0082372A">
        <w:rPr>
          <w:rFonts w:ascii="Arial" w:hAnsi="Arial"/>
          <w:bCs/>
          <w:iCs/>
          <w:sz w:val="20"/>
          <w:szCs w:val="20"/>
          <w:lang w:val="es-CO"/>
        </w:rPr>
        <w:t>, en lo que refiere a la presunción cierta de los hechos susceptibles de confesión, toda vez que el accionante dejó de contestar la demanda. No puede entonces endilgársele al accionado, que en el ejercicio de su jurisdicción, haya tomado una decisión antojadiza, apartada de la evidencia probatoria, tal como se señala en el petitorio.  De otro lado, en lo que refiere al defecto sustantivo y a la falta de motivación, también propuestos frente a la decisión judicial, y como quiera que están basados en yerros relacionados con el defecto fáctico previamente estudiado, quedan refutadas las censuras con los argumentos ya expuestos.”</w:t>
      </w:r>
      <w:r w:rsidRPr="0082372A">
        <w:rPr>
          <w:rFonts w:ascii="Arial" w:hAnsi="Arial"/>
          <w:b/>
          <w:bCs/>
          <w:iCs/>
          <w:sz w:val="20"/>
          <w:szCs w:val="20"/>
          <w:lang w:val="es-CO"/>
        </w:rPr>
        <w:t xml:space="preserve"> NO SE AGOTARON LOS RECURSOS </w:t>
      </w:r>
      <w:r w:rsidRPr="0082372A">
        <w:rPr>
          <w:rFonts w:ascii="Arial" w:hAnsi="Arial"/>
          <w:b/>
          <w:bCs/>
          <w:iCs/>
          <w:sz w:val="20"/>
          <w:szCs w:val="20"/>
        </w:rPr>
        <w:t>/ CARÁCTER RESIDUAL DE LA ACCIÓN DE TUTELA /</w:t>
      </w:r>
      <w:r w:rsidRPr="0082372A">
        <w:rPr>
          <w:rFonts w:ascii="Arial" w:hAnsi="Arial"/>
          <w:b/>
          <w:bCs/>
          <w:iCs/>
          <w:sz w:val="20"/>
          <w:szCs w:val="20"/>
          <w:lang w:val="es-CO"/>
        </w:rPr>
        <w:t xml:space="preserve"> IMPROCEDENCIA.</w:t>
      </w:r>
      <w:r w:rsidRPr="0082372A">
        <w:rPr>
          <w:rFonts w:ascii="Arial" w:hAnsi="Arial"/>
          <w:bCs/>
          <w:iCs/>
          <w:sz w:val="20"/>
          <w:szCs w:val="20"/>
          <w:lang w:val="es-CO"/>
        </w:rPr>
        <w:t xml:space="preserve">  Asimismo, en lo que respecta a </w:t>
      </w:r>
      <w:r w:rsidRPr="0082372A">
        <w:rPr>
          <w:rFonts w:ascii="Arial" w:hAnsi="Arial"/>
          <w:bCs/>
          <w:i/>
          <w:iCs/>
          <w:sz w:val="20"/>
          <w:szCs w:val="20"/>
          <w:lang w:val="es-CO"/>
        </w:rPr>
        <w:t>“La violación directa de la constitución”</w:t>
      </w:r>
      <w:r w:rsidRPr="0082372A">
        <w:rPr>
          <w:rFonts w:ascii="Arial" w:hAnsi="Arial"/>
          <w:bCs/>
          <w:iCs/>
          <w:sz w:val="20"/>
          <w:szCs w:val="20"/>
          <w:lang w:val="es-CO"/>
        </w:rPr>
        <w:t xml:space="preserve">, fundada en que se adelantó un proceso de perturbación cuando en realidad se trataba de una servidumbre, hay que decir que la tutela es notoriamente improcedente a causa de que se incumplen los presupuestos de subsidiariedad e inmediatez, porque el actor no recurrió el auto </w:t>
      </w:r>
      <w:proofErr w:type="spellStart"/>
      <w:r w:rsidRPr="0082372A">
        <w:rPr>
          <w:rFonts w:ascii="Arial" w:hAnsi="Arial"/>
          <w:bCs/>
          <w:iCs/>
          <w:sz w:val="20"/>
          <w:szCs w:val="20"/>
          <w:lang w:val="es-CO"/>
        </w:rPr>
        <w:t>admisorio</w:t>
      </w:r>
      <w:proofErr w:type="spellEnd"/>
      <w:r w:rsidRPr="0082372A">
        <w:rPr>
          <w:rFonts w:ascii="Arial" w:hAnsi="Arial"/>
          <w:bCs/>
          <w:iCs/>
          <w:sz w:val="20"/>
          <w:szCs w:val="20"/>
          <w:lang w:val="es-CO"/>
        </w:rPr>
        <w:t xml:space="preserve"> del proceso, pretermitió agotar los mecanismos ordinarios con que contaba, y, promovió el amparo diez (10) meses después de que se dictara, es decir, por fuera del término jurisprudencia de seis (6) meses. </w:t>
      </w:r>
      <w:r w:rsidRPr="0082372A">
        <w:rPr>
          <w:rFonts w:ascii="Arial" w:hAnsi="Arial"/>
          <w:bCs/>
          <w:iCs/>
          <w:sz w:val="20"/>
          <w:szCs w:val="20"/>
        </w:rPr>
        <w:t xml:space="preserve">En conclusión, se confirmará parcialmente el fallo opugnado en cuanto a la declaratoria de improcedencia respecto de </w:t>
      </w:r>
      <w:r w:rsidRPr="0082372A">
        <w:rPr>
          <w:rFonts w:ascii="Arial" w:hAnsi="Arial"/>
          <w:bCs/>
          <w:i/>
          <w:iCs/>
          <w:sz w:val="20"/>
          <w:szCs w:val="20"/>
          <w:lang w:val="es-CO"/>
        </w:rPr>
        <w:t>“La violación directa de la constitución”</w:t>
      </w:r>
      <w:r w:rsidRPr="0082372A">
        <w:rPr>
          <w:rFonts w:ascii="Arial" w:hAnsi="Arial"/>
          <w:bCs/>
          <w:iCs/>
          <w:sz w:val="20"/>
          <w:szCs w:val="20"/>
        </w:rPr>
        <w:t>, y se negará la tutela frente a los defectos fáctico, sustantivo y falta de motivación por inexistencia de vulneración.”.</w:t>
      </w:r>
    </w:p>
    <w:p w:rsidR="003913E3" w:rsidRPr="00CE2F87" w:rsidRDefault="003913E3" w:rsidP="00F839CE">
      <w:pPr>
        <w:pBdr>
          <w:bottom w:val="double" w:sz="6" w:space="1" w:color="auto"/>
        </w:pBdr>
        <w:spacing w:line="360" w:lineRule="auto"/>
        <w:jc w:val="center"/>
        <w:rPr>
          <w:rFonts w:ascii="Arial" w:hAnsi="Arial" w:cs="Arial"/>
          <w:b/>
          <w:bCs/>
          <w:sz w:val="14"/>
          <w:szCs w:val="22"/>
        </w:rPr>
      </w:pPr>
    </w:p>
    <w:p w:rsidR="003913E3" w:rsidRPr="00754CC0" w:rsidRDefault="003913E3" w:rsidP="00F839CE">
      <w:pPr>
        <w:spacing w:line="360" w:lineRule="auto"/>
        <w:jc w:val="center"/>
        <w:rPr>
          <w:rFonts w:ascii="Arial" w:hAnsi="Arial" w:cs="Arial"/>
          <w:b/>
          <w:bCs/>
          <w:sz w:val="6"/>
          <w:szCs w:val="6"/>
        </w:rPr>
      </w:pPr>
    </w:p>
    <w:p w:rsidR="003913E3" w:rsidRPr="00BD6B8B" w:rsidRDefault="003913E3" w:rsidP="00F839CE">
      <w:pPr>
        <w:spacing w:line="360" w:lineRule="auto"/>
        <w:jc w:val="center"/>
        <w:rPr>
          <w:rFonts w:ascii="Arial" w:hAnsi="Arial" w:cs="Arial"/>
          <w:iCs/>
          <w:sz w:val="26"/>
          <w:szCs w:val="26"/>
          <w:lang w:val="es-CO"/>
        </w:rPr>
      </w:pPr>
      <w:r w:rsidRPr="001F3FA3">
        <w:rPr>
          <w:rFonts w:ascii="Arial" w:hAnsi="Arial" w:cs="Arial"/>
          <w:iCs/>
          <w:smallCaps/>
          <w:sz w:val="28"/>
          <w:szCs w:val="26"/>
          <w:lang w:val="es-CO"/>
        </w:rPr>
        <w:t>Pereira, R</w:t>
      </w:r>
      <w:r w:rsidR="001F3FA3" w:rsidRPr="001F3FA3">
        <w:rPr>
          <w:rFonts w:ascii="Arial" w:hAnsi="Arial" w:cs="Arial"/>
          <w:iCs/>
          <w:smallCaps/>
          <w:sz w:val="28"/>
          <w:szCs w:val="26"/>
          <w:lang w:val="es-CO"/>
        </w:rPr>
        <w:t>.</w:t>
      </w:r>
      <w:r w:rsidR="00C55802" w:rsidRPr="001F3FA3">
        <w:rPr>
          <w:rFonts w:ascii="Arial" w:hAnsi="Arial" w:cs="Arial"/>
          <w:iCs/>
          <w:smallCaps/>
          <w:sz w:val="28"/>
          <w:szCs w:val="26"/>
          <w:lang w:val="es-CO"/>
        </w:rPr>
        <w:t>,</w:t>
      </w:r>
      <w:r w:rsidRPr="001F3FA3">
        <w:rPr>
          <w:rFonts w:ascii="Arial" w:hAnsi="Arial" w:cs="Arial"/>
          <w:iCs/>
          <w:smallCaps/>
          <w:sz w:val="28"/>
          <w:szCs w:val="26"/>
          <w:lang w:val="es-CO"/>
        </w:rPr>
        <w:t xml:space="preserve"> </w:t>
      </w:r>
      <w:r w:rsidR="00B263EA">
        <w:rPr>
          <w:rFonts w:ascii="Arial" w:hAnsi="Arial" w:cs="Arial"/>
          <w:iCs/>
          <w:smallCaps/>
          <w:sz w:val="28"/>
          <w:szCs w:val="26"/>
          <w:lang w:val="es-CO"/>
        </w:rPr>
        <w:t xml:space="preserve">diecisiete </w:t>
      </w:r>
      <w:r w:rsidRPr="001F3FA3">
        <w:rPr>
          <w:rFonts w:ascii="Arial" w:hAnsi="Arial" w:cs="Arial"/>
          <w:iCs/>
          <w:smallCaps/>
          <w:sz w:val="28"/>
          <w:szCs w:val="26"/>
          <w:lang w:val="es-CO"/>
        </w:rPr>
        <w:t>(</w:t>
      </w:r>
      <w:r w:rsidR="00B263EA">
        <w:rPr>
          <w:rFonts w:ascii="Arial" w:hAnsi="Arial" w:cs="Arial"/>
          <w:iCs/>
          <w:smallCaps/>
          <w:sz w:val="28"/>
          <w:szCs w:val="26"/>
          <w:lang w:val="es-CO"/>
        </w:rPr>
        <w:t>17</w:t>
      </w:r>
      <w:r w:rsidRPr="001F3FA3">
        <w:rPr>
          <w:rFonts w:ascii="Arial" w:hAnsi="Arial" w:cs="Arial"/>
          <w:iCs/>
          <w:smallCaps/>
          <w:sz w:val="28"/>
          <w:szCs w:val="26"/>
          <w:lang w:val="es-CO"/>
        </w:rPr>
        <w:t xml:space="preserve">) de </w:t>
      </w:r>
      <w:r w:rsidR="001F3FA3">
        <w:rPr>
          <w:rFonts w:ascii="Arial" w:hAnsi="Arial" w:cs="Arial"/>
          <w:iCs/>
          <w:smallCaps/>
          <w:sz w:val="28"/>
          <w:szCs w:val="26"/>
          <w:lang w:val="es-CO"/>
        </w:rPr>
        <w:t xml:space="preserve">enero </w:t>
      </w:r>
      <w:r w:rsidRPr="001F3FA3">
        <w:rPr>
          <w:rFonts w:ascii="Arial" w:hAnsi="Arial" w:cs="Arial"/>
          <w:iCs/>
          <w:smallCaps/>
          <w:sz w:val="28"/>
          <w:szCs w:val="26"/>
          <w:lang w:val="es-CO"/>
        </w:rPr>
        <w:t xml:space="preserve">de dos mil </w:t>
      </w:r>
      <w:r w:rsidR="001F3FA3">
        <w:rPr>
          <w:rFonts w:ascii="Arial" w:hAnsi="Arial" w:cs="Arial"/>
          <w:iCs/>
          <w:smallCaps/>
          <w:sz w:val="28"/>
          <w:szCs w:val="26"/>
          <w:lang w:val="es-CO"/>
        </w:rPr>
        <w:t xml:space="preserve">diecisiete </w:t>
      </w:r>
      <w:r w:rsidRPr="001F3FA3">
        <w:rPr>
          <w:rFonts w:ascii="Arial" w:hAnsi="Arial" w:cs="Arial"/>
          <w:iCs/>
          <w:smallCaps/>
          <w:sz w:val="28"/>
          <w:szCs w:val="26"/>
          <w:lang w:val="es-CO"/>
        </w:rPr>
        <w:t>(</w:t>
      </w:r>
      <w:r w:rsidR="001F3FA3">
        <w:rPr>
          <w:rFonts w:ascii="Arial" w:hAnsi="Arial" w:cs="Arial"/>
          <w:iCs/>
          <w:smallCaps/>
          <w:sz w:val="28"/>
          <w:szCs w:val="26"/>
          <w:lang w:val="es-CO"/>
        </w:rPr>
        <w:t>2017</w:t>
      </w:r>
      <w:r w:rsidRPr="001F3FA3">
        <w:rPr>
          <w:rFonts w:ascii="Arial" w:hAnsi="Arial" w:cs="Arial"/>
          <w:iCs/>
          <w:smallCaps/>
          <w:sz w:val="28"/>
          <w:szCs w:val="26"/>
          <w:lang w:val="es-CO"/>
        </w:rPr>
        <w:t>)</w:t>
      </w:r>
      <w:r w:rsidRPr="001F3FA3">
        <w:rPr>
          <w:rFonts w:ascii="Arial" w:hAnsi="Arial" w:cs="Arial"/>
          <w:iCs/>
          <w:sz w:val="28"/>
          <w:szCs w:val="26"/>
          <w:lang w:val="es-CO"/>
        </w:rPr>
        <w:t>.</w:t>
      </w:r>
    </w:p>
    <w:p w:rsidR="003913E3" w:rsidRDefault="003913E3" w:rsidP="00754CC0">
      <w:pPr>
        <w:pStyle w:val="Corpsdetexte"/>
        <w:spacing w:line="240" w:lineRule="auto"/>
        <w:rPr>
          <w:rFonts w:ascii="Arial" w:hAnsi="Arial" w:cs="Arial"/>
          <w:sz w:val="24"/>
          <w:szCs w:val="24"/>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754CC0">
      <w:pPr>
        <w:pStyle w:val="Corpsdetexte"/>
        <w:spacing w:line="240" w:lineRule="auto"/>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LOS SUPUESTOS FÁCTICOS RELEVANTES</w:t>
      </w:r>
    </w:p>
    <w:p w:rsidR="003913E3" w:rsidRPr="00311FCA" w:rsidRDefault="003913E3" w:rsidP="00F839CE">
      <w:pPr>
        <w:pStyle w:val="Corpsdetexte"/>
        <w:spacing w:line="360" w:lineRule="auto"/>
        <w:rPr>
          <w:rFonts w:ascii="Arial" w:hAnsi="Arial" w:cs="Arial"/>
          <w:sz w:val="24"/>
          <w:szCs w:val="24"/>
        </w:rPr>
      </w:pPr>
    </w:p>
    <w:p w:rsidR="003913E3" w:rsidRDefault="003913E3" w:rsidP="00F839CE">
      <w:pPr>
        <w:pStyle w:val="Corpsdetexte"/>
        <w:spacing w:line="360" w:lineRule="auto"/>
        <w:rPr>
          <w:rFonts w:ascii="Arial" w:hAnsi="Arial" w:cs="Arial"/>
          <w:color w:val="000000"/>
          <w:sz w:val="24"/>
          <w:szCs w:val="24"/>
          <w:lang w:val="es-CO"/>
        </w:rPr>
      </w:pPr>
      <w:r w:rsidRPr="00311FCA">
        <w:rPr>
          <w:rFonts w:ascii="Arial" w:hAnsi="Arial" w:cs="Arial"/>
          <w:sz w:val="24"/>
          <w:szCs w:val="24"/>
        </w:rPr>
        <w:t>Expres</w:t>
      </w:r>
      <w:r w:rsidR="004C5D2C">
        <w:rPr>
          <w:rFonts w:ascii="Arial" w:hAnsi="Arial" w:cs="Arial"/>
          <w:sz w:val="24"/>
          <w:szCs w:val="24"/>
        </w:rPr>
        <w:t>ó</w:t>
      </w:r>
      <w:r w:rsidRPr="00311FCA">
        <w:rPr>
          <w:rFonts w:ascii="Arial" w:hAnsi="Arial" w:cs="Arial"/>
          <w:sz w:val="24"/>
          <w:szCs w:val="24"/>
        </w:rPr>
        <w:t xml:space="preserve"> </w:t>
      </w:r>
      <w:r w:rsidR="00CC2AC2">
        <w:rPr>
          <w:rFonts w:ascii="Arial" w:hAnsi="Arial" w:cs="Arial"/>
          <w:sz w:val="24"/>
          <w:szCs w:val="24"/>
        </w:rPr>
        <w:t xml:space="preserve">que actúa como demandado en proceso de perturbación de la posesión que se adelanta en el juzgado accionado, que se profirió sentencia condenatoria </w:t>
      </w:r>
      <w:r w:rsidR="00171B77">
        <w:rPr>
          <w:rFonts w:ascii="Arial" w:hAnsi="Arial" w:cs="Arial"/>
          <w:sz w:val="24"/>
          <w:szCs w:val="24"/>
        </w:rPr>
        <w:t xml:space="preserve">y se le </w:t>
      </w:r>
      <w:r w:rsidR="00CC2AC2">
        <w:rPr>
          <w:rFonts w:ascii="Arial" w:hAnsi="Arial" w:cs="Arial"/>
          <w:sz w:val="24"/>
          <w:szCs w:val="24"/>
        </w:rPr>
        <w:t>despojo del uso de una servidumbre que existía a su favor. Consideró que la valoración que hizo el juez de los testimonios y del dictamen pericial fue defectuosa y caprichosa</w:t>
      </w:r>
      <w:r w:rsidR="00171B77">
        <w:rPr>
          <w:rFonts w:ascii="Arial" w:hAnsi="Arial" w:cs="Arial"/>
          <w:sz w:val="24"/>
          <w:szCs w:val="24"/>
        </w:rPr>
        <w:t>, puesto que no demuestran que haya pe</w:t>
      </w:r>
      <w:r w:rsidR="00EA2F99">
        <w:rPr>
          <w:rFonts w:ascii="Arial" w:hAnsi="Arial" w:cs="Arial"/>
          <w:sz w:val="24"/>
          <w:szCs w:val="24"/>
        </w:rPr>
        <w:t>rturbado</w:t>
      </w:r>
      <w:r w:rsidR="00171B77">
        <w:rPr>
          <w:rFonts w:ascii="Arial" w:hAnsi="Arial" w:cs="Arial"/>
          <w:sz w:val="24"/>
          <w:szCs w:val="24"/>
        </w:rPr>
        <w:t xml:space="preserve"> la posesión del inmueble de la demandante </w:t>
      </w:r>
      <w:r w:rsidRPr="00311FCA">
        <w:rPr>
          <w:rFonts w:ascii="Arial" w:hAnsi="Arial" w:cs="Arial"/>
          <w:color w:val="000000"/>
          <w:sz w:val="24"/>
          <w:szCs w:val="24"/>
          <w:lang w:val="es-CO"/>
        </w:rPr>
        <w:t>(Folio</w:t>
      </w:r>
      <w:r w:rsidR="00E56AE7">
        <w:rPr>
          <w:rFonts w:ascii="Arial" w:hAnsi="Arial" w:cs="Arial"/>
          <w:color w:val="000000"/>
          <w:sz w:val="24"/>
          <w:szCs w:val="24"/>
          <w:lang w:val="es-CO"/>
        </w:rPr>
        <w:t>s</w:t>
      </w:r>
      <w:r w:rsidRPr="00311FCA">
        <w:rPr>
          <w:rFonts w:ascii="Arial" w:hAnsi="Arial" w:cs="Arial"/>
          <w:color w:val="000000"/>
          <w:sz w:val="24"/>
          <w:szCs w:val="24"/>
          <w:lang w:val="es-CO"/>
        </w:rPr>
        <w:t xml:space="preserve"> </w:t>
      </w:r>
      <w:r w:rsidR="00BB305B">
        <w:rPr>
          <w:rFonts w:ascii="Arial" w:hAnsi="Arial" w:cs="Arial"/>
          <w:color w:val="000000"/>
          <w:sz w:val="24"/>
          <w:szCs w:val="24"/>
          <w:lang w:val="es-CO"/>
        </w:rPr>
        <w:t>26 a 41</w:t>
      </w:r>
      <w:r w:rsidRPr="00311FCA">
        <w:rPr>
          <w:rFonts w:ascii="Arial" w:hAnsi="Arial" w:cs="Arial"/>
          <w:color w:val="000000"/>
          <w:sz w:val="24"/>
          <w:szCs w:val="24"/>
          <w:lang w:val="es-CO"/>
        </w:rPr>
        <w:t xml:space="preserve">, del cuaderno </w:t>
      </w:r>
      <w:r w:rsidR="003B677E">
        <w:rPr>
          <w:rFonts w:ascii="Arial" w:hAnsi="Arial" w:cs="Arial"/>
          <w:color w:val="000000"/>
          <w:sz w:val="24"/>
          <w:szCs w:val="24"/>
          <w:lang w:val="es-CO"/>
        </w:rPr>
        <w:t>de primera instancia</w:t>
      </w:r>
      <w:r w:rsidRPr="00311FCA">
        <w:rPr>
          <w:rFonts w:ascii="Arial" w:hAnsi="Arial" w:cs="Arial"/>
          <w:color w:val="000000"/>
          <w:sz w:val="24"/>
          <w:szCs w:val="24"/>
          <w:lang w:val="es-CO"/>
        </w:rPr>
        <w:t>).</w:t>
      </w:r>
    </w:p>
    <w:p w:rsidR="00531C40" w:rsidRPr="00311FCA" w:rsidRDefault="00531C40" w:rsidP="00F839CE">
      <w:pPr>
        <w:pStyle w:val="Corpsdetexte"/>
        <w:spacing w:line="360" w:lineRule="auto"/>
        <w:rPr>
          <w:rFonts w:ascii="Arial" w:hAnsi="Arial" w:cs="Arial"/>
          <w:color w:val="000000"/>
          <w:sz w:val="24"/>
          <w:szCs w:val="24"/>
          <w:lang w:val="es-CO"/>
        </w:rPr>
      </w:pPr>
    </w:p>
    <w:p w:rsidR="003913E3" w:rsidRDefault="00BB305B" w:rsidP="00F839CE">
      <w:pPr>
        <w:pStyle w:val="Corpsdetexte"/>
        <w:numPr>
          <w:ilvl w:val="0"/>
          <w:numId w:val="1"/>
        </w:numPr>
        <w:spacing w:line="360" w:lineRule="auto"/>
        <w:rPr>
          <w:rFonts w:ascii="Arial" w:hAnsi="Arial" w:cs="Arial"/>
          <w:sz w:val="24"/>
          <w:szCs w:val="24"/>
        </w:rPr>
      </w:pPr>
      <w:r>
        <w:rPr>
          <w:rFonts w:ascii="Arial" w:hAnsi="Arial" w:cs="Arial"/>
          <w:sz w:val="24"/>
          <w:szCs w:val="24"/>
        </w:rPr>
        <w:t>El DERECHO INVOCADO</w:t>
      </w:r>
    </w:p>
    <w:p w:rsidR="00B978A7" w:rsidRPr="00311FCA" w:rsidRDefault="00B978A7" w:rsidP="00B978A7">
      <w:pPr>
        <w:pStyle w:val="Corpsdetexte"/>
        <w:spacing w:line="360" w:lineRule="auto"/>
        <w:ind w:left="360"/>
        <w:rPr>
          <w:rFonts w:ascii="Arial" w:hAnsi="Arial" w:cs="Arial"/>
          <w:sz w:val="24"/>
          <w:szCs w:val="24"/>
        </w:rPr>
      </w:pPr>
    </w:p>
    <w:p w:rsidR="003913E3" w:rsidRDefault="00BB305B" w:rsidP="00F839CE">
      <w:pPr>
        <w:pStyle w:val="Corpsdetexte"/>
        <w:widowControl w:val="0"/>
        <w:spacing w:line="360" w:lineRule="auto"/>
        <w:rPr>
          <w:rFonts w:ascii="Arial" w:hAnsi="Arial" w:cs="Arial"/>
          <w:sz w:val="24"/>
          <w:szCs w:val="24"/>
        </w:rPr>
      </w:pPr>
      <w:r>
        <w:rPr>
          <w:rFonts w:ascii="Arial" w:hAnsi="Arial" w:cs="Arial"/>
          <w:sz w:val="24"/>
          <w:szCs w:val="24"/>
        </w:rPr>
        <w:t xml:space="preserve">En el petitorio de tutela se invoca el derecho al </w:t>
      </w:r>
      <w:r w:rsidR="001024AA">
        <w:rPr>
          <w:rFonts w:ascii="Arial" w:hAnsi="Arial" w:cs="Arial"/>
          <w:sz w:val="24"/>
          <w:szCs w:val="24"/>
        </w:rPr>
        <w:t>debido proceso</w:t>
      </w:r>
      <w:r w:rsidR="005C26B3">
        <w:rPr>
          <w:rFonts w:ascii="Arial" w:hAnsi="Arial" w:cs="Arial"/>
          <w:sz w:val="24"/>
          <w:szCs w:val="24"/>
        </w:rPr>
        <w:t xml:space="preserve"> </w:t>
      </w:r>
      <w:r w:rsidR="003913E3" w:rsidRPr="00311FCA">
        <w:rPr>
          <w:rFonts w:ascii="Arial" w:hAnsi="Arial" w:cs="Arial"/>
          <w:sz w:val="24"/>
          <w:szCs w:val="24"/>
        </w:rPr>
        <w:t>(Folio</w:t>
      </w:r>
      <w:r w:rsidR="00B978A7">
        <w:rPr>
          <w:rFonts w:ascii="Arial" w:hAnsi="Arial" w:cs="Arial"/>
          <w:sz w:val="24"/>
          <w:szCs w:val="24"/>
        </w:rPr>
        <w:t xml:space="preserve"> </w:t>
      </w:r>
      <w:r>
        <w:rPr>
          <w:rFonts w:ascii="Arial" w:hAnsi="Arial" w:cs="Arial"/>
          <w:sz w:val="24"/>
          <w:szCs w:val="24"/>
        </w:rPr>
        <w:t>26</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1024AA" w:rsidRDefault="001024AA" w:rsidP="00F839CE">
      <w:pPr>
        <w:pStyle w:val="Corpsdetexte"/>
        <w:widowControl w:val="0"/>
        <w:spacing w:line="360" w:lineRule="auto"/>
        <w:rPr>
          <w:rFonts w:ascii="Arial" w:hAnsi="Arial" w:cs="Arial"/>
          <w:sz w:val="22"/>
          <w:szCs w:val="24"/>
        </w:rPr>
      </w:pPr>
    </w:p>
    <w:p w:rsidR="00BB305B" w:rsidRPr="00AF633B" w:rsidRDefault="00BB305B" w:rsidP="00BB305B">
      <w:pPr>
        <w:pStyle w:val="Corpsdetex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BB305B" w:rsidRPr="00895FCF" w:rsidRDefault="00BB305B" w:rsidP="00BB305B">
      <w:pPr>
        <w:pStyle w:val="Sansinterligne"/>
        <w:spacing w:line="360" w:lineRule="auto"/>
        <w:jc w:val="both"/>
        <w:rPr>
          <w:rFonts w:ascii="Arial" w:hAnsi="Arial" w:cs="Arial"/>
          <w:sz w:val="24"/>
          <w:szCs w:val="24"/>
        </w:rPr>
      </w:pPr>
    </w:p>
    <w:p w:rsidR="00BB305B" w:rsidRPr="00187000" w:rsidRDefault="00BB305B" w:rsidP="00BB305B">
      <w:pPr>
        <w:pStyle w:val="Sansinterligne"/>
        <w:spacing w:line="360" w:lineRule="auto"/>
        <w:jc w:val="both"/>
        <w:rPr>
          <w:rFonts w:ascii="Arial" w:hAnsi="Arial" w:cs="Arial"/>
          <w:sz w:val="24"/>
          <w:szCs w:val="24"/>
        </w:rPr>
      </w:pPr>
      <w:r w:rsidRPr="00187000">
        <w:rPr>
          <w:rFonts w:ascii="Arial" w:hAnsi="Arial" w:cs="Arial"/>
          <w:sz w:val="24"/>
          <w:szCs w:val="24"/>
        </w:rPr>
        <w:t>Se pretende que</w:t>
      </w:r>
      <w:r>
        <w:rPr>
          <w:rFonts w:ascii="Arial" w:hAnsi="Arial" w:cs="Arial"/>
          <w:sz w:val="24"/>
          <w:szCs w:val="24"/>
        </w:rPr>
        <w:t xml:space="preserve">: (i) Se ampare el derecho fundamental; y, (ii) Se anule la sentencia proferida por el juzgado accionado </w:t>
      </w:r>
      <w:r w:rsidRPr="00D108C2">
        <w:rPr>
          <w:rFonts w:ascii="Arial" w:hAnsi="Arial"/>
          <w:sz w:val="24"/>
          <w:szCs w:val="24"/>
        </w:rPr>
        <w:t>(Folio</w:t>
      </w:r>
      <w:r>
        <w:rPr>
          <w:rFonts w:ascii="Arial" w:hAnsi="Arial"/>
          <w:sz w:val="24"/>
          <w:szCs w:val="24"/>
        </w:rPr>
        <w:t xml:space="preserve"> 37, del cuaderno </w:t>
      </w:r>
      <w:r>
        <w:rPr>
          <w:rFonts w:ascii="Arial" w:hAnsi="Arial" w:cs="Arial"/>
          <w:color w:val="000000"/>
          <w:sz w:val="24"/>
          <w:szCs w:val="24"/>
          <w:lang w:val="es-CO"/>
        </w:rPr>
        <w:t>de primera instancia</w:t>
      </w:r>
      <w:r>
        <w:rPr>
          <w:rFonts w:ascii="Arial" w:hAnsi="Arial"/>
          <w:sz w:val="24"/>
          <w:szCs w:val="24"/>
        </w:rPr>
        <w:t>)</w:t>
      </w:r>
      <w:r w:rsidRPr="00187000">
        <w:rPr>
          <w:rFonts w:ascii="Arial" w:hAnsi="Arial" w:cs="Arial"/>
          <w:sz w:val="24"/>
          <w:szCs w:val="24"/>
        </w:rPr>
        <w:t xml:space="preserve">. </w:t>
      </w:r>
    </w:p>
    <w:p w:rsidR="001024AA" w:rsidRPr="00BB305B" w:rsidRDefault="001024AA" w:rsidP="00F839CE">
      <w:pPr>
        <w:pStyle w:val="Corpsdetexte"/>
        <w:widowControl w:val="0"/>
        <w:spacing w:line="360" w:lineRule="auto"/>
        <w:rPr>
          <w:rFonts w:ascii="Arial" w:hAnsi="Arial" w:cs="Arial"/>
          <w:sz w:val="24"/>
          <w:szCs w:val="24"/>
          <w:lang w:val="es-ES"/>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00148D" w:rsidRDefault="003913E3" w:rsidP="00B942B6">
      <w:pPr>
        <w:pStyle w:val="Corpsdetexte"/>
        <w:spacing w:line="360" w:lineRule="auto"/>
        <w:rPr>
          <w:rFonts w:ascii="Arial" w:hAnsi="Arial" w:cs="Arial"/>
          <w:sz w:val="22"/>
          <w:szCs w:val="24"/>
        </w:rPr>
      </w:pPr>
    </w:p>
    <w:p w:rsidR="004B3407" w:rsidRDefault="004B3407" w:rsidP="004B3407">
      <w:pPr>
        <w:pStyle w:val="Corpsdetexte"/>
        <w:widowControl w:val="0"/>
        <w:spacing w:line="360" w:lineRule="auto"/>
        <w:rPr>
          <w:rFonts w:ascii="Arial" w:hAnsi="Arial"/>
          <w:sz w:val="24"/>
        </w:rPr>
      </w:pPr>
      <w:r w:rsidRPr="00E23D2E">
        <w:rPr>
          <w:rFonts w:ascii="Arial" w:hAnsi="Arial"/>
          <w:sz w:val="24"/>
        </w:rPr>
        <w:t>La acción correspondió por reparto al Juzgado</w:t>
      </w:r>
      <w:r>
        <w:rPr>
          <w:rFonts w:ascii="Arial" w:hAnsi="Arial"/>
          <w:sz w:val="24"/>
        </w:rPr>
        <w:t xml:space="preserve"> </w:t>
      </w:r>
      <w:r w:rsidR="00BB305B">
        <w:rPr>
          <w:rFonts w:ascii="Arial" w:hAnsi="Arial"/>
          <w:sz w:val="24"/>
        </w:rPr>
        <w:t xml:space="preserve">Promiscuo del Circuito de </w:t>
      </w:r>
      <w:proofErr w:type="spellStart"/>
      <w:r w:rsidR="00BB305B">
        <w:rPr>
          <w:rFonts w:ascii="Arial" w:hAnsi="Arial"/>
          <w:sz w:val="24"/>
        </w:rPr>
        <w:t>Apía</w:t>
      </w:r>
      <w:proofErr w:type="spellEnd"/>
      <w:r w:rsidRPr="00E23D2E">
        <w:rPr>
          <w:rFonts w:ascii="Arial" w:hAnsi="Arial"/>
          <w:sz w:val="24"/>
        </w:rPr>
        <w:t xml:space="preserve">, que con providencia del </w:t>
      </w:r>
      <w:r w:rsidR="00BB305B">
        <w:rPr>
          <w:rFonts w:ascii="Arial" w:hAnsi="Arial"/>
          <w:sz w:val="24"/>
        </w:rPr>
        <w:t xml:space="preserve">19-10-2016 </w:t>
      </w:r>
      <w:r w:rsidRPr="00E23D2E">
        <w:rPr>
          <w:rFonts w:ascii="Arial" w:hAnsi="Arial"/>
          <w:sz w:val="24"/>
        </w:rPr>
        <w:t>la admitió</w:t>
      </w:r>
      <w:r w:rsidR="004E39D7">
        <w:rPr>
          <w:rFonts w:ascii="Arial" w:hAnsi="Arial"/>
          <w:sz w:val="24"/>
        </w:rPr>
        <w:t>,</w:t>
      </w:r>
      <w:r w:rsidRPr="00E23D2E">
        <w:rPr>
          <w:rFonts w:ascii="Arial" w:hAnsi="Arial"/>
          <w:sz w:val="24"/>
        </w:rPr>
        <w:t xml:space="preserve"> </w:t>
      </w:r>
      <w:r w:rsidR="004E39D7" w:rsidRPr="004E39D7">
        <w:rPr>
          <w:rFonts w:ascii="Arial" w:hAnsi="Arial"/>
          <w:sz w:val="24"/>
          <w:szCs w:val="24"/>
          <w:lang w:val="es-CO"/>
        </w:rPr>
        <w:t xml:space="preserve">vinculó </w:t>
      </w:r>
      <w:r w:rsidR="00BD3C04">
        <w:rPr>
          <w:rFonts w:ascii="Arial" w:hAnsi="Arial"/>
          <w:sz w:val="24"/>
          <w:szCs w:val="24"/>
          <w:lang w:val="es-CO"/>
        </w:rPr>
        <w:t xml:space="preserve">a quien estimó conveniente </w:t>
      </w:r>
      <w:r w:rsidR="004E39D7" w:rsidRPr="004E39D7">
        <w:rPr>
          <w:rFonts w:ascii="Arial" w:hAnsi="Arial"/>
          <w:sz w:val="24"/>
          <w:szCs w:val="24"/>
          <w:lang w:val="es-CO"/>
        </w:rPr>
        <w:t>y dispuso, entre otros ordenamientos, notificar a las partes</w:t>
      </w:r>
      <w:r w:rsidR="004E39D7" w:rsidRPr="003D195F">
        <w:rPr>
          <w:rFonts w:ascii="Arial" w:hAnsi="Arial"/>
          <w:lang w:val="es-CO"/>
        </w:rPr>
        <w:t xml:space="preserve"> </w:t>
      </w:r>
      <w:r w:rsidRPr="00E23D2E">
        <w:rPr>
          <w:rFonts w:ascii="Arial" w:hAnsi="Arial"/>
          <w:sz w:val="24"/>
        </w:rPr>
        <w:t>(Folio</w:t>
      </w:r>
      <w:r w:rsidR="001024AA">
        <w:rPr>
          <w:rFonts w:ascii="Arial" w:hAnsi="Arial"/>
          <w:sz w:val="24"/>
        </w:rPr>
        <w:t xml:space="preserve"> </w:t>
      </w:r>
      <w:r w:rsidR="00BB305B">
        <w:rPr>
          <w:rFonts w:ascii="Arial" w:hAnsi="Arial"/>
          <w:sz w:val="24"/>
        </w:rPr>
        <w:t>42</w:t>
      </w:r>
      <w:r w:rsidRPr="00E23D2E">
        <w:rPr>
          <w:rFonts w:ascii="Arial" w:hAnsi="Arial"/>
          <w:sz w:val="24"/>
        </w:rPr>
        <w:t xml:space="preserve">, </w:t>
      </w:r>
      <w:r w:rsidR="00BD3C04">
        <w:rPr>
          <w:rFonts w:ascii="Arial" w:hAnsi="Arial" w:cs="Arial"/>
          <w:color w:val="000000"/>
          <w:sz w:val="24"/>
          <w:szCs w:val="24"/>
          <w:lang w:val="es-CO"/>
        </w:rPr>
        <w:t>ibídem</w:t>
      </w:r>
      <w:r w:rsidRPr="00E23D2E">
        <w:rPr>
          <w:rFonts w:ascii="Arial" w:hAnsi="Arial"/>
          <w:sz w:val="24"/>
        </w:rPr>
        <w:t>)</w:t>
      </w:r>
      <w:r>
        <w:rPr>
          <w:rFonts w:ascii="Arial" w:hAnsi="Arial"/>
          <w:sz w:val="24"/>
        </w:rPr>
        <w:t xml:space="preserve">. </w:t>
      </w:r>
      <w:r w:rsidR="00BD3C04">
        <w:rPr>
          <w:rFonts w:ascii="Arial" w:hAnsi="Arial"/>
          <w:sz w:val="24"/>
        </w:rPr>
        <w:t>La</w:t>
      </w:r>
      <w:r w:rsidR="00BD3C04">
        <w:rPr>
          <w:rFonts w:ascii="Arial" w:hAnsi="Arial"/>
          <w:sz w:val="24"/>
          <w:szCs w:val="24"/>
          <w:lang w:val="es-CO"/>
        </w:rPr>
        <w:t xml:space="preserve"> señora Adriana María Velásquez Vásquez </w:t>
      </w:r>
      <w:r w:rsidR="001024AA">
        <w:rPr>
          <w:rFonts w:ascii="Arial" w:hAnsi="Arial"/>
          <w:sz w:val="24"/>
        </w:rPr>
        <w:t>contestó (Folio</w:t>
      </w:r>
      <w:r w:rsidR="00BD3C04">
        <w:rPr>
          <w:rFonts w:ascii="Arial" w:hAnsi="Arial"/>
          <w:sz w:val="24"/>
        </w:rPr>
        <w:t>s</w:t>
      </w:r>
      <w:r w:rsidR="001024AA">
        <w:rPr>
          <w:rFonts w:ascii="Arial" w:hAnsi="Arial"/>
          <w:sz w:val="24"/>
        </w:rPr>
        <w:t xml:space="preserve"> </w:t>
      </w:r>
      <w:r w:rsidR="00BD3C04">
        <w:rPr>
          <w:rFonts w:ascii="Arial" w:hAnsi="Arial"/>
          <w:sz w:val="24"/>
        </w:rPr>
        <w:t>49 a 51</w:t>
      </w:r>
      <w:r w:rsidR="001024AA">
        <w:rPr>
          <w:rFonts w:ascii="Arial" w:hAnsi="Arial"/>
          <w:sz w:val="24"/>
        </w:rPr>
        <w:t xml:space="preserve">, </w:t>
      </w:r>
      <w:r w:rsidR="00E35452">
        <w:rPr>
          <w:rFonts w:ascii="Arial" w:hAnsi="Arial"/>
          <w:sz w:val="24"/>
        </w:rPr>
        <w:t>ibídem</w:t>
      </w:r>
      <w:r w:rsidR="001024AA">
        <w:rPr>
          <w:rFonts w:ascii="Arial" w:hAnsi="Arial"/>
          <w:sz w:val="24"/>
        </w:rPr>
        <w:t>)</w:t>
      </w:r>
      <w:r w:rsidR="00BD3C04">
        <w:rPr>
          <w:rFonts w:ascii="Arial" w:hAnsi="Arial"/>
          <w:sz w:val="24"/>
        </w:rPr>
        <w:t>;</w:t>
      </w:r>
      <w:r>
        <w:rPr>
          <w:rFonts w:ascii="Arial" w:hAnsi="Arial"/>
          <w:sz w:val="24"/>
        </w:rPr>
        <w:t xml:space="preserve"> el </w:t>
      </w:r>
      <w:r w:rsidR="00BD3C04">
        <w:rPr>
          <w:rFonts w:ascii="Arial" w:hAnsi="Arial"/>
          <w:sz w:val="24"/>
        </w:rPr>
        <w:t xml:space="preserve">25-10-2016 </w:t>
      </w:r>
      <w:r>
        <w:rPr>
          <w:rFonts w:ascii="Arial" w:hAnsi="Arial"/>
          <w:sz w:val="24"/>
        </w:rPr>
        <w:t xml:space="preserve">se practicó </w:t>
      </w:r>
      <w:r w:rsidR="00BD3C04">
        <w:rPr>
          <w:rFonts w:ascii="Arial" w:hAnsi="Arial"/>
          <w:sz w:val="24"/>
        </w:rPr>
        <w:t xml:space="preserve">la </w:t>
      </w:r>
      <w:r>
        <w:rPr>
          <w:rFonts w:ascii="Arial" w:hAnsi="Arial"/>
          <w:sz w:val="24"/>
        </w:rPr>
        <w:t xml:space="preserve">inspección judicial </w:t>
      </w:r>
      <w:r w:rsidR="00BD3C04">
        <w:rPr>
          <w:rFonts w:ascii="Arial" w:hAnsi="Arial"/>
          <w:sz w:val="24"/>
        </w:rPr>
        <w:t>(Folio 52</w:t>
      </w:r>
      <w:r w:rsidRPr="00E23D2E">
        <w:rPr>
          <w:rFonts w:ascii="Arial" w:hAnsi="Arial"/>
          <w:sz w:val="24"/>
        </w:rPr>
        <w:t>, ibídem)</w:t>
      </w:r>
      <w:r w:rsidR="00BD3C04">
        <w:rPr>
          <w:rFonts w:ascii="Arial" w:hAnsi="Arial"/>
          <w:sz w:val="24"/>
        </w:rPr>
        <w:t>, luego, e</w:t>
      </w:r>
      <w:r w:rsidRPr="00E23D2E">
        <w:rPr>
          <w:rFonts w:ascii="Arial" w:hAnsi="Arial"/>
          <w:sz w:val="24"/>
        </w:rPr>
        <w:t xml:space="preserve">l </w:t>
      </w:r>
      <w:r w:rsidR="00BD3C04">
        <w:rPr>
          <w:rFonts w:ascii="Arial" w:hAnsi="Arial"/>
          <w:sz w:val="24"/>
        </w:rPr>
        <w:t xml:space="preserve">31-10-2016 </w:t>
      </w:r>
      <w:r w:rsidRPr="00E23D2E">
        <w:rPr>
          <w:rFonts w:ascii="Arial" w:hAnsi="Arial"/>
          <w:sz w:val="24"/>
        </w:rPr>
        <w:t xml:space="preserve">se </w:t>
      </w:r>
      <w:r>
        <w:rPr>
          <w:rFonts w:ascii="Arial" w:hAnsi="Arial"/>
          <w:sz w:val="24"/>
        </w:rPr>
        <w:t xml:space="preserve">emitió el fallo </w:t>
      </w:r>
      <w:r w:rsidRPr="00E23D2E">
        <w:rPr>
          <w:rFonts w:ascii="Arial" w:hAnsi="Arial"/>
          <w:sz w:val="24"/>
        </w:rPr>
        <w:t xml:space="preserve">(Folios </w:t>
      </w:r>
      <w:r w:rsidR="00BD3C04">
        <w:rPr>
          <w:rFonts w:ascii="Arial" w:hAnsi="Arial"/>
          <w:sz w:val="24"/>
        </w:rPr>
        <w:t>54 a 57</w:t>
      </w:r>
      <w:r w:rsidRPr="00E23D2E">
        <w:rPr>
          <w:rFonts w:ascii="Arial" w:hAnsi="Arial"/>
          <w:sz w:val="24"/>
        </w:rPr>
        <w:t xml:space="preserve">, </w:t>
      </w:r>
      <w:r w:rsidR="00BD3C04">
        <w:rPr>
          <w:rFonts w:ascii="Arial" w:hAnsi="Arial"/>
          <w:sz w:val="24"/>
        </w:rPr>
        <w:t>ib.</w:t>
      </w:r>
      <w:r w:rsidRPr="00E23D2E">
        <w:rPr>
          <w:rFonts w:ascii="Arial" w:hAnsi="Arial"/>
          <w:sz w:val="24"/>
        </w:rPr>
        <w:t xml:space="preserve">); </w:t>
      </w:r>
      <w:r w:rsidR="00BD3C04">
        <w:rPr>
          <w:rFonts w:ascii="Arial" w:hAnsi="Arial"/>
          <w:sz w:val="24"/>
        </w:rPr>
        <w:t xml:space="preserve">y </w:t>
      </w:r>
      <w:r w:rsidRPr="00E23D2E">
        <w:rPr>
          <w:rFonts w:ascii="Arial" w:hAnsi="Arial"/>
          <w:sz w:val="24"/>
        </w:rPr>
        <w:t xml:space="preserve">posteriormente, con proveído del </w:t>
      </w:r>
      <w:r w:rsidR="00BD3C04">
        <w:rPr>
          <w:rFonts w:ascii="Arial" w:hAnsi="Arial"/>
          <w:sz w:val="24"/>
        </w:rPr>
        <w:t xml:space="preserve">09-11-2016 </w:t>
      </w:r>
      <w:r w:rsidRPr="00E23D2E">
        <w:rPr>
          <w:rFonts w:ascii="Arial" w:hAnsi="Arial"/>
          <w:sz w:val="24"/>
        </w:rPr>
        <w:t xml:space="preserve">se concedió la impugnación </w:t>
      </w:r>
      <w:r>
        <w:rPr>
          <w:rFonts w:ascii="Arial" w:hAnsi="Arial"/>
          <w:sz w:val="24"/>
        </w:rPr>
        <w:t>formulada por la parte actora</w:t>
      </w:r>
      <w:r w:rsidRPr="00E23D2E">
        <w:rPr>
          <w:rFonts w:ascii="Arial" w:hAnsi="Arial"/>
          <w:sz w:val="24"/>
        </w:rPr>
        <w:t xml:space="preserve">, ante este Tribunal (Folio </w:t>
      </w:r>
      <w:r w:rsidR="00BD3C04">
        <w:rPr>
          <w:rFonts w:ascii="Arial" w:hAnsi="Arial"/>
          <w:sz w:val="24"/>
        </w:rPr>
        <w:t>70</w:t>
      </w:r>
      <w:r>
        <w:rPr>
          <w:rFonts w:ascii="Arial" w:hAnsi="Arial"/>
          <w:sz w:val="24"/>
        </w:rPr>
        <w:t>,</w:t>
      </w:r>
      <w:r w:rsidRPr="00E23D2E">
        <w:rPr>
          <w:rFonts w:ascii="Arial" w:hAnsi="Arial"/>
          <w:sz w:val="24"/>
        </w:rPr>
        <w:t xml:space="preserve"> ibídem). </w:t>
      </w:r>
    </w:p>
    <w:p w:rsidR="006F03E2" w:rsidRPr="00BD3C04" w:rsidRDefault="006F03E2" w:rsidP="006F03E2">
      <w:pPr>
        <w:spacing w:line="360" w:lineRule="auto"/>
        <w:jc w:val="both"/>
        <w:rPr>
          <w:rFonts w:ascii="Arial" w:hAnsi="Arial" w:cs="Arial"/>
          <w:sz w:val="22"/>
          <w:lang w:val="es-ES_tradnl"/>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3B4B9C" w:rsidRDefault="003913E3" w:rsidP="0082372A">
      <w:pPr>
        <w:pStyle w:val="Corpsdetexte"/>
        <w:spacing w:line="240" w:lineRule="auto"/>
        <w:rPr>
          <w:rFonts w:ascii="Arial" w:hAnsi="Arial" w:cs="Arial"/>
          <w:sz w:val="24"/>
          <w:szCs w:val="24"/>
        </w:rPr>
      </w:pPr>
    </w:p>
    <w:p w:rsidR="003913E3" w:rsidRPr="00311FCA" w:rsidRDefault="00BD3C04" w:rsidP="00F839CE">
      <w:pPr>
        <w:pStyle w:val="Corpsdetexte"/>
        <w:widowControl w:val="0"/>
        <w:spacing w:line="360" w:lineRule="auto"/>
        <w:rPr>
          <w:rFonts w:ascii="Arial" w:hAnsi="Arial" w:cs="Arial"/>
          <w:sz w:val="24"/>
          <w:szCs w:val="24"/>
        </w:rPr>
      </w:pPr>
      <w:r>
        <w:rPr>
          <w:rFonts w:ascii="Arial" w:hAnsi="Arial" w:cs="Arial"/>
          <w:sz w:val="24"/>
          <w:szCs w:val="24"/>
        </w:rPr>
        <w:t>Declaró improcedente el amparo constitucional porque el accionante no agotó ninguno de los elementos de defensa con que contaba en el proceso para la protección de sus derechos</w:t>
      </w:r>
      <w:r w:rsidR="000F6C05">
        <w:rPr>
          <w:rFonts w:ascii="Arial" w:hAnsi="Arial" w:cs="Arial"/>
          <w:sz w:val="24"/>
          <w:szCs w:val="24"/>
        </w:rPr>
        <w:t xml:space="preserve"> </w:t>
      </w:r>
      <w:r w:rsidR="003913E3" w:rsidRPr="007460BC">
        <w:rPr>
          <w:rFonts w:ascii="Arial" w:hAnsi="Arial" w:cs="Arial"/>
          <w:sz w:val="24"/>
          <w:szCs w:val="24"/>
        </w:rPr>
        <w:t xml:space="preserve">(Folios </w:t>
      </w:r>
      <w:r>
        <w:rPr>
          <w:rFonts w:ascii="Arial" w:hAnsi="Arial"/>
          <w:sz w:val="24"/>
        </w:rPr>
        <w:t>54 a 57</w:t>
      </w:r>
      <w:r w:rsidR="003913E3" w:rsidRPr="007460BC">
        <w:rPr>
          <w:rFonts w:ascii="Arial" w:hAnsi="Arial" w:cs="Arial"/>
          <w:sz w:val="24"/>
          <w:szCs w:val="24"/>
        </w:rPr>
        <w:t>, ib.).</w:t>
      </w:r>
    </w:p>
    <w:p w:rsidR="003913E3" w:rsidRPr="0000148D" w:rsidRDefault="003913E3" w:rsidP="00F839CE">
      <w:pPr>
        <w:pStyle w:val="Corpsdetexte"/>
        <w:widowControl w:val="0"/>
        <w:spacing w:line="360" w:lineRule="auto"/>
        <w:rPr>
          <w:rFonts w:ascii="Arial" w:hAnsi="Arial" w:cs="Arial"/>
          <w:sz w:val="22"/>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82372A">
      <w:pPr>
        <w:pStyle w:val="Corpsdetexte"/>
        <w:spacing w:line="240" w:lineRule="auto"/>
        <w:rPr>
          <w:rFonts w:ascii="Arial" w:hAnsi="Arial" w:cs="Arial"/>
          <w:sz w:val="24"/>
          <w:szCs w:val="24"/>
        </w:rPr>
      </w:pPr>
    </w:p>
    <w:p w:rsidR="003913E3" w:rsidRDefault="00283D22" w:rsidP="00F839CE">
      <w:pPr>
        <w:pStyle w:val="Corpsdetexte"/>
        <w:widowControl w:val="0"/>
        <w:spacing w:line="360" w:lineRule="auto"/>
        <w:rPr>
          <w:rFonts w:ascii="Arial" w:hAnsi="Arial" w:cs="Arial"/>
          <w:sz w:val="24"/>
          <w:szCs w:val="24"/>
        </w:rPr>
      </w:pPr>
      <w:r>
        <w:rPr>
          <w:rFonts w:ascii="Arial" w:hAnsi="Arial" w:cs="Arial"/>
          <w:sz w:val="24"/>
          <w:szCs w:val="24"/>
        </w:rPr>
        <w:t xml:space="preserve">La </w:t>
      </w:r>
      <w:r w:rsidR="00C53548">
        <w:rPr>
          <w:rFonts w:ascii="Arial" w:hAnsi="Arial" w:cs="Arial"/>
          <w:sz w:val="24"/>
          <w:szCs w:val="24"/>
        </w:rPr>
        <w:t xml:space="preserve">parte </w:t>
      </w:r>
      <w:r w:rsidR="00137753">
        <w:rPr>
          <w:rFonts w:ascii="Arial" w:hAnsi="Arial" w:cs="Arial"/>
          <w:sz w:val="24"/>
          <w:szCs w:val="24"/>
        </w:rPr>
        <w:t xml:space="preserve">actora </w:t>
      </w:r>
      <w:r w:rsidR="008F77D9">
        <w:rPr>
          <w:rFonts w:ascii="Arial" w:hAnsi="Arial" w:cs="Arial"/>
          <w:sz w:val="24"/>
          <w:szCs w:val="24"/>
        </w:rPr>
        <w:t>indicó que el juez accionado valoró de forma arbitraria las pruebas</w:t>
      </w:r>
      <w:r w:rsidR="00B26398">
        <w:rPr>
          <w:rFonts w:ascii="Arial" w:hAnsi="Arial" w:cs="Arial"/>
          <w:sz w:val="24"/>
          <w:szCs w:val="24"/>
        </w:rPr>
        <w:t xml:space="preserve"> y tampoco </w:t>
      </w:r>
      <w:r w:rsidR="008F77D9">
        <w:rPr>
          <w:rFonts w:ascii="Arial" w:hAnsi="Arial" w:cs="Arial"/>
          <w:sz w:val="24"/>
          <w:szCs w:val="24"/>
        </w:rPr>
        <w:t xml:space="preserve">fue garantista con las partes en litigio. Expuso que no contestó la demanda </w:t>
      </w:r>
      <w:r w:rsidR="008F77D9">
        <w:rPr>
          <w:rFonts w:ascii="Arial" w:hAnsi="Arial" w:cs="Arial"/>
          <w:sz w:val="24"/>
          <w:szCs w:val="24"/>
        </w:rPr>
        <w:lastRenderedPageBreak/>
        <w:t xml:space="preserve">porque consideraba que el derecho a la servidumbre nadie podía quitárselo, </w:t>
      </w:r>
      <w:r w:rsidR="00EA2F99">
        <w:rPr>
          <w:rFonts w:ascii="Arial" w:hAnsi="Arial" w:cs="Arial"/>
          <w:sz w:val="24"/>
          <w:szCs w:val="24"/>
        </w:rPr>
        <w:t>sin embargo</w:t>
      </w:r>
      <w:r w:rsidR="008F77D9">
        <w:rPr>
          <w:rFonts w:ascii="Arial" w:hAnsi="Arial" w:cs="Arial"/>
          <w:sz w:val="24"/>
          <w:szCs w:val="24"/>
        </w:rPr>
        <w:t>, sí se defendió en el proceso pues participó activamente en las audiencias practicadas</w:t>
      </w:r>
      <w:r w:rsidR="00654233">
        <w:rPr>
          <w:rFonts w:ascii="Arial" w:hAnsi="Arial" w:cs="Arial"/>
          <w:sz w:val="24"/>
          <w:szCs w:val="24"/>
        </w:rPr>
        <w:t xml:space="preserve"> y se opuso al dictamen pericial </w:t>
      </w:r>
      <w:r w:rsidR="00C53548">
        <w:rPr>
          <w:rFonts w:ascii="Arial" w:hAnsi="Arial" w:cs="Arial"/>
          <w:sz w:val="24"/>
          <w:szCs w:val="24"/>
        </w:rPr>
        <w:t xml:space="preserve">(Folios </w:t>
      </w:r>
      <w:r w:rsidR="00654233">
        <w:rPr>
          <w:rFonts w:ascii="Arial" w:hAnsi="Arial" w:cs="Arial"/>
          <w:sz w:val="24"/>
          <w:szCs w:val="24"/>
        </w:rPr>
        <w:t>65 a 69</w:t>
      </w:r>
      <w:r w:rsidR="00C53548">
        <w:rPr>
          <w:rFonts w:ascii="Arial" w:hAnsi="Arial" w:cs="Arial"/>
          <w:sz w:val="24"/>
          <w:szCs w:val="24"/>
        </w:rPr>
        <w:t xml:space="preserve">, </w:t>
      </w:r>
      <w:r w:rsidR="007B4AD7">
        <w:rPr>
          <w:rFonts w:ascii="Arial" w:hAnsi="Arial" w:cs="Arial"/>
          <w:sz w:val="24"/>
          <w:szCs w:val="24"/>
        </w:rPr>
        <w:t>ib.</w:t>
      </w:r>
      <w:r w:rsidR="00C53548">
        <w:rPr>
          <w:rFonts w:ascii="Arial" w:hAnsi="Arial" w:cs="Arial"/>
          <w:sz w:val="24"/>
          <w:szCs w:val="24"/>
        </w:rPr>
        <w:t>)</w:t>
      </w:r>
      <w:r w:rsidR="00E5080E">
        <w:rPr>
          <w:rFonts w:ascii="Arial" w:hAnsi="Arial" w:cs="Arial"/>
          <w:sz w:val="24"/>
          <w:szCs w:val="24"/>
        </w:rPr>
        <w:t>.</w:t>
      </w:r>
    </w:p>
    <w:p w:rsidR="000D01DC" w:rsidRPr="0000148D" w:rsidRDefault="000D01DC" w:rsidP="00F839CE">
      <w:pPr>
        <w:pStyle w:val="Corpsdetexte"/>
        <w:widowControl w:val="0"/>
        <w:spacing w:line="360" w:lineRule="auto"/>
        <w:rPr>
          <w:rFonts w:ascii="Arial" w:hAnsi="Arial" w:cs="Arial"/>
          <w:sz w:val="22"/>
          <w:szCs w:val="24"/>
        </w:rPr>
      </w:pPr>
    </w:p>
    <w:p w:rsidR="003913E3" w:rsidRPr="00D64C08"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531C40" w:rsidRDefault="00531C40" w:rsidP="00F839CE">
      <w:pPr>
        <w:pStyle w:val="Corpsdetexte"/>
        <w:spacing w:line="360" w:lineRule="auto"/>
        <w:rPr>
          <w:rFonts w:ascii="Arial" w:hAnsi="Arial" w:cs="Arial"/>
          <w:sz w:val="24"/>
          <w:szCs w:val="24"/>
        </w:rPr>
      </w:pPr>
    </w:p>
    <w:p w:rsidR="003913E3" w:rsidRPr="00311FCA" w:rsidRDefault="00654233" w:rsidP="00F839CE">
      <w:pPr>
        <w:pStyle w:val="Corpsdetexte"/>
        <w:spacing w:line="360" w:lineRule="auto"/>
        <w:rPr>
          <w:rFonts w:ascii="Arial" w:hAnsi="Arial" w:cs="Arial"/>
          <w:sz w:val="24"/>
          <w:szCs w:val="24"/>
        </w:rPr>
      </w:pPr>
      <w:r>
        <w:rPr>
          <w:rFonts w:ascii="Arial" w:hAnsi="Arial" w:cs="Arial"/>
          <w:sz w:val="24"/>
          <w:szCs w:val="24"/>
        </w:rPr>
        <w:t xml:space="preserve">8.1. </w:t>
      </w:r>
      <w:r w:rsidR="003913E3" w:rsidRPr="00311FCA">
        <w:rPr>
          <w:rFonts w:ascii="Arial" w:hAnsi="Arial" w:cs="Arial"/>
          <w:sz w:val="24"/>
          <w:szCs w:val="24"/>
        </w:rPr>
        <w:t>La competencia funcional</w:t>
      </w:r>
    </w:p>
    <w:p w:rsidR="003913E3" w:rsidRPr="003B4B9C" w:rsidRDefault="00A43D42" w:rsidP="00A43D42">
      <w:pPr>
        <w:tabs>
          <w:tab w:val="left" w:pos="1416"/>
        </w:tabs>
        <w:spacing w:line="360" w:lineRule="auto"/>
        <w:jc w:val="both"/>
        <w:rPr>
          <w:rFonts w:ascii="Arial" w:hAnsi="Arial" w:cs="Arial"/>
        </w:rPr>
      </w:pPr>
      <w:r>
        <w:rPr>
          <w:rFonts w:ascii="Arial" w:hAnsi="Arial" w:cs="Arial"/>
        </w:rPr>
        <w:tab/>
      </w:r>
    </w:p>
    <w:p w:rsidR="004B2CC3" w:rsidRPr="0039469E" w:rsidRDefault="00D64C08" w:rsidP="004B2CC3">
      <w:pPr>
        <w:spacing w:line="360" w:lineRule="auto"/>
        <w:jc w:val="both"/>
        <w:rPr>
          <w:rFonts w:ascii="Arial" w:hAnsi="Arial" w:cs="Arial"/>
          <w:lang w:val="es-MX"/>
        </w:rPr>
      </w:pPr>
      <w:r w:rsidRPr="003D195F">
        <w:rPr>
          <w:rFonts w:ascii="Arial" w:hAnsi="Arial" w:cs="Arial"/>
          <w:lang w:val="es-CO"/>
        </w:rPr>
        <w:t>Esta Sala especializada está facultada en forma legal para desatar la controversia puesta a su consideración, por ser l</w:t>
      </w:r>
      <w:r w:rsidR="0000148D">
        <w:rPr>
          <w:rFonts w:ascii="Arial" w:hAnsi="Arial" w:cs="Arial"/>
          <w:lang w:val="es-CO"/>
        </w:rPr>
        <w:t>a</w:t>
      </w:r>
      <w:r w:rsidRPr="003D195F">
        <w:rPr>
          <w:rFonts w:ascii="Arial" w:hAnsi="Arial" w:cs="Arial"/>
          <w:lang w:val="es-CO"/>
        </w:rPr>
        <w:t xml:space="preserve"> superior</w:t>
      </w:r>
      <w:r w:rsidR="0000148D">
        <w:rPr>
          <w:rFonts w:ascii="Arial" w:hAnsi="Arial" w:cs="Arial"/>
          <w:lang w:val="es-CO"/>
        </w:rPr>
        <w:t>a</w:t>
      </w:r>
      <w:r w:rsidRPr="003D195F">
        <w:rPr>
          <w:rFonts w:ascii="Arial" w:hAnsi="Arial" w:cs="Arial"/>
          <w:lang w:val="es-CO"/>
        </w:rPr>
        <w:t xml:space="preserve"> jerárquic</w:t>
      </w:r>
      <w:r w:rsidR="0000148D">
        <w:rPr>
          <w:rFonts w:ascii="Arial" w:hAnsi="Arial" w:cs="Arial"/>
          <w:lang w:val="es-CO"/>
        </w:rPr>
        <w:t>a</w:t>
      </w:r>
      <w:r w:rsidRPr="003D195F">
        <w:rPr>
          <w:rFonts w:ascii="Arial" w:hAnsi="Arial" w:cs="Arial"/>
          <w:lang w:val="es-CO"/>
        </w:rPr>
        <w:t xml:space="preserve"> del Despacho que conoció en primera instancia (Artículo 32 del Decreto 2591 de 1991).</w:t>
      </w:r>
    </w:p>
    <w:p w:rsidR="003913E3" w:rsidRPr="003B4B9C" w:rsidRDefault="003913E3" w:rsidP="00F839CE">
      <w:pPr>
        <w:spacing w:line="360" w:lineRule="auto"/>
        <w:jc w:val="both"/>
        <w:rPr>
          <w:rFonts w:ascii="Arial" w:hAnsi="Arial" w:cs="Arial"/>
          <w:lang w:val="es-MX"/>
        </w:rPr>
      </w:pPr>
    </w:p>
    <w:p w:rsidR="003913E3" w:rsidRPr="00311FCA" w:rsidRDefault="003913E3" w:rsidP="00654233">
      <w:pPr>
        <w:pStyle w:val="Corpsdetexte"/>
        <w:numPr>
          <w:ilvl w:val="1"/>
          <w:numId w:val="40"/>
        </w:numPr>
        <w:tabs>
          <w:tab w:val="clear" w:pos="0"/>
          <w:tab w:val="clear" w:pos="708"/>
          <w:tab w:val="clear" w:pos="1416"/>
          <w:tab w:val="left" w:pos="567"/>
        </w:tabs>
        <w:spacing w:line="360" w:lineRule="auto"/>
        <w:rPr>
          <w:rFonts w:ascii="Arial" w:hAnsi="Arial" w:cs="Arial"/>
          <w:sz w:val="24"/>
          <w:szCs w:val="24"/>
        </w:rPr>
      </w:pPr>
      <w:r w:rsidRPr="00311FCA">
        <w:rPr>
          <w:rFonts w:ascii="Arial" w:hAnsi="Arial" w:cs="Arial"/>
          <w:sz w:val="24"/>
          <w:szCs w:val="24"/>
        </w:rPr>
        <w:t>La legitimación en la causa</w:t>
      </w:r>
    </w:p>
    <w:p w:rsidR="00350325" w:rsidRPr="00902F93" w:rsidRDefault="008924A4" w:rsidP="00350325">
      <w:pPr>
        <w:pStyle w:val="Corpsdetexte"/>
        <w:spacing w:line="360" w:lineRule="auto"/>
        <w:rPr>
          <w:rFonts w:ascii="Arial" w:hAnsi="Arial" w:cs="Arial"/>
          <w:sz w:val="24"/>
          <w:szCs w:val="24"/>
        </w:rPr>
      </w:pPr>
      <w:r w:rsidRPr="00D91A51">
        <w:rPr>
          <w:rFonts w:ascii="Arial" w:hAnsi="Arial" w:cs="Arial"/>
          <w:sz w:val="24"/>
          <w:szCs w:val="24"/>
        </w:rPr>
        <w:t>Se cumple la le</w:t>
      </w:r>
      <w:r w:rsidR="006F52BC">
        <w:rPr>
          <w:rFonts w:ascii="Arial" w:hAnsi="Arial" w:cs="Arial"/>
          <w:sz w:val="24"/>
          <w:szCs w:val="24"/>
        </w:rPr>
        <w:t>gitimación por activa dado que e</w:t>
      </w:r>
      <w:r w:rsidRPr="00D91A51">
        <w:rPr>
          <w:rFonts w:ascii="Arial" w:hAnsi="Arial" w:cs="Arial"/>
          <w:sz w:val="24"/>
          <w:szCs w:val="24"/>
        </w:rPr>
        <w:t>l señor</w:t>
      </w:r>
      <w:r w:rsidR="00350325">
        <w:rPr>
          <w:rFonts w:ascii="Arial" w:hAnsi="Arial" w:cs="Arial"/>
          <w:sz w:val="24"/>
          <w:szCs w:val="24"/>
        </w:rPr>
        <w:t xml:space="preserve"> </w:t>
      </w:r>
      <w:r w:rsidR="00654233">
        <w:rPr>
          <w:rFonts w:ascii="Arial" w:hAnsi="Arial" w:cs="Arial"/>
          <w:sz w:val="24"/>
          <w:szCs w:val="24"/>
        </w:rPr>
        <w:t>Juvenal Ríos Correa</w:t>
      </w:r>
      <w:r>
        <w:rPr>
          <w:rFonts w:ascii="Arial" w:hAnsi="Arial" w:cs="Arial"/>
          <w:sz w:val="24"/>
          <w:szCs w:val="24"/>
        </w:rPr>
        <w:t>,</w:t>
      </w:r>
      <w:r w:rsidRPr="00CB3FF7">
        <w:rPr>
          <w:rFonts w:ascii="Arial" w:hAnsi="Arial" w:cs="Arial"/>
          <w:sz w:val="24"/>
          <w:szCs w:val="24"/>
        </w:rPr>
        <w:t xml:space="preserve"> </w:t>
      </w:r>
      <w:r w:rsidR="00350325">
        <w:rPr>
          <w:rFonts w:ascii="Arial" w:hAnsi="Arial" w:cs="Arial"/>
          <w:sz w:val="24"/>
          <w:szCs w:val="24"/>
        </w:rPr>
        <w:t xml:space="preserve">es </w:t>
      </w:r>
      <w:r w:rsidR="00496952">
        <w:rPr>
          <w:rFonts w:ascii="Arial" w:hAnsi="Arial" w:cs="Arial"/>
          <w:sz w:val="24"/>
          <w:szCs w:val="24"/>
        </w:rPr>
        <w:t xml:space="preserve">el </w:t>
      </w:r>
      <w:r w:rsidR="00654233">
        <w:rPr>
          <w:rFonts w:ascii="Arial" w:hAnsi="Arial" w:cs="Arial"/>
          <w:sz w:val="24"/>
          <w:szCs w:val="24"/>
        </w:rPr>
        <w:t>demandado en el proceso de perturbación a la posesión</w:t>
      </w:r>
      <w:r w:rsidR="00350325" w:rsidRPr="00902F93">
        <w:rPr>
          <w:rFonts w:ascii="Arial" w:hAnsi="Arial" w:cs="Arial"/>
          <w:sz w:val="24"/>
          <w:szCs w:val="24"/>
        </w:rPr>
        <w:t xml:space="preserve">.  Y por pasiva, </w:t>
      </w:r>
      <w:r w:rsidR="00350325">
        <w:rPr>
          <w:rFonts w:ascii="Arial" w:hAnsi="Arial" w:cs="Arial"/>
          <w:sz w:val="24"/>
          <w:szCs w:val="24"/>
        </w:rPr>
        <w:t xml:space="preserve">lo es </w:t>
      </w:r>
      <w:r w:rsidR="00350325" w:rsidRPr="00902F93">
        <w:rPr>
          <w:rFonts w:ascii="Arial" w:hAnsi="Arial" w:cs="Arial"/>
          <w:sz w:val="24"/>
          <w:szCs w:val="24"/>
        </w:rPr>
        <w:t xml:space="preserve">el </w:t>
      </w:r>
      <w:r w:rsidR="00350325" w:rsidRPr="009A3C9D">
        <w:rPr>
          <w:rFonts w:ascii="Arial" w:hAnsi="Arial" w:cs="Arial"/>
          <w:sz w:val="24"/>
          <w:szCs w:val="24"/>
        </w:rPr>
        <w:t xml:space="preserve">Juzgado </w:t>
      </w:r>
      <w:r w:rsidR="00654233">
        <w:rPr>
          <w:rFonts w:ascii="Arial" w:hAnsi="Arial" w:cs="Arial"/>
          <w:sz w:val="24"/>
          <w:szCs w:val="24"/>
        </w:rPr>
        <w:t xml:space="preserve">Promiscuo </w:t>
      </w:r>
      <w:r w:rsidR="00350325">
        <w:rPr>
          <w:rFonts w:ascii="Arial" w:hAnsi="Arial" w:cs="Arial"/>
          <w:sz w:val="24"/>
          <w:szCs w:val="24"/>
        </w:rPr>
        <w:t>Municipal</w:t>
      </w:r>
      <w:r w:rsidR="006F52BC">
        <w:rPr>
          <w:rFonts w:ascii="Arial" w:hAnsi="Arial" w:cs="Arial"/>
          <w:sz w:val="24"/>
          <w:szCs w:val="24"/>
        </w:rPr>
        <w:t xml:space="preserve"> de </w:t>
      </w:r>
      <w:proofErr w:type="spellStart"/>
      <w:r w:rsidR="00654233">
        <w:rPr>
          <w:rFonts w:ascii="Arial" w:hAnsi="Arial" w:cs="Arial"/>
          <w:sz w:val="24"/>
          <w:szCs w:val="24"/>
        </w:rPr>
        <w:t>Apía</w:t>
      </w:r>
      <w:proofErr w:type="spellEnd"/>
      <w:r w:rsidR="00350325">
        <w:rPr>
          <w:rFonts w:ascii="Arial" w:hAnsi="Arial" w:cs="Arial"/>
          <w:sz w:val="24"/>
          <w:szCs w:val="24"/>
        </w:rPr>
        <w:t>, por ser</w:t>
      </w:r>
      <w:r w:rsidR="00350325" w:rsidRPr="009A3C9D">
        <w:rPr>
          <w:rFonts w:ascii="Arial" w:hAnsi="Arial" w:cs="Arial"/>
          <w:sz w:val="24"/>
          <w:szCs w:val="24"/>
        </w:rPr>
        <w:t xml:space="preserve"> la autoridad judicial </w:t>
      </w:r>
      <w:r w:rsidR="00496952">
        <w:rPr>
          <w:rFonts w:ascii="Arial" w:hAnsi="Arial" w:cs="Arial"/>
          <w:sz w:val="24"/>
          <w:szCs w:val="24"/>
        </w:rPr>
        <w:t xml:space="preserve">que </w:t>
      </w:r>
      <w:r w:rsidR="00350325" w:rsidRPr="009A3C9D">
        <w:rPr>
          <w:rFonts w:ascii="Arial" w:hAnsi="Arial" w:cs="Arial"/>
          <w:sz w:val="24"/>
          <w:szCs w:val="24"/>
        </w:rPr>
        <w:t>conoce del</w:t>
      </w:r>
      <w:r w:rsidR="00350325" w:rsidRPr="00902F93">
        <w:rPr>
          <w:rFonts w:ascii="Arial" w:hAnsi="Arial" w:cs="Arial"/>
          <w:sz w:val="24"/>
          <w:szCs w:val="24"/>
        </w:rPr>
        <w:t xml:space="preserve"> proceso</w:t>
      </w:r>
      <w:r w:rsidR="006C593B">
        <w:rPr>
          <w:rFonts w:ascii="Arial" w:hAnsi="Arial" w:cs="Arial"/>
          <w:sz w:val="24"/>
          <w:szCs w:val="24"/>
        </w:rPr>
        <w:t>.</w:t>
      </w:r>
    </w:p>
    <w:p w:rsidR="00350325" w:rsidRPr="003E0733" w:rsidRDefault="00350325" w:rsidP="00350325">
      <w:pPr>
        <w:pStyle w:val="Corpsdetexte"/>
        <w:spacing w:line="360" w:lineRule="auto"/>
        <w:rPr>
          <w:rFonts w:ascii="Arial" w:hAnsi="Arial" w:cs="Arial"/>
          <w:sz w:val="24"/>
        </w:rPr>
      </w:pPr>
    </w:p>
    <w:p w:rsidR="00350325" w:rsidRPr="00902F93" w:rsidRDefault="00654233" w:rsidP="00350325">
      <w:pPr>
        <w:pStyle w:val="Corpsdetexte"/>
        <w:spacing w:line="360" w:lineRule="auto"/>
        <w:rPr>
          <w:rFonts w:ascii="Arial" w:hAnsi="Arial" w:cs="Arial"/>
          <w:sz w:val="24"/>
          <w:szCs w:val="24"/>
        </w:rPr>
      </w:pPr>
      <w:r>
        <w:rPr>
          <w:rFonts w:ascii="Arial" w:hAnsi="Arial" w:cs="Arial"/>
          <w:sz w:val="24"/>
          <w:szCs w:val="24"/>
        </w:rPr>
        <w:t xml:space="preserve">La </w:t>
      </w:r>
      <w:r w:rsidR="00496952">
        <w:rPr>
          <w:rFonts w:ascii="Arial" w:hAnsi="Arial" w:cs="Arial"/>
          <w:sz w:val="24"/>
          <w:szCs w:val="24"/>
        </w:rPr>
        <w:t>señor</w:t>
      </w:r>
      <w:r>
        <w:rPr>
          <w:rFonts w:ascii="Arial" w:hAnsi="Arial" w:cs="Arial"/>
          <w:sz w:val="24"/>
          <w:szCs w:val="24"/>
        </w:rPr>
        <w:t>a</w:t>
      </w:r>
      <w:r w:rsidR="00496952">
        <w:rPr>
          <w:rFonts w:ascii="Arial" w:hAnsi="Arial" w:cs="Arial"/>
          <w:sz w:val="24"/>
          <w:szCs w:val="24"/>
        </w:rPr>
        <w:t xml:space="preserve"> </w:t>
      </w:r>
      <w:r>
        <w:rPr>
          <w:rFonts w:ascii="Arial" w:hAnsi="Arial"/>
          <w:sz w:val="24"/>
          <w:szCs w:val="24"/>
          <w:lang w:val="es-CO"/>
        </w:rPr>
        <w:t>Adriana María Velásquez Vásquez</w:t>
      </w:r>
      <w:r w:rsidR="006F52BC">
        <w:rPr>
          <w:rFonts w:ascii="Arial" w:hAnsi="Arial" w:cs="Arial"/>
          <w:sz w:val="24"/>
          <w:szCs w:val="24"/>
        </w:rPr>
        <w:t xml:space="preserve">, </w:t>
      </w:r>
      <w:r>
        <w:rPr>
          <w:rFonts w:ascii="Arial" w:hAnsi="Arial" w:cs="Arial"/>
          <w:sz w:val="24"/>
          <w:szCs w:val="24"/>
        </w:rPr>
        <w:t>no incurrió en vulneración o amenaza de los derechos fundamentales invocados, por lo tanto, se negará el amparo en su contra</w:t>
      </w:r>
      <w:r w:rsidR="00350325">
        <w:rPr>
          <w:rFonts w:ascii="Arial" w:hAnsi="Arial" w:cs="Arial"/>
          <w:sz w:val="24"/>
          <w:szCs w:val="24"/>
        </w:rPr>
        <w:t xml:space="preserve">. </w:t>
      </w:r>
    </w:p>
    <w:p w:rsidR="003913E3" w:rsidRPr="003B4B9C" w:rsidRDefault="003913E3" w:rsidP="00350325">
      <w:pPr>
        <w:pStyle w:val="Corpsdetexte"/>
        <w:spacing w:line="360" w:lineRule="auto"/>
        <w:rPr>
          <w:rFonts w:ascii="Arial" w:hAnsi="Arial" w:cs="Arial"/>
          <w:sz w:val="24"/>
          <w:szCs w:val="24"/>
        </w:rPr>
      </w:pPr>
    </w:p>
    <w:p w:rsidR="003913E3" w:rsidRPr="00311FCA" w:rsidRDefault="003913E3" w:rsidP="00654233">
      <w:pPr>
        <w:pStyle w:val="Corpsdetexte"/>
        <w:numPr>
          <w:ilvl w:val="1"/>
          <w:numId w:val="40"/>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B4B9C"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E55471">
        <w:rPr>
          <w:rFonts w:ascii="Arial" w:hAnsi="Arial" w:cs="Arial"/>
          <w:sz w:val="24"/>
          <w:szCs w:val="24"/>
        </w:rPr>
        <w:t xml:space="preserve">¿Es procedente confirmar, modificar o revocar la sentencia del </w:t>
      </w:r>
      <w:r w:rsidR="00106142" w:rsidRPr="00E55471">
        <w:rPr>
          <w:rFonts w:ascii="Arial" w:hAnsi="Arial"/>
          <w:sz w:val="24"/>
        </w:rPr>
        <w:t xml:space="preserve">Juzgado </w:t>
      </w:r>
      <w:r w:rsidR="00654233">
        <w:rPr>
          <w:rFonts w:ascii="Arial" w:hAnsi="Arial"/>
          <w:sz w:val="24"/>
        </w:rPr>
        <w:t xml:space="preserve">Promiscuo del </w:t>
      </w:r>
      <w:r w:rsidR="007B4AD7" w:rsidRPr="00E55471">
        <w:rPr>
          <w:rFonts w:ascii="Arial" w:hAnsi="Arial" w:cs="Arial"/>
          <w:sz w:val="24"/>
          <w:szCs w:val="24"/>
        </w:rPr>
        <w:t xml:space="preserve">Circuito </w:t>
      </w:r>
      <w:r w:rsidR="00654233">
        <w:rPr>
          <w:rFonts w:ascii="Arial" w:hAnsi="Arial" w:cs="Arial"/>
          <w:sz w:val="24"/>
          <w:szCs w:val="24"/>
        </w:rPr>
        <w:t xml:space="preserve">de </w:t>
      </w:r>
      <w:proofErr w:type="spellStart"/>
      <w:r w:rsidR="00654233">
        <w:rPr>
          <w:rFonts w:ascii="Arial" w:hAnsi="Arial" w:cs="Arial"/>
          <w:sz w:val="24"/>
          <w:szCs w:val="24"/>
        </w:rPr>
        <w:t>Apía</w:t>
      </w:r>
      <w:proofErr w:type="spellEnd"/>
      <w:r w:rsidRPr="00E55471">
        <w:rPr>
          <w:rFonts w:ascii="Arial" w:hAnsi="Arial" w:cs="Arial"/>
          <w:sz w:val="24"/>
          <w:szCs w:val="24"/>
        </w:rPr>
        <w:t>, según la impugnación</w:t>
      </w:r>
      <w:r w:rsidR="005069CE" w:rsidRPr="00E55471">
        <w:rPr>
          <w:rFonts w:ascii="Arial" w:hAnsi="Arial" w:cs="Arial"/>
          <w:sz w:val="24"/>
          <w:szCs w:val="24"/>
        </w:rPr>
        <w:t xml:space="preserve"> </w:t>
      </w:r>
      <w:r w:rsidR="00106142" w:rsidRPr="00E55471">
        <w:rPr>
          <w:rFonts w:ascii="Arial" w:hAnsi="Arial" w:cs="Arial"/>
          <w:sz w:val="24"/>
          <w:szCs w:val="24"/>
        </w:rPr>
        <w:t xml:space="preserve">presentada </w:t>
      </w:r>
      <w:r w:rsidR="00D847C2" w:rsidRPr="00E55471">
        <w:rPr>
          <w:rFonts w:ascii="Arial" w:hAnsi="Arial" w:cs="Arial"/>
          <w:sz w:val="24"/>
          <w:szCs w:val="24"/>
        </w:rPr>
        <w:t>por la</w:t>
      </w:r>
      <w:r w:rsidR="007B4AD7" w:rsidRPr="00E55471">
        <w:rPr>
          <w:rFonts w:ascii="Arial" w:hAnsi="Arial" w:cs="Arial"/>
          <w:sz w:val="24"/>
          <w:szCs w:val="24"/>
        </w:rPr>
        <w:t xml:space="preserve"> parte</w:t>
      </w:r>
      <w:r w:rsidR="00D847C2" w:rsidRPr="00E55471">
        <w:rPr>
          <w:rFonts w:ascii="Arial" w:hAnsi="Arial" w:cs="Arial"/>
          <w:sz w:val="24"/>
          <w:szCs w:val="24"/>
        </w:rPr>
        <w:t xml:space="preserve"> actora</w:t>
      </w:r>
      <w:r w:rsidRPr="00E55471">
        <w:rPr>
          <w:rFonts w:ascii="Arial" w:hAnsi="Arial" w:cs="Arial"/>
          <w:sz w:val="24"/>
          <w:szCs w:val="24"/>
        </w:rPr>
        <w:t>?</w:t>
      </w:r>
      <w:r w:rsidRPr="00311FCA">
        <w:rPr>
          <w:rFonts w:ascii="Arial" w:hAnsi="Arial" w:cs="Arial"/>
          <w:sz w:val="24"/>
          <w:szCs w:val="24"/>
        </w:rPr>
        <w:t xml:space="preserve"> </w:t>
      </w:r>
    </w:p>
    <w:p w:rsidR="003913E3" w:rsidRPr="003B4B9C" w:rsidRDefault="003913E3" w:rsidP="00F839CE">
      <w:pPr>
        <w:pStyle w:val="Corpsdetexte"/>
        <w:spacing w:line="360" w:lineRule="auto"/>
        <w:rPr>
          <w:rFonts w:ascii="Arial" w:hAnsi="Arial" w:cs="Arial"/>
          <w:sz w:val="24"/>
          <w:szCs w:val="24"/>
        </w:rPr>
      </w:pPr>
    </w:p>
    <w:p w:rsidR="003913E3" w:rsidRPr="00311FCA" w:rsidRDefault="003913E3" w:rsidP="00654233">
      <w:pPr>
        <w:pStyle w:val="Corpsdetexte"/>
        <w:numPr>
          <w:ilvl w:val="1"/>
          <w:numId w:val="40"/>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DD3AF5" w:rsidRDefault="00DD3AF5" w:rsidP="00DD3AF5">
      <w:pPr>
        <w:pStyle w:val="Corpsdetexte"/>
        <w:tabs>
          <w:tab w:val="clear" w:pos="0"/>
          <w:tab w:val="clear" w:pos="708"/>
          <w:tab w:val="left" w:pos="709"/>
        </w:tabs>
        <w:spacing w:line="360" w:lineRule="auto"/>
        <w:rPr>
          <w:rFonts w:ascii="Arial" w:hAnsi="Arial" w:cs="Arial"/>
          <w:sz w:val="24"/>
          <w:szCs w:val="24"/>
        </w:rPr>
      </w:pPr>
    </w:p>
    <w:p w:rsidR="00E77D52" w:rsidRPr="00E77D52" w:rsidRDefault="00E77D52" w:rsidP="00E77D52">
      <w:pPr>
        <w:pStyle w:val="Paragraphedeliste"/>
        <w:numPr>
          <w:ilvl w:val="0"/>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aragraphedeliste"/>
        <w:numPr>
          <w:ilvl w:val="0"/>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aragraphedeliste"/>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aragraphedeliste"/>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aragraphedeliste"/>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aragraphedeliste"/>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4453AC" w:rsidRPr="00907C22" w:rsidRDefault="004453AC" w:rsidP="004453AC">
      <w:pPr>
        <w:pStyle w:val="Corpsdetexte"/>
        <w:numPr>
          <w:ilvl w:val="2"/>
          <w:numId w:val="4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907C22">
        <w:rPr>
          <w:rFonts w:ascii="Arial" w:hAnsi="Arial" w:cs="Arial"/>
          <w:sz w:val="24"/>
          <w:szCs w:val="24"/>
        </w:rPr>
        <w:t>Las sub-reglas de análisis en la procedibilidad frente a decisiones judiciales</w:t>
      </w:r>
    </w:p>
    <w:p w:rsidR="004453AC" w:rsidRPr="00E649FA" w:rsidRDefault="004453AC" w:rsidP="004453AC">
      <w:pPr>
        <w:pStyle w:val="Corpsdetexte"/>
        <w:spacing w:line="360" w:lineRule="auto"/>
        <w:rPr>
          <w:rFonts w:ascii="Arial" w:hAnsi="Arial" w:cs="Arial"/>
          <w:szCs w:val="24"/>
        </w:rPr>
      </w:pPr>
    </w:p>
    <w:p w:rsidR="00B26398" w:rsidRPr="00B26398" w:rsidRDefault="00B26398" w:rsidP="00B263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B26398">
        <w:rPr>
          <w:rFonts w:ascii="Arial" w:hAnsi="Arial" w:cs="Arial"/>
          <w:spacing w:val="-3"/>
          <w:lang w:val="es-ES_tradnl"/>
        </w:rPr>
        <w:t xml:space="preserve">Desde la  sentencia  C-543 </w:t>
      </w:r>
      <w:r w:rsidRPr="00B26398">
        <w:rPr>
          <w:rFonts w:ascii="Verdana" w:hAnsi="Verdana" w:cs="Times New Roman"/>
          <w:spacing w:val="-3"/>
          <w:szCs w:val="20"/>
          <w:lang w:val="es-ES_tradnl"/>
        </w:rPr>
        <w:t xml:space="preserve"> </w:t>
      </w:r>
      <w:r w:rsidRPr="00B26398">
        <w:rPr>
          <w:rFonts w:ascii="Arial" w:hAnsi="Arial"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B26398">
        <w:rPr>
          <w:rFonts w:ascii="Arial" w:hAnsi="Arial" w:cs="Arial"/>
          <w:spacing w:val="-3"/>
          <w:vertAlign w:val="superscript"/>
          <w:lang w:val="es-ES_tradnl"/>
        </w:rPr>
        <w:footnoteReference w:id="1"/>
      </w:r>
      <w:r w:rsidRPr="00B26398">
        <w:rPr>
          <w:rFonts w:ascii="Arial" w:hAnsi="Arial"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B26398">
        <w:rPr>
          <w:rFonts w:ascii="Arial" w:hAnsi="Arial" w:cs="Arial"/>
          <w:spacing w:val="-3"/>
          <w:lang w:val="es-ES_tradnl"/>
        </w:rPr>
        <w:t>Natale</w:t>
      </w:r>
      <w:proofErr w:type="spellEnd"/>
      <w:r w:rsidRPr="00B26398">
        <w:rPr>
          <w:rFonts w:ascii="Arial" w:hAnsi="Arial" w:cs="Times New Roman"/>
          <w:spacing w:val="-3"/>
          <w:vertAlign w:val="superscript"/>
          <w:lang w:val="es-ES_tradnl"/>
        </w:rPr>
        <w:footnoteReference w:id="2"/>
      </w:r>
      <w:r w:rsidRPr="00B26398">
        <w:rPr>
          <w:rFonts w:ascii="Arial" w:hAnsi="Arial" w:cs="Arial"/>
          <w:spacing w:val="-3"/>
          <w:lang w:val="es-ES_tradnl"/>
        </w:rPr>
        <w:t>.</w:t>
      </w:r>
    </w:p>
    <w:p w:rsidR="00B26398" w:rsidRPr="00B26398" w:rsidRDefault="00B26398" w:rsidP="00B263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B26398">
        <w:rPr>
          <w:rFonts w:ascii="Arial" w:hAnsi="Arial" w:cs="Arial"/>
          <w:spacing w:val="-3"/>
          <w:lang w:val="es-ES_tradnl"/>
        </w:rPr>
        <w:lastRenderedPageBreak/>
        <w:t xml:space="preserve">Ahora,  en  frente  del  examen que se reclama en sede constitucional, resulta de mayúscula trascendencia, precisar que </w:t>
      </w:r>
      <w:r w:rsidRPr="00B26398">
        <w:rPr>
          <w:rFonts w:ascii="Arial" w:hAnsi="Arial" w:cs="Arial"/>
          <w:spacing w:val="-3"/>
          <w:u w:val="single"/>
          <w:lang w:val="es-ES_tradnl"/>
        </w:rPr>
        <w:t>se trata de un juicio de validez y no de corrección</w:t>
      </w:r>
      <w:r w:rsidRPr="00B26398">
        <w:rPr>
          <w:rFonts w:ascii="Arial" w:hAnsi="Arial"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26398">
        <w:rPr>
          <w:rFonts w:ascii="Arial" w:hAnsi="Arial" w:cs="Arial"/>
          <w:spacing w:val="-3"/>
          <w:vertAlign w:val="superscript"/>
          <w:lang w:val="es-ES_tradnl"/>
        </w:rPr>
        <w:footnoteReference w:id="3"/>
      </w:r>
      <w:r w:rsidRPr="00B26398">
        <w:rPr>
          <w:rFonts w:ascii="Arial" w:hAnsi="Arial" w:cs="Arial"/>
          <w:spacing w:val="-3"/>
          <w:lang w:val="es-ES_tradnl"/>
        </w:rPr>
        <w:t>.</w:t>
      </w:r>
    </w:p>
    <w:p w:rsidR="00B26398" w:rsidRPr="00B26398" w:rsidRDefault="00B26398" w:rsidP="00B263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B26398" w:rsidRPr="00B26398" w:rsidRDefault="00B26398" w:rsidP="00B263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B26398">
        <w:rPr>
          <w:rFonts w:ascii="Arial" w:hAnsi="Arial" w:cs="Arial"/>
          <w:spacing w:val="-3"/>
          <w:lang w:val="es-ES_tradnl"/>
        </w:rPr>
        <w:t>Los requisitos generales de procedibilidad, explicados en amplitud en la sentencia C-590 de 2005</w:t>
      </w:r>
      <w:r w:rsidRPr="00B26398">
        <w:rPr>
          <w:rFonts w:ascii="Arial" w:hAnsi="Arial" w:cs="Arial"/>
          <w:spacing w:val="-3"/>
          <w:vertAlign w:val="superscript"/>
          <w:lang w:val="es-ES_tradnl"/>
        </w:rPr>
        <w:footnoteReference w:id="4"/>
      </w:r>
      <w:r w:rsidRPr="00B26398">
        <w:rPr>
          <w:rFonts w:ascii="Arial" w:hAnsi="Arial" w:cs="Arial"/>
          <w:spacing w:val="-3"/>
          <w:lang w:val="es-ES_tradnl"/>
        </w:rPr>
        <w:t xml:space="preserve"> y reiterados en la consolidada línea jurisprudencial de la Corte Constitucional</w:t>
      </w:r>
      <w:r w:rsidRPr="00B26398">
        <w:rPr>
          <w:rFonts w:ascii="Arial" w:hAnsi="Arial" w:cs="Arial"/>
          <w:spacing w:val="-3"/>
          <w:vertAlign w:val="superscript"/>
          <w:lang w:val="es-ES_tradnl"/>
        </w:rPr>
        <w:footnoteReference w:id="5"/>
      </w:r>
      <w:r w:rsidRPr="00B26398">
        <w:rPr>
          <w:rFonts w:ascii="Arial" w:hAnsi="Arial" w:cs="Arial"/>
          <w:spacing w:val="-3"/>
          <w:lang w:val="es-ES_tradnl"/>
        </w:rPr>
        <w:t xml:space="preserve"> (2016) son: (i) Que el asunto sea de relevancia constitucional; (ii) Que se hayan agotado los medios ordinarios y extraordinarios de defensa judicial al alcance del afectado; (iii) Que </w:t>
      </w:r>
      <w:proofErr w:type="gramStart"/>
      <w:r w:rsidRPr="00B26398">
        <w:rPr>
          <w:rFonts w:ascii="Arial" w:hAnsi="Arial" w:cs="Arial"/>
          <w:spacing w:val="-3"/>
          <w:lang w:val="es-ES_tradnl"/>
        </w:rPr>
        <w:t>se</w:t>
      </w:r>
      <w:proofErr w:type="gramEnd"/>
      <w:r w:rsidRPr="00B26398">
        <w:rPr>
          <w:rFonts w:ascii="Arial" w:hAnsi="Arial" w:cs="Arial"/>
          <w:spacing w:val="-3"/>
          <w:lang w:val="es-ES_tradnl"/>
        </w:rPr>
        <w:t xml:space="preserv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B26398">
        <w:rPr>
          <w:rFonts w:ascii="Arial" w:hAnsi="Arial" w:cs="Times New Roman"/>
          <w:spacing w:val="-3"/>
          <w:vertAlign w:val="superscript"/>
          <w:lang w:val="es-ES_tradnl"/>
        </w:rPr>
        <w:footnoteReference w:id="6"/>
      </w:r>
      <w:r w:rsidRPr="00B26398">
        <w:rPr>
          <w:rFonts w:ascii="Arial" w:hAnsi="Arial" w:cs="Arial"/>
          <w:spacing w:val="-3"/>
          <w:lang w:val="es-ES_tradnl"/>
        </w:rPr>
        <w:t>.</w:t>
      </w:r>
    </w:p>
    <w:p w:rsidR="00B26398" w:rsidRPr="00B26398" w:rsidRDefault="00B26398" w:rsidP="00B263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B26398" w:rsidRPr="00B26398" w:rsidRDefault="00B26398" w:rsidP="00B263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B26398">
        <w:rPr>
          <w:rFonts w:ascii="Arial" w:hAnsi="Arial"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B26398">
        <w:rPr>
          <w:rFonts w:ascii="Arial" w:hAnsi="Arial" w:cs="Arial"/>
          <w:spacing w:val="-3"/>
          <w:vertAlign w:val="superscript"/>
          <w:lang w:val="es-ES_tradnl"/>
        </w:rPr>
        <w:footnoteReference w:id="7"/>
      </w:r>
      <w:r w:rsidRPr="00B26398">
        <w:rPr>
          <w:rFonts w:ascii="Arial" w:hAnsi="Arial" w:cs="Arial"/>
          <w:spacing w:val="-3"/>
          <w:lang w:val="es-ES_tradnl"/>
        </w:rPr>
        <w:t xml:space="preserve"> y Quinche Ramírez</w:t>
      </w:r>
      <w:r w:rsidRPr="00B26398">
        <w:rPr>
          <w:rFonts w:ascii="Arial" w:hAnsi="Arial" w:cs="Arial"/>
          <w:spacing w:val="-3"/>
          <w:vertAlign w:val="superscript"/>
          <w:lang w:val="es-ES_tradnl"/>
        </w:rPr>
        <w:footnoteReference w:id="8"/>
      </w:r>
      <w:r w:rsidRPr="00B26398">
        <w:rPr>
          <w:rFonts w:ascii="Arial" w:hAnsi="Arial" w:cs="Arial"/>
          <w:spacing w:val="-3"/>
          <w:lang w:val="es-ES_tradnl"/>
        </w:rPr>
        <w:t>.</w:t>
      </w:r>
    </w:p>
    <w:p w:rsidR="008C50CD" w:rsidRPr="0000148D" w:rsidRDefault="008C50CD" w:rsidP="008C50CD">
      <w:pPr>
        <w:pStyle w:val="Corpsdetexte"/>
        <w:spacing w:line="360" w:lineRule="auto"/>
        <w:rPr>
          <w:rFonts w:ascii="Arial" w:hAnsi="Arial" w:cs="Arial"/>
          <w:sz w:val="22"/>
        </w:rPr>
      </w:pPr>
    </w:p>
    <w:p w:rsidR="00E549C9" w:rsidRPr="004453AC" w:rsidRDefault="00E549C9" w:rsidP="004453AC">
      <w:pPr>
        <w:pStyle w:val="Paragraphedeliste"/>
        <w:widowControl w:val="0"/>
        <w:numPr>
          <w:ilvl w:val="2"/>
          <w:numId w:val="40"/>
        </w:numPr>
        <w:autoSpaceDE w:val="0"/>
        <w:autoSpaceDN w:val="0"/>
        <w:adjustRightInd w:val="0"/>
        <w:spacing w:after="0" w:line="360" w:lineRule="auto"/>
        <w:ind w:right="51"/>
        <w:contextualSpacing w:val="0"/>
        <w:jc w:val="both"/>
        <w:rPr>
          <w:rFonts w:ascii="Arial" w:hAnsi="Arial"/>
          <w:sz w:val="24"/>
          <w:lang w:val="es-ES_tradnl"/>
        </w:rPr>
      </w:pPr>
      <w:r w:rsidRPr="004453AC">
        <w:rPr>
          <w:rFonts w:ascii="Arial" w:hAnsi="Arial" w:cs="Arial"/>
          <w:sz w:val="24"/>
        </w:rPr>
        <w:t xml:space="preserve">El defecto fáctico </w:t>
      </w:r>
    </w:p>
    <w:p w:rsidR="00E549C9" w:rsidRPr="009A45FF" w:rsidRDefault="00E549C9" w:rsidP="00E549C9">
      <w:pPr>
        <w:spacing w:line="360" w:lineRule="auto"/>
        <w:ind w:right="51"/>
        <w:jc w:val="both"/>
        <w:rPr>
          <w:rFonts w:ascii="Arial" w:hAnsi="Arial" w:cs="Arial"/>
          <w:sz w:val="20"/>
        </w:rPr>
      </w:pPr>
    </w:p>
    <w:p w:rsidR="00E549C9" w:rsidRDefault="00E549C9" w:rsidP="00E549C9">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 w:val="22"/>
          <w:szCs w:val="22"/>
        </w:rPr>
      </w:pPr>
      <w:r w:rsidRPr="00744633">
        <w:rPr>
          <w:rFonts w:ascii="Arial" w:hAnsi="Arial" w:cs="Arial"/>
          <w:szCs w:val="22"/>
        </w:rPr>
        <w:t xml:space="preserve">Debe indicarse que </w:t>
      </w:r>
      <w:r>
        <w:rPr>
          <w:rFonts w:ascii="Arial" w:hAnsi="Arial" w:cs="Arial"/>
          <w:szCs w:val="22"/>
        </w:rPr>
        <w:t>la</w:t>
      </w:r>
      <w:r w:rsidRPr="00744633">
        <w:rPr>
          <w:rFonts w:ascii="Arial" w:hAnsi="Arial" w:cs="Arial"/>
          <w:szCs w:val="22"/>
        </w:rPr>
        <w:t xml:space="preserve"> doctrina constitucional</w:t>
      </w:r>
      <w:r w:rsidRPr="00744633">
        <w:rPr>
          <w:rStyle w:val="Appelnotedebasdep"/>
          <w:rFonts w:ascii="Arial" w:hAnsi="Arial"/>
          <w:szCs w:val="22"/>
        </w:rPr>
        <w:footnoteReference w:id="9"/>
      </w:r>
      <w:r>
        <w:rPr>
          <w:rFonts w:ascii="Arial" w:hAnsi="Arial" w:cs="Arial"/>
          <w:szCs w:val="22"/>
        </w:rPr>
        <w:t xml:space="preserve"> </w:t>
      </w:r>
      <w:r w:rsidRPr="00744633">
        <w:rPr>
          <w:rFonts w:ascii="Arial" w:hAnsi="Arial" w:cs="Arial"/>
          <w:szCs w:val="22"/>
        </w:rPr>
        <w:t xml:space="preserve">sobre las causales de procedibilidad (vías de hecho) </w:t>
      </w:r>
      <w:r>
        <w:rPr>
          <w:rFonts w:ascii="Arial" w:hAnsi="Arial" w:cs="Arial"/>
          <w:szCs w:val="22"/>
        </w:rPr>
        <w:t xml:space="preserve">ha </w:t>
      </w:r>
      <w:r w:rsidRPr="00744633">
        <w:rPr>
          <w:rFonts w:ascii="Arial" w:hAnsi="Arial" w:cs="Arial"/>
          <w:szCs w:val="22"/>
        </w:rPr>
        <w:t xml:space="preserve">decantado </w:t>
      </w:r>
      <w:r>
        <w:rPr>
          <w:rFonts w:ascii="Arial" w:hAnsi="Arial" w:cs="Arial"/>
          <w:szCs w:val="22"/>
        </w:rPr>
        <w:t xml:space="preserve">que: </w:t>
      </w:r>
      <w:r w:rsidRPr="00744633">
        <w:rPr>
          <w:rFonts w:ascii="Arial" w:hAnsi="Arial"/>
          <w:szCs w:val="22"/>
          <w:lang w:val="es-ES_tradnl"/>
        </w:rPr>
        <w:t>“</w:t>
      </w:r>
      <w:r w:rsidRPr="00744633">
        <w:rPr>
          <w:rFonts w:ascii="Arial" w:hAnsi="Arial"/>
          <w:i/>
          <w:sz w:val="22"/>
          <w:szCs w:val="22"/>
          <w:lang w:val="es-ES_tradnl"/>
        </w:rPr>
        <w:t>(…)</w:t>
      </w:r>
      <w:r w:rsidRPr="00744633">
        <w:rPr>
          <w:rFonts w:ascii="Arial" w:hAnsi="Arial"/>
          <w:i/>
          <w:szCs w:val="22"/>
          <w:lang w:val="es-ES_tradnl"/>
        </w:rPr>
        <w:t xml:space="preserve"> </w:t>
      </w:r>
      <w:r w:rsidRPr="00744633">
        <w:rPr>
          <w:rFonts w:ascii="Arial" w:hAnsi="Arial"/>
          <w:i/>
          <w:sz w:val="22"/>
          <w:szCs w:val="20"/>
          <w:lang w:val="es-ES_tradnl"/>
        </w:rPr>
        <w:t xml:space="preserve">ocurre cuando resulta </w:t>
      </w:r>
      <w:r w:rsidRPr="00744633">
        <w:rPr>
          <w:rFonts w:ascii="Arial" w:hAnsi="Arial"/>
          <w:i/>
          <w:sz w:val="22"/>
          <w:szCs w:val="20"/>
          <w:u w:val="single"/>
          <w:lang w:val="es-ES_tradnl"/>
        </w:rPr>
        <w:t>indudable</w:t>
      </w:r>
      <w:r w:rsidRPr="00744633">
        <w:rPr>
          <w:rFonts w:ascii="Arial" w:hAnsi="Arial"/>
          <w:i/>
          <w:sz w:val="22"/>
          <w:szCs w:val="20"/>
          <w:lang w:val="es-ES_tradnl"/>
        </w:rPr>
        <w:t xml:space="preserve"> que el juez carece de sustento probatorio suficiente para proceder a aplicar el supuesto legal en el que se sustenta la decisión.</w:t>
      </w:r>
      <w:r w:rsidRPr="00744633">
        <w:rPr>
          <w:rFonts w:ascii="Arial" w:hAnsi="Arial"/>
          <w:sz w:val="22"/>
          <w:szCs w:val="20"/>
          <w:lang w:val="es-ES_tradnl"/>
        </w:rPr>
        <w:t xml:space="preserve">” </w:t>
      </w:r>
      <w:r w:rsidRPr="00CB4081">
        <w:rPr>
          <w:rFonts w:ascii="Arial" w:hAnsi="Arial"/>
          <w:szCs w:val="20"/>
          <w:lang w:val="es-ES_tradnl"/>
        </w:rPr>
        <w:t>(</w:t>
      </w:r>
      <w:proofErr w:type="spellStart"/>
      <w:r w:rsidRPr="00CB4081">
        <w:rPr>
          <w:rFonts w:ascii="Arial" w:hAnsi="Arial"/>
          <w:szCs w:val="20"/>
          <w:lang w:val="es-ES_tradnl"/>
        </w:rPr>
        <w:t>Sublínea</w:t>
      </w:r>
      <w:proofErr w:type="spellEnd"/>
      <w:r w:rsidRPr="00CB4081">
        <w:rPr>
          <w:rFonts w:ascii="Arial" w:hAnsi="Arial"/>
          <w:szCs w:val="20"/>
          <w:lang w:val="es-ES_tradnl"/>
        </w:rPr>
        <w:t xml:space="preserve"> ajena al texto original),</w:t>
      </w:r>
      <w:r w:rsidRPr="00744633">
        <w:rPr>
          <w:rFonts w:ascii="Arial" w:hAnsi="Arial"/>
          <w:sz w:val="22"/>
          <w:szCs w:val="20"/>
          <w:lang w:val="es-ES_tradnl"/>
        </w:rPr>
        <w:t xml:space="preserve"> </w:t>
      </w:r>
      <w:r w:rsidRPr="00744633">
        <w:rPr>
          <w:rFonts w:ascii="Arial" w:hAnsi="Arial"/>
          <w:szCs w:val="20"/>
          <w:lang w:val="es-ES_tradnl"/>
        </w:rPr>
        <w:t>luego en otra decisión posterior se precisó</w:t>
      </w:r>
      <w:r w:rsidRPr="00744633">
        <w:rPr>
          <w:rStyle w:val="Appelnotedebasdep"/>
          <w:rFonts w:ascii="Arial" w:hAnsi="Arial"/>
          <w:sz w:val="22"/>
          <w:szCs w:val="20"/>
          <w:lang w:val="es-ES_tradnl"/>
        </w:rPr>
        <w:footnoteReference w:id="10"/>
      </w:r>
      <w:r w:rsidRPr="00744633">
        <w:rPr>
          <w:rFonts w:ascii="Arial" w:hAnsi="Arial" w:cs="Arial"/>
          <w:szCs w:val="22"/>
        </w:rPr>
        <w:t>:</w:t>
      </w:r>
    </w:p>
    <w:p w:rsidR="00E549C9" w:rsidRPr="009A45FF" w:rsidRDefault="00E549C9" w:rsidP="00E549C9">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ind w:left="567"/>
        <w:jc w:val="both"/>
        <w:textAlignment w:val="baseline"/>
        <w:rPr>
          <w:rFonts w:ascii="Arial" w:hAnsi="Arial" w:cs="Arial"/>
          <w:sz w:val="20"/>
          <w:szCs w:val="22"/>
        </w:rPr>
      </w:pPr>
    </w:p>
    <w:p w:rsidR="00E549C9" w:rsidRPr="00FA2FC1" w:rsidRDefault="00E549C9" w:rsidP="00E549C9">
      <w:pPr>
        <w:ind w:left="567" w:right="567"/>
        <w:jc w:val="both"/>
        <w:rPr>
          <w:rFonts w:ascii="Arial" w:hAnsi="Arial"/>
          <w:szCs w:val="22"/>
          <w:lang w:val="es-ES_tradnl"/>
        </w:rPr>
      </w:pPr>
      <w:r w:rsidRPr="00FA2FC1">
        <w:rPr>
          <w:rFonts w:ascii="Arial" w:hAnsi="Arial"/>
          <w:szCs w:val="22"/>
          <w:lang w:val="es-ES_tradnl"/>
        </w:rPr>
        <w:t>Ahora bien, para mayor ilustración se tiene que en la valoración de las pruebas puede ocurrir: “</w:t>
      </w:r>
      <w:r w:rsidRPr="00FA2FC1">
        <w:rPr>
          <w:rFonts w:ascii="Arial" w:hAnsi="Arial"/>
          <w:szCs w:val="22"/>
          <w:u w:val="single"/>
          <w:lang w:val="es-ES_tradnl"/>
        </w:rPr>
        <w:t>defecto fáctico por omisión en el decreto y práctica de pruebas</w:t>
      </w:r>
      <w:r w:rsidRPr="00FA2FC1">
        <w:rPr>
          <w:rFonts w:ascii="Arial" w:hAnsi="Arial"/>
          <w:szCs w:val="22"/>
          <w:lang w:val="es-ES_tradnl"/>
        </w:rPr>
        <w:t xml:space="preserve">: se presenta cuando el funcionario judicial omite el decreto y la práctica de pruebas, lo cual tiene como consecuencia impedir la debida </w:t>
      </w:r>
      <w:r w:rsidRPr="00FA2FC1">
        <w:rPr>
          <w:rFonts w:ascii="Arial" w:hAnsi="Arial"/>
          <w:szCs w:val="22"/>
          <w:lang w:val="es-ES_tradnl"/>
        </w:rPr>
        <w:lastRenderedPageBreak/>
        <w:t>conducción al proceso de ciertos hechos que resultan indispensables para la solución del asunto jurídico debatido.</w:t>
      </w:r>
    </w:p>
    <w:p w:rsidR="00E549C9" w:rsidRPr="00FA2FC1" w:rsidRDefault="00E549C9" w:rsidP="00E549C9">
      <w:pPr>
        <w:ind w:left="567" w:right="567"/>
        <w:jc w:val="both"/>
        <w:rPr>
          <w:rFonts w:ascii="Arial" w:hAnsi="Arial"/>
          <w:szCs w:val="22"/>
          <w:lang w:val="es-ES_tradnl"/>
        </w:rPr>
      </w:pPr>
    </w:p>
    <w:p w:rsidR="00E549C9" w:rsidRPr="00FA2FC1" w:rsidRDefault="00E549C9" w:rsidP="00E549C9">
      <w:pPr>
        <w:ind w:left="567" w:right="567"/>
        <w:jc w:val="both"/>
        <w:rPr>
          <w:rFonts w:ascii="Arial" w:hAnsi="Arial"/>
          <w:szCs w:val="22"/>
          <w:lang w:val="es-ES_tradnl"/>
        </w:rPr>
      </w:pPr>
      <w:r w:rsidRPr="00FA2FC1">
        <w:rPr>
          <w:rFonts w:ascii="Arial" w:hAnsi="Arial"/>
          <w:szCs w:val="22"/>
          <w:u w:val="single"/>
          <w:lang w:val="es-ES_tradnl"/>
        </w:rPr>
        <w:t xml:space="preserve">Defecto fáctico por la no valoración del acervo probatorio: </w:t>
      </w:r>
      <w:r w:rsidRPr="00FA2FC1">
        <w:rPr>
          <w:rFonts w:ascii="Arial" w:hAnsi="Arial"/>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E549C9" w:rsidRPr="00FA2FC1" w:rsidRDefault="00E549C9" w:rsidP="00E549C9">
      <w:pPr>
        <w:ind w:left="567" w:right="567"/>
        <w:jc w:val="both"/>
        <w:rPr>
          <w:rFonts w:ascii="Arial" w:hAnsi="Arial"/>
          <w:szCs w:val="22"/>
          <w:lang w:val="es-ES_tradnl"/>
        </w:rPr>
      </w:pPr>
    </w:p>
    <w:p w:rsidR="00E549C9" w:rsidRDefault="00E549C9" w:rsidP="00E549C9">
      <w:pPr>
        <w:ind w:left="567" w:right="567"/>
        <w:jc w:val="both"/>
        <w:rPr>
          <w:rFonts w:ascii="Arial" w:hAnsi="Arial"/>
          <w:szCs w:val="22"/>
          <w:lang w:val="es-ES_tradnl"/>
        </w:rPr>
      </w:pPr>
      <w:r w:rsidRPr="00FA2FC1">
        <w:rPr>
          <w:rFonts w:ascii="Arial" w:hAnsi="Arial"/>
          <w:szCs w:val="22"/>
          <w:u w:val="single"/>
          <w:lang w:val="es-ES_tradnl"/>
        </w:rPr>
        <w:t>Defecto fáctico por valoración defectuosa del material probatorio:</w:t>
      </w:r>
      <w:r w:rsidRPr="00FA2FC1">
        <w:rPr>
          <w:rFonts w:ascii="Arial" w:hAnsi="Arial"/>
          <w:szCs w:val="22"/>
          <w:lang w:val="es-ES_tradnl"/>
        </w:rPr>
        <w:t xml:space="preserve">1) el funcionario judicial, en contra de la evidencia probatoria, decide separarse por completo de los hechos, </w:t>
      </w:r>
      <w:r w:rsidRPr="00882F5A">
        <w:rPr>
          <w:rFonts w:ascii="Arial" w:hAnsi="Arial"/>
          <w:szCs w:val="22"/>
          <w:u w:val="single"/>
          <w:lang w:val="es-ES_tradnl"/>
        </w:rPr>
        <w:t>debidamente probados</w:t>
      </w:r>
      <w:r w:rsidRPr="00FA2FC1">
        <w:rPr>
          <w:rFonts w:ascii="Arial" w:hAnsi="Arial"/>
          <w:szCs w:val="22"/>
          <w:lang w:val="es-ES_tradnl"/>
        </w:rPr>
        <w:t xml:space="preserve"> y resolver a su arbitrio el asunto jurídico debatido.2) cuando a pesar de existir pruebas ilícitas no se abstiene de excluirlas y con base en ellas fundamenta la decisión respectiva. </w:t>
      </w:r>
      <w:r w:rsidRPr="00FA2FC1">
        <w:rPr>
          <w:rFonts w:ascii="Arial" w:hAnsi="Arial"/>
          <w:i/>
          <w:szCs w:val="22"/>
          <w:lang w:val="es-ES_tradnl"/>
        </w:rPr>
        <w:t xml:space="preserve">  </w:t>
      </w:r>
      <w:r w:rsidRPr="00FA2FC1">
        <w:rPr>
          <w:rFonts w:ascii="Arial" w:hAnsi="Arial"/>
          <w:szCs w:val="22"/>
          <w:lang w:val="es-ES_tradnl"/>
        </w:rPr>
        <w:t>El resaltado es de este Tribunal.</w:t>
      </w:r>
    </w:p>
    <w:p w:rsidR="00B26398" w:rsidRDefault="00B26398" w:rsidP="00754CC0">
      <w:pPr>
        <w:spacing w:line="480" w:lineRule="auto"/>
        <w:ind w:left="567" w:right="567"/>
        <w:jc w:val="both"/>
        <w:rPr>
          <w:rFonts w:ascii="Arial" w:hAnsi="Arial"/>
          <w:szCs w:val="22"/>
          <w:lang w:val="es-ES_tradnl"/>
        </w:rPr>
      </w:pPr>
    </w:p>
    <w:p w:rsidR="00283803" w:rsidRPr="00283803" w:rsidRDefault="00283803" w:rsidP="00283803">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283803">
        <w:rPr>
          <w:rFonts w:ascii="Arial" w:hAnsi="Arial" w:cs="Arial"/>
          <w:sz w:val="24"/>
          <w:szCs w:val="24"/>
        </w:rPr>
        <w:t>EL CASO CONCRETO QUE SE ANALIZA</w:t>
      </w:r>
    </w:p>
    <w:p w:rsidR="00B73E96" w:rsidRDefault="00B73E96" w:rsidP="00FD768F">
      <w:pPr>
        <w:spacing w:line="360" w:lineRule="auto"/>
        <w:jc w:val="both"/>
        <w:rPr>
          <w:rFonts w:ascii="Arial" w:hAnsi="Arial" w:cs="Arial"/>
          <w:lang w:val="es-ES_tradnl"/>
        </w:rPr>
      </w:pPr>
    </w:p>
    <w:p w:rsidR="004453AC" w:rsidRDefault="004453AC" w:rsidP="003E26F1">
      <w:pPr>
        <w:spacing w:line="360" w:lineRule="auto"/>
        <w:ind w:right="51"/>
        <w:jc w:val="both"/>
        <w:rPr>
          <w:rFonts w:ascii="Arial" w:hAnsi="Arial"/>
        </w:rPr>
      </w:pPr>
      <w:r w:rsidRPr="00811889">
        <w:rPr>
          <w:rFonts w:ascii="Arial" w:hAnsi="Arial"/>
        </w:rPr>
        <w:t xml:space="preserve">Se advierte que están cumplidos </w:t>
      </w:r>
      <w:r>
        <w:rPr>
          <w:rFonts w:ascii="Arial" w:hAnsi="Arial"/>
        </w:rPr>
        <w:t xml:space="preserve">los </w:t>
      </w:r>
      <w:r w:rsidRPr="00811889">
        <w:rPr>
          <w:rFonts w:ascii="Arial" w:hAnsi="Arial"/>
        </w:rPr>
        <w:t xml:space="preserve">presupuestos generales de procedibilidad.  En efecto, se tiene que en tratándose del derecho al debido proceso, es evidente que tiene relevancia constitucional; la subsidiariedad, porque la decisión cuestionada es irrecurrible; no se trata de una </w:t>
      </w:r>
      <w:r>
        <w:rPr>
          <w:rFonts w:ascii="Arial" w:hAnsi="Arial"/>
        </w:rPr>
        <w:t xml:space="preserve">sentencia de </w:t>
      </w:r>
      <w:r w:rsidRPr="00811889">
        <w:rPr>
          <w:rFonts w:ascii="Arial" w:hAnsi="Arial"/>
        </w:rPr>
        <w:t xml:space="preserve">tutela; hay inmediatez porque la </w:t>
      </w:r>
      <w:r w:rsidR="003E26F1">
        <w:rPr>
          <w:rFonts w:ascii="Arial" w:hAnsi="Arial"/>
        </w:rPr>
        <w:t>sentencia</w:t>
      </w:r>
      <w:r w:rsidRPr="00811889">
        <w:rPr>
          <w:rFonts w:ascii="Arial" w:hAnsi="Arial"/>
        </w:rPr>
        <w:t xml:space="preserve"> </w:t>
      </w:r>
      <w:r w:rsidR="003E26F1">
        <w:rPr>
          <w:rFonts w:ascii="Arial" w:hAnsi="Arial"/>
        </w:rPr>
        <w:t xml:space="preserve">cuestionada data del 29-06-2016 y la acción se presentó el 19-10-2016 </w:t>
      </w:r>
      <w:r>
        <w:rPr>
          <w:rFonts w:ascii="Arial" w:hAnsi="Arial"/>
        </w:rPr>
        <w:t xml:space="preserve">(Folios </w:t>
      </w:r>
      <w:r w:rsidR="003E26F1">
        <w:rPr>
          <w:rFonts w:ascii="Arial" w:hAnsi="Arial"/>
        </w:rPr>
        <w:t>41 y 52</w:t>
      </w:r>
      <w:r>
        <w:rPr>
          <w:rFonts w:ascii="Arial" w:hAnsi="Arial"/>
        </w:rPr>
        <w:t>, ib.)</w:t>
      </w:r>
      <w:r w:rsidRPr="00811889">
        <w:rPr>
          <w:rFonts w:ascii="Arial" w:hAnsi="Arial"/>
        </w:rPr>
        <w:t>;</w:t>
      </w:r>
      <w:r w:rsidR="003E26F1">
        <w:rPr>
          <w:rFonts w:ascii="Arial" w:hAnsi="Arial"/>
          <w:szCs w:val="22"/>
          <w:lang w:val="es-ES_tradnl"/>
        </w:rPr>
        <w:t xml:space="preserve"> la irregularidad realzada por la parte, es trascendente para el desarrollo de la </w:t>
      </w:r>
      <w:proofErr w:type="spellStart"/>
      <w:r w:rsidR="003E26F1">
        <w:rPr>
          <w:rFonts w:ascii="Arial" w:hAnsi="Arial"/>
          <w:szCs w:val="22"/>
          <w:lang w:val="es-ES_tradnl"/>
        </w:rPr>
        <w:t>litis</w:t>
      </w:r>
      <w:proofErr w:type="spellEnd"/>
      <w:r w:rsidRPr="00811889">
        <w:rPr>
          <w:rFonts w:ascii="Arial" w:hAnsi="Arial"/>
        </w:rPr>
        <w:t xml:space="preserve">; y en lo tocante a la identificación del defecto, se tiene que la parte accionante se duele </w:t>
      </w:r>
      <w:r>
        <w:rPr>
          <w:rFonts w:ascii="Arial" w:hAnsi="Arial"/>
        </w:rPr>
        <w:t xml:space="preserve">de </w:t>
      </w:r>
      <w:r w:rsidR="003E26F1">
        <w:rPr>
          <w:rFonts w:ascii="Arial" w:hAnsi="Arial"/>
        </w:rPr>
        <w:t xml:space="preserve">la </w:t>
      </w:r>
      <w:r w:rsidRPr="00811889">
        <w:rPr>
          <w:rFonts w:ascii="Arial" w:hAnsi="Arial"/>
        </w:rPr>
        <w:t xml:space="preserve">valoración </w:t>
      </w:r>
      <w:r w:rsidR="003E26F1">
        <w:rPr>
          <w:rFonts w:ascii="Arial" w:hAnsi="Arial"/>
        </w:rPr>
        <w:t xml:space="preserve">defectuosa </w:t>
      </w:r>
      <w:r w:rsidRPr="00811889">
        <w:rPr>
          <w:rFonts w:ascii="Arial" w:hAnsi="Arial"/>
        </w:rPr>
        <w:t>de las pruebas</w:t>
      </w:r>
      <w:r>
        <w:rPr>
          <w:rFonts w:ascii="Arial" w:hAnsi="Arial"/>
        </w:rPr>
        <w:t xml:space="preserve">, que repercutió en </w:t>
      </w:r>
      <w:r w:rsidR="003E26F1">
        <w:rPr>
          <w:rFonts w:ascii="Arial" w:hAnsi="Arial"/>
        </w:rPr>
        <w:t>la declaratoria de perturbación a la posesión</w:t>
      </w:r>
      <w:r w:rsidRPr="00811889">
        <w:rPr>
          <w:rFonts w:ascii="Arial" w:hAnsi="Arial"/>
        </w:rPr>
        <w:t>.</w:t>
      </w:r>
    </w:p>
    <w:p w:rsidR="0082026B" w:rsidRPr="003E26F1" w:rsidRDefault="0082026B" w:rsidP="0082026B">
      <w:pPr>
        <w:spacing w:line="360" w:lineRule="auto"/>
        <w:ind w:right="51"/>
        <w:jc w:val="both"/>
        <w:rPr>
          <w:rFonts w:ascii="Arial" w:hAnsi="Arial"/>
        </w:rPr>
      </w:pPr>
    </w:p>
    <w:p w:rsidR="003E26F1" w:rsidRDefault="003E26F1" w:rsidP="003E26F1">
      <w:pPr>
        <w:spacing w:line="360" w:lineRule="auto"/>
        <w:ind w:right="51"/>
        <w:jc w:val="both"/>
        <w:rPr>
          <w:rFonts w:ascii="Arial" w:hAnsi="Arial" w:cs="Arial"/>
        </w:rPr>
      </w:pPr>
      <w:r w:rsidRPr="00F22DA4">
        <w:rPr>
          <w:rFonts w:ascii="Arial" w:hAnsi="Arial" w:cs="Arial"/>
        </w:rPr>
        <w:t xml:space="preserve">Alega el actor, que se vulneró su derecho al debido proceso </w:t>
      </w:r>
      <w:r w:rsidR="00705145" w:rsidRPr="00F22DA4">
        <w:rPr>
          <w:rFonts w:ascii="Arial" w:hAnsi="Arial" w:cs="Arial"/>
        </w:rPr>
        <w:t xml:space="preserve">con ocasión de la valoración que se hizo </w:t>
      </w:r>
      <w:r w:rsidR="0064579F">
        <w:rPr>
          <w:rFonts w:ascii="Arial" w:hAnsi="Arial" w:cs="Arial"/>
        </w:rPr>
        <w:t xml:space="preserve">de los </w:t>
      </w:r>
      <w:r w:rsidR="00705145" w:rsidRPr="00F22DA4">
        <w:rPr>
          <w:rFonts w:ascii="Arial" w:hAnsi="Arial" w:cs="Arial"/>
        </w:rPr>
        <w:t>testimonio</w:t>
      </w:r>
      <w:r w:rsidR="0064579F">
        <w:rPr>
          <w:rFonts w:ascii="Arial" w:hAnsi="Arial" w:cs="Arial"/>
        </w:rPr>
        <w:t>s</w:t>
      </w:r>
      <w:r w:rsidR="00705145" w:rsidRPr="00F22DA4">
        <w:rPr>
          <w:rFonts w:ascii="Arial" w:hAnsi="Arial" w:cs="Arial"/>
        </w:rPr>
        <w:t xml:space="preserve"> </w:t>
      </w:r>
      <w:r w:rsidR="0064579F">
        <w:rPr>
          <w:rFonts w:ascii="Arial" w:hAnsi="Arial" w:cs="Arial"/>
        </w:rPr>
        <w:t xml:space="preserve">para concluir </w:t>
      </w:r>
      <w:r w:rsidR="00705145" w:rsidRPr="00F22DA4">
        <w:rPr>
          <w:rFonts w:ascii="Arial" w:hAnsi="Arial" w:cs="Arial"/>
        </w:rPr>
        <w:t xml:space="preserve">la perturbación y </w:t>
      </w:r>
      <w:r w:rsidR="0064579F">
        <w:rPr>
          <w:rFonts w:ascii="Arial" w:hAnsi="Arial" w:cs="Arial"/>
        </w:rPr>
        <w:t>d</w:t>
      </w:r>
      <w:r w:rsidR="00705145" w:rsidRPr="00F22DA4">
        <w:rPr>
          <w:rFonts w:ascii="Arial" w:hAnsi="Arial" w:cs="Arial"/>
        </w:rPr>
        <w:t xml:space="preserve">el dictamen pericial porque no se tuvo en cuenta que la franja de terreno aledaña a la cancha que se señalaba como vía de acceso alterna a su lote se reduce en uno de sus puntos y el perito </w:t>
      </w:r>
      <w:r w:rsidR="00EA2F99">
        <w:rPr>
          <w:rFonts w:ascii="Arial" w:hAnsi="Arial" w:cs="Arial"/>
        </w:rPr>
        <w:t>dejó de medirla</w:t>
      </w:r>
      <w:r w:rsidRPr="00F22DA4">
        <w:rPr>
          <w:rFonts w:ascii="Arial" w:hAnsi="Arial" w:cs="Arial"/>
        </w:rPr>
        <w:t>.</w:t>
      </w:r>
      <w:r>
        <w:rPr>
          <w:rFonts w:ascii="Arial" w:hAnsi="Arial" w:cs="Arial"/>
        </w:rPr>
        <w:t xml:space="preserve"> </w:t>
      </w:r>
    </w:p>
    <w:p w:rsidR="003E26F1" w:rsidRPr="00E649FA" w:rsidRDefault="003E26F1" w:rsidP="003E26F1">
      <w:pPr>
        <w:spacing w:line="360" w:lineRule="auto"/>
        <w:ind w:right="51"/>
        <w:jc w:val="both"/>
        <w:rPr>
          <w:rFonts w:ascii="Arial" w:hAnsi="Arial" w:cs="Arial"/>
          <w:sz w:val="20"/>
        </w:rPr>
      </w:pPr>
    </w:p>
    <w:p w:rsidR="0084569B" w:rsidRDefault="00AE44CA" w:rsidP="00AE44CA">
      <w:pPr>
        <w:spacing w:line="360" w:lineRule="auto"/>
        <w:ind w:right="51"/>
        <w:jc w:val="both"/>
        <w:rPr>
          <w:rFonts w:ascii="Arial" w:hAnsi="Arial" w:cs="Arial"/>
        </w:rPr>
      </w:pPr>
      <w:r>
        <w:rPr>
          <w:rFonts w:ascii="Arial" w:hAnsi="Arial" w:cs="Arial"/>
        </w:rPr>
        <w:t xml:space="preserve">Conforme el acervo probatorio se tiene que el accionante fue demandado el 10-11-2015 por la señora Adriana María Velásquez Vásquez en proceso verbal sumario -interdicto posesorio- que se adelanta ante el Juzgado accionado; el 15-12-2015 se admitió; el 05-02-2016 se notificó al accionante, pero guardó silencio. El 22-02-2016 se </w:t>
      </w:r>
      <w:r w:rsidR="0084569B">
        <w:rPr>
          <w:rFonts w:ascii="Arial" w:hAnsi="Arial" w:cs="Arial"/>
        </w:rPr>
        <w:t xml:space="preserve">decretaron </w:t>
      </w:r>
      <w:r>
        <w:rPr>
          <w:rFonts w:ascii="Arial" w:hAnsi="Arial" w:cs="Arial"/>
        </w:rPr>
        <w:t>las pruebas</w:t>
      </w:r>
      <w:r w:rsidR="0084569B">
        <w:rPr>
          <w:rFonts w:ascii="Arial" w:hAnsi="Arial" w:cs="Arial"/>
        </w:rPr>
        <w:t xml:space="preserve"> pedidas por la parte demandante</w:t>
      </w:r>
      <w:r>
        <w:rPr>
          <w:rFonts w:ascii="Arial" w:hAnsi="Arial" w:cs="Arial"/>
        </w:rPr>
        <w:t xml:space="preserve">, </w:t>
      </w:r>
      <w:r w:rsidR="0084569B">
        <w:rPr>
          <w:rFonts w:ascii="Arial" w:hAnsi="Arial" w:cs="Arial"/>
        </w:rPr>
        <w:t xml:space="preserve">fueron </w:t>
      </w:r>
      <w:r>
        <w:rPr>
          <w:rFonts w:ascii="Arial" w:hAnsi="Arial" w:cs="Arial"/>
        </w:rPr>
        <w:t xml:space="preserve">practicadas </w:t>
      </w:r>
      <w:r w:rsidR="0084569B">
        <w:rPr>
          <w:rFonts w:ascii="Arial" w:hAnsi="Arial" w:cs="Arial"/>
        </w:rPr>
        <w:t xml:space="preserve">en audiencias del 27-04-2016 y 29-06-2016 y, </w:t>
      </w:r>
      <w:r>
        <w:rPr>
          <w:rFonts w:ascii="Arial" w:hAnsi="Arial" w:cs="Arial"/>
        </w:rPr>
        <w:t xml:space="preserve">se profirió sentencia que ordenó cesar los actos </w:t>
      </w:r>
      <w:proofErr w:type="spellStart"/>
      <w:r>
        <w:rPr>
          <w:rFonts w:ascii="Arial" w:hAnsi="Arial" w:cs="Arial"/>
        </w:rPr>
        <w:t>perturbatorios</w:t>
      </w:r>
      <w:proofErr w:type="spellEnd"/>
      <w:r w:rsidR="0064579F">
        <w:rPr>
          <w:rFonts w:ascii="Arial" w:hAnsi="Arial" w:cs="Arial"/>
        </w:rPr>
        <w:t xml:space="preserve"> (Folio 51, ib.)</w:t>
      </w:r>
      <w:r>
        <w:rPr>
          <w:rFonts w:ascii="Arial" w:hAnsi="Arial" w:cs="Arial"/>
        </w:rPr>
        <w:t xml:space="preserve">. </w:t>
      </w:r>
    </w:p>
    <w:p w:rsidR="00EC03AE" w:rsidRDefault="00AE44CA" w:rsidP="00AE44CA">
      <w:pPr>
        <w:spacing w:line="360" w:lineRule="auto"/>
        <w:ind w:right="51"/>
        <w:jc w:val="both"/>
        <w:rPr>
          <w:rFonts w:ascii="Arial" w:hAnsi="Arial" w:cs="Arial"/>
          <w:lang w:val="es-CO"/>
        </w:rPr>
      </w:pPr>
      <w:r>
        <w:rPr>
          <w:rFonts w:ascii="Arial" w:hAnsi="Arial" w:cs="Arial"/>
        </w:rPr>
        <w:lastRenderedPageBreak/>
        <w:t>En cuanto a</w:t>
      </w:r>
      <w:r w:rsidR="00EA2F99">
        <w:rPr>
          <w:rFonts w:ascii="Arial" w:hAnsi="Arial" w:cs="Arial"/>
        </w:rPr>
        <w:t>l</w:t>
      </w:r>
      <w:r>
        <w:rPr>
          <w:rFonts w:ascii="Arial" w:hAnsi="Arial" w:cs="Arial"/>
        </w:rPr>
        <w:t xml:space="preserve"> análisis probatorio expuso el juez en su sentencia: </w:t>
      </w:r>
      <w:r w:rsidR="00A134FB">
        <w:rPr>
          <w:rFonts w:ascii="Arial" w:hAnsi="Arial" w:cs="Arial"/>
        </w:rPr>
        <w:t xml:space="preserve">(i) Que </w:t>
      </w:r>
      <w:r w:rsidR="00EC03AE">
        <w:rPr>
          <w:rFonts w:ascii="Arial" w:hAnsi="Arial" w:cs="Arial"/>
        </w:rPr>
        <w:t xml:space="preserve">existió un </w:t>
      </w:r>
      <w:r w:rsidR="00A134FB">
        <w:rPr>
          <w:rFonts w:ascii="Arial" w:hAnsi="Arial" w:cs="Arial"/>
        </w:rPr>
        <w:t xml:space="preserve">querella policiva </w:t>
      </w:r>
      <w:r w:rsidR="00EC03AE">
        <w:rPr>
          <w:rFonts w:ascii="Arial" w:hAnsi="Arial" w:cs="Arial"/>
        </w:rPr>
        <w:t xml:space="preserve">en la que se llegó a un </w:t>
      </w:r>
      <w:r w:rsidR="00A134FB">
        <w:rPr>
          <w:rFonts w:ascii="Arial" w:hAnsi="Arial" w:cs="Arial"/>
        </w:rPr>
        <w:t>acuerdo entre las partes mediante el cual la demandante cedía al demandado</w:t>
      </w:r>
      <w:r w:rsidR="00EA2F99">
        <w:rPr>
          <w:rFonts w:ascii="Arial" w:hAnsi="Arial" w:cs="Arial"/>
        </w:rPr>
        <w:t>,</w:t>
      </w:r>
      <w:r w:rsidR="00A134FB">
        <w:rPr>
          <w:rFonts w:ascii="Arial" w:hAnsi="Arial" w:cs="Arial"/>
        </w:rPr>
        <w:t xml:space="preserve"> el uso de una franja de terreno </w:t>
      </w:r>
      <w:r w:rsidR="00EC03AE">
        <w:rPr>
          <w:rFonts w:ascii="Arial" w:hAnsi="Arial" w:cs="Arial"/>
        </w:rPr>
        <w:t>de un metro para ingresar</w:t>
      </w:r>
      <w:r w:rsidR="00A134FB">
        <w:rPr>
          <w:rFonts w:ascii="Arial" w:hAnsi="Arial" w:cs="Arial"/>
        </w:rPr>
        <w:t xml:space="preserve"> a su casa, </w:t>
      </w:r>
      <w:r w:rsidR="00EA2F99">
        <w:rPr>
          <w:rFonts w:ascii="Arial" w:hAnsi="Arial" w:cs="Arial"/>
        </w:rPr>
        <w:t xml:space="preserve">carente de firma por parte del </w:t>
      </w:r>
      <w:r w:rsidR="00A134FB">
        <w:rPr>
          <w:rFonts w:ascii="Arial" w:hAnsi="Arial" w:cs="Arial"/>
        </w:rPr>
        <w:t>demandado</w:t>
      </w:r>
      <w:r w:rsidR="00EC03AE">
        <w:rPr>
          <w:rFonts w:ascii="Arial" w:hAnsi="Arial" w:cs="Arial"/>
        </w:rPr>
        <w:t xml:space="preserve">, </w:t>
      </w:r>
      <w:r w:rsidR="00EA2F99">
        <w:rPr>
          <w:rFonts w:ascii="Arial" w:hAnsi="Arial" w:cs="Arial"/>
        </w:rPr>
        <w:t>sin embargo</w:t>
      </w:r>
      <w:r w:rsidR="00A134FB">
        <w:rPr>
          <w:rFonts w:ascii="Arial" w:hAnsi="Arial" w:cs="Arial"/>
        </w:rPr>
        <w:t xml:space="preserve">, </w:t>
      </w:r>
      <w:r w:rsidR="00EC03AE">
        <w:rPr>
          <w:rFonts w:ascii="Arial" w:hAnsi="Arial" w:cs="Arial"/>
        </w:rPr>
        <w:t xml:space="preserve">consideró que no había duda de que se había generado. (ii) Que el demandado </w:t>
      </w:r>
      <w:r w:rsidR="00EA2F99">
        <w:rPr>
          <w:rFonts w:ascii="Arial" w:hAnsi="Arial" w:cs="Arial"/>
        </w:rPr>
        <w:t xml:space="preserve">omitió arrimar </w:t>
      </w:r>
      <w:r w:rsidR="00EC03AE">
        <w:rPr>
          <w:rFonts w:ascii="Arial" w:hAnsi="Arial" w:cs="Arial"/>
        </w:rPr>
        <w:t xml:space="preserve">prueba que acredite la servidumbre que alega tener sobre el predio. (iii) </w:t>
      </w:r>
      <w:r w:rsidR="00A134FB">
        <w:rPr>
          <w:rFonts w:ascii="Arial" w:hAnsi="Arial" w:cs="Arial"/>
          <w:lang w:val="es-CO"/>
        </w:rPr>
        <w:t>En la inspección judicial con asistencia del perito se comprobó que existe otra vía de acceso</w:t>
      </w:r>
      <w:r w:rsidR="00EC03AE">
        <w:rPr>
          <w:rFonts w:ascii="Arial" w:hAnsi="Arial" w:cs="Arial"/>
          <w:lang w:val="es-CO"/>
        </w:rPr>
        <w:t xml:space="preserve">. Y, (iv) Los testimonios sirvieron para acreditar la perturbación denunciada. </w:t>
      </w:r>
    </w:p>
    <w:p w:rsidR="00EC03AE" w:rsidRDefault="00EC03AE" w:rsidP="00AE44CA">
      <w:pPr>
        <w:spacing w:line="360" w:lineRule="auto"/>
        <w:ind w:right="51"/>
        <w:jc w:val="both"/>
        <w:rPr>
          <w:rFonts w:ascii="Arial" w:hAnsi="Arial" w:cs="Arial"/>
          <w:lang w:val="es-CO"/>
        </w:rPr>
      </w:pPr>
    </w:p>
    <w:p w:rsidR="00EC03AE" w:rsidRDefault="00EC03AE" w:rsidP="00AE44CA">
      <w:pPr>
        <w:spacing w:line="360" w:lineRule="auto"/>
        <w:ind w:right="51"/>
        <w:jc w:val="both"/>
        <w:rPr>
          <w:rFonts w:ascii="Arial" w:hAnsi="Arial" w:cs="Arial"/>
          <w:lang w:val="es-CO"/>
        </w:rPr>
      </w:pPr>
      <w:r>
        <w:rPr>
          <w:rFonts w:ascii="Arial" w:hAnsi="Arial" w:cs="Arial"/>
          <w:lang w:val="es-CO"/>
        </w:rPr>
        <w:t xml:space="preserve">Concluyó que no existen elementos de juicio </w:t>
      </w:r>
      <w:r w:rsidR="0064579F">
        <w:rPr>
          <w:rFonts w:ascii="Arial" w:hAnsi="Arial" w:cs="Arial"/>
          <w:lang w:val="es-CO"/>
        </w:rPr>
        <w:t xml:space="preserve">para </w:t>
      </w:r>
      <w:r>
        <w:rPr>
          <w:rFonts w:ascii="Arial" w:hAnsi="Arial" w:cs="Arial"/>
          <w:lang w:val="es-CO"/>
        </w:rPr>
        <w:t xml:space="preserve">inferir </w:t>
      </w:r>
      <w:r w:rsidR="001853DA">
        <w:rPr>
          <w:rFonts w:ascii="Arial" w:hAnsi="Arial" w:cs="Arial"/>
          <w:lang w:val="es-CO"/>
        </w:rPr>
        <w:t xml:space="preserve">la existencia de </w:t>
      </w:r>
      <w:r>
        <w:rPr>
          <w:rFonts w:ascii="Arial" w:hAnsi="Arial" w:cs="Arial"/>
          <w:lang w:val="es-CO"/>
        </w:rPr>
        <w:t xml:space="preserve">la servidumbre alegada por el demandado, </w:t>
      </w:r>
      <w:r w:rsidR="001853DA">
        <w:rPr>
          <w:rFonts w:ascii="Arial" w:hAnsi="Arial" w:cs="Arial"/>
          <w:lang w:val="es-CO"/>
        </w:rPr>
        <w:t xml:space="preserve">según </w:t>
      </w:r>
      <w:r>
        <w:rPr>
          <w:rFonts w:ascii="Arial" w:hAnsi="Arial" w:cs="Arial"/>
          <w:lang w:val="es-CO"/>
        </w:rPr>
        <w:t xml:space="preserve">lo manifestaron en </w:t>
      </w:r>
      <w:r w:rsidR="001853DA">
        <w:rPr>
          <w:rFonts w:ascii="Arial" w:hAnsi="Arial" w:cs="Arial"/>
          <w:lang w:val="es-CO"/>
        </w:rPr>
        <w:t xml:space="preserve">sus declaraciones </w:t>
      </w:r>
      <w:r w:rsidR="005F0B6E">
        <w:rPr>
          <w:rFonts w:ascii="Arial" w:hAnsi="Arial" w:cs="Arial"/>
          <w:lang w:val="es-CO"/>
        </w:rPr>
        <w:t xml:space="preserve">la señora </w:t>
      </w:r>
      <w:r>
        <w:rPr>
          <w:rFonts w:ascii="Arial" w:hAnsi="Arial" w:cs="Arial"/>
          <w:lang w:val="es-CO"/>
        </w:rPr>
        <w:t xml:space="preserve">Rosalba </w:t>
      </w:r>
      <w:r w:rsidR="005F0B6E">
        <w:rPr>
          <w:rFonts w:ascii="Arial" w:hAnsi="Arial" w:cs="Arial"/>
          <w:lang w:val="es-CO"/>
        </w:rPr>
        <w:t xml:space="preserve">Gómez, </w:t>
      </w:r>
      <w:r w:rsidR="00EA2F99">
        <w:rPr>
          <w:rFonts w:ascii="Arial" w:hAnsi="Arial" w:cs="Arial"/>
          <w:lang w:val="es-CO"/>
        </w:rPr>
        <w:t>ex-</w:t>
      </w:r>
      <w:r w:rsidR="005F0B6E">
        <w:rPr>
          <w:rFonts w:ascii="Arial" w:hAnsi="Arial" w:cs="Arial"/>
          <w:lang w:val="es-CO"/>
        </w:rPr>
        <w:t xml:space="preserve">esposa del demandado y el </w:t>
      </w:r>
      <w:r>
        <w:rPr>
          <w:rFonts w:ascii="Arial" w:hAnsi="Arial" w:cs="Arial"/>
          <w:lang w:val="es-CO"/>
        </w:rPr>
        <w:t xml:space="preserve">señor </w:t>
      </w:r>
      <w:r w:rsidR="005F0B6E">
        <w:rPr>
          <w:rFonts w:ascii="Arial" w:hAnsi="Arial" w:cs="Arial"/>
          <w:lang w:val="es-CO"/>
        </w:rPr>
        <w:t>Francisco López</w:t>
      </w:r>
      <w:r>
        <w:rPr>
          <w:rFonts w:ascii="Arial" w:hAnsi="Arial" w:cs="Arial"/>
          <w:lang w:val="es-CO"/>
        </w:rPr>
        <w:t>,</w:t>
      </w:r>
      <w:r w:rsidR="005F0B6E">
        <w:rPr>
          <w:rFonts w:ascii="Arial" w:hAnsi="Arial" w:cs="Arial"/>
          <w:lang w:val="es-CO"/>
        </w:rPr>
        <w:t xml:space="preserve"> ex</w:t>
      </w:r>
      <w:r w:rsidR="00EA2F99">
        <w:rPr>
          <w:rFonts w:ascii="Arial" w:hAnsi="Arial" w:cs="Arial"/>
          <w:lang w:val="es-CO"/>
        </w:rPr>
        <w:t>-</w:t>
      </w:r>
      <w:r w:rsidR="005F0B6E">
        <w:rPr>
          <w:rFonts w:ascii="Arial" w:hAnsi="Arial" w:cs="Arial"/>
          <w:lang w:val="es-CO"/>
        </w:rPr>
        <w:t xml:space="preserve">presidente de la junta de acción comunal de la vereda que firmó la entrega del lote; </w:t>
      </w:r>
      <w:r>
        <w:rPr>
          <w:rFonts w:ascii="Arial" w:hAnsi="Arial" w:cs="Arial"/>
          <w:lang w:val="es-CO"/>
        </w:rPr>
        <w:t xml:space="preserve"> además, </w:t>
      </w:r>
      <w:r w:rsidR="001853DA">
        <w:rPr>
          <w:rFonts w:ascii="Arial" w:hAnsi="Arial" w:cs="Arial"/>
          <w:lang w:val="es-CO"/>
        </w:rPr>
        <w:t xml:space="preserve">expuso que </w:t>
      </w:r>
      <w:r>
        <w:rPr>
          <w:rFonts w:ascii="Arial" w:hAnsi="Arial" w:cs="Arial"/>
          <w:lang w:val="es-CO"/>
        </w:rPr>
        <w:t xml:space="preserve">existe otra vía por la cual el </w:t>
      </w:r>
      <w:r w:rsidR="001853DA">
        <w:rPr>
          <w:rFonts w:ascii="Arial" w:hAnsi="Arial" w:cs="Arial"/>
          <w:lang w:val="es-CO"/>
        </w:rPr>
        <w:t xml:space="preserve">accionante </w:t>
      </w:r>
      <w:r>
        <w:rPr>
          <w:rFonts w:ascii="Arial" w:hAnsi="Arial" w:cs="Arial"/>
          <w:lang w:val="es-CO"/>
        </w:rPr>
        <w:t>puede acceder a su vivienda</w:t>
      </w:r>
      <w:r w:rsidR="001853DA">
        <w:rPr>
          <w:rFonts w:ascii="Arial" w:hAnsi="Arial" w:cs="Arial"/>
          <w:lang w:val="es-CO"/>
        </w:rPr>
        <w:t xml:space="preserve"> (Audiencia artículo </w:t>
      </w:r>
      <w:r w:rsidR="001853DA" w:rsidRPr="001853DA">
        <w:rPr>
          <w:rFonts w:ascii="Arial" w:hAnsi="Arial" w:cs="Arial"/>
          <w:lang w:val="es-CO"/>
        </w:rPr>
        <w:t xml:space="preserve">392 </w:t>
      </w:r>
      <w:r w:rsidR="000B365B">
        <w:rPr>
          <w:rFonts w:ascii="Arial" w:hAnsi="Arial" w:cs="Arial"/>
          <w:lang w:val="es-CO"/>
        </w:rPr>
        <w:t>- Continuación 3</w:t>
      </w:r>
      <w:r w:rsidR="001853DA">
        <w:rPr>
          <w:rFonts w:ascii="Arial" w:hAnsi="Arial" w:cs="Arial"/>
          <w:lang w:val="es-CO"/>
        </w:rPr>
        <w:t xml:space="preserve">, disco compacto visible a folio 4, este cuaderno). </w:t>
      </w:r>
    </w:p>
    <w:p w:rsidR="001853DA" w:rsidRPr="008D6E5A" w:rsidRDefault="001853DA" w:rsidP="00AE44CA">
      <w:pPr>
        <w:spacing w:line="360" w:lineRule="auto"/>
        <w:ind w:right="51"/>
        <w:jc w:val="both"/>
        <w:rPr>
          <w:rFonts w:ascii="Arial" w:hAnsi="Arial" w:cs="Arial"/>
          <w:sz w:val="20"/>
          <w:lang w:val="es-CO"/>
        </w:rPr>
      </w:pPr>
    </w:p>
    <w:p w:rsidR="00EE69DE" w:rsidRDefault="001853DA" w:rsidP="00AE44CA">
      <w:pPr>
        <w:spacing w:line="360" w:lineRule="auto"/>
        <w:ind w:right="51"/>
        <w:jc w:val="both"/>
        <w:rPr>
          <w:rFonts w:ascii="Arial" w:hAnsi="Arial" w:cs="Arial"/>
        </w:rPr>
      </w:pPr>
      <w:r>
        <w:rPr>
          <w:rFonts w:ascii="Arial" w:hAnsi="Arial" w:cs="Arial"/>
        </w:rPr>
        <w:t xml:space="preserve">Frente al dictamen presentado dijo el demandado que </w:t>
      </w:r>
      <w:r w:rsidR="002640BF">
        <w:rPr>
          <w:rFonts w:ascii="Arial" w:hAnsi="Arial" w:cs="Arial"/>
        </w:rPr>
        <w:t xml:space="preserve">no puede </w:t>
      </w:r>
      <w:r>
        <w:rPr>
          <w:rFonts w:ascii="Arial" w:hAnsi="Arial" w:cs="Arial"/>
        </w:rPr>
        <w:t xml:space="preserve">pasar </w:t>
      </w:r>
      <w:r w:rsidR="002640BF">
        <w:rPr>
          <w:rFonts w:ascii="Arial" w:hAnsi="Arial" w:cs="Arial"/>
        </w:rPr>
        <w:t xml:space="preserve">directamente </w:t>
      </w:r>
      <w:r>
        <w:rPr>
          <w:rFonts w:ascii="Arial" w:hAnsi="Arial" w:cs="Arial"/>
        </w:rPr>
        <w:t xml:space="preserve">por la cancha </w:t>
      </w:r>
      <w:r w:rsidR="002640BF">
        <w:rPr>
          <w:rFonts w:ascii="Arial" w:hAnsi="Arial" w:cs="Arial"/>
        </w:rPr>
        <w:t xml:space="preserve">deportiva, además de que </w:t>
      </w:r>
      <w:r>
        <w:rPr>
          <w:rFonts w:ascii="Arial" w:hAnsi="Arial" w:cs="Arial"/>
        </w:rPr>
        <w:t>haría</w:t>
      </w:r>
      <w:r w:rsidR="002640BF">
        <w:rPr>
          <w:rFonts w:ascii="Arial" w:hAnsi="Arial" w:cs="Arial"/>
        </w:rPr>
        <w:t>n</w:t>
      </w:r>
      <w:r>
        <w:rPr>
          <w:rFonts w:ascii="Arial" w:hAnsi="Arial" w:cs="Arial"/>
        </w:rPr>
        <w:t xml:space="preserve"> arreglos que le impedirían hacerlo</w:t>
      </w:r>
      <w:r w:rsidR="002640BF">
        <w:rPr>
          <w:rFonts w:ascii="Arial" w:hAnsi="Arial" w:cs="Arial"/>
        </w:rPr>
        <w:t>;</w:t>
      </w:r>
      <w:r>
        <w:rPr>
          <w:rFonts w:ascii="Arial" w:hAnsi="Arial" w:cs="Arial"/>
        </w:rPr>
        <w:t xml:space="preserve"> por su parte el perito determinó en su visita que entre el barranco y el borde de la cancha hay una franja de terreno que oscila entre 2</w:t>
      </w:r>
      <w:r w:rsidR="00EA2F99">
        <w:rPr>
          <w:rFonts w:ascii="Arial" w:hAnsi="Arial" w:cs="Arial"/>
        </w:rPr>
        <w:t>,</w:t>
      </w:r>
      <w:r>
        <w:rPr>
          <w:rFonts w:ascii="Arial" w:hAnsi="Arial" w:cs="Arial"/>
        </w:rPr>
        <w:t>70 y 3</w:t>
      </w:r>
      <w:r w:rsidR="00EA2F99">
        <w:rPr>
          <w:rFonts w:ascii="Arial" w:hAnsi="Arial" w:cs="Arial"/>
        </w:rPr>
        <w:t>,</w:t>
      </w:r>
      <w:r>
        <w:rPr>
          <w:rFonts w:ascii="Arial" w:hAnsi="Arial" w:cs="Arial"/>
        </w:rPr>
        <w:t>00 por donde cualquier persona podría ingresar y salir de la vereda, sin interferir las actividades deportivas, y que quien se movilice en motocicleta necesita como mínimo 45 centímetros para pasar, por lo que un cerramiento de la cancha no le impediría transitar</w:t>
      </w:r>
      <w:r w:rsidR="000B365B">
        <w:rPr>
          <w:rFonts w:ascii="Arial" w:hAnsi="Arial" w:cs="Arial"/>
        </w:rPr>
        <w:t xml:space="preserve"> </w:t>
      </w:r>
      <w:r w:rsidR="000B365B">
        <w:rPr>
          <w:rFonts w:ascii="Arial" w:hAnsi="Arial" w:cs="Arial"/>
          <w:lang w:val="es-CO"/>
        </w:rPr>
        <w:t xml:space="preserve">(Audiencia artículo </w:t>
      </w:r>
      <w:r w:rsidR="000B365B" w:rsidRPr="001853DA">
        <w:rPr>
          <w:rFonts w:ascii="Arial" w:hAnsi="Arial" w:cs="Arial"/>
          <w:lang w:val="es-CO"/>
        </w:rPr>
        <w:t>392</w:t>
      </w:r>
      <w:r w:rsidR="00EA2F99">
        <w:rPr>
          <w:rFonts w:ascii="Arial" w:hAnsi="Arial" w:cs="Arial"/>
          <w:lang w:val="es-CO"/>
        </w:rPr>
        <w:t>,</w:t>
      </w:r>
      <w:r w:rsidR="000B365B" w:rsidRPr="001853DA">
        <w:rPr>
          <w:rFonts w:ascii="Arial" w:hAnsi="Arial" w:cs="Arial"/>
          <w:lang w:val="es-CO"/>
        </w:rPr>
        <w:t xml:space="preserve"> - Continuación 2</w:t>
      </w:r>
      <w:r w:rsidR="000B365B">
        <w:rPr>
          <w:rFonts w:ascii="Arial" w:hAnsi="Arial" w:cs="Arial"/>
          <w:lang w:val="es-CO"/>
        </w:rPr>
        <w:t>, disco compacto visible a folio 4, este cuaderno)</w:t>
      </w:r>
      <w:r>
        <w:rPr>
          <w:rFonts w:ascii="Arial" w:hAnsi="Arial" w:cs="Arial"/>
        </w:rPr>
        <w:t>.</w:t>
      </w:r>
    </w:p>
    <w:p w:rsidR="00D836BF" w:rsidRPr="008D6E5A" w:rsidRDefault="00D836BF" w:rsidP="00AE44CA">
      <w:pPr>
        <w:spacing w:line="360" w:lineRule="auto"/>
        <w:ind w:right="51"/>
        <w:jc w:val="both"/>
        <w:rPr>
          <w:rFonts w:ascii="Arial" w:hAnsi="Arial" w:cs="Arial"/>
          <w:sz w:val="20"/>
        </w:rPr>
      </w:pPr>
    </w:p>
    <w:p w:rsidR="00A145C9" w:rsidRDefault="001853DA" w:rsidP="000B365B">
      <w:pPr>
        <w:spacing w:line="360" w:lineRule="auto"/>
        <w:ind w:right="51"/>
        <w:jc w:val="both"/>
        <w:rPr>
          <w:rFonts w:ascii="Arial" w:hAnsi="Arial" w:cs="Arial"/>
        </w:rPr>
      </w:pPr>
      <w:r>
        <w:rPr>
          <w:rFonts w:ascii="Arial" w:hAnsi="Arial" w:cs="Arial"/>
        </w:rPr>
        <w:t xml:space="preserve">Los testimonios del señor </w:t>
      </w:r>
      <w:r w:rsidR="00D836BF">
        <w:rPr>
          <w:rFonts w:ascii="Arial" w:hAnsi="Arial" w:cs="Arial"/>
        </w:rPr>
        <w:t>Diego Giraldo Henao</w:t>
      </w:r>
      <w:r>
        <w:rPr>
          <w:rFonts w:ascii="Arial" w:hAnsi="Arial" w:cs="Arial"/>
        </w:rPr>
        <w:t xml:space="preserve">, Rodrigo de Jesús Velásquez, Rosalba Gómez y Francisco López </w:t>
      </w:r>
      <w:proofErr w:type="spellStart"/>
      <w:r>
        <w:rPr>
          <w:rFonts w:ascii="Arial" w:hAnsi="Arial" w:cs="Arial"/>
        </w:rPr>
        <w:t>López</w:t>
      </w:r>
      <w:proofErr w:type="spellEnd"/>
      <w:r>
        <w:rPr>
          <w:rFonts w:ascii="Arial" w:hAnsi="Arial" w:cs="Arial"/>
        </w:rPr>
        <w:t>, coinciden en la existencia de dos caminos para ingresar a la vereda</w:t>
      </w:r>
      <w:r w:rsidR="000B365B">
        <w:rPr>
          <w:rFonts w:ascii="Arial" w:hAnsi="Arial" w:cs="Arial"/>
        </w:rPr>
        <w:t xml:space="preserve">; </w:t>
      </w:r>
      <w:r>
        <w:rPr>
          <w:rFonts w:ascii="Arial" w:hAnsi="Arial" w:cs="Arial"/>
        </w:rPr>
        <w:t>que el camino que pasa por el lote de la demandante era angosto</w:t>
      </w:r>
      <w:r w:rsidR="000B365B">
        <w:rPr>
          <w:rFonts w:ascii="Arial" w:hAnsi="Arial" w:cs="Arial"/>
        </w:rPr>
        <w:t xml:space="preserve">; que habían siembras y estacones hechos por la demandante </w:t>
      </w:r>
      <w:r w:rsidR="002640BF">
        <w:rPr>
          <w:rFonts w:ascii="Arial" w:hAnsi="Arial" w:cs="Arial"/>
        </w:rPr>
        <w:t xml:space="preserve">y </w:t>
      </w:r>
      <w:r w:rsidR="000B365B">
        <w:rPr>
          <w:rFonts w:ascii="Arial" w:hAnsi="Arial" w:cs="Arial"/>
        </w:rPr>
        <w:t xml:space="preserve">fueron arrancados por el demandado; que en la división de los lotes no se estableció servidumbre alguna (Audiencia, disco compacto visible a folio 4, este cuaderno). </w:t>
      </w:r>
    </w:p>
    <w:p w:rsidR="00EE69DE" w:rsidRPr="008D6E5A" w:rsidRDefault="00EE69DE" w:rsidP="00AE44CA">
      <w:pPr>
        <w:spacing w:line="360" w:lineRule="auto"/>
        <w:ind w:right="51"/>
        <w:jc w:val="both"/>
        <w:rPr>
          <w:rFonts w:ascii="Arial" w:hAnsi="Arial" w:cs="Arial"/>
          <w:sz w:val="22"/>
        </w:rPr>
      </w:pPr>
    </w:p>
    <w:p w:rsidR="000B365B" w:rsidRDefault="000B365B" w:rsidP="000B365B">
      <w:pPr>
        <w:spacing w:line="360" w:lineRule="auto"/>
        <w:ind w:right="51"/>
        <w:jc w:val="both"/>
        <w:rPr>
          <w:rFonts w:ascii="Arial" w:hAnsi="Arial" w:cs="Arial"/>
          <w:lang w:val="es-CO"/>
        </w:rPr>
      </w:pPr>
      <w:r>
        <w:rPr>
          <w:rFonts w:ascii="Arial" w:hAnsi="Arial" w:cs="Arial"/>
        </w:rPr>
        <w:t xml:space="preserve">Para la Sala resulta evidente que el despacho judicial accionado no incurrió en </w:t>
      </w:r>
      <w:r w:rsidR="008C24B1">
        <w:rPr>
          <w:rFonts w:ascii="Arial" w:hAnsi="Arial" w:cs="Arial"/>
        </w:rPr>
        <w:t xml:space="preserve">la </w:t>
      </w:r>
      <w:r>
        <w:rPr>
          <w:rFonts w:ascii="Arial" w:hAnsi="Arial" w:cs="Arial"/>
        </w:rPr>
        <w:t xml:space="preserve">valoración defectuosa </w:t>
      </w:r>
      <w:r>
        <w:rPr>
          <w:rFonts w:ascii="Arial" w:hAnsi="Arial" w:cs="Arial"/>
          <w:lang w:val="es-CO"/>
        </w:rPr>
        <w:t xml:space="preserve">de los elementos probatorios alegada por el actor, pues </w:t>
      </w:r>
      <w:r w:rsidR="006548FB">
        <w:rPr>
          <w:rFonts w:ascii="Arial" w:hAnsi="Arial" w:cs="Arial"/>
          <w:lang w:val="es-CO"/>
        </w:rPr>
        <w:t xml:space="preserve">en la providencia atacada estudió </w:t>
      </w:r>
      <w:r w:rsidR="00B26398">
        <w:rPr>
          <w:rFonts w:ascii="Arial" w:hAnsi="Arial" w:cs="Arial"/>
          <w:lang w:val="es-CO"/>
        </w:rPr>
        <w:t xml:space="preserve">en </w:t>
      </w:r>
      <w:r w:rsidR="006548FB">
        <w:rPr>
          <w:rFonts w:ascii="Arial" w:hAnsi="Arial" w:cs="Arial"/>
          <w:lang w:val="es-CO"/>
        </w:rPr>
        <w:t xml:space="preserve">conjunto las pruebas recaudadas, y expuso razonadamente el mérito que daba a cada una de ellas (Artículos 164 y 176, CGP), además, aplicó acertadamente el artículo 97 del CGP, en lo que refiere a la presunción </w:t>
      </w:r>
      <w:r w:rsidR="006548FB">
        <w:rPr>
          <w:rFonts w:ascii="Arial" w:hAnsi="Arial" w:cs="Arial"/>
          <w:lang w:val="es-CO"/>
        </w:rPr>
        <w:lastRenderedPageBreak/>
        <w:t>cierta de los hechos susceptibles de confesión, toda vez que el accionante dejó de contestar la demanda. No puede entonces endilgársele al accionado</w:t>
      </w:r>
      <w:r w:rsidR="008C24B1">
        <w:rPr>
          <w:rFonts w:ascii="Arial" w:hAnsi="Arial" w:cs="Arial"/>
          <w:lang w:val="es-CO"/>
        </w:rPr>
        <w:t>,</w:t>
      </w:r>
      <w:r w:rsidR="006548FB">
        <w:rPr>
          <w:rFonts w:ascii="Arial" w:hAnsi="Arial" w:cs="Arial"/>
          <w:lang w:val="es-CO"/>
        </w:rPr>
        <w:t xml:space="preserve"> que en </w:t>
      </w:r>
      <w:r w:rsidR="008C24B1">
        <w:rPr>
          <w:rFonts w:ascii="Arial" w:hAnsi="Arial" w:cs="Arial"/>
          <w:lang w:val="es-CO"/>
        </w:rPr>
        <w:t xml:space="preserve">el </w:t>
      </w:r>
      <w:r w:rsidR="006548FB">
        <w:rPr>
          <w:rFonts w:ascii="Arial" w:hAnsi="Arial" w:cs="Arial"/>
          <w:lang w:val="es-CO"/>
        </w:rPr>
        <w:t>ejercicio de su jurisdicción</w:t>
      </w:r>
      <w:r w:rsidR="008C24B1">
        <w:rPr>
          <w:rFonts w:ascii="Arial" w:hAnsi="Arial" w:cs="Arial"/>
          <w:lang w:val="es-CO"/>
        </w:rPr>
        <w:t>,</w:t>
      </w:r>
      <w:r w:rsidR="006548FB">
        <w:rPr>
          <w:rFonts w:ascii="Arial" w:hAnsi="Arial" w:cs="Arial"/>
          <w:lang w:val="es-CO"/>
        </w:rPr>
        <w:t xml:space="preserve"> haya tomado una decisión antojadiza, apartada de la evidencia probatoria, tal como se señala en el petitorio</w:t>
      </w:r>
      <w:r w:rsidR="008D6E5A">
        <w:rPr>
          <w:rFonts w:ascii="Arial" w:hAnsi="Arial" w:cs="Arial"/>
          <w:lang w:val="es-CO"/>
        </w:rPr>
        <w:t>.</w:t>
      </w:r>
      <w:r w:rsidR="006548FB">
        <w:rPr>
          <w:rFonts w:ascii="Arial" w:hAnsi="Arial" w:cs="Arial"/>
          <w:lang w:val="es-CO"/>
        </w:rPr>
        <w:t xml:space="preserve"> </w:t>
      </w:r>
      <w:r w:rsidR="008D6E5A">
        <w:rPr>
          <w:rFonts w:ascii="Arial" w:hAnsi="Arial" w:cs="Arial"/>
          <w:lang w:val="es-CO"/>
        </w:rPr>
        <w:t xml:space="preserve"> </w:t>
      </w:r>
    </w:p>
    <w:p w:rsidR="000B365B" w:rsidRPr="00236282" w:rsidRDefault="000B365B" w:rsidP="000B365B">
      <w:pPr>
        <w:spacing w:line="360" w:lineRule="auto"/>
        <w:ind w:right="51"/>
        <w:jc w:val="both"/>
        <w:rPr>
          <w:rFonts w:ascii="Arial" w:hAnsi="Arial" w:cs="Arial"/>
          <w:sz w:val="16"/>
          <w:lang w:val="es-CO"/>
        </w:rPr>
      </w:pPr>
    </w:p>
    <w:p w:rsidR="006548FB" w:rsidRPr="008C24B1" w:rsidRDefault="008C24B1" w:rsidP="000B365B">
      <w:pPr>
        <w:spacing w:line="360" w:lineRule="auto"/>
        <w:ind w:right="51"/>
        <w:jc w:val="both"/>
        <w:rPr>
          <w:rFonts w:ascii="Arial" w:hAnsi="Arial" w:cs="Arial"/>
          <w:lang w:val="es-CO"/>
        </w:rPr>
      </w:pPr>
      <w:r>
        <w:rPr>
          <w:rFonts w:ascii="Arial" w:hAnsi="Arial" w:cs="Arial"/>
          <w:lang w:val="es-CO"/>
        </w:rPr>
        <w:t>De otro lado</w:t>
      </w:r>
      <w:r w:rsidR="006548FB" w:rsidRPr="008C24B1">
        <w:rPr>
          <w:rFonts w:ascii="Arial" w:hAnsi="Arial" w:cs="Arial"/>
          <w:lang w:val="es-CO"/>
        </w:rPr>
        <w:t xml:space="preserve">, </w:t>
      </w:r>
      <w:r>
        <w:rPr>
          <w:rFonts w:ascii="Arial" w:hAnsi="Arial" w:cs="Arial"/>
          <w:lang w:val="es-CO"/>
        </w:rPr>
        <w:t xml:space="preserve">en lo que refiere al defecto sustantivo y a la falta de motivación, también propuestos frente a la decisión judicial, y como quiera que </w:t>
      </w:r>
      <w:r w:rsidR="00D23AC0">
        <w:rPr>
          <w:rFonts w:ascii="Arial" w:hAnsi="Arial" w:cs="Arial"/>
          <w:lang w:val="es-CO"/>
        </w:rPr>
        <w:t xml:space="preserve">están basados en yerros relacionados con el defecto fáctico previamente estudiado, </w:t>
      </w:r>
      <w:r w:rsidR="00B26398">
        <w:rPr>
          <w:rFonts w:ascii="Arial" w:hAnsi="Arial" w:cs="Arial"/>
          <w:lang w:val="es-CO"/>
        </w:rPr>
        <w:t>quedan refuta</w:t>
      </w:r>
      <w:r w:rsidR="00B263EA">
        <w:rPr>
          <w:rFonts w:ascii="Arial" w:hAnsi="Arial" w:cs="Arial"/>
          <w:lang w:val="es-CO"/>
        </w:rPr>
        <w:t>da</w:t>
      </w:r>
      <w:r w:rsidR="00B26398">
        <w:rPr>
          <w:rFonts w:ascii="Arial" w:hAnsi="Arial" w:cs="Arial"/>
          <w:lang w:val="es-CO"/>
        </w:rPr>
        <w:t>s las censuras con los argumentos ya expuestos</w:t>
      </w:r>
      <w:r w:rsidR="00D23AC0">
        <w:rPr>
          <w:rFonts w:ascii="Arial" w:hAnsi="Arial" w:cs="Arial"/>
          <w:lang w:val="es-CO"/>
        </w:rPr>
        <w:t xml:space="preserve">. </w:t>
      </w:r>
    </w:p>
    <w:p w:rsidR="008C24B1" w:rsidRPr="00236282" w:rsidRDefault="008C24B1" w:rsidP="000B365B">
      <w:pPr>
        <w:spacing w:line="360" w:lineRule="auto"/>
        <w:ind w:right="51"/>
        <w:jc w:val="both"/>
        <w:rPr>
          <w:rFonts w:ascii="Arial" w:hAnsi="Arial" w:cs="Arial"/>
          <w:sz w:val="16"/>
          <w:lang w:val="es-CO"/>
        </w:rPr>
      </w:pPr>
    </w:p>
    <w:p w:rsidR="008C24B1" w:rsidRDefault="008C24B1" w:rsidP="000B365B">
      <w:pPr>
        <w:spacing w:line="360" w:lineRule="auto"/>
        <w:ind w:right="51"/>
        <w:jc w:val="both"/>
        <w:rPr>
          <w:rFonts w:ascii="Arial" w:hAnsi="Arial" w:cs="Arial"/>
          <w:lang w:val="es-CO"/>
        </w:rPr>
      </w:pPr>
      <w:r w:rsidRPr="00D23AC0">
        <w:rPr>
          <w:rFonts w:ascii="Arial" w:hAnsi="Arial" w:cs="Arial"/>
          <w:lang w:val="es-CO"/>
        </w:rPr>
        <w:t xml:space="preserve">Asimismo, en lo que respecta a </w:t>
      </w:r>
      <w:r w:rsidRPr="00D23AC0">
        <w:rPr>
          <w:rFonts w:ascii="Arial" w:hAnsi="Arial" w:cs="Arial"/>
          <w:i/>
          <w:sz w:val="22"/>
          <w:lang w:val="es-CO"/>
        </w:rPr>
        <w:t>“La violación directa de la constitución”</w:t>
      </w:r>
      <w:r w:rsidRPr="00D23AC0">
        <w:rPr>
          <w:rFonts w:ascii="Arial" w:hAnsi="Arial" w:cs="Arial"/>
          <w:lang w:val="es-CO"/>
        </w:rPr>
        <w:t>, fundada en que se adelantó un proceso de perturbación cuando en realidad se trataba de una servidumbre, hay que decir que</w:t>
      </w:r>
      <w:r w:rsidR="00D23AC0">
        <w:rPr>
          <w:rFonts w:ascii="Arial" w:hAnsi="Arial" w:cs="Arial"/>
          <w:lang w:val="es-CO"/>
        </w:rPr>
        <w:t xml:space="preserve"> la tutela </w:t>
      </w:r>
      <w:r w:rsidRPr="00D23AC0">
        <w:rPr>
          <w:rFonts w:ascii="Arial" w:hAnsi="Arial" w:cs="Arial"/>
          <w:lang w:val="es-CO"/>
        </w:rPr>
        <w:t xml:space="preserve">es notoriamente improcedente a causa de que se incumplen los presupuestos de subsidiariedad e inmediatez, </w:t>
      </w:r>
      <w:r w:rsidR="00D23AC0">
        <w:rPr>
          <w:rFonts w:ascii="Arial" w:hAnsi="Arial" w:cs="Arial"/>
          <w:lang w:val="es-CO"/>
        </w:rPr>
        <w:t xml:space="preserve">porque el actor </w:t>
      </w:r>
      <w:r w:rsidRPr="00D23AC0">
        <w:rPr>
          <w:rFonts w:ascii="Arial" w:hAnsi="Arial" w:cs="Arial"/>
          <w:lang w:val="es-CO"/>
        </w:rPr>
        <w:t xml:space="preserve">no recurrió el auto </w:t>
      </w:r>
      <w:proofErr w:type="spellStart"/>
      <w:r w:rsidRPr="00D23AC0">
        <w:rPr>
          <w:rFonts w:ascii="Arial" w:hAnsi="Arial" w:cs="Arial"/>
          <w:lang w:val="es-CO"/>
        </w:rPr>
        <w:t>admisorio</w:t>
      </w:r>
      <w:proofErr w:type="spellEnd"/>
      <w:r w:rsidRPr="00D23AC0">
        <w:rPr>
          <w:rFonts w:ascii="Arial" w:hAnsi="Arial" w:cs="Arial"/>
          <w:lang w:val="es-CO"/>
        </w:rPr>
        <w:t xml:space="preserve"> </w:t>
      </w:r>
      <w:r w:rsidR="00D23AC0">
        <w:rPr>
          <w:rFonts w:ascii="Arial" w:hAnsi="Arial" w:cs="Arial"/>
          <w:lang w:val="es-CO"/>
        </w:rPr>
        <w:t xml:space="preserve">del proceso, </w:t>
      </w:r>
      <w:r w:rsidR="00B26398">
        <w:rPr>
          <w:rFonts w:ascii="Arial" w:hAnsi="Arial" w:cs="Arial"/>
          <w:lang w:val="es-CO"/>
        </w:rPr>
        <w:t xml:space="preserve">pretermitió agotar </w:t>
      </w:r>
      <w:r w:rsidR="00D23AC0">
        <w:rPr>
          <w:rFonts w:ascii="Arial" w:hAnsi="Arial" w:cs="Arial"/>
          <w:lang w:val="es-CO"/>
        </w:rPr>
        <w:t xml:space="preserve">los mecanismos ordinarios con que contaba, </w:t>
      </w:r>
      <w:r w:rsidRPr="00D23AC0">
        <w:rPr>
          <w:rFonts w:ascii="Arial" w:hAnsi="Arial" w:cs="Arial"/>
          <w:lang w:val="es-CO"/>
        </w:rPr>
        <w:t>y</w:t>
      </w:r>
      <w:r w:rsidR="00D23AC0">
        <w:rPr>
          <w:rFonts w:ascii="Arial" w:hAnsi="Arial" w:cs="Arial"/>
          <w:lang w:val="es-CO"/>
        </w:rPr>
        <w:t>,</w:t>
      </w:r>
      <w:r w:rsidRPr="00D23AC0">
        <w:rPr>
          <w:rFonts w:ascii="Arial" w:hAnsi="Arial" w:cs="Arial"/>
          <w:lang w:val="es-CO"/>
        </w:rPr>
        <w:t xml:space="preserve"> promovió el amparo diez (10) meses después </w:t>
      </w:r>
      <w:r w:rsidR="00D23AC0">
        <w:rPr>
          <w:rFonts w:ascii="Arial" w:hAnsi="Arial" w:cs="Arial"/>
          <w:lang w:val="es-CO"/>
        </w:rPr>
        <w:t xml:space="preserve">de que se dictara, es decir, </w:t>
      </w:r>
      <w:r w:rsidRPr="00D23AC0">
        <w:rPr>
          <w:rFonts w:ascii="Arial" w:hAnsi="Arial" w:cs="Arial"/>
          <w:lang w:val="es-CO"/>
        </w:rPr>
        <w:t xml:space="preserve">por fuera del término jurisprudencia de seis (6) meses.  </w:t>
      </w:r>
    </w:p>
    <w:p w:rsidR="00D23AC0" w:rsidRPr="00236282" w:rsidRDefault="00D23AC0" w:rsidP="000B365B">
      <w:pPr>
        <w:spacing w:line="360" w:lineRule="auto"/>
        <w:ind w:right="51"/>
        <w:jc w:val="both"/>
        <w:rPr>
          <w:rFonts w:ascii="Arial" w:hAnsi="Arial" w:cs="Arial"/>
          <w:sz w:val="16"/>
          <w:lang w:val="es-CO"/>
        </w:rPr>
      </w:pPr>
    </w:p>
    <w:p w:rsidR="002006BE" w:rsidRPr="00BE1A6B" w:rsidRDefault="00776D92" w:rsidP="00BE4C4D">
      <w:pPr>
        <w:spacing w:line="360" w:lineRule="auto"/>
        <w:jc w:val="both"/>
        <w:rPr>
          <w:color w:val="000000" w:themeColor="text1"/>
          <w:sz w:val="28"/>
          <w:szCs w:val="28"/>
          <w:lang w:eastAsia="es-CO"/>
        </w:rPr>
      </w:pPr>
      <w:r>
        <w:rPr>
          <w:rFonts w:ascii="Arial" w:hAnsi="Arial" w:cs="Arial"/>
        </w:rPr>
        <w:t>En conclusión</w:t>
      </w:r>
      <w:r w:rsidRPr="00333F8D">
        <w:rPr>
          <w:rFonts w:ascii="Arial" w:hAnsi="Arial" w:cs="Arial"/>
        </w:rPr>
        <w:t xml:space="preserve">, </w:t>
      </w:r>
      <w:r w:rsidR="00940B55">
        <w:rPr>
          <w:rFonts w:ascii="Arial" w:hAnsi="Arial" w:cs="Arial"/>
        </w:rPr>
        <w:t xml:space="preserve">se </w:t>
      </w:r>
      <w:r w:rsidR="00B26398">
        <w:rPr>
          <w:rFonts w:ascii="Arial" w:hAnsi="Arial" w:cs="Arial"/>
        </w:rPr>
        <w:t xml:space="preserve">confirmará parcialmente </w:t>
      </w:r>
      <w:r w:rsidR="008D6E5A">
        <w:rPr>
          <w:rFonts w:ascii="Arial" w:hAnsi="Arial" w:cs="Arial"/>
        </w:rPr>
        <w:t xml:space="preserve">el fallo opugnado en cuanto a la declaratoria de improcedencia </w:t>
      </w:r>
      <w:r w:rsidR="00B26398">
        <w:rPr>
          <w:rFonts w:ascii="Arial" w:hAnsi="Arial" w:cs="Arial"/>
        </w:rPr>
        <w:t xml:space="preserve">respecto de </w:t>
      </w:r>
      <w:r w:rsidR="00B26398" w:rsidRPr="00D23AC0">
        <w:rPr>
          <w:rFonts w:ascii="Arial" w:hAnsi="Arial" w:cs="Arial"/>
          <w:i/>
          <w:sz w:val="22"/>
          <w:lang w:val="es-CO"/>
        </w:rPr>
        <w:t>“La violación directa de la constitución”</w:t>
      </w:r>
      <w:r w:rsidR="00B26398">
        <w:rPr>
          <w:rFonts w:ascii="Arial" w:hAnsi="Arial" w:cs="Arial"/>
        </w:rPr>
        <w:t xml:space="preserve">, y se negará </w:t>
      </w:r>
      <w:r w:rsidR="008D6E5A">
        <w:rPr>
          <w:rFonts w:ascii="Arial" w:hAnsi="Arial" w:cs="Arial"/>
        </w:rPr>
        <w:t xml:space="preserve">la tutela </w:t>
      </w:r>
      <w:r w:rsidR="00B26398">
        <w:rPr>
          <w:rFonts w:ascii="Arial" w:hAnsi="Arial" w:cs="Arial"/>
        </w:rPr>
        <w:t>frente a los defectos fáctico, sustantivo y falta de motivación por inexistencia de vulneración</w:t>
      </w:r>
      <w:r w:rsidR="00940B55">
        <w:rPr>
          <w:rFonts w:ascii="Arial" w:hAnsi="Arial" w:cs="Arial"/>
          <w:color w:val="000000" w:themeColor="text1"/>
        </w:rPr>
        <w:t>.</w:t>
      </w:r>
    </w:p>
    <w:p w:rsidR="00C032BF" w:rsidRPr="00236282" w:rsidRDefault="00C032BF" w:rsidP="008C50CD">
      <w:pPr>
        <w:pStyle w:val="Corpsdetexte"/>
        <w:spacing w:line="360" w:lineRule="auto"/>
        <w:rPr>
          <w:rFonts w:ascii="Arial" w:hAnsi="Arial"/>
          <w:sz w:val="14"/>
          <w:szCs w:val="24"/>
        </w:rPr>
      </w:pPr>
    </w:p>
    <w:p w:rsidR="008C50CD" w:rsidRPr="006F52BC" w:rsidRDefault="008C50CD" w:rsidP="008C50CD">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ight="51" w:hanging="708"/>
        <w:rPr>
          <w:rFonts w:ascii="Arial" w:hAnsi="Arial" w:cs="Arial"/>
          <w:sz w:val="24"/>
          <w:szCs w:val="24"/>
          <w:lang w:val="es-ES"/>
        </w:rPr>
      </w:pPr>
      <w:r w:rsidRPr="006F52BC">
        <w:rPr>
          <w:rFonts w:ascii="Arial" w:hAnsi="Arial" w:cs="Arial"/>
          <w:sz w:val="24"/>
          <w:szCs w:val="24"/>
        </w:rPr>
        <w:t xml:space="preserve">LAS CONCLUSIONES </w:t>
      </w:r>
    </w:p>
    <w:p w:rsidR="008D6E5A" w:rsidRPr="00236282" w:rsidRDefault="008D6E5A" w:rsidP="0087196E">
      <w:pPr>
        <w:pStyle w:val="Corpsdetexte"/>
        <w:tabs>
          <w:tab w:val="clear" w:pos="0"/>
          <w:tab w:val="clear" w:pos="708"/>
          <w:tab w:val="clear" w:pos="1416"/>
          <w:tab w:val="left" w:pos="426"/>
        </w:tabs>
        <w:spacing w:line="360" w:lineRule="auto"/>
        <w:rPr>
          <w:rFonts w:ascii="Arial" w:hAnsi="Arial"/>
          <w:sz w:val="12"/>
          <w:szCs w:val="24"/>
          <w:lang w:val="es-CO"/>
        </w:rPr>
      </w:pPr>
    </w:p>
    <w:p w:rsidR="00236282" w:rsidRPr="00BE1A6B" w:rsidRDefault="00C032BF" w:rsidP="00236282">
      <w:pPr>
        <w:spacing w:line="360" w:lineRule="auto"/>
        <w:jc w:val="both"/>
        <w:rPr>
          <w:color w:val="000000" w:themeColor="text1"/>
          <w:sz w:val="28"/>
          <w:szCs w:val="28"/>
          <w:lang w:eastAsia="es-CO"/>
        </w:rPr>
      </w:pPr>
      <w:r w:rsidRPr="00833CB3">
        <w:rPr>
          <w:rFonts w:ascii="Arial" w:hAnsi="Arial"/>
          <w:lang w:val="es-CO"/>
        </w:rPr>
        <w:t xml:space="preserve">En armonía con lo expresado, (i) Se </w:t>
      </w:r>
      <w:r w:rsidR="00833CB3" w:rsidRPr="00833CB3">
        <w:rPr>
          <w:rFonts w:ascii="Arial" w:hAnsi="Arial"/>
          <w:lang w:val="es-CO"/>
        </w:rPr>
        <w:t xml:space="preserve">confirmará </w:t>
      </w:r>
      <w:r w:rsidR="00B26398">
        <w:rPr>
          <w:rFonts w:ascii="Arial" w:hAnsi="Arial"/>
          <w:lang w:val="es-CO"/>
        </w:rPr>
        <w:t xml:space="preserve">parcialmente </w:t>
      </w:r>
      <w:r w:rsidRPr="00833CB3">
        <w:rPr>
          <w:rFonts w:ascii="Arial" w:hAnsi="Arial" w:cs="Arial"/>
        </w:rPr>
        <w:t>el fallo reprochado</w:t>
      </w:r>
      <w:r w:rsidR="00236282">
        <w:rPr>
          <w:rFonts w:ascii="Arial" w:hAnsi="Arial" w:cs="Arial"/>
        </w:rPr>
        <w:t xml:space="preserve">; (ii) Se modificará su numeral 1º, para declarar improcedente la tutela respecto de </w:t>
      </w:r>
      <w:r w:rsidR="00236282" w:rsidRPr="00D23AC0">
        <w:rPr>
          <w:rFonts w:ascii="Arial" w:hAnsi="Arial" w:cs="Arial"/>
          <w:i/>
          <w:sz w:val="22"/>
          <w:lang w:val="es-CO"/>
        </w:rPr>
        <w:t>“La violación directa de la constitución”</w:t>
      </w:r>
      <w:r w:rsidR="00833CB3" w:rsidRPr="00833CB3">
        <w:rPr>
          <w:rFonts w:ascii="Arial" w:hAnsi="Arial" w:cs="Arial"/>
        </w:rPr>
        <w:t>;</w:t>
      </w:r>
      <w:r w:rsidRPr="00833CB3">
        <w:rPr>
          <w:rFonts w:ascii="Arial" w:hAnsi="Arial" w:cs="Arial"/>
        </w:rPr>
        <w:t xml:space="preserve"> </w:t>
      </w:r>
      <w:r w:rsidR="00B26398">
        <w:rPr>
          <w:rFonts w:ascii="Arial" w:hAnsi="Arial" w:cs="Arial"/>
        </w:rPr>
        <w:t>y</w:t>
      </w:r>
      <w:r w:rsidR="00236282">
        <w:rPr>
          <w:rFonts w:ascii="Arial" w:hAnsi="Arial" w:cs="Arial"/>
        </w:rPr>
        <w:t>,</w:t>
      </w:r>
      <w:r w:rsidR="00B26398">
        <w:rPr>
          <w:rFonts w:ascii="Arial" w:hAnsi="Arial" w:cs="Arial"/>
        </w:rPr>
        <w:t xml:space="preserve"> </w:t>
      </w:r>
      <w:r w:rsidRPr="00833CB3">
        <w:rPr>
          <w:rFonts w:ascii="Arial" w:hAnsi="Arial" w:cs="Arial"/>
        </w:rPr>
        <w:t>(</w:t>
      </w:r>
      <w:r w:rsidR="00236282">
        <w:rPr>
          <w:rFonts w:ascii="Arial" w:hAnsi="Arial" w:cs="Arial"/>
        </w:rPr>
        <w:t>i</w:t>
      </w:r>
      <w:r w:rsidRPr="00833CB3">
        <w:rPr>
          <w:rFonts w:ascii="Arial" w:hAnsi="Arial" w:cs="Arial"/>
        </w:rPr>
        <w:t xml:space="preserve">ii) </w:t>
      </w:r>
      <w:r w:rsidR="00C96C85" w:rsidRPr="00833CB3">
        <w:rPr>
          <w:rFonts w:ascii="Arial" w:hAnsi="Arial" w:cs="Arial"/>
        </w:rPr>
        <w:t xml:space="preserve">Se </w:t>
      </w:r>
      <w:r w:rsidR="008D6E5A">
        <w:rPr>
          <w:rFonts w:ascii="Arial" w:hAnsi="Arial" w:cs="Arial"/>
        </w:rPr>
        <w:t xml:space="preserve">negará </w:t>
      </w:r>
      <w:r w:rsidR="00236282">
        <w:rPr>
          <w:rFonts w:ascii="Arial" w:hAnsi="Arial" w:cs="Arial"/>
        </w:rPr>
        <w:t>frente a los defectos fáctico, sustantivo y falta de motivación por inexistencia de vulneración</w:t>
      </w:r>
      <w:r w:rsidR="00236282">
        <w:rPr>
          <w:rFonts w:ascii="Arial" w:hAnsi="Arial" w:cs="Arial"/>
          <w:color w:val="000000" w:themeColor="text1"/>
        </w:rPr>
        <w:t>.</w:t>
      </w:r>
    </w:p>
    <w:p w:rsidR="008C24B1" w:rsidRPr="00236282" w:rsidRDefault="008C24B1" w:rsidP="0087196E">
      <w:pPr>
        <w:pStyle w:val="Corpsdetexte"/>
        <w:tabs>
          <w:tab w:val="clear" w:pos="0"/>
          <w:tab w:val="clear" w:pos="708"/>
          <w:tab w:val="clear" w:pos="1416"/>
          <w:tab w:val="left" w:pos="426"/>
        </w:tabs>
        <w:spacing w:line="360" w:lineRule="auto"/>
        <w:rPr>
          <w:rFonts w:ascii="Arial" w:hAnsi="Arial"/>
          <w:sz w:val="16"/>
          <w:szCs w:val="24"/>
        </w:rPr>
      </w:pPr>
    </w:p>
    <w:p w:rsidR="00C032BF" w:rsidRDefault="00C032BF" w:rsidP="00C032BF">
      <w:pPr>
        <w:tabs>
          <w:tab w:val="left" w:pos="-720"/>
        </w:tabs>
        <w:suppressAutoHyphens/>
        <w:spacing w:line="360" w:lineRule="auto"/>
        <w:jc w:val="both"/>
        <w:rPr>
          <w:rFonts w:ascii="Arial" w:hAnsi="Arial" w:cs="Arial"/>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p>
    <w:p w:rsidR="00C032BF" w:rsidRDefault="00C032BF" w:rsidP="00C032BF">
      <w:pPr>
        <w:pStyle w:val="Corpsdetexte"/>
        <w:tabs>
          <w:tab w:val="left" w:pos="3155"/>
          <w:tab w:val="center" w:pos="4703"/>
        </w:tabs>
        <w:spacing w:line="360" w:lineRule="auto"/>
        <w:jc w:val="center"/>
        <w:rPr>
          <w:rFonts w:ascii="Arial" w:hAnsi="Arial" w:cs="Arial"/>
          <w:bCs/>
          <w:smallCaps/>
          <w:sz w:val="24"/>
          <w:szCs w:val="24"/>
        </w:rPr>
      </w:pPr>
      <w:r w:rsidRPr="00D108C2">
        <w:rPr>
          <w:rFonts w:ascii="Arial" w:hAnsi="Arial" w:cs="Arial"/>
          <w:bCs/>
          <w:smallCaps/>
          <w:sz w:val="24"/>
          <w:szCs w:val="24"/>
        </w:rPr>
        <w:t xml:space="preserve">F A L </w:t>
      </w:r>
      <w:proofErr w:type="spellStart"/>
      <w:r w:rsidRPr="00D108C2">
        <w:rPr>
          <w:rFonts w:ascii="Arial" w:hAnsi="Arial" w:cs="Arial"/>
          <w:bCs/>
          <w:smallCaps/>
          <w:sz w:val="24"/>
          <w:szCs w:val="24"/>
        </w:rPr>
        <w:t>L</w:t>
      </w:r>
      <w:proofErr w:type="spellEnd"/>
      <w:r w:rsidRPr="00D108C2">
        <w:rPr>
          <w:rFonts w:ascii="Arial" w:hAnsi="Arial" w:cs="Arial"/>
          <w:bCs/>
          <w:smallCaps/>
          <w:sz w:val="24"/>
          <w:szCs w:val="24"/>
        </w:rPr>
        <w:t xml:space="preserve"> A,</w:t>
      </w:r>
    </w:p>
    <w:p w:rsidR="00C032BF" w:rsidRPr="00236282" w:rsidRDefault="00C032BF" w:rsidP="00C032BF">
      <w:pPr>
        <w:pStyle w:val="Corpsdetexte"/>
        <w:tabs>
          <w:tab w:val="left" w:pos="3155"/>
          <w:tab w:val="center" w:pos="4703"/>
        </w:tabs>
        <w:spacing w:line="360" w:lineRule="auto"/>
        <w:jc w:val="center"/>
        <w:rPr>
          <w:rFonts w:ascii="Arial" w:hAnsi="Arial" w:cs="Arial"/>
          <w:bCs/>
          <w:smallCaps/>
          <w:szCs w:val="24"/>
        </w:rPr>
      </w:pPr>
    </w:p>
    <w:p w:rsidR="00C032BF" w:rsidRDefault="00833CB3" w:rsidP="00C032BF">
      <w:pPr>
        <w:pStyle w:val="Corpsdetexte"/>
        <w:numPr>
          <w:ilvl w:val="0"/>
          <w:numId w:val="21"/>
        </w:numPr>
        <w:tabs>
          <w:tab w:val="clear" w:pos="708"/>
          <w:tab w:val="clear" w:pos="1416"/>
          <w:tab w:val="left" w:pos="426"/>
        </w:tabs>
        <w:spacing w:line="360" w:lineRule="auto"/>
        <w:ind w:left="426" w:hanging="426"/>
        <w:rPr>
          <w:rFonts w:ascii="Arial" w:hAnsi="Arial"/>
          <w:sz w:val="24"/>
          <w:szCs w:val="24"/>
        </w:rPr>
      </w:pPr>
      <w:r>
        <w:rPr>
          <w:rFonts w:ascii="Arial" w:hAnsi="Arial"/>
          <w:sz w:val="24"/>
          <w:szCs w:val="24"/>
        </w:rPr>
        <w:t xml:space="preserve">CONFIRMAR </w:t>
      </w:r>
      <w:r w:rsidR="008D6E5A">
        <w:rPr>
          <w:rFonts w:ascii="Arial" w:hAnsi="Arial"/>
          <w:sz w:val="24"/>
          <w:szCs w:val="24"/>
        </w:rPr>
        <w:t xml:space="preserve">parcialmente </w:t>
      </w:r>
      <w:r w:rsidR="008D6E5A" w:rsidRPr="00D108C2">
        <w:rPr>
          <w:rFonts w:ascii="Arial" w:hAnsi="Arial"/>
          <w:sz w:val="24"/>
          <w:szCs w:val="24"/>
        </w:rPr>
        <w:t xml:space="preserve">la sentencia </w:t>
      </w:r>
      <w:r w:rsidR="00C032BF" w:rsidRPr="00D108C2">
        <w:rPr>
          <w:rFonts w:ascii="Arial" w:hAnsi="Arial"/>
          <w:sz w:val="24"/>
          <w:szCs w:val="24"/>
        </w:rPr>
        <w:t xml:space="preserve">fechada el día </w:t>
      </w:r>
      <w:r w:rsidR="008D6E5A">
        <w:rPr>
          <w:rFonts w:ascii="Arial" w:hAnsi="Arial"/>
          <w:sz w:val="24"/>
          <w:szCs w:val="24"/>
        </w:rPr>
        <w:t xml:space="preserve">31-10-2016 </w:t>
      </w:r>
      <w:r w:rsidR="00C032BF" w:rsidRPr="00D108C2">
        <w:rPr>
          <w:rFonts w:ascii="Arial" w:hAnsi="Arial"/>
          <w:sz w:val="24"/>
          <w:szCs w:val="24"/>
        </w:rPr>
        <w:t xml:space="preserve">del Juzgado </w:t>
      </w:r>
      <w:r w:rsidR="008D6E5A">
        <w:rPr>
          <w:rFonts w:ascii="Arial" w:hAnsi="Arial"/>
          <w:sz w:val="24"/>
          <w:szCs w:val="24"/>
        </w:rPr>
        <w:t xml:space="preserve">Promiscuo del Circuito de </w:t>
      </w:r>
      <w:proofErr w:type="spellStart"/>
      <w:r w:rsidR="008D6E5A">
        <w:rPr>
          <w:rFonts w:ascii="Arial" w:hAnsi="Arial"/>
          <w:sz w:val="24"/>
          <w:szCs w:val="24"/>
        </w:rPr>
        <w:t>Apía</w:t>
      </w:r>
      <w:proofErr w:type="spellEnd"/>
      <w:r w:rsidR="00C032BF">
        <w:rPr>
          <w:rFonts w:ascii="Arial" w:hAnsi="Arial"/>
          <w:sz w:val="24"/>
          <w:szCs w:val="24"/>
        </w:rPr>
        <w:t>.</w:t>
      </w:r>
    </w:p>
    <w:p w:rsidR="0000148D" w:rsidRPr="00236282" w:rsidRDefault="0000148D" w:rsidP="0000148D">
      <w:pPr>
        <w:pStyle w:val="Corpsdetexte"/>
        <w:tabs>
          <w:tab w:val="clear" w:pos="708"/>
          <w:tab w:val="clear" w:pos="1416"/>
          <w:tab w:val="left" w:pos="426"/>
        </w:tabs>
        <w:spacing w:line="360" w:lineRule="auto"/>
        <w:ind w:left="426"/>
        <w:rPr>
          <w:rFonts w:ascii="Arial" w:hAnsi="Arial"/>
          <w:sz w:val="18"/>
          <w:szCs w:val="24"/>
        </w:rPr>
      </w:pPr>
    </w:p>
    <w:p w:rsidR="00236282" w:rsidRPr="00236282" w:rsidRDefault="00236282" w:rsidP="00476613">
      <w:pPr>
        <w:pStyle w:val="Corpsdetexte"/>
        <w:numPr>
          <w:ilvl w:val="0"/>
          <w:numId w:val="21"/>
        </w:numPr>
        <w:tabs>
          <w:tab w:val="clear" w:pos="708"/>
          <w:tab w:val="clear" w:pos="1416"/>
          <w:tab w:val="left" w:pos="426"/>
        </w:tabs>
        <w:spacing w:line="360" w:lineRule="auto"/>
        <w:ind w:left="426" w:hanging="426"/>
        <w:rPr>
          <w:rFonts w:ascii="Arial" w:hAnsi="Arial"/>
          <w:color w:val="000000" w:themeColor="text1"/>
          <w:sz w:val="24"/>
          <w:szCs w:val="24"/>
        </w:rPr>
      </w:pPr>
      <w:r>
        <w:rPr>
          <w:rFonts w:ascii="Arial" w:hAnsi="Arial"/>
          <w:color w:val="000000" w:themeColor="text1"/>
          <w:sz w:val="24"/>
          <w:szCs w:val="24"/>
        </w:rPr>
        <w:t xml:space="preserve">MODIFICAR el numeral 1º de la sentencia opugnada, en el sentido de DECLARAR IMPROCEDENTE la acción constitucional propuesta </w:t>
      </w:r>
      <w:r>
        <w:rPr>
          <w:rFonts w:ascii="Arial" w:hAnsi="Arial"/>
          <w:sz w:val="24"/>
          <w:szCs w:val="24"/>
        </w:rPr>
        <w:t xml:space="preserve">frente al Juzgado Promiscuo </w:t>
      </w:r>
      <w:r>
        <w:rPr>
          <w:rFonts w:ascii="Arial" w:hAnsi="Arial"/>
          <w:sz w:val="24"/>
          <w:szCs w:val="24"/>
        </w:rPr>
        <w:lastRenderedPageBreak/>
        <w:t xml:space="preserve">Municipal de </w:t>
      </w:r>
      <w:proofErr w:type="spellStart"/>
      <w:r>
        <w:rPr>
          <w:rFonts w:ascii="Arial" w:hAnsi="Arial"/>
          <w:sz w:val="24"/>
          <w:szCs w:val="24"/>
        </w:rPr>
        <w:t>Apía</w:t>
      </w:r>
      <w:proofErr w:type="spellEnd"/>
      <w:r>
        <w:rPr>
          <w:rFonts w:ascii="Arial" w:hAnsi="Arial"/>
          <w:sz w:val="24"/>
          <w:szCs w:val="24"/>
        </w:rPr>
        <w:t>,</w:t>
      </w:r>
      <w:r>
        <w:rPr>
          <w:rFonts w:ascii="Arial" w:hAnsi="Arial"/>
          <w:color w:val="000000" w:themeColor="text1"/>
          <w:sz w:val="24"/>
          <w:szCs w:val="24"/>
        </w:rPr>
        <w:t xml:space="preserve"> por estar incumplidos los presupuestos de la subsidiariedad e inmediatez </w:t>
      </w:r>
      <w:r w:rsidR="00AB18F3">
        <w:rPr>
          <w:rFonts w:ascii="Arial" w:hAnsi="Arial"/>
          <w:color w:val="000000" w:themeColor="text1"/>
          <w:sz w:val="24"/>
          <w:szCs w:val="24"/>
        </w:rPr>
        <w:t xml:space="preserve">únicamente en </w:t>
      </w:r>
      <w:r>
        <w:rPr>
          <w:rFonts w:ascii="Arial" w:hAnsi="Arial"/>
          <w:color w:val="000000" w:themeColor="text1"/>
          <w:sz w:val="24"/>
          <w:szCs w:val="24"/>
        </w:rPr>
        <w:t xml:space="preserve">lo que se refiere a la </w:t>
      </w:r>
      <w:r w:rsidRPr="00D23AC0">
        <w:rPr>
          <w:rFonts w:ascii="Arial" w:hAnsi="Arial" w:cs="Arial"/>
          <w:i/>
          <w:sz w:val="22"/>
          <w:lang w:val="es-CO"/>
        </w:rPr>
        <w:t>“La violación directa de la constitución”</w:t>
      </w:r>
      <w:r>
        <w:rPr>
          <w:rFonts w:ascii="Arial" w:hAnsi="Arial" w:cs="Arial"/>
          <w:i/>
          <w:sz w:val="22"/>
          <w:lang w:val="es-CO"/>
        </w:rPr>
        <w:t>.</w:t>
      </w:r>
    </w:p>
    <w:p w:rsidR="00236282" w:rsidRPr="00236282" w:rsidRDefault="00236282" w:rsidP="00236282">
      <w:pPr>
        <w:pStyle w:val="Paragraphedeliste"/>
        <w:rPr>
          <w:rFonts w:ascii="Arial" w:hAnsi="Arial"/>
          <w:sz w:val="18"/>
          <w:szCs w:val="24"/>
        </w:rPr>
      </w:pPr>
    </w:p>
    <w:p w:rsidR="00AF3435" w:rsidRPr="006255B8" w:rsidRDefault="008D6E5A" w:rsidP="00476613">
      <w:pPr>
        <w:pStyle w:val="Corpsdetexte"/>
        <w:numPr>
          <w:ilvl w:val="0"/>
          <w:numId w:val="21"/>
        </w:numPr>
        <w:tabs>
          <w:tab w:val="clear" w:pos="708"/>
          <w:tab w:val="clear" w:pos="1416"/>
          <w:tab w:val="left" w:pos="426"/>
        </w:tabs>
        <w:spacing w:line="360" w:lineRule="auto"/>
        <w:ind w:left="426" w:hanging="426"/>
        <w:rPr>
          <w:rFonts w:ascii="Arial" w:hAnsi="Arial"/>
          <w:color w:val="000000" w:themeColor="text1"/>
          <w:sz w:val="24"/>
          <w:szCs w:val="24"/>
        </w:rPr>
      </w:pPr>
      <w:r w:rsidRPr="00236282">
        <w:rPr>
          <w:rFonts w:ascii="Arial" w:hAnsi="Arial"/>
          <w:sz w:val="24"/>
          <w:szCs w:val="24"/>
        </w:rPr>
        <w:t>NEGAR el amparo constitucional</w:t>
      </w:r>
      <w:r w:rsidR="00236282" w:rsidRPr="00236282">
        <w:rPr>
          <w:rFonts w:ascii="Arial" w:hAnsi="Arial"/>
          <w:sz w:val="24"/>
          <w:szCs w:val="24"/>
        </w:rPr>
        <w:t xml:space="preserve"> </w:t>
      </w:r>
      <w:r w:rsidR="00236282">
        <w:rPr>
          <w:rFonts w:ascii="Arial" w:hAnsi="Arial"/>
          <w:sz w:val="24"/>
          <w:szCs w:val="24"/>
        </w:rPr>
        <w:t xml:space="preserve">respecto de los </w:t>
      </w:r>
      <w:r w:rsidR="00236282" w:rsidRPr="00236282">
        <w:rPr>
          <w:rFonts w:ascii="Arial" w:hAnsi="Arial" w:cs="Arial"/>
          <w:sz w:val="24"/>
          <w:szCs w:val="24"/>
        </w:rPr>
        <w:t>defectos fáctico, sustantivo y falta de motivación por inexistencia de vulneración</w:t>
      </w:r>
      <w:r w:rsidR="00236282">
        <w:rPr>
          <w:rFonts w:ascii="Arial" w:hAnsi="Arial" w:cs="Arial"/>
          <w:sz w:val="24"/>
          <w:szCs w:val="24"/>
        </w:rPr>
        <w:t xml:space="preserve"> o amenaza</w:t>
      </w:r>
      <w:r w:rsidR="006255B8">
        <w:rPr>
          <w:rFonts w:ascii="Arial" w:hAnsi="Arial" w:cs="Arial"/>
          <w:color w:val="000000"/>
          <w:sz w:val="24"/>
          <w:szCs w:val="24"/>
        </w:rPr>
        <w:t>.</w:t>
      </w:r>
    </w:p>
    <w:p w:rsidR="006255B8" w:rsidRPr="00236282" w:rsidRDefault="006255B8" w:rsidP="006255B8">
      <w:pPr>
        <w:pStyle w:val="Corpsdetexte"/>
        <w:tabs>
          <w:tab w:val="clear" w:pos="708"/>
          <w:tab w:val="clear" w:pos="1416"/>
          <w:tab w:val="left" w:pos="426"/>
        </w:tabs>
        <w:spacing w:line="360" w:lineRule="auto"/>
        <w:ind w:left="426"/>
        <w:rPr>
          <w:rFonts w:ascii="Arial" w:hAnsi="Arial"/>
          <w:color w:val="000000" w:themeColor="text1"/>
          <w:szCs w:val="24"/>
        </w:rPr>
      </w:pPr>
      <w:bookmarkStart w:id="0" w:name="_GoBack"/>
      <w:bookmarkEnd w:id="0"/>
    </w:p>
    <w:p w:rsidR="00C032BF" w:rsidRPr="00E24FB8" w:rsidRDefault="00C032BF" w:rsidP="00E24FB8">
      <w:pPr>
        <w:pStyle w:val="Corpsdetexte"/>
        <w:numPr>
          <w:ilvl w:val="0"/>
          <w:numId w:val="21"/>
        </w:numPr>
        <w:tabs>
          <w:tab w:val="clear" w:pos="708"/>
          <w:tab w:val="clear" w:pos="1416"/>
          <w:tab w:val="num" w:pos="360"/>
          <w:tab w:val="left" w:pos="426"/>
        </w:tabs>
        <w:spacing w:line="360" w:lineRule="auto"/>
        <w:ind w:left="426" w:hanging="426"/>
        <w:rPr>
          <w:rFonts w:ascii="Arial" w:hAnsi="Arial"/>
          <w:color w:val="000000" w:themeColor="text1"/>
          <w:sz w:val="24"/>
          <w:szCs w:val="24"/>
        </w:rPr>
      </w:pPr>
      <w:r w:rsidRPr="00E24FB8">
        <w:rPr>
          <w:rFonts w:ascii="Arial" w:hAnsi="Arial"/>
          <w:color w:val="000000" w:themeColor="text1"/>
          <w:sz w:val="24"/>
          <w:szCs w:val="24"/>
        </w:rPr>
        <w:t>NOTIFICAR esta decisión a todas las partes, por el medio más expedito y eficaz.</w:t>
      </w:r>
    </w:p>
    <w:p w:rsidR="00C032BF" w:rsidRPr="00236282" w:rsidRDefault="00C032BF" w:rsidP="00E24FB8">
      <w:pPr>
        <w:pStyle w:val="Corpsdetexte"/>
        <w:tabs>
          <w:tab w:val="clear" w:pos="708"/>
          <w:tab w:val="clear" w:pos="1416"/>
          <w:tab w:val="left" w:pos="426"/>
        </w:tabs>
        <w:spacing w:line="360" w:lineRule="auto"/>
        <w:ind w:left="426"/>
        <w:rPr>
          <w:rFonts w:ascii="Arial" w:hAnsi="Arial"/>
          <w:color w:val="000000" w:themeColor="text1"/>
          <w:szCs w:val="24"/>
        </w:rPr>
      </w:pPr>
    </w:p>
    <w:p w:rsidR="00C032BF" w:rsidRPr="00E24FB8" w:rsidRDefault="00C032BF" w:rsidP="00E24FB8">
      <w:pPr>
        <w:pStyle w:val="Corpsdetexte"/>
        <w:numPr>
          <w:ilvl w:val="0"/>
          <w:numId w:val="21"/>
        </w:numPr>
        <w:tabs>
          <w:tab w:val="clear" w:pos="708"/>
          <w:tab w:val="clear" w:pos="1416"/>
          <w:tab w:val="num" w:pos="360"/>
          <w:tab w:val="left" w:pos="426"/>
        </w:tabs>
        <w:spacing w:line="360" w:lineRule="auto"/>
        <w:ind w:left="426" w:hanging="426"/>
        <w:rPr>
          <w:rFonts w:ascii="Arial" w:hAnsi="Arial"/>
          <w:color w:val="000000" w:themeColor="text1"/>
          <w:sz w:val="24"/>
          <w:szCs w:val="24"/>
        </w:rPr>
      </w:pPr>
      <w:r w:rsidRPr="00E24FB8">
        <w:rPr>
          <w:rFonts w:ascii="Arial" w:hAnsi="Arial"/>
          <w:color w:val="000000" w:themeColor="text1"/>
          <w:sz w:val="24"/>
          <w:szCs w:val="24"/>
        </w:rPr>
        <w:t>REMITIR este expediente a la Corte Constitucional para su eventual revisión.</w:t>
      </w:r>
    </w:p>
    <w:p w:rsidR="003913E3" w:rsidRPr="00236282"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6"/>
          <w:lang w:val="es-ES_tradnl"/>
        </w:rPr>
      </w:pPr>
    </w:p>
    <w:p w:rsidR="003913E3" w:rsidRPr="00C53999" w:rsidRDefault="003913E3" w:rsidP="00F839CE">
      <w:pPr>
        <w:pStyle w:val="Corpsdetexte"/>
        <w:spacing w:line="360" w:lineRule="auto"/>
        <w:jc w:val="center"/>
        <w:rPr>
          <w:rFonts w:ascii="Arial" w:hAnsi="Arial"/>
          <w:smallCaps/>
          <w:sz w:val="22"/>
          <w:szCs w:val="24"/>
          <w:lang w:val="en-US"/>
        </w:rPr>
      </w:pPr>
      <w:proofErr w:type="spellStart"/>
      <w:r w:rsidRPr="005069CE">
        <w:rPr>
          <w:rFonts w:ascii="Arial" w:hAnsi="Arial"/>
          <w:smallCaps/>
          <w:sz w:val="24"/>
          <w:szCs w:val="24"/>
          <w:lang w:val="en-US"/>
        </w:rPr>
        <w:t>Notifíquese</w:t>
      </w:r>
      <w:proofErr w:type="spellEnd"/>
      <w:r w:rsidRPr="005069CE">
        <w:rPr>
          <w:rFonts w:ascii="Arial" w:hAnsi="Arial"/>
          <w:smallCaps/>
          <w:sz w:val="24"/>
          <w:szCs w:val="24"/>
          <w:lang w:val="en-US"/>
        </w:rPr>
        <w:t>,</w:t>
      </w:r>
    </w:p>
    <w:p w:rsidR="005424E8" w:rsidRPr="00236282" w:rsidRDefault="005424E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6"/>
          <w:lang w:val="en-US"/>
        </w:rPr>
      </w:pPr>
    </w:p>
    <w:p w:rsidR="0000148D" w:rsidRDefault="0000148D"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0D55C9" w:rsidRPr="002D619F" w:rsidRDefault="000D55C9"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F72D3F" w:rsidRPr="001F3FA3"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1F3FA3">
        <w:rPr>
          <w:rFonts w:ascii="Arial" w:hAnsi="Arial" w:cs="Arial"/>
          <w:spacing w:val="-3"/>
          <w:w w:val="150"/>
          <w:sz w:val="32"/>
          <w:szCs w:val="18"/>
          <w:lang w:val="en-US"/>
        </w:rPr>
        <w:t>D</w:t>
      </w:r>
      <w:r w:rsidRPr="001F3FA3">
        <w:rPr>
          <w:rFonts w:ascii="Arial" w:hAnsi="Arial" w:cs="Arial"/>
          <w:spacing w:val="-3"/>
          <w:w w:val="150"/>
          <w:sz w:val="18"/>
          <w:szCs w:val="18"/>
          <w:lang w:val="en-US"/>
        </w:rPr>
        <w:t xml:space="preserve">UBERNEY </w:t>
      </w:r>
      <w:r w:rsidRPr="001F3FA3">
        <w:rPr>
          <w:rFonts w:ascii="Arial" w:hAnsi="Arial" w:cs="Arial"/>
          <w:spacing w:val="-3"/>
          <w:w w:val="150"/>
          <w:sz w:val="28"/>
          <w:szCs w:val="18"/>
          <w:lang w:val="en-US"/>
        </w:rPr>
        <w:t>G</w:t>
      </w:r>
      <w:r w:rsidRPr="001F3FA3">
        <w:rPr>
          <w:rFonts w:ascii="Arial" w:hAnsi="Arial" w:cs="Arial"/>
          <w:spacing w:val="-3"/>
          <w:w w:val="150"/>
          <w:sz w:val="18"/>
          <w:szCs w:val="18"/>
          <w:lang w:val="en-US"/>
        </w:rPr>
        <w:t xml:space="preserve">RISALES </w:t>
      </w:r>
      <w:r w:rsidRPr="001F3FA3">
        <w:rPr>
          <w:rFonts w:ascii="Arial" w:hAnsi="Arial" w:cs="Arial"/>
          <w:spacing w:val="-3"/>
          <w:w w:val="150"/>
          <w:sz w:val="28"/>
          <w:szCs w:val="18"/>
          <w:lang w:val="en-US"/>
        </w:rPr>
        <w:t>H</w:t>
      </w:r>
      <w:r w:rsidRPr="001F3FA3">
        <w:rPr>
          <w:rFonts w:ascii="Arial" w:hAnsi="Arial" w:cs="Arial"/>
          <w:spacing w:val="-3"/>
          <w:w w:val="150"/>
          <w:sz w:val="18"/>
          <w:szCs w:val="18"/>
          <w:lang w:val="en-US"/>
        </w:rPr>
        <w:t>ERRERA</w:t>
      </w:r>
    </w:p>
    <w:p w:rsidR="00F72D3F" w:rsidRPr="001F3FA3"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US"/>
        </w:rPr>
      </w:pPr>
      <w:r w:rsidRPr="001F3FA3">
        <w:rPr>
          <w:rFonts w:ascii="Arial" w:hAnsi="Arial" w:cs="Arial"/>
          <w:spacing w:val="-3"/>
          <w:w w:val="150"/>
          <w:sz w:val="32"/>
          <w:lang w:val="en-US"/>
        </w:rPr>
        <w:t>M</w:t>
      </w:r>
      <w:r w:rsidRPr="001F3FA3">
        <w:rPr>
          <w:rFonts w:ascii="Arial" w:hAnsi="Arial" w:cs="Arial"/>
          <w:spacing w:val="-3"/>
          <w:w w:val="150"/>
          <w:sz w:val="16"/>
          <w:lang w:val="en-US"/>
        </w:rPr>
        <w:t xml:space="preserve"> </w:t>
      </w:r>
      <w:r w:rsidRPr="001F3FA3">
        <w:rPr>
          <w:rFonts w:ascii="Arial" w:hAnsi="Arial" w:cs="Arial"/>
          <w:spacing w:val="-3"/>
          <w:w w:val="150"/>
          <w:sz w:val="18"/>
          <w:szCs w:val="20"/>
          <w:lang w:val="en-US"/>
        </w:rPr>
        <w:t>A G I S T R A D O</w:t>
      </w:r>
    </w:p>
    <w:p w:rsidR="00F72D3F" w:rsidRPr="00236282"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0"/>
          <w:szCs w:val="18"/>
          <w:lang w:val="en-US"/>
        </w:rPr>
      </w:pPr>
    </w:p>
    <w:p w:rsidR="0000148D" w:rsidRPr="001F3FA3" w:rsidRDefault="0000148D"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n-US"/>
        </w:rPr>
      </w:pPr>
    </w:p>
    <w:p w:rsidR="000D55C9" w:rsidRDefault="000D55C9"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n-US"/>
        </w:rPr>
      </w:pPr>
    </w:p>
    <w:p w:rsidR="00D23AC0" w:rsidRDefault="00D23AC0"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n-US"/>
        </w:rPr>
      </w:pPr>
    </w:p>
    <w:p w:rsidR="00D23AC0" w:rsidRDefault="00D23AC0"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n-US"/>
        </w:rPr>
      </w:pPr>
    </w:p>
    <w:p w:rsidR="00D23AC0" w:rsidRPr="001F3FA3" w:rsidRDefault="00D23AC0"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n-US"/>
        </w:rPr>
      </w:pPr>
    </w:p>
    <w:p w:rsidR="00F72D3F" w:rsidRPr="001F3FA3"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1F3FA3">
        <w:rPr>
          <w:rFonts w:ascii="Arial" w:hAnsi="Arial"/>
          <w:w w:val="150"/>
          <w:sz w:val="28"/>
          <w:szCs w:val="18"/>
          <w:lang w:val="en-US"/>
        </w:rPr>
        <w:t>E</w:t>
      </w:r>
      <w:r w:rsidRPr="001F3FA3">
        <w:rPr>
          <w:rFonts w:ascii="Arial" w:hAnsi="Arial"/>
          <w:w w:val="150"/>
          <w:sz w:val="18"/>
          <w:szCs w:val="18"/>
          <w:lang w:val="en-US"/>
        </w:rPr>
        <w:t>DDER</w:t>
      </w:r>
      <w:r w:rsidRPr="001F3FA3">
        <w:rPr>
          <w:rFonts w:ascii="Arial" w:hAnsi="Arial"/>
          <w:w w:val="150"/>
          <w:sz w:val="18"/>
          <w:lang w:val="en-US"/>
        </w:rPr>
        <w:t xml:space="preserve"> </w:t>
      </w:r>
      <w:r w:rsidRPr="001F3FA3">
        <w:rPr>
          <w:rFonts w:ascii="Arial" w:hAnsi="Arial"/>
          <w:w w:val="150"/>
          <w:sz w:val="28"/>
          <w:lang w:val="en-US"/>
        </w:rPr>
        <w:t>J</w:t>
      </w:r>
      <w:r w:rsidRPr="001F3FA3">
        <w:rPr>
          <w:rFonts w:ascii="Arial" w:hAnsi="Arial"/>
          <w:w w:val="150"/>
          <w:sz w:val="18"/>
          <w:szCs w:val="18"/>
          <w:lang w:val="en-US"/>
        </w:rPr>
        <w:t xml:space="preserve">IMMY </w:t>
      </w:r>
      <w:r w:rsidRPr="001F3FA3">
        <w:rPr>
          <w:rFonts w:ascii="Arial" w:hAnsi="Arial"/>
          <w:w w:val="150"/>
          <w:sz w:val="28"/>
          <w:lang w:val="en-US"/>
        </w:rPr>
        <w:t>S</w:t>
      </w:r>
      <w:r w:rsidRPr="001F3FA3">
        <w:rPr>
          <w:rFonts w:ascii="Arial" w:hAnsi="Arial"/>
          <w:w w:val="150"/>
          <w:sz w:val="18"/>
          <w:szCs w:val="18"/>
          <w:lang w:val="en-US"/>
        </w:rPr>
        <w:t xml:space="preserve">ÁNCHEZ </w:t>
      </w:r>
      <w:r w:rsidRPr="001F3FA3">
        <w:rPr>
          <w:rFonts w:ascii="Arial" w:hAnsi="Arial"/>
          <w:w w:val="150"/>
          <w:sz w:val="28"/>
          <w:szCs w:val="18"/>
          <w:lang w:val="en-US"/>
        </w:rPr>
        <w:t>C.</w:t>
      </w:r>
      <w:r w:rsidR="006618F4" w:rsidRPr="001F3FA3">
        <w:rPr>
          <w:rFonts w:ascii="Arial" w:hAnsi="Arial"/>
          <w:w w:val="150"/>
          <w:sz w:val="28"/>
          <w:szCs w:val="18"/>
          <w:lang w:val="en-US"/>
        </w:rPr>
        <w:tab/>
      </w:r>
      <w:r w:rsidR="006618F4" w:rsidRPr="001F3FA3">
        <w:rPr>
          <w:rFonts w:ascii="Arial" w:hAnsi="Arial"/>
          <w:w w:val="150"/>
          <w:sz w:val="28"/>
          <w:szCs w:val="18"/>
          <w:lang w:val="en-US"/>
        </w:rPr>
        <w:tab/>
      </w:r>
      <w:r w:rsidR="00F75CEC" w:rsidRPr="001F3FA3">
        <w:rPr>
          <w:rFonts w:ascii="Arial" w:hAnsi="Arial"/>
          <w:w w:val="150"/>
          <w:sz w:val="28"/>
          <w:szCs w:val="18"/>
          <w:lang w:val="en-US"/>
        </w:rPr>
        <w:t xml:space="preserve">   </w:t>
      </w:r>
      <w:r w:rsidR="006618F4" w:rsidRPr="001F3FA3">
        <w:rPr>
          <w:rFonts w:ascii="Arial" w:hAnsi="Arial" w:cs="Arial"/>
          <w:spacing w:val="-3"/>
          <w:w w:val="150"/>
          <w:sz w:val="28"/>
          <w:szCs w:val="18"/>
          <w:lang w:val="en-US"/>
        </w:rPr>
        <w:t>J</w:t>
      </w:r>
      <w:r w:rsidR="006618F4" w:rsidRPr="001F3FA3">
        <w:rPr>
          <w:rFonts w:ascii="Arial" w:hAnsi="Arial" w:cs="Arial"/>
          <w:spacing w:val="-3"/>
          <w:w w:val="150"/>
          <w:sz w:val="18"/>
          <w:szCs w:val="18"/>
          <w:lang w:val="en-US"/>
        </w:rPr>
        <w:t xml:space="preserve">AIME </w:t>
      </w:r>
      <w:r w:rsidR="006618F4" w:rsidRPr="001F3FA3">
        <w:rPr>
          <w:rFonts w:ascii="Arial" w:hAnsi="Arial" w:cs="Arial"/>
          <w:spacing w:val="-3"/>
          <w:w w:val="150"/>
          <w:sz w:val="28"/>
          <w:szCs w:val="18"/>
          <w:lang w:val="en-US"/>
        </w:rPr>
        <w:t>A</w:t>
      </w:r>
      <w:r w:rsidR="006618F4" w:rsidRPr="001F3FA3">
        <w:rPr>
          <w:rFonts w:ascii="Arial" w:hAnsi="Arial"/>
          <w:w w:val="150"/>
          <w:sz w:val="18"/>
          <w:szCs w:val="18"/>
          <w:lang w:val="en-US"/>
        </w:rPr>
        <w:t xml:space="preserve">LBERTO </w:t>
      </w:r>
      <w:r w:rsidR="006618F4" w:rsidRPr="001F3FA3">
        <w:rPr>
          <w:rFonts w:ascii="Arial" w:hAnsi="Arial" w:cs="Arial"/>
          <w:spacing w:val="-3"/>
          <w:w w:val="150"/>
          <w:sz w:val="28"/>
          <w:szCs w:val="18"/>
          <w:lang w:val="en-US"/>
        </w:rPr>
        <w:t>S</w:t>
      </w:r>
      <w:r w:rsidR="006618F4" w:rsidRPr="001F3FA3">
        <w:rPr>
          <w:rFonts w:ascii="Arial" w:hAnsi="Arial" w:cs="Arial"/>
          <w:spacing w:val="-3"/>
          <w:w w:val="150"/>
          <w:sz w:val="18"/>
          <w:szCs w:val="16"/>
          <w:lang w:val="en-US"/>
        </w:rPr>
        <w:t xml:space="preserve">ARAZA </w:t>
      </w:r>
      <w:r w:rsidR="006618F4" w:rsidRPr="001F3FA3">
        <w:rPr>
          <w:rFonts w:ascii="Arial" w:hAnsi="Arial" w:cs="Arial"/>
          <w:spacing w:val="-3"/>
          <w:w w:val="150"/>
          <w:sz w:val="28"/>
          <w:szCs w:val="18"/>
          <w:lang w:val="en-US"/>
        </w:rPr>
        <w:t>N.</w:t>
      </w:r>
    </w:p>
    <w:p w:rsidR="004163D7" w:rsidRDefault="00F72D3F" w:rsidP="005424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1F3FA3">
        <w:rPr>
          <w:rFonts w:ascii="Arial" w:hAnsi="Arial" w:cs="Arial"/>
          <w:w w:val="150"/>
          <w:sz w:val="28"/>
          <w:lang w:val="en-US"/>
        </w:rPr>
        <w:tab/>
      </w:r>
      <w:r w:rsidRPr="00534B95">
        <w:rPr>
          <w:rFonts w:ascii="Arial" w:hAnsi="Arial" w:cs="Arial"/>
          <w:w w:val="150"/>
          <w:sz w:val="28"/>
          <w:lang w:val="en-GB"/>
        </w:rPr>
        <w:t>M</w:t>
      </w:r>
      <w:r w:rsidRPr="00534B95">
        <w:rPr>
          <w:rFonts w:ascii="Arial" w:hAnsi="Arial" w:cs="Arial"/>
          <w:w w:val="150"/>
          <w:sz w:val="18"/>
          <w:lang w:val="en-GB"/>
        </w:rPr>
        <w:t xml:space="preserve"> A G I S T R A D </w:t>
      </w:r>
      <w:r w:rsidR="00580039" w:rsidRPr="00534B95">
        <w:rPr>
          <w:rFonts w:ascii="Arial" w:hAnsi="Arial" w:cs="Arial"/>
          <w:w w:val="150"/>
          <w:sz w:val="18"/>
          <w:lang w:val="en-GB"/>
        </w:rPr>
        <w:t>O</w:t>
      </w:r>
      <w:r w:rsidRPr="00534B95">
        <w:rPr>
          <w:rFonts w:ascii="Arial" w:hAnsi="Arial" w:cs="Arial"/>
          <w:w w:val="150"/>
          <w:sz w:val="18"/>
          <w:lang w:val="en-GB"/>
        </w:rPr>
        <w:t xml:space="preserve"> </w:t>
      </w:r>
      <w:r w:rsidRPr="00534B95">
        <w:rPr>
          <w:rFonts w:ascii="Arial" w:hAnsi="Arial" w:cs="Arial"/>
          <w:w w:val="150"/>
          <w:sz w:val="18"/>
          <w:lang w:val="en-GB"/>
        </w:rPr>
        <w:tab/>
      </w:r>
      <w:r w:rsidRPr="00534B95">
        <w:rPr>
          <w:rFonts w:ascii="Arial" w:hAnsi="Arial" w:cs="Arial"/>
          <w:w w:val="150"/>
          <w:sz w:val="18"/>
          <w:lang w:val="en-GB"/>
        </w:rPr>
        <w:tab/>
      </w:r>
      <w:r w:rsidRPr="00534B95">
        <w:rPr>
          <w:rFonts w:ascii="Arial" w:hAnsi="Arial" w:cs="Arial"/>
          <w:w w:val="150"/>
          <w:sz w:val="18"/>
          <w:lang w:val="en-GB"/>
        </w:rPr>
        <w:tab/>
      </w:r>
      <w:r w:rsidRPr="00534B95">
        <w:rPr>
          <w:rFonts w:ascii="Arial" w:hAnsi="Arial" w:cs="Arial"/>
          <w:w w:val="150"/>
          <w:sz w:val="18"/>
          <w:lang w:val="en-GB"/>
        </w:rPr>
        <w:tab/>
      </w:r>
      <w:r w:rsidR="00F75CEC">
        <w:rPr>
          <w:rFonts w:ascii="Arial" w:hAnsi="Arial" w:cs="Arial"/>
          <w:w w:val="150"/>
          <w:sz w:val="18"/>
          <w:lang w:val="en-GB"/>
        </w:rPr>
        <w:t xml:space="preserve">  </w:t>
      </w:r>
      <w:r w:rsidRPr="00534B95">
        <w:rPr>
          <w:rFonts w:ascii="Arial" w:hAnsi="Arial" w:cs="Arial"/>
          <w:w w:val="150"/>
          <w:sz w:val="28"/>
          <w:lang w:val="en-GB"/>
        </w:rPr>
        <w:t>M</w:t>
      </w:r>
      <w:r w:rsidRPr="00534B95">
        <w:rPr>
          <w:rFonts w:ascii="Arial" w:hAnsi="Arial" w:cs="Arial"/>
          <w:w w:val="150"/>
          <w:sz w:val="18"/>
          <w:lang w:val="en-GB"/>
        </w:rPr>
        <w:t xml:space="preserve"> A G I S T R A D</w:t>
      </w:r>
      <w:r w:rsidR="005424E8">
        <w:rPr>
          <w:rFonts w:ascii="Arial" w:hAnsi="Arial" w:cs="Arial"/>
          <w:w w:val="150"/>
          <w:sz w:val="18"/>
          <w:lang w:val="en-GB"/>
        </w:rPr>
        <w:t xml:space="preserve"> </w:t>
      </w:r>
      <w:r w:rsidRPr="00534B95">
        <w:rPr>
          <w:rFonts w:ascii="Arial" w:hAnsi="Arial" w:cs="Arial"/>
          <w:w w:val="150"/>
          <w:sz w:val="18"/>
          <w:lang w:val="en-GB"/>
        </w:rPr>
        <w:t>O</w:t>
      </w:r>
      <w:r w:rsidR="005424E8">
        <w:rPr>
          <w:rFonts w:ascii="Arial" w:hAnsi="Arial" w:cs="Arial"/>
          <w:w w:val="150"/>
          <w:sz w:val="18"/>
          <w:lang w:val="en-GB"/>
        </w:rPr>
        <w:t xml:space="preserve">   </w:t>
      </w:r>
    </w:p>
    <w:p w:rsidR="000D55C9" w:rsidRDefault="005424E8" w:rsidP="004163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w w:val="150"/>
          <w:sz w:val="18"/>
          <w:lang w:val="en-GB"/>
        </w:rPr>
      </w:pPr>
      <w:r>
        <w:rPr>
          <w:rFonts w:ascii="Arial" w:hAnsi="Arial" w:cs="Arial"/>
          <w:w w:val="150"/>
          <w:sz w:val="18"/>
          <w:lang w:val="en-GB"/>
        </w:rPr>
        <w:t xml:space="preserve"> </w:t>
      </w:r>
    </w:p>
    <w:p w:rsidR="00B047F5" w:rsidRPr="005A4153" w:rsidRDefault="008D6E5A" w:rsidP="004163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proofErr w:type="spellStart"/>
      <w:r>
        <w:rPr>
          <w:rFonts w:ascii="Arial" w:hAnsi="Arial" w:cs="Times New Roman"/>
          <w:i/>
          <w:smallCaps/>
          <w:spacing w:val="-3"/>
          <w:sz w:val="10"/>
          <w:szCs w:val="16"/>
          <w:lang w:val="en-US"/>
        </w:rPr>
        <w:t>ODCD</w:t>
      </w:r>
      <w:proofErr w:type="spellEnd"/>
      <w:r w:rsidR="0080432D" w:rsidRPr="005A4153">
        <w:rPr>
          <w:rFonts w:ascii="Arial" w:hAnsi="Arial" w:cs="Times New Roman"/>
          <w:i/>
          <w:smallCaps/>
          <w:spacing w:val="-3"/>
          <w:sz w:val="10"/>
          <w:szCs w:val="16"/>
          <w:lang w:val="en-US"/>
        </w:rPr>
        <w:t xml:space="preserve"> </w:t>
      </w:r>
      <w:r w:rsidR="00B047F5" w:rsidRPr="005A4153">
        <w:rPr>
          <w:rFonts w:ascii="Arial" w:hAnsi="Arial" w:cs="Times New Roman"/>
          <w:i/>
          <w:smallCaps/>
          <w:spacing w:val="-3"/>
          <w:sz w:val="10"/>
          <w:szCs w:val="16"/>
          <w:lang w:val="en-US"/>
        </w:rPr>
        <w:t>/</w:t>
      </w:r>
      <w:r w:rsidR="0080432D" w:rsidRPr="005A4153">
        <w:rPr>
          <w:rFonts w:ascii="Arial" w:hAnsi="Arial" w:cs="Times New Roman"/>
          <w:i/>
          <w:smallCaps/>
          <w:spacing w:val="-3"/>
          <w:sz w:val="10"/>
          <w:szCs w:val="16"/>
          <w:lang w:val="en-US"/>
        </w:rPr>
        <w:t xml:space="preserve"> </w:t>
      </w:r>
      <w:proofErr w:type="spellStart"/>
      <w:r w:rsidR="00F75CEC">
        <w:rPr>
          <w:rFonts w:ascii="Arial" w:hAnsi="Arial" w:cs="Times New Roman"/>
          <w:i/>
          <w:smallCaps/>
          <w:spacing w:val="-3"/>
          <w:sz w:val="10"/>
          <w:szCs w:val="16"/>
          <w:lang w:val="en-US"/>
        </w:rPr>
        <w:t>eho</w:t>
      </w:r>
      <w:proofErr w:type="spellEnd"/>
      <w:r w:rsidR="0080432D" w:rsidRPr="005A4153">
        <w:rPr>
          <w:rFonts w:ascii="Arial" w:hAnsi="Arial" w:cs="Times New Roman"/>
          <w:i/>
          <w:smallCaps/>
          <w:spacing w:val="-3"/>
          <w:sz w:val="10"/>
          <w:szCs w:val="16"/>
          <w:lang w:val="en-US"/>
        </w:rPr>
        <w:t xml:space="preserve"> </w:t>
      </w:r>
      <w:r w:rsidR="00B047F5" w:rsidRPr="005A4153">
        <w:rPr>
          <w:rFonts w:ascii="Arial" w:hAnsi="Arial" w:cs="Times New Roman"/>
          <w:i/>
          <w:smallCaps/>
          <w:spacing w:val="-3"/>
          <w:sz w:val="10"/>
          <w:szCs w:val="16"/>
          <w:lang w:val="en-US"/>
        </w:rPr>
        <w:t>/</w:t>
      </w:r>
      <w:r w:rsidR="0080432D" w:rsidRPr="005A4153">
        <w:rPr>
          <w:rFonts w:ascii="Arial" w:hAnsi="Arial" w:cs="Times New Roman"/>
          <w:i/>
          <w:smallCaps/>
          <w:spacing w:val="-3"/>
          <w:sz w:val="10"/>
          <w:szCs w:val="16"/>
          <w:lang w:val="en-US"/>
        </w:rPr>
        <w:t xml:space="preserve"> 2015</w:t>
      </w:r>
    </w:p>
    <w:sectPr w:rsidR="00B047F5" w:rsidRPr="005A4153" w:rsidSect="00531BD6">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92" w:rsidRDefault="00855A92" w:rsidP="002F20AB">
      <w:r>
        <w:separator/>
      </w:r>
    </w:p>
  </w:endnote>
  <w:endnote w:type="continuationSeparator" w:id="0">
    <w:p w:rsidR="00855A92" w:rsidRDefault="00855A9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43387">
    <w:pPr>
      <w:pStyle w:val="Pieddepage"/>
      <w:framePr w:wrap="around" w:vAnchor="text" w:hAnchor="margin" w:xAlign="right" w:y="1"/>
      <w:rPr>
        <w:rStyle w:val="Numrodepage"/>
        <w:rFonts w:cs="Verdana"/>
      </w:rPr>
    </w:pPr>
    <w:r>
      <w:rPr>
        <w:rStyle w:val="Numrodepage"/>
        <w:rFonts w:cs="Verdana"/>
      </w:rPr>
      <w:fldChar w:fldCharType="begin"/>
    </w:r>
    <w:r w:rsidR="003913E3">
      <w:rPr>
        <w:rStyle w:val="Numrodepage"/>
        <w:rFonts w:cs="Verdana"/>
      </w:rPr>
      <w:instrText xml:space="preserve">PAGE  </w:instrText>
    </w:r>
    <w:r>
      <w:rPr>
        <w:rStyle w:val="Numrodepage"/>
        <w:rFonts w:cs="Verdana"/>
      </w:rPr>
      <w:fldChar w:fldCharType="separate"/>
    </w:r>
    <w:r w:rsidR="003913E3">
      <w:rPr>
        <w:rStyle w:val="Numrodepage"/>
        <w:rFonts w:cs="Verdana"/>
        <w:noProof/>
      </w:rPr>
      <w:t>10</w:t>
    </w:r>
    <w:r>
      <w:rPr>
        <w:rStyle w:val="Numrodepage"/>
        <w:rFonts w:cs="Verdana"/>
      </w:rPr>
      <w:fldChar w:fldCharType="end"/>
    </w:r>
  </w:p>
  <w:p w:rsidR="003913E3" w:rsidRDefault="003913E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F839CE" w:rsidRDefault="003913E3" w:rsidP="00A67268">
    <w:pPr>
      <w:pStyle w:val="Pieddepage"/>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depage"/>
      <w:spacing w:line="360" w:lineRule="auto"/>
      <w:jc w:val="right"/>
      <w:rPr>
        <w:rFonts w:ascii="Arial" w:hAnsi="Arial" w:cs="Arial"/>
        <w:spacing w:val="20"/>
        <w:w w:val="200"/>
        <w:sz w:val="14"/>
        <w:szCs w:val="10"/>
      </w:rPr>
    </w:pPr>
  </w:p>
  <w:p w:rsidR="003913E3" w:rsidRPr="00C53999" w:rsidRDefault="003913E3"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53999" w:rsidRDefault="003913E3"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92" w:rsidRDefault="00855A92" w:rsidP="002F20AB">
      <w:r>
        <w:separator/>
      </w:r>
    </w:p>
  </w:footnote>
  <w:footnote w:type="continuationSeparator" w:id="0">
    <w:p w:rsidR="00855A92" w:rsidRDefault="00855A92" w:rsidP="002F20AB">
      <w:r>
        <w:continuationSeparator/>
      </w:r>
    </w:p>
  </w:footnote>
  <w:footnote w:id="1">
    <w:p w:rsidR="00B26398" w:rsidRPr="0082372A" w:rsidRDefault="00B26398" w:rsidP="00B26398">
      <w:pPr>
        <w:pStyle w:val="Notedebasdepage"/>
        <w:jc w:val="both"/>
        <w:rPr>
          <w:rFonts w:ascii="Calibri" w:hAnsi="Calibri"/>
          <w:lang w:val="es-CO"/>
        </w:rPr>
      </w:pPr>
      <w:r w:rsidRPr="00B26398">
        <w:rPr>
          <w:rStyle w:val="Appelnotedebasdep"/>
          <w:rFonts w:ascii="Calibri" w:hAnsi="Calibri" w:cs="Calibri"/>
        </w:rPr>
        <w:footnoteRef/>
      </w:r>
      <w:r w:rsidRPr="0082372A">
        <w:rPr>
          <w:rFonts w:ascii="Calibri" w:hAnsi="Calibri" w:cs="Calibri"/>
          <w:lang w:val="es-CO"/>
        </w:rPr>
        <w:t xml:space="preserve"> QUINCHE RAMÍREZ, Manuel Fernando. Vías de hecho, acción de tutela contra providencias, Editorial Temis SA, Bogotá, 2013, p.103.</w:t>
      </w:r>
    </w:p>
  </w:footnote>
  <w:footnote w:id="2">
    <w:p w:rsidR="00B26398" w:rsidRPr="0082372A" w:rsidRDefault="00B26398" w:rsidP="00B26398">
      <w:pPr>
        <w:pStyle w:val="Notedebasdepage"/>
        <w:jc w:val="both"/>
        <w:rPr>
          <w:rFonts w:ascii="Calibri" w:hAnsi="Calibri"/>
          <w:lang w:val="es-CO"/>
        </w:rPr>
      </w:pPr>
      <w:r w:rsidRPr="00B26398">
        <w:rPr>
          <w:rStyle w:val="Appelnotedebasdep"/>
          <w:rFonts w:ascii="Calibri" w:hAnsi="Calibri"/>
        </w:rPr>
        <w:footnoteRef/>
      </w:r>
      <w:r w:rsidRPr="0082372A">
        <w:rPr>
          <w:rFonts w:ascii="Calibri" w:hAnsi="Calibri"/>
          <w:lang w:val="es-CO"/>
        </w:rPr>
        <w:t xml:space="preserve"> </w:t>
      </w:r>
      <w:r w:rsidRPr="0082372A">
        <w:rPr>
          <w:rFonts w:ascii="Calibri" w:hAnsi="Calibri" w:cs="Calibri"/>
          <w:lang w:val="es-CO"/>
        </w:rPr>
        <w:t>QUIROGA NATALE, Édgar Andrés. Tutela contra decisiones judiciales, Universidad Santo Tomás y editorial Ibáñez, Bogotá DC, 2014, p.83.</w:t>
      </w:r>
    </w:p>
  </w:footnote>
  <w:footnote w:id="3">
    <w:p w:rsidR="00B26398" w:rsidRPr="0082372A" w:rsidRDefault="00B26398" w:rsidP="00B26398">
      <w:pPr>
        <w:pStyle w:val="Notedebasdepage"/>
        <w:jc w:val="both"/>
        <w:rPr>
          <w:rFonts w:ascii="Calibri" w:hAnsi="Calibri"/>
          <w:lang w:val="es-CO"/>
        </w:rPr>
      </w:pPr>
      <w:r w:rsidRPr="00B26398">
        <w:rPr>
          <w:rStyle w:val="Appelnotedebasdep"/>
          <w:rFonts w:ascii="Calibri" w:hAnsi="Calibri" w:cs="Calibri"/>
        </w:rPr>
        <w:footnoteRef/>
      </w:r>
      <w:r w:rsidRPr="0082372A">
        <w:rPr>
          <w:rFonts w:ascii="Calibri" w:hAnsi="Calibri" w:cs="Calibri"/>
          <w:lang w:val="es-CO"/>
        </w:rPr>
        <w:t xml:space="preserve"> </w:t>
      </w:r>
      <w:r w:rsidRPr="00B26398">
        <w:rPr>
          <w:rFonts w:ascii="Calibri" w:hAnsi="Calibri" w:cs="Calibri"/>
          <w:lang w:val="es-MX"/>
        </w:rPr>
        <w:t>CC. Sentencia T-917 de 2011.</w:t>
      </w:r>
    </w:p>
  </w:footnote>
  <w:footnote w:id="4">
    <w:p w:rsidR="00B26398" w:rsidRPr="0082372A" w:rsidRDefault="00B26398" w:rsidP="00B26398">
      <w:pPr>
        <w:pStyle w:val="Notedebasdepage"/>
        <w:jc w:val="both"/>
        <w:rPr>
          <w:rFonts w:ascii="Calibri" w:hAnsi="Calibri"/>
          <w:lang w:val="es-CO"/>
        </w:rPr>
      </w:pPr>
      <w:r w:rsidRPr="00B26398">
        <w:rPr>
          <w:rStyle w:val="Appelnotedebasdep"/>
          <w:rFonts w:ascii="Calibri" w:hAnsi="Calibri" w:cs="Calibri"/>
        </w:rPr>
        <w:footnoteRef/>
      </w:r>
      <w:r w:rsidRPr="00B26398">
        <w:rPr>
          <w:rFonts w:ascii="Calibri" w:hAnsi="Calibri" w:cs="Calibri"/>
          <w:lang w:val="es-MX"/>
        </w:rPr>
        <w:t xml:space="preserve"> CC. Sentencia C-590 de 2005.</w:t>
      </w:r>
    </w:p>
  </w:footnote>
  <w:footnote w:id="5">
    <w:p w:rsidR="00B26398" w:rsidRPr="0082372A" w:rsidRDefault="00B26398" w:rsidP="00B26398">
      <w:pPr>
        <w:pStyle w:val="Notedebasdepage"/>
        <w:jc w:val="both"/>
        <w:rPr>
          <w:rFonts w:ascii="Calibri" w:hAnsi="Calibri" w:cs="Calibri"/>
          <w:lang w:val="es-CO"/>
        </w:rPr>
      </w:pPr>
      <w:r w:rsidRPr="00B26398">
        <w:rPr>
          <w:rStyle w:val="Appelnotedebasdep"/>
          <w:rFonts w:ascii="Calibri" w:hAnsi="Calibri" w:cs="Calibri"/>
        </w:rPr>
        <w:footnoteRef/>
      </w:r>
      <w:r w:rsidRPr="00B26398">
        <w:rPr>
          <w:rFonts w:ascii="Calibri" w:hAnsi="Calibri" w:cs="Calibri"/>
          <w:lang w:val="es-MX"/>
        </w:rPr>
        <w:t xml:space="preserve"> CC. Sentencias </w:t>
      </w:r>
      <w:r w:rsidRPr="0082372A">
        <w:rPr>
          <w:rFonts w:ascii="Calibri" w:hAnsi="Calibri" w:cs="Calibri"/>
          <w:bCs/>
          <w:lang w:val="es-CO"/>
        </w:rPr>
        <w:t>T-107 de 2016</w:t>
      </w:r>
      <w:r w:rsidRPr="0082372A">
        <w:rPr>
          <w:rFonts w:ascii="Calibri" w:hAnsi="Calibri" w:cs="Calibri"/>
          <w:lang w:val="es-CO"/>
        </w:rPr>
        <w:t xml:space="preserve"> y </w:t>
      </w:r>
      <w:r w:rsidRPr="00B26398">
        <w:rPr>
          <w:rFonts w:ascii="Calibri" w:hAnsi="Calibri" w:cs="Calibri"/>
          <w:lang w:val="es-MX"/>
        </w:rPr>
        <w:t>T-064 de 2015, entre otras.</w:t>
      </w:r>
    </w:p>
  </w:footnote>
  <w:footnote w:id="6">
    <w:p w:rsidR="00B26398" w:rsidRPr="00B26398" w:rsidRDefault="00B26398" w:rsidP="00B26398">
      <w:pPr>
        <w:pStyle w:val="Notedebasdepage"/>
        <w:rPr>
          <w:rFonts w:ascii="Calibri" w:hAnsi="Calibri"/>
          <w:lang w:val="es-CO"/>
        </w:rPr>
      </w:pPr>
      <w:r w:rsidRPr="00B26398">
        <w:rPr>
          <w:rStyle w:val="Appelnotedebasdep"/>
          <w:rFonts w:ascii="Calibri" w:hAnsi="Calibri"/>
        </w:rPr>
        <w:footnoteRef/>
      </w:r>
      <w:r w:rsidRPr="0082372A">
        <w:rPr>
          <w:rFonts w:ascii="Calibri" w:hAnsi="Calibri"/>
          <w:lang w:val="es-CO"/>
        </w:rPr>
        <w:t xml:space="preserve"> </w:t>
      </w:r>
      <w:r w:rsidRPr="00B26398">
        <w:rPr>
          <w:rFonts w:ascii="Calibri" w:hAnsi="Calibri" w:cs="Calibri"/>
          <w:lang w:val="es-MX"/>
        </w:rPr>
        <w:t>CC. Sentencia T-307 de 2015.</w:t>
      </w:r>
    </w:p>
  </w:footnote>
  <w:footnote w:id="7">
    <w:p w:rsidR="00B26398" w:rsidRPr="0082372A" w:rsidRDefault="00B26398" w:rsidP="00B26398">
      <w:pPr>
        <w:pStyle w:val="Notedebasdepage"/>
        <w:jc w:val="both"/>
        <w:rPr>
          <w:rFonts w:ascii="Calibri" w:hAnsi="Calibri"/>
          <w:lang w:val="es-CO"/>
        </w:rPr>
      </w:pPr>
      <w:r w:rsidRPr="00B26398">
        <w:rPr>
          <w:rFonts w:ascii="Calibri" w:hAnsi="Calibri" w:cs="Calibri"/>
          <w:vertAlign w:val="superscript"/>
        </w:rPr>
        <w:footnoteRef/>
      </w:r>
      <w:r w:rsidRPr="0082372A">
        <w:rPr>
          <w:rFonts w:ascii="Calibri" w:hAnsi="Calibri" w:cs="Calibri"/>
          <w:lang w:val="es-CO"/>
        </w:rPr>
        <w:t xml:space="preserve"> ESCUELA JUDICIAL RODRIGO LARA BONILLA. </w:t>
      </w:r>
      <w:r w:rsidRPr="00B26398">
        <w:rPr>
          <w:rFonts w:ascii="Calibri" w:hAnsi="Calibri" w:cs="Calibri"/>
          <w:lang w:val="es-CO"/>
        </w:rPr>
        <w:t xml:space="preserve">La acción de tutela en el ordenamiento constitucional colombiano, Universidad Nacional de Colombia, Catalina Botero Marino, </w:t>
      </w:r>
      <w:proofErr w:type="spellStart"/>
      <w:r w:rsidRPr="00B26398">
        <w:rPr>
          <w:rFonts w:ascii="Calibri" w:hAnsi="Calibri" w:cs="Calibri"/>
          <w:lang w:val="es-CO"/>
        </w:rPr>
        <w:t>Ediprime</w:t>
      </w:r>
      <w:proofErr w:type="spellEnd"/>
      <w:r w:rsidRPr="00B26398">
        <w:rPr>
          <w:rFonts w:ascii="Calibri" w:hAnsi="Calibri" w:cs="Calibri"/>
          <w:lang w:val="es-CO"/>
        </w:rPr>
        <w:t xml:space="preserve"> Ltda., 2006, p.61-75.</w:t>
      </w:r>
    </w:p>
  </w:footnote>
  <w:footnote w:id="8">
    <w:p w:rsidR="00B26398" w:rsidRPr="0082372A" w:rsidRDefault="00B26398" w:rsidP="00B26398">
      <w:pPr>
        <w:pStyle w:val="Notedebasdepage"/>
        <w:jc w:val="both"/>
        <w:rPr>
          <w:rFonts w:ascii="Calibri" w:hAnsi="Calibri"/>
          <w:lang w:val="es-CO"/>
        </w:rPr>
      </w:pPr>
      <w:r w:rsidRPr="00B26398">
        <w:rPr>
          <w:rStyle w:val="Appelnotedebasdep"/>
          <w:rFonts w:ascii="Calibri" w:hAnsi="Calibri" w:cs="Calibri"/>
        </w:rPr>
        <w:footnoteRef/>
      </w:r>
      <w:r w:rsidRPr="0082372A">
        <w:rPr>
          <w:rFonts w:ascii="Calibri" w:hAnsi="Calibri" w:cs="Calibri"/>
          <w:lang w:val="es-CO"/>
        </w:rPr>
        <w:t xml:space="preserve"> QUINCHE RAMÍREZ, Manuel Fernando. La acción de tutela, el amparo en Colombia, Bogotá DC, 2011, p.233-285.</w:t>
      </w:r>
    </w:p>
  </w:footnote>
  <w:footnote w:id="9">
    <w:p w:rsidR="00E549C9" w:rsidRPr="0082372A" w:rsidRDefault="00E549C9" w:rsidP="00E549C9">
      <w:pPr>
        <w:pStyle w:val="Notedebasdepage"/>
        <w:jc w:val="both"/>
        <w:rPr>
          <w:rFonts w:asciiTheme="minorHAnsi" w:hAnsiTheme="minorHAnsi"/>
          <w:lang w:val="fr-FR"/>
        </w:rPr>
      </w:pPr>
      <w:r w:rsidRPr="00373325">
        <w:rPr>
          <w:rStyle w:val="Appelnotedebasdep"/>
          <w:rFonts w:asciiTheme="minorHAnsi" w:hAnsiTheme="minorHAnsi" w:cs="Calibri"/>
        </w:rPr>
        <w:footnoteRef/>
      </w:r>
      <w:r w:rsidRPr="0082372A">
        <w:rPr>
          <w:rFonts w:asciiTheme="minorHAnsi" w:hAnsiTheme="minorHAnsi" w:cs="Calibri"/>
          <w:lang w:val="fr-FR"/>
        </w:rPr>
        <w:t xml:space="preserve"> CC.  Sentencia T-231 de 1994.</w:t>
      </w:r>
    </w:p>
  </w:footnote>
  <w:footnote w:id="10">
    <w:p w:rsidR="00E549C9" w:rsidRPr="00E549C9" w:rsidRDefault="00E549C9" w:rsidP="00E549C9">
      <w:pPr>
        <w:pStyle w:val="Notedebasdepage"/>
        <w:jc w:val="both"/>
        <w:rPr>
          <w:rFonts w:asciiTheme="minorHAnsi" w:hAnsiTheme="minorHAnsi"/>
          <w:lang w:val="es-CO"/>
        </w:rPr>
      </w:pPr>
      <w:r w:rsidRPr="00373325">
        <w:rPr>
          <w:rStyle w:val="Appelnotedebasdep"/>
          <w:rFonts w:asciiTheme="minorHAnsi" w:hAnsiTheme="minorHAnsi" w:cs="Calibri"/>
        </w:rPr>
        <w:footnoteRef/>
      </w:r>
      <w:r w:rsidRPr="0082372A">
        <w:rPr>
          <w:rFonts w:asciiTheme="minorHAnsi" w:hAnsiTheme="minorHAnsi" w:cs="Calibri"/>
          <w:lang w:val="fr-FR"/>
        </w:rPr>
        <w:t xml:space="preserve"> CC.  </w:t>
      </w:r>
      <w:r w:rsidRPr="00E549C9">
        <w:rPr>
          <w:rFonts w:asciiTheme="minorHAnsi" w:hAnsiTheme="minorHAnsi" w:cs="Calibri"/>
          <w:lang w:val="es-CO"/>
        </w:rPr>
        <w:t>Sentencia T-902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43387" w:rsidP="006E1629">
    <w:pPr>
      <w:pStyle w:val="En-tte"/>
      <w:framePr w:wrap="around" w:vAnchor="text" w:hAnchor="margin" w:xAlign="right" w:y="1"/>
      <w:rPr>
        <w:rStyle w:val="Numrodepage"/>
        <w:rFonts w:cs="Verdana"/>
      </w:rPr>
    </w:pPr>
    <w:r>
      <w:rPr>
        <w:rStyle w:val="Numrodepage"/>
        <w:rFonts w:cs="Verdana"/>
      </w:rPr>
      <w:fldChar w:fldCharType="begin"/>
    </w:r>
    <w:r w:rsidR="003913E3">
      <w:rPr>
        <w:rStyle w:val="Numrodepage"/>
        <w:rFonts w:cs="Verdana"/>
      </w:rPr>
      <w:instrText xml:space="preserve">PAGE  </w:instrText>
    </w:r>
    <w:r>
      <w:rPr>
        <w:rStyle w:val="Numrodepage"/>
        <w:rFonts w:cs="Verdana"/>
      </w:rPr>
      <w:fldChar w:fldCharType="end"/>
    </w:r>
  </w:p>
  <w:p w:rsidR="003913E3" w:rsidRDefault="003913E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55802" w:rsidRDefault="003913E3">
    <w:pPr>
      <w:pStyle w:val="En-tte"/>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00343387"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00343387" w:rsidRPr="00C55802">
      <w:rPr>
        <w:rFonts w:ascii="Calibri" w:hAnsi="Calibri"/>
        <w:sz w:val="22"/>
        <w:lang w:val="es-CO"/>
      </w:rPr>
      <w:fldChar w:fldCharType="separate"/>
    </w:r>
    <w:r w:rsidR="00754CC0">
      <w:rPr>
        <w:rFonts w:ascii="Calibri" w:hAnsi="Calibri"/>
        <w:noProof/>
        <w:sz w:val="22"/>
        <w:lang w:val="es-CO"/>
      </w:rPr>
      <w:t>7</w:t>
    </w:r>
    <w:r w:rsidR="00343387" w:rsidRPr="00C55802">
      <w:rPr>
        <w:rFonts w:ascii="Calibri" w:hAnsi="Calibri"/>
        <w:sz w:val="22"/>
        <w:lang w:val="es-CO"/>
      </w:rPr>
      <w:fldChar w:fldCharType="end"/>
    </w:r>
  </w:p>
  <w:p w:rsidR="003913E3" w:rsidRPr="00F839CE" w:rsidRDefault="003913E3" w:rsidP="00235DC0">
    <w:pPr>
      <w:pStyle w:val="En-tte"/>
      <w:ind w:right="360"/>
      <w:jc w:val="both"/>
      <w:rPr>
        <w:rFonts w:ascii="Calibri" w:hAnsi="Calibri" w:cs="Calibri"/>
        <w:i/>
        <w:sz w:val="20"/>
        <w:szCs w:val="20"/>
      </w:rPr>
    </w:pPr>
    <w:r w:rsidRPr="00F839CE">
      <w:rPr>
        <w:rFonts w:ascii="Calibri" w:hAnsi="Calibri" w:cs="Calibri"/>
        <w:i/>
        <w:sz w:val="20"/>
        <w:szCs w:val="20"/>
      </w:rPr>
      <w:t>EXPEDIENTE No.</w:t>
    </w:r>
    <w:r w:rsidR="001F3FA3">
      <w:rPr>
        <w:rFonts w:ascii="Calibri" w:hAnsi="Calibri" w:cs="Calibri"/>
        <w:i/>
        <w:sz w:val="20"/>
        <w:szCs w:val="20"/>
      </w:rPr>
      <w:t>2016-00150-01</w:t>
    </w:r>
    <w:r w:rsidRPr="00F839CE">
      <w:rPr>
        <w:rFonts w:ascii="Calibri" w:hAnsi="Calibri" w:cs="Calibri"/>
        <w:i/>
        <w:sz w:val="20"/>
        <w:szCs w:val="20"/>
      </w:rPr>
      <w:t xml:space="preserve"> LLRR</w:t>
    </w:r>
  </w:p>
  <w:p w:rsidR="003913E3" w:rsidRPr="00F839CE" w:rsidRDefault="003913E3"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92089F" w:rsidRDefault="00343387">
    <w:pPr>
      <w:pStyle w:val="En-tte"/>
      <w:jc w:val="right"/>
      <w:rPr>
        <w:rFonts w:ascii="Calibri" w:hAnsi="Calibri" w:cs="Calibri"/>
      </w:rPr>
    </w:pPr>
    <w:r w:rsidRPr="0092089F">
      <w:rPr>
        <w:rFonts w:ascii="Calibri" w:hAnsi="Calibri" w:cs="Calibri"/>
      </w:rPr>
      <w:fldChar w:fldCharType="begin"/>
    </w:r>
    <w:r w:rsidR="003913E3" w:rsidRPr="0092089F">
      <w:rPr>
        <w:rFonts w:ascii="Calibri" w:hAnsi="Calibri" w:cs="Calibri"/>
      </w:rPr>
      <w:instrText xml:space="preserve"> PAGE   \* MERGEFORMAT </w:instrText>
    </w:r>
    <w:r w:rsidRPr="0092089F">
      <w:rPr>
        <w:rFonts w:ascii="Calibri" w:hAnsi="Calibri" w:cs="Calibri"/>
      </w:rPr>
      <w:fldChar w:fldCharType="separate"/>
    </w:r>
    <w:r w:rsidR="003913E3">
      <w:rPr>
        <w:rFonts w:ascii="Calibri" w:hAnsi="Calibri" w:cs="Calibri"/>
        <w:noProof/>
      </w:rPr>
      <w:t>1</w:t>
    </w:r>
    <w:r w:rsidRPr="0092089F">
      <w:rPr>
        <w:rFonts w:ascii="Calibri" w:hAnsi="Calibri" w:cs="Calibri"/>
      </w:rPr>
      <w:fldChar w:fldCharType="end"/>
    </w:r>
  </w:p>
  <w:p w:rsidR="003913E3" w:rsidRDefault="003913E3"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2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66227172"/>
    <w:multiLevelType w:val="multilevel"/>
    <w:tmpl w:val="DAB8732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7"/>
  </w:num>
  <w:num w:numId="3">
    <w:abstractNumId w:val="20"/>
  </w:num>
  <w:num w:numId="4">
    <w:abstractNumId w:val="17"/>
  </w:num>
  <w:num w:numId="5">
    <w:abstractNumId w:val="32"/>
  </w:num>
  <w:num w:numId="6">
    <w:abstractNumId w:val="18"/>
  </w:num>
  <w:num w:numId="7">
    <w:abstractNumId w:val="3"/>
  </w:num>
  <w:num w:numId="8">
    <w:abstractNumId w:val="13"/>
  </w:num>
  <w:num w:numId="9">
    <w:abstractNumId w:val="14"/>
  </w:num>
  <w:num w:numId="10">
    <w:abstractNumId w:val="2"/>
  </w:num>
  <w:num w:numId="11">
    <w:abstractNumId w:val="26"/>
  </w:num>
  <w:num w:numId="12">
    <w:abstractNumId w:val="10"/>
  </w:num>
  <w:num w:numId="13">
    <w:abstractNumId w:val="16"/>
  </w:num>
  <w:num w:numId="14">
    <w:abstractNumId w:val="35"/>
  </w:num>
  <w:num w:numId="15">
    <w:abstractNumId w:val="23"/>
  </w:num>
  <w:num w:numId="16">
    <w:abstractNumId w:val="1"/>
  </w:num>
  <w:num w:numId="17">
    <w:abstractNumId w:val="37"/>
  </w:num>
  <w:num w:numId="18">
    <w:abstractNumId w:val="24"/>
  </w:num>
  <w:num w:numId="19">
    <w:abstractNumId w:val="34"/>
  </w:num>
  <w:num w:numId="20">
    <w:abstractNumId w:val="33"/>
  </w:num>
  <w:num w:numId="21">
    <w:abstractNumId w:val="6"/>
  </w:num>
  <w:num w:numId="22">
    <w:abstractNumId w:val="0"/>
  </w:num>
  <w:num w:numId="23">
    <w:abstractNumId w:val="39"/>
  </w:num>
  <w:num w:numId="24">
    <w:abstractNumId w:val="21"/>
  </w:num>
  <w:num w:numId="25">
    <w:abstractNumId w:val="12"/>
  </w:num>
  <w:num w:numId="26">
    <w:abstractNumId w:val="15"/>
  </w:num>
  <w:num w:numId="27">
    <w:abstractNumId w:val="4"/>
  </w:num>
  <w:num w:numId="28">
    <w:abstractNumId w:val="31"/>
  </w:num>
  <w:num w:numId="29">
    <w:abstractNumId w:val="19"/>
  </w:num>
  <w:num w:numId="30">
    <w:abstractNumId w:val="11"/>
  </w:num>
  <w:num w:numId="31">
    <w:abstractNumId w:val="38"/>
  </w:num>
  <w:num w:numId="32">
    <w:abstractNumId w:val="25"/>
  </w:num>
  <w:num w:numId="33">
    <w:abstractNumId w:val="7"/>
  </w:num>
  <w:num w:numId="34">
    <w:abstractNumId w:val="29"/>
  </w:num>
  <w:num w:numId="35">
    <w:abstractNumId w:val="8"/>
  </w:num>
  <w:num w:numId="36">
    <w:abstractNumId w:val="28"/>
  </w:num>
  <w:num w:numId="37">
    <w:abstractNumId w:val="22"/>
  </w:num>
  <w:num w:numId="38">
    <w:abstractNumId w:val="5"/>
  </w:num>
  <w:num w:numId="39">
    <w:abstractNumId w:val="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353ED"/>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4565"/>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365B"/>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129C"/>
    <w:rsid w:val="00171B77"/>
    <w:rsid w:val="00171C83"/>
    <w:rsid w:val="0017206C"/>
    <w:rsid w:val="00172487"/>
    <w:rsid w:val="00172F27"/>
    <w:rsid w:val="00173244"/>
    <w:rsid w:val="00173EBC"/>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7906"/>
    <w:rsid w:val="00210A59"/>
    <w:rsid w:val="00213147"/>
    <w:rsid w:val="00214468"/>
    <w:rsid w:val="00214A4A"/>
    <w:rsid w:val="00217035"/>
    <w:rsid w:val="00221B21"/>
    <w:rsid w:val="00221B6D"/>
    <w:rsid w:val="00222AC9"/>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76"/>
    <w:rsid w:val="00255E29"/>
    <w:rsid w:val="00257A0E"/>
    <w:rsid w:val="00257C43"/>
    <w:rsid w:val="002617B1"/>
    <w:rsid w:val="002640BF"/>
    <w:rsid w:val="00265452"/>
    <w:rsid w:val="0027273C"/>
    <w:rsid w:val="00275F4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2FD8"/>
    <w:rsid w:val="002B33C0"/>
    <w:rsid w:val="002B503F"/>
    <w:rsid w:val="002B6043"/>
    <w:rsid w:val="002B7A49"/>
    <w:rsid w:val="002C2796"/>
    <w:rsid w:val="002C3307"/>
    <w:rsid w:val="002C4CF9"/>
    <w:rsid w:val="002C763E"/>
    <w:rsid w:val="002D1038"/>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BAB"/>
    <w:rsid w:val="002F330A"/>
    <w:rsid w:val="002F3E8A"/>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8D"/>
    <w:rsid w:val="0033413E"/>
    <w:rsid w:val="00335459"/>
    <w:rsid w:val="003357EB"/>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651DF"/>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E18D8"/>
    <w:rsid w:val="003E26F1"/>
    <w:rsid w:val="003E6D15"/>
    <w:rsid w:val="003F01EC"/>
    <w:rsid w:val="003F0C87"/>
    <w:rsid w:val="003F10B4"/>
    <w:rsid w:val="003F162E"/>
    <w:rsid w:val="003F298D"/>
    <w:rsid w:val="003F6CA6"/>
    <w:rsid w:val="0040074A"/>
    <w:rsid w:val="004017E5"/>
    <w:rsid w:val="004046B5"/>
    <w:rsid w:val="00404829"/>
    <w:rsid w:val="00406F7C"/>
    <w:rsid w:val="0041105C"/>
    <w:rsid w:val="004134D8"/>
    <w:rsid w:val="0041414C"/>
    <w:rsid w:val="004163D7"/>
    <w:rsid w:val="00416E8B"/>
    <w:rsid w:val="0041757E"/>
    <w:rsid w:val="00417661"/>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53A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B40"/>
    <w:rsid w:val="00467235"/>
    <w:rsid w:val="0046775F"/>
    <w:rsid w:val="00472CC5"/>
    <w:rsid w:val="00472E2D"/>
    <w:rsid w:val="00474092"/>
    <w:rsid w:val="00475C03"/>
    <w:rsid w:val="00476D6C"/>
    <w:rsid w:val="004775F3"/>
    <w:rsid w:val="004779E5"/>
    <w:rsid w:val="00480688"/>
    <w:rsid w:val="004820C7"/>
    <w:rsid w:val="004824D1"/>
    <w:rsid w:val="00483D25"/>
    <w:rsid w:val="00485811"/>
    <w:rsid w:val="004858D6"/>
    <w:rsid w:val="00486576"/>
    <w:rsid w:val="0049109E"/>
    <w:rsid w:val="0049174B"/>
    <w:rsid w:val="004930CF"/>
    <w:rsid w:val="004946EE"/>
    <w:rsid w:val="00494780"/>
    <w:rsid w:val="00496952"/>
    <w:rsid w:val="004975AA"/>
    <w:rsid w:val="004A05CD"/>
    <w:rsid w:val="004A0F23"/>
    <w:rsid w:val="004A0FE6"/>
    <w:rsid w:val="004A12F7"/>
    <w:rsid w:val="004A1E39"/>
    <w:rsid w:val="004A2227"/>
    <w:rsid w:val="004A2DDC"/>
    <w:rsid w:val="004A38E3"/>
    <w:rsid w:val="004A3ADA"/>
    <w:rsid w:val="004A43C7"/>
    <w:rsid w:val="004A6E0A"/>
    <w:rsid w:val="004A7D32"/>
    <w:rsid w:val="004B1ACE"/>
    <w:rsid w:val="004B2CC3"/>
    <w:rsid w:val="004B3407"/>
    <w:rsid w:val="004B3751"/>
    <w:rsid w:val="004B47A3"/>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F1BDB"/>
    <w:rsid w:val="004F31F1"/>
    <w:rsid w:val="004F448C"/>
    <w:rsid w:val="004F5D30"/>
    <w:rsid w:val="004F6583"/>
    <w:rsid w:val="004F6D6A"/>
    <w:rsid w:val="00502776"/>
    <w:rsid w:val="00503BF5"/>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3A5"/>
    <w:rsid w:val="00531544"/>
    <w:rsid w:val="00531BD6"/>
    <w:rsid w:val="00531C40"/>
    <w:rsid w:val="00532272"/>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6A21"/>
    <w:rsid w:val="00587194"/>
    <w:rsid w:val="00587698"/>
    <w:rsid w:val="00590CB5"/>
    <w:rsid w:val="0059311A"/>
    <w:rsid w:val="005967FC"/>
    <w:rsid w:val="00597CED"/>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BDE"/>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0B6E"/>
    <w:rsid w:val="005F1392"/>
    <w:rsid w:val="005F1D7B"/>
    <w:rsid w:val="005F288E"/>
    <w:rsid w:val="005F2B51"/>
    <w:rsid w:val="005F2E3F"/>
    <w:rsid w:val="005F4CEA"/>
    <w:rsid w:val="005F6B42"/>
    <w:rsid w:val="005F70BE"/>
    <w:rsid w:val="005F7975"/>
    <w:rsid w:val="005F7E0A"/>
    <w:rsid w:val="00600602"/>
    <w:rsid w:val="00600676"/>
    <w:rsid w:val="00600AC6"/>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319B"/>
    <w:rsid w:val="006255B8"/>
    <w:rsid w:val="00625F77"/>
    <w:rsid w:val="0062698A"/>
    <w:rsid w:val="00630A34"/>
    <w:rsid w:val="0063138C"/>
    <w:rsid w:val="00631D04"/>
    <w:rsid w:val="00634D8C"/>
    <w:rsid w:val="00634E55"/>
    <w:rsid w:val="006352B7"/>
    <w:rsid w:val="00635ED8"/>
    <w:rsid w:val="0063767B"/>
    <w:rsid w:val="00637AB3"/>
    <w:rsid w:val="00640CA5"/>
    <w:rsid w:val="00641308"/>
    <w:rsid w:val="0064234D"/>
    <w:rsid w:val="00644360"/>
    <w:rsid w:val="00644F63"/>
    <w:rsid w:val="00645798"/>
    <w:rsid w:val="0064579F"/>
    <w:rsid w:val="006472F2"/>
    <w:rsid w:val="00650262"/>
    <w:rsid w:val="006507EA"/>
    <w:rsid w:val="0065133D"/>
    <w:rsid w:val="00652D2F"/>
    <w:rsid w:val="006535FE"/>
    <w:rsid w:val="00654233"/>
    <w:rsid w:val="00654759"/>
    <w:rsid w:val="006548FB"/>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D1B00"/>
    <w:rsid w:val="006D3B8F"/>
    <w:rsid w:val="006D5236"/>
    <w:rsid w:val="006D5C64"/>
    <w:rsid w:val="006D5F62"/>
    <w:rsid w:val="006D6BA1"/>
    <w:rsid w:val="006D7214"/>
    <w:rsid w:val="006E1334"/>
    <w:rsid w:val="006E1629"/>
    <w:rsid w:val="006E1832"/>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7B4A"/>
    <w:rsid w:val="007117A0"/>
    <w:rsid w:val="007118A0"/>
    <w:rsid w:val="00716B70"/>
    <w:rsid w:val="007201D5"/>
    <w:rsid w:val="0072020C"/>
    <w:rsid w:val="00720D87"/>
    <w:rsid w:val="0072250C"/>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9AE"/>
    <w:rsid w:val="007470B5"/>
    <w:rsid w:val="00747531"/>
    <w:rsid w:val="00747ED4"/>
    <w:rsid w:val="00751924"/>
    <w:rsid w:val="00751EE2"/>
    <w:rsid w:val="007535D5"/>
    <w:rsid w:val="00753EFD"/>
    <w:rsid w:val="00754CC0"/>
    <w:rsid w:val="007552B7"/>
    <w:rsid w:val="00755DA9"/>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D49"/>
    <w:rsid w:val="00800654"/>
    <w:rsid w:val="00800C57"/>
    <w:rsid w:val="008025E6"/>
    <w:rsid w:val="0080277A"/>
    <w:rsid w:val="0080432D"/>
    <w:rsid w:val="008046AF"/>
    <w:rsid w:val="008114E1"/>
    <w:rsid w:val="00812318"/>
    <w:rsid w:val="0081509A"/>
    <w:rsid w:val="0081536B"/>
    <w:rsid w:val="0081561D"/>
    <w:rsid w:val="00815BC3"/>
    <w:rsid w:val="00816246"/>
    <w:rsid w:val="0081669C"/>
    <w:rsid w:val="00817D38"/>
    <w:rsid w:val="0082026B"/>
    <w:rsid w:val="00821AC0"/>
    <w:rsid w:val="00821FFD"/>
    <w:rsid w:val="00823227"/>
    <w:rsid w:val="0082372A"/>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5A92"/>
    <w:rsid w:val="00857554"/>
    <w:rsid w:val="008577D9"/>
    <w:rsid w:val="00860153"/>
    <w:rsid w:val="00860841"/>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3FCA"/>
    <w:rsid w:val="008948DA"/>
    <w:rsid w:val="00896588"/>
    <w:rsid w:val="00896FA9"/>
    <w:rsid w:val="008A2B57"/>
    <w:rsid w:val="008A49D7"/>
    <w:rsid w:val="008A4A7A"/>
    <w:rsid w:val="008B0BC9"/>
    <w:rsid w:val="008B0D88"/>
    <w:rsid w:val="008B2D04"/>
    <w:rsid w:val="008B3C3E"/>
    <w:rsid w:val="008B615C"/>
    <w:rsid w:val="008B7331"/>
    <w:rsid w:val="008C043B"/>
    <w:rsid w:val="008C0916"/>
    <w:rsid w:val="008C0F06"/>
    <w:rsid w:val="008C24B1"/>
    <w:rsid w:val="008C3D59"/>
    <w:rsid w:val="008C42CD"/>
    <w:rsid w:val="008C4916"/>
    <w:rsid w:val="008C4B4E"/>
    <w:rsid w:val="008C50CD"/>
    <w:rsid w:val="008C7AF3"/>
    <w:rsid w:val="008D112B"/>
    <w:rsid w:val="008D1DFC"/>
    <w:rsid w:val="008D2F69"/>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76CC"/>
    <w:rsid w:val="009079F3"/>
    <w:rsid w:val="00907B47"/>
    <w:rsid w:val="0091177C"/>
    <w:rsid w:val="00913716"/>
    <w:rsid w:val="00913B35"/>
    <w:rsid w:val="00916708"/>
    <w:rsid w:val="00916BD5"/>
    <w:rsid w:val="0091769E"/>
    <w:rsid w:val="00917999"/>
    <w:rsid w:val="00917BF8"/>
    <w:rsid w:val="0092089F"/>
    <w:rsid w:val="009222E2"/>
    <w:rsid w:val="00922E55"/>
    <w:rsid w:val="0092352E"/>
    <w:rsid w:val="00926197"/>
    <w:rsid w:val="009262D5"/>
    <w:rsid w:val="00927162"/>
    <w:rsid w:val="0092748E"/>
    <w:rsid w:val="00931691"/>
    <w:rsid w:val="0093403F"/>
    <w:rsid w:val="00935A47"/>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3599"/>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8BF"/>
    <w:rsid w:val="009B4F92"/>
    <w:rsid w:val="009B5ADC"/>
    <w:rsid w:val="009C00B3"/>
    <w:rsid w:val="009C09C8"/>
    <w:rsid w:val="009C1824"/>
    <w:rsid w:val="009C2DA9"/>
    <w:rsid w:val="009C2DAD"/>
    <w:rsid w:val="009C553D"/>
    <w:rsid w:val="009C56F5"/>
    <w:rsid w:val="009C635F"/>
    <w:rsid w:val="009C6E1A"/>
    <w:rsid w:val="009D0422"/>
    <w:rsid w:val="009D0D8E"/>
    <w:rsid w:val="009D2AA8"/>
    <w:rsid w:val="009D2AAF"/>
    <w:rsid w:val="009D2BC9"/>
    <w:rsid w:val="009D4D2B"/>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4FB"/>
    <w:rsid w:val="00A13B23"/>
    <w:rsid w:val="00A145C9"/>
    <w:rsid w:val="00A14E56"/>
    <w:rsid w:val="00A16E76"/>
    <w:rsid w:val="00A21281"/>
    <w:rsid w:val="00A231EF"/>
    <w:rsid w:val="00A23B0E"/>
    <w:rsid w:val="00A23C49"/>
    <w:rsid w:val="00A24DF3"/>
    <w:rsid w:val="00A25327"/>
    <w:rsid w:val="00A25584"/>
    <w:rsid w:val="00A25EB0"/>
    <w:rsid w:val="00A25EF0"/>
    <w:rsid w:val="00A26337"/>
    <w:rsid w:val="00A30C3F"/>
    <w:rsid w:val="00A31490"/>
    <w:rsid w:val="00A32845"/>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8F3"/>
    <w:rsid w:val="00AB190E"/>
    <w:rsid w:val="00AB2B91"/>
    <w:rsid w:val="00AB3059"/>
    <w:rsid w:val="00AB45FB"/>
    <w:rsid w:val="00AB498B"/>
    <w:rsid w:val="00AB54C2"/>
    <w:rsid w:val="00AB5D6F"/>
    <w:rsid w:val="00AB6246"/>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4CA"/>
    <w:rsid w:val="00AE45C6"/>
    <w:rsid w:val="00AE4964"/>
    <w:rsid w:val="00AE4CFE"/>
    <w:rsid w:val="00AE6C6B"/>
    <w:rsid w:val="00AE7D08"/>
    <w:rsid w:val="00AF0BF5"/>
    <w:rsid w:val="00AF0C41"/>
    <w:rsid w:val="00AF2401"/>
    <w:rsid w:val="00AF3435"/>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4E93"/>
    <w:rsid w:val="00B357FD"/>
    <w:rsid w:val="00B35865"/>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F95"/>
    <w:rsid w:val="00B81D1E"/>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D3C04"/>
    <w:rsid w:val="00BD491A"/>
    <w:rsid w:val="00BD4AAF"/>
    <w:rsid w:val="00BD6B8B"/>
    <w:rsid w:val="00BD7D7B"/>
    <w:rsid w:val="00BE0BEF"/>
    <w:rsid w:val="00BE1A6B"/>
    <w:rsid w:val="00BE210F"/>
    <w:rsid w:val="00BE2865"/>
    <w:rsid w:val="00BE36BE"/>
    <w:rsid w:val="00BE4C4D"/>
    <w:rsid w:val="00BF0265"/>
    <w:rsid w:val="00BF0BA5"/>
    <w:rsid w:val="00BF1B5B"/>
    <w:rsid w:val="00BF257E"/>
    <w:rsid w:val="00BF2953"/>
    <w:rsid w:val="00BF2D53"/>
    <w:rsid w:val="00BF3CE6"/>
    <w:rsid w:val="00BF40AF"/>
    <w:rsid w:val="00BF4B32"/>
    <w:rsid w:val="00BF5774"/>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5A0F"/>
    <w:rsid w:val="00C662C1"/>
    <w:rsid w:val="00C678D8"/>
    <w:rsid w:val="00C67CA2"/>
    <w:rsid w:val="00C70F24"/>
    <w:rsid w:val="00C7546E"/>
    <w:rsid w:val="00C76997"/>
    <w:rsid w:val="00C80540"/>
    <w:rsid w:val="00C8203C"/>
    <w:rsid w:val="00C8302F"/>
    <w:rsid w:val="00C85FFF"/>
    <w:rsid w:val="00C862D7"/>
    <w:rsid w:val="00C873CC"/>
    <w:rsid w:val="00C91BBB"/>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7DFC"/>
    <w:rsid w:val="00CD09F7"/>
    <w:rsid w:val="00CD0DCC"/>
    <w:rsid w:val="00CD1570"/>
    <w:rsid w:val="00CD2CB0"/>
    <w:rsid w:val="00CD354D"/>
    <w:rsid w:val="00CD3E8C"/>
    <w:rsid w:val="00CD43FC"/>
    <w:rsid w:val="00CD461C"/>
    <w:rsid w:val="00CD4C65"/>
    <w:rsid w:val="00CD57FB"/>
    <w:rsid w:val="00CE2B49"/>
    <w:rsid w:val="00CE2BDD"/>
    <w:rsid w:val="00CE2F87"/>
    <w:rsid w:val="00CE3C23"/>
    <w:rsid w:val="00CE3DD8"/>
    <w:rsid w:val="00CF03D1"/>
    <w:rsid w:val="00CF0562"/>
    <w:rsid w:val="00CF0884"/>
    <w:rsid w:val="00CF3971"/>
    <w:rsid w:val="00CF4D81"/>
    <w:rsid w:val="00CF5E40"/>
    <w:rsid w:val="00CF667A"/>
    <w:rsid w:val="00D0039D"/>
    <w:rsid w:val="00D0089D"/>
    <w:rsid w:val="00D04012"/>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3191"/>
    <w:rsid w:val="00D2373A"/>
    <w:rsid w:val="00D23AC0"/>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06A1"/>
    <w:rsid w:val="00D5296C"/>
    <w:rsid w:val="00D54BF8"/>
    <w:rsid w:val="00D55245"/>
    <w:rsid w:val="00D55820"/>
    <w:rsid w:val="00D57987"/>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2363"/>
    <w:rsid w:val="00D82429"/>
    <w:rsid w:val="00D836BF"/>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800"/>
    <w:rsid w:val="00DC19DC"/>
    <w:rsid w:val="00DC22B3"/>
    <w:rsid w:val="00DC5255"/>
    <w:rsid w:val="00DC5F9B"/>
    <w:rsid w:val="00DC624E"/>
    <w:rsid w:val="00DD196C"/>
    <w:rsid w:val="00DD20F9"/>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F2B"/>
    <w:rsid w:val="00E22306"/>
    <w:rsid w:val="00E22A58"/>
    <w:rsid w:val="00E24161"/>
    <w:rsid w:val="00E24C10"/>
    <w:rsid w:val="00E24FB8"/>
    <w:rsid w:val="00E26A5B"/>
    <w:rsid w:val="00E27F84"/>
    <w:rsid w:val="00E3227E"/>
    <w:rsid w:val="00E32841"/>
    <w:rsid w:val="00E333BA"/>
    <w:rsid w:val="00E341D8"/>
    <w:rsid w:val="00E34A00"/>
    <w:rsid w:val="00E35452"/>
    <w:rsid w:val="00E357E0"/>
    <w:rsid w:val="00E367EB"/>
    <w:rsid w:val="00E36DB7"/>
    <w:rsid w:val="00E40D31"/>
    <w:rsid w:val="00E41640"/>
    <w:rsid w:val="00E42744"/>
    <w:rsid w:val="00E4314D"/>
    <w:rsid w:val="00E4399D"/>
    <w:rsid w:val="00E46BAA"/>
    <w:rsid w:val="00E4721B"/>
    <w:rsid w:val="00E5080E"/>
    <w:rsid w:val="00E53A71"/>
    <w:rsid w:val="00E54491"/>
    <w:rsid w:val="00E549C9"/>
    <w:rsid w:val="00E55393"/>
    <w:rsid w:val="00E55471"/>
    <w:rsid w:val="00E55F7F"/>
    <w:rsid w:val="00E56AE7"/>
    <w:rsid w:val="00E56BC0"/>
    <w:rsid w:val="00E5717C"/>
    <w:rsid w:val="00E5762C"/>
    <w:rsid w:val="00E57C7E"/>
    <w:rsid w:val="00E6111C"/>
    <w:rsid w:val="00E615FF"/>
    <w:rsid w:val="00E62EE0"/>
    <w:rsid w:val="00E631F7"/>
    <w:rsid w:val="00E64553"/>
    <w:rsid w:val="00E651D2"/>
    <w:rsid w:val="00E654A0"/>
    <w:rsid w:val="00E66AB4"/>
    <w:rsid w:val="00E66BFB"/>
    <w:rsid w:val="00E67FC4"/>
    <w:rsid w:val="00E70A23"/>
    <w:rsid w:val="00E72A3A"/>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4701"/>
    <w:rsid w:val="00E957A3"/>
    <w:rsid w:val="00E95B60"/>
    <w:rsid w:val="00E96EBF"/>
    <w:rsid w:val="00E975A9"/>
    <w:rsid w:val="00E97DCA"/>
    <w:rsid w:val="00EA1B5E"/>
    <w:rsid w:val="00EA1FB8"/>
    <w:rsid w:val="00EA2F99"/>
    <w:rsid w:val="00EA3469"/>
    <w:rsid w:val="00EA4EC2"/>
    <w:rsid w:val="00EA4F49"/>
    <w:rsid w:val="00EA4FBC"/>
    <w:rsid w:val="00EA64B7"/>
    <w:rsid w:val="00EA7C10"/>
    <w:rsid w:val="00EB007E"/>
    <w:rsid w:val="00EB078F"/>
    <w:rsid w:val="00EB0C2A"/>
    <w:rsid w:val="00EB0C80"/>
    <w:rsid w:val="00EB44BF"/>
    <w:rsid w:val="00EB4D38"/>
    <w:rsid w:val="00EB7193"/>
    <w:rsid w:val="00EB7638"/>
    <w:rsid w:val="00EC03AE"/>
    <w:rsid w:val="00EC0BBF"/>
    <w:rsid w:val="00EC3E6B"/>
    <w:rsid w:val="00EC3EC0"/>
    <w:rsid w:val="00EC5C2E"/>
    <w:rsid w:val="00EC6711"/>
    <w:rsid w:val="00EC7213"/>
    <w:rsid w:val="00EC7665"/>
    <w:rsid w:val="00ED132D"/>
    <w:rsid w:val="00ED1A3B"/>
    <w:rsid w:val="00ED1D80"/>
    <w:rsid w:val="00ED2012"/>
    <w:rsid w:val="00ED2D80"/>
    <w:rsid w:val="00ED31FB"/>
    <w:rsid w:val="00ED3C9F"/>
    <w:rsid w:val="00ED435E"/>
    <w:rsid w:val="00ED4732"/>
    <w:rsid w:val="00EE0CB5"/>
    <w:rsid w:val="00EE1730"/>
    <w:rsid w:val="00EE2823"/>
    <w:rsid w:val="00EE4205"/>
    <w:rsid w:val="00EE562E"/>
    <w:rsid w:val="00EE58DB"/>
    <w:rsid w:val="00EE64B0"/>
    <w:rsid w:val="00EE69DE"/>
    <w:rsid w:val="00EF2151"/>
    <w:rsid w:val="00EF3C0E"/>
    <w:rsid w:val="00EF3FE1"/>
    <w:rsid w:val="00EF4EF8"/>
    <w:rsid w:val="00EF5408"/>
    <w:rsid w:val="00EF5765"/>
    <w:rsid w:val="00F01E2F"/>
    <w:rsid w:val="00F02D6F"/>
    <w:rsid w:val="00F02F49"/>
    <w:rsid w:val="00F051FB"/>
    <w:rsid w:val="00F05B49"/>
    <w:rsid w:val="00F07649"/>
    <w:rsid w:val="00F1453B"/>
    <w:rsid w:val="00F14A50"/>
    <w:rsid w:val="00F15030"/>
    <w:rsid w:val="00F17B33"/>
    <w:rsid w:val="00F20799"/>
    <w:rsid w:val="00F21D34"/>
    <w:rsid w:val="00F22DA4"/>
    <w:rsid w:val="00F2520B"/>
    <w:rsid w:val="00F25E55"/>
    <w:rsid w:val="00F26165"/>
    <w:rsid w:val="00F26514"/>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29FF"/>
    <w:rsid w:val="00FA36E1"/>
    <w:rsid w:val="00FA399C"/>
    <w:rsid w:val="00FA73CF"/>
    <w:rsid w:val="00FB27AA"/>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5DDE"/>
    <w:rsid w:val="00FE6928"/>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3BCE9-8AC4-4984-9403-C0071428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2710</Words>
  <Characters>14908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10</cp:revision>
  <cp:lastPrinted>2017-01-17T19:03:00Z</cp:lastPrinted>
  <dcterms:created xsi:type="dcterms:W3CDTF">2017-01-17T15:08:00Z</dcterms:created>
  <dcterms:modified xsi:type="dcterms:W3CDTF">2017-05-05T02:51:00Z</dcterms:modified>
</cp:coreProperties>
</file>