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6E6" w:rsidRPr="00A817A6" w:rsidRDefault="001626E6" w:rsidP="001626E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1626E6">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1626E6">
        <w:rPr>
          <w:rFonts w:ascii="Arial" w:eastAsia="Arial" w:hAnsi="Arial" w:cs="Arial"/>
          <w:sz w:val="22"/>
          <w:szCs w:val="22"/>
        </w:rPr>
        <w:t>– 1ª instancia – 01 de marzo de 2017</w:t>
      </w:r>
    </w:p>
    <w:p w:rsidR="001626E6" w:rsidRPr="007D3EFE" w:rsidRDefault="001626E6"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Pr="007D3EFE"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 xml:space="preserve"> Juzgado </w:t>
      </w:r>
      <w:r w:rsidR="00861415" w:rsidRPr="007D3EFE">
        <w:rPr>
          <w:rFonts w:ascii="Arial" w:eastAsia="Arial" w:hAnsi="Arial" w:cs="Arial"/>
          <w:sz w:val="22"/>
          <w:szCs w:val="22"/>
        </w:rPr>
        <w:t>Cuarto Civil del Circuito de Pereira</w:t>
      </w:r>
      <w:r w:rsidRPr="007D3EFE">
        <w:rPr>
          <w:rFonts w:ascii="Arial" w:eastAsia="Arial" w:hAnsi="Arial" w:cs="Arial"/>
          <w:sz w:val="22"/>
          <w:szCs w:val="22"/>
        </w:rPr>
        <w:tab/>
      </w:r>
      <w:r w:rsidR="00E616DE" w:rsidRPr="007D3EFE">
        <w:rPr>
          <w:rFonts w:ascii="Arial" w:eastAsia="Arial" w:hAnsi="Arial" w:cs="Arial"/>
          <w:sz w:val="22"/>
          <w:szCs w:val="22"/>
        </w:rPr>
        <w:t xml:space="preserve">  </w:t>
      </w:r>
      <w:r w:rsidR="00077963" w:rsidRPr="007D3EFE">
        <w:rPr>
          <w:rFonts w:ascii="Arial" w:eastAsia="Arial" w:hAnsi="Arial" w:cs="Arial"/>
          <w:sz w:val="22"/>
          <w:szCs w:val="22"/>
        </w:rPr>
        <w:tab/>
      </w:r>
      <w:r w:rsidR="00077963"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861415" w:rsidRPr="007D3EFE">
        <w:rPr>
          <w:rFonts w:ascii="Arial" w:eastAsia="Arial" w:hAnsi="Arial" w:cs="Arial"/>
          <w:sz w:val="22"/>
          <w:szCs w:val="22"/>
        </w:rPr>
        <w:tab/>
      </w:r>
      <w:r w:rsidR="00E616DE" w:rsidRPr="007D3EFE">
        <w:rPr>
          <w:rFonts w:ascii="Arial" w:eastAsia="Arial" w:hAnsi="Arial" w:cs="Arial"/>
          <w:sz w:val="22"/>
          <w:szCs w:val="22"/>
        </w:rPr>
        <w:t>Litisconsorte (s)</w:t>
      </w:r>
      <w:r w:rsidR="00E616DE" w:rsidRPr="007D3EFE">
        <w:rPr>
          <w:rFonts w:ascii="Arial" w:eastAsia="Arial" w:hAnsi="Arial" w:cs="Arial"/>
          <w:sz w:val="22"/>
          <w:szCs w:val="22"/>
        </w:rPr>
        <w:tab/>
        <w:t xml:space="preserve">: </w:t>
      </w:r>
      <w:r w:rsidR="00861415" w:rsidRPr="007D3EFE">
        <w:rPr>
          <w:rFonts w:ascii="Arial" w:eastAsia="Arial" w:hAnsi="Arial" w:cs="Arial"/>
          <w:sz w:val="22"/>
          <w:szCs w:val="22"/>
        </w:rPr>
        <w:t>Banco de Occidente (Sucursal accionada) 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-0</w:t>
      </w:r>
      <w:r w:rsidR="00FC6FDE" w:rsidRPr="007D3EFE">
        <w:rPr>
          <w:rFonts w:ascii="Arial" w:eastAsia="Arial" w:hAnsi="Arial" w:cs="Arial"/>
          <w:sz w:val="22"/>
          <w:szCs w:val="22"/>
        </w:rPr>
        <w:t>00</w:t>
      </w:r>
      <w:r w:rsidR="00E60B9C" w:rsidRPr="007D3EFE">
        <w:rPr>
          <w:rFonts w:ascii="Arial" w:eastAsia="Arial" w:hAnsi="Arial" w:cs="Arial"/>
          <w:sz w:val="22"/>
          <w:szCs w:val="22"/>
        </w:rPr>
        <w:t>84</w:t>
      </w:r>
      <w:r w:rsidR="004A5FA5" w:rsidRPr="007D3EFE">
        <w:rPr>
          <w:rFonts w:ascii="Arial" w:eastAsia="Arial" w:hAnsi="Arial" w:cs="Arial"/>
          <w:sz w:val="22"/>
          <w:szCs w:val="22"/>
        </w:rPr>
        <w:t>-00</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884B0F" w:rsidRDefault="00346CD6" w:rsidP="00F70CC9">
      <w:pPr>
        <w:tabs>
          <w:tab w:val="left" w:pos="851"/>
          <w:tab w:val="left" w:pos="1416"/>
        </w:tabs>
        <w:spacing w:line="360" w:lineRule="auto"/>
        <w:rPr>
          <w:rFonts w:ascii="Arial" w:eastAsia="Arial" w:hAnsi="Arial" w:cs="Arial"/>
          <w:sz w:val="22"/>
          <w:szCs w:val="22"/>
        </w:rPr>
      </w:pP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Acta número</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654381">
        <w:rPr>
          <w:rFonts w:ascii="Arial" w:eastAsia="Arial" w:hAnsi="Arial" w:cs="Arial"/>
          <w:sz w:val="22"/>
          <w:szCs w:val="22"/>
        </w:rPr>
        <w:t xml:space="preserve">98 </w:t>
      </w:r>
      <w:r w:rsidR="004A5FA5" w:rsidRPr="007D3EFE">
        <w:rPr>
          <w:rFonts w:ascii="Arial" w:eastAsia="Arial" w:hAnsi="Arial" w:cs="Arial"/>
          <w:sz w:val="22"/>
          <w:szCs w:val="22"/>
        </w:rPr>
        <w:t xml:space="preserve">de </w:t>
      </w:r>
      <w:r w:rsidR="00654381">
        <w:rPr>
          <w:rFonts w:ascii="Arial" w:eastAsia="Arial" w:hAnsi="Arial" w:cs="Arial"/>
          <w:sz w:val="22"/>
          <w:szCs w:val="22"/>
        </w:rPr>
        <w:t>01</w:t>
      </w:r>
      <w:r w:rsidR="004A5FA5" w:rsidRPr="007D3EFE">
        <w:rPr>
          <w:rFonts w:ascii="Arial" w:eastAsia="Arial" w:hAnsi="Arial" w:cs="Arial"/>
          <w:sz w:val="22"/>
          <w:szCs w:val="22"/>
        </w:rPr>
        <w:t>-</w:t>
      </w:r>
      <w:r w:rsidR="00654381">
        <w:rPr>
          <w:rFonts w:ascii="Arial" w:eastAsia="Arial" w:hAnsi="Arial" w:cs="Arial"/>
          <w:sz w:val="22"/>
          <w:szCs w:val="22"/>
        </w:rPr>
        <w:t>03</w:t>
      </w:r>
      <w:r w:rsidR="004A5FA5" w:rsidRPr="007D3EFE">
        <w:rPr>
          <w:rFonts w:ascii="Arial" w:eastAsia="Arial" w:hAnsi="Arial" w:cs="Arial"/>
          <w:sz w:val="22"/>
          <w:szCs w:val="22"/>
        </w:rPr>
        <w:t>-2017</w:t>
      </w:r>
    </w:p>
    <w:p w:rsidR="001626E6" w:rsidRPr="00180CEF" w:rsidRDefault="001626E6" w:rsidP="00180CEF">
      <w:pPr>
        <w:tabs>
          <w:tab w:val="left" w:pos="851"/>
          <w:tab w:val="left" w:pos="1416"/>
        </w:tabs>
        <w:rPr>
          <w:rFonts w:ascii="Arial" w:eastAsia="Arial" w:hAnsi="Arial" w:cs="Arial"/>
          <w:sz w:val="16"/>
          <w:szCs w:val="16"/>
        </w:rPr>
      </w:pPr>
    </w:p>
    <w:p w:rsidR="001626E6" w:rsidRPr="007D3EFE" w:rsidRDefault="001626E6" w:rsidP="00180CEF">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rPr>
      </w:pPr>
      <w:r w:rsidRPr="007D3EFE">
        <w:rPr>
          <w:rFonts w:ascii="Arial" w:eastAsia="Arial" w:hAnsi="Arial" w:cs="Arial"/>
          <w:sz w:val="22"/>
          <w:szCs w:val="22"/>
        </w:rPr>
        <w:tab/>
        <w:t xml:space="preserve"> </w:t>
      </w:r>
      <w:r w:rsidRPr="007D3EFE">
        <w:rPr>
          <w:rFonts w:ascii="Arial" w:eastAsia="Arial" w:hAnsi="Arial" w:cs="Arial"/>
          <w:sz w:val="22"/>
          <w:szCs w:val="22"/>
        </w:rPr>
        <w:tab/>
      </w:r>
      <w:r w:rsidRPr="007D3EFE">
        <w:rPr>
          <w:rFonts w:ascii="Arial" w:eastAsia="Arial" w:hAnsi="Arial" w:cs="Arial"/>
          <w:sz w:val="22"/>
          <w:szCs w:val="22"/>
        </w:rPr>
        <w:tab/>
        <w:t>Temas</w:t>
      </w:r>
      <w:r w:rsidRPr="007D3EFE">
        <w:rPr>
          <w:rFonts w:ascii="Arial" w:eastAsia="Arial" w:hAnsi="Arial" w:cs="Arial"/>
          <w:sz w:val="22"/>
          <w:szCs w:val="22"/>
        </w:rPr>
        <w:tab/>
      </w:r>
      <w:r w:rsidRPr="007D3EFE">
        <w:rPr>
          <w:rFonts w:ascii="Arial" w:eastAsia="Arial" w:hAnsi="Arial" w:cs="Arial"/>
          <w:sz w:val="22"/>
          <w:szCs w:val="22"/>
        </w:rPr>
        <w:tab/>
      </w:r>
      <w:r w:rsidRPr="007D3EFE">
        <w:rPr>
          <w:rFonts w:ascii="Arial" w:eastAsia="Arial" w:hAnsi="Arial" w:cs="Arial"/>
          <w:sz w:val="22"/>
          <w:szCs w:val="22"/>
        </w:rPr>
        <w:tab/>
        <w:t xml:space="preserve">: </w:t>
      </w:r>
      <w:r w:rsidR="00180CEF" w:rsidRPr="00180CEF">
        <w:rPr>
          <w:rFonts w:ascii="Arial" w:eastAsia="Arial" w:hAnsi="Arial" w:cs="Arial"/>
          <w:b/>
          <w:bCs/>
          <w:iCs/>
          <w:sz w:val="22"/>
          <w:szCs w:val="22"/>
          <w:lang w:val="es-CO"/>
        </w:rPr>
        <w:t xml:space="preserve">DEBIDO PROCESO / TUTELA CONTRA PROVIDENCIA JUDICIAL / </w:t>
      </w:r>
      <w:r w:rsidR="00180CEF" w:rsidRPr="00180CEF">
        <w:rPr>
          <w:rFonts w:ascii="Arial" w:eastAsia="Arial" w:hAnsi="Arial" w:cs="Arial"/>
          <w:b/>
          <w:bCs/>
          <w:iCs/>
          <w:sz w:val="22"/>
          <w:szCs w:val="22"/>
          <w:lang w:val="es-419"/>
        </w:rPr>
        <w:t xml:space="preserve">CARÁCTER RESIDUAL DE LA ACCIÓN DE TUTELA / NO SE AGOTARON LOS RECURSOS / IMPROCEDENCIA. </w:t>
      </w:r>
      <w:r w:rsidR="00180CEF" w:rsidRPr="00180CEF">
        <w:rPr>
          <w:rFonts w:ascii="Arial" w:eastAsia="Arial" w:hAnsi="Arial" w:cs="Arial"/>
          <w:bCs/>
          <w:iCs/>
          <w:sz w:val="22"/>
          <w:szCs w:val="22"/>
          <w:lang w:val="es-419"/>
        </w:rPr>
        <w:t>“</w:t>
      </w:r>
      <w:r w:rsidR="00180CEF" w:rsidRPr="00180CEF">
        <w:rPr>
          <w:rFonts w:ascii="Arial" w:eastAsia="Arial" w:hAnsi="Arial" w:cs="Arial"/>
          <w:bCs/>
          <w:iCs/>
          <w:sz w:val="22"/>
          <w:szCs w:val="22"/>
          <w:lang w:val="es-ES_tradnl"/>
        </w:rPr>
        <w:t xml:space="preserve">[E]l accionante pretermitió agotar el recurso de </w:t>
      </w:r>
      <w:r w:rsidR="00180CEF" w:rsidRPr="00180CEF">
        <w:rPr>
          <w:rFonts w:ascii="Arial" w:eastAsia="Arial" w:hAnsi="Arial" w:cs="Arial"/>
          <w:bCs/>
          <w:iCs/>
          <w:sz w:val="22"/>
          <w:szCs w:val="22"/>
          <w:u w:val="single"/>
          <w:lang w:val="es-ES_tradnl"/>
        </w:rPr>
        <w:t>reposición (Artículo 36, Ley 472)</w:t>
      </w:r>
      <w:r w:rsidR="00180CEF" w:rsidRPr="00180CEF">
        <w:rPr>
          <w:rFonts w:ascii="Arial" w:eastAsia="Arial" w:hAnsi="Arial" w:cs="Arial"/>
          <w:bCs/>
          <w:iCs/>
          <w:sz w:val="22"/>
          <w:szCs w:val="22"/>
          <w:lang w:val="es-ES_tradnl"/>
        </w:rPr>
        <w:t xml:space="preserve">, frente al auto que rechazó la nulidad, cuando ese era el mecanismo ordinario y expedito que tenía para procurar que el estrado judicial accionado reconsiderara aquella determinación y analizara la posibilidad de declarar la incompetencia, de acuerdo con el artículo 121 del </w:t>
      </w:r>
      <w:proofErr w:type="spellStart"/>
      <w:r w:rsidR="00180CEF" w:rsidRPr="00180CEF">
        <w:rPr>
          <w:rFonts w:ascii="Arial" w:eastAsia="Arial" w:hAnsi="Arial" w:cs="Arial"/>
          <w:bCs/>
          <w:iCs/>
          <w:sz w:val="22"/>
          <w:szCs w:val="22"/>
          <w:lang w:val="es-ES_tradnl"/>
        </w:rPr>
        <w:t>CGP</w:t>
      </w:r>
      <w:proofErr w:type="spellEnd"/>
      <w:r w:rsidR="00180CEF" w:rsidRPr="00180CEF">
        <w:rPr>
          <w:rFonts w:ascii="Arial" w:eastAsia="Arial" w:hAnsi="Arial" w:cs="Arial"/>
          <w:bCs/>
          <w:iCs/>
          <w:sz w:val="22"/>
          <w:szCs w:val="22"/>
          <w:lang w:val="es-ES_tradnl"/>
        </w:rPr>
        <w:t xml:space="preserve">. Evidente, entonces, es la falta de agotamiento del supuesto de subsidiariedad, como ha explicado </w:t>
      </w:r>
      <w:r w:rsidR="00180CEF" w:rsidRPr="00180CEF">
        <w:rPr>
          <w:rFonts w:ascii="Arial" w:eastAsia="Arial" w:hAnsi="Arial" w:cs="Arial"/>
          <w:bCs/>
          <w:iCs/>
          <w:sz w:val="22"/>
          <w:szCs w:val="22"/>
        </w:rPr>
        <w:t xml:space="preserve">la CC, que reiteradamente ha referido que la acción de tutela mal puede implementarse como medio para sustituir los mecanismos ordinarios de defensa, cuando por negligencia, descuido o incuria no fueron utilizados. Cabe acotar que nada se arguyó y menos acreditó por parte del accionante, de forma que pudiera estimarse </w:t>
      </w:r>
      <w:r w:rsidR="00180CEF" w:rsidRPr="00180CEF">
        <w:rPr>
          <w:rFonts w:ascii="Arial" w:eastAsia="Arial" w:hAnsi="Arial" w:cs="Arial"/>
          <w:bCs/>
          <w:iCs/>
          <w:sz w:val="22"/>
          <w:szCs w:val="22"/>
          <w:lang w:val="es-CO"/>
        </w:rPr>
        <w:t xml:space="preserve">que es una persona que requiere de protección reforzada o que estaba en una situación de imposibilidad para recurrir el mencionado auto, de tal modo que amerite un análisis flexible del requisito de procedibilidad echado de menos, </w:t>
      </w:r>
      <w:r w:rsidR="00180CEF" w:rsidRPr="00180CEF">
        <w:rPr>
          <w:rFonts w:ascii="Arial" w:eastAsia="Arial" w:hAnsi="Arial" w:cs="Arial"/>
          <w:bCs/>
          <w:iCs/>
          <w:sz w:val="22"/>
          <w:szCs w:val="22"/>
        </w:rPr>
        <w:t xml:space="preserve">por ende solo a la parte le es imputable tal descuido. </w:t>
      </w:r>
      <w:r w:rsidR="00180CEF" w:rsidRPr="00180CEF">
        <w:rPr>
          <w:rFonts w:ascii="Arial" w:eastAsia="Arial" w:hAnsi="Arial" w:cs="Arial"/>
          <w:bCs/>
          <w:iCs/>
          <w:sz w:val="22"/>
          <w:szCs w:val="22"/>
          <w:lang w:val="es-ES_tradnl"/>
        </w:rPr>
        <w:t>En ese contexto, la presente acción de tutela es improcedente toda vez que se incumple con uno de los siete (7) requisitos generales de procedibilidad, como lo es el de la subsidiariedad, pues no se formuló el recurso ordinario</w:t>
      </w:r>
      <w:r w:rsidR="00180CEF" w:rsidRPr="00180CEF">
        <w:rPr>
          <w:rFonts w:ascii="Arial" w:eastAsia="Arial" w:hAnsi="Arial" w:cs="Arial"/>
          <w:bCs/>
          <w:iCs/>
          <w:sz w:val="22"/>
          <w:szCs w:val="22"/>
        </w:rPr>
        <w:t>.”.</w:t>
      </w:r>
    </w:p>
    <w:p w:rsidR="000159B3" w:rsidRPr="007D3EFE" w:rsidRDefault="000159B3" w:rsidP="000159B3">
      <w:pPr>
        <w:pBdr>
          <w:bottom w:val="double" w:sz="6" w:space="1" w:color="auto"/>
        </w:pBdr>
        <w:spacing w:line="360" w:lineRule="auto"/>
        <w:jc w:val="center"/>
        <w:rPr>
          <w:rFonts w:ascii="Arial" w:hAnsi="Arial" w:cs="Arial"/>
          <w:b/>
          <w:bCs/>
          <w:sz w:val="18"/>
          <w:szCs w:val="22"/>
        </w:rPr>
      </w:pPr>
    </w:p>
    <w:p w:rsidR="000159B3" w:rsidRPr="007D3EFE" w:rsidRDefault="000159B3" w:rsidP="000159B3">
      <w:pPr>
        <w:spacing w:line="360" w:lineRule="auto"/>
        <w:jc w:val="center"/>
        <w:rPr>
          <w:rFonts w:ascii="Arial" w:hAnsi="Arial" w:cs="Arial"/>
          <w:b/>
          <w:bCs/>
          <w:sz w:val="20"/>
          <w:szCs w:val="22"/>
        </w:rPr>
      </w:pPr>
    </w:p>
    <w:p w:rsidR="00884B0F" w:rsidRPr="007D3EFE" w:rsidRDefault="004A5FA5">
      <w:pPr>
        <w:spacing w:line="360" w:lineRule="auto"/>
        <w:jc w:val="center"/>
        <w:rPr>
          <w:rFonts w:ascii="Arial" w:hAnsi="Arial" w:cs="Arial"/>
        </w:rPr>
      </w:pPr>
      <w:r w:rsidRPr="007D3EFE">
        <w:rPr>
          <w:rFonts w:ascii="Arial" w:eastAsia="Arial" w:hAnsi="Arial" w:cs="Arial"/>
          <w:smallCaps/>
          <w:sz w:val="28"/>
          <w:szCs w:val="28"/>
        </w:rPr>
        <w:t>Pereira, R.,</w:t>
      </w:r>
      <w:r w:rsidR="005E60B3" w:rsidRPr="007D3EFE">
        <w:rPr>
          <w:rFonts w:ascii="Arial" w:eastAsia="Arial" w:hAnsi="Arial" w:cs="Arial"/>
          <w:smallCaps/>
          <w:sz w:val="28"/>
          <w:szCs w:val="28"/>
        </w:rPr>
        <w:t xml:space="preserve"> </w:t>
      </w:r>
      <w:r w:rsidR="00654381">
        <w:rPr>
          <w:rFonts w:ascii="Arial" w:eastAsia="Arial" w:hAnsi="Arial" w:cs="Arial"/>
          <w:smallCaps/>
          <w:sz w:val="28"/>
          <w:szCs w:val="28"/>
        </w:rPr>
        <w:t xml:space="preserve">primero </w:t>
      </w:r>
      <w:r w:rsidRPr="007D3EFE">
        <w:rPr>
          <w:rFonts w:ascii="Arial" w:eastAsia="Arial" w:hAnsi="Arial" w:cs="Arial"/>
          <w:smallCaps/>
          <w:sz w:val="28"/>
          <w:szCs w:val="28"/>
        </w:rPr>
        <w:t>(</w:t>
      </w:r>
      <w:r w:rsidR="00654381">
        <w:rPr>
          <w:rFonts w:ascii="Arial" w:eastAsia="Arial" w:hAnsi="Arial" w:cs="Arial"/>
          <w:smallCaps/>
          <w:sz w:val="28"/>
          <w:szCs w:val="28"/>
        </w:rPr>
        <w:t>1º</w:t>
      </w:r>
      <w:r w:rsidRPr="007D3EFE">
        <w:rPr>
          <w:rFonts w:ascii="Arial" w:eastAsia="Arial" w:hAnsi="Arial" w:cs="Arial"/>
          <w:smallCaps/>
          <w:sz w:val="28"/>
          <w:szCs w:val="28"/>
        </w:rPr>
        <w:t xml:space="preserve">) de </w:t>
      </w:r>
      <w:r w:rsidR="00654381">
        <w:rPr>
          <w:rFonts w:ascii="Arial" w:eastAsia="Arial" w:hAnsi="Arial" w:cs="Arial"/>
          <w:smallCaps/>
          <w:sz w:val="28"/>
          <w:szCs w:val="28"/>
        </w:rPr>
        <w:t xml:space="preserve">marzo </w:t>
      </w:r>
      <w:r w:rsidRPr="007D3EFE">
        <w:rPr>
          <w:rFonts w:ascii="Arial" w:eastAsia="Arial" w:hAnsi="Arial" w:cs="Arial"/>
          <w:smallCaps/>
          <w:sz w:val="28"/>
          <w:szCs w:val="28"/>
        </w:rPr>
        <w:t>de dos mil diecisiete (2017)</w:t>
      </w:r>
      <w:r w:rsidRPr="007D3EFE">
        <w:rPr>
          <w:rFonts w:ascii="Arial" w:eastAsia="Arial" w:hAnsi="Arial" w:cs="Arial"/>
          <w:sz w:val="28"/>
          <w:szCs w:val="28"/>
        </w:rPr>
        <w:t>.</w:t>
      </w:r>
    </w:p>
    <w:p w:rsidR="00884B0F" w:rsidRPr="007D3EFE" w:rsidRDefault="00884B0F">
      <w:pPr>
        <w:spacing w:line="360" w:lineRule="auto"/>
        <w:jc w:val="center"/>
        <w:rPr>
          <w:rFonts w:ascii="Arial" w:hAnsi="Arial" w:cs="Arial"/>
        </w:rPr>
      </w:pP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t>El asunto por decidir</w:t>
      </w:r>
    </w:p>
    <w:p w:rsidR="00884B0F" w:rsidRPr="007D3EFE" w:rsidRDefault="00884B0F" w:rsidP="00BB7FD9">
      <w:pPr>
        <w:pStyle w:val="Sansinterligne"/>
        <w:rPr>
          <w:rFonts w:ascii="Arial" w:hAnsi="Arial" w:cs="Arial"/>
        </w:rPr>
      </w:pPr>
    </w:p>
    <w:p w:rsidR="00884B0F" w:rsidRPr="007D3EFE" w:rsidRDefault="004A5F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rPr>
        <w:t>L</w:t>
      </w:r>
      <w:r w:rsidR="003F111B" w:rsidRPr="007D3EFE">
        <w:rPr>
          <w:rFonts w:ascii="Arial" w:eastAsia="Arial" w:hAnsi="Arial" w:cs="Arial"/>
        </w:rPr>
        <w:t>a acci</w:t>
      </w:r>
      <w:r w:rsidR="006C4187" w:rsidRPr="007D3EFE">
        <w:rPr>
          <w:rFonts w:ascii="Arial" w:eastAsia="Arial" w:hAnsi="Arial" w:cs="Arial"/>
        </w:rPr>
        <w:t xml:space="preserve">ón </w:t>
      </w:r>
      <w:r w:rsidR="00251244" w:rsidRPr="007D3EFE">
        <w:rPr>
          <w:rFonts w:ascii="Arial" w:eastAsia="Arial" w:hAnsi="Arial" w:cs="Arial"/>
        </w:rPr>
        <w:t>constitucional</w:t>
      </w:r>
      <w:r w:rsidRPr="007D3EFE">
        <w:rPr>
          <w:rFonts w:ascii="Arial" w:eastAsia="Arial" w:hAnsi="Arial" w:cs="Arial"/>
        </w:rPr>
        <w:t xml:space="preserve"> </w:t>
      </w:r>
      <w:r w:rsidR="00251244" w:rsidRPr="007D3EFE">
        <w:rPr>
          <w:rFonts w:ascii="Arial" w:eastAsia="Arial" w:hAnsi="Arial" w:cs="Arial"/>
        </w:rPr>
        <w:t xml:space="preserve">de la referencia, </w:t>
      </w:r>
      <w:r w:rsidRPr="007D3EFE">
        <w:rPr>
          <w:rFonts w:ascii="Arial" w:eastAsia="Arial" w:hAnsi="Arial" w:cs="Arial"/>
        </w:rPr>
        <w:t>adelantadas las debidas actuaciones con el trámite preferente y sumario, sin que se evidencien causales de nulidad que la</w:t>
      </w:r>
      <w:r w:rsidR="00251244" w:rsidRPr="007D3EFE">
        <w:rPr>
          <w:rFonts w:ascii="Arial" w:eastAsia="Arial" w:hAnsi="Arial" w:cs="Arial"/>
        </w:rPr>
        <w:t>s</w:t>
      </w:r>
      <w:r w:rsidRPr="007D3EFE">
        <w:rPr>
          <w:rFonts w:ascii="Arial" w:eastAsia="Arial" w:hAnsi="Arial" w:cs="Arial"/>
        </w:rPr>
        <w:t xml:space="preserve"> invalide</w:t>
      </w:r>
      <w:r w:rsidR="00251244" w:rsidRPr="007D3EFE">
        <w:rPr>
          <w:rFonts w:ascii="Arial" w:eastAsia="Arial" w:hAnsi="Arial" w:cs="Arial"/>
        </w:rPr>
        <w:t>n</w:t>
      </w:r>
      <w:r w:rsidRPr="007D3EFE">
        <w:rPr>
          <w:rFonts w:ascii="Arial" w:eastAsia="Arial" w:hAnsi="Arial" w:cs="Arial"/>
        </w:rPr>
        <w:t>.</w:t>
      </w:r>
    </w:p>
    <w:p w:rsidR="00884B0F" w:rsidRPr="007D3EFE" w:rsidRDefault="00884B0F" w:rsidP="00BB7FD9">
      <w:pPr>
        <w:pStyle w:val="Sansinterligne"/>
        <w:rPr>
          <w:rFonts w:ascii="Arial" w:hAnsi="Arial" w:cs="Arial"/>
        </w:rPr>
      </w:pPr>
    </w:p>
    <w:p w:rsidR="00884B0F" w:rsidRPr="007D3EFE" w:rsidRDefault="004A5FA5">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szCs w:val="28"/>
        </w:rPr>
      </w:pPr>
      <w:r w:rsidRPr="007D3EFE">
        <w:rPr>
          <w:rFonts w:ascii="Arial" w:eastAsia="Arial" w:hAnsi="Arial" w:cs="Arial"/>
          <w:smallCaps/>
          <w:sz w:val="28"/>
          <w:szCs w:val="28"/>
        </w:rPr>
        <w:lastRenderedPageBreak/>
        <w:t>La síntesis de los supuestos fácticos relevantes</w:t>
      </w:r>
    </w:p>
    <w:p w:rsidR="00F855C3" w:rsidRPr="007D3EFE" w:rsidRDefault="00F855C3" w:rsidP="00F855C3">
      <w:pPr>
        <w:spacing w:line="360" w:lineRule="auto"/>
        <w:jc w:val="both"/>
        <w:rPr>
          <w:rFonts w:ascii="Arial" w:hAnsi="Arial" w:cs="Arial"/>
          <w:sz w:val="16"/>
        </w:rPr>
      </w:pPr>
    </w:p>
    <w:p w:rsidR="00F855C3" w:rsidRPr="007D3EFE" w:rsidRDefault="00F855C3" w:rsidP="00F855C3">
      <w:pPr>
        <w:spacing w:line="360" w:lineRule="auto"/>
        <w:jc w:val="both"/>
        <w:rPr>
          <w:rFonts w:ascii="Arial" w:hAnsi="Arial" w:cs="Arial"/>
        </w:rPr>
      </w:pPr>
      <w:r w:rsidRPr="007D3EFE">
        <w:rPr>
          <w:rFonts w:ascii="Arial" w:hAnsi="Arial" w:cs="Arial"/>
        </w:rPr>
        <w:t>Expuso el actor que presentó ante el accionado la acción popular radicada al No.2015-00240-00</w:t>
      </w:r>
      <w:r w:rsidR="00CD67DF">
        <w:rPr>
          <w:rFonts w:ascii="Arial" w:hAnsi="Arial" w:cs="Arial"/>
        </w:rPr>
        <w:t xml:space="preserve"> y</w:t>
      </w:r>
      <w:r w:rsidRPr="007D3EFE">
        <w:rPr>
          <w:rFonts w:ascii="Arial" w:hAnsi="Arial" w:cs="Arial"/>
        </w:rPr>
        <w:t xml:space="preserve"> </w:t>
      </w:r>
      <w:r w:rsidR="00EE3FBB">
        <w:rPr>
          <w:rFonts w:ascii="Arial" w:hAnsi="Arial" w:cs="Arial"/>
        </w:rPr>
        <w:t xml:space="preserve">profirió </w:t>
      </w:r>
      <w:r w:rsidR="00412621" w:rsidRPr="007D3EFE">
        <w:rPr>
          <w:rFonts w:ascii="Arial" w:hAnsi="Arial" w:cs="Arial"/>
        </w:rPr>
        <w:t>sentencia</w:t>
      </w:r>
      <w:r w:rsidR="00EE3FBB">
        <w:rPr>
          <w:rFonts w:ascii="Arial" w:hAnsi="Arial" w:cs="Arial"/>
        </w:rPr>
        <w:t xml:space="preserve">, pese haber </w:t>
      </w:r>
      <w:r w:rsidR="00CD67DF">
        <w:rPr>
          <w:rFonts w:ascii="Arial" w:hAnsi="Arial" w:cs="Arial"/>
        </w:rPr>
        <w:t xml:space="preserve">perdido competencia, pues había </w:t>
      </w:r>
      <w:r w:rsidR="00EE3FBB">
        <w:rPr>
          <w:rFonts w:ascii="Arial" w:hAnsi="Arial" w:cs="Arial"/>
        </w:rPr>
        <w:t>transcurrido más de un año</w:t>
      </w:r>
      <w:r w:rsidR="00CD67DF">
        <w:rPr>
          <w:rFonts w:ascii="Arial" w:hAnsi="Arial" w:cs="Arial"/>
        </w:rPr>
        <w:t xml:space="preserve"> después de notificar a la entidad accionada</w:t>
      </w:r>
      <w:r w:rsidR="00412621" w:rsidRPr="007D3EFE">
        <w:rPr>
          <w:rFonts w:ascii="Arial" w:hAnsi="Arial" w:cs="Arial"/>
        </w:rPr>
        <w:t>; consideró que esa conducta contraviene e</w:t>
      </w:r>
      <w:r w:rsidR="00DA17EB" w:rsidRPr="007D3EFE">
        <w:rPr>
          <w:rFonts w:ascii="Arial" w:hAnsi="Arial" w:cs="Arial"/>
        </w:rPr>
        <w:t xml:space="preserve">l artículo 121 del CGP </w:t>
      </w:r>
      <w:r w:rsidRPr="007D3EFE">
        <w:rPr>
          <w:rFonts w:ascii="Arial" w:hAnsi="Arial" w:cs="Arial"/>
        </w:rPr>
        <w:t xml:space="preserve">(Folio 1 de este cuaderno). </w:t>
      </w:r>
    </w:p>
    <w:p w:rsidR="00CC2570" w:rsidRPr="007D3EFE" w:rsidRDefault="00CC2570" w:rsidP="00F855C3">
      <w:pPr>
        <w:spacing w:line="360" w:lineRule="auto"/>
        <w:jc w:val="both"/>
        <w:rPr>
          <w:rFonts w:ascii="Arial" w:hAnsi="Arial" w:cs="Arial"/>
          <w:sz w:val="14"/>
        </w:rPr>
      </w:pPr>
    </w:p>
    <w:p w:rsidR="00654381" w:rsidRDefault="006A66DA" w:rsidP="00654381">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 xml:space="preserve">Los </w:t>
      </w:r>
      <w:r w:rsidR="00303747" w:rsidRPr="007D3EFE">
        <w:rPr>
          <w:rFonts w:ascii="Arial" w:hAnsi="Arial" w:cs="Arial"/>
          <w:smallCaps/>
          <w:sz w:val="28"/>
          <w:szCs w:val="28"/>
        </w:rPr>
        <w:t>derecho</w:t>
      </w:r>
      <w:r w:rsidRPr="007D3EFE">
        <w:rPr>
          <w:rFonts w:ascii="Arial" w:hAnsi="Arial" w:cs="Arial"/>
          <w:smallCaps/>
          <w:sz w:val="28"/>
          <w:szCs w:val="28"/>
        </w:rPr>
        <w:t>s</w:t>
      </w:r>
      <w:r w:rsidR="00303747" w:rsidRPr="007D3EFE">
        <w:rPr>
          <w:rFonts w:ascii="Arial" w:hAnsi="Arial" w:cs="Arial"/>
          <w:smallCaps/>
          <w:sz w:val="28"/>
          <w:szCs w:val="28"/>
        </w:rPr>
        <w:t xml:space="preserve"> invocado</w:t>
      </w:r>
      <w:r w:rsidRPr="007D3EFE">
        <w:rPr>
          <w:rFonts w:ascii="Arial" w:hAnsi="Arial" w:cs="Arial"/>
          <w:smallCaps/>
          <w:sz w:val="28"/>
          <w:szCs w:val="28"/>
        </w:rPr>
        <w:t>s</w:t>
      </w:r>
    </w:p>
    <w:p w:rsidR="00654381" w:rsidRPr="00654381" w:rsidRDefault="00654381" w:rsidP="00180CEF">
      <w:pPr>
        <w:pStyle w:val="Corpsdetexte"/>
        <w:spacing w:line="240" w:lineRule="auto"/>
        <w:rPr>
          <w:rFonts w:ascii="Arial" w:hAnsi="Arial" w:cs="Arial"/>
          <w:smallCaps/>
          <w:sz w:val="28"/>
          <w:szCs w:val="28"/>
        </w:rPr>
      </w:pPr>
    </w:p>
    <w:p w:rsidR="00303747" w:rsidRPr="007D3EFE" w:rsidRDefault="00CC2570" w:rsidP="0030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D3EFE">
        <w:rPr>
          <w:rFonts w:ascii="Arial" w:hAnsi="Arial" w:cs="Arial"/>
          <w:spacing w:val="-3"/>
          <w:szCs w:val="22"/>
          <w:lang w:val="es-ES_tradnl"/>
        </w:rPr>
        <w:t>El a</w:t>
      </w:r>
      <w:r w:rsidR="00033AB6" w:rsidRPr="007D3EFE">
        <w:rPr>
          <w:rFonts w:ascii="Arial" w:hAnsi="Arial" w:cs="Arial"/>
          <w:spacing w:val="-3"/>
          <w:szCs w:val="22"/>
          <w:lang w:val="es-ES_tradnl"/>
        </w:rPr>
        <w:t xml:space="preserve">ccionante </w:t>
      </w:r>
      <w:r w:rsidR="006A66DA" w:rsidRPr="007D3EFE">
        <w:rPr>
          <w:rFonts w:ascii="Arial" w:hAnsi="Arial" w:cs="Arial"/>
          <w:spacing w:val="-3"/>
          <w:szCs w:val="22"/>
          <w:lang w:val="es-ES_tradnl"/>
        </w:rPr>
        <w:t>considera que se le vulneran</w:t>
      </w:r>
      <w:r w:rsidR="007D1FCA" w:rsidRPr="007D3EFE">
        <w:rPr>
          <w:rFonts w:ascii="Arial" w:hAnsi="Arial" w:cs="Arial"/>
          <w:spacing w:val="-3"/>
          <w:szCs w:val="22"/>
          <w:lang w:val="es-ES_tradnl"/>
        </w:rPr>
        <w:t xml:space="preserve"> las</w:t>
      </w:r>
      <w:r w:rsidR="006A66DA" w:rsidRPr="007D3EFE">
        <w:rPr>
          <w:rFonts w:ascii="Arial" w:hAnsi="Arial" w:cs="Arial"/>
          <w:spacing w:val="-3"/>
          <w:szCs w:val="22"/>
          <w:lang w:val="es-ES_tradnl"/>
        </w:rPr>
        <w:t xml:space="preserve"> </w:t>
      </w:r>
      <w:r w:rsidR="00033AB6" w:rsidRPr="007D3EFE">
        <w:rPr>
          <w:rFonts w:ascii="Arial" w:hAnsi="Arial" w:cs="Arial"/>
          <w:i/>
          <w:spacing w:val="-3"/>
          <w:sz w:val="22"/>
          <w:lang w:val="es-ES_tradnl"/>
        </w:rPr>
        <w:t xml:space="preserve">“(…) </w:t>
      </w:r>
      <w:r w:rsidRPr="007D3EFE">
        <w:rPr>
          <w:rFonts w:ascii="Arial" w:hAnsi="Arial" w:cs="Arial"/>
          <w:i/>
          <w:spacing w:val="-3"/>
          <w:sz w:val="22"/>
          <w:lang w:val="es-ES_tradnl"/>
        </w:rPr>
        <w:t xml:space="preserve"> garantías procesales</w:t>
      </w:r>
      <w:r w:rsidR="00033AB6" w:rsidRPr="007D3EFE">
        <w:rPr>
          <w:rFonts w:ascii="Arial" w:hAnsi="Arial" w:cs="Arial"/>
          <w:i/>
          <w:spacing w:val="-3"/>
          <w:sz w:val="22"/>
          <w:lang w:val="es-ES_tradnl"/>
        </w:rPr>
        <w:t xml:space="preserve"> </w:t>
      </w:r>
      <w:r w:rsidR="00303747" w:rsidRPr="007D3EFE">
        <w:rPr>
          <w:rFonts w:ascii="Arial" w:hAnsi="Arial" w:cs="Arial"/>
          <w:i/>
          <w:spacing w:val="-3"/>
          <w:sz w:val="22"/>
          <w:lang w:val="es-ES_tradnl"/>
        </w:rPr>
        <w:t xml:space="preserve">(…)” </w:t>
      </w:r>
      <w:r w:rsidR="00303747" w:rsidRPr="007D3EFE">
        <w:rPr>
          <w:rFonts w:ascii="Arial" w:hAnsi="Arial" w:cs="Arial"/>
        </w:rPr>
        <w:t>(Folio</w:t>
      </w:r>
      <w:r w:rsidR="000708F5" w:rsidRPr="007D3EFE">
        <w:rPr>
          <w:rFonts w:ascii="Arial" w:hAnsi="Arial" w:cs="Arial"/>
        </w:rPr>
        <w:t xml:space="preserve"> </w:t>
      </w:r>
      <w:r w:rsidRPr="007D3EFE">
        <w:rPr>
          <w:rFonts w:ascii="Arial" w:hAnsi="Arial" w:cs="Arial"/>
        </w:rPr>
        <w:t>2</w:t>
      </w:r>
      <w:r w:rsidR="00AA2779" w:rsidRPr="007D3EFE">
        <w:rPr>
          <w:rFonts w:ascii="Arial" w:hAnsi="Arial" w:cs="Arial"/>
        </w:rPr>
        <w:t xml:space="preserve"> de</w:t>
      </w:r>
      <w:r w:rsidR="00303747" w:rsidRPr="007D3EFE">
        <w:rPr>
          <w:rFonts w:ascii="Arial" w:hAnsi="Arial" w:cs="Arial"/>
        </w:rPr>
        <w:t xml:space="preserve"> este cuaderno).</w:t>
      </w:r>
      <w:r w:rsidR="00303747" w:rsidRPr="007D3EFE">
        <w:rPr>
          <w:rFonts w:ascii="Arial" w:hAnsi="Arial" w:cs="Arial"/>
          <w:spacing w:val="-3"/>
          <w:lang w:val="es-ES_tradnl"/>
        </w:rPr>
        <w:t xml:space="preserve"> </w:t>
      </w:r>
    </w:p>
    <w:p w:rsidR="00303747" w:rsidRPr="007D3EFE" w:rsidRDefault="00303747" w:rsidP="00BB7FD9">
      <w:pPr>
        <w:pStyle w:val="Sansinterligne"/>
        <w:rPr>
          <w:rFonts w:ascii="Arial" w:hAnsi="Arial" w:cs="Arial"/>
          <w:lang w:val="es-ES_tradnl"/>
        </w:rPr>
      </w:pPr>
    </w:p>
    <w:p w:rsidR="00303747" w:rsidRPr="007D3EFE" w:rsidRDefault="00303747" w:rsidP="003F111B">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La petición de protección</w:t>
      </w:r>
    </w:p>
    <w:p w:rsidR="00303747" w:rsidRPr="007D3EFE" w:rsidRDefault="00303747" w:rsidP="00BB7FD9">
      <w:pPr>
        <w:pStyle w:val="Sansinterligne"/>
        <w:rPr>
          <w:rFonts w:ascii="Arial" w:hAnsi="Arial" w:cs="Arial"/>
        </w:rPr>
      </w:pPr>
    </w:p>
    <w:p w:rsidR="00303747" w:rsidRDefault="00303747" w:rsidP="00303747">
      <w:pPr>
        <w:spacing w:line="360" w:lineRule="auto"/>
        <w:jc w:val="both"/>
        <w:rPr>
          <w:rFonts w:ascii="Arial" w:hAnsi="Arial" w:cs="Arial"/>
        </w:rPr>
      </w:pPr>
      <w:r w:rsidRPr="007D3EFE">
        <w:rPr>
          <w:rFonts w:ascii="Arial" w:hAnsi="Arial" w:cs="Arial"/>
        </w:rPr>
        <w:t>Solicita</w:t>
      </w:r>
      <w:r w:rsidR="00CD67DF">
        <w:rPr>
          <w:rFonts w:ascii="Arial" w:hAnsi="Arial" w:cs="Arial"/>
        </w:rPr>
        <w:t xml:space="preserve"> declarar la nulidad </w:t>
      </w:r>
      <w:r w:rsidR="00CC2570" w:rsidRPr="007D3EFE">
        <w:rPr>
          <w:rFonts w:ascii="Arial" w:hAnsi="Arial" w:cs="Arial"/>
        </w:rPr>
        <w:t>del fallo</w:t>
      </w:r>
      <w:r w:rsidR="007D1FCA" w:rsidRPr="007D3EFE">
        <w:rPr>
          <w:rFonts w:ascii="Arial" w:hAnsi="Arial" w:cs="Arial"/>
        </w:rPr>
        <w:t xml:space="preserve"> por </w:t>
      </w:r>
      <w:r w:rsidR="002F1A26" w:rsidRPr="007D3EFE">
        <w:rPr>
          <w:rFonts w:ascii="Arial" w:hAnsi="Arial" w:cs="Arial"/>
        </w:rPr>
        <w:t xml:space="preserve">pérdida </w:t>
      </w:r>
      <w:r w:rsidR="007D1FCA" w:rsidRPr="007D3EFE">
        <w:rPr>
          <w:rFonts w:ascii="Arial" w:hAnsi="Arial" w:cs="Arial"/>
        </w:rPr>
        <w:t>de competencia</w:t>
      </w:r>
      <w:r w:rsidR="002F1A26" w:rsidRPr="007D3EFE">
        <w:rPr>
          <w:rFonts w:ascii="Arial" w:hAnsi="Arial" w:cs="Arial"/>
        </w:rPr>
        <w:t xml:space="preserve"> de la operadora judicial</w:t>
      </w:r>
      <w:r w:rsidR="00CC2570" w:rsidRPr="007D3EFE">
        <w:rPr>
          <w:rFonts w:ascii="Arial" w:hAnsi="Arial" w:cs="Arial"/>
        </w:rPr>
        <w:t xml:space="preserve"> </w:t>
      </w:r>
      <w:r w:rsidRPr="007D3EFE">
        <w:rPr>
          <w:rFonts w:ascii="Arial" w:hAnsi="Arial" w:cs="Arial"/>
        </w:rPr>
        <w:t>(Folio</w:t>
      </w:r>
      <w:r w:rsidR="00AA2779" w:rsidRPr="007D3EFE">
        <w:rPr>
          <w:rFonts w:ascii="Arial" w:hAnsi="Arial" w:cs="Arial"/>
        </w:rPr>
        <w:t xml:space="preserve"> </w:t>
      </w:r>
      <w:r w:rsidR="007D1FCA" w:rsidRPr="007D3EFE">
        <w:rPr>
          <w:rFonts w:ascii="Arial" w:hAnsi="Arial" w:cs="Arial"/>
        </w:rPr>
        <w:t>2</w:t>
      </w:r>
      <w:r w:rsidRPr="007D3EFE">
        <w:rPr>
          <w:rFonts w:ascii="Arial" w:hAnsi="Arial" w:cs="Arial"/>
        </w:rPr>
        <w:t xml:space="preserve">, </w:t>
      </w:r>
      <w:r w:rsidR="00AA2779" w:rsidRPr="007D3EFE">
        <w:rPr>
          <w:rFonts w:ascii="Arial" w:hAnsi="Arial" w:cs="Arial"/>
        </w:rPr>
        <w:t xml:space="preserve">de </w:t>
      </w:r>
      <w:r w:rsidRPr="007D3EFE">
        <w:rPr>
          <w:rFonts w:ascii="Arial" w:hAnsi="Arial" w:cs="Arial"/>
        </w:rPr>
        <w:t>este cuaderno).</w:t>
      </w:r>
    </w:p>
    <w:p w:rsidR="00180CEF" w:rsidRPr="007D3EFE" w:rsidRDefault="00180CEF" w:rsidP="00303747">
      <w:pPr>
        <w:spacing w:line="360" w:lineRule="auto"/>
        <w:jc w:val="both"/>
        <w:rPr>
          <w:rFonts w:ascii="Arial" w:hAnsi="Arial" w:cs="Arial"/>
        </w:rPr>
      </w:pPr>
    </w:p>
    <w:p w:rsidR="00303747" w:rsidRPr="007D3EFE" w:rsidRDefault="00303747" w:rsidP="003F111B">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7D3EFE" w:rsidRDefault="00303747" w:rsidP="00BB7FD9">
      <w:pPr>
        <w:pStyle w:val="Sansinterligne"/>
        <w:rPr>
          <w:rFonts w:ascii="Arial" w:hAnsi="Arial" w:cs="Arial"/>
        </w:rPr>
      </w:pPr>
    </w:p>
    <w:p w:rsidR="00303747" w:rsidRPr="007D3EFE" w:rsidRDefault="006A66DA" w:rsidP="00303747">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7D1FCA" w:rsidRPr="007D3EFE">
        <w:rPr>
          <w:rFonts w:ascii="Arial" w:hAnsi="Arial" w:cs="Arial"/>
        </w:rPr>
        <w:t>14</w:t>
      </w:r>
      <w:r w:rsidR="00E820BC" w:rsidRPr="007D3EFE">
        <w:rPr>
          <w:rFonts w:ascii="Arial" w:hAnsi="Arial" w:cs="Arial"/>
        </w:rPr>
        <w:t>-02-2017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7D1FCA" w:rsidRPr="007D3EFE">
        <w:rPr>
          <w:rFonts w:ascii="Arial" w:hAnsi="Arial" w:cs="Arial"/>
        </w:rPr>
        <w:t>5</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s 6 a 8</w:t>
      </w:r>
      <w:r w:rsidR="00303747" w:rsidRPr="007D3EFE">
        <w:rPr>
          <w:rFonts w:ascii="Arial" w:hAnsi="Arial" w:cs="Arial"/>
        </w:rPr>
        <w:t xml:space="preserve">, ibídem). Contestó </w:t>
      </w:r>
      <w:r w:rsidR="00325ADE" w:rsidRPr="007D3EFE">
        <w:rPr>
          <w:rFonts w:ascii="Arial" w:hAnsi="Arial" w:cs="Arial"/>
        </w:rPr>
        <w:t>La Procuraduría Regional Risaralda</w:t>
      </w:r>
      <w:r w:rsidR="00303747" w:rsidRPr="007D3EFE">
        <w:rPr>
          <w:rFonts w:ascii="Arial" w:hAnsi="Arial" w:cs="Arial"/>
          <w:lang w:val="es-CO"/>
        </w:rPr>
        <w:t xml:space="preserve"> </w:t>
      </w:r>
      <w:r w:rsidR="000708F5" w:rsidRPr="007D3EFE">
        <w:rPr>
          <w:rFonts w:ascii="Arial" w:hAnsi="Arial" w:cs="Arial"/>
          <w:spacing w:val="3"/>
        </w:rPr>
        <w:t xml:space="preserve">(Folio </w:t>
      </w:r>
      <w:r w:rsidR="00325ADE" w:rsidRPr="007D3EFE">
        <w:rPr>
          <w:rFonts w:ascii="Arial" w:hAnsi="Arial" w:cs="Arial"/>
          <w:spacing w:val="3"/>
        </w:rPr>
        <w:t>9</w:t>
      </w:r>
      <w:r w:rsidR="00F70CC9" w:rsidRPr="007D3EFE">
        <w:rPr>
          <w:rFonts w:ascii="Arial" w:hAnsi="Arial" w:cs="Arial"/>
          <w:spacing w:val="3"/>
        </w:rPr>
        <w:t xml:space="preserve"> ib</w:t>
      </w:r>
      <w:r w:rsidR="00325ADE" w:rsidRPr="007D3EFE">
        <w:rPr>
          <w:rFonts w:ascii="Arial" w:hAnsi="Arial" w:cs="Arial"/>
          <w:spacing w:val="3"/>
        </w:rPr>
        <w:t>.</w:t>
      </w:r>
      <w:r w:rsidR="000708F5" w:rsidRPr="007D3EFE">
        <w:rPr>
          <w:rFonts w:ascii="Arial" w:hAnsi="Arial" w:cs="Arial"/>
          <w:spacing w:val="3"/>
        </w:rPr>
        <w:t>)</w:t>
      </w:r>
      <w:r w:rsidR="00325ADE" w:rsidRPr="007D3EFE">
        <w:rPr>
          <w:rFonts w:ascii="Arial" w:hAnsi="Arial" w:cs="Arial"/>
          <w:spacing w:val="3"/>
        </w:rPr>
        <w:t xml:space="preserve">, el Banco de Occidente (Folio 13 </w:t>
      </w:r>
      <w:r w:rsidR="00CD67DF" w:rsidRPr="007D3EFE">
        <w:rPr>
          <w:rFonts w:ascii="Arial" w:hAnsi="Arial" w:cs="Arial"/>
          <w:spacing w:val="3"/>
        </w:rPr>
        <w:t>ib</w:t>
      </w:r>
      <w:r w:rsidR="00CD67DF">
        <w:rPr>
          <w:rFonts w:ascii="Arial" w:hAnsi="Arial" w:cs="Arial"/>
          <w:spacing w:val="3"/>
        </w:rPr>
        <w:t>ídem</w:t>
      </w:r>
      <w:r w:rsidR="00325ADE" w:rsidRPr="007D3EFE">
        <w:rPr>
          <w:rFonts w:ascii="Arial" w:hAnsi="Arial" w:cs="Arial"/>
          <w:spacing w:val="3"/>
        </w:rPr>
        <w:t>), la Personería de Pereira (Folios</w:t>
      </w:r>
      <w:r w:rsidR="00B8227E" w:rsidRPr="007D3EFE">
        <w:rPr>
          <w:rFonts w:ascii="Arial" w:hAnsi="Arial" w:cs="Arial"/>
          <w:spacing w:val="3"/>
        </w:rPr>
        <w:t xml:space="preserve"> 18 a 20</w:t>
      </w:r>
      <w:r w:rsidR="00CD67DF">
        <w:rPr>
          <w:rFonts w:ascii="Arial" w:hAnsi="Arial" w:cs="Arial"/>
          <w:spacing w:val="3"/>
        </w:rPr>
        <w:t>, ib.</w:t>
      </w:r>
      <w:r w:rsidR="00B8227E" w:rsidRPr="007D3EFE">
        <w:rPr>
          <w:rFonts w:ascii="Arial" w:hAnsi="Arial" w:cs="Arial"/>
          <w:spacing w:val="3"/>
        </w:rPr>
        <w:t>), la Alcaldía Municipal de Pereira (Folios 22 a 23</w:t>
      </w:r>
      <w:r w:rsidR="00CD67DF">
        <w:rPr>
          <w:rFonts w:ascii="Arial" w:hAnsi="Arial" w:cs="Arial"/>
          <w:spacing w:val="3"/>
        </w:rPr>
        <w:t>, ib.</w:t>
      </w:r>
      <w:r w:rsidR="00B8227E" w:rsidRPr="007D3EFE">
        <w:rPr>
          <w:rFonts w:ascii="Arial" w:hAnsi="Arial" w:cs="Arial"/>
          <w:spacing w:val="3"/>
        </w:rPr>
        <w:t xml:space="preserve">) y </w:t>
      </w:r>
      <w:r w:rsidR="00E24A8D" w:rsidRPr="007D3EFE">
        <w:rPr>
          <w:rFonts w:ascii="Arial" w:hAnsi="Arial" w:cs="Arial"/>
          <w:spacing w:val="3"/>
        </w:rPr>
        <w:t xml:space="preserve">el </w:t>
      </w:r>
      <w:r w:rsidR="00B8227E" w:rsidRPr="007D3EFE">
        <w:rPr>
          <w:rFonts w:ascii="Arial" w:hAnsi="Arial" w:cs="Arial"/>
          <w:spacing w:val="3"/>
        </w:rPr>
        <w:t>20</w:t>
      </w:r>
      <w:r w:rsidR="00E24A8D" w:rsidRPr="007D3EFE">
        <w:rPr>
          <w:rFonts w:ascii="Arial" w:hAnsi="Arial" w:cs="Arial"/>
          <w:spacing w:val="3"/>
        </w:rPr>
        <w:t>-0</w:t>
      </w:r>
      <w:r w:rsidR="00BB4F44" w:rsidRPr="007D3EFE">
        <w:rPr>
          <w:rFonts w:ascii="Arial" w:hAnsi="Arial" w:cs="Arial"/>
          <w:spacing w:val="3"/>
        </w:rPr>
        <w:t>2</w:t>
      </w:r>
      <w:r w:rsidR="00E24A8D" w:rsidRPr="007D3EFE">
        <w:rPr>
          <w:rFonts w:ascii="Arial" w:hAnsi="Arial" w:cs="Arial"/>
          <w:spacing w:val="3"/>
        </w:rPr>
        <w:t>-</w:t>
      </w:r>
      <w:r w:rsidR="00BB4F44" w:rsidRPr="007D3EFE">
        <w:rPr>
          <w:rFonts w:ascii="Arial" w:hAnsi="Arial" w:cs="Arial"/>
          <w:spacing w:val="3"/>
        </w:rPr>
        <w:t>2017</w:t>
      </w:r>
      <w:r w:rsidR="00E24A8D" w:rsidRPr="007D3EFE">
        <w:rPr>
          <w:rFonts w:ascii="Arial" w:hAnsi="Arial" w:cs="Arial"/>
          <w:spacing w:val="3"/>
        </w:rPr>
        <w:t xml:space="preserve"> se </w:t>
      </w:r>
      <w:r w:rsidR="00B8227E" w:rsidRPr="007D3EFE">
        <w:rPr>
          <w:rFonts w:ascii="Arial" w:hAnsi="Arial" w:cs="Arial"/>
          <w:spacing w:val="3"/>
        </w:rPr>
        <w:t xml:space="preserve">realizó </w:t>
      </w:r>
      <w:r w:rsidR="00E24A8D" w:rsidRPr="007D3EFE">
        <w:rPr>
          <w:rFonts w:ascii="Arial" w:hAnsi="Arial" w:cs="Arial"/>
          <w:spacing w:val="3"/>
        </w:rPr>
        <w:t>inspección judicial (</w:t>
      </w:r>
      <w:r w:rsidR="00BB4F44" w:rsidRPr="007D3EFE">
        <w:rPr>
          <w:rFonts w:ascii="Arial" w:hAnsi="Arial" w:cs="Arial"/>
          <w:spacing w:val="3"/>
        </w:rPr>
        <w:t>Folio 3</w:t>
      </w:r>
      <w:r w:rsidR="00654381">
        <w:rPr>
          <w:rFonts w:ascii="Arial" w:hAnsi="Arial" w:cs="Arial"/>
          <w:spacing w:val="3"/>
        </w:rPr>
        <w:t>2</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p>
    <w:p w:rsidR="00303747" w:rsidRPr="00CD67DF" w:rsidRDefault="00303747" w:rsidP="00BB7FD9">
      <w:pPr>
        <w:pStyle w:val="Sansinterligne"/>
        <w:rPr>
          <w:rFonts w:ascii="Arial" w:hAnsi="Arial" w:cs="Arial"/>
          <w:sz w:val="28"/>
        </w:rPr>
      </w:pPr>
      <w:r w:rsidRPr="007D3EFE">
        <w:rPr>
          <w:rFonts w:ascii="Arial" w:hAnsi="Arial" w:cs="Arial"/>
          <w:lang w:val="es-CO"/>
        </w:rPr>
        <w:t xml:space="preserve"> </w:t>
      </w:r>
    </w:p>
    <w:p w:rsidR="00303747" w:rsidRPr="007D3EFE" w:rsidRDefault="00303747" w:rsidP="00303747">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7D3EFE" w:rsidRDefault="009E3845" w:rsidP="002E669B">
      <w:pPr>
        <w:spacing w:line="360" w:lineRule="auto"/>
        <w:jc w:val="both"/>
        <w:rPr>
          <w:rFonts w:ascii="Arial" w:hAnsi="Arial" w:cs="Arial"/>
        </w:rPr>
      </w:pPr>
      <w:r w:rsidRPr="007D3EFE">
        <w:rPr>
          <w:rFonts w:ascii="Arial" w:hAnsi="Arial" w:cs="Arial"/>
        </w:rPr>
        <w:t xml:space="preserve"> </w:t>
      </w:r>
    </w:p>
    <w:p w:rsidR="002E669B" w:rsidRPr="007D3EFE" w:rsidRDefault="002E669B" w:rsidP="002E669B">
      <w:pPr>
        <w:spacing w:line="360" w:lineRule="auto"/>
        <w:jc w:val="both"/>
        <w:rPr>
          <w:rFonts w:ascii="Arial" w:hAnsi="Arial" w:cs="Arial"/>
        </w:rPr>
      </w:pPr>
      <w:r w:rsidRPr="007D3EFE">
        <w:rPr>
          <w:rFonts w:ascii="Arial" w:hAnsi="Arial" w:cs="Arial"/>
        </w:rPr>
        <w:t xml:space="preserve">La Procuraduría General de la Nación, Regional Risaralda, anotó que la situación alegada es ajena a su función, y en consecuencia, </w:t>
      </w:r>
      <w:r w:rsidR="00D5414A" w:rsidRPr="007D3EFE">
        <w:rPr>
          <w:rFonts w:ascii="Arial" w:hAnsi="Arial" w:cs="Arial"/>
        </w:rPr>
        <w:t>pidió</w:t>
      </w:r>
      <w:r w:rsidRPr="007D3EFE">
        <w:rPr>
          <w:rFonts w:ascii="Arial" w:hAnsi="Arial" w:cs="Arial"/>
        </w:rPr>
        <w:t xml:space="preserve"> su desvinculación (Folio 9, ib.). </w:t>
      </w:r>
      <w:r w:rsidR="008C5F3F" w:rsidRPr="007D3EFE">
        <w:rPr>
          <w:rFonts w:ascii="Arial" w:hAnsi="Arial" w:cs="Arial"/>
        </w:rPr>
        <w:t>El Banco de Occidente,</w:t>
      </w:r>
      <w:r w:rsidR="00D5414A" w:rsidRPr="007D3EFE">
        <w:rPr>
          <w:rFonts w:ascii="Arial" w:hAnsi="Arial" w:cs="Arial"/>
        </w:rPr>
        <w:t xml:space="preserve"> </w:t>
      </w:r>
      <w:r w:rsidR="00003544" w:rsidRPr="007D3EFE">
        <w:rPr>
          <w:rFonts w:ascii="Arial" w:hAnsi="Arial" w:cs="Arial"/>
        </w:rPr>
        <w:t>ante la omisión del actor para cumplir la</w:t>
      </w:r>
      <w:r w:rsidR="00D5414A" w:rsidRPr="007D3EFE">
        <w:rPr>
          <w:rFonts w:ascii="Arial" w:hAnsi="Arial" w:cs="Arial"/>
        </w:rPr>
        <w:t xml:space="preserve"> carga procesal solicito la improcedencia de la acción (Folio 13</w:t>
      </w:r>
      <w:r w:rsidR="00CD67DF">
        <w:rPr>
          <w:rFonts w:ascii="Arial" w:hAnsi="Arial" w:cs="Arial"/>
        </w:rPr>
        <w:t>, ib.</w:t>
      </w:r>
      <w:r w:rsidR="00D5414A" w:rsidRPr="007D3EFE">
        <w:rPr>
          <w:rFonts w:ascii="Arial" w:hAnsi="Arial" w:cs="Arial"/>
        </w:rPr>
        <w:t>)</w:t>
      </w:r>
      <w:r w:rsidR="00003544" w:rsidRPr="007D3EFE">
        <w:rPr>
          <w:rFonts w:ascii="Arial" w:hAnsi="Arial" w:cs="Arial"/>
        </w:rPr>
        <w:t xml:space="preserve">. </w:t>
      </w:r>
      <w:r w:rsidRPr="007D3EFE">
        <w:rPr>
          <w:rFonts w:ascii="Arial" w:hAnsi="Arial" w:cs="Arial"/>
        </w:rPr>
        <w:t xml:space="preserve">La Personería de Pereira expresó que el Juzgado accionado es el competente para tramitar las acciones populares y tomar las decisiones respectivas, por lo tanto, no se le puede imputar responsabilidad alguna en la vulneración de los derechos invocados (Folios </w:t>
      </w:r>
      <w:r w:rsidR="00D5414A" w:rsidRPr="007D3EFE">
        <w:rPr>
          <w:rFonts w:ascii="Arial" w:hAnsi="Arial" w:cs="Arial"/>
        </w:rPr>
        <w:t>18 a 20</w:t>
      </w:r>
      <w:r w:rsidRPr="007D3EFE">
        <w:rPr>
          <w:rFonts w:ascii="Arial" w:hAnsi="Arial" w:cs="Arial"/>
        </w:rPr>
        <w:t xml:space="preserve">, ib.). La Alcaldía de Pereira consideró que se le vinculó erradamente y por ello estima que carece de legitimación en </w:t>
      </w:r>
      <w:r w:rsidRPr="007D3EFE">
        <w:rPr>
          <w:rFonts w:ascii="Arial" w:hAnsi="Arial" w:cs="Arial"/>
        </w:rPr>
        <w:lastRenderedPageBreak/>
        <w:t>el extremo pasivo de esta acción, de allí que solicitó ser desvinculada (Folios</w:t>
      </w:r>
      <w:r w:rsidR="00102C5F" w:rsidRPr="007D3EFE">
        <w:rPr>
          <w:rFonts w:ascii="Arial" w:hAnsi="Arial" w:cs="Arial"/>
        </w:rPr>
        <w:t xml:space="preserve"> 22</w:t>
      </w:r>
      <w:r w:rsidRPr="007D3EFE">
        <w:rPr>
          <w:rFonts w:ascii="Arial" w:hAnsi="Arial" w:cs="Arial"/>
        </w:rPr>
        <w:t xml:space="preserve"> a </w:t>
      </w:r>
      <w:r w:rsidR="00102C5F" w:rsidRPr="007D3EFE">
        <w:rPr>
          <w:rFonts w:ascii="Arial" w:hAnsi="Arial" w:cs="Arial"/>
        </w:rPr>
        <w:t>23</w:t>
      </w:r>
      <w:r w:rsidRPr="007D3EFE">
        <w:rPr>
          <w:rFonts w:ascii="Arial" w:hAnsi="Arial" w:cs="Arial"/>
        </w:rPr>
        <w:t>, ib.).</w:t>
      </w:r>
    </w:p>
    <w:p w:rsidR="00303747" w:rsidRPr="007D3EFE" w:rsidRDefault="00303747" w:rsidP="00BB7FD9">
      <w:pPr>
        <w:pStyle w:val="Sansinterligne"/>
        <w:rPr>
          <w:rFonts w:ascii="Arial" w:hAnsi="Arial" w:cs="Arial"/>
        </w:rPr>
      </w:pPr>
    </w:p>
    <w:p w:rsidR="00303747" w:rsidRPr="007D3EFE" w:rsidRDefault="00303747" w:rsidP="00303747">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303747" w:rsidRPr="007D3EFE" w:rsidRDefault="00303747" w:rsidP="00BB7FD9">
      <w:pPr>
        <w:pStyle w:val="Sansinterligne"/>
        <w:rPr>
          <w:rFonts w:ascii="Arial" w:hAnsi="Arial" w:cs="Arial"/>
          <w:lang w:val="es-ES_tradnl"/>
        </w:rPr>
      </w:pPr>
    </w:p>
    <w:p w:rsidR="00303747" w:rsidRPr="007D3EFE" w:rsidRDefault="00303747" w:rsidP="00CE5584">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Default="00CD67DF" w:rsidP="00CD67DF">
      <w:pPr>
        <w:pStyle w:val="Corpsdetexte"/>
        <w:tabs>
          <w:tab w:val="clear" w:pos="0"/>
          <w:tab w:val="clear" w:pos="708"/>
          <w:tab w:val="clear" w:pos="1416"/>
          <w:tab w:val="left" w:pos="709"/>
        </w:tabs>
        <w:spacing w:line="360" w:lineRule="auto"/>
        <w:ind w:left="720"/>
        <w:rPr>
          <w:rFonts w:ascii="Arial" w:hAnsi="Arial" w:cs="Arial"/>
          <w:smallCaps/>
          <w:szCs w:val="24"/>
        </w:rPr>
      </w:pPr>
    </w:p>
    <w:p w:rsidR="00CD67DF" w:rsidRPr="00CD67DF" w:rsidRDefault="00CD67DF" w:rsidP="005C5E44">
      <w:pPr>
        <w:pStyle w:val="Corpsdetexte"/>
        <w:numPr>
          <w:ilvl w:val="1"/>
          <w:numId w:val="7"/>
        </w:numPr>
        <w:tabs>
          <w:tab w:val="clear" w:pos="0"/>
          <w:tab w:val="clear" w:pos="1416"/>
        </w:tabs>
        <w:spacing w:line="360" w:lineRule="auto"/>
        <w:rPr>
          <w:rFonts w:ascii="Arial" w:hAnsi="Arial" w:cs="Arial"/>
          <w:szCs w:val="24"/>
        </w:rPr>
      </w:pPr>
      <w:r w:rsidRPr="00CD67DF">
        <w:rPr>
          <w:rFonts w:ascii="Arial" w:hAnsi="Arial" w:cs="Arial"/>
          <w:smallCaps/>
          <w:szCs w:val="24"/>
        </w:rPr>
        <w:t>La legitimación en la causa</w:t>
      </w:r>
      <w:r>
        <w:rPr>
          <w:rFonts w:ascii="Arial" w:hAnsi="Arial" w:cs="Arial"/>
          <w:smallCaps/>
          <w:szCs w:val="24"/>
        </w:rPr>
        <w:t xml:space="preserve">. </w:t>
      </w:r>
      <w:r w:rsidRPr="00CD67DF">
        <w:rPr>
          <w:rFonts w:ascii="Arial" w:hAnsi="Arial" w:cs="Arial"/>
          <w:szCs w:val="24"/>
        </w:rPr>
        <w:t xml:space="preserve">Se cumple por activa, pues el accionante es el actor en el trámite popular donde se reprocha la falta al debido proceso. Y por pasiva, lo es el </w:t>
      </w:r>
      <w:r w:rsidRPr="00CD67DF">
        <w:rPr>
          <w:rFonts w:ascii="Arial" w:hAnsi="Arial" w:cs="Arial"/>
          <w:color w:val="000000"/>
          <w:szCs w:val="24"/>
        </w:rPr>
        <w:t>Juzgado Cuarto Civil del Circuito de Pereira,</w:t>
      </w:r>
      <w:r w:rsidRPr="00CD67DF">
        <w:rPr>
          <w:rFonts w:ascii="Arial" w:hAnsi="Arial" w:cs="Arial"/>
          <w:szCs w:val="24"/>
        </w:rPr>
        <w:t xml:space="preserve"> R., al ser la autoridad judicial que conoce la actuación.</w:t>
      </w:r>
    </w:p>
    <w:p w:rsidR="00CD67DF" w:rsidRPr="007D3EFE" w:rsidRDefault="00CD67DF" w:rsidP="00CD67DF">
      <w:pPr>
        <w:pStyle w:val="Sansinterligne"/>
        <w:rPr>
          <w:rFonts w:ascii="Arial" w:hAnsi="Arial" w:cs="Arial"/>
          <w:sz w:val="2"/>
        </w:rPr>
      </w:pPr>
    </w:p>
    <w:p w:rsidR="0077283E" w:rsidRPr="007D3EFE" w:rsidRDefault="0077283E" w:rsidP="0077283E">
      <w:pPr>
        <w:pStyle w:val="Corpsdetexte"/>
        <w:tabs>
          <w:tab w:val="clear" w:pos="0"/>
        </w:tabs>
        <w:spacing w:line="360" w:lineRule="auto"/>
        <w:ind w:left="709"/>
        <w:rPr>
          <w:rFonts w:ascii="Arial" w:hAnsi="Arial" w:cs="Arial"/>
          <w:szCs w:val="24"/>
        </w:rPr>
      </w:pPr>
    </w:p>
    <w:p w:rsidR="00303747" w:rsidRDefault="00CE5584" w:rsidP="00886735">
      <w:pPr>
        <w:pStyle w:val="Corpsdetexte"/>
        <w:numPr>
          <w:ilvl w:val="1"/>
          <w:numId w:val="7"/>
        </w:numPr>
        <w:tabs>
          <w:tab w:val="clear" w:pos="708"/>
          <w:tab w:val="left" w:pos="709"/>
        </w:tabs>
        <w:spacing w:line="360" w:lineRule="auto"/>
        <w:ind w:left="709" w:hanging="709"/>
        <w:rPr>
          <w:rFonts w:ascii="Arial" w:hAnsi="Arial" w:cs="Arial"/>
        </w:rPr>
      </w:pPr>
      <w:r w:rsidRPr="007D3EFE">
        <w:rPr>
          <w:rFonts w:ascii="Arial" w:hAnsi="Arial" w:cs="Arial"/>
          <w:smallCaps/>
          <w:sz w:val="26"/>
          <w:szCs w:val="26"/>
        </w:rPr>
        <w:t xml:space="preserve"> </w:t>
      </w:r>
      <w:r w:rsidR="00303747" w:rsidRPr="007D3EFE">
        <w:rPr>
          <w:rFonts w:ascii="Arial" w:hAnsi="Arial" w:cs="Arial"/>
          <w:smallCaps/>
          <w:sz w:val="26"/>
          <w:szCs w:val="26"/>
        </w:rPr>
        <w:t>El problema jurídico a resolver</w:t>
      </w:r>
      <w:r w:rsidRPr="007D3EFE">
        <w:rPr>
          <w:rFonts w:ascii="Arial" w:hAnsi="Arial" w:cs="Arial"/>
          <w:smallCaps/>
          <w:sz w:val="26"/>
          <w:szCs w:val="26"/>
        </w:rPr>
        <w:t xml:space="preserve">. </w:t>
      </w:r>
      <w:r w:rsidR="0077283E" w:rsidRPr="007D3EFE">
        <w:rPr>
          <w:rFonts w:ascii="Arial" w:hAnsi="Arial" w:cs="Arial"/>
          <w:smallCaps/>
          <w:sz w:val="26"/>
          <w:szCs w:val="26"/>
        </w:rPr>
        <w:t xml:space="preserve"> </w:t>
      </w:r>
      <w:r w:rsidR="00CD746A" w:rsidRPr="007D3EFE">
        <w:rPr>
          <w:rFonts w:ascii="Arial" w:hAnsi="Arial" w:cs="Arial"/>
        </w:rPr>
        <w:t xml:space="preserve">¿El Juzgado </w:t>
      </w:r>
      <w:r w:rsidR="009E3845" w:rsidRPr="007D3EFE">
        <w:rPr>
          <w:rFonts w:ascii="Arial" w:hAnsi="Arial" w:cs="Arial"/>
        </w:rPr>
        <w:t xml:space="preserve">Cuarto Civil del Circuito </w:t>
      </w:r>
      <w:r w:rsidRPr="007D3EFE">
        <w:rPr>
          <w:rFonts w:ascii="Arial" w:hAnsi="Arial" w:cs="Arial"/>
        </w:rPr>
        <w:t>de Pereira, R.</w:t>
      </w:r>
      <w:r w:rsidR="00303747" w:rsidRPr="007D3EFE">
        <w:rPr>
          <w:rFonts w:ascii="Arial" w:hAnsi="Arial" w:cs="Arial"/>
        </w:rPr>
        <w:t>, ha vulnerado o amenazado los derechos fundamentales de</w:t>
      </w:r>
      <w:r w:rsidR="00DC0250" w:rsidRPr="007D3EFE">
        <w:rPr>
          <w:rFonts w:ascii="Arial" w:hAnsi="Arial" w:cs="Arial"/>
        </w:rPr>
        <w:t xml:space="preserve">l </w:t>
      </w:r>
      <w:r w:rsidR="00303747" w:rsidRPr="007D3EFE">
        <w:rPr>
          <w:rFonts w:ascii="Arial" w:hAnsi="Arial" w:cs="Arial"/>
        </w:rPr>
        <w:t xml:space="preserve">accionante </w:t>
      </w:r>
      <w:r w:rsidR="009E3845" w:rsidRPr="007D3EFE">
        <w:rPr>
          <w:rFonts w:ascii="Arial" w:hAnsi="Arial" w:cs="Arial"/>
        </w:rPr>
        <w:t>con ocasión del trámite surtido en la acción popular, según lo expuesto</w:t>
      </w:r>
      <w:r w:rsidR="00303747" w:rsidRPr="007D3EFE">
        <w:rPr>
          <w:rFonts w:ascii="Arial" w:hAnsi="Arial" w:cs="Arial"/>
        </w:rPr>
        <w:t xml:space="preserve"> en </w:t>
      </w:r>
      <w:r w:rsidR="00661CB6" w:rsidRPr="007D3EFE">
        <w:rPr>
          <w:rFonts w:ascii="Arial" w:hAnsi="Arial" w:cs="Arial"/>
        </w:rPr>
        <w:t>e</w:t>
      </w:r>
      <w:r w:rsidR="000F3260" w:rsidRPr="007D3EFE">
        <w:rPr>
          <w:rFonts w:ascii="Arial" w:hAnsi="Arial" w:cs="Arial"/>
        </w:rPr>
        <w:t>l</w:t>
      </w:r>
      <w:r w:rsidR="00303747" w:rsidRPr="007D3EFE">
        <w:rPr>
          <w:rFonts w:ascii="Arial" w:hAnsi="Arial" w:cs="Arial"/>
        </w:rPr>
        <w:t xml:space="preserve"> </w:t>
      </w:r>
      <w:r w:rsidR="0071357E" w:rsidRPr="007D3EFE">
        <w:rPr>
          <w:rFonts w:ascii="Arial" w:hAnsi="Arial" w:cs="Arial"/>
        </w:rPr>
        <w:t>escrito</w:t>
      </w:r>
      <w:r w:rsidR="00303747" w:rsidRPr="007D3EFE">
        <w:rPr>
          <w:rFonts w:ascii="Arial" w:hAnsi="Arial" w:cs="Arial"/>
        </w:rPr>
        <w:t xml:space="preserve"> de tutela?</w:t>
      </w:r>
    </w:p>
    <w:p w:rsidR="00180CEF" w:rsidRPr="007D3EFE" w:rsidRDefault="00180CEF" w:rsidP="00180CEF">
      <w:pPr>
        <w:pStyle w:val="Corpsdetexte"/>
        <w:tabs>
          <w:tab w:val="clear" w:pos="708"/>
          <w:tab w:val="left" w:pos="709"/>
        </w:tabs>
        <w:spacing w:line="360" w:lineRule="auto"/>
        <w:ind w:left="709"/>
        <w:rPr>
          <w:rFonts w:ascii="Arial" w:hAnsi="Arial" w:cs="Arial"/>
        </w:rPr>
      </w:pPr>
    </w:p>
    <w:p w:rsidR="00303747" w:rsidRPr="00CD67DF" w:rsidRDefault="00303747" w:rsidP="00E24A8D">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6"/>
        </w:rPr>
      </w:pPr>
      <w:r w:rsidRPr="00CD67DF">
        <w:rPr>
          <w:rFonts w:ascii="Arial" w:hAnsi="Arial" w:cs="Arial"/>
          <w:smallCaps/>
          <w:sz w:val="28"/>
          <w:szCs w:val="26"/>
        </w:rPr>
        <w:t>La resolución del problema jurídico</w:t>
      </w:r>
    </w:p>
    <w:p w:rsidR="00BB7FD9" w:rsidRPr="007D3EFE" w:rsidRDefault="00BB7FD9" w:rsidP="00303747">
      <w:pPr>
        <w:widowControl/>
        <w:spacing w:line="360" w:lineRule="auto"/>
        <w:jc w:val="both"/>
        <w:rPr>
          <w:rFonts w:ascii="Arial" w:hAnsi="Arial" w:cs="Arial"/>
          <w:sz w:val="14"/>
        </w:rPr>
      </w:pPr>
    </w:p>
    <w:p w:rsidR="00303747" w:rsidRPr="007D3EFE"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AE4DB5" w:rsidRPr="007D3EFE" w:rsidRDefault="00AE4DB5" w:rsidP="007A4953">
      <w:pPr>
        <w:pStyle w:val="Corpsdetexte"/>
        <w:spacing w:line="360" w:lineRule="auto"/>
        <w:rPr>
          <w:rFonts w:ascii="Arial" w:hAnsi="Arial" w:cs="Arial"/>
          <w:szCs w:val="24"/>
        </w:rPr>
      </w:pPr>
    </w:p>
    <w:p w:rsidR="007A4953" w:rsidRPr="007D3EFE" w:rsidRDefault="00FA07B4" w:rsidP="007A4953">
      <w:pPr>
        <w:pStyle w:val="Corpsdetexte"/>
        <w:spacing w:line="360" w:lineRule="auto"/>
        <w:rPr>
          <w:rFonts w:ascii="Arial" w:hAnsi="Arial" w:cs="Arial"/>
          <w:szCs w:val="24"/>
        </w:rPr>
      </w:pPr>
      <w:r w:rsidRPr="007D3EFE">
        <w:rPr>
          <w:rFonts w:ascii="Arial" w:hAnsi="Arial" w:cs="Arial"/>
          <w:szCs w:val="24"/>
        </w:rPr>
        <w:t>Desde</w:t>
      </w:r>
      <w:r w:rsidR="00C53BA8" w:rsidRPr="007D3EFE">
        <w:rPr>
          <w:rFonts w:ascii="Arial" w:hAnsi="Arial" w:cs="Arial"/>
          <w:szCs w:val="24"/>
        </w:rPr>
        <w:t xml:space="preserve"> de</w:t>
      </w:r>
      <w:r w:rsidR="007A4953" w:rsidRPr="007D3EFE">
        <w:rPr>
          <w:rFonts w:ascii="Arial" w:hAnsi="Arial" w:cs="Arial"/>
          <w:szCs w:val="24"/>
        </w:rPr>
        <w:t xml:space="preserve"> </w:t>
      </w:r>
      <w:r w:rsidR="00E24A8D" w:rsidRPr="007D3EFE">
        <w:rPr>
          <w:rFonts w:ascii="Arial" w:hAnsi="Arial" w:cs="Arial"/>
          <w:szCs w:val="24"/>
        </w:rPr>
        <w:t>la</w:t>
      </w:r>
      <w:r w:rsidR="007A4953" w:rsidRPr="007D3EFE">
        <w:rPr>
          <w:rFonts w:ascii="Arial" w:hAnsi="Arial" w:cs="Arial"/>
          <w:szCs w:val="24"/>
        </w:rPr>
        <w:t xml:space="preserve"> sentencia C-543 de 1992,  </w:t>
      </w:r>
      <w:r w:rsidR="00C53BA8" w:rsidRPr="007D3EFE">
        <w:rPr>
          <w:rFonts w:ascii="Arial" w:hAnsi="Arial" w:cs="Arial"/>
          <w:szCs w:val="24"/>
        </w:rPr>
        <w:t>se</w:t>
      </w:r>
      <w:r w:rsidR="007A4953" w:rsidRPr="007D3EFE">
        <w:rPr>
          <w:rFonts w:ascii="Arial" w:hAnsi="Arial" w:cs="Arial"/>
          <w:szCs w:val="24"/>
        </w:rPr>
        <w:t xml:space="preserv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7A4953" w:rsidRPr="007D3EFE">
        <w:rPr>
          <w:rStyle w:val="Appelnotedebasdep"/>
          <w:rFonts w:ascii="Arial" w:hAnsi="Arial" w:cs="Arial"/>
          <w:szCs w:val="24"/>
        </w:rPr>
        <w:footnoteReference w:id="1"/>
      </w:r>
      <w:r w:rsidR="007A4953" w:rsidRPr="007D3EFE">
        <w:rPr>
          <w:rFonts w:ascii="Arial" w:hAnsi="Arial" w:cs="Arial"/>
          <w:szCs w:val="24"/>
        </w:rPr>
        <w:t>, básicamente sustituyó la expresión “vías de hecho” por la de “causales genéricas de procedibilidad” y ensanchó las causales especiales, pasando de cuatro (4) a ocho (8).</w:t>
      </w:r>
      <w:r w:rsidR="00E24A8D" w:rsidRPr="007D3EFE">
        <w:rPr>
          <w:rFonts w:ascii="Arial" w:hAnsi="Arial" w:cs="Arial"/>
          <w:szCs w:val="24"/>
        </w:rPr>
        <w:t xml:space="preserve"> </w:t>
      </w:r>
      <w:r w:rsidR="007A4953" w:rsidRPr="007D3EFE">
        <w:rPr>
          <w:rFonts w:ascii="Arial" w:hAnsi="Arial" w:cs="Arial"/>
          <w:szCs w:val="24"/>
        </w:rPr>
        <w:t>En el mismo sentido Quiroga N</w:t>
      </w:r>
      <w:r w:rsidR="00E24A8D" w:rsidRPr="007D3EFE">
        <w:rPr>
          <w:rFonts w:ascii="Arial" w:hAnsi="Arial" w:cs="Arial"/>
          <w:szCs w:val="24"/>
        </w:rPr>
        <w:t>.</w:t>
      </w:r>
      <w:r w:rsidR="007A4953" w:rsidRPr="007D3EFE">
        <w:rPr>
          <w:rStyle w:val="Appelnotedebasdep"/>
          <w:rFonts w:ascii="Arial" w:hAnsi="Arial" w:cs="Arial"/>
          <w:szCs w:val="24"/>
        </w:rPr>
        <w:footnoteReference w:id="2"/>
      </w:r>
      <w:r w:rsidR="007A4953" w:rsidRPr="007D3EFE">
        <w:rPr>
          <w:rFonts w:ascii="Arial" w:hAnsi="Arial" w:cs="Arial"/>
          <w:szCs w:val="24"/>
        </w:rPr>
        <w:t>.</w:t>
      </w:r>
    </w:p>
    <w:p w:rsidR="0077283E" w:rsidRPr="007D3EFE" w:rsidRDefault="0077283E" w:rsidP="00303747">
      <w:pPr>
        <w:pStyle w:val="Corpsdetexte"/>
        <w:spacing w:line="360" w:lineRule="auto"/>
        <w:rPr>
          <w:rFonts w:ascii="Arial" w:hAnsi="Arial" w:cs="Arial"/>
          <w:szCs w:val="24"/>
        </w:rPr>
      </w:pPr>
    </w:p>
    <w:p w:rsidR="0077283E" w:rsidRPr="007D3EFE" w:rsidRDefault="00303747" w:rsidP="00303747">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303747" w:rsidRPr="007D3EFE" w:rsidRDefault="00303747" w:rsidP="00303747">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xml:space="preserve">, lo que evidencia que son dos planos de estudio diversos, entonces, mal puede mutarse en constitucional lo que compete al ámbito legal, ello se traduce en evitar el riesgo de </w:t>
      </w:r>
      <w:r w:rsidRPr="007D3EFE">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7D3EFE">
          <w:rPr>
            <w:rFonts w:ascii="Arial" w:hAnsi="Arial" w:cs="Arial"/>
            <w:szCs w:val="24"/>
          </w:rPr>
          <w:t>la Colegiatura</w:t>
        </w:r>
      </w:smartTag>
      <w:r w:rsidRPr="007D3EFE">
        <w:rPr>
          <w:rFonts w:ascii="Arial" w:hAnsi="Arial" w:cs="Arial"/>
          <w:szCs w:val="24"/>
        </w:rPr>
        <w:t xml:space="preserve"> constitucional</w:t>
      </w:r>
      <w:r w:rsidRPr="007D3EFE">
        <w:rPr>
          <w:rStyle w:val="Appelnotedebasdep"/>
          <w:rFonts w:ascii="Arial" w:hAnsi="Arial" w:cs="Arial"/>
          <w:szCs w:val="24"/>
        </w:rPr>
        <w:footnoteReference w:id="3"/>
      </w:r>
      <w:r w:rsidRPr="007D3EFE">
        <w:rPr>
          <w:rFonts w:ascii="Arial" w:hAnsi="Arial" w:cs="Arial"/>
          <w:szCs w:val="24"/>
        </w:rPr>
        <w:t>.</w:t>
      </w:r>
    </w:p>
    <w:p w:rsidR="00303747" w:rsidRPr="007D3EFE" w:rsidRDefault="00303747" w:rsidP="00BB7FD9">
      <w:pPr>
        <w:pStyle w:val="Sansinterligne"/>
        <w:rPr>
          <w:rFonts w:ascii="Arial" w:hAnsi="Arial" w:cs="Arial"/>
        </w:rPr>
      </w:pPr>
    </w:p>
    <w:p w:rsidR="00303747" w:rsidRPr="007D3EFE" w:rsidRDefault="00303747" w:rsidP="00303747">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FF7D12" w:rsidRPr="007D3EFE" w:rsidRDefault="00FF7D12" w:rsidP="00303747">
      <w:pPr>
        <w:pStyle w:val="Corpsdetexte"/>
        <w:spacing w:line="360" w:lineRule="auto"/>
        <w:rPr>
          <w:rFonts w:ascii="Arial" w:hAnsi="Arial" w:cs="Arial"/>
          <w:sz w:val="20"/>
          <w:szCs w:val="24"/>
        </w:rPr>
      </w:pPr>
    </w:p>
    <w:p w:rsidR="00303747" w:rsidRPr="007D3EFE" w:rsidRDefault="00303747" w:rsidP="00303747">
      <w:pPr>
        <w:pStyle w:val="Corpsdetexte"/>
        <w:spacing w:line="360" w:lineRule="auto"/>
        <w:rPr>
          <w:rFonts w:ascii="Arial" w:hAnsi="Arial" w:cs="Arial"/>
          <w:szCs w:val="24"/>
        </w:rPr>
      </w:pPr>
      <w:r w:rsidRPr="007D3EFE">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sidRPr="007D3EFE">
        <w:rPr>
          <w:rFonts w:ascii="Arial" w:hAnsi="Arial" w:cs="Arial"/>
          <w:szCs w:val="24"/>
        </w:rPr>
        <w:t xml:space="preserve"> </w:t>
      </w:r>
      <w:r w:rsidRPr="007D3EFE">
        <w:rPr>
          <w:rFonts w:ascii="Arial" w:hAnsi="Arial" w:cs="Arial"/>
          <w:szCs w:val="24"/>
        </w:rPr>
        <w:t>precedente; y,</w:t>
      </w:r>
      <w:r w:rsidR="00BB7FD9" w:rsidRPr="007D3EFE">
        <w:rPr>
          <w:rFonts w:ascii="Arial" w:hAnsi="Arial" w:cs="Arial"/>
          <w:szCs w:val="24"/>
        </w:rPr>
        <w:t xml:space="preserve"> </w:t>
      </w:r>
      <w:r w:rsidRPr="007D3EFE">
        <w:rPr>
          <w:rFonts w:ascii="Arial" w:hAnsi="Arial" w:cs="Arial"/>
          <w:szCs w:val="24"/>
        </w:rPr>
        <w:t>por último, (viii) violación directa de</w:t>
      </w:r>
      <w:r w:rsidR="00BB7FD9" w:rsidRPr="007D3EFE">
        <w:rPr>
          <w:rFonts w:ascii="Arial" w:hAnsi="Arial" w:cs="Arial"/>
          <w:szCs w:val="24"/>
        </w:rPr>
        <w:t xml:space="preserve"> </w:t>
      </w:r>
      <w:r w:rsidRPr="007D3EFE">
        <w:rPr>
          <w:rFonts w:ascii="Arial" w:hAnsi="Arial" w:cs="Arial"/>
          <w:szCs w:val="24"/>
        </w:rPr>
        <w:t xml:space="preserve"> la Carta. Un sistemático recuento puede leerse en la obra de los doctores Catalina Botero M</w:t>
      </w:r>
      <w:r w:rsidR="00E24A8D" w:rsidRPr="007D3EFE">
        <w:rPr>
          <w:rFonts w:ascii="Arial" w:hAnsi="Arial" w:cs="Arial"/>
          <w:szCs w:val="24"/>
        </w:rPr>
        <w:t>.</w:t>
      </w:r>
      <w:r w:rsidRPr="007D3EFE">
        <w:rPr>
          <w:rFonts w:ascii="Arial" w:hAnsi="Arial" w:cs="Arial"/>
          <w:szCs w:val="24"/>
          <w:vertAlign w:val="superscript"/>
        </w:rPr>
        <w:footnoteReference w:id="7"/>
      </w:r>
      <w:r w:rsidRPr="007D3EFE">
        <w:rPr>
          <w:rFonts w:ascii="Arial" w:hAnsi="Arial" w:cs="Arial"/>
          <w:szCs w:val="24"/>
        </w:rPr>
        <w:t xml:space="preserve"> y Quinche R</w:t>
      </w:r>
      <w:r w:rsidR="00E24A8D" w:rsidRPr="007D3EFE">
        <w:rPr>
          <w:rFonts w:ascii="Arial" w:hAnsi="Arial" w:cs="Arial"/>
          <w:szCs w:val="24"/>
        </w:rPr>
        <w:t>.</w:t>
      </w:r>
      <w:r w:rsidRPr="007D3EFE">
        <w:rPr>
          <w:rStyle w:val="Appelnotedebasdep"/>
          <w:rFonts w:ascii="Arial" w:hAnsi="Arial" w:cs="Arial"/>
          <w:szCs w:val="24"/>
        </w:rPr>
        <w:footnoteReference w:id="8"/>
      </w:r>
      <w:r w:rsidRPr="007D3EFE">
        <w:rPr>
          <w:rFonts w:ascii="Arial" w:hAnsi="Arial" w:cs="Arial"/>
          <w:szCs w:val="24"/>
        </w:rPr>
        <w:t>.</w:t>
      </w:r>
    </w:p>
    <w:p w:rsidR="00303747" w:rsidRPr="007D3EFE" w:rsidRDefault="00303747" w:rsidP="00BB7FD9">
      <w:pPr>
        <w:pStyle w:val="Sansinterligne"/>
        <w:rPr>
          <w:rFonts w:ascii="Arial" w:hAnsi="Arial" w:cs="Arial"/>
        </w:rPr>
      </w:pPr>
    </w:p>
    <w:p w:rsidR="00303747" w:rsidRPr="007D3EFE" w:rsidRDefault="00303747" w:rsidP="00E24A8D">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El carácter subsidiario de la acción de tutela</w:t>
      </w:r>
      <w:r w:rsidRPr="007D3EFE">
        <w:rPr>
          <w:rFonts w:ascii="Arial" w:hAnsi="Arial" w:cs="Arial"/>
          <w:smallCaps/>
          <w:szCs w:val="24"/>
        </w:rPr>
        <w:tab/>
      </w:r>
    </w:p>
    <w:p w:rsidR="00303747" w:rsidRPr="007D3EFE" w:rsidRDefault="00303747" w:rsidP="00AE4DB5">
      <w:pPr>
        <w:pStyle w:val="Sansinterligne"/>
        <w:rPr>
          <w:rFonts w:ascii="Arial" w:hAnsi="Arial" w:cs="Arial"/>
          <w:sz w:val="2"/>
        </w:rPr>
      </w:pPr>
    </w:p>
    <w:p w:rsidR="0077283E" w:rsidRPr="007D3EFE" w:rsidRDefault="0077283E" w:rsidP="00303747">
      <w:pPr>
        <w:pStyle w:val="Corpsdetexte"/>
        <w:tabs>
          <w:tab w:val="clear" w:pos="0"/>
        </w:tabs>
        <w:spacing w:line="360" w:lineRule="auto"/>
        <w:rPr>
          <w:rFonts w:ascii="Arial" w:hAnsi="Arial" w:cs="Arial"/>
          <w:sz w:val="18"/>
          <w:szCs w:val="24"/>
        </w:rPr>
      </w:pPr>
    </w:p>
    <w:p w:rsidR="0077283E" w:rsidRPr="007D3EFE" w:rsidRDefault="00303747" w:rsidP="00303747">
      <w:pPr>
        <w:pStyle w:val="Corpsdetexte"/>
        <w:tabs>
          <w:tab w:val="clear" w:pos="0"/>
        </w:tabs>
        <w:spacing w:line="360" w:lineRule="auto"/>
        <w:rPr>
          <w:rFonts w:ascii="Arial" w:hAnsi="Arial" w:cs="Arial"/>
          <w:szCs w:val="24"/>
        </w:rPr>
      </w:pPr>
      <w:r w:rsidRPr="007D3EFE">
        <w:rPr>
          <w:rFonts w:ascii="Arial" w:hAnsi="Arial" w:cs="Arial"/>
          <w:szCs w:val="24"/>
        </w:rPr>
        <w:t xml:space="preserve">La acción de tutela, se halla prescrita en el artículo 86 de la </w:t>
      </w:r>
      <w:r w:rsidR="00E24A8D" w:rsidRPr="007D3EFE">
        <w:rPr>
          <w:rFonts w:ascii="Arial" w:hAnsi="Arial" w:cs="Arial"/>
          <w:szCs w:val="24"/>
        </w:rPr>
        <w:t>CP</w:t>
      </w:r>
      <w:r w:rsidRPr="007D3EFE">
        <w:rPr>
          <w:rFonts w:ascii="Arial" w:hAnsi="Arial" w:cs="Arial"/>
          <w:szCs w:val="24"/>
        </w:rPr>
        <w:t xml:space="preserve">, definiendo la regla general </w:t>
      </w:r>
    </w:p>
    <w:p w:rsidR="00303747" w:rsidRPr="007D3EFE" w:rsidRDefault="00303747" w:rsidP="00303747">
      <w:pPr>
        <w:pStyle w:val="Corpsdetexte"/>
        <w:tabs>
          <w:tab w:val="clear" w:pos="0"/>
        </w:tabs>
        <w:spacing w:line="360" w:lineRule="auto"/>
        <w:rPr>
          <w:rFonts w:ascii="Arial" w:hAnsi="Arial" w:cs="Arial"/>
          <w:sz w:val="22"/>
          <w:szCs w:val="22"/>
        </w:rPr>
      </w:pPr>
      <w:r w:rsidRPr="007D3EFE">
        <w:rPr>
          <w:rFonts w:ascii="Arial" w:hAnsi="Arial" w:cs="Arial"/>
          <w:szCs w:val="24"/>
        </w:rPr>
        <w:t xml:space="preserve">sobre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E24A8D" w:rsidRPr="007D3EFE" w:rsidRDefault="00E24A8D" w:rsidP="00E24A8D">
      <w:pPr>
        <w:pStyle w:val="Sansinterligne"/>
        <w:ind w:left="567" w:right="618"/>
        <w:jc w:val="center"/>
        <w:rPr>
          <w:rFonts w:ascii="Arial" w:hAnsi="Arial" w:cs="Arial"/>
        </w:rPr>
      </w:pPr>
    </w:p>
    <w:p w:rsidR="000A48D2" w:rsidRPr="007D3EFE" w:rsidRDefault="00303747" w:rsidP="00303747">
      <w:pPr>
        <w:pStyle w:val="Corpsdetexte"/>
        <w:tabs>
          <w:tab w:val="clear" w:pos="0"/>
        </w:tabs>
        <w:spacing w:line="360" w:lineRule="auto"/>
        <w:rPr>
          <w:rFonts w:ascii="Arial" w:hAnsi="Arial" w:cs="Arial"/>
          <w:i/>
          <w:sz w:val="22"/>
          <w:szCs w:val="22"/>
        </w:rPr>
      </w:pPr>
      <w:r w:rsidRPr="007D3EFE">
        <w:rPr>
          <w:rFonts w:ascii="Arial" w:hAnsi="Arial" w:cs="Arial"/>
          <w:szCs w:val="24"/>
        </w:rPr>
        <w:t xml:space="preserve">Es  por  ello  que  la  acción  de  tutela  es  subsidiaria,  en  razón a que su procedencia está sometida al agotamiento de los medios ordinarios y extraordinarios de defensa por </w:t>
      </w:r>
      <w:r w:rsidR="00D94A81" w:rsidRPr="007D3EFE">
        <w:rPr>
          <w:rFonts w:ascii="Arial" w:hAnsi="Arial" w:cs="Arial"/>
          <w:szCs w:val="24"/>
        </w:rPr>
        <w:t xml:space="preserve"> el </w:t>
      </w:r>
      <w:r w:rsidRPr="007D3EFE">
        <w:rPr>
          <w:rFonts w:ascii="Arial" w:hAnsi="Arial" w:cs="Arial"/>
          <w:szCs w:val="24"/>
        </w:rPr>
        <w:t xml:space="preserve">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p>
    <w:p w:rsidR="000A48D2" w:rsidRPr="007D3EFE" w:rsidRDefault="000A48D2" w:rsidP="00303747">
      <w:pPr>
        <w:pStyle w:val="Corpsdetexte"/>
        <w:tabs>
          <w:tab w:val="clear" w:pos="0"/>
        </w:tabs>
        <w:spacing w:line="360" w:lineRule="auto"/>
        <w:rPr>
          <w:rFonts w:ascii="Arial" w:hAnsi="Arial" w:cs="Arial"/>
          <w:i/>
          <w:sz w:val="22"/>
          <w:szCs w:val="22"/>
        </w:rPr>
      </w:pPr>
    </w:p>
    <w:p w:rsidR="00303747" w:rsidRPr="007D3EFE" w:rsidRDefault="00303747" w:rsidP="00303747">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00CD67DF" w:rsidRPr="007D3EFE">
        <w:rPr>
          <w:rStyle w:val="Appelnotedebasdep"/>
          <w:rFonts w:ascii="Arial" w:hAnsi="Arial" w:cs="Arial"/>
        </w:rPr>
        <w:footnoteReference w:id="9"/>
      </w:r>
      <w:r w:rsidRPr="007D3EFE">
        <w:rPr>
          <w:rFonts w:ascii="Arial" w:hAnsi="Arial" w:cs="Arial"/>
          <w:szCs w:val="24"/>
        </w:rPr>
        <w:t xml:space="preserve"> ha sido reiterativa en </w:t>
      </w:r>
      <w:r w:rsidR="0077283E" w:rsidRPr="007D3EFE">
        <w:rPr>
          <w:rFonts w:ascii="Arial" w:hAnsi="Arial" w:cs="Arial"/>
          <w:szCs w:val="24"/>
        </w:rPr>
        <w:t>su criterio</w:t>
      </w:r>
      <w:r w:rsidRPr="007D3EFE">
        <w:rPr>
          <w:rFonts w:ascii="Arial" w:hAnsi="Arial" w:cs="Arial"/>
          <w:szCs w:val="24"/>
        </w:rPr>
        <w:t xml:space="preserve">. </w:t>
      </w:r>
      <w:r w:rsidRPr="007D3EFE">
        <w:rPr>
          <w:rFonts w:ascii="Arial" w:hAnsi="Arial" w:cs="Arial"/>
        </w:rPr>
        <w:t>También la CSJ</w:t>
      </w:r>
      <w:r w:rsidR="00CD67DF" w:rsidRPr="007D3EFE">
        <w:rPr>
          <w:rStyle w:val="Appelnotedebasdep"/>
          <w:rFonts w:ascii="Arial" w:hAnsi="Arial" w:cs="Arial"/>
        </w:rPr>
        <w:footnoteReference w:id="10"/>
      </w:r>
      <w:r w:rsidRPr="007D3EFE">
        <w:rPr>
          <w:rFonts w:ascii="Arial" w:hAnsi="Arial" w:cs="Arial"/>
        </w:rPr>
        <w:t xml:space="preserve"> se ha referido al tema</w:t>
      </w:r>
      <w:r w:rsidR="00CD67DF">
        <w:rPr>
          <w:rFonts w:ascii="Arial" w:hAnsi="Arial" w:cs="Arial"/>
        </w:rPr>
        <w:t xml:space="preserve"> y</w:t>
      </w:r>
      <w:r w:rsidR="000A48D2"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303747" w:rsidRPr="007D3EFE" w:rsidRDefault="00303747" w:rsidP="00BB7FD9">
      <w:pPr>
        <w:pStyle w:val="Sansinterligne"/>
        <w:rPr>
          <w:rFonts w:ascii="Arial" w:hAnsi="Arial" w:cs="Arial"/>
          <w:lang w:val="es-ES_tradnl"/>
        </w:rPr>
      </w:pPr>
    </w:p>
    <w:p w:rsidR="00303747" w:rsidRPr="007D3EFE" w:rsidRDefault="00303747" w:rsidP="00E24A8D">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303747" w:rsidRPr="007D3EFE" w:rsidRDefault="00303747" w:rsidP="00BB7FD9">
      <w:pPr>
        <w:pStyle w:val="Sansinterligne"/>
        <w:rPr>
          <w:rFonts w:ascii="Arial" w:hAnsi="Arial" w:cs="Arial"/>
        </w:rPr>
      </w:pPr>
    </w:p>
    <w:p w:rsidR="00303747" w:rsidRPr="00654381" w:rsidRDefault="00303747" w:rsidP="00654381">
      <w:pPr>
        <w:spacing w:line="360" w:lineRule="auto"/>
        <w:jc w:val="both"/>
        <w:rPr>
          <w:rFonts w:ascii="Arial" w:hAnsi="Arial" w:cs="Arial"/>
          <w:lang w:val="es-ES_tradnl"/>
        </w:rPr>
      </w:pPr>
      <w:r w:rsidRPr="007D3EFE">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limitará a la subsidiariedad, porque es el </w:t>
      </w:r>
      <w:r w:rsidRPr="00654381">
        <w:rPr>
          <w:rFonts w:ascii="Arial" w:hAnsi="Arial" w:cs="Arial"/>
          <w:lang w:val="es-ES_tradnl"/>
        </w:rPr>
        <w:t>elemento que se advierte ausente y resulta suficiente para el fracaso del amparo.</w:t>
      </w:r>
    </w:p>
    <w:p w:rsidR="00EA53EB" w:rsidRPr="00654381" w:rsidRDefault="00EA53EB" w:rsidP="00654381">
      <w:pPr>
        <w:pStyle w:val="Sansinterligne"/>
        <w:spacing w:line="360" w:lineRule="auto"/>
        <w:rPr>
          <w:rFonts w:ascii="Arial" w:hAnsi="Arial" w:cs="Arial"/>
          <w:szCs w:val="24"/>
          <w:lang w:val="es-ES_tradnl"/>
        </w:rPr>
      </w:pPr>
    </w:p>
    <w:p w:rsidR="00303747" w:rsidRPr="00654381" w:rsidRDefault="00C74D62" w:rsidP="00654381">
      <w:pPr>
        <w:spacing w:line="360" w:lineRule="auto"/>
        <w:jc w:val="both"/>
        <w:rPr>
          <w:rFonts w:ascii="Arial" w:hAnsi="Arial" w:cs="Arial"/>
        </w:rPr>
      </w:pPr>
      <w:r w:rsidRPr="00654381">
        <w:rPr>
          <w:rFonts w:ascii="Arial" w:hAnsi="Arial" w:cs="Arial"/>
          <w:lang w:val="es-ES_tradnl"/>
        </w:rPr>
        <w:t>El</w:t>
      </w:r>
      <w:r w:rsidR="00FF7D12" w:rsidRPr="00654381">
        <w:rPr>
          <w:rFonts w:ascii="Arial" w:hAnsi="Arial" w:cs="Arial"/>
          <w:lang w:val="es-ES_tradnl"/>
        </w:rPr>
        <w:t xml:space="preserve"> actor</w:t>
      </w:r>
      <w:r w:rsidR="00303747" w:rsidRPr="00654381">
        <w:rPr>
          <w:rFonts w:ascii="Arial" w:hAnsi="Arial" w:cs="Arial"/>
          <w:lang w:val="es-ES_tradnl"/>
        </w:rPr>
        <w:t xml:space="preserve"> se duele porque el accionado,</w:t>
      </w:r>
      <w:r w:rsidR="009D25C7" w:rsidRPr="00654381">
        <w:rPr>
          <w:rFonts w:ascii="Arial" w:hAnsi="Arial" w:cs="Arial"/>
          <w:lang w:val="es-ES_tradnl"/>
        </w:rPr>
        <w:t xml:space="preserve"> profirió sentencia, </w:t>
      </w:r>
      <w:r w:rsidR="001F4752" w:rsidRPr="00654381">
        <w:rPr>
          <w:rFonts w:ascii="Arial" w:hAnsi="Arial" w:cs="Arial"/>
          <w:lang w:val="es-ES_tradnl"/>
        </w:rPr>
        <w:t xml:space="preserve">pese </w:t>
      </w:r>
      <w:r w:rsidR="00570EE5" w:rsidRPr="00654381">
        <w:rPr>
          <w:rFonts w:ascii="Arial" w:hAnsi="Arial" w:cs="Arial"/>
          <w:lang w:val="es-ES_tradnl"/>
        </w:rPr>
        <w:t>haber perdido competencia (A</w:t>
      </w:r>
      <w:r w:rsidR="001F4752" w:rsidRPr="00654381">
        <w:rPr>
          <w:rFonts w:ascii="Arial" w:hAnsi="Arial" w:cs="Arial"/>
          <w:lang w:val="es-ES_tradnl"/>
        </w:rPr>
        <w:t>rtículo 121 CGP</w:t>
      </w:r>
      <w:r w:rsidR="00570EE5" w:rsidRPr="00654381">
        <w:rPr>
          <w:rFonts w:ascii="Arial" w:hAnsi="Arial" w:cs="Arial"/>
          <w:lang w:val="es-ES_tradnl"/>
        </w:rPr>
        <w:t>)</w:t>
      </w:r>
      <w:r w:rsidR="00D95174" w:rsidRPr="00654381">
        <w:rPr>
          <w:rFonts w:ascii="Arial" w:hAnsi="Arial" w:cs="Arial"/>
          <w:lang w:val="es-ES_tradnl"/>
        </w:rPr>
        <w:t>.</w:t>
      </w:r>
    </w:p>
    <w:p w:rsidR="00303747" w:rsidRPr="00654381" w:rsidRDefault="00303747" w:rsidP="00654381">
      <w:pPr>
        <w:pStyle w:val="Sansinterligne"/>
        <w:spacing w:line="360" w:lineRule="auto"/>
        <w:jc w:val="center"/>
        <w:rPr>
          <w:rFonts w:ascii="Arial" w:hAnsi="Arial" w:cs="Arial"/>
          <w:szCs w:val="24"/>
        </w:rPr>
      </w:pPr>
    </w:p>
    <w:p w:rsidR="00D65216" w:rsidRPr="00654381" w:rsidRDefault="00D65216" w:rsidP="00654381">
      <w:pPr>
        <w:spacing w:line="360" w:lineRule="auto"/>
        <w:jc w:val="both"/>
        <w:rPr>
          <w:rFonts w:ascii="Arial" w:hAnsi="Arial" w:cs="Arial"/>
        </w:rPr>
      </w:pPr>
      <w:r w:rsidRPr="00654381">
        <w:rPr>
          <w:rFonts w:ascii="Arial" w:hAnsi="Arial" w:cs="Arial"/>
          <w:lang w:val="es-ES_tradnl"/>
        </w:rPr>
        <w:t xml:space="preserve">Conforme al acervo probatorio el despacho judicial accionado, mediante proveído que data del 02-06-2015, admitió la acción (Folio 33 </w:t>
      </w:r>
      <w:proofErr w:type="spellStart"/>
      <w:r w:rsidRPr="00654381">
        <w:rPr>
          <w:rFonts w:ascii="Arial" w:hAnsi="Arial" w:cs="Arial"/>
          <w:lang w:val="es-ES_tradnl"/>
        </w:rPr>
        <w:t>vto</w:t>
      </w:r>
      <w:proofErr w:type="spellEnd"/>
      <w:r w:rsidRPr="00654381">
        <w:rPr>
          <w:rFonts w:ascii="Arial" w:hAnsi="Arial" w:cs="Arial"/>
          <w:lang w:val="es-ES_tradnl"/>
        </w:rPr>
        <w:t xml:space="preserve"> a 34 de este cuaderno); el 16-12-2016 la declaró improcedente porque no se probó la existencia y vulneración de los derechos alegados por el demandante (Folio 34 </w:t>
      </w:r>
      <w:proofErr w:type="spellStart"/>
      <w:r w:rsidRPr="00654381">
        <w:rPr>
          <w:rFonts w:ascii="Arial" w:hAnsi="Arial" w:cs="Arial"/>
          <w:lang w:val="es-ES_tradnl"/>
        </w:rPr>
        <w:t>vto</w:t>
      </w:r>
      <w:proofErr w:type="spellEnd"/>
      <w:r w:rsidRPr="00654381">
        <w:rPr>
          <w:rFonts w:ascii="Arial" w:hAnsi="Arial" w:cs="Arial"/>
          <w:lang w:val="es-ES_tradnl"/>
        </w:rPr>
        <w:t xml:space="preserve"> a 37 ib.) decisión ejecutoriada el 13-01-17 (Folio 38 </w:t>
      </w:r>
      <w:proofErr w:type="spellStart"/>
      <w:r w:rsidRPr="00654381">
        <w:rPr>
          <w:rFonts w:ascii="Arial" w:hAnsi="Arial" w:cs="Arial"/>
          <w:lang w:val="es-ES_tradnl"/>
        </w:rPr>
        <w:t>vto</w:t>
      </w:r>
      <w:proofErr w:type="spellEnd"/>
      <w:r w:rsidRPr="00654381">
        <w:rPr>
          <w:rFonts w:ascii="Arial" w:hAnsi="Arial" w:cs="Arial"/>
          <w:lang w:val="es-ES_tradnl"/>
        </w:rPr>
        <w:t xml:space="preserve"> ibídem)</w:t>
      </w:r>
      <w:r w:rsidR="00BA5C67" w:rsidRPr="00654381">
        <w:rPr>
          <w:rFonts w:ascii="Arial" w:hAnsi="Arial" w:cs="Arial"/>
          <w:lang w:val="es-ES_tradnl"/>
        </w:rPr>
        <w:t>,</w:t>
      </w:r>
      <w:r w:rsidRPr="00654381">
        <w:rPr>
          <w:rFonts w:ascii="Arial" w:hAnsi="Arial" w:cs="Arial"/>
          <w:lang w:val="es-ES_tradnl"/>
        </w:rPr>
        <w:t xml:space="preserve"> el 07-02-2017 rechazó de plano la nulidad deprecada por el accionante (Folio 39 ib.), notificada en estado del 08-02-17 y debidamente ejecutoriada el 14-02-17.</w:t>
      </w:r>
      <w:r w:rsidRPr="00654381">
        <w:rPr>
          <w:rFonts w:ascii="Arial" w:hAnsi="Arial" w:cs="Arial"/>
        </w:rPr>
        <w:t xml:space="preserve"> (Folio 39 </w:t>
      </w:r>
      <w:proofErr w:type="spellStart"/>
      <w:r w:rsidRPr="00654381">
        <w:rPr>
          <w:rFonts w:ascii="Arial" w:hAnsi="Arial" w:cs="Arial"/>
        </w:rPr>
        <w:t>vto</w:t>
      </w:r>
      <w:proofErr w:type="spellEnd"/>
      <w:r w:rsidRPr="00654381">
        <w:rPr>
          <w:rFonts w:ascii="Arial" w:hAnsi="Arial" w:cs="Arial"/>
        </w:rPr>
        <w:t xml:space="preserve"> ibídem).</w:t>
      </w:r>
    </w:p>
    <w:p w:rsidR="00D65216" w:rsidRPr="00654381" w:rsidRDefault="00D65216" w:rsidP="00654381">
      <w:pPr>
        <w:spacing w:line="360" w:lineRule="auto"/>
        <w:jc w:val="both"/>
        <w:rPr>
          <w:rFonts w:ascii="Arial" w:hAnsi="Arial" w:cs="Arial"/>
        </w:rPr>
      </w:pPr>
    </w:p>
    <w:p w:rsidR="00303747" w:rsidRPr="00654381" w:rsidRDefault="009C06FE" w:rsidP="00654381">
      <w:pPr>
        <w:spacing w:line="360" w:lineRule="auto"/>
        <w:jc w:val="both"/>
        <w:rPr>
          <w:rFonts w:ascii="Arial" w:hAnsi="Arial" w:cs="Arial"/>
          <w:lang w:val="es-ES_tradnl"/>
        </w:rPr>
      </w:pPr>
      <w:r w:rsidRPr="00654381">
        <w:rPr>
          <w:rFonts w:ascii="Arial" w:hAnsi="Arial" w:cs="Arial"/>
          <w:lang w:val="es-ES_tradnl"/>
        </w:rPr>
        <w:t>En ese orden de ideas, se tiene que</w:t>
      </w:r>
      <w:r w:rsidR="00D65216" w:rsidRPr="00654381">
        <w:rPr>
          <w:rFonts w:ascii="Arial" w:hAnsi="Arial" w:cs="Arial"/>
          <w:lang w:val="es-ES_tradnl"/>
        </w:rPr>
        <w:t xml:space="preserve"> el</w:t>
      </w:r>
      <w:r w:rsidRPr="00654381">
        <w:rPr>
          <w:rFonts w:ascii="Arial" w:hAnsi="Arial" w:cs="Arial"/>
          <w:lang w:val="es-ES_tradnl"/>
        </w:rPr>
        <w:t xml:space="preserve"> accionante pretermitió agotar el recurso de </w:t>
      </w:r>
      <w:r w:rsidR="002C2D59" w:rsidRPr="00654381">
        <w:rPr>
          <w:rFonts w:ascii="Arial" w:hAnsi="Arial" w:cs="Arial"/>
          <w:u w:val="single"/>
          <w:lang w:val="es-ES_tradnl"/>
        </w:rPr>
        <w:t>reposición (</w:t>
      </w:r>
      <w:r w:rsidRPr="00654381">
        <w:rPr>
          <w:rFonts w:ascii="Arial" w:hAnsi="Arial" w:cs="Arial"/>
          <w:u w:val="single"/>
          <w:lang w:val="es-ES_tradnl"/>
        </w:rPr>
        <w:t>Artículo 36, Ley 472)</w:t>
      </w:r>
      <w:r w:rsidRPr="00654381">
        <w:rPr>
          <w:rFonts w:ascii="Arial" w:hAnsi="Arial" w:cs="Arial"/>
          <w:lang w:val="es-ES_tradnl"/>
        </w:rPr>
        <w:t xml:space="preserve">, </w:t>
      </w:r>
      <w:r w:rsidR="00365C8E" w:rsidRPr="00654381">
        <w:rPr>
          <w:rFonts w:ascii="Arial" w:hAnsi="Arial" w:cs="Arial"/>
          <w:lang w:val="es-ES_tradnl"/>
        </w:rPr>
        <w:t xml:space="preserve">frente al auto que rechazó la nulidad, </w:t>
      </w:r>
      <w:r w:rsidRPr="00654381">
        <w:rPr>
          <w:rFonts w:ascii="Arial" w:hAnsi="Arial" w:cs="Arial"/>
          <w:lang w:val="es-ES_tradnl"/>
        </w:rPr>
        <w:t>cuando ese era el mecanismo ordinario y expedito que tenía para procurar que el estrado judicial accionado reconsiderara aquella determinaci</w:t>
      </w:r>
      <w:r w:rsidR="00E24A8D" w:rsidRPr="00654381">
        <w:rPr>
          <w:rFonts w:ascii="Arial" w:hAnsi="Arial" w:cs="Arial"/>
          <w:lang w:val="es-ES_tradnl"/>
        </w:rPr>
        <w:t>ón</w:t>
      </w:r>
      <w:r w:rsidR="00365C8E" w:rsidRPr="00654381">
        <w:rPr>
          <w:rFonts w:ascii="Arial" w:hAnsi="Arial" w:cs="Arial"/>
          <w:lang w:val="es-ES_tradnl"/>
        </w:rPr>
        <w:t xml:space="preserve"> y analizara la posibilidad de declarar la incompetencia, de acuerdo con el artículo 121 del CGP</w:t>
      </w:r>
      <w:r w:rsidRPr="00654381">
        <w:rPr>
          <w:rFonts w:ascii="Arial" w:hAnsi="Arial" w:cs="Arial"/>
          <w:lang w:val="es-ES_tradnl"/>
        </w:rPr>
        <w:t>.</w:t>
      </w:r>
    </w:p>
    <w:p w:rsidR="005A741F" w:rsidRPr="00654381" w:rsidRDefault="005A741F" w:rsidP="00654381">
      <w:pPr>
        <w:pStyle w:val="Sansinterligne"/>
        <w:spacing w:line="360" w:lineRule="auto"/>
        <w:rPr>
          <w:rFonts w:ascii="Arial" w:hAnsi="Arial" w:cs="Arial"/>
          <w:szCs w:val="24"/>
          <w:lang w:val="es-ES_tradnl"/>
        </w:rPr>
      </w:pPr>
    </w:p>
    <w:p w:rsidR="00303747" w:rsidRPr="00654381" w:rsidRDefault="00303747" w:rsidP="00654381">
      <w:pPr>
        <w:spacing w:line="360" w:lineRule="auto"/>
        <w:jc w:val="both"/>
        <w:rPr>
          <w:rFonts w:ascii="Arial" w:hAnsi="Arial" w:cs="Arial"/>
        </w:rPr>
      </w:pPr>
      <w:r w:rsidRPr="00654381">
        <w:rPr>
          <w:rFonts w:ascii="Arial" w:hAnsi="Arial" w:cs="Arial"/>
          <w:lang w:val="es-ES_tradnl"/>
        </w:rPr>
        <w:lastRenderedPageBreak/>
        <w:t xml:space="preserve">Evidente, entonces, es la falta de agotamiento del supuesto de subsidiariedad, como ha explicado </w:t>
      </w:r>
      <w:r w:rsidRPr="00654381">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654381">
        <w:rPr>
          <w:rStyle w:val="Appelnotedebasdep"/>
          <w:rFonts w:ascii="Arial" w:hAnsi="Arial" w:cs="Arial"/>
        </w:rPr>
        <w:footnoteReference w:id="11"/>
      </w:r>
      <w:r w:rsidRPr="00654381">
        <w:rPr>
          <w:rFonts w:ascii="Arial" w:hAnsi="Arial" w:cs="Arial"/>
        </w:rPr>
        <w:t>.</w:t>
      </w:r>
    </w:p>
    <w:p w:rsidR="00303747" w:rsidRPr="00654381" w:rsidRDefault="00303747" w:rsidP="00654381">
      <w:pPr>
        <w:pStyle w:val="Sansinterligne"/>
        <w:spacing w:line="360" w:lineRule="auto"/>
        <w:rPr>
          <w:rFonts w:ascii="Arial" w:hAnsi="Arial" w:cs="Arial"/>
          <w:szCs w:val="24"/>
        </w:rPr>
      </w:pPr>
    </w:p>
    <w:p w:rsidR="00303747" w:rsidRPr="00654381" w:rsidRDefault="00303747" w:rsidP="00654381">
      <w:pPr>
        <w:spacing w:line="360" w:lineRule="auto"/>
        <w:ind w:right="51"/>
        <w:jc w:val="both"/>
        <w:rPr>
          <w:rFonts w:ascii="Arial" w:hAnsi="Arial" w:cs="Arial"/>
        </w:rPr>
      </w:pPr>
      <w:r w:rsidRPr="00654381">
        <w:rPr>
          <w:rFonts w:ascii="Arial" w:hAnsi="Arial" w:cs="Arial"/>
        </w:rPr>
        <w:t>Cabe acotar que nada se arguyó y menos acreditó por parte de</w:t>
      </w:r>
      <w:r w:rsidR="00D65216" w:rsidRPr="00654381">
        <w:rPr>
          <w:rFonts w:ascii="Arial" w:hAnsi="Arial" w:cs="Arial"/>
        </w:rPr>
        <w:t>l</w:t>
      </w:r>
      <w:r w:rsidRPr="00654381">
        <w:rPr>
          <w:rFonts w:ascii="Arial" w:hAnsi="Arial" w:cs="Arial"/>
        </w:rPr>
        <w:t xml:space="preserve"> accionante, de forma que pudiera estimarse </w:t>
      </w:r>
      <w:r w:rsidRPr="00654381">
        <w:rPr>
          <w:rFonts w:ascii="Arial" w:hAnsi="Arial" w:cs="Arial"/>
          <w:bCs/>
          <w:lang w:val="es-CO"/>
        </w:rPr>
        <w:t>que es una persona que requiere de protección reforzada</w:t>
      </w:r>
      <w:r w:rsidRPr="00654381">
        <w:rPr>
          <w:rStyle w:val="Appelnotedebasdep"/>
          <w:rFonts w:ascii="Arial" w:hAnsi="Arial" w:cs="Arial"/>
          <w:bCs/>
          <w:lang w:val="es-CO"/>
        </w:rPr>
        <w:footnoteReference w:id="12"/>
      </w:r>
      <w:r w:rsidRPr="00654381">
        <w:rPr>
          <w:rFonts w:ascii="Arial" w:hAnsi="Arial" w:cs="Arial"/>
          <w:bCs/>
          <w:lang w:val="es-CO"/>
        </w:rPr>
        <w:t xml:space="preserve"> o que estaba en una situación de imposibilidad para recurrir el mencionado auto</w:t>
      </w:r>
      <w:r w:rsidRPr="00654381">
        <w:rPr>
          <w:rStyle w:val="Appelnotedebasdep"/>
          <w:rFonts w:ascii="Arial" w:hAnsi="Arial" w:cs="Arial"/>
          <w:bCs/>
          <w:lang w:val="es-CO"/>
        </w:rPr>
        <w:footnoteReference w:id="13"/>
      </w:r>
      <w:r w:rsidRPr="00654381">
        <w:rPr>
          <w:rFonts w:ascii="Arial" w:hAnsi="Arial" w:cs="Arial"/>
          <w:bCs/>
          <w:lang w:val="es-CO"/>
        </w:rPr>
        <w:t xml:space="preserve">, de tal modo que amerite un análisis flexible del requisito de procedibilidad echado de menos, </w:t>
      </w:r>
      <w:r w:rsidRPr="00654381">
        <w:rPr>
          <w:rFonts w:ascii="Arial" w:hAnsi="Arial" w:cs="Arial"/>
        </w:rPr>
        <w:t>por ende solo a la parte le es imputable tal descuido.</w:t>
      </w:r>
    </w:p>
    <w:p w:rsidR="00303747" w:rsidRPr="00654381" w:rsidRDefault="00303747" w:rsidP="00654381">
      <w:pPr>
        <w:pStyle w:val="Sansinterligne"/>
        <w:spacing w:line="360" w:lineRule="auto"/>
        <w:rPr>
          <w:rFonts w:ascii="Arial" w:hAnsi="Arial" w:cs="Arial"/>
          <w:szCs w:val="24"/>
          <w:lang w:val="es-CO"/>
        </w:rPr>
      </w:pPr>
    </w:p>
    <w:p w:rsidR="00303747" w:rsidRPr="00654381" w:rsidRDefault="00303747" w:rsidP="00654381">
      <w:pPr>
        <w:spacing w:line="360" w:lineRule="auto"/>
        <w:ind w:right="51"/>
        <w:jc w:val="both"/>
        <w:rPr>
          <w:rFonts w:ascii="Arial" w:hAnsi="Arial" w:cs="Arial"/>
        </w:rPr>
      </w:pPr>
      <w:r w:rsidRPr="00654381">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654381">
        <w:rPr>
          <w:rFonts w:ascii="Arial" w:hAnsi="Arial" w:cs="Arial"/>
        </w:rPr>
        <w:t>.</w:t>
      </w:r>
    </w:p>
    <w:p w:rsidR="00D65216" w:rsidRPr="007D3EFE" w:rsidRDefault="00D65216" w:rsidP="00303747">
      <w:pPr>
        <w:spacing w:line="360" w:lineRule="auto"/>
        <w:ind w:right="51"/>
        <w:jc w:val="both"/>
        <w:rPr>
          <w:rFonts w:ascii="Arial" w:hAnsi="Arial" w:cs="Arial"/>
          <w:sz w:val="14"/>
        </w:rPr>
      </w:pPr>
    </w:p>
    <w:p w:rsidR="00303747" w:rsidRPr="007D3EFE" w:rsidRDefault="00303747" w:rsidP="00CC304E">
      <w:pPr>
        <w:pStyle w:val="Sansinterligne"/>
        <w:rPr>
          <w:rFonts w:ascii="Arial" w:hAnsi="Arial" w:cs="Arial"/>
          <w:sz w:val="2"/>
        </w:rPr>
      </w:pPr>
    </w:p>
    <w:p w:rsidR="00303747" w:rsidRPr="007D3EFE" w:rsidRDefault="00303747" w:rsidP="00654381">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303747" w:rsidRPr="00654381" w:rsidRDefault="00303747" w:rsidP="00303747">
      <w:pPr>
        <w:pStyle w:val="Corpsdetexte"/>
        <w:spacing w:line="360" w:lineRule="auto"/>
        <w:jc w:val="center"/>
        <w:rPr>
          <w:rFonts w:ascii="Arial" w:hAnsi="Arial" w:cs="Arial"/>
          <w:bCs/>
          <w:smallCaps/>
          <w:sz w:val="16"/>
          <w:szCs w:val="24"/>
        </w:rPr>
      </w:pPr>
    </w:p>
    <w:p w:rsidR="00303747" w:rsidRPr="007D3EFE" w:rsidRDefault="00303747" w:rsidP="0030374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 (i) Se declarará improcedente la acci</w:t>
      </w:r>
      <w:r w:rsidR="009C4613" w:rsidRPr="007D3EFE">
        <w:rPr>
          <w:rFonts w:ascii="Arial" w:hAnsi="Arial" w:cs="Arial"/>
        </w:rPr>
        <w:t>ón</w:t>
      </w:r>
      <w:r w:rsidRPr="007D3EFE">
        <w:rPr>
          <w:rFonts w:ascii="Arial" w:hAnsi="Arial" w:cs="Arial"/>
        </w:rPr>
        <w:t xml:space="preserve"> constitucional frente al Juzgado </w:t>
      </w:r>
      <w:r w:rsidR="00D65216" w:rsidRPr="007D3EFE">
        <w:rPr>
          <w:rFonts w:ascii="Arial" w:hAnsi="Arial" w:cs="Arial"/>
        </w:rPr>
        <w:t>Cuarto Civil del Circuito</w:t>
      </w:r>
      <w:r w:rsidR="009C4613" w:rsidRPr="007D3EFE">
        <w:rPr>
          <w:rFonts w:ascii="Arial" w:hAnsi="Arial" w:cs="Arial"/>
        </w:rPr>
        <w:t xml:space="preserve"> de Pereira</w:t>
      </w:r>
      <w:r w:rsidRPr="007D3EFE">
        <w:rPr>
          <w:rFonts w:ascii="Arial" w:hAnsi="Arial" w:cs="Arial"/>
        </w:rPr>
        <w:t xml:space="preserve">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p>
    <w:p w:rsidR="00303747" w:rsidRPr="007D3EFE" w:rsidRDefault="00303747" w:rsidP="00D64C4B">
      <w:pPr>
        <w:pStyle w:val="Sansinterligne"/>
        <w:rPr>
          <w:rFonts w:ascii="Arial" w:hAnsi="Arial" w:cs="Arial"/>
          <w:sz w:val="2"/>
        </w:rPr>
      </w:pPr>
    </w:p>
    <w:p w:rsidR="002A30C4" w:rsidRPr="00654381" w:rsidRDefault="002A30C4" w:rsidP="00303747">
      <w:pPr>
        <w:tabs>
          <w:tab w:val="left" w:pos="-720"/>
        </w:tabs>
        <w:suppressAutoHyphens/>
        <w:spacing w:line="360" w:lineRule="auto"/>
        <w:jc w:val="both"/>
        <w:rPr>
          <w:rFonts w:ascii="Arial" w:hAnsi="Arial" w:cs="Arial"/>
          <w:sz w:val="18"/>
        </w:rPr>
      </w:pPr>
    </w:p>
    <w:p w:rsidR="00303747" w:rsidRPr="007D3EFE" w:rsidRDefault="00303747" w:rsidP="00303747">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303747">
      <w:pPr>
        <w:pStyle w:val="Corpsdetexte"/>
        <w:spacing w:line="360" w:lineRule="auto"/>
        <w:jc w:val="center"/>
        <w:rPr>
          <w:rFonts w:ascii="Arial" w:hAnsi="Arial" w:cs="Arial"/>
          <w:bCs/>
          <w:smallCaps/>
          <w:sz w:val="2"/>
          <w:szCs w:val="24"/>
        </w:rPr>
      </w:pPr>
    </w:p>
    <w:p w:rsidR="00303747" w:rsidRPr="007D3EFE" w:rsidRDefault="00303747" w:rsidP="00303747">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D65216" w:rsidRPr="007D3EFE" w:rsidRDefault="00D65216" w:rsidP="00D65216">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D65216" w:rsidRDefault="00D65216" w:rsidP="00D6521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 xml:space="preserve">DECLARAR improcedente la tutela propuesta por el señor Javier Elías Arias </w:t>
      </w:r>
      <w:proofErr w:type="spellStart"/>
      <w:r w:rsidRPr="007D3EFE">
        <w:rPr>
          <w:rFonts w:ascii="Arial" w:hAnsi="Arial" w:cs="Arial"/>
        </w:rPr>
        <w:t>Idárraga</w:t>
      </w:r>
      <w:proofErr w:type="spellEnd"/>
      <w:r w:rsidRPr="007D3EFE">
        <w:rPr>
          <w:rFonts w:ascii="Arial" w:hAnsi="Arial" w:cs="Arial"/>
        </w:rPr>
        <w:t xml:space="preserve"> contra el Juzgado Cuarto Civil del Circuito de Pereira.</w:t>
      </w:r>
    </w:p>
    <w:p w:rsidR="00654381" w:rsidRPr="007D3EFE" w:rsidRDefault="00654381" w:rsidP="00654381">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65216" w:rsidRPr="007D3EFE" w:rsidRDefault="00D65216" w:rsidP="00D65216">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654381" w:rsidRDefault="00654381" w:rsidP="00654381">
      <w:pPr>
        <w:pStyle w:val="Paragraphedeliste"/>
        <w:widowControl/>
        <w:suppressAutoHyphens/>
        <w:overflowPunct w:val="0"/>
        <w:autoSpaceDE/>
        <w:autoSpaceDN/>
        <w:adjustRightInd/>
        <w:spacing w:line="360" w:lineRule="auto"/>
        <w:ind w:left="426"/>
        <w:contextualSpacing/>
        <w:jc w:val="both"/>
        <w:textAlignment w:val="baseline"/>
        <w:rPr>
          <w:rFonts w:ascii="Arial" w:hAnsi="Arial" w:cs="Arial"/>
          <w:spacing w:val="-3"/>
          <w:lang w:val="es-ES_tradnl"/>
        </w:rPr>
      </w:pPr>
    </w:p>
    <w:p w:rsidR="00654381" w:rsidRDefault="00D65216" w:rsidP="00654381">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654381" w:rsidRPr="00654381" w:rsidRDefault="00654381" w:rsidP="00654381">
      <w:pPr>
        <w:widowControl/>
        <w:suppressAutoHyphens/>
        <w:overflowPunct w:val="0"/>
        <w:spacing w:line="360" w:lineRule="auto"/>
        <w:contextualSpacing/>
        <w:jc w:val="both"/>
        <w:textAlignment w:val="baseline"/>
        <w:rPr>
          <w:rFonts w:ascii="Arial" w:hAnsi="Arial" w:cs="Arial"/>
          <w:spacing w:val="-3"/>
          <w:lang w:val="es-ES_tradnl"/>
        </w:rPr>
      </w:pPr>
    </w:p>
    <w:p w:rsidR="00D65216" w:rsidRPr="007D3EFE" w:rsidRDefault="00D65216" w:rsidP="00D65216">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365C8E" w:rsidRDefault="00D65216" w:rsidP="00365C8E">
      <w:pPr>
        <w:pStyle w:val="Corpsdetexte"/>
        <w:spacing w:line="360" w:lineRule="auto"/>
        <w:rPr>
          <w:rFonts w:ascii="Arial" w:hAnsi="Arial" w:cs="Arial"/>
          <w:smallCaps/>
          <w:sz w:val="10"/>
          <w:szCs w:val="24"/>
          <w:lang w:val="es-ES"/>
        </w:rPr>
      </w:pPr>
    </w:p>
    <w:p w:rsidR="00D65216" w:rsidRPr="007D3EFE" w:rsidRDefault="00D65216" w:rsidP="00D65216">
      <w:pPr>
        <w:pStyle w:val="Corpsdetexte"/>
        <w:spacing w:line="360" w:lineRule="auto"/>
        <w:jc w:val="center"/>
        <w:rPr>
          <w:rFonts w:ascii="Arial" w:hAnsi="Arial" w:cs="Arial"/>
          <w:smallCaps/>
          <w:szCs w:val="24"/>
          <w:lang w:val="en-US"/>
        </w:rPr>
      </w:pPr>
      <w:proofErr w:type="spellStart"/>
      <w:r w:rsidRPr="007D3EFE">
        <w:rPr>
          <w:rFonts w:ascii="Arial" w:hAnsi="Arial" w:cs="Arial"/>
          <w:smallCaps/>
          <w:szCs w:val="24"/>
          <w:lang w:val="en-US"/>
        </w:rPr>
        <w:lastRenderedPageBreak/>
        <w:t>Notifíquese</w:t>
      </w:r>
      <w:proofErr w:type="spellEnd"/>
      <w:r w:rsidRPr="007D3EFE">
        <w:rPr>
          <w:rFonts w:ascii="Arial" w:hAnsi="Arial" w:cs="Arial"/>
          <w:smallCaps/>
          <w:szCs w:val="24"/>
          <w:lang w:val="en-US"/>
        </w:rPr>
        <w:t>,</w:t>
      </w:r>
    </w:p>
    <w:p w:rsidR="00D65216" w:rsidRDefault="00D65216" w:rsidP="00D65216">
      <w:pPr>
        <w:pStyle w:val="Sansinterligne"/>
        <w:rPr>
          <w:rFonts w:ascii="Arial" w:hAnsi="Arial" w:cs="Arial"/>
          <w:lang w:val="en-US"/>
        </w:rPr>
      </w:pPr>
      <w:r w:rsidRPr="007D3EFE">
        <w:rPr>
          <w:rFonts w:ascii="Arial" w:hAnsi="Arial" w:cs="Arial"/>
          <w:lang w:val="en-US"/>
        </w:rPr>
        <w:tab/>
      </w:r>
      <w:bookmarkStart w:id="0" w:name="_GoBack"/>
      <w:bookmarkEnd w:id="0"/>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p>
    <w:p w:rsidR="00654381" w:rsidRPr="00365C8E" w:rsidRDefault="00654381" w:rsidP="00D65216">
      <w:pPr>
        <w:pStyle w:val="Sansinterligne"/>
        <w:rPr>
          <w:rFonts w:ascii="Arial" w:hAnsi="Arial" w:cs="Arial"/>
          <w:sz w:val="16"/>
          <w:lang w:val="en-US"/>
        </w:rPr>
      </w:pPr>
    </w:p>
    <w:p w:rsidR="00365C8E" w:rsidRDefault="00365C8E" w:rsidP="00D65216">
      <w:pPr>
        <w:pStyle w:val="Sansinterligne"/>
        <w:rPr>
          <w:rFonts w:ascii="Arial" w:hAnsi="Arial" w:cs="Arial"/>
          <w:sz w:val="14"/>
          <w:lang w:val="en-US"/>
        </w:rPr>
      </w:pPr>
    </w:p>
    <w:p w:rsidR="00654381" w:rsidRPr="00365C8E" w:rsidRDefault="00654381" w:rsidP="00D65216">
      <w:pPr>
        <w:pStyle w:val="Sansinterligne"/>
        <w:rPr>
          <w:rFonts w:ascii="Arial" w:hAnsi="Arial" w:cs="Arial"/>
          <w:sz w:val="14"/>
          <w:lang w:val="en-US"/>
        </w:rPr>
      </w:pPr>
    </w:p>
    <w:p w:rsidR="00D65216" w:rsidRPr="007D3EFE" w:rsidRDefault="00D65216" w:rsidP="00D65216">
      <w:pPr>
        <w:pStyle w:val="Sansinterligne"/>
        <w:rPr>
          <w:rFonts w:ascii="Arial" w:hAnsi="Arial" w:cs="Arial"/>
          <w:lang w:val="en-US"/>
        </w:rPr>
      </w:pPr>
      <w:r w:rsidRPr="007D3EFE">
        <w:rPr>
          <w:rFonts w:ascii="Arial" w:hAnsi="Arial" w:cs="Arial"/>
          <w:lang w:val="en-US"/>
        </w:rPr>
        <w:tab/>
      </w: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D65216" w:rsidRPr="007D3EFE" w:rsidRDefault="00D65216" w:rsidP="00D65216">
      <w:pPr>
        <w:pStyle w:val="Sansinterligne"/>
        <w:rPr>
          <w:rFonts w:ascii="Arial" w:hAnsi="Arial" w:cs="Arial"/>
          <w:i/>
          <w:spacing w:val="-3"/>
          <w:sz w:val="14"/>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D65216" w:rsidRPr="001626E6"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r w:rsidRPr="001626E6">
        <w:rPr>
          <w:rFonts w:ascii="Arial" w:hAnsi="Arial" w:cs="Arial"/>
          <w:spacing w:val="-3"/>
          <w:w w:val="150"/>
          <w:sz w:val="2"/>
          <w:lang w:val="en-GB"/>
        </w:rPr>
        <w:t>.</w:t>
      </w:r>
    </w:p>
    <w:p w:rsidR="00654381" w:rsidRPr="001626E6" w:rsidRDefault="00654381"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GB"/>
        </w:rPr>
      </w:pPr>
    </w:p>
    <w:p w:rsidR="00365C8E" w:rsidRPr="00365C8E" w:rsidRDefault="00365C8E"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8"/>
          <w:szCs w:val="18"/>
          <w:lang w:val="en-US"/>
        </w:rPr>
      </w:pPr>
    </w:p>
    <w:p w:rsidR="00365C8E" w:rsidRDefault="00365C8E"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8"/>
          <w:szCs w:val="18"/>
          <w:lang w:val="en-US"/>
        </w:rPr>
      </w:pPr>
    </w:p>
    <w:p w:rsidR="00D65216" w:rsidRPr="007D3EFE" w:rsidRDefault="00D65216" w:rsidP="00D6521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1626E6" w:rsidRDefault="00D65216" w:rsidP="003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sectPr w:rsidR="007D3EFE" w:rsidRPr="001626E6" w:rsidSect="00654381">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40" w:rsidRDefault="00BF3F40">
      <w:r>
        <w:separator/>
      </w:r>
    </w:p>
  </w:endnote>
  <w:endnote w:type="continuationSeparator" w:id="0">
    <w:p w:rsidR="00BF3F40" w:rsidRDefault="00BF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p w:rsidR="00AE4DB5" w:rsidRDefault="00AE4DB5">
    <w:pPr>
      <w:pStyle w:val="Pieddepage"/>
    </w:pPr>
  </w:p>
  <w:p w:rsidR="000159B3" w:rsidRPr="007F7D49" w:rsidRDefault="000159B3" w:rsidP="000159B3">
    <w:pPr>
      <w:pStyle w:val="Pieddepage"/>
      <w:jc w:val="right"/>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40" w:rsidRDefault="00BF3F40">
      <w:r>
        <w:separator/>
      </w:r>
    </w:p>
  </w:footnote>
  <w:footnote w:type="continuationSeparator" w:id="0">
    <w:p w:rsidR="00BF3F40" w:rsidRDefault="00BF3F40">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E24A8D">
        <w:rPr>
          <w:rFonts w:asciiTheme="minorHAnsi" w:hAnsiTheme="minorHAnsi" w:cs="Calibri"/>
        </w:rPr>
        <w:t>.</w:t>
      </w:r>
      <w:r w:rsidRPr="00E17BD7">
        <w:rPr>
          <w:rFonts w:asciiTheme="minorHAnsi" w:hAnsiTheme="minorHAnsi" w:cs="Calibri"/>
        </w:rPr>
        <w:t>, Manuel F</w:t>
      </w:r>
      <w:r w:rsidR="00CD67DF">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E24A8D">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303747" w:rsidRPr="001626E6"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w:t>
      </w:r>
      <w:r w:rsidR="00E24A8D" w:rsidRPr="001626E6">
        <w:rPr>
          <w:rFonts w:asciiTheme="minorHAnsi" w:hAnsiTheme="minorHAnsi" w:cstheme="minorHAnsi"/>
          <w:lang w:val="fr-FR"/>
        </w:rPr>
        <w:t xml:space="preserve">CC. </w:t>
      </w:r>
      <w:r w:rsidRPr="001626E6">
        <w:rPr>
          <w:rFonts w:asciiTheme="minorHAnsi" w:hAnsiTheme="minorHAnsi" w:cstheme="minorHAnsi"/>
          <w:lang w:val="fr-FR"/>
        </w:rPr>
        <w:t>T-917 de 2011.</w:t>
      </w:r>
    </w:p>
  </w:footnote>
  <w:footnote w:id="4">
    <w:p w:rsidR="00303747" w:rsidRPr="001626E6"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CC. C-590 de 2005.</w:t>
      </w:r>
    </w:p>
  </w:footnote>
  <w:footnote w:id="5">
    <w:p w:rsidR="00303747" w:rsidRPr="001626E6"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CC.</w:t>
      </w:r>
      <w:r w:rsidR="007A4953" w:rsidRPr="001626E6">
        <w:rPr>
          <w:rFonts w:asciiTheme="minorHAnsi" w:hAnsiTheme="minorHAnsi" w:cstheme="minorHAnsi"/>
          <w:lang w:val="fr-FR"/>
        </w:rPr>
        <w:t xml:space="preserve"> </w:t>
      </w:r>
      <w:r w:rsidRPr="001626E6">
        <w:rPr>
          <w:rFonts w:asciiTheme="minorHAnsi" w:hAnsiTheme="minorHAnsi" w:cstheme="minorHAnsi"/>
          <w:bCs/>
          <w:lang w:val="fr-FR"/>
        </w:rPr>
        <w:t>T-107 de 2016</w:t>
      </w:r>
      <w:r w:rsidRPr="001626E6">
        <w:rPr>
          <w:rFonts w:asciiTheme="minorHAnsi" w:hAnsiTheme="minorHAnsi" w:cstheme="minorHAnsi"/>
          <w:lang w:val="fr-FR"/>
        </w:rPr>
        <w:t xml:space="preserve"> y T-064 de 2015, entre otras.</w:t>
      </w:r>
    </w:p>
  </w:footnote>
  <w:footnote w:id="6">
    <w:p w:rsidR="00303747" w:rsidRPr="001626E6"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sidR="00AE4DB5">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sidR="00CD67DF">
        <w:rPr>
          <w:rFonts w:asciiTheme="minorHAnsi" w:hAnsiTheme="minorHAnsi" w:cstheme="minorHAnsi"/>
        </w:rPr>
        <w:t>.</w:t>
      </w:r>
      <w:r w:rsidRPr="00F72E96">
        <w:rPr>
          <w:rFonts w:asciiTheme="minorHAnsi" w:hAnsiTheme="minorHAnsi" w:cstheme="minorHAnsi"/>
        </w:rPr>
        <w:t>, Manuel F</w:t>
      </w:r>
      <w:r w:rsidR="00CD67DF">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CD67DF" w:rsidRPr="00F72E96" w:rsidRDefault="00CD67DF" w:rsidP="00CD67DF">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Pr>
          <w:rFonts w:asciiTheme="minorHAnsi" w:hAnsiTheme="minorHAnsi" w:cstheme="minorHAnsi"/>
        </w:rPr>
        <w:t>2016, entre otras</w:t>
      </w:r>
      <w:r w:rsidRPr="00F72E96">
        <w:rPr>
          <w:rFonts w:asciiTheme="minorHAnsi" w:hAnsiTheme="minorHAnsi" w:cstheme="minorHAnsi"/>
        </w:rPr>
        <w:t>.</w:t>
      </w:r>
    </w:p>
  </w:footnote>
  <w:footnote w:id="10">
    <w:p w:rsidR="00CD67DF" w:rsidRPr="00F72E96" w:rsidRDefault="00CD67DF" w:rsidP="00CD67DF">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303747" w:rsidRPr="001626E6"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CC.  T-</w:t>
      </w:r>
      <w:r w:rsidR="007C41DE" w:rsidRPr="001626E6">
        <w:rPr>
          <w:rFonts w:asciiTheme="minorHAnsi" w:hAnsiTheme="minorHAnsi" w:cstheme="minorHAnsi"/>
          <w:lang w:val="fr-FR"/>
        </w:rPr>
        <w:t>396</w:t>
      </w:r>
      <w:r w:rsidRPr="001626E6">
        <w:rPr>
          <w:rFonts w:asciiTheme="minorHAnsi" w:hAnsiTheme="minorHAnsi" w:cstheme="minorHAnsi"/>
          <w:lang w:val="fr-FR"/>
        </w:rPr>
        <w:t xml:space="preserve"> de </w:t>
      </w:r>
      <w:r w:rsidR="00700B79" w:rsidRPr="001626E6">
        <w:rPr>
          <w:rFonts w:asciiTheme="minorHAnsi" w:hAnsiTheme="minorHAnsi" w:cstheme="minorHAnsi"/>
          <w:lang w:val="fr-FR"/>
        </w:rPr>
        <w:t>201</w:t>
      </w:r>
      <w:r w:rsidR="007C41DE" w:rsidRPr="001626E6">
        <w:rPr>
          <w:rFonts w:asciiTheme="minorHAnsi" w:hAnsiTheme="minorHAnsi" w:cstheme="minorHAnsi"/>
          <w:lang w:val="fr-FR"/>
        </w:rPr>
        <w:t>4</w:t>
      </w:r>
      <w:r w:rsidRPr="001626E6">
        <w:rPr>
          <w:rFonts w:asciiTheme="minorHAnsi" w:hAnsiTheme="minorHAnsi" w:cstheme="minorHAnsi"/>
          <w:lang w:val="fr-FR"/>
        </w:rPr>
        <w:t>.</w:t>
      </w:r>
    </w:p>
  </w:footnote>
  <w:footnote w:id="12">
    <w:p w:rsidR="00303747" w:rsidRPr="001626E6"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626E6">
        <w:rPr>
          <w:rFonts w:asciiTheme="minorHAnsi" w:hAnsiTheme="minorHAnsi" w:cstheme="minorHAnsi"/>
          <w:lang w:val="fr-FR"/>
        </w:rPr>
        <w:t xml:space="preserve"> CC.  T-</w:t>
      </w:r>
      <w:r w:rsidR="0024766E" w:rsidRPr="001626E6">
        <w:rPr>
          <w:rFonts w:asciiTheme="minorHAnsi" w:hAnsiTheme="minorHAnsi" w:cstheme="minorHAnsi"/>
          <w:lang w:val="fr-FR"/>
        </w:rPr>
        <w:t>093</w:t>
      </w:r>
      <w:r w:rsidR="00997E8D" w:rsidRPr="001626E6">
        <w:rPr>
          <w:rFonts w:asciiTheme="minorHAnsi" w:hAnsiTheme="minorHAnsi" w:cstheme="minorHAnsi"/>
          <w:lang w:val="fr-FR"/>
        </w:rPr>
        <w:t xml:space="preserve"> de</w:t>
      </w:r>
      <w:r w:rsidR="0024766E" w:rsidRPr="001626E6">
        <w:rPr>
          <w:rFonts w:asciiTheme="minorHAnsi" w:hAnsiTheme="minorHAnsi" w:cstheme="minorHAnsi"/>
          <w:lang w:val="fr-FR"/>
        </w:rPr>
        <w:t>-</w:t>
      </w:r>
      <w:r w:rsidRPr="001626E6">
        <w:rPr>
          <w:rFonts w:asciiTheme="minorHAnsi" w:hAnsiTheme="minorHAnsi" w:cstheme="minorHAnsi"/>
          <w:lang w:val="fr-FR"/>
        </w:rPr>
        <w:t>201</w:t>
      </w:r>
      <w:r w:rsidR="0024766E" w:rsidRPr="001626E6">
        <w:rPr>
          <w:rFonts w:asciiTheme="minorHAnsi" w:hAnsiTheme="minorHAnsi" w:cstheme="minorHAnsi"/>
          <w:lang w:val="fr-FR"/>
        </w:rPr>
        <w:t>5</w:t>
      </w:r>
      <w:r w:rsidRPr="001626E6">
        <w:rPr>
          <w:rFonts w:asciiTheme="minorHAnsi" w:hAnsiTheme="minorHAnsi" w:cstheme="minorHAnsi"/>
          <w:lang w:val="fr-FR"/>
        </w:rPr>
        <w:t>.</w:t>
      </w:r>
    </w:p>
  </w:footnote>
  <w:footnote w:id="13">
    <w:p w:rsidR="00303747" w:rsidRPr="00F72E96" w:rsidRDefault="00303747" w:rsidP="00303747">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CC.  T-</w:t>
      </w:r>
      <w:r w:rsidR="00191AC0">
        <w:rPr>
          <w:rFonts w:asciiTheme="minorHAnsi" w:hAnsiTheme="minorHAnsi" w:cstheme="minorHAnsi"/>
        </w:rPr>
        <w:t>214</w:t>
      </w:r>
      <w:r w:rsidRPr="00F72E96">
        <w:rPr>
          <w:rFonts w:asciiTheme="minorHAnsi" w:hAnsiTheme="minorHAnsi" w:cstheme="minorHAnsi"/>
        </w:rPr>
        <w:t xml:space="preserve"> de</w:t>
      </w:r>
      <w:r w:rsidR="00964A8E">
        <w:rPr>
          <w:rFonts w:asciiTheme="minorHAnsi" w:hAnsiTheme="minorHAnsi" w:cstheme="minorHAnsi"/>
        </w:rPr>
        <w:t>.</w:t>
      </w:r>
      <w:r w:rsidRPr="00F72E96">
        <w:rPr>
          <w:rFonts w:asciiTheme="minorHAnsi" w:hAnsiTheme="minorHAnsi" w:cstheme="minorHAnsi"/>
        </w:rPr>
        <w:t>201</w:t>
      </w:r>
      <w:r w:rsidR="00191AC0">
        <w:rPr>
          <w:rFonts w:asciiTheme="minorHAnsi" w:hAnsiTheme="minorHAnsi" w:cstheme="minorHAnsi"/>
        </w:rPr>
        <w:t>4</w:t>
      </w:r>
      <w:r w:rsidRPr="00F72E96">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80CEF">
      <w:rPr>
        <w:rFonts w:ascii="Calibri" w:hAnsi="Calibri" w:cs="Calibri"/>
        <w:i/>
        <w:noProof/>
        <w:sz w:val="20"/>
      </w:rPr>
      <w:t>6</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 2017-000</w:t>
    </w:r>
    <w:r w:rsidR="008C5F3F">
      <w:rPr>
        <w:rFonts w:ascii="Calibri" w:eastAsia="Calibri" w:hAnsi="Calibri" w:cs="Calibri"/>
        <w:i/>
        <w:smallCaps/>
        <w:sz w:val="20"/>
        <w:szCs w:val="20"/>
      </w:rPr>
      <w:t>84</w:t>
    </w:r>
    <w:r w:rsidRPr="00251244">
      <w:rPr>
        <w:rFonts w:ascii="Calibri" w:eastAsia="Calibri" w:hAnsi="Calibri" w:cs="Calibri"/>
        <w:i/>
        <w:smallCaps/>
        <w:sz w:val="20"/>
        <w:szCs w:val="20"/>
      </w:rPr>
      <w:t xml:space="preserve">-00 </w:t>
    </w:r>
    <w:proofErr w:type="spellStart"/>
    <w:r w:rsidR="00E616DE">
      <w:rPr>
        <w:rFonts w:ascii="Calibri" w:eastAsia="Calibri" w:hAnsi="Calibri" w:cs="Calibri"/>
        <w:i/>
        <w:smallCaps/>
        <w:sz w:val="20"/>
        <w:szCs w:val="20"/>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3544"/>
    <w:rsid w:val="000159B3"/>
    <w:rsid w:val="00033AB6"/>
    <w:rsid w:val="00046A8F"/>
    <w:rsid w:val="000608CF"/>
    <w:rsid w:val="00067852"/>
    <w:rsid w:val="000708F5"/>
    <w:rsid w:val="000730FB"/>
    <w:rsid w:val="00077963"/>
    <w:rsid w:val="00096759"/>
    <w:rsid w:val="000A48D2"/>
    <w:rsid w:val="000B1860"/>
    <w:rsid w:val="000B2213"/>
    <w:rsid w:val="000D3D4E"/>
    <w:rsid w:val="000E6C61"/>
    <w:rsid w:val="000F3260"/>
    <w:rsid w:val="00102C5F"/>
    <w:rsid w:val="00114DB4"/>
    <w:rsid w:val="0012361A"/>
    <w:rsid w:val="001456BE"/>
    <w:rsid w:val="001626E6"/>
    <w:rsid w:val="00172E29"/>
    <w:rsid w:val="0017516C"/>
    <w:rsid w:val="00180CEF"/>
    <w:rsid w:val="00191AC0"/>
    <w:rsid w:val="001B5701"/>
    <w:rsid w:val="001D3ED1"/>
    <w:rsid w:val="001F076E"/>
    <w:rsid w:val="001F4752"/>
    <w:rsid w:val="002006BE"/>
    <w:rsid w:val="002117CF"/>
    <w:rsid w:val="00214FFF"/>
    <w:rsid w:val="0023125B"/>
    <w:rsid w:val="0024766E"/>
    <w:rsid w:val="00251244"/>
    <w:rsid w:val="002750F9"/>
    <w:rsid w:val="002834FB"/>
    <w:rsid w:val="002A30C4"/>
    <w:rsid w:val="002A476E"/>
    <w:rsid w:val="002C2D59"/>
    <w:rsid w:val="002C2EB4"/>
    <w:rsid w:val="002E4759"/>
    <w:rsid w:val="002E669B"/>
    <w:rsid w:val="002F1A26"/>
    <w:rsid w:val="002F6122"/>
    <w:rsid w:val="00303747"/>
    <w:rsid w:val="003233EF"/>
    <w:rsid w:val="00325ADE"/>
    <w:rsid w:val="00346052"/>
    <w:rsid w:val="00346CD6"/>
    <w:rsid w:val="00352333"/>
    <w:rsid w:val="00365C8E"/>
    <w:rsid w:val="003A4906"/>
    <w:rsid w:val="003B78D6"/>
    <w:rsid w:val="003E738E"/>
    <w:rsid w:val="003F111B"/>
    <w:rsid w:val="00412621"/>
    <w:rsid w:val="004256BD"/>
    <w:rsid w:val="004469D0"/>
    <w:rsid w:val="00495981"/>
    <w:rsid w:val="004A5FA5"/>
    <w:rsid w:val="004B78EE"/>
    <w:rsid w:val="004F2B25"/>
    <w:rsid w:val="00534AAF"/>
    <w:rsid w:val="00550C1D"/>
    <w:rsid w:val="00570EE5"/>
    <w:rsid w:val="005A741F"/>
    <w:rsid w:val="005B5624"/>
    <w:rsid w:val="005C3774"/>
    <w:rsid w:val="005C6E4A"/>
    <w:rsid w:val="005E0ADE"/>
    <w:rsid w:val="005E60B3"/>
    <w:rsid w:val="00627782"/>
    <w:rsid w:val="00654381"/>
    <w:rsid w:val="00661CB6"/>
    <w:rsid w:val="006971C4"/>
    <w:rsid w:val="006A513E"/>
    <w:rsid w:val="006A66DA"/>
    <w:rsid w:val="006B7DBE"/>
    <w:rsid w:val="006C4187"/>
    <w:rsid w:val="006D0F53"/>
    <w:rsid w:val="006D655D"/>
    <w:rsid w:val="00700B79"/>
    <w:rsid w:val="00706484"/>
    <w:rsid w:val="0071357E"/>
    <w:rsid w:val="00731A37"/>
    <w:rsid w:val="00761D97"/>
    <w:rsid w:val="00771556"/>
    <w:rsid w:val="0077283E"/>
    <w:rsid w:val="00793292"/>
    <w:rsid w:val="00794961"/>
    <w:rsid w:val="0079778F"/>
    <w:rsid w:val="007A4953"/>
    <w:rsid w:val="007C41DE"/>
    <w:rsid w:val="007D1FCA"/>
    <w:rsid w:val="007D3EFE"/>
    <w:rsid w:val="007D6B3E"/>
    <w:rsid w:val="00823696"/>
    <w:rsid w:val="0083750B"/>
    <w:rsid w:val="0085085F"/>
    <w:rsid w:val="00861415"/>
    <w:rsid w:val="00884AA9"/>
    <w:rsid w:val="00884B0F"/>
    <w:rsid w:val="00886735"/>
    <w:rsid w:val="00897C0E"/>
    <w:rsid w:val="008C5F3F"/>
    <w:rsid w:val="008C6F11"/>
    <w:rsid w:val="008D0401"/>
    <w:rsid w:val="00905A7D"/>
    <w:rsid w:val="00913D17"/>
    <w:rsid w:val="00943DC2"/>
    <w:rsid w:val="00964A8E"/>
    <w:rsid w:val="00997E8D"/>
    <w:rsid w:val="009C06FE"/>
    <w:rsid w:val="009C4613"/>
    <w:rsid w:val="009D0EF6"/>
    <w:rsid w:val="009D25C7"/>
    <w:rsid w:val="009E3845"/>
    <w:rsid w:val="00A17865"/>
    <w:rsid w:val="00A31ADF"/>
    <w:rsid w:val="00A347AB"/>
    <w:rsid w:val="00A615F0"/>
    <w:rsid w:val="00A7168E"/>
    <w:rsid w:val="00A71F08"/>
    <w:rsid w:val="00A74F11"/>
    <w:rsid w:val="00AA2779"/>
    <w:rsid w:val="00AA422F"/>
    <w:rsid w:val="00AB1101"/>
    <w:rsid w:val="00AE4DB5"/>
    <w:rsid w:val="00AF58C4"/>
    <w:rsid w:val="00B02350"/>
    <w:rsid w:val="00B05B11"/>
    <w:rsid w:val="00B436FD"/>
    <w:rsid w:val="00B55D28"/>
    <w:rsid w:val="00B76475"/>
    <w:rsid w:val="00B8227E"/>
    <w:rsid w:val="00B91B17"/>
    <w:rsid w:val="00BA5C67"/>
    <w:rsid w:val="00BA5DD2"/>
    <w:rsid w:val="00BB07D7"/>
    <w:rsid w:val="00BB4ED4"/>
    <w:rsid w:val="00BB4F44"/>
    <w:rsid w:val="00BB7FD9"/>
    <w:rsid w:val="00BF3F40"/>
    <w:rsid w:val="00BF5813"/>
    <w:rsid w:val="00C338BA"/>
    <w:rsid w:val="00C53BA8"/>
    <w:rsid w:val="00C55379"/>
    <w:rsid w:val="00C60521"/>
    <w:rsid w:val="00C73052"/>
    <w:rsid w:val="00C74D62"/>
    <w:rsid w:val="00C965FD"/>
    <w:rsid w:val="00CB2FD9"/>
    <w:rsid w:val="00CB4A88"/>
    <w:rsid w:val="00CC2570"/>
    <w:rsid w:val="00CC304E"/>
    <w:rsid w:val="00CC5DA9"/>
    <w:rsid w:val="00CD67DF"/>
    <w:rsid w:val="00CD746A"/>
    <w:rsid w:val="00CE5584"/>
    <w:rsid w:val="00CF7F72"/>
    <w:rsid w:val="00D027C4"/>
    <w:rsid w:val="00D120C3"/>
    <w:rsid w:val="00D42174"/>
    <w:rsid w:val="00D45823"/>
    <w:rsid w:val="00D51CFD"/>
    <w:rsid w:val="00D5414A"/>
    <w:rsid w:val="00D64C4B"/>
    <w:rsid w:val="00D65216"/>
    <w:rsid w:val="00D94A81"/>
    <w:rsid w:val="00D95174"/>
    <w:rsid w:val="00DA17EB"/>
    <w:rsid w:val="00DA56CB"/>
    <w:rsid w:val="00DC0250"/>
    <w:rsid w:val="00DE459F"/>
    <w:rsid w:val="00DF3C5E"/>
    <w:rsid w:val="00E24A8D"/>
    <w:rsid w:val="00E366DB"/>
    <w:rsid w:val="00E431A4"/>
    <w:rsid w:val="00E57A1C"/>
    <w:rsid w:val="00E60B9C"/>
    <w:rsid w:val="00E616DE"/>
    <w:rsid w:val="00E7774C"/>
    <w:rsid w:val="00E80395"/>
    <w:rsid w:val="00E820BC"/>
    <w:rsid w:val="00E86310"/>
    <w:rsid w:val="00EA53EB"/>
    <w:rsid w:val="00EC6040"/>
    <w:rsid w:val="00EE3FBB"/>
    <w:rsid w:val="00EF677D"/>
    <w:rsid w:val="00F02B91"/>
    <w:rsid w:val="00F05B8B"/>
    <w:rsid w:val="00F12784"/>
    <w:rsid w:val="00F33311"/>
    <w:rsid w:val="00F70CC9"/>
    <w:rsid w:val="00F855C3"/>
    <w:rsid w:val="00F87AB3"/>
    <w:rsid w:val="00FA07B4"/>
    <w:rsid w:val="00FA1B75"/>
    <w:rsid w:val="00FB3C41"/>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A9F6-9B34-46E9-8570-4A5E26B4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2000</Words>
  <Characters>11002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5</cp:revision>
  <cp:lastPrinted>2017-02-21T17:45:00Z</cp:lastPrinted>
  <dcterms:created xsi:type="dcterms:W3CDTF">2017-02-28T18:24:00Z</dcterms:created>
  <dcterms:modified xsi:type="dcterms:W3CDTF">2017-05-10T22:40:00Z</dcterms:modified>
</cp:coreProperties>
</file>