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A4" w:rsidRPr="00A817A6" w:rsidRDefault="00510FA4" w:rsidP="00510FA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510FA4" w:rsidRPr="00510FA4" w:rsidRDefault="00510FA4"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353D7A" w:rsidRDefault="00486062" w:rsidP="00ED7F33">
      <w:pPr>
        <w:spacing w:line="360" w:lineRule="auto"/>
        <w:jc w:val="center"/>
        <w:rPr>
          <w:rFonts w:ascii="Arial" w:hAnsi="Arial" w:cs="Arial"/>
          <w:w w:val="140"/>
          <w:sz w:val="10"/>
          <w:szCs w:val="10"/>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510FA4">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510FA4">
        <w:rPr>
          <w:rFonts w:ascii="Arial" w:hAnsi="Arial" w:cs="Arial"/>
          <w:sz w:val="22"/>
          <w:szCs w:val="22"/>
        </w:rPr>
        <w:t>- 1ª instancia - 01 de marzo de 2017</w:t>
      </w:r>
    </w:p>
    <w:p w:rsidR="00964618" w:rsidRPr="00964618" w:rsidRDefault="00510FA4" w:rsidP="00964618">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xml:space="preserve">: Acción de Tutela – Declara improcedente la acción </w:t>
      </w:r>
      <w:r w:rsidR="00964618" w:rsidRPr="00964618">
        <w:rPr>
          <w:rFonts w:ascii="Arial" w:hAnsi="Arial" w:cs="Arial"/>
          <w:sz w:val="22"/>
        </w:rPr>
        <w:t>Accionante</w:t>
      </w:r>
      <w:r w:rsidR="00964618" w:rsidRPr="00964618">
        <w:rPr>
          <w:rFonts w:ascii="Arial" w:hAnsi="Arial" w:cs="Arial"/>
          <w:sz w:val="22"/>
        </w:rPr>
        <w:tab/>
      </w:r>
      <w:r w:rsidR="00964618" w:rsidRPr="00964618">
        <w:rPr>
          <w:rFonts w:ascii="Arial" w:hAnsi="Arial" w:cs="Arial"/>
          <w:sz w:val="22"/>
        </w:rPr>
        <w:tab/>
        <w:t xml:space="preserve">: </w:t>
      </w:r>
      <w:r w:rsidR="00D11143">
        <w:rPr>
          <w:rFonts w:ascii="Arial" w:hAnsi="Arial" w:cs="Arial"/>
          <w:sz w:val="22"/>
        </w:rPr>
        <w:t xml:space="preserve">Javier Elías Arias </w:t>
      </w:r>
      <w:proofErr w:type="spellStart"/>
      <w:r w:rsidR="00D11143">
        <w:rPr>
          <w:rFonts w:ascii="Arial" w:hAnsi="Arial" w:cs="Arial"/>
          <w:sz w:val="22"/>
        </w:rPr>
        <w:t>Idárraga</w:t>
      </w:r>
      <w:proofErr w:type="spellEnd"/>
    </w:p>
    <w:p w:rsidR="00630B75" w:rsidRDefault="00964618" w:rsidP="00630B75">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Juzgado</w:t>
      </w:r>
      <w:r w:rsidR="00BC666C">
        <w:rPr>
          <w:rFonts w:ascii="Arial" w:hAnsi="Arial" w:cs="Arial"/>
          <w:sz w:val="22"/>
        </w:rPr>
        <w:t xml:space="preserve"> Quinto</w:t>
      </w:r>
      <w:r w:rsidR="00630B75">
        <w:rPr>
          <w:rFonts w:ascii="Arial" w:hAnsi="Arial" w:cs="Arial"/>
          <w:sz w:val="22"/>
        </w:rPr>
        <w:t xml:space="preserve"> </w:t>
      </w:r>
      <w:r w:rsidRPr="00964618">
        <w:rPr>
          <w:rFonts w:ascii="Arial" w:hAnsi="Arial" w:cs="Arial"/>
          <w:sz w:val="22"/>
        </w:rPr>
        <w:t>Civil del Circuito de Pereira</w:t>
      </w:r>
    </w:p>
    <w:p w:rsidR="00964618" w:rsidRPr="00964618" w:rsidRDefault="00964618" w:rsidP="00630B75">
      <w:pPr>
        <w:pStyle w:val="Corpsdetexte"/>
        <w:spacing w:line="360" w:lineRule="auto"/>
        <w:ind w:left="141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BC666C">
        <w:rPr>
          <w:rFonts w:ascii="Arial" w:hAnsi="Arial" w:cs="Arial"/>
          <w:sz w:val="22"/>
          <w:szCs w:val="22"/>
        </w:rPr>
        <w:t>Banco de Occidente (Sucursal accionada)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630B75">
        <w:rPr>
          <w:rFonts w:ascii="Arial" w:hAnsi="Arial" w:cs="Arial"/>
          <w:sz w:val="22"/>
        </w:rPr>
        <w:t>7</w:t>
      </w:r>
      <w:r w:rsidR="00F7395A">
        <w:rPr>
          <w:rFonts w:ascii="Arial" w:hAnsi="Arial" w:cs="Arial"/>
          <w:sz w:val="22"/>
        </w:rPr>
        <w:t>-</w:t>
      </w:r>
      <w:r w:rsidR="00F30A2B">
        <w:rPr>
          <w:rFonts w:ascii="Arial" w:hAnsi="Arial" w:cs="Arial"/>
          <w:sz w:val="22"/>
        </w:rPr>
        <w:t>0</w:t>
      </w:r>
      <w:r w:rsidR="00630B75">
        <w:rPr>
          <w:rFonts w:ascii="Arial" w:hAnsi="Arial" w:cs="Arial"/>
          <w:sz w:val="22"/>
        </w:rPr>
        <w:t>0</w:t>
      </w:r>
      <w:r w:rsidR="00BC666C">
        <w:rPr>
          <w:rFonts w:ascii="Arial" w:hAnsi="Arial" w:cs="Arial"/>
          <w:sz w:val="22"/>
        </w:rPr>
        <w:t>091</w:t>
      </w:r>
      <w:r w:rsidR="00D11143">
        <w:rPr>
          <w:rFonts w:ascii="Arial" w:hAnsi="Arial" w:cs="Arial"/>
          <w:sz w:val="22"/>
        </w:rPr>
        <w:t>-00</w:t>
      </w:r>
      <w:r w:rsidRPr="00964618">
        <w:rPr>
          <w:rFonts w:ascii="Arial" w:hAnsi="Arial" w:cs="Arial"/>
          <w:sz w:val="22"/>
        </w:rPr>
        <w:t xml:space="preserve"> (Interno No.</w:t>
      </w:r>
      <w:r w:rsidR="00BC666C">
        <w:rPr>
          <w:rFonts w:ascii="Arial" w:hAnsi="Arial" w:cs="Arial"/>
          <w:sz w:val="22"/>
        </w:rPr>
        <w:t>91</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2D660B" w:rsidRDefault="002D660B" w:rsidP="002D660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98 de 01-03-2017</w:t>
      </w:r>
    </w:p>
    <w:p w:rsidR="00510FA4" w:rsidRPr="00353D7A" w:rsidRDefault="00510FA4" w:rsidP="002D660B">
      <w:pPr>
        <w:spacing w:line="360" w:lineRule="auto"/>
        <w:ind w:left="708" w:firstLine="708"/>
        <w:rPr>
          <w:rFonts w:ascii="Arial" w:hAnsi="Arial"/>
          <w:sz w:val="6"/>
          <w:szCs w:val="6"/>
        </w:rPr>
      </w:pPr>
    </w:p>
    <w:p w:rsidR="00510FA4" w:rsidRDefault="00510FA4" w:rsidP="00353D7A">
      <w:pPr>
        <w:pStyle w:val="Corpsdetexte"/>
        <w:spacing w:line="240" w:lineRule="auto"/>
        <w:ind w:left="1416" w:hanging="1416"/>
        <w:rPr>
          <w:rFonts w:ascii="Arial" w:hAnsi="Arial" w:cs="Arial"/>
          <w:bCs/>
          <w:iCs/>
          <w:sz w:val="22"/>
          <w:szCs w:val="22"/>
          <w:lang w:val="es-ES"/>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353D7A" w:rsidRPr="00353D7A">
        <w:rPr>
          <w:rFonts w:ascii="Arial" w:hAnsi="Arial" w:cs="Arial"/>
          <w:b/>
          <w:bCs/>
          <w:iCs/>
          <w:sz w:val="22"/>
          <w:szCs w:val="22"/>
          <w:lang w:val="es-CO"/>
        </w:rPr>
        <w:t xml:space="preserve">DEBIDO PROCESO / TUTELA CONTRA PROVIDENCIA JUDICIAL / </w:t>
      </w:r>
      <w:r w:rsidR="00353D7A" w:rsidRPr="00353D7A">
        <w:rPr>
          <w:rFonts w:ascii="Arial" w:hAnsi="Arial" w:cs="Arial"/>
          <w:b/>
          <w:bCs/>
          <w:iCs/>
          <w:sz w:val="22"/>
          <w:szCs w:val="22"/>
          <w:lang w:val="es-419"/>
        </w:rPr>
        <w:t xml:space="preserve">CARÁCTER RESIDUAL DE LA ACCIÓN DE TUTELA / NO SE AGOTARON LOS RECURSOS / IMPROCEDENCIA. </w:t>
      </w:r>
      <w:r w:rsidR="00353D7A" w:rsidRPr="00353D7A">
        <w:rPr>
          <w:rFonts w:ascii="Arial" w:hAnsi="Arial" w:cs="Arial"/>
          <w:bCs/>
          <w:iCs/>
          <w:sz w:val="22"/>
          <w:szCs w:val="22"/>
          <w:lang w:val="es-419"/>
        </w:rPr>
        <w:t>“</w:t>
      </w:r>
      <w:r w:rsidR="00353D7A" w:rsidRPr="00353D7A">
        <w:rPr>
          <w:rFonts w:ascii="Arial" w:hAnsi="Arial" w:cs="Arial"/>
          <w:bCs/>
          <w:iCs/>
          <w:sz w:val="22"/>
          <w:szCs w:val="22"/>
        </w:rPr>
        <w:t xml:space="preserve">La parte accionante se duele porque el juzgado accionado no concedió la alzada presentada contra el auto que aprobó la liquidación de costas, pese a que el </w:t>
      </w:r>
      <w:proofErr w:type="spellStart"/>
      <w:r w:rsidR="00353D7A" w:rsidRPr="00353D7A">
        <w:rPr>
          <w:rFonts w:ascii="Arial" w:hAnsi="Arial" w:cs="Arial"/>
          <w:bCs/>
          <w:iCs/>
          <w:sz w:val="22"/>
          <w:szCs w:val="22"/>
        </w:rPr>
        <w:t>CGP</w:t>
      </w:r>
      <w:proofErr w:type="spellEnd"/>
      <w:r w:rsidR="00353D7A" w:rsidRPr="00353D7A">
        <w:rPr>
          <w:rFonts w:ascii="Arial" w:hAnsi="Arial" w:cs="Arial"/>
          <w:bCs/>
          <w:iCs/>
          <w:sz w:val="22"/>
          <w:szCs w:val="22"/>
        </w:rPr>
        <w:t xml:space="preserve"> así lo autoriza. (…) </w:t>
      </w:r>
      <w:r w:rsidR="00353D7A" w:rsidRPr="00353D7A">
        <w:rPr>
          <w:rFonts w:ascii="Arial" w:hAnsi="Arial" w:cs="Arial"/>
          <w:bCs/>
          <w:iCs/>
          <w:sz w:val="22"/>
          <w:szCs w:val="22"/>
          <w:lang w:val="es-ES"/>
        </w:rPr>
        <w:t xml:space="preserve">[S]e tiene que el accionante pretermitió agotar el </w:t>
      </w:r>
      <w:r w:rsidR="00353D7A" w:rsidRPr="00353D7A">
        <w:rPr>
          <w:rFonts w:ascii="Arial" w:hAnsi="Arial" w:cs="Arial"/>
          <w:bCs/>
          <w:iCs/>
          <w:sz w:val="22"/>
          <w:szCs w:val="22"/>
          <w:u w:val="single"/>
          <w:lang w:val="es-ES"/>
        </w:rPr>
        <w:t>recurso de reposición (Artículo 36, Ley 472),</w:t>
      </w:r>
      <w:r w:rsidR="00353D7A" w:rsidRPr="00353D7A">
        <w:rPr>
          <w:rFonts w:ascii="Arial" w:hAnsi="Arial" w:cs="Arial"/>
          <w:bCs/>
          <w:iCs/>
          <w:sz w:val="22"/>
          <w:szCs w:val="22"/>
          <w:lang w:val="es-ES"/>
        </w:rPr>
        <w:t xml:space="preserve"> </w:t>
      </w:r>
      <w:r w:rsidR="00353D7A" w:rsidRPr="00353D7A">
        <w:rPr>
          <w:rFonts w:ascii="Arial" w:hAnsi="Arial" w:cs="Arial"/>
          <w:bCs/>
          <w:iCs/>
          <w:sz w:val="22"/>
          <w:szCs w:val="22"/>
          <w:lang w:val="es-CO"/>
        </w:rPr>
        <w:t xml:space="preserve"> </w:t>
      </w:r>
      <w:r w:rsidR="00353D7A" w:rsidRPr="00353D7A">
        <w:rPr>
          <w:rFonts w:ascii="Arial" w:hAnsi="Arial" w:cs="Arial"/>
          <w:bCs/>
          <w:iCs/>
          <w:sz w:val="22"/>
          <w:szCs w:val="22"/>
          <w:lang w:val="es-ES"/>
        </w:rPr>
        <w:t xml:space="preserve">cuando ese era el mecanismo ordinario y expedito que tenía para procurar que el estrado judicial accionado reconsiderara aquella determinación. </w:t>
      </w:r>
      <w:r w:rsidR="00353D7A" w:rsidRPr="00353D7A">
        <w:rPr>
          <w:rFonts w:ascii="Arial" w:hAnsi="Arial" w:cs="Arial"/>
          <w:bCs/>
          <w:iCs/>
          <w:sz w:val="22"/>
          <w:szCs w:val="22"/>
        </w:rPr>
        <w:t xml:space="preserve">Evidente, entonces, es la falta de agotamiento del supuesto de subsidiariedad, como ha explicado </w:t>
      </w:r>
      <w:r w:rsidR="00353D7A" w:rsidRPr="00353D7A">
        <w:rPr>
          <w:rFonts w:ascii="Arial" w:hAnsi="Arial" w:cs="Arial"/>
          <w:bCs/>
          <w:iCs/>
          <w:sz w:val="22"/>
          <w:szCs w:val="22"/>
          <w:lang w:val="es-ES"/>
        </w:rPr>
        <w:t xml:space="preserve">la CC, que reiteradamente ha referido que la acción de tutela mal puede implementarse como medio para sustituir los mecanismos ordinarios de defensa, cuando por negligencia, descuido o incuria no fueron utilizados. Cabe anotar que nada se arguyó y menos acreditó por parte del accionante, de forma que pudiera estimarse que es una persona que requiere de </w:t>
      </w:r>
      <w:r w:rsidR="00353D7A" w:rsidRPr="00353D7A">
        <w:rPr>
          <w:rFonts w:ascii="Arial" w:hAnsi="Arial" w:cs="Arial"/>
          <w:bCs/>
          <w:iCs/>
          <w:sz w:val="22"/>
          <w:szCs w:val="22"/>
          <w:lang w:val="es-CO"/>
        </w:rPr>
        <w:t>protección reforzada o que estaba en una situación de imposibilidad para recurrir el mencionado auto</w:t>
      </w:r>
      <w:r w:rsidR="00353D7A" w:rsidRPr="00353D7A">
        <w:rPr>
          <w:rFonts w:ascii="Arial" w:hAnsi="Arial" w:cs="Arial"/>
          <w:bCs/>
          <w:iCs/>
          <w:sz w:val="22"/>
          <w:szCs w:val="22"/>
          <w:vertAlign w:val="superscript"/>
          <w:lang w:val="es-CO"/>
        </w:rPr>
        <w:footnoteReference w:id="1"/>
      </w:r>
      <w:r w:rsidR="00353D7A" w:rsidRPr="00353D7A">
        <w:rPr>
          <w:rFonts w:ascii="Arial" w:hAnsi="Arial" w:cs="Arial"/>
          <w:bCs/>
          <w:iCs/>
          <w:sz w:val="22"/>
          <w:szCs w:val="22"/>
          <w:lang w:val="es-CO"/>
        </w:rPr>
        <w:t xml:space="preserve">, de tal modo que amerite un análisis flexible del requisito de procedibilidad echado de menos, </w:t>
      </w:r>
      <w:r w:rsidR="00353D7A" w:rsidRPr="00353D7A">
        <w:rPr>
          <w:rFonts w:ascii="Arial" w:hAnsi="Arial" w:cs="Arial"/>
          <w:bCs/>
          <w:iCs/>
          <w:sz w:val="22"/>
          <w:szCs w:val="22"/>
          <w:lang w:val="es-ES"/>
        </w:rPr>
        <w:t xml:space="preserve">por ende solo a la parte le es imputable tal descuido. </w:t>
      </w:r>
      <w:r w:rsidR="00353D7A" w:rsidRPr="00353D7A">
        <w:rPr>
          <w:rFonts w:ascii="Arial" w:hAnsi="Arial" w:cs="Arial"/>
          <w:bCs/>
          <w:iCs/>
          <w:sz w:val="22"/>
          <w:szCs w:val="22"/>
        </w:rPr>
        <w:t xml:space="preserve">En ese contexto, </w:t>
      </w:r>
      <w:r w:rsidR="00353D7A" w:rsidRPr="00353D7A">
        <w:rPr>
          <w:rFonts w:ascii="Arial" w:hAnsi="Arial" w:cs="Arial"/>
          <w:bCs/>
          <w:iCs/>
          <w:sz w:val="22"/>
          <w:szCs w:val="22"/>
          <w:lang w:val="es-ES"/>
        </w:rPr>
        <w:t xml:space="preserve">la presente acción de tutela es improcedente toda vez que se incumple con uno de los siete (7) requisitos generales de procedibilidad, como lo es el de la subsidiariedad, pues no se formuló los recursos ordinarios.”. TEMERIDAD Y COSA JUZGADA CONSTITUCIONAL. </w:t>
      </w:r>
      <w:r w:rsidR="00353D7A" w:rsidRPr="00353D7A">
        <w:rPr>
          <w:rFonts w:ascii="Arial" w:hAnsi="Arial" w:cs="Arial"/>
          <w:bCs/>
          <w:iCs/>
          <w:sz w:val="22"/>
          <w:szCs w:val="22"/>
        </w:rPr>
        <w:t xml:space="preserve">De  otro  lado,  también se  duele  el  actor de que el juzgado le haya negado apelación presentada contra la sentencia porque no pagó las copias exigidas. Importa advertir que es innecesario estudiar de fondo lo expuesto en precedencia porque no es la primera vez que el actor inicia una acción de tutela contra el juzgado accionado para que se conceda la alzada presentada sin que deba pagar expensa alguna, situación que nunca ha variado, pues se carece de hechos nuevos y los supuestos fácticos afirmados ya fueron tenidos en cuenta con anterioridad.(…) </w:t>
      </w:r>
      <w:r w:rsidR="00353D7A" w:rsidRPr="00353D7A">
        <w:rPr>
          <w:rFonts w:ascii="Arial" w:hAnsi="Arial" w:cs="Arial"/>
          <w:bCs/>
          <w:iCs/>
          <w:sz w:val="22"/>
          <w:szCs w:val="22"/>
          <w:lang w:val="es-ES"/>
        </w:rPr>
        <w:t>En consecuencia, es claro que la presente tutela es improcedente por el acaecimiento del fenómeno de la cosa juzgada constitucional, y así se declarará.”.</w:t>
      </w:r>
    </w:p>
    <w:p w:rsidR="00353D7A" w:rsidRPr="00211546" w:rsidRDefault="00353D7A" w:rsidP="00353D7A">
      <w:pPr>
        <w:pStyle w:val="Corpsdetexte"/>
        <w:spacing w:line="240" w:lineRule="auto"/>
        <w:ind w:left="1416" w:hanging="1416"/>
        <w:rPr>
          <w:rFonts w:ascii="Arial" w:hAnsi="Arial" w:cs="Arial"/>
          <w:sz w:val="22"/>
          <w:szCs w:val="22"/>
        </w:rPr>
      </w:pPr>
    </w:p>
    <w:p w:rsidR="002D660B" w:rsidRPr="007B5232" w:rsidRDefault="002D660B" w:rsidP="002D660B">
      <w:pPr>
        <w:pBdr>
          <w:bottom w:val="double" w:sz="6" w:space="1" w:color="auto"/>
        </w:pBdr>
        <w:spacing w:line="360" w:lineRule="auto"/>
        <w:jc w:val="center"/>
        <w:rPr>
          <w:rFonts w:ascii="Arial" w:hAnsi="Arial" w:cs="Arial"/>
          <w:b/>
          <w:bCs/>
          <w:sz w:val="18"/>
          <w:szCs w:val="22"/>
        </w:rPr>
      </w:pPr>
    </w:p>
    <w:p w:rsidR="002D660B" w:rsidRPr="00353D7A" w:rsidRDefault="002D660B" w:rsidP="002D660B">
      <w:pPr>
        <w:spacing w:line="360" w:lineRule="auto"/>
        <w:jc w:val="center"/>
        <w:rPr>
          <w:rFonts w:ascii="Arial" w:hAnsi="Arial" w:cs="Arial"/>
          <w:b/>
          <w:bCs/>
          <w:sz w:val="10"/>
          <w:szCs w:val="10"/>
        </w:rPr>
      </w:pPr>
    </w:p>
    <w:p w:rsidR="00353D7A" w:rsidRDefault="00353D7A" w:rsidP="00353D7A">
      <w:pPr>
        <w:jc w:val="center"/>
        <w:rPr>
          <w:rFonts w:ascii="Arial" w:hAnsi="Arial" w:cs="Arial"/>
          <w:iCs/>
          <w:smallCaps/>
          <w:sz w:val="28"/>
          <w:szCs w:val="28"/>
          <w:lang w:val="es-CO"/>
        </w:rPr>
      </w:pPr>
    </w:p>
    <w:p w:rsidR="002D660B" w:rsidRPr="00D11143" w:rsidRDefault="00353D7A" w:rsidP="002D660B">
      <w:pPr>
        <w:spacing w:line="360" w:lineRule="auto"/>
        <w:jc w:val="center"/>
        <w:rPr>
          <w:rFonts w:ascii="Arial" w:hAnsi="Arial" w:cs="Arial"/>
          <w:iCs/>
          <w:smallCaps/>
          <w:sz w:val="28"/>
          <w:szCs w:val="28"/>
          <w:lang w:val="es-CO"/>
        </w:rPr>
      </w:pPr>
      <w:r>
        <w:rPr>
          <w:rFonts w:ascii="Arial" w:hAnsi="Arial" w:cs="Arial"/>
          <w:iCs/>
          <w:smallCaps/>
          <w:sz w:val="28"/>
          <w:szCs w:val="28"/>
          <w:lang w:val="es-CO"/>
        </w:rPr>
        <w:t>P</w:t>
      </w:r>
      <w:r w:rsidR="002D660B" w:rsidRPr="00D11143">
        <w:rPr>
          <w:rFonts w:ascii="Arial" w:hAnsi="Arial" w:cs="Arial"/>
          <w:iCs/>
          <w:smallCaps/>
          <w:sz w:val="28"/>
          <w:szCs w:val="28"/>
          <w:lang w:val="es-CO"/>
        </w:rPr>
        <w:t xml:space="preserve">ereira, R., </w:t>
      </w:r>
      <w:r w:rsidR="002D660B">
        <w:rPr>
          <w:rFonts w:ascii="Arial" w:hAnsi="Arial" w:cs="Arial"/>
          <w:iCs/>
          <w:smallCaps/>
          <w:sz w:val="28"/>
          <w:szCs w:val="28"/>
          <w:lang w:val="es-CO"/>
        </w:rPr>
        <w:t xml:space="preserve">primero </w:t>
      </w:r>
      <w:r w:rsidR="002D660B" w:rsidRPr="00D11143">
        <w:rPr>
          <w:rFonts w:ascii="Arial" w:hAnsi="Arial" w:cs="Arial"/>
          <w:iCs/>
          <w:smallCaps/>
          <w:sz w:val="28"/>
          <w:szCs w:val="28"/>
          <w:lang w:val="es-CO"/>
        </w:rPr>
        <w:t>(</w:t>
      </w:r>
      <w:r w:rsidR="002D660B">
        <w:rPr>
          <w:rFonts w:ascii="Arial" w:hAnsi="Arial" w:cs="Arial"/>
          <w:iCs/>
          <w:smallCaps/>
          <w:sz w:val="28"/>
          <w:szCs w:val="28"/>
          <w:lang w:val="es-CO"/>
        </w:rPr>
        <w:t>1º</w:t>
      </w:r>
      <w:r w:rsidR="002D660B" w:rsidRPr="00D11143">
        <w:rPr>
          <w:rFonts w:ascii="Arial" w:hAnsi="Arial" w:cs="Arial"/>
          <w:iCs/>
          <w:smallCaps/>
          <w:sz w:val="28"/>
          <w:szCs w:val="28"/>
          <w:lang w:val="es-CO"/>
        </w:rPr>
        <w:t xml:space="preserve">) de </w:t>
      </w:r>
      <w:r w:rsidR="002D660B">
        <w:rPr>
          <w:rFonts w:ascii="Arial" w:hAnsi="Arial" w:cs="Arial"/>
          <w:iCs/>
          <w:smallCaps/>
          <w:sz w:val="28"/>
          <w:szCs w:val="28"/>
          <w:lang w:val="es-CO"/>
        </w:rPr>
        <w:t xml:space="preserve">marzo </w:t>
      </w:r>
      <w:r w:rsidR="002D660B" w:rsidRPr="00D11143">
        <w:rPr>
          <w:rFonts w:ascii="Arial" w:hAnsi="Arial" w:cs="Arial"/>
          <w:iCs/>
          <w:smallCaps/>
          <w:sz w:val="28"/>
          <w:szCs w:val="28"/>
          <w:lang w:val="es-CO"/>
        </w:rPr>
        <w:t xml:space="preserve">de dos mil </w:t>
      </w:r>
      <w:r w:rsidR="002D660B">
        <w:rPr>
          <w:rFonts w:ascii="Arial" w:hAnsi="Arial" w:cs="Arial"/>
          <w:iCs/>
          <w:smallCaps/>
          <w:sz w:val="28"/>
          <w:szCs w:val="28"/>
          <w:lang w:val="es-CO"/>
        </w:rPr>
        <w:t>diecisiete</w:t>
      </w:r>
      <w:r w:rsidR="002D660B" w:rsidRPr="00D11143">
        <w:rPr>
          <w:rFonts w:ascii="Arial" w:hAnsi="Arial" w:cs="Arial"/>
          <w:iCs/>
          <w:smallCaps/>
          <w:sz w:val="28"/>
          <w:szCs w:val="28"/>
          <w:lang w:val="es-CO"/>
        </w:rPr>
        <w:t xml:space="preserve"> (</w:t>
      </w:r>
      <w:r w:rsidR="002D660B">
        <w:rPr>
          <w:rFonts w:ascii="Arial" w:hAnsi="Arial" w:cs="Arial"/>
          <w:iCs/>
          <w:smallCaps/>
          <w:sz w:val="28"/>
          <w:szCs w:val="28"/>
          <w:lang w:val="es-CO"/>
        </w:rPr>
        <w:t>2017</w:t>
      </w:r>
      <w:r w:rsidR="002D660B" w:rsidRPr="00D11143">
        <w:rPr>
          <w:rFonts w:ascii="Arial" w:hAnsi="Arial" w:cs="Arial"/>
          <w:iCs/>
          <w:smallCaps/>
          <w:sz w:val="28"/>
          <w:szCs w:val="28"/>
          <w:lang w:val="es-CO"/>
        </w:rPr>
        <w:t>)</w:t>
      </w:r>
      <w:r w:rsidR="002D660B" w:rsidRPr="00D11143">
        <w:rPr>
          <w:rFonts w:ascii="Arial" w:hAnsi="Arial" w:cs="Arial"/>
          <w:iCs/>
          <w:sz w:val="28"/>
          <w:szCs w:val="28"/>
          <w:lang w:val="es-CO"/>
        </w:rPr>
        <w:t>.</w:t>
      </w: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E</w:t>
      </w:r>
      <w:r w:rsidRPr="00040EA1">
        <w:rPr>
          <w:rFonts w:ascii="Arial" w:hAnsi="Arial"/>
          <w:smallCaps/>
          <w:sz w:val="28"/>
          <w:szCs w:val="28"/>
        </w:rPr>
        <w:t>l asunto por decidir</w:t>
      </w:r>
    </w:p>
    <w:p w:rsidR="00CB272A" w:rsidRPr="00F9418E" w:rsidRDefault="00CB272A" w:rsidP="00353D7A">
      <w:pPr>
        <w:pStyle w:val="Corpsdetexte"/>
        <w:spacing w:line="24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353D7A">
      <w:pPr>
        <w:pStyle w:val="Corpsdetexte"/>
        <w:spacing w:line="240" w:lineRule="auto"/>
        <w:rPr>
          <w:rFonts w:ascii="Arial" w:hAnsi="Arial" w:cs="Arial"/>
          <w:szCs w:val="24"/>
        </w:rPr>
      </w:pPr>
    </w:p>
    <w:p w:rsidR="00CB272A" w:rsidRDefault="00147E5B" w:rsidP="00CB272A">
      <w:pPr>
        <w:spacing w:line="360" w:lineRule="auto"/>
        <w:jc w:val="both"/>
        <w:rPr>
          <w:rFonts w:ascii="Arial" w:hAnsi="Arial" w:cs="Arial"/>
        </w:rPr>
      </w:pPr>
      <w:r>
        <w:rPr>
          <w:rFonts w:ascii="Arial" w:hAnsi="Arial" w:cs="Arial"/>
        </w:rPr>
        <w:t>Indicó</w:t>
      </w:r>
      <w:r w:rsidR="00630B75">
        <w:rPr>
          <w:rFonts w:ascii="Arial" w:hAnsi="Arial" w:cs="Arial"/>
        </w:rPr>
        <w:t xml:space="preserve"> </w:t>
      </w:r>
      <w:r w:rsidR="00CB272A">
        <w:rPr>
          <w:rFonts w:ascii="Arial" w:hAnsi="Arial" w:cs="Arial"/>
        </w:rPr>
        <w:t xml:space="preserve">el actor </w:t>
      </w:r>
      <w:r w:rsidR="005B5B7F">
        <w:rPr>
          <w:rFonts w:ascii="Arial" w:hAnsi="Arial" w:cs="Arial"/>
        </w:rPr>
        <w:t xml:space="preserve">que, en la acción popular </w:t>
      </w:r>
      <w:r w:rsidR="00CB272A">
        <w:rPr>
          <w:rFonts w:ascii="Arial" w:hAnsi="Arial" w:cs="Arial"/>
        </w:rPr>
        <w:t>No.</w:t>
      </w:r>
      <w:r w:rsidR="00D11143">
        <w:rPr>
          <w:rFonts w:ascii="Arial" w:hAnsi="Arial" w:cs="Arial"/>
        </w:rPr>
        <w:t>2015-</w:t>
      </w:r>
      <w:r w:rsidR="005B5B7F">
        <w:rPr>
          <w:rFonts w:ascii="Arial" w:hAnsi="Arial" w:cs="Arial"/>
        </w:rPr>
        <w:t>00</w:t>
      </w:r>
      <w:r w:rsidR="00BC666C">
        <w:rPr>
          <w:rFonts w:ascii="Arial" w:hAnsi="Arial" w:cs="Arial"/>
        </w:rPr>
        <w:t>057</w:t>
      </w:r>
      <w:r w:rsidR="00D11143">
        <w:rPr>
          <w:rFonts w:ascii="Arial" w:hAnsi="Arial" w:cs="Arial"/>
        </w:rPr>
        <w:t>-00</w:t>
      </w:r>
      <w:r w:rsidR="00BC666C">
        <w:rPr>
          <w:rFonts w:ascii="Arial" w:hAnsi="Arial" w:cs="Arial"/>
        </w:rPr>
        <w:t>,</w:t>
      </w:r>
      <w:r w:rsidR="00410402">
        <w:rPr>
          <w:rFonts w:ascii="Arial" w:hAnsi="Arial" w:cs="Arial"/>
        </w:rPr>
        <w:t xml:space="preserve"> </w:t>
      </w:r>
      <w:r w:rsidR="005B5B7F">
        <w:rPr>
          <w:rFonts w:ascii="Arial" w:hAnsi="Arial" w:cs="Arial"/>
        </w:rPr>
        <w:t xml:space="preserve">el accionado </w:t>
      </w:r>
      <w:r w:rsidR="007D4512">
        <w:rPr>
          <w:rFonts w:ascii="Arial" w:hAnsi="Arial" w:cs="Arial"/>
        </w:rPr>
        <w:t xml:space="preserve">se abstuvo de tramitar </w:t>
      </w:r>
      <w:r w:rsidR="00BC666C">
        <w:rPr>
          <w:rFonts w:ascii="Arial" w:hAnsi="Arial" w:cs="Arial"/>
        </w:rPr>
        <w:t>el recurso</w:t>
      </w:r>
      <w:r w:rsidR="00EE0DB7">
        <w:rPr>
          <w:rFonts w:ascii="Arial" w:hAnsi="Arial" w:cs="Arial"/>
        </w:rPr>
        <w:t xml:space="preserve"> de apelación interpuesto </w:t>
      </w:r>
      <w:r w:rsidR="00362F59">
        <w:rPr>
          <w:rFonts w:ascii="Arial" w:hAnsi="Arial" w:cs="Arial"/>
        </w:rPr>
        <w:t xml:space="preserve">contra </w:t>
      </w:r>
      <w:r w:rsidR="00BC666C">
        <w:rPr>
          <w:rFonts w:ascii="Arial" w:hAnsi="Arial" w:cs="Arial"/>
        </w:rPr>
        <w:t>la sentencia</w:t>
      </w:r>
      <w:r w:rsidR="007D4512">
        <w:rPr>
          <w:rFonts w:ascii="Arial" w:hAnsi="Arial" w:cs="Arial"/>
        </w:rPr>
        <w:t xml:space="preserve"> porque </w:t>
      </w:r>
      <w:r w:rsidR="00EE0DB7">
        <w:rPr>
          <w:rFonts w:ascii="Arial" w:hAnsi="Arial" w:cs="Arial"/>
        </w:rPr>
        <w:t xml:space="preserve">no </w:t>
      </w:r>
      <w:r w:rsidR="007D4512">
        <w:rPr>
          <w:rFonts w:ascii="Arial" w:hAnsi="Arial" w:cs="Arial"/>
        </w:rPr>
        <w:t>aport</w:t>
      </w:r>
      <w:r w:rsidR="00EE0DB7">
        <w:rPr>
          <w:rFonts w:ascii="Arial" w:hAnsi="Arial" w:cs="Arial"/>
        </w:rPr>
        <w:t>ó</w:t>
      </w:r>
      <w:r w:rsidR="007D4512">
        <w:rPr>
          <w:rFonts w:ascii="Arial" w:hAnsi="Arial" w:cs="Arial"/>
        </w:rPr>
        <w:t xml:space="preserve"> copias</w:t>
      </w:r>
      <w:r w:rsidR="000A0728">
        <w:rPr>
          <w:rFonts w:ascii="Arial" w:hAnsi="Arial" w:cs="Arial"/>
        </w:rPr>
        <w:t xml:space="preserve">. También que liquidó las costas en una cuantía inferior a la dispuesta en un acuerdo del CSJ, recurrió en reposición y en subsidio apelación, pero se negaron. </w:t>
      </w:r>
      <w:r w:rsidR="006F3881">
        <w:rPr>
          <w:rFonts w:ascii="Arial" w:hAnsi="Arial" w:cs="Arial"/>
        </w:rPr>
        <w:t>(</w:t>
      </w:r>
      <w:r w:rsidR="0075069E">
        <w:rPr>
          <w:rFonts w:ascii="Arial" w:hAnsi="Arial" w:cs="Arial"/>
        </w:rPr>
        <w:t>Folio 1</w:t>
      </w:r>
      <w:r w:rsidR="005B5B7F">
        <w:rPr>
          <w:rFonts w:ascii="Arial" w:hAnsi="Arial" w:cs="Arial"/>
        </w:rPr>
        <w:t xml:space="preserve"> </w:t>
      </w:r>
      <w:r w:rsidR="0075069E">
        <w:rPr>
          <w:rFonts w:ascii="Arial" w:hAnsi="Arial" w:cs="Arial"/>
        </w:rPr>
        <w:t>de este cuaderno</w:t>
      </w:r>
      <w:r w:rsidR="00CB272A">
        <w:rPr>
          <w:rFonts w:ascii="Arial" w:hAnsi="Arial" w:cs="Arial"/>
        </w:rPr>
        <w:t>)</w:t>
      </w:r>
      <w:r w:rsidR="00CB272A" w:rsidRPr="00AF753A">
        <w:rPr>
          <w:rFonts w:ascii="Arial" w:hAnsi="Arial" w:cs="Arial"/>
        </w:rPr>
        <w:t xml:space="preserve">. </w:t>
      </w:r>
    </w:p>
    <w:p w:rsidR="00CB272A" w:rsidRPr="005B5B7F" w:rsidRDefault="00CB272A" w:rsidP="0099045D">
      <w:pPr>
        <w:pStyle w:val="Corpsdetexte"/>
        <w:spacing w:line="360" w:lineRule="auto"/>
        <w:rPr>
          <w:rFonts w:ascii="Arial" w:hAnsi="Arial"/>
          <w:szCs w:val="24"/>
          <w:lang w:val="es-ES"/>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353D7A" w:rsidRDefault="00353D7A" w:rsidP="00353D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w:t>
      </w:r>
      <w:r w:rsidR="006F3881">
        <w:rPr>
          <w:rFonts w:ascii="Arial" w:hAnsi="Arial" w:cs="Arial"/>
          <w:spacing w:val="-3"/>
          <w:lang w:val="es-ES_tradnl"/>
        </w:rPr>
        <w:t>los</w:t>
      </w:r>
      <w:r w:rsidR="005B5B7F">
        <w:rPr>
          <w:rFonts w:ascii="Arial" w:hAnsi="Arial" w:cs="Arial"/>
          <w:spacing w:val="-3"/>
          <w:lang w:val="es-ES_tradnl"/>
        </w:rPr>
        <w:t xml:space="preserve"> derecho</w:t>
      </w:r>
      <w:r w:rsidR="006F3881">
        <w:rPr>
          <w:rFonts w:ascii="Arial" w:hAnsi="Arial" w:cs="Arial"/>
          <w:spacing w:val="-3"/>
          <w:lang w:val="es-ES_tradnl"/>
        </w:rPr>
        <w:t>s</w:t>
      </w:r>
      <w:r w:rsidR="005B5B7F">
        <w:rPr>
          <w:rFonts w:ascii="Arial" w:hAnsi="Arial" w:cs="Arial"/>
          <w:spacing w:val="-3"/>
          <w:lang w:val="es-ES_tradnl"/>
        </w:rPr>
        <w:t xml:space="preserve"> a</w:t>
      </w:r>
      <w:r w:rsidR="00ED15E9">
        <w:rPr>
          <w:rFonts w:ascii="Arial" w:hAnsi="Arial" w:cs="Arial"/>
          <w:spacing w:val="-3"/>
          <w:lang w:val="es-ES_tradnl"/>
        </w:rPr>
        <w:t>l</w:t>
      </w:r>
      <w:r w:rsidR="005B5B7F">
        <w:rPr>
          <w:rFonts w:ascii="Arial" w:hAnsi="Arial" w:cs="Arial"/>
          <w:spacing w:val="-3"/>
          <w:lang w:val="es-ES_tradnl"/>
        </w:rPr>
        <w:t xml:space="preserve"> </w:t>
      </w:r>
      <w:r w:rsidR="000A0728">
        <w:rPr>
          <w:rFonts w:ascii="Arial" w:hAnsi="Arial" w:cs="Arial"/>
          <w:spacing w:val="-3"/>
          <w:lang w:val="es-ES_tradnl"/>
        </w:rPr>
        <w:t xml:space="preserve">debido proceso, igualdad y debida administración de justicia </w:t>
      </w:r>
      <w:r w:rsidR="001B6BBA"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xml:space="preserve">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353D7A">
      <w:pPr>
        <w:pStyle w:val="Corpsdetexte"/>
        <w:spacing w:line="24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B442DC">
        <w:rPr>
          <w:rFonts w:ascii="Arial" w:hAnsi="Arial" w:cs="Arial"/>
        </w:rPr>
        <w:t xml:space="preserve"> se ordene al accionado</w:t>
      </w:r>
      <w:r w:rsidR="003F77C9">
        <w:rPr>
          <w:rFonts w:ascii="Arial" w:hAnsi="Arial" w:cs="Arial"/>
        </w:rPr>
        <w:t xml:space="preserve">: </w:t>
      </w:r>
      <w:r w:rsidR="00C53410">
        <w:rPr>
          <w:rFonts w:ascii="Arial" w:hAnsi="Arial" w:cs="Arial"/>
        </w:rPr>
        <w:t xml:space="preserve">(i) </w:t>
      </w:r>
      <w:r w:rsidR="000A0728">
        <w:rPr>
          <w:rFonts w:ascii="Arial" w:hAnsi="Arial" w:cs="Arial"/>
        </w:rPr>
        <w:t xml:space="preserve">Conceder la alzada frente a la sentencia, sin exigir copias; o, en su defecto, (ii) Conceder la apelación contra que aprobó la liquidación de costas </w:t>
      </w:r>
      <w:r w:rsidR="00006C6E"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xml:space="preserve"> de este cuaderno</w:t>
      </w:r>
      <w:r w:rsidR="00006C6E">
        <w:rPr>
          <w:rFonts w:ascii="Arial" w:hAnsi="Arial" w:cs="Arial"/>
        </w:rPr>
        <w:t>)</w:t>
      </w:r>
      <w:r w:rsidR="00006C6E" w:rsidRPr="00AF753A">
        <w:rPr>
          <w:rFonts w:ascii="Arial" w:hAnsi="Arial" w:cs="Arial"/>
        </w:rPr>
        <w:t>.</w:t>
      </w:r>
    </w:p>
    <w:p w:rsidR="00ED15E9" w:rsidRDefault="00ED15E9"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353D7A">
      <w:pPr>
        <w:pStyle w:val="Sansinterligne"/>
        <w:tabs>
          <w:tab w:val="left" w:pos="1200"/>
        </w:tabs>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0A0728">
        <w:rPr>
          <w:rFonts w:ascii="Arial" w:hAnsi="Arial"/>
        </w:rPr>
        <w:t>15</w:t>
      </w:r>
      <w:r>
        <w:rPr>
          <w:rFonts w:ascii="Arial" w:hAnsi="Arial"/>
        </w:rPr>
        <w:t>-</w:t>
      </w:r>
      <w:r w:rsidR="00634DD8">
        <w:rPr>
          <w:rFonts w:ascii="Arial" w:hAnsi="Arial"/>
        </w:rPr>
        <w:t>02</w:t>
      </w:r>
      <w:r>
        <w:rPr>
          <w:rFonts w:ascii="Arial" w:hAnsi="Arial"/>
        </w:rPr>
        <w:t>-201</w:t>
      </w:r>
      <w:r w:rsidR="00634DD8">
        <w:rPr>
          <w:rFonts w:ascii="Arial" w:hAnsi="Arial"/>
        </w:rPr>
        <w:t>7</w:t>
      </w:r>
      <w:r>
        <w:rPr>
          <w:rFonts w:ascii="Arial" w:hAnsi="Arial"/>
        </w:rPr>
        <w:t xml:space="preserve">, </w:t>
      </w:r>
      <w:r w:rsidRPr="00B74361">
        <w:rPr>
          <w:rFonts w:ascii="Arial" w:hAnsi="Arial"/>
        </w:rPr>
        <w:t>con providencia</w:t>
      </w:r>
      <w:r w:rsidRPr="008E5A62">
        <w:rPr>
          <w:rFonts w:ascii="Arial" w:hAnsi="Arial"/>
        </w:rPr>
        <w:t xml:space="preserve"> </w:t>
      </w:r>
      <w:r w:rsidR="000A0728">
        <w:rPr>
          <w:rFonts w:ascii="Arial" w:hAnsi="Arial"/>
        </w:rPr>
        <w:t xml:space="preserve">de ese mismo </w:t>
      </w:r>
      <w:r w:rsidR="00D32A1B">
        <w:rPr>
          <w:rFonts w:ascii="Arial" w:hAnsi="Arial"/>
        </w:rPr>
        <w:t>día se</w:t>
      </w:r>
      <w:r w:rsidRPr="008E5A62">
        <w:rPr>
          <w:rFonts w:ascii="Arial" w:hAnsi="Arial"/>
        </w:rPr>
        <w:t xml:space="preserv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0A0728">
        <w:rPr>
          <w:rFonts w:ascii="Arial" w:hAnsi="Arial"/>
        </w:rPr>
        <w:t xml:space="preserve"> 4,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6969D6">
        <w:rPr>
          <w:rFonts w:ascii="Arial" w:hAnsi="Arial"/>
        </w:rPr>
        <w:t>5</w:t>
      </w:r>
      <w:r w:rsidR="00B442DC">
        <w:rPr>
          <w:rFonts w:ascii="Arial" w:hAnsi="Arial"/>
        </w:rPr>
        <w:t xml:space="preserve"> </w:t>
      </w:r>
      <w:r w:rsidR="006969D6">
        <w:rPr>
          <w:rFonts w:ascii="Arial" w:hAnsi="Arial"/>
        </w:rPr>
        <w:t>a 6</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6969D6">
        <w:rPr>
          <w:rFonts w:ascii="Arial" w:hAnsi="Arial" w:cs="Arial"/>
          <w:spacing w:val="3"/>
        </w:rPr>
        <w:t xml:space="preserve">Procuraduría </w:t>
      </w:r>
      <w:r w:rsidR="000A0728">
        <w:rPr>
          <w:rFonts w:ascii="Arial" w:hAnsi="Arial" w:cs="Arial"/>
          <w:spacing w:val="3"/>
        </w:rPr>
        <w:t xml:space="preserve">General de la Nación, </w:t>
      </w:r>
      <w:r w:rsidR="006969D6">
        <w:rPr>
          <w:rFonts w:ascii="Arial" w:hAnsi="Arial" w:cs="Arial"/>
          <w:spacing w:val="3"/>
        </w:rPr>
        <w:t>Regional Risaralda</w:t>
      </w:r>
      <w:r w:rsidR="00B442DC">
        <w:rPr>
          <w:rFonts w:ascii="Arial" w:hAnsi="Arial" w:cs="Arial"/>
          <w:spacing w:val="3"/>
        </w:rPr>
        <w:t xml:space="preserve"> (Folio </w:t>
      </w:r>
      <w:r w:rsidR="006969D6">
        <w:rPr>
          <w:rFonts w:ascii="Arial" w:hAnsi="Arial" w:cs="Arial"/>
          <w:spacing w:val="3"/>
        </w:rPr>
        <w:t>7</w:t>
      </w:r>
      <w:r w:rsidR="000A0728">
        <w:rPr>
          <w:rFonts w:ascii="Arial" w:hAnsi="Arial" w:cs="Arial"/>
          <w:spacing w:val="3"/>
        </w:rPr>
        <w:t>,</w:t>
      </w:r>
      <w:r w:rsidR="00B442DC">
        <w:rPr>
          <w:rFonts w:ascii="Arial" w:hAnsi="Arial" w:cs="Arial"/>
          <w:spacing w:val="3"/>
        </w:rPr>
        <w:t xml:space="preserve"> </w:t>
      </w:r>
      <w:r w:rsidR="000A0728">
        <w:rPr>
          <w:rFonts w:ascii="Arial" w:hAnsi="Arial" w:cs="Arial"/>
          <w:spacing w:val="3"/>
        </w:rPr>
        <w:t>ibídem</w:t>
      </w:r>
      <w:r w:rsidR="00B442DC">
        <w:rPr>
          <w:rFonts w:ascii="Arial" w:hAnsi="Arial" w:cs="Arial"/>
          <w:spacing w:val="3"/>
        </w:rPr>
        <w:t>)</w:t>
      </w:r>
      <w:r w:rsidR="002B6241">
        <w:rPr>
          <w:rFonts w:ascii="Arial" w:hAnsi="Arial" w:cs="Arial"/>
          <w:spacing w:val="3"/>
        </w:rPr>
        <w:t xml:space="preserve">, </w:t>
      </w:r>
      <w:r w:rsidR="007F1B4B">
        <w:rPr>
          <w:rFonts w:ascii="Arial" w:hAnsi="Arial" w:cs="Arial"/>
          <w:spacing w:val="3"/>
        </w:rPr>
        <w:t xml:space="preserve">el </w:t>
      </w:r>
      <w:r w:rsidR="006969D6">
        <w:rPr>
          <w:rFonts w:ascii="Arial" w:hAnsi="Arial" w:cs="Arial"/>
          <w:spacing w:val="3"/>
        </w:rPr>
        <w:t>Banco de Occidente (Folio 10</w:t>
      </w:r>
      <w:r w:rsidR="000A0728">
        <w:rPr>
          <w:rFonts w:ascii="Arial" w:hAnsi="Arial" w:cs="Arial"/>
          <w:spacing w:val="3"/>
        </w:rPr>
        <w:t>,</w:t>
      </w:r>
      <w:r w:rsidR="006969D6">
        <w:rPr>
          <w:rFonts w:ascii="Arial" w:hAnsi="Arial" w:cs="Arial"/>
          <w:spacing w:val="3"/>
        </w:rPr>
        <w:t xml:space="preserve"> ib.),</w:t>
      </w:r>
      <w:r w:rsidR="001F5438">
        <w:rPr>
          <w:rFonts w:ascii="Arial" w:hAnsi="Arial" w:cs="Arial"/>
          <w:spacing w:val="3"/>
        </w:rPr>
        <w:t xml:space="preserve"> </w:t>
      </w:r>
      <w:r w:rsidR="000A0728">
        <w:rPr>
          <w:rFonts w:ascii="Arial" w:hAnsi="Arial" w:cs="Arial"/>
          <w:spacing w:val="3"/>
        </w:rPr>
        <w:t xml:space="preserve">la </w:t>
      </w:r>
      <w:r w:rsidR="001F5438">
        <w:rPr>
          <w:rFonts w:ascii="Arial" w:hAnsi="Arial" w:cs="Arial"/>
          <w:spacing w:val="3"/>
        </w:rPr>
        <w:t>Personería de Pereira (Folio</w:t>
      </w:r>
      <w:r w:rsidR="000A0728">
        <w:rPr>
          <w:rFonts w:ascii="Arial" w:hAnsi="Arial" w:cs="Arial"/>
          <w:spacing w:val="3"/>
        </w:rPr>
        <w:t>s</w:t>
      </w:r>
      <w:r w:rsidR="001F5438">
        <w:rPr>
          <w:rFonts w:ascii="Arial" w:hAnsi="Arial" w:cs="Arial"/>
          <w:spacing w:val="3"/>
        </w:rPr>
        <w:t xml:space="preserve"> 13 a 15</w:t>
      </w:r>
      <w:r w:rsidR="000A0728">
        <w:rPr>
          <w:rFonts w:ascii="Arial" w:hAnsi="Arial" w:cs="Arial"/>
          <w:spacing w:val="3"/>
        </w:rPr>
        <w:t>, ib.</w:t>
      </w:r>
      <w:r w:rsidR="001F5438">
        <w:rPr>
          <w:rFonts w:ascii="Arial" w:hAnsi="Arial" w:cs="Arial"/>
          <w:spacing w:val="3"/>
        </w:rPr>
        <w:t>)</w:t>
      </w:r>
      <w:r w:rsidR="007F1B4B">
        <w:rPr>
          <w:rFonts w:ascii="Arial" w:hAnsi="Arial" w:cs="Arial"/>
          <w:spacing w:val="3"/>
        </w:rPr>
        <w:t xml:space="preserve">, </w:t>
      </w:r>
      <w:r w:rsidR="001F5438">
        <w:rPr>
          <w:rFonts w:ascii="Arial" w:hAnsi="Arial" w:cs="Arial"/>
          <w:spacing w:val="3"/>
        </w:rPr>
        <w:t xml:space="preserve">y </w:t>
      </w:r>
      <w:r w:rsidR="002B6241">
        <w:rPr>
          <w:rFonts w:ascii="Arial" w:hAnsi="Arial" w:cs="Arial"/>
          <w:spacing w:val="3"/>
        </w:rPr>
        <w:t xml:space="preserve">el Municipio de Pereira (Folios </w:t>
      </w:r>
      <w:r w:rsidR="001F5438">
        <w:rPr>
          <w:rFonts w:ascii="Arial" w:hAnsi="Arial" w:cs="Arial"/>
          <w:spacing w:val="3"/>
        </w:rPr>
        <w:t>22 a 23</w:t>
      </w:r>
      <w:r w:rsidR="000A0728">
        <w:rPr>
          <w:rFonts w:ascii="Arial" w:hAnsi="Arial" w:cs="Arial"/>
          <w:spacing w:val="3"/>
        </w:rPr>
        <w:t>, ib.</w:t>
      </w:r>
      <w:r w:rsidR="001F5438">
        <w:rPr>
          <w:rFonts w:ascii="Arial" w:hAnsi="Arial" w:cs="Arial"/>
          <w:spacing w:val="3"/>
        </w:rPr>
        <w:t>).</w:t>
      </w:r>
      <w:r w:rsidR="000A0728">
        <w:rPr>
          <w:rFonts w:ascii="Arial" w:hAnsi="Arial" w:cs="Arial"/>
          <w:spacing w:val="3"/>
        </w:rPr>
        <w:t xml:space="preserve"> El Juzgado accionado arrimó las copias requeridas (Folio 19, ib.)</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53D7A">
      <w:pPr>
        <w:jc w:val="both"/>
        <w:rPr>
          <w:rFonts w:ascii="Arial" w:hAnsi="Arial"/>
        </w:rPr>
      </w:pPr>
    </w:p>
    <w:p w:rsidR="00B442DC" w:rsidRDefault="001F5438" w:rsidP="00B442DC">
      <w:pPr>
        <w:spacing w:line="360" w:lineRule="auto"/>
        <w:jc w:val="both"/>
        <w:rPr>
          <w:rFonts w:ascii="Arial" w:hAnsi="Arial" w:cs="Arial"/>
        </w:rPr>
      </w:pPr>
      <w:r w:rsidRPr="007D3EFE">
        <w:rPr>
          <w:rFonts w:ascii="Arial" w:hAnsi="Arial" w:cs="Arial"/>
        </w:rPr>
        <w:t xml:space="preserve">La Procuraduría General de la Nación, Regional Risaralda, anotó que la situación alegada es ajena a su función, y en consecuencia, pidió su desvinculación (Folio </w:t>
      </w:r>
      <w:r>
        <w:rPr>
          <w:rFonts w:ascii="Arial" w:hAnsi="Arial" w:cs="Arial"/>
        </w:rPr>
        <w:t>7</w:t>
      </w:r>
      <w:r w:rsidRPr="007D3EFE">
        <w:rPr>
          <w:rFonts w:ascii="Arial" w:hAnsi="Arial" w:cs="Arial"/>
        </w:rPr>
        <w:t xml:space="preserve">, ib.). El Banco de Occidente, ante la omisión del actor para cumplir la carga procesal solicito </w:t>
      </w:r>
      <w:r w:rsidR="008A75BC">
        <w:rPr>
          <w:rFonts w:ascii="Arial" w:hAnsi="Arial" w:cs="Arial"/>
        </w:rPr>
        <w:lastRenderedPageBreak/>
        <w:t xml:space="preserve">la </w:t>
      </w:r>
      <w:r w:rsidRPr="007D3EFE">
        <w:rPr>
          <w:rFonts w:ascii="Arial" w:hAnsi="Arial" w:cs="Arial"/>
        </w:rPr>
        <w:t xml:space="preserve">improcedencia de la acción (Folio </w:t>
      </w:r>
      <w:r>
        <w:rPr>
          <w:rFonts w:ascii="Arial" w:hAnsi="Arial" w:cs="Arial"/>
        </w:rPr>
        <w:t>10</w:t>
      </w:r>
      <w:r w:rsidR="008A75BC">
        <w:rPr>
          <w:rFonts w:ascii="Arial" w:hAnsi="Arial" w:cs="Arial"/>
        </w:rPr>
        <w:t>, ib.</w:t>
      </w:r>
      <w:r w:rsidRPr="007D3EFE">
        <w:rPr>
          <w:rFonts w:ascii="Arial" w:hAnsi="Arial" w:cs="Arial"/>
        </w:rPr>
        <w:t>)</w:t>
      </w:r>
      <w:r w:rsidR="008A75BC">
        <w:rPr>
          <w:rFonts w:ascii="Arial" w:hAnsi="Arial" w:cs="Arial"/>
        </w:rPr>
        <w:t>. La</w:t>
      </w:r>
      <w:r>
        <w:rPr>
          <w:rFonts w:ascii="Arial" w:hAnsi="Arial" w:cs="Arial"/>
        </w:rPr>
        <w:t xml:space="preserve"> </w:t>
      </w:r>
      <w:r w:rsidR="00086307">
        <w:rPr>
          <w:rFonts w:ascii="Arial" w:hAnsi="Arial"/>
        </w:rPr>
        <w:t>Personería de Pereira</w:t>
      </w:r>
      <w:r w:rsidR="00A836D1">
        <w:rPr>
          <w:rFonts w:ascii="Arial" w:hAnsi="Arial"/>
        </w:rPr>
        <w:t xml:space="preserve"> indicó</w:t>
      </w:r>
      <w:r w:rsidR="00086307">
        <w:rPr>
          <w:rFonts w:ascii="Arial" w:hAnsi="Arial"/>
        </w:rPr>
        <w:t xml:space="preserve"> que el Juzgado es el competente para tramitar la acción popular y tomar las decisiones respectivas, por lo tanto, no </w:t>
      </w:r>
      <w:r w:rsidR="00FF100E">
        <w:rPr>
          <w:rFonts w:ascii="Arial" w:hAnsi="Arial"/>
        </w:rPr>
        <w:t>hay lugar para</w:t>
      </w:r>
      <w:r w:rsidR="00086307">
        <w:rPr>
          <w:rFonts w:ascii="Arial" w:hAnsi="Arial"/>
        </w:rPr>
        <w:t xml:space="preserve"> imputar responsabilidad alguna en la vulneración de los derechos</w:t>
      </w:r>
      <w:r w:rsidR="00FF100E">
        <w:rPr>
          <w:rFonts w:ascii="Arial" w:hAnsi="Arial"/>
        </w:rPr>
        <w:t xml:space="preserve"> deprecados</w:t>
      </w:r>
      <w:r w:rsidR="00086307">
        <w:rPr>
          <w:rFonts w:ascii="Arial" w:hAnsi="Arial"/>
        </w:rPr>
        <w:t xml:space="preserve"> (Folios </w:t>
      </w:r>
      <w:r>
        <w:rPr>
          <w:rFonts w:ascii="Arial" w:hAnsi="Arial"/>
        </w:rPr>
        <w:t xml:space="preserve">13 </w:t>
      </w:r>
      <w:r w:rsidR="00086307">
        <w:rPr>
          <w:rFonts w:ascii="Arial" w:hAnsi="Arial"/>
        </w:rPr>
        <w:t xml:space="preserve">a </w:t>
      </w:r>
      <w:r w:rsidR="00FF100E">
        <w:rPr>
          <w:rFonts w:ascii="Arial" w:hAnsi="Arial"/>
        </w:rPr>
        <w:t>1</w:t>
      </w:r>
      <w:r>
        <w:rPr>
          <w:rFonts w:ascii="Arial" w:hAnsi="Arial"/>
        </w:rPr>
        <w:t>5, ib.) y la</w:t>
      </w:r>
      <w:r w:rsidR="00E11ACC" w:rsidRPr="007D3EFE">
        <w:rPr>
          <w:rFonts w:ascii="Arial" w:hAnsi="Arial" w:cs="Arial"/>
        </w:rPr>
        <w:t xml:space="preserve"> Alcaldía de Pereira consideró que se le vincu</w:t>
      </w:r>
      <w:r w:rsidR="008A75BC">
        <w:rPr>
          <w:rFonts w:ascii="Arial" w:hAnsi="Arial" w:cs="Arial"/>
        </w:rPr>
        <w:t>ló erradamente y por ello estimó</w:t>
      </w:r>
      <w:r w:rsidR="00E11ACC" w:rsidRPr="007D3EFE">
        <w:rPr>
          <w:rFonts w:ascii="Arial" w:hAnsi="Arial" w:cs="Arial"/>
        </w:rPr>
        <w:t xml:space="preserve"> que carece de legitimación en el extremo pasivo de esta acción, de allí que solicitó ser desvinculada (Folios </w:t>
      </w:r>
      <w:r w:rsidR="00362F59">
        <w:rPr>
          <w:rFonts w:ascii="Arial" w:hAnsi="Arial" w:cs="Arial"/>
        </w:rPr>
        <w:t>22</w:t>
      </w:r>
      <w:r w:rsidR="00E11ACC" w:rsidRPr="007D3EFE">
        <w:rPr>
          <w:rFonts w:ascii="Arial" w:hAnsi="Arial" w:cs="Arial"/>
        </w:rPr>
        <w:t xml:space="preserve"> a </w:t>
      </w:r>
      <w:r w:rsidR="00362F59">
        <w:rPr>
          <w:rFonts w:ascii="Arial" w:hAnsi="Arial" w:cs="Arial"/>
        </w:rPr>
        <w:t>23</w:t>
      </w:r>
      <w:r w:rsidR="00E11ACC" w:rsidRPr="007D3EFE">
        <w:rPr>
          <w:rFonts w:ascii="Arial" w:hAnsi="Arial" w:cs="Arial"/>
        </w:rPr>
        <w:t>, ib.).</w:t>
      </w:r>
      <w:r w:rsidR="00E11ACC">
        <w:rPr>
          <w:rFonts w:ascii="Arial" w:hAnsi="Arial" w:cs="Arial"/>
        </w:rPr>
        <w:t xml:space="preserve"> </w:t>
      </w:r>
    </w:p>
    <w:p w:rsidR="002D660B" w:rsidRDefault="002D660B" w:rsidP="00B442DC">
      <w:pPr>
        <w:spacing w:line="360" w:lineRule="auto"/>
        <w:jc w:val="both"/>
        <w:rPr>
          <w:rFonts w:ascii="Arial" w:hAnsi="Arial"/>
        </w:rPr>
      </w:pPr>
    </w:p>
    <w:p w:rsidR="00CF429F"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DD1A2C" w:rsidRPr="00AE73C7" w:rsidRDefault="00DD1A2C" w:rsidP="00DD1A2C">
      <w:pPr>
        <w:pStyle w:val="Corpsdetexte"/>
        <w:spacing w:line="360" w:lineRule="auto"/>
        <w:ind w:left="400"/>
        <w:rPr>
          <w:rFonts w:ascii="Arial" w:hAnsi="Arial"/>
          <w:szCs w:val="24"/>
        </w:rPr>
      </w:pPr>
    </w:p>
    <w:p w:rsidR="00DD1A2C" w:rsidRDefault="00DD1A2C" w:rsidP="00DD1A2C">
      <w:pPr>
        <w:pStyle w:val="Corpsdetexte"/>
        <w:numPr>
          <w:ilvl w:val="1"/>
          <w:numId w:val="18"/>
        </w:numPr>
        <w:spacing w:line="360" w:lineRule="auto"/>
        <w:rPr>
          <w:rFonts w:ascii="Arial" w:hAnsi="Arial" w:cs="Arial"/>
          <w:szCs w:val="24"/>
        </w:rPr>
      </w:pPr>
      <w:r w:rsidRPr="005B2CE1">
        <w:rPr>
          <w:rFonts w:ascii="Arial" w:hAnsi="Arial"/>
          <w:smallCaps/>
          <w:sz w:val="26"/>
          <w:szCs w:val="26"/>
        </w:rPr>
        <w:t>La competencia</w:t>
      </w:r>
      <w:r>
        <w:rPr>
          <w:rFonts w:ascii="Arial" w:hAnsi="Arial"/>
          <w:smallCaps/>
          <w:sz w:val="26"/>
          <w:szCs w:val="26"/>
        </w:rPr>
        <w:t xml:space="preserve">. </w:t>
      </w:r>
      <w:r w:rsidRPr="005B2CE1">
        <w:rPr>
          <w:rFonts w:ascii="Arial" w:hAnsi="Arial" w:cs="Arial"/>
          <w:szCs w:val="24"/>
        </w:rPr>
        <w:t>Este Tribunal es competente para conocer la acción en razón a que es el superior jerárquico del Juzgado accionado.</w:t>
      </w:r>
    </w:p>
    <w:p w:rsidR="00DD1A2C" w:rsidRDefault="00DD1A2C" w:rsidP="00DD1A2C">
      <w:pPr>
        <w:pStyle w:val="Corpsdetexte"/>
        <w:tabs>
          <w:tab w:val="clear" w:pos="0"/>
          <w:tab w:val="clear" w:pos="708"/>
          <w:tab w:val="clear" w:pos="1416"/>
          <w:tab w:val="left" w:pos="709"/>
        </w:tabs>
        <w:spacing w:line="360" w:lineRule="auto"/>
        <w:rPr>
          <w:rFonts w:ascii="Arial" w:hAnsi="Arial"/>
          <w:smallCaps/>
          <w:szCs w:val="24"/>
        </w:rPr>
      </w:pPr>
    </w:p>
    <w:p w:rsidR="00DD1A2C" w:rsidRPr="00FC2001" w:rsidRDefault="00DD1A2C" w:rsidP="00DD1A2C">
      <w:pPr>
        <w:pStyle w:val="Textopredeterminado"/>
        <w:numPr>
          <w:ilvl w:val="1"/>
          <w:numId w:val="18"/>
        </w:numPr>
        <w:spacing w:line="360" w:lineRule="auto"/>
        <w:jc w:val="both"/>
        <w:rPr>
          <w:rFonts w:ascii="Arial" w:hAnsi="Arial" w:cs="Arial"/>
          <w:spacing w:val="3"/>
        </w:rPr>
      </w:pPr>
      <w:r w:rsidRPr="00040EA1">
        <w:rPr>
          <w:rFonts w:ascii="Arial" w:hAnsi="Arial"/>
          <w:smallCaps/>
          <w:szCs w:val="24"/>
        </w:rPr>
        <w:t>La legitimación en la causa</w:t>
      </w:r>
      <w:r>
        <w:rPr>
          <w:rFonts w:ascii="Arial" w:hAnsi="Arial"/>
          <w:smallCaps/>
          <w:szCs w:val="24"/>
        </w:rPr>
        <w:t xml:space="preserve">. </w:t>
      </w:r>
      <w:r w:rsidRPr="00D91A51">
        <w:rPr>
          <w:rFonts w:ascii="Arial" w:hAnsi="Arial" w:cs="Arial"/>
          <w:szCs w:val="24"/>
        </w:rPr>
        <w:t xml:space="preserve">Se cumple </w:t>
      </w:r>
      <w:r w:rsidRPr="009A6E75">
        <w:rPr>
          <w:rFonts w:ascii="Arial" w:hAnsi="Arial" w:cs="Arial"/>
          <w:szCs w:val="24"/>
        </w:rPr>
        <w:t>por activa dado que el actor presentó la acción popular en la que se reprocha la falta al debido proceso. Y por pasiva, lo es el Juzgado</w:t>
      </w:r>
      <w:r>
        <w:rPr>
          <w:rFonts w:ascii="Arial" w:hAnsi="Arial" w:cs="Arial"/>
          <w:szCs w:val="24"/>
        </w:rPr>
        <w:t xml:space="preserve"> </w:t>
      </w:r>
      <w:r w:rsidR="00CB6A62">
        <w:rPr>
          <w:rFonts w:ascii="Arial" w:hAnsi="Arial" w:cs="Arial"/>
          <w:szCs w:val="24"/>
        </w:rPr>
        <w:t>Quinto</w:t>
      </w:r>
      <w:r w:rsidRPr="009A6E75">
        <w:rPr>
          <w:rFonts w:ascii="Arial" w:hAnsi="Arial" w:cs="Arial"/>
          <w:szCs w:val="24"/>
        </w:rPr>
        <w:t xml:space="preserve"> Civil del Circuito de Pereira, por ser la autoridad judicial</w:t>
      </w:r>
      <w:r w:rsidRPr="009A3C9D">
        <w:rPr>
          <w:rFonts w:ascii="Arial" w:hAnsi="Arial" w:cs="Arial"/>
          <w:szCs w:val="24"/>
        </w:rPr>
        <w:t xml:space="preserve"> que </w:t>
      </w:r>
      <w:r>
        <w:rPr>
          <w:rFonts w:ascii="Arial" w:hAnsi="Arial" w:cs="Arial"/>
          <w:szCs w:val="24"/>
        </w:rPr>
        <w:t>conoce del juicio</w:t>
      </w:r>
      <w:r w:rsidRPr="00E17BC5">
        <w:rPr>
          <w:rFonts w:ascii="Arial" w:hAnsi="Arial" w:cs="Arial"/>
        </w:rPr>
        <w:t>.</w:t>
      </w:r>
    </w:p>
    <w:p w:rsidR="00DD1A2C" w:rsidRPr="00AE73C7" w:rsidRDefault="00DD1A2C" w:rsidP="00DD1A2C">
      <w:pPr>
        <w:pStyle w:val="Retraitcorpsdetexte2"/>
        <w:spacing w:after="0" w:line="360" w:lineRule="auto"/>
        <w:ind w:left="0"/>
        <w:jc w:val="both"/>
        <w:rPr>
          <w:rFonts w:ascii="Arial" w:hAnsi="Arial" w:cs="Arial"/>
          <w:sz w:val="24"/>
          <w:szCs w:val="24"/>
        </w:rPr>
      </w:pPr>
    </w:p>
    <w:p w:rsidR="00DD1A2C" w:rsidRPr="00F5472B" w:rsidRDefault="00DD1A2C" w:rsidP="00DD1A2C">
      <w:pPr>
        <w:pStyle w:val="Corpsdetexte"/>
        <w:numPr>
          <w:ilvl w:val="1"/>
          <w:numId w:val="18"/>
        </w:numPr>
        <w:tabs>
          <w:tab w:val="clear" w:pos="708"/>
          <w:tab w:val="clear" w:pos="1416"/>
          <w:tab w:val="left" w:pos="709"/>
        </w:tabs>
        <w:spacing w:line="360" w:lineRule="auto"/>
        <w:rPr>
          <w:rFonts w:ascii="Arial" w:hAnsi="Arial" w:cs="Arial"/>
        </w:rPr>
      </w:pPr>
      <w:r w:rsidRPr="00F5472B">
        <w:rPr>
          <w:rFonts w:ascii="Arial" w:hAnsi="Arial"/>
          <w:smallCaps/>
          <w:sz w:val="26"/>
          <w:szCs w:val="26"/>
        </w:rPr>
        <w:t xml:space="preserve">El problema jurídico a resolver. </w:t>
      </w:r>
      <w:r w:rsidRPr="00F5472B">
        <w:rPr>
          <w:rFonts w:ascii="Arial" w:hAnsi="Arial" w:cs="Arial"/>
        </w:rPr>
        <w:t xml:space="preserve">¿El Juzgado </w:t>
      </w:r>
      <w:r w:rsidR="00CB6A62">
        <w:rPr>
          <w:rFonts w:ascii="Arial" w:hAnsi="Arial" w:cs="Arial"/>
        </w:rPr>
        <w:t>Quinto</w:t>
      </w:r>
      <w:r w:rsidRPr="00F5472B">
        <w:rPr>
          <w:rFonts w:ascii="Arial" w:hAnsi="Arial" w:cs="Arial"/>
        </w:rPr>
        <w:t xml:space="preserve"> Civil del Circuito de Pereira ha vulnerado o amenazado los derechos fundamentales del accionante </w:t>
      </w:r>
      <w:r>
        <w:rPr>
          <w:rFonts w:ascii="Arial" w:hAnsi="Arial" w:cs="Arial"/>
        </w:rPr>
        <w:t>con ocasión del trámite surtido en la acción popular</w:t>
      </w:r>
      <w:r w:rsidRPr="00F5472B">
        <w:rPr>
          <w:rFonts w:ascii="Arial" w:hAnsi="Arial" w:cs="Arial"/>
        </w:rPr>
        <w:t xml:space="preserve">, según lo expuesto en el escrito de tutela? </w:t>
      </w:r>
    </w:p>
    <w:p w:rsidR="00DD1A2C" w:rsidRPr="00AE73C7" w:rsidRDefault="00DD1A2C" w:rsidP="00DD1A2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Arial" w:hAnsi="Arial" w:cs="Arial"/>
          <w:spacing w:val="-3"/>
          <w:lang w:val="es-ES_tradnl"/>
        </w:rPr>
      </w:pPr>
    </w:p>
    <w:p w:rsidR="00DD1A2C" w:rsidRPr="00FC2001" w:rsidRDefault="00DD1A2C" w:rsidP="00DD1A2C">
      <w:pPr>
        <w:pStyle w:val="Corpsdetexte"/>
        <w:numPr>
          <w:ilvl w:val="0"/>
          <w:numId w:val="18"/>
        </w:numPr>
        <w:tabs>
          <w:tab w:val="clear" w:pos="708"/>
          <w:tab w:val="clear" w:pos="1416"/>
          <w:tab w:val="left" w:pos="709"/>
          <w:tab w:val="left" w:pos="1418"/>
        </w:tabs>
        <w:spacing w:line="360" w:lineRule="auto"/>
        <w:rPr>
          <w:rFonts w:ascii="Arial" w:hAnsi="Arial"/>
          <w:smallCaps/>
          <w:sz w:val="28"/>
          <w:szCs w:val="26"/>
        </w:rPr>
      </w:pPr>
      <w:r w:rsidRPr="00FC2001">
        <w:rPr>
          <w:rFonts w:ascii="Arial" w:hAnsi="Arial"/>
          <w:smallCaps/>
          <w:sz w:val="28"/>
          <w:szCs w:val="26"/>
        </w:rPr>
        <w:t>La resolución del problema jurídico</w:t>
      </w:r>
    </w:p>
    <w:p w:rsidR="00DD1A2C" w:rsidRDefault="00DD1A2C" w:rsidP="00DD1A2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DD1A2C" w:rsidRPr="00040EA1" w:rsidRDefault="00DD1A2C" w:rsidP="00DD1A2C">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DD1A2C" w:rsidRDefault="00DD1A2C" w:rsidP="00DD1A2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DD1A2C" w:rsidRPr="00907C22" w:rsidRDefault="00DD1A2C" w:rsidP="00DD1A2C">
      <w:pPr>
        <w:pStyle w:val="Corpsdetexte"/>
        <w:spacing w:line="360" w:lineRule="auto"/>
        <w:rPr>
          <w:rFonts w:ascii="Arial" w:hAnsi="Arial" w:cs="Arial"/>
          <w:szCs w:val="24"/>
        </w:rPr>
      </w:pPr>
      <w:r>
        <w:rPr>
          <w:rFonts w:ascii="Arial" w:hAnsi="Arial" w:cs="Arial"/>
          <w:szCs w:val="24"/>
        </w:rPr>
        <w:t xml:space="preserve">A partir 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w:t>
      </w:r>
      <w:r>
        <w:rPr>
          <w:rFonts w:ascii="Arial" w:hAnsi="Arial" w:cs="Arial"/>
          <w:szCs w:val="24"/>
        </w:rPr>
        <w:t xml:space="preserve">se </w:t>
      </w:r>
      <w:r w:rsidRPr="00907C22">
        <w:rPr>
          <w:rFonts w:ascii="Arial" w:hAnsi="Arial" w:cs="Arial"/>
          <w:szCs w:val="24"/>
        </w:rPr>
        <w:t>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2"/>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w:t>
      </w:r>
      <w:r w:rsidRPr="001C56B4">
        <w:rPr>
          <w:rFonts w:ascii="Arial" w:hAnsi="Arial" w:cs="Arial"/>
          <w:szCs w:val="24"/>
        </w:rPr>
        <w:t xml:space="preserve">En el mismo sentido Quiroga </w:t>
      </w:r>
      <w:proofErr w:type="spellStart"/>
      <w:r w:rsidRPr="001C56B4">
        <w:rPr>
          <w:rFonts w:ascii="Arial" w:hAnsi="Arial" w:cs="Arial"/>
          <w:szCs w:val="24"/>
        </w:rPr>
        <w:t>Natale</w:t>
      </w:r>
      <w:proofErr w:type="spellEnd"/>
      <w:r w:rsidRPr="001C56B4">
        <w:rPr>
          <w:rStyle w:val="Appelnotedebasdep"/>
          <w:rFonts w:ascii="Arial" w:hAnsi="Arial"/>
          <w:szCs w:val="24"/>
        </w:rPr>
        <w:footnoteReference w:id="3"/>
      </w:r>
      <w:r w:rsidRPr="001C56B4">
        <w:rPr>
          <w:rFonts w:ascii="Arial" w:hAnsi="Arial" w:cs="Arial"/>
          <w:szCs w:val="24"/>
        </w:rPr>
        <w:t>.</w:t>
      </w:r>
    </w:p>
    <w:p w:rsidR="00DD1A2C" w:rsidRPr="00E649FA" w:rsidRDefault="00DD1A2C" w:rsidP="00DD1A2C">
      <w:pPr>
        <w:pStyle w:val="Corpsdetexte"/>
        <w:spacing w:line="360" w:lineRule="auto"/>
        <w:rPr>
          <w:rFonts w:ascii="Arial" w:hAnsi="Arial" w:cs="Arial"/>
          <w:szCs w:val="24"/>
        </w:rPr>
      </w:pPr>
    </w:p>
    <w:p w:rsidR="00DD1A2C" w:rsidRPr="00907C22" w:rsidRDefault="00DD1A2C" w:rsidP="00DD1A2C">
      <w:pPr>
        <w:pStyle w:val="Corpsdetexte"/>
        <w:spacing w:line="360" w:lineRule="auto"/>
        <w:rPr>
          <w:rFonts w:ascii="Arial" w:hAnsi="Arial" w:cs="Arial"/>
          <w:szCs w:val="24"/>
        </w:rPr>
      </w:pPr>
      <w:r w:rsidRPr="00907C22">
        <w:rPr>
          <w:rFonts w:ascii="Arial" w:hAnsi="Arial" w:cs="Arial"/>
          <w:szCs w:val="24"/>
        </w:rPr>
        <w:lastRenderedPageBreak/>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4"/>
      </w:r>
      <w:r w:rsidRPr="00907C22">
        <w:rPr>
          <w:rFonts w:ascii="Arial" w:hAnsi="Arial" w:cs="Arial"/>
          <w:szCs w:val="24"/>
        </w:rPr>
        <w:t>.</w:t>
      </w:r>
    </w:p>
    <w:p w:rsidR="00DD1A2C" w:rsidRPr="00E649FA" w:rsidRDefault="00DD1A2C" w:rsidP="00DD1A2C">
      <w:pPr>
        <w:pStyle w:val="Corpsdetexte"/>
        <w:spacing w:line="360" w:lineRule="auto"/>
        <w:rPr>
          <w:rFonts w:ascii="Arial" w:hAnsi="Arial" w:cs="Arial"/>
          <w:szCs w:val="24"/>
        </w:rPr>
      </w:pPr>
    </w:p>
    <w:p w:rsidR="00DD1A2C" w:rsidRPr="00907C22" w:rsidRDefault="00DD1A2C" w:rsidP="00DD1A2C">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5"/>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6"/>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7"/>
      </w:r>
      <w:r w:rsidRPr="00907C22">
        <w:rPr>
          <w:rFonts w:ascii="Arial" w:hAnsi="Arial" w:cs="Arial"/>
          <w:szCs w:val="24"/>
        </w:rPr>
        <w:t>.</w:t>
      </w:r>
    </w:p>
    <w:p w:rsidR="00DD1A2C" w:rsidRPr="00E649FA" w:rsidRDefault="00DD1A2C" w:rsidP="00DD1A2C">
      <w:pPr>
        <w:pStyle w:val="Corpsdetexte"/>
        <w:spacing w:line="360" w:lineRule="auto"/>
        <w:rPr>
          <w:rFonts w:ascii="Arial" w:hAnsi="Arial" w:cs="Arial"/>
          <w:szCs w:val="24"/>
        </w:rPr>
      </w:pPr>
    </w:p>
    <w:p w:rsidR="00DD1A2C" w:rsidRPr="00907C22" w:rsidRDefault="00DD1A2C" w:rsidP="00DD1A2C">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Appelnotedebasdep"/>
          <w:rFonts w:ascii="Arial" w:hAnsi="Arial" w:cs="Arial"/>
          <w:szCs w:val="24"/>
        </w:rPr>
        <w:footnoteReference w:id="9"/>
      </w:r>
      <w:r w:rsidRPr="00907C22">
        <w:rPr>
          <w:rFonts w:ascii="Arial" w:hAnsi="Arial" w:cs="Arial"/>
          <w:szCs w:val="24"/>
        </w:rPr>
        <w:t>.</w:t>
      </w:r>
    </w:p>
    <w:p w:rsidR="00DD1A2C" w:rsidRDefault="00DD1A2C" w:rsidP="00DD1A2C">
      <w:pPr>
        <w:pStyle w:val="Corpsdetexte"/>
        <w:spacing w:line="360" w:lineRule="auto"/>
        <w:rPr>
          <w:rFonts w:ascii="Arial" w:hAnsi="Arial" w:cs="Arial"/>
          <w:szCs w:val="24"/>
        </w:rPr>
      </w:pPr>
    </w:p>
    <w:p w:rsidR="00DD1A2C" w:rsidRPr="00040EA1" w:rsidRDefault="00DD1A2C" w:rsidP="00DD1A2C">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DD1A2C" w:rsidRDefault="00DD1A2C" w:rsidP="00DD1A2C">
      <w:pPr>
        <w:pStyle w:val="Corpsdetexte"/>
        <w:tabs>
          <w:tab w:val="clear" w:pos="0"/>
        </w:tabs>
        <w:spacing w:line="360" w:lineRule="auto"/>
        <w:rPr>
          <w:rFonts w:ascii="Arial" w:hAnsi="Arial" w:cs="Arial"/>
          <w:szCs w:val="24"/>
        </w:rPr>
      </w:pPr>
    </w:p>
    <w:p w:rsidR="00DD1A2C" w:rsidRDefault="00DD1A2C" w:rsidP="00DD1A2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D1A2C" w:rsidRDefault="00DD1A2C" w:rsidP="00DD1A2C">
      <w:pPr>
        <w:pStyle w:val="Corpsdetexte"/>
        <w:tabs>
          <w:tab w:val="clear" w:pos="0"/>
        </w:tabs>
        <w:spacing w:line="360" w:lineRule="auto"/>
        <w:rPr>
          <w:rFonts w:ascii="Arial" w:hAnsi="Arial" w:cs="Arial"/>
          <w:szCs w:val="24"/>
          <w:u w:val="single"/>
        </w:rPr>
      </w:pPr>
    </w:p>
    <w:p w:rsidR="00DD1A2C" w:rsidRDefault="00DD1A2C" w:rsidP="00DD1A2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 xml:space="preserve">“Es, en efecto, un mecanismo judicial de origen constitucional de evidente carácter residual que está </w:t>
      </w:r>
      <w:r>
        <w:rPr>
          <w:rFonts w:ascii="Arial" w:hAnsi="Arial" w:cs="Arial"/>
          <w:i/>
          <w:sz w:val="22"/>
          <w:szCs w:val="22"/>
        </w:rPr>
        <w:lastRenderedPageBreak/>
        <w:t>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0"/>
      </w:r>
      <w:r>
        <w:rPr>
          <w:rFonts w:ascii="Arial" w:hAnsi="Arial" w:cs="Arial"/>
          <w:i/>
          <w:sz w:val="22"/>
          <w:szCs w:val="22"/>
        </w:rPr>
        <w:t>.</w:t>
      </w:r>
    </w:p>
    <w:p w:rsidR="00DD1A2C" w:rsidRDefault="00DD1A2C" w:rsidP="00353D7A">
      <w:pPr>
        <w:widowControl/>
        <w:autoSpaceDE/>
        <w:adjustRightInd/>
        <w:jc w:val="both"/>
        <w:rPr>
          <w:rFonts w:ascii="Arial" w:hAnsi="Arial" w:cs="Arial"/>
          <w:lang w:val="es-ES_tradnl"/>
        </w:rPr>
      </w:pPr>
    </w:p>
    <w:p w:rsidR="00DD1A2C" w:rsidRDefault="00DD1A2C" w:rsidP="00DD1A2C">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1"/>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3"/>
      </w:r>
      <w:r>
        <w:rPr>
          <w:rFonts w:ascii="Arial" w:hAnsi="Arial" w:cs="Arial"/>
          <w:szCs w:val="24"/>
        </w:rPr>
        <w:t xml:space="preserve">. </w:t>
      </w:r>
      <w:r>
        <w:rPr>
          <w:rFonts w:ascii="Arial" w:hAnsi="Arial" w:cs="Arial"/>
        </w:rPr>
        <w:t>También la CSJ se ha referido al tema</w:t>
      </w:r>
      <w:r>
        <w:rPr>
          <w:rStyle w:val="Appelnotedebasdep"/>
          <w:rFonts w:ascii="Arial" w:hAnsi="Arial"/>
        </w:rPr>
        <w:footnoteReference w:id="14"/>
      </w:r>
      <w:r>
        <w:rPr>
          <w:rFonts w:ascii="Arial" w:hAnsi="Arial" w:cs="Arial"/>
        </w:rPr>
        <w:t xml:space="preserve"> y prohíja la improcedencia de la tutela por aplicación del principio de subsidiariedad.</w:t>
      </w:r>
    </w:p>
    <w:p w:rsidR="00DD1A2C" w:rsidRDefault="00DD1A2C" w:rsidP="00DD1A2C">
      <w:pPr>
        <w:spacing w:line="360" w:lineRule="auto"/>
        <w:jc w:val="both"/>
        <w:rPr>
          <w:rFonts w:ascii="Arial" w:hAnsi="Arial" w:cs="Arial"/>
          <w:lang w:val="es-ES_tradnl"/>
        </w:rPr>
      </w:pPr>
    </w:p>
    <w:p w:rsidR="00DD1A2C" w:rsidRPr="00FE5FF3" w:rsidRDefault="00DD1A2C" w:rsidP="00DD1A2C">
      <w:pPr>
        <w:pStyle w:val="Corpsdetexte"/>
        <w:numPr>
          <w:ilvl w:val="1"/>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DD1A2C" w:rsidRDefault="00DD1A2C" w:rsidP="00353D7A">
      <w:pPr>
        <w:pStyle w:val="Corpsdetexte"/>
        <w:tabs>
          <w:tab w:val="clear" w:pos="708"/>
          <w:tab w:val="left" w:pos="709"/>
        </w:tabs>
        <w:spacing w:line="240" w:lineRule="auto"/>
        <w:rPr>
          <w:rFonts w:ascii="Arial" w:hAnsi="Arial" w:cs="Arial"/>
          <w:szCs w:val="22"/>
          <w:lang w:val="es-CO"/>
        </w:rPr>
      </w:pPr>
    </w:p>
    <w:p w:rsidR="00DD1A2C" w:rsidRDefault="00DD1A2C" w:rsidP="00DD1A2C">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DD1A2C" w:rsidRPr="00FE5FF3" w:rsidRDefault="00DD1A2C" w:rsidP="00DD1A2C">
      <w:pPr>
        <w:pStyle w:val="Corpsdetexte"/>
        <w:tabs>
          <w:tab w:val="clear" w:pos="0"/>
          <w:tab w:val="clear" w:pos="708"/>
          <w:tab w:val="left" w:pos="709"/>
        </w:tabs>
        <w:spacing w:line="360" w:lineRule="auto"/>
        <w:rPr>
          <w:rFonts w:ascii="Arial" w:hAnsi="Arial" w:cs="Arial"/>
          <w:sz w:val="20"/>
          <w:szCs w:val="22"/>
        </w:rPr>
      </w:pPr>
    </w:p>
    <w:p w:rsidR="00DD1A2C" w:rsidRPr="00556F7F" w:rsidRDefault="00DD1A2C" w:rsidP="00DD1A2C">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sidR="00064EC5">
        <w:rPr>
          <w:rFonts w:ascii="Arial" w:hAnsi="Arial" w:cs="Arial"/>
          <w:szCs w:val="22"/>
        </w:rPr>
        <w:t>CC</w:t>
      </w:r>
      <w:r w:rsidRPr="00556F7F">
        <w:rPr>
          <w:rStyle w:val="Appelnotedebasdep"/>
          <w:rFonts w:ascii="Arial" w:hAnsi="Arial"/>
          <w:szCs w:val="22"/>
        </w:rPr>
        <w:footnoteReference w:id="15"/>
      </w:r>
      <w:r w:rsidRPr="00556F7F">
        <w:rPr>
          <w:rFonts w:ascii="Arial" w:hAnsi="Arial" w:cs="Arial"/>
          <w:sz w:val="22"/>
          <w:szCs w:val="22"/>
        </w:rPr>
        <w:t>.</w:t>
      </w:r>
    </w:p>
    <w:p w:rsidR="00353D7A" w:rsidRDefault="00353D7A" w:rsidP="00DD1A2C">
      <w:pPr>
        <w:pStyle w:val="Corpsdetexte"/>
        <w:tabs>
          <w:tab w:val="clear" w:pos="0"/>
          <w:tab w:val="clear" w:pos="708"/>
          <w:tab w:val="left" w:pos="709"/>
        </w:tabs>
        <w:spacing w:line="360" w:lineRule="auto"/>
        <w:rPr>
          <w:rFonts w:ascii="Arial" w:hAnsi="Arial" w:cs="Arial"/>
          <w:szCs w:val="22"/>
        </w:rPr>
      </w:pPr>
    </w:p>
    <w:p w:rsidR="00DD1A2C" w:rsidRDefault="00DD1A2C" w:rsidP="00DD1A2C">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w:t>
      </w:r>
      <w:proofErr w:type="gramStart"/>
      <w:r w:rsidRPr="00556F7F">
        <w:rPr>
          <w:rFonts w:ascii="Arial" w:hAnsi="Arial" w:cs="Arial"/>
          <w:szCs w:val="22"/>
        </w:rPr>
        <w:t>ante</w:t>
      </w:r>
      <w:proofErr w:type="gramEnd"/>
      <w:r w:rsidRPr="00556F7F">
        <w:rPr>
          <w:rFonts w:ascii="Arial" w:hAnsi="Arial" w:cs="Arial"/>
          <w:szCs w:val="22"/>
        </w:rPr>
        <w:t xml:space="preserv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16"/>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Appelnotedebasdep"/>
          <w:rFonts w:ascii="Arial" w:hAnsi="Arial"/>
          <w:szCs w:val="22"/>
        </w:rPr>
        <w:footnoteReference w:id="17"/>
      </w:r>
      <w:r w:rsidRPr="00556F7F">
        <w:rPr>
          <w:rFonts w:ascii="Arial" w:hAnsi="Arial" w:cs="Arial"/>
          <w:szCs w:val="22"/>
        </w:rPr>
        <w:t>, sostiene:</w:t>
      </w:r>
    </w:p>
    <w:p w:rsidR="00DD1A2C" w:rsidRPr="00FE5FF3" w:rsidRDefault="00DD1A2C" w:rsidP="00DD1A2C">
      <w:pPr>
        <w:pStyle w:val="Corpsdetexte"/>
        <w:tabs>
          <w:tab w:val="clear" w:pos="0"/>
          <w:tab w:val="clear" w:pos="708"/>
          <w:tab w:val="left" w:pos="709"/>
        </w:tabs>
        <w:spacing w:line="360" w:lineRule="auto"/>
        <w:rPr>
          <w:rFonts w:ascii="Arial" w:hAnsi="Arial" w:cs="Arial"/>
          <w:sz w:val="16"/>
          <w:szCs w:val="22"/>
          <w:lang w:val="es-CO"/>
        </w:rPr>
      </w:pPr>
    </w:p>
    <w:p w:rsidR="00DD1A2C" w:rsidRPr="00556F7F" w:rsidRDefault="00DD1A2C" w:rsidP="00DD1A2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DD1A2C" w:rsidRPr="00FE5FF3" w:rsidRDefault="00DD1A2C" w:rsidP="00DD1A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DD1A2C" w:rsidRDefault="00DD1A2C" w:rsidP="00DD1A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Appelnotedebasdep"/>
          <w:rFonts w:ascii="Arial" w:hAnsi="Arial"/>
          <w:spacing w:val="-3"/>
          <w:szCs w:val="20"/>
          <w:lang w:val="es-ES_tradnl"/>
        </w:rPr>
        <w:footnoteReference w:id="18"/>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9"/>
      </w:r>
      <w:r>
        <w:rPr>
          <w:rFonts w:ascii="Arial" w:hAnsi="Arial" w:cs="Times New Roman"/>
          <w:spacing w:val="-3"/>
          <w:szCs w:val="20"/>
          <w:lang w:val="es-ES_tradnl"/>
        </w:rPr>
        <w:t>.</w:t>
      </w:r>
    </w:p>
    <w:p w:rsidR="00DD1A2C" w:rsidRPr="001971C0" w:rsidRDefault="00DD1A2C" w:rsidP="00DD1A2C">
      <w:pPr>
        <w:pStyle w:val="Corpsdetexte"/>
        <w:spacing w:line="360" w:lineRule="auto"/>
        <w:rPr>
          <w:rFonts w:ascii="Arial" w:hAnsi="Arial"/>
          <w:sz w:val="20"/>
          <w:szCs w:val="24"/>
        </w:rPr>
      </w:pPr>
    </w:p>
    <w:p w:rsidR="00DD1A2C" w:rsidRDefault="00DD1A2C" w:rsidP="00DD1A2C">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20"/>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21"/>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DD1A2C" w:rsidRPr="001971C0" w:rsidRDefault="00DD1A2C" w:rsidP="00DD1A2C">
      <w:pPr>
        <w:pStyle w:val="Corpsdetexte"/>
        <w:spacing w:line="360" w:lineRule="auto"/>
        <w:rPr>
          <w:rFonts w:ascii="Arial" w:hAnsi="Arial"/>
          <w:sz w:val="20"/>
          <w:szCs w:val="24"/>
        </w:rPr>
      </w:pPr>
    </w:p>
    <w:p w:rsidR="00DD1A2C" w:rsidRDefault="00DD1A2C" w:rsidP="00DD1A2C">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22"/>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DD1A2C" w:rsidRPr="001971C0" w:rsidRDefault="00DD1A2C" w:rsidP="00DD1A2C">
      <w:pPr>
        <w:pStyle w:val="Corpsdetexte"/>
        <w:spacing w:line="360" w:lineRule="auto"/>
        <w:rPr>
          <w:rFonts w:ascii="Arial" w:hAnsi="Arial"/>
          <w:sz w:val="20"/>
          <w:szCs w:val="24"/>
        </w:rPr>
      </w:pPr>
    </w:p>
    <w:p w:rsidR="00DD1A2C" w:rsidRPr="00A4402B" w:rsidRDefault="00DD1A2C" w:rsidP="00DD1A2C">
      <w:pPr>
        <w:spacing w:line="360" w:lineRule="auto"/>
        <w:ind w:right="51"/>
        <w:jc w:val="both"/>
        <w:rPr>
          <w:rFonts w:ascii="Arial" w:hAnsi="Arial" w:cs="Arial"/>
        </w:rPr>
      </w:pPr>
      <w:r>
        <w:rPr>
          <w:rFonts w:ascii="Arial" w:hAnsi="Arial" w:cs="Arial"/>
          <w:iCs/>
          <w:color w:val="000000"/>
        </w:rPr>
        <w:lastRenderedPageBreak/>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DD1A2C" w:rsidRPr="00DA232C" w:rsidRDefault="00DD1A2C" w:rsidP="00DD1A2C">
      <w:pPr>
        <w:spacing w:line="360" w:lineRule="auto"/>
        <w:jc w:val="both"/>
        <w:rPr>
          <w:rFonts w:ascii="Arial" w:hAnsi="Arial"/>
        </w:rPr>
      </w:pPr>
    </w:p>
    <w:p w:rsidR="00DD1A2C" w:rsidRPr="00040EA1" w:rsidRDefault="00DD1A2C" w:rsidP="00DD1A2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DD1A2C" w:rsidRPr="008A7181" w:rsidRDefault="00DD1A2C" w:rsidP="00DD1A2C">
      <w:pPr>
        <w:pStyle w:val="Corpsdetexte"/>
        <w:tabs>
          <w:tab w:val="clear" w:pos="0"/>
          <w:tab w:val="clear" w:pos="1416"/>
        </w:tabs>
        <w:spacing w:line="360" w:lineRule="auto"/>
        <w:ind w:left="400"/>
        <w:rPr>
          <w:rFonts w:ascii="Arial" w:hAnsi="Arial"/>
          <w:sz w:val="14"/>
          <w:szCs w:val="24"/>
        </w:rPr>
      </w:pPr>
    </w:p>
    <w:p w:rsidR="00DD1A2C" w:rsidRDefault="00DD1A2C" w:rsidP="00DD1A2C">
      <w:pPr>
        <w:pStyle w:val="Paragraphedeliste"/>
        <w:numPr>
          <w:ilvl w:val="1"/>
          <w:numId w:val="18"/>
        </w:numPr>
        <w:spacing w:line="360" w:lineRule="auto"/>
        <w:jc w:val="both"/>
        <w:rPr>
          <w:rFonts w:ascii="Arial" w:hAnsi="Arial" w:cs="Arial"/>
          <w:smallCaps/>
          <w:lang w:val="es-ES_tradnl"/>
        </w:rPr>
      </w:pPr>
      <w:r w:rsidRPr="00FC2001">
        <w:rPr>
          <w:rFonts w:ascii="Arial" w:hAnsi="Arial" w:cs="Arial"/>
          <w:smallCaps/>
          <w:lang w:val="es-ES_tradnl"/>
        </w:rPr>
        <w:t xml:space="preserve">La procedibilidad frente a decisiones judiciales (Subsidiariedad) </w:t>
      </w:r>
    </w:p>
    <w:p w:rsidR="002D660B" w:rsidRPr="00FC2001" w:rsidRDefault="002D660B" w:rsidP="00353D7A">
      <w:pPr>
        <w:pStyle w:val="Paragraphedeliste"/>
        <w:spacing w:line="360" w:lineRule="auto"/>
        <w:ind w:left="720"/>
        <w:jc w:val="both"/>
        <w:rPr>
          <w:rFonts w:ascii="Arial" w:hAnsi="Arial" w:cs="Arial"/>
          <w:smallCaps/>
          <w:lang w:val="es-ES_tradnl"/>
        </w:rPr>
      </w:pPr>
    </w:p>
    <w:p w:rsidR="00DD1A2C" w:rsidRPr="00FC2001" w:rsidRDefault="00DD1A2C" w:rsidP="00DD1A2C">
      <w:pPr>
        <w:spacing w:line="360" w:lineRule="auto"/>
        <w:jc w:val="both"/>
        <w:rPr>
          <w:rFonts w:ascii="Arial" w:hAnsi="Arial" w:cs="Arial"/>
          <w:lang w:val="es-ES_tradnl"/>
        </w:rPr>
      </w:pPr>
      <w:r w:rsidRPr="00FC2001">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w:t>
      </w:r>
    </w:p>
    <w:p w:rsidR="008A7181" w:rsidRDefault="008A7181" w:rsidP="008A7181">
      <w:pPr>
        <w:spacing w:line="360" w:lineRule="auto"/>
        <w:jc w:val="both"/>
        <w:rPr>
          <w:rFonts w:ascii="Arial" w:hAnsi="Arial" w:cs="Arial"/>
          <w:lang w:val="es-ES_tradnl"/>
        </w:rPr>
      </w:pPr>
    </w:p>
    <w:p w:rsidR="008A7181" w:rsidRDefault="008A7181" w:rsidP="008A7181">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 xml:space="preserve">se duele porque </w:t>
      </w:r>
      <w:r>
        <w:rPr>
          <w:rFonts w:ascii="Arial" w:hAnsi="Arial" w:cs="Arial"/>
          <w:lang w:val="es-ES_tradnl"/>
        </w:rPr>
        <w:t xml:space="preserve">el </w:t>
      </w:r>
      <w:r w:rsidR="008A75BC">
        <w:rPr>
          <w:rFonts w:ascii="Arial" w:hAnsi="Arial" w:cs="Arial"/>
          <w:lang w:val="es-ES_tradnl"/>
        </w:rPr>
        <w:t xml:space="preserve">juzgado </w:t>
      </w:r>
      <w:r>
        <w:rPr>
          <w:rFonts w:ascii="Arial" w:hAnsi="Arial" w:cs="Arial"/>
          <w:lang w:val="es-ES_tradnl"/>
        </w:rPr>
        <w:t xml:space="preserve">accionado </w:t>
      </w:r>
      <w:r w:rsidR="008A75BC">
        <w:rPr>
          <w:rFonts w:ascii="Arial" w:hAnsi="Arial" w:cs="Arial"/>
          <w:lang w:val="es-ES_tradnl"/>
        </w:rPr>
        <w:t>no concedió la alzada presentada contra el auto que aprobó la liquidación de costas, pese a que el CGP así lo autoriza</w:t>
      </w:r>
      <w:r>
        <w:rPr>
          <w:rFonts w:ascii="Arial" w:hAnsi="Arial" w:cs="Arial"/>
          <w:lang w:val="es-ES_tradnl"/>
        </w:rPr>
        <w:t>.</w:t>
      </w:r>
    </w:p>
    <w:p w:rsidR="00DD1A2C" w:rsidRPr="00D54497" w:rsidRDefault="00DD1A2C" w:rsidP="00DD1A2C">
      <w:pPr>
        <w:spacing w:line="360" w:lineRule="auto"/>
        <w:jc w:val="both"/>
        <w:rPr>
          <w:rFonts w:ascii="Arial" w:hAnsi="Arial" w:cs="Arial"/>
          <w:sz w:val="20"/>
          <w:lang w:val="es-ES_tradnl"/>
        </w:rPr>
      </w:pPr>
    </w:p>
    <w:p w:rsidR="00B751DA" w:rsidRDefault="00DD1A2C" w:rsidP="00DD1A2C">
      <w:pPr>
        <w:spacing w:line="360" w:lineRule="auto"/>
        <w:jc w:val="both"/>
        <w:rPr>
          <w:rFonts w:ascii="Arial" w:hAnsi="Arial" w:cs="Arial"/>
          <w:lang w:val="es-CO"/>
        </w:rPr>
      </w:pPr>
      <w:r w:rsidRPr="007374A3">
        <w:rPr>
          <w:rFonts w:ascii="Arial" w:hAnsi="Arial" w:cs="Arial"/>
        </w:rPr>
        <w:t xml:space="preserve">Conforme al acervo probatorio </w:t>
      </w:r>
      <w:r w:rsidRPr="007374A3">
        <w:rPr>
          <w:rFonts w:ascii="Arial" w:hAnsi="Arial" w:cs="Arial"/>
          <w:lang w:val="es-CO"/>
        </w:rPr>
        <w:t xml:space="preserve">el Juzgado </w:t>
      </w:r>
      <w:r w:rsidR="008A7181">
        <w:rPr>
          <w:rFonts w:ascii="Arial" w:hAnsi="Arial" w:cs="Arial"/>
          <w:lang w:val="es-CO"/>
        </w:rPr>
        <w:t xml:space="preserve">Quinto </w:t>
      </w:r>
      <w:r w:rsidRPr="007374A3">
        <w:rPr>
          <w:rFonts w:ascii="Arial" w:hAnsi="Arial" w:cs="Arial"/>
          <w:lang w:val="es-CO"/>
        </w:rPr>
        <w:t xml:space="preserve">Civil del Circuito local el día </w:t>
      </w:r>
      <w:r w:rsidR="008A7181">
        <w:rPr>
          <w:rFonts w:ascii="Arial" w:hAnsi="Arial" w:cs="Arial"/>
          <w:lang w:val="es-CO"/>
        </w:rPr>
        <w:t>18-02-</w:t>
      </w:r>
      <w:r w:rsidRPr="007374A3">
        <w:rPr>
          <w:rFonts w:ascii="Arial" w:hAnsi="Arial" w:cs="Arial"/>
          <w:lang w:val="es-CO"/>
        </w:rPr>
        <w:t>201</w:t>
      </w:r>
      <w:r w:rsidR="008A7181">
        <w:rPr>
          <w:rFonts w:ascii="Arial" w:hAnsi="Arial" w:cs="Arial"/>
          <w:lang w:val="es-CO"/>
        </w:rPr>
        <w:t>6</w:t>
      </w:r>
      <w:r w:rsidRPr="007374A3">
        <w:rPr>
          <w:rFonts w:ascii="Arial" w:hAnsi="Arial" w:cs="Arial"/>
          <w:lang w:val="es-CO"/>
        </w:rPr>
        <w:t xml:space="preserve"> </w:t>
      </w:r>
      <w:r w:rsidR="00DA5D12">
        <w:rPr>
          <w:rFonts w:ascii="Arial" w:hAnsi="Arial" w:cs="Arial"/>
          <w:lang w:val="es-CO"/>
        </w:rPr>
        <w:t>admitió la acción</w:t>
      </w:r>
      <w:r w:rsidRPr="007374A3">
        <w:rPr>
          <w:rFonts w:ascii="Arial" w:hAnsi="Arial" w:cs="Arial"/>
          <w:lang w:val="es-CO"/>
        </w:rPr>
        <w:t>; el</w:t>
      </w:r>
      <w:r w:rsidR="00B751DA">
        <w:rPr>
          <w:rFonts w:ascii="Arial" w:hAnsi="Arial" w:cs="Arial"/>
          <w:lang w:val="es-CO"/>
        </w:rPr>
        <w:t xml:space="preserve"> 24-05-2016 profirió sentencia amparando los derechos colectivos, condenó en costas al Banco de Occidente y como agencias en derecho fijó </w:t>
      </w:r>
      <w:r w:rsidR="008A75BC">
        <w:rPr>
          <w:rFonts w:ascii="Arial" w:hAnsi="Arial" w:cs="Arial"/>
          <w:lang w:val="es-CO"/>
        </w:rPr>
        <w:t xml:space="preserve">la suma de </w:t>
      </w:r>
      <w:r w:rsidR="00B751DA">
        <w:rPr>
          <w:rFonts w:ascii="Arial" w:hAnsi="Arial" w:cs="Arial"/>
          <w:lang w:val="es-CO"/>
        </w:rPr>
        <w:t>$300.000 (Folio 173</w:t>
      </w:r>
      <w:r w:rsidR="00345EA5">
        <w:rPr>
          <w:rFonts w:ascii="Arial" w:hAnsi="Arial" w:cs="Arial"/>
          <w:lang w:val="es-CO"/>
        </w:rPr>
        <w:t xml:space="preserve"> del disco compacto obrante a folio 19</w:t>
      </w:r>
      <w:r w:rsidR="008A75BC">
        <w:rPr>
          <w:rFonts w:ascii="Arial" w:hAnsi="Arial" w:cs="Arial"/>
          <w:lang w:val="es-CO"/>
        </w:rPr>
        <w:t>, ibídem</w:t>
      </w:r>
      <w:r w:rsidR="00B751DA">
        <w:rPr>
          <w:rFonts w:ascii="Arial" w:hAnsi="Arial" w:cs="Arial"/>
          <w:lang w:val="es-CO"/>
        </w:rPr>
        <w:t xml:space="preserve">); </w:t>
      </w:r>
      <w:r w:rsidR="008A75BC">
        <w:rPr>
          <w:rFonts w:ascii="Arial" w:hAnsi="Arial" w:cs="Arial"/>
          <w:lang w:val="es-CO"/>
        </w:rPr>
        <w:t>luego el 22-11-2016 la secretaría liquidó las costas y con auto de ese mismo día se aprobaron (</w:t>
      </w:r>
      <w:r w:rsidR="00EB28E5">
        <w:rPr>
          <w:rFonts w:ascii="Arial" w:hAnsi="Arial" w:cs="Arial"/>
          <w:lang w:val="es-CO"/>
        </w:rPr>
        <w:t>Folio 224 del disco compacto obrante a folio 19, ib.), notificado</w:t>
      </w:r>
      <w:r w:rsidR="00345EA5">
        <w:rPr>
          <w:rFonts w:ascii="Arial" w:hAnsi="Arial" w:cs="Arial"/>
          <w:lang w:val="es-CO"/>
        </w:rPr>
        <w:t xml:space="preserve"> en estado del 23-11-2016</w:t>
      </w:r>
      <w:r w:rsidR="00623BC0">
        <w:rPr>
          <w:rFonts w:ascii="Arial" w:hAnsi="Arial" w:cs="Arial"/>
          <w:lang w:val="es-CO"/>
        </w:rPr>
        <w:t xml:space="preserve">, </w:t>
      </w:r>
      <w:r w:rsidR="00EB28E5">
        <w:rPr>
          <w:rFonts w:ascii="Arial" w:hAnsi="Arial" w:cs="Arial"/>
          <w:lang w:val="es-CO"/>
        </w:rPr>
        <w:t xml:space="preserve">recurrido en reposición y en subsidio apelación </w:t>
      </w:r>
      <w:r w:rsidR="00623BC0">
        <w:rPr>
          <w:rFonts w:ascii="Arial" w:hAnsi="Arial" w:cs="Arial"/>
          <w:lang w:val="es-CO"/>
        </w:rPr>
        <w:t xml:space="preserve">(Folio 225 </w:t>
      </w:r>
      <w:r w:rsidR="00EB28E5">
        <w:rPr>
          <w:rFonts w:ascii="Arial" w:hAnsi="Arial" w:cs="Arial"/>
          <w:lang w:val="es-CO"/>
        </w:rPr>
        <w:t>del disco compacto obrante a folio 19, ib.</w:t>
      </w:r>
      <w:r w:rsidR="00623BC0">
        <w:rPr>
          <w:rFonts w:ascii="Arial" w:hAnsi="Arial" w:cs="Arial"/>
          <w:lang w:val="es-CO"/>
        </w:rPr>
        <w:t>)</w:t>
      </w:r>
      <w:r w:rsidR="009D3A04">
        <w:rPr>
          <w:rFonts w:ascii="Arial" w:hAnsi="Arial" w:cs="Arial"/>
          <w:lang w:val="es-CO"/>
        </w:rPr>
        <w:t xml:space="preserve">; </w:t>
      </w:r>
      <w:r w:rsidR="00EB28E5">
        <w:rPr>
          <w:rFonts w:ascii="Arial" w:hAnsi="Arial" w:cs="Arial"/>
          <w:lang w:val="es-CO"/>
        </w:rPr>
        <w:t xml:space="preserve">con proveído del </w:t>
      </w:r>
      <w:r w:rsidR="00623BC0">
        <w:rPr>
          <w:rFonts w:ascii="Arial" w:hAnsi="Arial" w:cs="Arial"/>
          <w:lang w:val="es-CO"/>
        </w:rPr>
        <w:t xml:space="preserve">23-01-2017 </w:t>
      </w:r>
      <w:r w:rsidR="00EB28E5">
        <w:rPr>
          <w:rFonts w:ascii="Arial" w:hAnsi="Arial" w:cs="Arial"/>
          <w:lang w:val="es-CO"/>
        </w:rPr>
        <w:t xml:space="preserve">se sostuvo la decisión y se negó la alzada </w:t>
      </w:r>
      <w:r w:rsidR="0056500B">
        <w:rPr>
          <w:rFonts w:ascii="Arial" w:hAnsi="Arial" w:cs="Arial"/>
          <w:lang w:val="es-CO"/>
        </w:rPr>
        <w:t>(Folio</w:t>
      </w:r>
      <w:r w:rsidR="00EB28E5">
        <w:rPr>
          <w:rFonts w:ascii="Arial" w:hAnsi="Arial" w:cs="Arial"/>
          <w:lang w:val="es-CO"/>
        </w:rPr>
        <w:t>s</w:t>
      </w:r>
      <w:r w:rsidR="0056500B">
        <w:rPr>
          <w:rFonts w:ascii="Arial" w:hAnsi="Arial" w:cs="Arial"/>
          <w:lang w:val="es-CO"/>
        </w:rPr>
        <w:t xml:space="preserve"> 231</w:t>
      </w:r>
      <w:r w:rsidR="00EB28E5" w:rsidRPr="00EB28E5">
        <w:rPr>
          <w:rFonts w:ascii="Arial" w:hAnsi="Arial" w:cs="Arial"/>
          <w:lang w:val="es-CO"/>
        </w:rPr>
        <w:t xml:space="preserve"> </w:t>
      </w:r>
      <w:r w:rsidR="00EB28E5">
        <w:rPr>
          <w:rFonts w:ascii="Arial" w:hAnsi="Arial" w:cs="Arial"/>
          <w:lang w:val="es-CO"/>
        </w:rPr>
        <w:t>a 232 del disco compacto obrante a folio 19, ib.</w:t>
      </w:r>
      <w:r w:rsidR="0056500B">
        <w:rPr>
          <w:rFonts w:ascii="Arial" w:hAnsi="Arial" w:cs="Arial"/>
          <w:lang w:val="es-CO"/>
        </w:rPr>
        <w:t>)</w:t>
      </w:r>
      <w:r w:rsidR="00064EC5">
        <w:rPr>
          <w:rFonts w:ascii="Arial" w:hAnsi="Arial" w:cs="Arial"/>
          <w:lang w:val="es-CO"/>
        </w:rPr>
        <w:t>, notificado el 24-01-2017 y debidamente ejecutoriado</w:t>
      </w:r>
      <w:r w:rsidR="009D3A04">
        <w:rPr>
          <w:rFonts w:ascii="Arial" w:hAnsi="Arial" w:cs="Arial"/>
          <w:lang w:val="es-CO"/>
        </w:rPr>
        <w:t xml:space="preserve"> </w:t>
      </w:r>
      <w:r w:rsidR="00064EC5">
        <w:rPr>
          <w:rFonts w:ascii="Arial" w:hAnsi="Arial" w:cs="Arial"/>
          <w:lang w:val="es-CO"/>
        </w:rPr>
        <w:t>(Folio 18, ib.).</w:t>
      </w:r>
    </w:p>
    <w:p w:rsidR="00557189" w:rsidRDefault="00557189" w:rsidP="00DD1A2C">
      <w:pPr>
        <w:spacing w:line="360" w:lineRule="auto"/>
        <w:jc w:val="both"/>
        <w:rPr>
          <w:rFonts w:ascii="Arial" w:hAnsi="Arial" w:cs="Arial"/>
          <w:lang w:val="es-CO"/>
        </w:rPr>
      </w:pPr>
    </w:p>
    <w:p w:rsidR="00DD1A2C" w:rsidRDefault="00DD1A2C" w:rsidP="00DD1A2C">
      <w:pPr>
        <w:spacing w:line="360" w:lineRule="auto"/>
        <w:jc w:val="both"/>
        <w:rPr>
          <w:rFonts w:ascii="Arial" w:hAnsi="Arial" w:cs="Arial"/>
        </w:rPr>
      </w:pPr>
      <w:r>
        <w:rPr>
          <w:rFonts w:ascii="Arial" w:hAnsi="Arial" w:cs="Arial"/>
        </w:rPr>
        <w:t xml:space="preserve">En ese orden de ideas, se tiene que el accionante pretermitió agotar el </w:t>
      </w:r>
      <w:r w:rsidRPr="00DA232C">
        <w:rPr>
          <w:rFonts w:ascii="Arial" w:hAnsi="Arial" w:cs="Arial"/>
          <w:u w:val="single"/>
        </w:rPr>
        <w:t>recurso de reposición (Artículo 36, Ley 472),</w:t>
      </w:r>
      <w:r>
        <w:rPr>
          <w:rFonts w:ascii="Arial" w:hAnsi="Arial" w:cs="Arial"/>
        </w:rPr>
        <w:t xml:space="preserve"> </w:t>
      </w:r>
      <w:r>
        <w:rPr>
          <w:rFonts w:ascii="Arial" w:hAnsi="Arial" w:cs="Arial"/>
          <w:bCs/>
          <w:lang w:val="es-CO"/>
        </w:rPr>
        <w:t xml:space="preserve"> </w:t>
      </w:r>
      <w:r w:rsidRPr="00483001">
        <w:rPr>
          <w:rFonts w:ascii="Arial" w:hAnsi="Arial" w:cs="Arial"/>
        </w:rPr>
        <w:t xml:space="preserve">cuando </w:t>
      </w:r>
      <w:r>
        <w:rPr>
          <w:rFonts w:ascii="Arial" w:hAnsi="Arial" w:cs="Arial"/>
        </w:rPr>
        <w:t>ese</w:t>
      </w:r>
      <w:r w:rsidRPr="00483001">
        <w:rPr>
          <w:rFonts w:ascii="Arial" w:hAnsi="Arial" w:cs="Arial"/>
        </w:rPr>
        <w:t xml:space="preserve"> era el mecanismo ordinario y expedito que tenía para </w:t>
      </w:r>
      <w:r>
        <w:rPr>
          <w:rFonts w:ascii="Arial" w:hAnsi="Arial" w:cs="Arial"/>
        </w:rPr>
        <w:t xml:space="preserve">procurar que el estrado judicial accionado reconsiderara aquella determinación. </w:t>
      </w:r>
    </w:p>
    <w:p w:rsidR="00DD1A2C" w:rsidRDefault="00DD1A2C" w:rsidP="00DD1A2C">
      <w:pPr>
        <w:spacing w:line="360" w:lineRule="auto"/>
        <w:jc w:val="both"/>
        <w:rPr>
          <w:rFonts w:ascii="Arial" w:hAnsi="Arial" w:cs="Arial"/>
        </w:rPr>
      </w:pPr>
    </w:p>
    <w:p w:rsidR="00DD1A2C" w:rsidRDefault="00DD1A2C" w:rsidP="00DD1A2C">
      <w:pPr>
        <w:spacing w:line="360" w:lineRule="auto"/>
        <w:jc w:val="both"/>
        <w:rPr>
          <w:rFonts w:ascii="Arial" w:hAnsi="Arial" w:cs="Arial"/>
          <w:shd w:val="clear" w:color="auto" w:fill="FFFFFF"/>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CC,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23"/>
      </w:r>
      <w:r>
        <w:rPr>
          <w:rFonts w:ascii="Arial" w:hAnsi="Arial"/>
        </w:rPr>
        <w:t>.</w:t>
      </w:r>
    </w:p>
    <w:p w:rsidR="00DD1A2C" w:rsidRDefault="00DD1A2C" w:rsidP="00DD1A2C">
      <w:pPr>
        <w:spacing w:line="360" w:lineRule="auto"/>
        <w:ind w:right="51"/>
        <w:jc w:val="both"/>
        <w:rPr>
          <w:rFonts w:ascii="Arial" w:hAnsi="Arial"/>
        </w:rPr>
      </w:pPr>
    </w:p>
    <w:p w:rsidR="00DD1A2C" w:rsidRDefault="00DD1A2C" w:rsidP="00DD1A2C">
      <w:pPr>
        <w:spacing w:line="360" w:lineRule="auto"/>
        <w:ind w:right="51"/>
        <w:jc w:val="both"/>
        <w:rPr>
          <w:rFonts w:ascii="Arial" w:hAnsi="Arial"/>
        </w:rPr>
      </w:pPr>
      <w:r>
        <w:rPr>
          <w:rFonts w:ascii="Arial" w:hAnsi="Arial"/>
        </w:rPr>
        <w:lastRenderedPageBreak/>
        <w:t xml:space="preserve">Cabe anotar que nada se arguyó y menos acreditó por parte del accionante, de forma que pudiera estimarse que es una persona que requiere de </w:t>
      </w:r>
      <w:r w:rsidRPr="008B43C6">
        <w:rPr>
          <w:rFonts w:ascii="Arial" w:hAnsi="Arial" w:cs="Arial"/>
          <w:bCs/>
          <w:szCs w:val="22"/>
          <w:lang w:val="es-CO"/>
        </w:rPr>
        <w:t>protección reforzada</w:t>
      </w:r>
      <w:r w:rsidRPr="008B43C6">
        <w:rPr>
          <w:rStyle w:val="Appelnotedebasdep"/>
          <w:rFonts w:ascii="Arial" w:hAnsi="Arial"/>
          <w:bCs/>
          <w:szCs w:val="22"/>
          <w:lang w:val="es-CO"/>
        </w:rPr>
        <w:footnoteReference w:id="24"/>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5"/>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 xml:space="preserve">por ende solo a la parte le es imputable tal descuido. </w:t>
      </w: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formuló los recursos ordinarios.</w:t>
      </w:r>
    </w:p>
    <w:p w:rsidR="00353D7A" w:rsidRDefault="00353D7A" w:rsidP="00DD1A2C">
      <w:pPr>
        <w:spacing w:line="360" w:lineRule="auto"/>
        <w:ind w:right="51"/>
        <w:jc w:val="both"/>
        <w:rPr>
          <w:rFonts w:ascii="Arial" w:hAnsi="Arial"/>
        </w:rPr>
      </w:pPr>
    </w:p>
    <w:p w:rsidR="00DD1A2C" w:rsidRPr="00C86CC1" w:rsidRDefault="00DD1A2C" w:rsidP="00DD1A2C">
      <w:pPr>
        <w:pStyle w:val="Corpsdetexte"/>
        <w:numPr>
          <w:ilvl w:val="1"/>
          <w:numId w:val="18"/>
        </w:numPr>
        <w:spacing w:line="360" w:lineRule="auto"/>
        <w:rPr>
          <w:rFonts w:ascii="Arial" w:hAnsi="Arial"/>
          <w:smallCaps/>
          <w:szCs w:val="24"/>
        </w:rPr>
      </w:pPr>
      <w:r w:rsidRPr="00C86CC1">
        <w:rPr>
          <w:rFonts w:ascii="Arial" w:hAnsi="Arial" w:cs="Arial"/>
          <w:smallCaps/>
          <w:szCs w:val="24"/>
        </w:rPr>
        <w:t>La temeridad y la cosa juzgada constitucional</w:t>
      </w:r>
    </w:p>
    <w:p w:rsidR="00DD1A2C" w:rsidRDefault="00DD1A2C" w:rsidP="00DD1A2C">
      <w:pPr>
        <w:pStyle w:val="Corpsdetexte"/>
        <w:spacing w:line="360" w:lineRule="auto"/>
        <w:rPr>
          <w:rFonts w:ascii="Arial" w:hAnsi="Arial" w:cs="Arial"/>
          <w:sz w:val="18"/>
        </w:rPr>
      </w:pPr>
    </w:p>
    <w:p w:rsidR="00DD1A2C" w:rsidRPr="002128C2" w:rsidRDefault="00DD1A2C" w:rsidP="00DD1A2C">
      <w:pPr>
        <w:pStyle w:val="Corpsdetex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w:t>
      </w:r>
      <w:r w:rsidR="00EB28E5">
        <w:rPr>
          <w:rFonts w:ascii="Arial" w:hAnsi="Arial" w:cs="Arial"/>
          <w:szCs w:val="24"/>
        </w:rPr>
        <w:t xml:space="preserve">también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 xml:space="preserve">actor </w:t>
      </w:r>
      <w:r w:rsidR="00EB28E5">
        <w:rPr>
          <w:rFonts w:ascii="Arial" w:hAnsi="Arial" w:cs="Arial"/>
          <w:szCs w:val="24"/>
        </w:rPr>
        <w:t>de que el juzgado le haya negado apelación presentada contra la sentencia porque no pagó las copias exigidas</w:t>
      </w:r>
      <w:r w:rsidRPr="002128C2">
        <w:rPr>
          <w:rFonts w:ascii="Arial" w:hAnsi="Arial" w:cs="Arial"/>
          <w:szCs w:val="24"/>
        </w:rPr>
        <w:t xml:space="preserve">. </w:t>
      </w:r>
    </w:p>
    <w:p w:rsidR="00DD1A2C" w:rsidRDefault="00DD1A2C" w:rsidP="00DD1A2C">
      <w:pPr>
        <w:pStyle w:val="Corpsdetexte"/>
        <w:spacing w:line="360" w:lineRule="auto"/>
        <w:rPr>
          <w:rFonts w:ascii="Arial" w:hAnsi="Arial"/>
          <w:szCs w:val="24"/>
        </w:rPr>
      </w:pPr>
    </w:p>
    <w:p w:rsidR="00DD1A2C" w:rsidRDefault="00EB28E5" w:rsidP="00DD1A2C">
      <w:pPr>
        <w:pStyle w:val="Corpsdetexte"/>
        <w:spacing w:line="360" w:lineRule="auto"/>
        <w:rPr>
          <w:rFonts w:ascii="Arial" w:hAnsi="Arial" w:cs="Arial"/>
          <w:szCs w:val="24"/>
        </w:rPr>
      </w:pPr>
      <w:r>
        <w:rPr>
          <w:rFonts w:ascii="Arial" w:hAnsi="Arial" w:cs="Arial"/>
          <w:szCs w:val="24"/>
        </w:rPr>
        <w:t xml:space="preserve">Importa </w:t>
      </w:r>
      <w:r w:rsidR="00DD1A2C" w:rsidRPr="009774F5">
        <w:rPr>
          <w:rFonts w:ascii="Arial" w:hAnsi="Arial" w:cs="Arial"/>
          <w:szCs w:val="24"/>
        </w:rPr>
        <w:t xml:space="preserve">advertir que </w:t>
      </w:r>
      <w:r w:rsidR="00DD1A2C">
        <w:rPr>
          <w:rFonts w:ascii="Arial" w:hAnsi="Arial" w:cs="Arial"/>
          <w:szCs w:val="24"/>
        </w:rPr>
        <w:t>es innecesario estudiar</w:t>
      </w:r>
      <w:r w:rsidR="00DD1A2C" w:rsidRPr="009774F5">
        <w:rPr>
          <w:rFonts w:ascii="Arial" w:hAnsi="Arial" w:cs="Arial"/>
          <w:szCs w:val="24"/>
        </w:rPr>
        <w:t xml:space="preserve"> de fondo </w:t>
      </w:r>
      <w:r w:rsidR="00DD1A2C">
        <w:rPr>
          <w:rFonts w:ascii="Arial" w:hAnsi="Arial" w:cs="Arial"/>
          <w:szCs w:val="24"/>
        </w:rPr>
        <w:t>lo expuesto en precedencia porque</w:t>
      </w:r>
      <w:r w:rsidR="00DD1A2C" w:rsidRPr="009774F5">
        <w:rPr>
          <w:rFonts w:ascii="Arial" w:hAnsi="Arial" w:cs="Arial"/>
          <w:szCs w:val="24"/>
        </w:rPr>
        <w:t xml:space="preserve"> </w:t>
      </w:r>
      <w:r w:rsidR="00DD1A2C">
        <w:rPr>
          <w:rFonts w:ascii="Arial" w:hAnsi="Arial" w:cs="Arial"/>
          <w:szCs w:val="24"/>
        </w:rPr>
        <w:t xml:space="preserve">no es la primera vez que el actor inicia </w:t>
      </w:r>
      <w:r>
        <w:rPr>
          <w:rFonts w:ascii="Arial" w:hAnsi="Arial" w:cs="Arial"/>
          <w:szCs w:val="24"/>
        </w:rPr>
        <w:t xml:space="preserve">una acción </w:t>
      </w:r>
      <w:r w:rsidR="00DD1A2C">
        <w:rPr>
          <w:rFonts w:ascii="Arial" w:hAnsi="Arial" w:cs="Arial"/>
          <w:szCs w:val="24"/>
        </w:rPr>
        <w:t xml:space="preserve">de tutela contra </w:t>
      </w:r>
      <w:r>
        <w:rPr>
          <w:rFonts w:ascii="Arial" w:hAnsi="Arial" w:cs="Arial"/>
          <w:szCs w:val="24"/>
        </w:rPr>
        <w:t>el juzgado accionado para que se conceda la alzada presentada sin que deba pagar expensa alguna</w:t>
      </w:r>
      <w:r w:rsidR="00DD1A2C">
        <w:rPr>
          <w:rFonts w:ascii="Arial" w:hAnsi="Arial" w:cs="Arial"/>
          <w:szCs w:val="24"/>
        </w:rPr>
        <w:t>, situación que nunca ha variado</w:t>
      </w:r>
      <w:r>
        <w:rPr>
          <w:rFonts w:ascii="Arial" w:hAnsi="Arial" w:cs="Arial"/>
          <w:szCs w:val="24"/>
        </w:rPr>
        <w:t xml:space="preserve">, pues se </w:t>
      </w:r>
      <w:r w:rsidR="00DD1A2C">
        <w:rPr>
          <w:rFonts w:ascii="Arial" w:hAnsi="Arial" w:cs="Arial"/>
          <w:szCs w:val="24"/>
        </w:rPr>
        <w:t>carece de hechos nuevos y los supuestos fácticos afirmados ya fueron tenidos en cuenta con anterioridad.</w:t>
      </w:r>
    </w:p>
    <w:p w:rsidR="00DD1A2C" w:rsidRDefault="00DD1A2C" w:rsidP="00DD1A2C">
      <w:pPr>
        <w:pStyle w:val="Corpsdetexte"/>
        <w:spacing w:line="360" w:lineRule="auto"/>
        <w:rPr>
          <w:rFonts w:ascii="Arial" w:hAnsi="Arial" w:cs="Arial"/>
          <w:szCs w:val="24"/>
        </w:rPr>
      </w:pPr>
    </w:p>
    <w:p w:rsidR="00DD1A2C" w:rsidRDefault="000D37C1" w:rsidP="00DD1A2C">
      <w:pPr>
        <w:pStyle w:val="Corpsdetexte"/>
        <w:spacing w:line="360" w:lineRule="auto"/>
        <w:rPr>
          <w:rFonts w:ascii="Arial" w:hAnsi="Arial"/>
          <w:b/>
          <w:szCs w:val="24"/>
          <w:lang w:val="es-ES"/>
        </w:rPr>
      </w:pPr>
      <w:r>
        <w:rPr>
          <w:rFonts w:ascii="Arial" w:hAnsi="Arial" w:cs="Arial"/>
          <w:szCs w:val="24"/>
        </w:rPr>
        <w:t>En efecto existe una decisión de esta Corporación en la</w:t>
      </w:r>
      <w:r w:rsidR="00DD1A2C">
        <w:rPr>
          <w:rFonts w:ascii="Arial" w:hAnsi="Arial" w:cs="Arial"/>
          <w:szCs w:val="24"/>
        </w:rPr>
        <w:t xml:space="preserve"> que se </w:t>
      </w:r>
      <w:r>
        <w:rPr>
          <w:rFonts w:ascii="Arial" w:hAnsi="Arial" w:cs="Arial"/>
          <w:szCs w:val="24"/>
        </w:rPr>
        <w:t>analizó un petitorio de tutela igual</w:t>
      </w:r>
      <w:r w:rsidR="00DD1A2C">
        <w:rPr>
          <w:rFonts w:ascii="Arial" w:hAnsi="Arial" w:cs="Arial"/>
          <w:szCs w:val="24"/>
        </w:rPr>
        <w:t xml:space="preserve">, </w:t>
      </w:r>
      <w:r>
        <w:rPr>
          <w:rFonts w:ascii="Arial" w:hAnsi="Arial" w:cs="Arial"/>
          <w:szCs w:val="24"/>
        </w:rPr>
        <w:t xml:space="preserve">el </w:t>
      </w:r>
      <w:r>
        <w:rPr>
          <w:rFonts w:ascii="Arial" w:hAnsi="Arial"/>
          <w:szCs w:val="24"/>
        </w:rPr>
        <w:t xml:space="preserve">radicado 2016-00978-00, la </w:t>
      </w:r>
      <w:r w:rsidR="00DD1A2C" w:rsidRPr="002128C2">
        <w:rPr>
          <w:rFonts w:ascii="Arial" w:hAnsi="Arial"/>
          <w:szCs w:val="24"/>
        </w:rPr>
        <w:t xml:space="preserve">sentencia de primera instancia </w:t>
      </w:r>
      <w:r>
        <w:rPr>
          <w:rFonts w:ascii="Arial" w:hAnsi="Arial"/>
          <w:szCs w:val="24"/>
        </w:rPr>
        <w:t>data del 09-11-2016</w:t>
      </w:r>
      <w:r w:rsidR="00426C90">
        <w:rPr>
          <w:rFonts w:ascii="Arial" w:hAnsi="Arial"/>
          <w:szCs w:val="24"/>
        </w:rPr>
        <w:t xml:space="preserve"> (</w:t>
      </w:r>
      <w:r w:rsidR="00426C90">
        <w:rPr>
          <w:rFonts w:ascii="Arial" w:hAnsi="Arial" w:cs="Arial"/>
          <w:lang w:val="es-CO"/>
        </w:rPr>
        <w:t>Folios 213 a 223 del disco compacto obrante a folio 19, ib.)</w:t>
      </w:r>
      <w:r>
        <w:rPr>
          <w:rFonts w:ascii="Arial" w:hAnsi="Arial"/>
          <w:szCs w:val="24"/>
        </w:rPr>
        <w:t xml:space="preserve"> </w:t>
      </w:r>
      <w:r w:rsidR="00426C90">
        <w:rPr>
          <w:rFonts w:ascii="Arial" w:hAnsi="Arial"/>
          <w:szCs w:val="24"/>
        </w:rPr>
        <w:t xml:space="preserve">y fue confirmada por la </w:t>
      </w:r>
      <w:r w:rsidR="00DD1A2C" w:rsidRPr="002128C2">
        <w:rPr>
          <w:rFonts w:ascii="Arial" w:hAnsi="Arial"/>
          <w:szCs w:val="24"/>
        </w:rPr>
        <w:t>CSJ</w:t>
      </w:r>
      <w:r w:rsidR="00DD1A2C">
        <w:rPr>
          <w:rStyle w:val="Appelnotedebasdep"/>
          <w:rFonts w:ascii="Arial" w:hAnsi="Arial"/>
          <w:szCs w:val="24"/>
        </w:rPr>
        <w:footnoteReference w:id="26"/>
      </w:r>
      <w:r w:rsidR="00426C90">
        <w:rPr>
          <w:rFonts w:ascii="Arial" w:hAnsi="Arial"/>
          <w:szCs w:val="24"/>
        </w:rPr>
        <w:t xml:space="preserve"> con providencia del 12-12-2016</w:t>
      </w:r>
      <w:r w:rsidR="00DD1A2C">
        <w:rPr>
          <w:rFonts w:ascii="Arial" w:hAnsi="Arial"/>
          <w:szCs w:val="24"/>
          <w:lang w:val="es-ES"/>
        </w:rPr>
        <w:t xml:space="preserve">. </w:t>
      </w:r>
      <w:r w:rsidR="00426C90">
        <w:rPr>
          <w:rFonts w:ascii="Arial" w:hAnsi="Arial"/>
          <w:szCs w:val="24"/>
          <w:lang w:val="es-ES"/>
        </w:rPr>
        <w:t xml:space="preserve">Allí pidió conceder el recurso en el efecto suspensivo, para que no se le pida el pago de copias; amparo que se declaró improcedente por subsidiariedad porque </w:t>
      </w:r>
      <w:r w:rsidR="002D660B">
        <w:rPr>
          <w:rFonts w:ascii="Arial" w:hAnsi="Arial"/>
          <w:szCs w:val="24"/>
          <w:lang w:val="es-ES"/>
        </w:rPr>
        <w:t xml:space="preserve">faltó recurrir </w:t>
      </w:r>
      <w:r w:rsidR="00426C90">
        <w:rPr>
          <w:rFonts w:ascii="Arial" w:hAnsi="Arial"/>
          <w:szCs w:val="24"/>
          <w:lang w:val="es-ES"/>
        </w:rPr>
        <w:t xml:space="preserve">el proveído que concedió el recurso en el efecto devolutivo. </w:t>
      </w:r>
    </w:p>
    <w:p w:rsidR="00DD1A2C" w:rsidRPr="00515CCF" w:rsidRDefault="00DD1A2C" w:rsidP="00DD1A2C">
      <w:pPr>
        <w:pStyle w:val="Corpsdetexte"/>
        <w:spacing w:line="360" w:lineRule="auto"/>
        <w:rPr>
          <w:rFonts w:ascii="Arial" w:hAnsi="Arial"/>
          <w:szCs w:val="24"/>
          <w:lang w:val="es-ES"/>
        </w:rPr>
      </w:pPr>
    </w:p>
    <w:p w:rsidR="00DD1A2C" w:rsidRDefault="00DD1A2C" w:rsidP="00DD1A2C">
      <w:pPr>
        <w:pStyle w:val="Corpsdetexte"/>
        <w:spacing w:line="360" w:lineRule="auto"/>
        <w:rPr>
          <w:rFonts w:ascii="Arial" w:hAnsi="Arial"/>
          <w:szCs w:val="24"/>
          <w:lang w:val="es-ES"/>
        </w:rPr>
      </w:pPr>
      <w:r w:rsidRPr="00515CCF">
        <w:rPr>
          <w:rFonts w:ascii="Arial" w:hAnsi="Arial"/>
          <w:szCs w:val="24"/>
          <w:lang w:val="es-ES"/>
        </w:rPr>
        <w:t xml:space="preserve">En consecuencia, es claro que </w:t>
      </w:r>
      <w:r w:rsidR="00426C90">
        <w:rPr>
          <w:rFonts w:ascii="Arial" w:hAnsi="Arial"/>
          <w:szCs w:val="24"/>
          <w:lang w:val="es-ES"/>
        </w:rPr>
        <w:t xml:space="preserve">la presente tutela </w:t>
      </w:r>
      <w:r w:rsidRPr="00515CCF">
        <w:rPr>
          <w:rFonts w:ascii="Arial" w:hAnsi="Arial"/>
          <w:szCs w:val="24"/>
          <w:lang w:val="es-ES"/>
        </w:rPr>
        <w:t>es improcedente por el acaecimiento del fenómeno de la cosa juzgada constitucional, y así se declarará.</w:t>
      </w:r>
    </w:p>
    <w:p w:rsidR="002D660B" w:rsidRPr="00515CCF" w:rsidRDefault="002D660B" w:rsidP="00DD1A2C">
      <w:pPr>
        <w:pStyle w:val="Corpsdetexte"/>
        <w:spacing w:line="360" w:lineRule="auto"/>
        <w:rPr>
          <w:rFonts w:ascii="Arial" w:hAnsi="Arial"/>
          <w:szCs w:val="24"/>
          <w:lang w:val="es-ES"/>
        </w:rPr>
      </w:pPr>
    </w:p>
    <w:p w:rsidR="00426C90" w:rsidRDefault="00DD1A2C" w:rsidP="00DD1A2C">
      <w:pPr>
        <w:pStyle w:val="Corpsdetexte"/>
        <w:spacing w:line="360" w:lineRule="auto"/>
        <w:rPr>
          <w:rFonts w:ascii="Arial" w:hAnsi="Arial"/>
          <w:szCs w:val="24"/>
          <w:lang w:val="es-ES"/>
        </w:rPr>
      </w:pPr>
      <w:r w:rsidRPr="00515CCF">
        <w:rPr>
          <w:rFonts w:ascii="Arial" w:hAnsi="Arial"/>
          <w:szCs w:val="24"/>
          <w:lang w:val="es-ES"/>
        </w:rPr>
        <w:t xml:space="preserve">Además de lo dicho, también advierte esta colegiatura que el actor debe sancionarse por </w:t>
      </w:r>
      <w:r>
        <w:rPr>
          <w:rFonts w:ascii="Arial" w:hAnsi="Arial"/>
          <w:szCs w:val="24"/>
          <w:lang w:val="es-ES"/>
        </w:rPr>
        <w:t>su actuar temerario</w:t>
      </w:r>
      <w:r w:rsidRPr="00515CCF">
        <w:rPr>
          <w:rFonts w:ascii="Arial" w:hAnsi="Arial"/>
          <w:szCs w:val="24"/>
          <w:lang w:val="es-ES"/>
        </w:rPr>
        <w:t xml:space="preserve">, porque es evidente el </w:t>
      </w:r>
      <w:r>
        <w:rPr>
          <w:rFonts w:ascii="Arial" w:hAnsi="Arial"/>
          <w:szCs w:val="24"/>
          <w:lang w:val="es-ES"/>
        </w:rPr>
        <w:t xml:space="preserve">abuso </w:t>
      </w:r>
      <w:r w:rsidRPr="00515CCF">
        <w:rPr>
          <w:rFonts w:ascii="Arial" w:hAnsi="Arial"/>
          <w:szCs w:val="24"/>
          <w:lang w:val="es-ES"/>
        </w:rPr>
        <w:t xml:space="preserve">de la acción de tutela con el fin de lograr a toda costa la protección de sus derechos fundamentales; la incesante promoción de amparos no da lugar sino a entender que pretende lograr fortuitamente la prosperidad </w:t>
      </w:r>
      <w:r>
        <w:rPr>
          <w:rFonts w:ascii="Arial" w:hAnsi="Arial"/>
          <w:szCs w:val="24"/>
          <w:lang w:val="es-ES"/>
        </w:rPr>
        <w:t>de sus pretensiones</w:t>
      </w:r>
      <w:r w:rsidRPr="00515CCF">
        <w:rPr>
          <w:rFonts w:ascii="Arial" w:hAnsi="Arial"/>
          <w:szCs w:val="24"/>
          <w:lang w:val="es-ES"/>
        </w:rPr>
        <w:t>.</w:t>
      </w:r>
      <w:r>
        <w:rPr>
          <w:rFonts w:ascii="Arial" w:hAnsi="Arial"/>
          <w:szCs w:val="24"/>
          <w:lang w:val="es-ES"/>
        </w:rPr>
        <w:t xml:space="preserve"> </w:t>
      </w:r>
    </w:p>
    <w:p w:rsidR="00426C90" w:rsidRDefault="00426C90" w:rsidP="00DD1A2C">
      <w:pPr>
        <w:pStyle w:val="Corpsdetexte"/>
        <w:spacing w:line="360" w:lineRule="auto"/>
        <w:rPr>
          <w:rFonts w:ascii="Arial" w:hAnsi="Arial"/>
          <w:szCs w:val="24"/>
          <w:lang w:val="es-ES"/>
        </w:rPr>
      </w:pPr>
    </w:p>
    <w:p w:rsidR="004B77DD" w:rsidRPr="00515CCF" w:rsidRDefault="004B77DD" w:rsidP="004B77DD">
      <w:pPr>
        <w:pStyle w:val="Corpsdetexte"/>
        <w:spacing w:line="360" w:lineRule="auto"/>
        <w:rPr>
          <w:rFonts w:ascii="Arial" w:hAnsi="Arial" w:cs="Arial"/>
          <w:szCs w:val="24"/>
        </w:rPr>
      </w:pPr>
      <w:r>
        <w:rPr>
          <w:rFonts w:ascii="Arial" w:hAnsi="Arial"/>
          <w:szCs w:val="24"/>
          <w:lang w:val="es-ES"/>
        </w:rPr>
        <w:t xml:space="preserve">Cabe acotar que el actor no se halla 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Appelnotedebasdep"/>
          <w:rFonts w:ascii="Arial" w:hAnsi="Arial"/>
          <w:szCs w:val="22"/>
        </w:rPr>
        <w:footnoteReference w:id="27"/>
      </w:r>
      <w:r>
        <w:rPr>
          <w:rFonts w:ascii="Arial" w:hAnsi="Arial" w:cs="Arial"/>
          <w:szCs w:val="22"/>
        </w:rPr>
        <w:t>.</w:t>
      </w:r>
      <w:r>
        <w:rPr>
          <w:rFonts w:ascii="Arial" w:hAnsi="Arial"/>
          <w:szCs w:val="24"/>
          <w:lang w:val="es-ES"/>
        </w:rPr>
        <w:t xml:space="preserve"> Es un asiduo usuario de la administración de justicia, por lo que no es dable considerarlo ignorante de las repercusiones de su actuar como promotor de repetidas peticiones de amparo, no se encuentra en un estado de vulnerabilidad o indefensión, ni actúa por miedo insuperable o necesidad extrema; tampoco lo hace con ocasión de un asesoramiento equivocado, inexisten hechos nuevos y no hay sentencia unificadora que dé lugar a la interposición de la misma tutela. </w:t>
      </w:r>
    </w:p>
    <w:p w:rsidR="004B77DD" w:rsidRPr="00515CCF" w:rsidRDefault="004B77DD" w:rsidP="004B77DD">
      <w:pPr>
        <w:pStyle w:val="Corpsdetexte"/>
        <w:spacing w:line="360" w:lineRule="auto"/>
        <w:rPr>
          <w:rFonts w:ascii="Arial" w:hAnsi="Arial" w:cs="Arial"/>
          <w:szCs w:val="24"/>
        </w:rPr>
      </w:pPr>
    </w:p>
    <w:p w:rsidR="004B77DD" w:rsidRPr="00515CCF" w:rsidRDefault="004B77DD" w:rsidP="004B77DD">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28"/>
      </w:r>
      <w:r w:rsidRPr="00515CCF">
        <w:rPr>
          <w:rFonts w:ascii="Arial" w:hAnsi="Arial"/>
        </w:rPr>
        <w:t xml:space="preserve"> que para declarar la existencia de la temeridad se debe verificar la existencia de alguna de las siguientes situaciones:</w:t>
      </w:r>
    </w:p>
    <w:p w:rsidR="004B77DD" w:rsidRPr="000848B7" w:rsidRDefault="004B77DD" w:rsidP="004B77DD">
      <w:pPr>
        <w:ind w:left="567" w:right="567"/>
        <w:jc w:val="both"/>
        <w:rPr>
          <w:rFonts w:ascii="Arial" w:hAnsi="Arial" w:cs="Arial"/>
          <w:b/>
          <w:bCs/>
          <w:sz w:val="2"/>
          <w:szCs w:val="22"/>
        </w:rPr>
      </w:pPr>
    </w:p>
    <w:p w:rsidR="004B77DD" w:rsidRPr="00D54497" w:rsidRDefault="004B77DD" w:rsidP="004B77DD">
      <w:pPr>
        <w:ind w:left="567" w:right="567"/>
        <w:jc w:val="both"/>
        <w:rPr>
          <w:rFonts w:ascii="Arial" w:hAnsi="Arial" w:cs="Arial"/>
          <w:b/>
          <w:bCs/>
          <w:sz w:val="22"/>
        </w:rPr>
      </w:pPr>
    </w:p>
    <w:p w:rsidR="004B77DD" w:rsidRPr="00F2155F" w:rsidRDefault="004B77DD" w:rsidP="004B77DD">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29"/>
      </w:r>
      <w:r w:rsidRPr="00F2155F">
        <w:rPr>
          <w:rFonts w:ascii="Arial" w:hAnsi="Arial" w:cs="Arial"/>
        </w:rPr>
        <w:t>-,  para sancionar pecuniariamente a los responsables</w:t>
      </w:r>
      <w:r w:rsidRPr="00F2155F">
        <w:rPr>
          <w:rStyle w:val="Appelnotedebasdep"/>
          <w:rFonts w:ascii="Arial" w:hAnsi="Arial" w:cs="Arial"/>
        </w:rPr>
        <w:footnoteReference w:id="30"/>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31"/>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2"/>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33"/>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34"/>
      </w:r>
      <w:r w:rsidRPr="00F2155F">
        <w:rPr>
          <w:rFonts w:ascii="Arial" w:hAnsi="Arial" w:cs="Arial"/>
          <w:i/>
          <w:iCs/>
        </w:rPr>
        <w:t>.</w:t>
      </w:r>
      <w:r w:rsidRPr="00F2155F">
        <w:rPr>
          <w:rFonts w:ascii="Arial" w:hAnsi="Arial" w:cs="Arial"/>
          <w:iCs/>
        </w:rPr>
        <w:t xml:space="preserve">  El resaltado es propio de esta Colegiatura.</w:t>
      </w:r>
    </w:p>
    <w:p w:rsidR="004B77DD" w:rsidRDefault="004B77DD" w:rsidP="004B77DD">
      <w:pPr>
        <w:spacing w:line="360" w:lineRule="auto"/>
        <w:ind w:right="51"/>
        <w:jc w:val="both"/>
        <w:rPr>
          <w:rFonts w:ascii="Arial" w:hAnsi="Arial"/>
        </w:rPr>
      </w:pPr>
    </w:p>
    <w:p w:rsidR="004B77DD" w:rsidRDefault="004B77DD" w:rsidP="004B77DD">
      <w:pPr>
        <w:spacing w:line="360" w:lineRule="auto"/>
        <w:jc w:val="both"/>
        <w:rPr>
          <w:rFonts w:ascii="Arial" w:hAnsi="Arial" w:cs="Arial"/>
          <w:spacing w:val="-3"/>
          <w:lang w:val="es-CO"/>
        </w:rPr>
      </w:pPr>
      <w:r>
        <w:rPr>
          <w:rFonts w:ascii="Arial" w:hAnsi="Arial"/>
        </w:rPr>
        <w:t>Así las cosas, en aplicación del inciso 3º del artículo 25 del Decreto 2591 de 1991, se condenará en “</w:t>
      </w:r>
      <w:r w:rsidR="002D660B" w:rsidRPr="002D660B">
        <w:rPr>
          <w:rFonts w:ascii="Arial" w:hAnsi="Arial"/>
        </w:rPr>
        <w:t>costas”</w:t>
      </w:r>
      <w:r w:rsidR="002D660B" w:rsidRPr="002D660B">
        <w:rPr>
          <w:rFonts w:ascii="Arial" w:hAnsi="Arial"/>
          <w:vertAlign w:val="superscript"/>
        </w:rPr>
        <w:footnoteReference w:id="35"/>
      </w:r>
      <w:r w:rsidR="002D660B" w:rsidRPr="002D660B">
        <w:rPr>
          <w:rFonts w:ascii="Arial" w:hAnsi="Arial"/>
        </w:rPr>
        <w:t xml:space="preserve"> </w:t>
      </w:r>
      <w:r>
        <w:rPr>
          <w:rFonts w:ascii="Arial" w:hAnsi="Arial"/>
        </w:rPr>
        <w:t xml:space="preserve">al señor Javier Elías Arias </w:t>
      </w:r>
      <w:proofErr w:type="spellStart"/>
      <w:r>
        <w:rPr>
          <w:rFonts w:ascii="Arial" w:hAnsi="Arial"/>
        </w:rPr>
        <w:t>Idárraga</w:t>
      </w:r>
      <w:proofErr w:type="spellEnd"/>
      <w:r>
        <w:rPr>
          <w:rFonts w:ascii="Arial" w:hAnsi="Arial"/>
        </w:rPr>
        <w:t xml:space="preserve"> a favor del Consejo Superior de la Judicatura, en una cuantía equivalente a un (1) SMMLV, que deberá pagar en un término de tres (3) días, en la cue</w:t>
      </w:r>
      <w:r w:rsidR="002D660B">
        <w:rPr>
          <w:rFonts w:ascii="Arial" w:hAnsi="Arial"/>
        </w:rPr>
        <w:t>nta número 3-0070-000030-4 del B</w:t>
      </w:r>
      <w:r>
        <w:rPr>
          <w:rFonts w:ascii="Arial" w:hAnsi="Arial"/>
        </w:rPr>
        <w:t xml:space="preserve">anco </w:t>
      </w:r>
      <w:r>
        <w:rPr>
          <w:rFonts w:ascii="Arial" w:hAnsi="Arial"/>
        </w:rPr>
        <w:lastRenderedPageBreak/>
        <w:t xml:space="preserve">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1F02C2">
        <w:rPr>
          <w:rFonts w:ascii="Arial" w:hAnsi="Arial" w:cs="Arial"/>
          <w:spacing w:val="-3"/>
          <w:lang w:val="es-CO"/>
        </w:rPr>
        <w:t>Acuerdo No PSAA10-6979 de 2010</w:t>
      </w:r>
      <w:r>
        <w:rPr>
          <w:rFonts w:ascii="Arial" w:hAnsi="Arial" w:cs="Arial"/>
          <w:spacing w:val="-3"/>
          <w:lang w:val="es-CO"/>
        </w:rPr>
        <w:t xml:space="preserve"> del CSJ)</w:t>
      </w:r>
      <w:r w:rsidRPr="001F02C2">
        <w:rPr>
          <w:rFonts w:ascii="Arial" w:hAnsi="Arial" w:cs="Arial"/>
          <w:spacing w:val="-3"/>
          <w:lang w:val="es-CO"/>
        </w:rPr>
        <w:t xml:space="preserve">. </w:t>
      </w:r>
    </w:p>
    <w:p w:rsidR="00DD1A2C" w:rsidRPr="00C06F81" w:rsidRDefault="00DD1A2C" w:rsidP="00DD1A2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DD1A2C" w:rsidRPr="00C035D6" w:rsidRDefault="00DD1A2C" w:rsidP="00627FD4">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C035D6">
        <w:rPr>
          <w:rFonts w:ascii="Arial" w:hAnsi="Arial" w:cs="Arial"/>
          <w:smallCaps/>
          <w:sz w:val="28"/>
          <w:szCs w:val="28"/>
        </w:rPr>
        <w:t>Las conclusiones</w:t>
      </w:r>
      <w:r w:rsidRPr="00C035D6">
        <w:rPr>
          <w:rFonts w:ascii="Arial" w:hAnsi="Arial" w:cs="Arial"/>
          <w:sz w:val="28"/>
          <w:szCs w:val="28"/>
        </w:rPr>
        <w:t xml:space="preserve"> </w:t>
      </w:r>
    </w:p>
    <w:p w:rsidR="00DD1A2C" w:rsidRPr="000F5F85" w:rsidRDefault="00DD1A2C" w:rsidP="00DD1A2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DD1A2C" w:rsidRDefault="00DD1A2C" w:rsidP="00DD1A2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bookmarkStart w:id="0" w:name="_GoBack"/>
      <w:bookmarkEnd w:id="0"/>
      <w:r w:rsidRPr="00951700">
        <w:rPr>
          <w:rFonts w:ascii="Arial" w:hAnsi="Arial"/>
        </w:rPr>
        <w:t>En armonía con las premisas expuestas en los acápites anteriores</w:t>
      </w:r>
      <w:r w:rsidRPr="00E538DC">
        <w:rPr>
          <w:rFonts w:ascii="Arial" w:hAnsi="Arial" w:cs="Arial"/>
        </w:rPr>
        <w:t xml:space="preserve">: (i) Se declarará improcedente </w:t>
      </w:r>
      <w:r>
        <w:rPr>
          <w:rFonts w:ascii="Arial" w:hAnsi="Arial" w:cs="Arial"/>
        </w:rPr>
        <w:t xml:space="preserve">la acción </w:t>
      </w:r>
      <w:r w:rsidRPr="00E538DC">
        <w:rPr>
          <w:rFonts w:ascii="Arial" w:hAnsi="Arial" w:cs="Arial"/>
        </w:rPr>
        <w:t xml:space="preserve">constitucional frente al Juzgado </w:t>
      </w:r>
      <w:r w:rsidR="0003368F">
        <w:rPr>
          <w:rFonts w:ascii="Arial" w:hAnsi="Arial" w:cs="Arial"/>
        </w:rPr>
        <w:t>Quinto</w:t>
      </w:r>
      <w:r>
        <w:rPr>
          <w:rFonts w:ascii="Arial" w:hAnsi="Arial" w:cs="Arial"/>
        </w:rPr>
        <w:t xml:space="preserve"> C</w:t>
      </w:r>
      <w:r w:rsidRPr="00E538DC">
        <w:rPr>
          <w:rFonts w:ascii="Arial" w:hAnsi="Arial" w:cs="Arial"/>
        </w:rPr>
        <w:t>ivil del Circuito de Pereira</w:t>
      </w:r>
      <w:r w:rsidR="0003368F">
        <w:rPr>
          <w:rFonts w:ascii="Arial" w:hAnsi="Arial" w:cs="Arial"/>
        </w:rPr>
        <w:t>;</w:t>
      </w:r>
      <w:r>
        <w:rPr>
          <w:rFonts w:ascii="Arial" w:hAnsi="Arial" w:cs="Arial"/>
        </w:rPr>
        <w:t xml:space="preserve"> y, (ii) Se condenará en costas a cargo del actor, conforme lo expuesto.</w:t>
      </w:r>
    </w:p>
    <w:p w:rsidR="00DD1A2C" w:rsidRPr="00A30437" w:rsidRDefault="00DD1A2C" w:rsidP="00DD1A2C">
      <w:pPr>
        <w:spacing w:line="360" w:lineRule="auto"/>
        <w:ind w:right="51"/>
        <w:jc w:val="both"/>
        <w:rPr>
          <w:rFonts w:ascii="Arial" w:hAnsi="Arial" w:cs="Arial"/>
        </w:rPr>
      </w:pPr>
    </w:p>
    <w:p w:rsidR="00DD1A2C" w:rsidRDefault="00DD1A2C" w:rsidP="00DD1A2C">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DD1A2C" w:rsidRPr="004D5812" w:rsidRDefault="00DD1A2C" w:rsidP="00DD1A2C">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DD1A2C" w:rsidRPr="004D5812" w:rsidRDefault="00DD1A2C" w:rsidP="00DD1A2C">
      <w:pPr>
        <w:pStyle w:val="Corpsdetexte"/>
        <w:spacing w:line="360" w:lineRule="auto"/>
        <w:jc w:val="center"/>
        <w:rPr>
          <w:rFonts w:ascii="Arial" w:hAnsi="Arial" w:cs="Arial"/>
          <w:bCs/>
          <w:smallCaps/>
          <w:szCs w:val="24"/>
        </w:rPr>
      </w:pPr>
    </w:p>
    <w:p w:rsidR="00DD1A2C" w:rsidRDefault="00DD1A2C" w:rsidP="00DD1A2C">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Pr>
          <w:rFonts w:ascii="Arial" w:hAnsi="Arial" w:cs="Arial"/>
        </w:rPr>
        <w:t xml:space="preserve"> </w:t>
      </w:r>
      <w:r w:rsidRPr="00ED2098">
        <w:rPr>
          <w:rFonts w:ascii="Arial" w:hAnsi="Arial" w:cs="Arial"/>
        </w:rPr>
        <w:t xml:space="preserve">DECLARAR improcedente la tutela propuesta por el señor Javier Elías Arias </w:t>
      </w:r>
      <w:r>
        <w:rPr>
          <w:rFonts w:ascii="Arial" w:hAnsi="Arial" w:cs="Arial"/>
        </w:rPr>
        <w:t xml:space="preserve"> </w:t>
      </w:r>
      <w:proofErr w:type="spellStart"/>
      <w:r w:rsidRPr="00ED2098">
        <w:rPr>
          <w:rFonts w:ascii="Arial" w:hAnsi="Arial" w:cs="Arial"/>
        </w:rPr>
        <w:t>Idárraga</w:t>
      </w:r>
      <w:proofErr w:type="spellEnd"/>
      <w:r w:rsidRPr="00ED2098">
        <w:rPr>
          <w:rFonts w:ascii="Arial" w:hAnsi="Arial" w:cs="Arial"/>
        </w:rPr>
        <w:t xml:space="preserve"> contra el </w:t>
      </w:r>
      <w:r w:rsidR="00B73031" w:rsidRPr="00E538DC">
        <w:rPr>
          <w:rFonts w:ascii="Arial" w:hAnsi="Arial" w:cs="Arial"/>
        </w:rPr>
        <w:t xml:space="preserve">Juzgado </w:t>
      </w:r>
      <w:r w:rsidR="00B73031">
        <w:rPr>
          <w:rFonts w:ascii="Arial" w:hAnsi="Arial" w:cs="Arial"/>
        </w:rPr>
        <w:t>Quinto C</w:t>
      </w:r>
      <w:r w:rsidR="00B73031" w:rsidRPr="00E538DC">
        <w:rPr>
          <w:rFonts w:ascii="Arial" w:hAnsi="Arial" w:cs="Arial"/>
        </w:rPr>
        <w:t>ivil del Circuito de Pereira</w:t>
      </w:r>
      <w:r>
        <w:rPr>
          <w:rFonts w:ascii="Arial" w:hAnsi="Arial" w:cs="Arial"/>
        </w:rPr>
        <w:t>.</w:t>
      </w:r>
    </w:p>
    <w:p w:rsidR="00DD1A2C" w:rsidRDefault="00DD1A2C" w:rsidP="004B77DD">
      <w:pPr>
        <w:pStyle w:val="Paragraphedelis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5"/>
        <w:contextualSpacing/>
        <w:jc w:val="both"/>
        <w:textAlignment w:val="baseline"/>
        <w:rPr>
          <w:rFonts w:ascii="Arial" w:hAnsi="Arial" w:cs="Arial"/>
        </w:rPr>
      </w:pPr>
    </w:p>
    <w:p w:rsidR="004B77DD" w:rsidRPr="004B77DD" w:rsidRDefault="004B77DD" w:rsidP="004B77DD">
      <w:pPr>
        <w:pStyle w:val="Paragraphedeliste"/>
        <w:numPr>
          <w:ilvl w:val="0"/>
          <w:numId w:val="6"/>
        </w:numPr>
        <w:spacing w:line="360" w:lineRule="auto"/>
        <w:ind w:left="425"/>
        <w:jc w:val="both"/>
        <w:rPr>
          <w:rFonts w:ascii="Arial" w:hAnsi="Arial" w:cs="Arial"/>
        </w:rPr>
      </w:pPr>
      <w:r w:rsidRPr="004B77DD">
        <w:rPr>
          <w:rFonts w:ascii="Arial" w:hAnsi="Arial" w:cs="Arial"/>
        </w:rPr>
        <w:t xml:space="preserve">CONDENAR en “costas” al señor Javier Elías Arias  </w:t>
      </w:r>
      <w:proofErr w:type="spellStart"/>
      <w:r w:rsidRPr="004B77DD">
        <w:rPr>
          <w:rFonts w:ascii="Arial" w:hAnsi="Arial" w:cs="Arial"/>
        </w:rPr>
        <w:t>Idárraga</w:t>
      </w:r>
      <w:proofErr w:type="spellEnd"/>
      <w:r w:rsidRPr="004B77DD">
        <w:rPr>
          <w:rFonts w:ascii="Arial" w:hAnsi="Arial" w:cs="Arial"/>
        </w:rPr>
        <w:t xml:space="preserve"> a favor del Consejo Superior de la Judicatura, en la suma de un (1) SMMLV, que deberá pagar en un término de tres (3) días, contados a partir de la notificación esta providencia, en la</w:t>
      </w:r>
      <w:r w:rsidR="002D660B">
        <w:rPr>
          <w:rFonts w:ascii="Arial" w:hAnsi="Arial" w:cs="Arial"/>
        </w:rPr>
        <w:t xml:space="preserve"> cuenta No.3-0070-000030-4 del B</w:t>
      </w:r>
      <w:r w:rsidRPr="004B77DD">
        <w:rPr>
          <w:rFonts w:ascii="Arial" w:hAnsi="Arial" w:cs="Arial"/>
        </w:rPr>
        <w:t>anco Agrario de Colombia.</w:t>
      </w:r>
    </w:p>
    <w:p w:rsidR="004B77DD" w:rsidRPr="004B77DD" w:rsidRDefault="004B77DD" w:rsidP="004B77DD">
      <w:pPr>
        <w:pStyle w:val="Paragraphedeliste"/>
        <w:spacing w:line="360" w:lineRule="auto"/>
        <w:ind w:left="425"/>
        <w:jc w:val="both"/>
        <w:rPr>
          <w:rFonts w:ascii="Arial" w:hAnsi="Arial" w:cs="Arial"/>
        </w:rPr>
      </w:pPr>
    </w:p>
    <w:p w:rsidR="00DD1A2C" w:rsidRDefault="004B77DD" w:rsidP="004B77DD">
      <w:pPr>
        <w:pStyle w:val="Paragraphedeliste"/>
        <w:spacing w:line="360" w:lineRule="auto"/>
        <w:ind w:left="425"/>
        <w:jc w:val="both"/>
        <w:rPr>
          <w:rFonts w:ascii="Arial" w:hAnsi="Arial" w:cs="Arial"/>
          <w:lang w:val="es-CO"/>
        </w:rPr>
      </w:pPr>
      <w:r w:rsidRPr="004B77DD">
        <w:rPr>
          <w:rFonts w:ascii="Arial" w:hAnsi="Arial" w:cs="Arial"/>
        </w:rPr>
        <w:t xml:space="preserve">En caso </w:t>
      </w:r>
      <w:r w:rsidRPr="004B77DD">
        <w:rPr>
          <w:rFonts w:ascii="Arial" w:hAnsi="Arial" w:cs="Arial"/>
          <w:lang w:val="es-CO"/>
        </w:rPr>
        <w:t>de incumplir dicha orden en el plazo concedido, se remitirá copia de esta providencia con sus respectivas constancias a la Dirección Ejecutiva de Administración Judicial local, con el fin de que se inicie el proceso de cobro coactivo.</w:t>
      </w:r>
    </w:p>
    <w:p w:rsidR="004B77DD" w:rsidRPr="00A67FA2" w:rsidRDefault="004B77DD" w:rsidP="004B77DD">
      <w:pPr>
        <w:pStyle w:val="Paragraphedeliste"/>
        <w:rPr>
          <w:rFonts w:ascii="Arial" w:hAnsi="Arial" w:cs="Arial"/>
        </w:rPr>
      </w:pPr>
    </w:p>
    <w:p w:rsidR="00DD1A2C" w:rsidRPr="00ED2098" w:rsidRDefault="00DD1A2C" w:rsidP="00DD1A2C">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Pr="00ED2098">
        <w:rPr>
          <w:rFonts w:ascii="Arial" w:hAnsi="Arial"/>
          <w:spacing w:val="-3"/>
          <w:lang w:val="es-ES_tradnl"/>
        </w:rPr>
        <w:t xml:space="preserve"> esta decisión a todas las partes, por el medio más expedito y eficaz.</w:t>
      </w:r>
    </w:p>
    <w:p w:rsidR="00DD1A2C" w:rsidRPr="004D5812" w:rsidRDefault="00DD1A2C" w:rsidP="00DD1A2C">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DD1A2C" w:rsidRPr="004D5812" w:rsidRDefault="00DD1A2C" w:rsidP="00DD1A2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DD1A2C" w:rsidRPr="002D660B" w:rsidRDefault="00DD1A2C" w:rsidP="00DD1A2C">
      <w:pPr>
        <w:spacing w:line="360" w:lineRule="auto"/>
        <w:rPr>
          <w:rFonts w:ascii="Arial" w:hAnsi="Arial"/>
          <w:spacing w:val="-3"/>
          <w:sz w:val="22"/>
          <w:lang w:val="es-ES_tradnl"/>
        </w:rPr>
      </w:pPr>
    </w:p>
    <w:p w:rsidR="00DD1A2C" w:rsidRPr="004D5812" w:rsidRDefault="00DD1A2C" w:rsidP="00DD1A2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DD1A2C" w:rsidRPr="004D5812" w:rsidRDefault="00DD1A2C" w:rsidP="00DD1A2C">
      <w:pPr>
        <w:pStyle w:val="Corpsdetexte"/>
        <w:spacing w:line="360" w:lineRule="auto"/>
        <w:jc w:val="center"/>
        <w:rPr>
          <w:rFonts w:ascii="Arial" w:hAnsi="Arial"/>
          <w:smallCaps/>
          <w:szCs w:val="24"/>
        </w:rPr>
      </w:pPr>
    </w:p>
    <w:p w:rsidR="00DD1A2C" w:rsidRPr="001B6BBA" w:rsidRDefault="00DD1A2C" w:rsidP="00DD1A2C">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DD1A2C" w:rsidRPr="001B6BBA" w:rsidRDefault="00DD1A2C" w:rsidP="00DD1A2C">
      <w:pPr>
        <w:pStyle w:val="Corpsdetexte"/>
        <w:spacing w:line="360" w:lineRule="auto"/>
        <w:jc w:val="center"/>
        <w:rPr>
          <w:rFonts w:ascii="Arial" w:hAnsi="Arial"/>
          <w:lang w:val="en-US"/>
        </w:rPr>
      </w:pPr>
    </w:p>
    <w:p w:rsidR="00DD1A2C" w:rsidRPr="00C5485C" w:rsidRDefault="00DD1A2C" w:rsidP="00DD1A2C">
      <w:pPr>
        <w:pStyle w:val="Corpsdetexte"/>
        <w:spacing w:line="360" w:lineRule="auto"/>
        <w:rPr>
          <w:sz w:val="40"/>
          <w:lang w:val="en-US"/>
        </w:rPr>
      </w:pPr>
    </w:p>
    <w:p w:rsidR="00DD1A2C" w:rsidRPr="001B6BBA" w:rsidRDefault="00DD1A2C" w:rsidP="00DD1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lastRenderedPageBreak/>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DD1A2C" w:rsidRPr="001B6BBA" w:rsidRDefault="00DD1A2C" w:rsidP="00DD1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DD1A2C" w:rsidRPr="00EE5838" w:rsidRDefault="00DD1A2C" w:rsidP="00DD1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DD1A2C" w:rsidRPr="00322A4E" w:rsidRDefault="00DD1A2C" w:rsidP="00DD1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DD1A2C" w:rsidRPr="001B6BBA" w:rsidRDefault="00DD1A2C" w:rsidP="00DD1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DD1A2C" w:rsidRPr="001B6BBA" w:rsidRDefault="00DD1A2C" w:rsidP="00DD1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DD1A2C" w:rsidRDefault="00DD1A2C" w:rsidP="00DD1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DD1A2C" w:rsidRPr="00510FA4" w:rsidRDefault="00DD1A2C" w:rsidP="00DD1A2C">
      <w:pPr>
        <w:pStyle w:val="Corpsdetexte"/>
        <w:spacing w:line="360" w:lineRule="auto"/>
        <w:jc w:val="right"/>
        <w:rPr>
          <w:rFonts w:ascii="Arial" w:hAnsi="Arial"/>
          <w:w w:val="150"/>
          <w:sz w:val="8"/>
          <w:szCs w:val="10"/>
          <w:lang w:val="en-GB"/>
        </w:rPr>
      </w:pPr>
    </w:p>
    <w:p w:rsidR="00DD1A2C" w:rsidRPr="00510FA4" w:rsidRDefault="00DD1A2C" w:rsidP="00DD1A2C">
      <w:pPr>
        <w:pStyle w:val="Corpsdetexte"/>
        <w:spacing w:line="360" w:lineRule="auto"/>
        <w:jc w:val="right"/>
        <w:rPr>
          <w:rFonts w:ascii="Arial" w:hAnsi="Arial"/>
          <w:w w:val="150"/>
          <w:sz w:val="8"/>
          <w:szCs w:val="10"/>
          <w:lang w:val="en-GB"/>
        </w:rPr>
      </w:pPr>
    </w:p>
    <w:p w:rsidR="00DD1A2C" w:rsidRPr="00510FA4" w:rsidRDefault="00DD1A2C" w:rsidP="00DD1A2C">
      <w:pPr>
        <w:pStyle w:val="Corpsdetexte"/>
        <w:spacing w:line="360" w:lineRule="auto"/>
        <w:jc w:val="right"/>
        <w:rPr>
          <w:rFonts w:ascii="Arial" w:hAnsi="Arial"/>
          <w:w w:val="150"/>
          <w:sz w:val="8"/>
          <w:szCs w:val="10"/>
          <w:lang w:val="en-GB"/>
        </w:rPr>
      </w:pPr>
    </w:p>
    <w:p w:rsidR="00DD1A2C" w:rsidRPr="00510FA4" w:rsidRDefault="00DD1A2C" w:rsidP="00DD1A2C">
      <w:pPr>
        <w:pStyle w:val="Corpsdetexte"/>
        <w:spacing w:line="360" w:lineRule="auto"/>
        <w:jc w:val="right"/>
        <w:rPr>
          <w:rFonts w:ascii="Arial" w:hAnsi="Arial"/>
          <w:w w:val="150"/>
          <w:sz w:val="8"/>
          <w:szCs w:val="10"/>
          <w:lang w:val="en-GB"/>
        </w:rPr>
      </w:pPr>
    </w:p>
    <w:p w:rsidR="00DD1A2C" w:rsidRPr="00DA0621" w:rsidRDefault="00DD1A2C" w:rsidP="00DD1A2C">
      <w:pPr>
        <w:pStyle w:val="Corpsdetexte"/>
        <w:spacing w:line="360" w:lineRule="auto"/>
        <w:jc w:val="right"/>
        <w:rPr>
          <w:rFonts w:ascii="Arial" w:hAnsi="Arial"/>
          <w:sz w:val="22"/>
        </w:rPr>
      </w:pPr>
      <w:proofErr w:type="spellStart"/>
      <w:r w:rsidRPr="003C77B1">
        <w:rPr>
          <w:rFonts w:ascii="Arial" w:hAnsi="Arial"/>
          <w:w w:val="150"/>
          <w:sz w:val="8"/>
          <w:szCs w:val="10"/>
          <w:lang w:val="es-CO"/>
        </w:rPr>
        <w:t>DGH</w:t>
      </w:r>
      <w:proofErr w:type="spellEnd"/>
      <w:r w:rsidRPr="003C77B1">
        <w:rPr>
          <w:rFonts w:ascii="Arial" w:hAnsi="Arial"/>
          <w:w w:val="150"/>
          <w:sz w:val="8"/>
          <w:szCs w:val="10"/>
          <w:lang w:val="es-CO"/>
        </w:rPr>
        <w:t>/</w:t>
      </w:r>
      <w:proofErr w:type="spellStart"/>
      <w:r>
        <w:rPr>
          <w:rFonts w:ascii="Arial" w:hAnsi="Arial"/>
          <w:w w:val="150"/>
          <w:sz w:val="8"/>
          <w:szCs w:val="10"/>
          <w:lang w:val="es-CO"/>
        </w:rPr>
        <w:t>LSCL</w:t>
      </w:r>
      <w:proofErr w:type="spellEnd"/>
      <w:r>
        <w:rPr>
          <w:rFonts w:ascii="Arial" w:hAnsi="Arial"/>
          <w:w w:val="150"/>
          <w:sz w:val="8"/>
          <w:szCs w:val="10"/>
          <w:lang w:val="es-CO"/>
        </w:rPr>
        <w:t>/</w:t>
      </w:r>
      <w:proofErr w:type="spellStart"/>
      <w:r w:rsidRPr="003C77B1">
        <w:rPr>
          <w:rFonts w:ascii="Arial" w:hAnsi="Arial"/>
          <w:w w:val="150"/>
          <w:sz w:val="8"/>
          <w:szCs w:val="10"/>
          <w:lang w:val="es-CO"/>
        </w:rPr>
        <w:t>ODCD</w:t>
      </w:r>
      <w:proofErr w:type="spellEnd"/>
      <w:r w:rsidRPr="003C77B1">
        <w:rPr>
          <w:rFonts w:ascii="Arial" w:hAnsi="Arial"/>
          <w:w w:val="150"/>
          <w:sz w:val="8"/>
          <w:szCs w:val="10"/>
          <w:lang w:val="es-CO"/>
        </w:rPr>
        <w:t>/201</w:t>
      </w:r>
      <w:r>
        <w:rPr>
          <w:rFonts w:ascii="Arial" w:hAnsi="Arial"/>
          <w:w w:val="150"/>
          <w:sz w:val="8"/>
          <w:szCs w:val="10"/>
          <w:lang w:val="es-CO"/>
        </w:rPr>
        <w:t>7</w:t>
      </w:r>
    </w:p>
    <w:p w:rsidR="00DD1A2C" w:rsidRDefault="00DD1A2C" w:rsidP="00DD1A2C">
      <w:pPr>
        <w:pStyle w:val="Corpsdetexte"/>
        <w:spacing w:line="360" w:lineRule="auto"/>
        <w:rPr>
          <w:rFonts w:ascii="Arial" w:hAnsi="Arial"/>
          <w:smallCaps/>
          <w:sz w:val="28"/>
          <w:szCs w:val="28"/>
        </w:rPr>
      </w:pPr>
    </w:p>
    <w:p w:rsidR="00DD1A2C" w:rsidRDefault="00DD1A2C" w:rsidP="00DD1A2C">
      <w:pPr>
        <w:pStyle w:val="Corpsdetexte"/>
        <w:spacing w:line="360" w:lineRule="auto"/>
        <w:rPr>
          <w:rFonts w:ascii="Arial" w:hAnsi="Arial"/>
          <w:smallCaps/>
          <w:sz w:val="28"/>
          <w:szCs w:val="28"/>
        </w:rPr>
      </w:pPr>
    </w:p>
    <w:p w:rsidR="00DD1A2C" w:rsidRDefault="00DD1A2C" w:rsidP="00DD1A2C">
      <w:pPr>
        <w:pStyle w:val="Corpsdetexte"/>
        <w:spacing w:line="360" w:lineRule="auto"/>
        <w:rPr>
          <w:rFonts w:ascii="Arial" w:hAnsi="Arial"/>
          <w:smallCaps/>
          <w:sz w:val="28"/>
          <w:szCs w:val="28"/>
        </w:rPr>
      </w:pPr>
    </w:p>
    <w:p w:rsidR="00DD1A2C" w:rsidRDefault="00DD1A2C" w:rsidP="00DD1A2C">
      <w:pPr>
        <w:pStyle w:val="Corpsdetexte"/>
        <w:spacing w:line="360" w:lineRule="auto"/>
        <w:rPr>
          <w:rFonts w:ascii="Arial" w:hAnsi="Arial"/>
          <w:smallCaps/>
          <w:sz w:val="28"/>
          <w:szCs w:val="28"/>
        </w:rPr>
      </w:pPr>
    </w:p>
    <w:p w:rsidR="00DD1A2C" w:rsidRPr="00040EA1" w:rsidRDefault="00DD1A2C" w:rsidP="00DD1A2C">
      <w:pPr>
        <w:pStyle w:val="Corpsdetexte"/>
        <w:spacing w:line="360" w:lineRule="auto"/>
        <w:rPr>
          <w:rFonts w:ascii="Arial" w:hAnsi="Arial"/>
          <w:smallCaps/>
          <w:sz w:val="28"/>
          <w:szCs w:val="28"/>
        </w:rPr>
      </w:pPr>
    </w:p>
    <w:p w:rsidR="00F134D6" w:rsidRPr="00AE73C7" w:rsidRDefault="00F134D6" w:rsidP="00F134D6">
      <w:pPr>
        <w:pStyle w:val="Corpsdetexte"/>
        <w:spacing w:line="360" w:lineRule="auto"/>
        <w:ind w:left="400"/>
        <w:rPr>
          <w:rFonts w:ascii="Arial" w:hAnsi="Arial"/>
          <w:szCs w:val="24"/>
        </w:rPr>
      </w:pPr>
    </w:p>
    <w:p w:rsidR="00881F89" w:rsidRDefault="00881F89" w:rsidP="00DA0621">
      <w:pPr>
        <w:pStyle w:val="Corpsdetexte"/>
        <w:spacing w:line="360" w:lineRule="auto"/>
        <w:jc w:val="right"/>
        <w:rPr>
          <w:rFonts w:ascii="Arial" w:hAnsi="Arial"/>
          <w:w w:val="150"/>
          <w:sz w:val="8"/>
          <w:szCs w:val="10"/>
          <w:lang w:val="es-CO"/>
        </w:rPr>
      </w:pPr>
    </w:p>
    <w:p w:rsidR="00881F89" w:rsidRDefault="00881F89" w:rsidP="00DA0621">
      <w:pPr>
        <w:pStyle w:val="Corpsdetexte"/>
        <w:spacing w:line="360" w:lineRule="auto"/>
        <w:jc w:val="right"/>
        <w:rPr>
          <w:rFonts w:ascii="Arial" w:hAnsi="Arial"/>
          <w:w w:val="150"/>
          <w:sz w:val="8"/>
          <w:szCs w:val="10"/>
          <w:lang w:val="es-CO"/>
        </w:rPr>
      </w:pPr>
    </w:p>
    <w:p w:rsidR="00881F89" w:rsidRDefault="00881F89" w:rsidP="00DA0621">
      <w:pPr>
        <w:pStyle w:val="Corpsdetexte"/>
        <w:spacing w:line="360" w:lineRule="auto"/>
        <w:jc w:val="right"/>
        <w:rPr>
          <w:rFonts w:ascii="Arial" w:hAnsi="Arial"/>
          <w:w w:val="150"/>
          <w:sz w:val="8"/>
          <w:szCs w:val="10"/>
          <w:lang w:val="es-CO"/>
        </w:rPr>
      </w:pPr>
    </w:p>
    <w:sectPr w:rsidR="00881F89" w:rsidSect="002D660B">
      <w:headerReference w:type="default" r:id="rId10"/>
      <w:footerReference w:type="default" r:id="rId11"/>
      <w:pgSz w:w="12242" w:h="18722" w:code="121"/>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56" w:rsidRDefault="00D02056" w:rsidP="0099045D">
      <w:r>
        <w:separator/>
      </w:r>
    </w:p>
  </w:endnote>
  <w:endnote w:type="continuationSeparator" w:id="0">
    <w:p w:rsidR="00D02056" w:rsidRDefault="00D0205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depage"/>
      <w:spacing w:line="360" w:lineRule="auto"/>
      <w:jc w:val="right"/>
      <w:rPr>
        <w:rFonts w:ascii="Arial" w:hAnsi="Arial" w:cs="Arial"/>
        <w:spacing w:val="20"/>
        <w:w w:val="200"/>
        <w:sz w:val="14"/>
        <w:szCs w:val="10"/>
        <w:lang w:val="es-CO"/>
      </w:rPr>
    </w:pPr>
  </w:p>
  <w:p w:rsidR="001C56B4" w:rsidRPr="003E18D8" w:rsidRDefault="001C56B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56" w:rsidRDefault="00D02056" w:rsidP="0099045D">
      <w:r>
        <w:separator/>
      </w:r>
    </w:p>
  </w:footnote>
  <w:footnote w:type="continuationSeparator" w:id="0">
    <w:p w:rsidR="00D02056" w:rsidRDefault="00D02056" w:rsidP="0099045D">
      <w:r>
        <w:continuationSeparator/>
      </w:r>
    </w:p>
  </w:footnote>
  <w:footnote w:id="1">
    <w:p w:rsidR="00353D7A" w:rsidRPr="00353D7A" w:rsidRDefault="00353D7A" w:rsidP="00353D7A">
      <w:pPr>
        <w:pStyle w:val="Notedebasdepage"/>
        <w:rPr>
          <w:lang w:val="es-CO"/>
        </w:rPr>
      </w:pPr>
      <w:r>
        <w:rPr>
          <w:rStyle w:val="Appelnotedebasdep"/>
        </w:rPr>
        <w:footnoteRef/>
      </w:r>
      <w:r w:rsidRPr="00353D7A">
        <w:rPr>
          <w:lang w:val="es-CO"/>
        </w:rPr>
        <w:t xml:space="preserve"> </w:t>
      </w:r>
      <w:r w:rsidRPr="00353D7A">
        <w:rPr>
          <w:rFonts w:asciiTheme="minorHAnsi" w:hAnsiTheme="minorHAnsi" w:cs="Calibri"/>
          <w:lang w:val="es-CO"/>
        </w:rPr>
        <w:t>CC.  T-429 de 2011.</w:t>
      </w:r>
    </w:p>
  </w:footnote>
  <w:footnote w:id="2">
    <w:p w:rsidR="00DD1A2C" w:rsidRPr="00E17BD7" w:rsidRDefault="00DD1A2C" w:rsidP="00DD1A2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3">
    <w:p w:rsidR="00DD1A2C" w:rsidRPr="00E17BD7" w:rsidRDefault="00DD1A2C" w:rsidP="00DD1A2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4">
    <w:p w:rsidR="00DD1A2C" w:rsidRPr="00510FA4" w:rsidRDefault="00DD1A2C" w:rsidP="00DD1A2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10FA4">
        <w:rPr>
          <w:rFonts w:asciiTheme="minorHAnsi" w:hAnsiTheme="minorHAnsi" w:cs="Calibri"/>
          <w:lang w:val="fr-FR"/>
        </w:rPr>
        <w:t xml:space="preserve"> CC. T-917 de 2011.</w:t>
      </w:r>
    </w:p>
  </w:footnote>
  <w:footnote w:id="5">
    <w:p w:rsidR="00DD1A2C" w:rsidRPr="00510FA4" w:rsidRDefault="00DD1A2C" w:rsidP="00DD1A2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10FA4">
        <w:rPr>
          <w:rFonts w:asciiTheme="minorHAnsi" w:hAnsiTheme="minorHAnsi" w:cs="Calibri"/>
          <w:lang w:val="fr-FR"/>
        </w:rPr>
        <w:t xml:space="preserve"> CC. C-590 de 2005.</w:t>
      </w:r>
    </w:p>
  </w:footnote>
  <w:footnote w:id="6">
    <w:p w:rsidR="00DD1A2C" w:rsidRPr="00510FA4" w:rsidRDefault="00DD1A2C" w:rsidP="00DD1A2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510FA4">
        <w:rPr>
          <w:rFonts w:asciiTheme="minorHAnsi" w:hAnsiTheme="minorHAnsi" w:cs="Calibri"/>
          <w:lang w:val="fr-FR"/>
        </w:rPr>
        <w:t xml:space="preserve"> CC. </w:t>
      </w:r>
      <w:r w:rsidRPr="00510FA4">
        <w:rPr>
          <w:rFonts w:asciiTheme="minorHAnsi" w:hAnsiTheme="minorHAnsi" w:cs="Calibri"/>
          <w:bCs/>
          <w:lang w:val="fr-FR"/>
        </w:rPr>
        <w:t>T-107 de 2016</w:t>
      </w:r>
      <w:r w:rsidRPr="00510FA4">
        <w:rPr>
          <w:rFonts w:asciiTheme="minorHAnsi" w:hAnsiTheme="minorHAnsi" w:cs="Calibri"/>
          <w:lang w:val="fr-FR"/>
        </w:rPr>
        <w:t xml:space="preserve"> y T-064 de 2015, entre otras.</w:t>
      </w:r>
    </w:p>
  </w:footnote>
  <w:footnote w:id="7">
    <w:p w:rsidR="00DD1A2C" w:rsidRPr="00510FA4" w:rsidRDefault="00DD1A2C" w:rsidP="00DD1A2C">
      <w:pPr>
        <w:pStyle w:val="Notedebasdepage"/>
        <w:rPr>
          <w:rFonts w:asciiTheme="minorHAnsi" w:hAnsiTheme="minorHAnsi"/>
          <w:lang w:val="fr-FR"/>
        </w:rPr>
      </w:pPr>
      <w:r w:rsidRPr="00E17BD7">
        <w:rPr>
          <w:rStyle w:val="Appelnotedebasdep"/>
          <w:rFonts w:asciiTheme="minorHAnsi" w:hAnsiTheme="minorHAnsi"/>
        </w:rPr>
        <w:footnoteRef/>
      </w:r>
      <w:r w:rsidRPr="00510FA4">
        <w:rPr>
          <w:rFonts w:asciiTheme="minorHAnsi" w:hAnsiTheme="minorHAnsi"/>
          <w:lang w:val="fr-FR"/>
        </w:rPr>
        <w:t xml:space="preserve"> </w:t>
      </w:r>
      <w:r w:rsidRPr="00510FA4">
        <w:rPr>
          <w:rFonts w:asciiTheme="minorHAnsi" w:hAnsiTheme="minorHAnsi" w:cs="Calibri"/>
          <w:lang w:val="fr-FR"/>
        </w:rPr>
        <w:t>CC. T-307 de 2015.</w:t>
      </w:r>
    </w:p>
  </w:footnote>
  <w:footnote w:id="8">
    <w:p w:rsidR="00DD1A2C" w:rsidRPr="00E17BD7" w:rsidRDefault="00DD1A2C" w:rsidP="00DD1A2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DD1A2C" w:rsidRPr="00E17BD7" w:rsidRDefault="00DD1A2C" w:rsidP="00DD1A2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 xml:space="preserve">. </w:t>
      </w:r>
      <w:r w:rsidRPr="00E17BD7">
        <w:rPr>
          <w:rFonts w:asciiTheme="minorHAnsi" w:hAnsiTheme="minorHAnsi" w:cs="Calibri"/>
        </w:rPr>
        <w:t>La acción de tutela, el amparo en Colombia, Bogotá DC, 2011, p.233-285.</w:t>
      </w:r>
    </w:p>
  </w:footnote>
  <w:footnote w:id="10">
    <w:p w:rsidR="00DD1A2C" w:rsidRPr="00510FA4" w:rsidRDefault="00DD1A2C" w:rsidP="00DD1A2C">
      <w:pPr>
        <w:pStyle w:val="Notedebasdepage"/>
        <w:jc w:val="both"/>
        <w:rPr>
          <w:lang w:val="fr-FR"/>
        </w:rPr>
      </w:pPr>
      <w:r>
        <w:rPr>
          <w:rStyle w:val="Appelnotedebasdep"/>
          <w:rFonts w:asciiTheme="minorHAnsi" w:hAnsiTheme="minorHAnsi"/>
        </w:rPr>
        <w:footnoteRef/>
      </w:r>
      <w:r w:rsidRPr="00510FA4">
        <w:rPr>
          <w:rFonts w:asciiTheme="minorHAnsi" w:hAnsiTheme="minorHAnsi"/>
          <w:lang w:val="fr-FR"/>
        </w:rPr>
        <w:t xml:space="preserve"> </w:t>
      </w:r>
      <w:r w:rsidRPr="00510FA4">
        <w:rPr>
          <w:rFonts w:asciiTheme="minorHAnsi" w:hAnsiTheme="minorHAnsi" w:cs="Calibri"/>
          <w:lang w:val="fr-FR"/>
        </w:rPr>
        <w:t xml:space="preserve">CC.  T-134 de 1994. </w:t>
      </w:r>
    </w:p>
  </w:footnote>
  <w:footnote w:id="11">
    <w:p w:rsidR="00DD1A2C" w:rsidRPr="00510FA4" w:rsidRDefault="00DD1A2C" w:rsidP="00DD1A2C">
      <w:pPr>
        <w:pStyle w:val="Notedebasdepage"/>
        <w:rPr>
          <w:lang w:val="fr-FR"/>
        </w:rPr>
      </w:pPr>
      <w:r>
        <w:rPr>
          <w:rStyle w:val="Appelnotedebasdep"/>
        </w:rPr>
        <w:footnoteRef/>
      </w:r>
      <w:r w:rsidRPr="00510FA4">
        <w:rPr>
          <w:lang w:val="fr-FR"/>
        </w:rPr>
        <w:t xml:space="preserve"> </w:t>
      </w:r>
      <w:r w:rsidRPr="00510FA4">
        <w:rPr>
          <w:rFonts w:asciiTheme="minorHAnsi" w:hAnsiTheme="minorHAnsi" w:cs="Calibri"/>
          <w:lang w:val="fr-FR"/>
        </w:rPr>
        <w:t>CC. T-103 de 2014.</w:t>
      </w:r>
    </w:p>
  </w:footnote>
  <w:footnote w:id="12">
    <w:p w:rsidR="00DD1A2C" w:rsidRPr="00510FA4" w:rsidRDefault="00DD1A2C" w:rsidP="00DD1A2C">
      <w:pPr>
        <w:pStyle w:val="Notedebasdepage"/>
        <w:jc w:val="both"/>
        <w:rPr>
          <w:lang w:val="fr-FR"/>
        </w:rPr>
      </w:pPr>
      <w:r>
        <w:rPr>
          <w:rStyle w:val="Appelnotedebasdep"/>
          <w:rFonts w:asciiTheme="minorHAnsi" w:hAnsiTheme="minorHAnsi" w:cs="Calibri"/>
        </w:rPr>
        <w:footnoteRef/>
      </w:r>
      <w:r w:rsidRPr="00510FA4">
        <w:rPr>
          <w:rFonts w:asciiTheme="minorHAnsi" w:hAnsiTheme="minorHAnsi" w:cs="Calibri"/>
          <w:lang w:val="fr-FR"/>
        </w:rPr>
        <w:t xml:space="preserve"> CC. T-567 de 1998.</w:t>
      </w:r>
    </w:p>
  </w:footnote>
  <w:footnote w:id="13">
    <w:p w:rsidR="00DD1A2C" w:rsidRPr="00510FA4" w:rsidRDefault="00DD1A2C" w:rsidP="00DD1A2C">
      <w:pPr>
        <w:pStyle w:val="Notedebasdepage"/>
        <w:jc w:val="both"/>
        <w:rPr>
          <w:lang w:val="fr-FR"/>
        </w:rPr>
      </w:pPr>
      <w:r>
        <w:rPr>
          <w:rStyle w:val="Appelnotedebasdep"/>
          <w:rFonts w:asciiTheme="minorHAnsi" w:hAnsiTheme="minorHAnsi"/>
        </w:rPr>
        <w:footnoteRef/>
      </w:r>
      <w:r w:rsidRPr="00510FA4">
        <w:rPr>
          <w:rFonts w:asciiTheme="minorHAnsi" w:hAnsiTheme="minorHAnsi"/>
          <w:lang w:val="fr-FR"/>
        </w:rPr>
        <w:t xml:space="preserve"> </w:t>
      </w:r>
      <w:r w:rsidRPr="00510FA4">
        <w:rPr>
          <w:rFonts w:asciiTheme="minorHAnsi" w:hAnsiTheme="minorHAnsi" w:cs="Calibri"/>
          <w:lang w:val="fr-FR"/>
        </w:rPr>
        <w:t>CC. T-037 de 2016, T-120 de 2016 y T-662 de 2013.</w:t>
      </w:r>
      <w:r w:rsidRPr="00510FA4">
        <w:rPr>
          <w:b/>
          <w:bCs/>
          <w:color w:val="2D2D2D"/>
          <w:sz w:val="28"/>
          <w:szCs w:val="28"/>
          <w:bdr w:val="none" w:sz="0" w:space="0" w:color="auto" w:frame="1"/>
          <w:shd w:val="clear" w:color="auto" w:fill="FFFFFF"/>
          <w:lang w:val="fr-FR"/>
        </w:rPr>
        <w:t xml:space="preserve"> </w:t>
      </w:r>
    </w:p>
  </w:footnote>
  <w:footnote w:id="14">
    <w:p w:rsidR="00DD1A2C" w:rsidRDefault="00DD1A2C" w:rsidP="00DD1A2C">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w:t>
      </w:r>
      <w:r>
        <w:rPr>
          <w:rFonts w:ascii="Calibri" w:hAnsi="Calibri"/>
          <w:lang w:val="es-CO"/>
        </w:rPr>
        <w:t xml:space="preserve">STC3931-2016y </w:t>
      </w:r>
      <w:r>
        <w:rPr>
          <w:rFonts w:ascii="Calibri" w:hAnsi="Calibri" w:cs="Calibri"/>
        </w:rPr>
        <w:t>STC6121-2015.</w:t>
      </w:r>
    </w:p>
  </w:footnote>
  <w:footnote w:id="15">
    <w:p w:rsidR="00DD1A2C" w:rsidRPr="00510FA4" w:rsidRDefault="00DD1A2C" w:rsidP="00DD1A2C">
      <w:pPr>
        <w:pStyle w:val="Notedebasdepage"/>
        <w:jc w:val="both"/>
        <w:rPr>
          <w:lang w:val="fr-FR"/>
        </w:rPr>
      </w:pPr>
      <w:r w:rsidRPr="00623B4F">
        <w:rPr>
          <w:rStyle w:val="Appelnotedebasdep"/>
          <w:rFonts w:asciiTheme="minorHAnsi" w:hAnsiTheme="minorHAnsi" w:cs="Calibri"/>
        </w:rPr>
        <w:footnoteRef/>
      </w:r>
      <w:r w:rsidRPr="00510FA4">
        <w:rPr>
          <w:rFonts w:asciiTheme="minorHAnsi" w:hAnsiTheme="minorHAnsi" w:cs="Calibri"/>
          <w:lang w:val="fr-FR"/>
        </w:rPr>
        <w:t xml:space="preserve"> CC. T-193 de 2008.</w:t>
      </w:r>
    </w:p>
  </w:footnote>
  <w:footnote w:id="16">
    <w:p w:rsidR="00DD1A2C" w:rsidRPr="00510FA4" w:rsidRDefault="00DD1A2C" w:rsidP="00DD1A2C">
      <w:pPr>
        <w:pStyle w:val="Notedebasdepage"/>
        <w:rPr>
          <w:lang w:val="fr-FR"/>
        </w:rPr>
      </w:pPr>
      <w:r>
        <w:rPr>
          <w:rStyle w:val="Appelnotedebasdep"/>
        </w:rPr>
        <w:footnoteRef/>
      </w:r>
      <w:r w:rsidRPr="00510FA4">
        <w:rPr>
          <w:lang w:val="fr-FR"/>
        </w:rPr>
        <w:t xml:space="preserve"> </w:t>
      </w:r>
      <w:r w:rsidRPr="00510FA4">
        <w:rPr>
          <w:rFonts w:asciiTheme="minorHAnsi" w:hAnsiTheme="minorHAnsi" w:cs="Calibri"/>
          <w:lang w:val="fr-FR"/>
        </w:rPr>
        <w:t xml:space="preserve">CC. </w:t>
      </w:r>
      <w:r w:rsidRPr="00510FA4">
        <w:rPr>
          <w:rFonts w:asciiTheme="minorHAnsi" w:hAnsiTheme="minorHAnsi"/>
          <w:bCs/>
          <w:lang w:val="fr-FR"/>
        </w:rPr>
        <w:t xml:space="preserve">SU-240 de 2015 y </w:t>
      </w:r>
      <w:r w:rsidRPr="00510FA4">
        <w:rPr>
          <w:rFonts w:asciiTheme="minorHAnsi" w:hAnsiTheme="minorHAnsi" w:cs="Calibri"/>
          <w:lang w:val="fr-FR"/>
        </w:rPr>
        <w:t>T-185 de 2013.</w:t>
      </w:r>
    </w:p>
  </w:footnote>
  <w:footnote w:id="17">
    <w:p w:rsidR="00DD1A2C" w:rsidRPr="00833A61" w:rsidRDefault="00DD1A2C" w:rsidP="00DD1A2C">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18">
    <w:p w:rsidR="00DD1A2C" w:rsidRPr="00104D5D" w:rsidRDefault="00DD1A2C" w:rsidP="00DD1A2C">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9">
    <w:p w:rsidR="00DD1A2C" w:rsidRPr="00104D5D" w:rsidRDefault="00DD1A2C" w:rsidP="00DD1A2C">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20">
    <w:p w:rsidR="00DD1A2C" w:rsidRPr="00510FA4" w:rsidRDefault="00DD1A2C" w:rsidP="00DD1A2C">
      <w:pPr>
        <w:pStyle w:val="Notedebasdepage"/>
        <w:jc w:val="both"/>
        <w:rPr>
          <w:rFonts w:ascii="Calibri" w:hAnsi="Calibri"/>
          <w:lang w:val="fr-FR"/>
        </w:rPr>
      </w:pPr>
      <w:r w:rsidRPr="008C531D">
        <w:rPr>
          <w:rStyle w:val="Appelnotedebasdep"/>
          <w:rFonts w:ascii="Calibri" w:hAnsi="Calibri"/>
        </w:rPr>
        <w:footnoteRef/>
      </w:r>
      <w:r w:rsidRPr="00510FA4">
        <w:rPr>
          <w:rFonts w:ascii="Calibri" w:hAnsi="Calibri"/>
          <w:lang w:val="fr-FR"/>
        </w:rPr>
        <w:t xml:space="preserve"> CC. T-057 de 2016.</w:t>
      </w:r>
    </w:p>
  </w:footnote>
  <w:footnote w:id="21">
    <w:p w:rsidR="00DD1A2C" w:rsidRPr="00510FA4" w:rsidRDefault="00DD1A2C" w:rsidP="00DD1A2C">
      <w:pPr>
        <w:pStyle w:val="Notedebasdepage"/>
        <w:jc w:val="both"/>
        <w:rPr>
          <w:rFonts w:ascii="Calibri" w:hAnsi="Calibri"/>
          <w:lang w:val="fr-FR"/>
        </w:rPr>
      </w:pPr>
      <w:r w:rsidRPr="008C531D">
        <w:rPr>
          <w:rStyle w:val="Appelnotedebasdep"/>
          <w:rFonts w:ascii="Calibri" w:hAnsi="Calibri"/>
        </w:rPr>
        <w:footnoteRef/>
      </w:r>
      <w:r w:rsidRPr="00510FA4">
        <w:rPr>
          <w:rFonts w:ascii="Calibri" w:hAnsi="Calibri"/>
          <w:lang w:val="fr-FR"/>
        </w:rPr>
        <w:t xml:space="preserve"> CC. T-095 de 2015.</w:t>
      </w:r>
    </w:p>
  </w:footnote>
  <w:footnote w:id="22">
    <w:p w:rsidR="00DD1A2C" w:rsidRPr="00A4402B" w:rsidRDefault="00DD1A2C" w:rsidP="00DD1A2C">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23">
    <w:p w:rsidR="00DD1A2C" w:rsidRPr="00510FA4" w:rsidRDefault="00DD1A2C" w:rsidP="00DD1A2C">
      <w:pPr>
        <w:pStyle w:val="Notedebasdepage"/>
        <w:jc w:val="both"/>
        <w:rPr>
          <w:lang w:val="fr-FR"/>
        </w:rPr>
      </w:pPr>
      <w:r w:rsidRPr="0088104A">
        <w:rPr>
          <w:rStyle w:val="Appelnotedebasdep"/>
          <w:rFonts w:asciiTheme="minorHAnsi" w:hAnsiTheme="minorHAnsi" w:cs="Calibri"/>
        </w:rPr>
        <w:footnoteRef/>
      </w:r>
      <w:r w:rsidRPr="00510FA4">
        <w:rPr>
          <w:rFonts w:asciiTheme="minorHAnsi" w:hAnsiTheme="minorHAnsi" w:cs="Calibri"/>
          <w:lang w:val="fr-FR"/>
        </w:rPr>
        <w:t xml:space="preserve"> CC.  Sentencia T-567 de 1998.</w:t>
      </w:r>
    </w:p>
  </w:footnote>
  <w:footnote w:id="24">
    <w:p w:rsidR="00DD1A2C" w:rsidRPr="00510FA4" w:rsidRDefault="00DD1A2C" w:rsidP="00DD1A2C">
      <w:pPr>
        <w:pStyle w:val="Notedebasdepage"/>
        <w:rPr>
          <w:lang w:val="fr-FR"/>
        </w:rPr>
      </w:pPr>
      <w:r>
        <w:rPr>
          <w:rStyle w:val="Appelnotedebasdep"/>
        </w:rPr>
        <w:footnoteRef/>
      </w:r>
      <w:r w:rsidRPr="00510FA4">
        <w:rPr>
          <w:lang w:val="fr-FR"/>
        </w:rPr>
        <w:t xml:space="preserve"> </w:t>
      </w:r>
      <w:r w:rsidRPr="00510FA4">
        <w:rPr>
          <w:rFonts w:asciiTheme="minorHAnsi" w:hAnsiTheme="minorHAnsi" w:cs="Calibri"/>
          <w:lang w:val="fr-FR"/>
        </w:rPr>
        <w:t>CC.  T-717 de 2011.</w:t>
      </w:r>
    </w:p>
  </w:footnote>
  <w:footnote w:id="25">
    <w:p w:rsidR="00DD1A2C" w:rsidRPr="00510FA4" w:rsidRDefault="00DD1A2C" w:rsidP="00DD1A2C">
      <w:pPr>
        <w:pStyle w:val="Notedebasdepage"/>
        <w:rPr>
          <w:lang w:val="fr-FR"/>
        </w:rPr>
      </w:pPr>
      <w:r>
        <w:rPr>
          <w:rStyle w:val="Appelnotedebasdep"/>
        </w:rPr>
        <w:footnoteRef/>
      </w:r>
      <w:r w:rsidRPr="00510FA4">
        <w:rPr>
          <w:lang w:val="fr-FR"/>
        </w:rPr>
        <w:t xml:space="preserve"> </w:t>
      </w:r>
      <w:r w:rsidRPr="00510FA4">
        <w:rPr>
          <w:rFonts w:asciiTheme="minorHAnsi" w:hAnsiTheme="minorHAnsi" w:cs="Calibri"/>
          <w:lang w:val="fr-FR"/>
        </w:rPr>
        <w:t>CC.  T-429 de 2011.</w:t>
      </w:r>
    </w:p>
  </w:footnote>
  <w:footnote w:id="26">
    <w:p w:rsidR="00DD1A2C" w:rsidRPr="00534D20" w:rsidRDefault="00DD1A2C" w:rsidP="00DD1A2C">
      <w:pPr>
        <w:pStyle w:val="Notedebasdepage"/>
        <w:jc w:val="both"/>
        <w:rPr>
          <w:lang w:val="es-CO"/>
        </w:rPr>
      </w:pPr>
      <w:r>
        <w:rPr>
          <w:rStyle w:val="Appelnotedebasdep"/>
        </w:rPr>
        <w:footnoteRef/>
      </w:r>
      <w:r w:rsidRPr="00510FA4">
        <w:rPr>
          <w:lang w:val="fr-FR"/>
        </w:rPr>
        <w:t xml:space="preserve"> </w:t>
      </w:r>
      <w:r w:rsidRPr="00510FA4">
        <w:rPr>
          <w:rFonts w:ascii="Calibri" w:hAnsi="Calibri"/>
          <w:lang w:val="fr-FR"/>
        </w:rPr>
        <w:t xml:space="preserve">CSJ, Sala Civil. </w:t>
      </w:r>
      <w:r w:rsidR="00426C90">
        <w:rPr>
          <w:rFonts w:ascii="Calibri" w:hAnsi="Calibri"/>
          <w:szCs w:val="24"/>
        </w:rPr>
        <w:t xml:space="preserve">Sentencia del 12-12-2016, MP: </w:t>
      </w:r>
      <w:r w:rsidR="00426C90" w:rsidRPr="00426C90">
        <w:rPr>
          <w:rFonts w:ascii="Calibri" w:hAnsi="Calibri"/>
          <w:szCs w:val="24"/>
        </w:rPr>
        <w:t>Álvaro F</w:t>
      </w:r>
      <w:r w:rsidR="00426C90">
        <w:rPr>
          <w:rFonts w:ascii="Calibri" w:hAnsi="Calibri"/>
          <w:szCs w:val="24"/>
        </w:rPr>
        <w:t xml:space="preserve">. </w:t>
      </w:r>
      <w:r w:rsidR="00426C90" w:rsidRPr="00426C90">
        <w:rPr>
          <w:rFonts w:ascii="Calibri" w:hAnsi="Calibri"/>
          <w:szCs w:val="24"/>
        </w:rPr>
        <w:t>García R</w:t>
      </w:r>
      <w:r w:rsidR="00426C90">
        <w:rPr>
          <w:rFonts w:ascii="Calibri" w:hAnsi="Calibri"/>
          <w:szCs w:val="24"/>
        </w:rPr>
        <w:t>., No.</w:t>
      </w:r>
      <w:r w:rsidR="00426C90" w:rsidRPr="00426C90">
        <w:rPr>
          <w:rFonts w:ascii="Calibri" w:hAnsi="Calibri"/>
          <w:szCs w:val="24"/>
        </w:rPr>
        <w:t>66001221300020160097801</w:t>
      </w:r>
      <w:r w:rsidRPr="00534D20">
        <w:rPr>
          <w:rFonts w:ascii="Calibri" w:hAnsi="Calibri"/>
          <w:szCs w:val="24"/>
        </w:rPr>
        <w:t>.</w:t>
      </w:r>
    </w:p>
  </w:footnote>
  <w:footnote w:id="27">
    <w:p w:rsidR="004B77DD" w:rsidRPr="00510FA4" w:rsidRDefault="004B77DD" w:rsidP="004B77DD">
      <w:pPr>
        <w:pStyle w:val="Notedebasdepage"/>
        <w:rPr>
          <w:lang w:val="fr-FR"/>
        </w:rPr>
      </w:pPr>
      <w:r>
        <w:rPr>
          <w:rStyle w:val="Appelnotedebasdep"/>
        </w:rPr>
        <w:footnoteRef/>
      </w:r>
      <w:r w:rsidRPr="00510FA4">
        <w:rPr>
          <w:lang w:val="fr-FR"/>
        </w:rPr>
        <w:t xml:space="preserve"> </w:t>
      </w:r>
      <w:r w:rsidRPr="00510FA4">
        <w:rPr>
          <w:rFonts w:asciiTheme="minorHAnsi" w:hAnsiTheme="minorHAnsi"/>
          <w:lang w:val="fr-FR"/>
        </w:rPr>
        <w:t xml:space="preserve">CC. </w:t>
      </w:r>
      <w:r w:rsidRPr="00510FA4">
        <w:rPr>
          <w:rFonts w:asciiTheme="minorHAnsi" w:hAnsiTheme="minorHAnsi"/>
          <w:bCs/>
          <w:lang w:val="fr-FR"/>
        </w:rPr>
        <w:t>T-001 de 2016.</w:t>
      </w:r>
    </w:p>
  </w:footnote>
  <w:footnote w:id="28">
    <w:p w:rsidR="004B77DD" w:rsidRPr="00510FA4" w:rsidRDefault="004B77DD" w:rsidP="004B77DD">
      <w:pPr>
        <w:pStyle w:val="Notedebasdepage"/>
        <w:jc w:val="both"/>
        <w:rPr>
          <w:lang w:val="fr-FR"/>
        </w:rPr>
      </w:pPr>
      <w:r w:rsidRPr="00623B4F">
        <w:rPr>
          <w:rStyle w:val="Appelnotedebasdep"/>
          <w:rFonts w:asciiTheme="minorHAnsi" w:hAnsiTheme="minorHAnsi" w:cs="Calibri"/>
        </w:rPr>
        <w:footnoteRef/>
      </w:r>
      <w:r w:rsidRPr="00510FA4">
        <w:rPr>
          <w:rFonts w:asciiTheme="minorHAnsi" w:hAnsiTheme="minorHAnsi" w:cs="Calibri"/>
          <w:lang w:val="fr-FR"/>
        </w:rPr>
        <w:t xml:space="preserve"> CC. T-001 de 2016 y T-184 de 2005.</w:t>
      </w:r>
    </w:p>
  </w:footnote>
  <w:footnote w:id="29">
    <w:p w:rsidR="004B77DD" w:rsidRDefault="004B77DD" w:rsidP="004B77D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0">
    <w:p w:rsidR="004B77DD" w:rsidRPr="00510FA4" w:rsidRDefault="004B77DD" w:rsidP="004B77DD">
      <w:pPr>
        <w:pStyle w:val="Notedebasdepage"/>
        <w:jc w:val="both"/>
        <w:rPr>
          <w:lang w:val="fr-FR"/>
        </w:rPr>
      </w:pPr>
      <w:r w:rsidRPr="00623B4F">
        <w:rPr>
          <w:rStyle w:val="Appelnotedebasdep"/>
          <w:rFonts w:asciiTheme="minorHAnsi" w:hAnsiTheme="minorHAnsi" w:cs="Calibri"/>
        </w:rPr>
        <w:footnoteRef/>
      </w:r>
      <w:r w:rsidRPr="00510FA4">
        <w:rPr>
          <w:rFonts w:asciiTheme="minorHAnsi" w:hAnsiTheme="minorHAnsi" w:cs="Calibri"/>
          <w:lang w:val="fr-FR"/>
        </w:rPr>
        <w:t xml:space="preserve"> CC. T-443 de 1995.</w:t>
      </w:r>
    </w:p>
  </w:footnote>
  <w:footnote w:id="31">
    <w:p w:rsidR="004B77DD" w:rsidRPr="00510FA4" w:rsidRDefault="004B77DD" w:rsidP="004B77DD">
      <w:pPr>
        <w:pStyle w:val="Notedebasdepage"/>
        <w:jc w:val="both"/>
        <w:rPr>
          <w:lang w:val="fr-FR"/>
        </w:rPr>
      </w:pPr>
      <w:r w:rsidRPr="00623B4F">
        <w:rPr>
          <w:rStyle w:val="Appelnotedebasdep"/>
          <w:rFonts w:asciiTheme="minorHAnsi" w:hAnsiTheme="minorHAnsi" w:cs="Calibri"/>
        </w:rPr>
        <w:footnoteRef/>
      </w:r>
      <w:r w:rsidRPr="00510FA4">
        <w:rPr>
          <w:rFonts w:asciiTheme="minorHAnsi" w:hAnsiTheme="minorHAnsi" w:cs="Calibri"/>
          <w:lang w:val="fr-FR"/>
        </w:rPr>
        <w:t xml:space="preserve"> CC. T-149 de 1995.</w:t>
      </w:r>
    </w:p>
  </w:footnote>
  <w:footnote w:id="32">
    <w:p w:rsidR="004B77DD" w:rsidRPr="00510FA4" w:rsidRDefault="004B77DD" w:rsidP="004B77DD">
      <w:pPr>
        <w:pStyle w:val="Notedebasdepage"/>
        <w:jc w:val="both"/>
        <w:rPr>
          <w:lang w:val="fr-FR"/>
        </w:rPr>
      </w:pPr>
      <w:r w:rsidRPr="00623B4F">
        <w:rPr>
          <w:rStyle w:val="Appelnotedebasdep"/>
          <w:rFonts w:asciiTheme="minorHAnsi" w:hAnsiTheme="minorHAnsi" w:cs="Calibri"/>
        </w:rPr>
        <w:footnoteRef/>
      </w:r>
      <w:r w:rsidRPr="00510FA4">
        <w:rPr>
          <w:rFonts w:asciiTheme="minorHAnsi" w:hAnsiTheme="minorHAnsi" w:cs="Calibri"/>
          <w:lang w:val="fr-FR"/>
        </w:rPr>
        <w:t xml:space="preserve"> CC. T-308 de 1995.</w:t>
      </w:r>
    </w:p>
  </w:footnote>
  <w:footnote w:id="33">
    <w:p w:rsidR="004B77DD" w:rsidRPr="00510FA4" w:rsidRDefault="004B77DD" w:rsidP="004B77DD">
      <w:pPr>
        <w:pStyle w:val="Notedebasdepage"/>
        <w:jc w:val="both"/>
        <w:rPr>
          <w:lang w:val="fr-FR"/>
        </w:rPr>
      </w:pPr>
      <w:r w:rsidRPr="00623B4F">
        <w:rPr>
          <w:rStyle w:val="Appelnotedebasdep"/>
          <w:rFonts w:asciiTheme="minorHAnsi" w:hAnsiTheme="minorHAnsi" w:cs="Calibri"/>
        </w:rPr>
        <w:footnoteRef/>
      </w:r>
      <w:r w:rsidRPr="00510FA4">
        <w:rPr>
          <w:rFonts w:asciiTheme="minorHAnsi" w:hAnsiTheme="minorHAnsi" w:cs="Calibri"/>
          <w:lang w:val="fr-FR"/>
        </w:rPr>
        <w:t xml:space="preserve"> CC. T-443 de 1995.</w:t>
      </w:r>
    </w:p>
  </w:footnote>
  <w:footnote w:id="34">
    <w:p w:rsidR="004B77DD" w:rsidRDefault="004B77DD" w:rsidP="004B77D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35">
    <w:p w:rsidR="002D660B" w:rsidRPr="001815DA" w:rsidRDefault="002D660B" w:rsidP="002D660B">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sidRPr="004A4777">
        <w:rPr>
          <w:rFonts w:ascii="Calibri" w:hAnsi="Calibri"/>
          <w:i/>
          <w:iCs/>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2D660B" w:rsidRPr="001815DA" w:rsidRDefault="002D660B" w:rsidP="002D660B">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0A0728">
    <w:pPr>
      <w:pStyle w:val="En-tte"/>
      <w:pBdr>
        <w:bottom w:val="single" w:sz="4" w:space="2" w:color="D9D9D9"/>
      </w:pBdr>
      <w:jc w:val="right"/>
      <w:rPr>
        <w:rFonts w:ascii="Calibri" w:hAnsi="Calibri" w:cs="Calibri"/>
        <w:i/>
        <w:sz w:val="20"/>
      </w:rPr>
    </w:pP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353D7A">
      <w:rPr>
        <w:rFonts w:ascii="Calibri" w:hAnsi="Calibri" w:cs="Calibri"/>
        <w:i/>
        <w:noProof/>
        <w:sz w:val="20"/>
      </w:rPr>
      <w:t>10</w:t>
    </w:r>
    <w:r w:rsidRPr="006414F7">
      <w:rPr>
        <w:rFonts w:ascii="Calibri" w:hAnsi="Calibri" w:cs="Calibri"/>
        <w:i/>
        <w:sz w:val="20"/>
      </w:rPr>
      <w:fldChar w:fldCharType="end"/>
    </w:r>
  </w:p>
  <w:p w:rsidR="001C56B4" w:rsidRPr="006414F7" w:rsidRDefault="000A0728" w:rsidP="000A0728">
    <w:pPr>
      <w:pStyle w:val="En-tte"/>
      <w:rPr>
        <w:rFonts w:ascii="Calibri" w:hAnsi="Calibri" w:cs="Calibri"/>
        <w:i/>
        <w:sz w:val="20"/>
        <w:szCs w:val="22"/>
      </w:rPr>
    </w:pPr>
    <w:r>
      <w:rPr>
        <w:rFonts w:ascii="Calibri" w:hAnsi="Calibri" w:cs="Arial"/>
        <w:i/>
        <w:sz w:val="20"/>
        <w:szCs w:val="20"/>
      </w:rPr>
      <w:t>EXPEDIENTE No.</w:t>
    </w:r>
    <w:r w:rsidRPr="000A0728">
      <w:rPr>
        <w:rFonts w:ascii="Calibri" w:hAnsi="Calibri" w:cs="Arial"/>
        <w:i/>
        <w:sz w:val="20"/>
        <w:szCs w:val="20"/>
      </w:rPr>
      <w:t>2017-00091-00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5FC"/>
    <w:rsid w:val="000256AC"/>
    <w:rsid w:val="00025EDE"/>
    <w:rsid w:val="00026116"/>
    <w:rsid w:val="00026255"/>
    <w:rsid w:val="000267D2"/>
    <w:rsid w:val="00026BFF"/>
    <w:rsid w:val="00026E86"/>
    <w:rsid w:val="000271AD"/>
    <w:rsid w:val="00027398"/>
    <w:rsid w:val="00027A6F"/>
    <w:rsid w:val="00030686"/>
    <w:rsid w:val="000311D1"/>
    <w:rsid w:val="00032C42"/>
    <w:rsid w:val="0003368F"/>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4EC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28"/>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7C1"/>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438"/>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67"/>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22"/>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241"/>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62CE"/>
    <w:rsid w:val="002D660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5DF9"/>
    <w:rsid w:val="00316088"/>
    <w:rsid w:val="00316ABE"/>
    <w:rsid w:val="00316CAE"/>
    <w:rsid w:val="0031797D"/>
    <w:rsid w:val="00320041"/>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EA5"/>
    <w:rsid w:val="00345F28"/>
    <w:rsid w:val="00346FBC"/>
    <w:rsid w:val="003472EC"/>
    <w:rsid w:val="00347373"/>
    <w:rsid w:val="00347381"/>
    <w:rsid w:val="003473C6"/>
    <w:rsid w:val="00350667"/>
    <w:rsid w:val="00350E31"/>
    <w:rsid w:val="00350F45"/>
    <w:rsid w:val="00352556"/>
    <w:rsid w:val="00352603"/>
    <w:rsid w:val="0035297D"/>
    <w:rsid w:val="00353D7A"/>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2F59"/>
    <w:rsid w:val="003632B0"/>
    <w:rsid w:val="003641DE"/>
    <w:rsid w:val="003648A3"/>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F7E"/>
    <w:rsid w:val="003763C5"/>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02"/>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6C90"/>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B77DD"/>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0FA4"/>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0F44"/>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189"/>
    <w:rsid w:val="0055788B"/>
    <w:rsid w:val="0055798C"/>
    <w:rsid w:val="00557A1B"/>
    <w:rsid w:val="00557CDA"/>
    <w:rsid w:val="0056065A"/>
    <w:rsid w:val="00560D55"/>
    <w:rsid w:val="00561182"/>
    <w:rsid w:val="00561C54"/>
    <w:rsid w:val="00561F4D"/>
    <w:rsid w:val="0056345F"/>
    <w:rsid w:val="005634DD"/>
    <w:rsid w:val="00564507"/>
    <w:rsid w:val="0056500B"/>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1AA"/>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3BC0"/>
    <w:rsid w:val="006244D2"/>
    <w:rsid w:val="00624817"/>
    <w:rsid w:val="00624AC1"/>
    <w:rsid w:val="00624D48"/>
    <w:rsid w:val="00625E13"/>
    <w:rsid w:val="006262D0"/>
    <w:rsid w:val="00626C89"/>
    <w:rsid w:val="006270BF"/>
    <w:rsid w:val="006277C7"/>
    <w:rsid w:val="006277EE"/>
    <w:rsid w:val="006278D9"/>
    <w:rsid w:val="00627A7C"/>
    <w:rsid w:val="00627C1B"/>
    <w:rsid w:val="00627FD4"/>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75F"/>
    <w:rsid w:val="00691C48"/>
    <w:rsid w:val="00692A5A"/>
    <w:rsid w:val="00692D1E"/>
    <w:rsid w:val="00692F74"/>
    <w:rsid w:val="00694204"/>
    <w:rsid w:val="006942B0"/>
    <w:rsid w:val="006947CB"/>
    <w:rsid w:val="00694C24"/>
    <w:rsid w:val="006959AC"/>
    <w:rsid w:val="006969D6"/>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2A1"/>
    <w:rsid w:val="00732540"/>
    <w:rsid w:val="0073284C"/>
    <w:rsid w:val="007334BF"/>
    <w:rsid w:val="007336C1"/>
    <w:rsid w:val="00733969"/>
    <w:rsid w:val="00733F1E"/>
    <w:rsid w:val="007346DF"/>
    <w:rsid w:val="00734D26"/>
    <w:rsid w:val="00736A93"/>
    <w:rsid w:val="00736D0F"/>
    <w:rsid w:val="007374A3"/>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54A"/>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512"/>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3A37"/>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181"/>
    <w:rsid w:val="008A7371"/>
    <w:rsid w:val="008A75BC"/>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1C"/>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500"/>
    <w:rsid w:val="009A67A6"/>
    <w:rsid w:val="009A6D55"/>
    <w:rsid w:val="009A6E7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3A04"/>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2B6"/>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6BCD"/>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3031"/>
    <w:rsid w:val="00B74A2D"/>
    <w:rsid w:val="00B751DA"/>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66C"/>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DC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CA3"/>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A62"/>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56"/>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1B"/>
    <w:rsid w:val="00D32ADA"/>
    <w:rsid w:val="00D33C09"/>
    <w:rsid w:val="00D33E7B"/>
    <w:rsid w:val="00D34C8C"/>
    <w:rsid w:val="00D3531C"/>
    <w:rsid w:val="00D3719C"/>
    <w:rsid w:val="00D37435"/>
    <w:rsid w:val="00D3750C"/>
    <w:rsid w:val="00D37AB2"/>
    <w:rsid w:val="00D37E51"/>
    <w:rsid w:val="00D40128"/>
    <w:rsid w:val="00D408BD"/>
    <w:rsid w:val="00D41030"/>
    <w:rsid w:val="00D41AAE"/>
    <w:rsid w:val="00D42F93"/>
    <w:rsid w:val="00D42FDC"/>
    <w:rsid w:val="00D44255"/>
    <w:rsid w:val="00D446E3"/>
    <w:rsid w:val="00D45E7D"/>
    <w:rsid w:val="00D4647F"/>
    <w:rsid w:val="00D46B5E"/>
    <w:rsid w:val="00D477F7"/>
    <w:rsid w:val="00D4788B"/>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5D12"/>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A2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7F1"/>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356F"/>
    <w:rsid w:val="00EA4A23"/>
    <w:rsid w:val="00EA614B"/>
    <w:rsid w:val="00EA6363"/>
    <w:rsid w:val="00EA6E3F"/>
    <w:rsid w:val="00EA73E5"/>
    <w:rsid w:val="00EA756D"/>
    <w:rsid w:val="00EA7889"/>
    <w:rsid w:val="00EA7EBD"/>
    <w:rsid w:val="00EB04B0"/>
    <w:rsid w:val="00EB10C7"/>
    <w:rsid w:val="00EB1579"/>
    <w:rsid w:val="00EB1DC2"/>
    <w:rsid w:val="00EB2529"/>
    <w:rsid w:val="00EB28E5"/>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68AA"/>
    <w:rsid w:val="00EC72F9"/>
    <w:rsid w:val="00EC73B3"/>
    <w:rsid w:val="00ED0BA4"/>
    <w:rsid w:val="00ED15E9"/>
    <w:rsid w:val="00ED2098"/>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0DB7"/>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3D3D"/>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4FB2"/>
    <w:rsid w:val="00FC5379"/>
    <w:rsid w:val="00FC566E"/>
    <w:rsid w:val="00FC5F6F"/>
    <w:rsid w:val="00FC624C"/>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163"/>
    <w:rsid w:val="00FF0ABA"/>
    <w:rsid w:val="00FF0B42"/>
    <w:rsid w:val="00FF100E"/>
    <w:rsid w:val="00FF21E8"/>
    <w:rsid w:val="00FF2A49"/>
    <w:rsid w:val="00FF35BF"/>
    <w:rsid w:val="00FF36AF"/>
    <w:rsid w:val="00FF4A0D"/>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paragraph" w:customStyle="1" w:styleId="oda">
    <w:name w:val="oda"/>
    <w:basedOn w:val="Normal"/>
    <w:rsid w:val="003763C5"/>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paragraph" w:customStyle="1" w:styleId="oda">
    <w:name w:val="oda"/>
    <w:basedOn w:val="Normal"/>
    <w:rsid w:val="003763C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72369859">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774600385">
      <w:bodyDiv w:val="1"/>
      <w:marLeft w:val="0"/>
      <w:marRight w:val="0"/>
      <w:marTop w:val="0"/>
      <w:marBottom w:val="0"/>
      <w:divBdr>
        <w:top w:val="none" w:sz="0" w:space="0" w:color="auto"/>
        <w:left w:val="none" w:sz="0" w:space="0" w:color="auto"/>
        <w:bottom w:val="none" w:sz="0" w:space="0" w:color="auto"/>
        <w:right w:val="none" w:sz="0" w:space="0" w:color="auto"/>
      </w:divBdr>
    </w:div>
    <w:div w:id="975182005">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12665830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37DE-0FCC-4801-B2CE-78E27B0F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3581</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12</cp:revision>
  <cp:lastPrinted>2017-03-06T11:58:00Z</cp:lastPrinted>
  <dcterms:created xsi:type="dcterms:W3CDTF">2017-02-28T22:21:00Z</dcterms:created>
  <dcterms:modified xsi:type="dcterms:W3CDTF">2017-05-10T22:53:00Z</dcterms:modified>
</cp:coreProperties>
</file>